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388"/>
        <w:gridCol w:w="2389"/>
        <w:gridCol w:w="2389"/>
        <w:gridCol w:w="2389"/>
      </w:tblGrid>
      <w:tr w:rsidR="00E475F9" w:rsidRPr="00AB2726" w14:paraId="31DDC818" w14:textId="77777777" w:rsidTr="00E54322">
        <w:trPr>
          <w:trHeight w:val="737"/>
        </w:trPr>
        <w:tc>
          <w:tcPr>
            <w:tcW w:w="1250" w:type="pct"/>
            <w:shd w:val="clear" w:color="auto" w:fill="auto"/>
            <w:vAlign w:val="center"/>
          </w:tcPr>
          <w:p w14:paraId="0DE751A3" w14:textId="77777777" w:rsidR="002D11B8" w:rsidRPr="00AB2726" w:rsidRDefault="003D6AC2" w:rsidP="00E54322">
            <w:pPr>
              <w:widowControl w:val="0"/>
              <w:autoSpaceDE w:val="0"/>
              <w:autoSpaceDN w:val="0"/>
              <w:adjustRightInd w:val="0"/>
              <w:rPr>
                <w:rFonts w:ascii="Arial Narrow" w:hAnsi="Arial Narrow" w:cs="Calibri"/>
                <w:szCs w:val="20"/>
              </w:rPr>
            </w:pPr>
            <w:r w:rsidRPr="00AB2726">
              <w:rPr>
                <w:rFonts w:ascii="Arial Narrow" w:hAnsi="Arial Narrow" w:cs="Calibri"/>
                <w:b/>
                <w:bCs/>
                <w:szCs w:val="20"/>
              </w:rPr>
              <w:t>MINISTERS’ DEPUTIES</w:t>
            </w:r>
          </w:p>
        </w:tc>
        <w:tc>
          <w:tcPr>
            <w:tcW w:w="1250" w:type="pct"/>
            <w:shd w:val="clear" w:color="auto" w:fill="auto"/>
            <w:vAlign w:val="center"/>
          </w:tcPr>
          <w:p w14:paraId="7E339987" w14:textId="77777777" w:rsidR="002D11B8" w:rsidRPr="00AB2726" w:rsidRDefault="003D6AC2" w:rsidP="00E54322">
            <w:pPr>
              <w:ind w:left="-108"/>
              <w:jc w:val="center"/>
              <w:rPr>
                <w:rFonts w:ascii="Arial Narrow" w:hAnsi="Arial Narrow" w:cs="Arial"/>
                <w:szCs w:val="20"/>
              </w:rPr>
            </w:pPr>
            <w:r w:rsidRPr="00AB2726">
              <w:rPr>
                <w:rFonts w:ascii="Arial Narrow" w:hAnsi="Arial Narrow" w:cs="Calibri"/>
                <w:szCs w:val="20"/>
              </w:rPr>
              <w:t>CM Documents</w:t>
            </w:r>
          </w:p>
        </w:tc>
        <w:tc>
          <w:tcPr>
            <w:tcW w:w="1250" w:type="pct"/>
            <w:shd w:val="clear" w:color="auto" w:fill="auto"/>
            <w:vAlign w:val="center"/>
          </w:tcPr>
          <w:p w14:paraId="1C95BC8B" w14:textId="6724F188" w:rsidR="002D11B8" w:rsidRPr="00472E64" w:rsidRDefault="00472E64" w:rsidP="00E0341E">
            <w:pPr>
              <w:ind w:left="-40"/>
              <w:jc w:val="center"/>
              <w:rPr>
                <w:rFonts w:ascii="Arial Narrow" w:hAnsi="Arial Narrow" w:cs="Arial"/>
                <w:b/>
                <w:sz w:val="24"/>
                <w:szCs w:val="24"/>
              </w:rPr>
            </w:pPr>
            <w:proofErr w:type="gramStart"/>
            <w:r w:rsidRPr="00472E64">
              <w:rPr>
                <w:rFonts w:ascii="Arial Narrow" w:hAnsi="Arial Narrow" w:cs="Calibri"/>
                <w:b/>
                <w:sz w:val="24"/>
                <w:szCs w:val="24"/>
              </w:rPr>
              <w:t>CM(</w:t>
            </w:r>
            <w:proofErr w:type="gramEnd"/>
            <w:r w:rsidRPr="00472E64">
              <w:rPr>
                <w:rFonts w:ascii="Arial Narrow" w:hAnsi="Arial Narrow" w:cs="Calibri"/>
                <w:b/>
                <w:sz w:val="24"/>
                <w:szCs w:val="24"/>
              </w:rPr>
              <w:t>2023)85</w:t>
            </w:r>
          </w:p>
        </w:tc>
        <w:tc>
          <w:tcPr>
            <w:tcW w:w="1250" w:type="pct"/>
            <w:shd w:val="clear" w:color="auto" w:fill="auto"/>
            <w:vAlign w:val="center"/>
          </w:tcPr>
          <w:p w14:paraId="376ED492" w14:textId="42DC1452" w:rsidR="002D11B8" w:rsidRPr="00AB2726" w:rsidRDefault="00472E64" w:rsidP="00E0341E">
            <w:pPr>
              <w:jc w:val="right"/>
              <w:rPr>
                <w:rFonts w:ascii="Arial Narrow" w:hAnsi="Arial Narrow" w:cs="Arial"/>
                <w:sz w:val="16"/>
                <w:szCs w:val="16"/>
              </w:rPr>
            </w:pPr>
            <w:r>
              <w:rPr>
                <w:rFonts w:ascii="Arial Narrow" w:hAnsi="Arial Narrow" w:cs="Calibri"/>
                <w:sz w:val="16"/>
                <w:szCs w:val="16"/>
              </w:rPr>
              <w:t>23 Ma</w:t>
            </w:r>
            <w:r w:rsidRPr="00472E64">
              <w:rPr>
                <w:rFonts w:ascii="Arial Narrow" w:hAnsi="Arial Narrow" w:cs="Calibri"/>
                <w:sz w:val="16"/>
                <w:szCs w:val="16"/>
              </w:rPr>
              <w:t>y</w:t>
            </w:r>
            <w:r w:rsidR="00383A20" w:rsidRPr="00472E64">
              <w:rPr>
                <w:rFonts w:ascii="Arial Narrow" w:hAnsi="Arial Narrow" w:cs="Calibri"/>
                <w:sz w:val="16"/>
                <w:szCs w:val="16"/>
              </w:rPr>
              <w:t xml:space="preserve"> </w:t>
            </w:r>
            <w:r w:rsidR="003F3A70" w:rsidRPr="00472E64">
              <w:rPr>
                <w:rFonts w:ascii="Arial Narrow" w:hAnsi="Arial Narrow" w:cs="Calibri"/>
                <w:sz w:val="16"/>
                <w:szCs w:val="16"/>
              </w:rPr>
              <w:t>202</w:t>
            </w:r>
            <w:r w:rsidR="00C54F8C" w:rsidRPr="00472E64">
              <w:rPr>
                <w:rFonts w:ascii="Arial Narrow" w:hAnsi="Arial Narrow" w:cs="Calibri"/>
                <w:sz w:val="16"/>
                <w:szCs w:val="16"/>
              </w:rPr>
              <w:t>3</w:t>
            </w:r>
            <w:r w:rsidR="00853C90" w:rsidRPr="00AB2726">
              <w:rPr>
                <w:rStyle w:val="FootnoteReference"/>
                <w:rFonts w:ascii="Arial Narrow" w:hAnsi="Arial Narrow" w:cs="Calibri"/>
                <w:sz w:val="16"/>
                <w:szCs w:val="16"/>
              </w:rPr>
              <w:footnoteReference w:id="1"/>
            </w:r>
          </w:p>
        </w:tc>
      </w:tr>
    </w:tbl>
    <w:p w14:paraId="24521F81" w14:textId="77777777" w:rsidR="00D554E6" w:rsidRPr="00AB2726"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555"/>
      </w:tblGrid>
      <w:tr w:rsidR="00E24C57" w:rsidRPr="00AB2726" w14:paraId="1DAAD053" w14:textId="77777777" w:rsidTr="00E54322">
        <w:tc>
          <w:tcPr>
            <w:tcW w:w="9399" w:type="dxa"/>
            <w:shd w:val="clear" w:color="auto" w:fill="auto"/>
            <w:tcMar>
              <w:top w:w="227" w:type="dxa"/>
              <w:bottom w:w="227" w:type="dxa"/>
            </w:tcMar>
            <w:vAlign w:val="center"/>
          </w:tcPr>
          <w:p w14:paraId="7B69E33F" w14:textId="77777777" w:rsidR="000A1889" w:rsidRPr="00AB2726" w:rsidRDefault="000A1889" w:rsidP="000A1889">
            <w:pPr>
              <w:widowControl w:val="0"/>
              <w:autoSpaceDE w:val="0"/>
              <w:autoSpaceDN w:val="0"/>
              <w:adjustRightInd w:val="0"/>
              <w:rPr>
                <w:rFonts w:ascii="Arial Narrow" w:hAnsi="Arial Narrow" w:cs="Calibri"/>
                <w:b/>
                <w:bCs/>
                <w:sz w:val="32"/>
                <w:szCs w:val="32"/>
              </w:rPr>
            </w:pPr>
            <w:r>
              <w:rPr>
                <w:rFonts w:ascii="Arial Narrow" w:hAnsi="Arial Narrow" w:cs="Calibri"/>
                <w:b/>
                <w:bCs/>
                <w:sz w:val="32"/>
                <w:szCs w:val="32"/>
              </w:rPr>
              <w:t>1469</w:t>
            </w:r>
            <w:r w:rsidRPr="00E73BD4">
              <w:rPr>
                <w:rFonts w:ascii="Arial Narrow" w:hAnsi="Arial Narrow" w:cs="Calibri"/>
                <w:b/>
                <w:bCs/>
                <w:sz w:val="32"/>
                <w:szCs w:val="32"/>
                <w:vertAlign w:val="superscript"/>
              </w:rPr>
              <w:t>th</w:t>
            </w:r>
            <w:r>
              <w:rPr>
                <w:rFonts w:ascii="Arial Narrow" w:hAnsi="Arial Narrow" w:cs="Calibri"/>
                <w:b/>
                <w:bCs/>
                <w:sz w:val="32"/>
                <w:szCs w:val="32"/>
              </w:rPr>
              <w:t> </w:t>
            </w:r>
            <w:r w:rsidRPr="00AB2726">
              <w:rPr>
                <w:rFonts w:ascii="Arial Narrow" w:hAnsi="Arial Narrow" w:cs="Calibri"/>
                <w:b/>
                <w:bCs/>
                <w:sz w:val="32"/>
                <w:szCs w:val="32"/>
              </w:rPr>
              <w:t xml:space="preserve">meeting, </w:t>
            </w:r>
            <w:r>
              <w:rPr>
                <w:rFonts w:ascii="Arial Narrow" w:hAnsi="Arial Narrow" w:cs="Calibri"/>
                <w:b/>
                <w:bCs/>
                <w:sz w:val="32"/>
                <w:szCs w:val="32"/>
              </w:rPr>
              <w:t>14 June</w:t>
            </w:r>
            <w:r w:rsidRPr="00AB2726">
              <w:rPr>
                <w:rFonts w:ascii="Arial Narrow" w:hAnsi="Arial Narrow" w:cs="Calibri"/>
                <w:b/>
                <w:bCs/>
                <w:sz w:val="32"/>
                <w:szCs w:val="32"/>
              </w:rPr>
              <w:t xml:space="preserve"> 202</w:t>
            </w:r>
            <w:r>
              <w:rPr>
                <w:rFonts w:ascii="Arial Narrow" w:hAnsi="Arial Narrow" w:cs="Calibri"/>
                <w:b/>
                <w:bCs/>
                <w:sz w:val="32"/>
                <w:szCs w:val="32"/>
              </w:rPr>
              <w:t>3</w:t>
            </w:r>
          </w:p>
          <w:p w14:paraId="283FDD4D" w14:textId="77777777" w:rsidR="000A1889" w:rsidRPr="00AB2726" w:rsidRDefault="000A1889" w:rsidP="000A1889">
            <w:pPr>
              <w:rPr>
                <w:rFonts w:ascii="Arial Narrow" w:hAnsi="Arial Narrow" w:cs="Calibri"/>
                <w:sz w:val="22"/>
              </w:rPr>
            </w:pPr>
            <w:r w:rsidRPr="00AB2726">
              <w:rPr>
                <w:rFonts w:ascii="Arial Narrow" w:hAnsi="Arial Narrow" w:cs="Calibri"/>
                <w:sz w:val="22"/>
              </w:rPr>
              <w:t>1</w:t>
            </w:r>
            <w:r>
              <w:rPr>
                <w:rFonts w:ascii="Arial Narrow" w:hAnsi="Arial Narrow" w:cs="Calibri"/>
                <w:sz w:val="22"/>
              </w:rPr>
              <w:t>0</w:t>
            </w:r>
            <w:r w:rsidRPr="00AB2726">
              <w:rPr>
                <w:rFonts w:ascii="Arial Narrow" w:hAnsi="Arial Narrow" w:cs="Calibri"/>
                <w:sz w:val="22"/>
              </w:rPr>
              <w:t xml:space="preserve"> </w:t>
            </w:r>
            <w:r>
              <w:rPr>
                <w:rFonts w:ascii="Arial Narrow" w:hAnsi="Arial Narrow" w:cs="Calibri"/>
                <w:sz w:val="22"/>
              </w:rPr>
              <w:t>Leg</w:t>
            </w:r>
            <w:r w:rsidRPr="00AB2726">
              <w:rPr>
                <w:rFonts w:ascii="Arial Narrow" w:hAnsi="Arial Narrow" w:cs="Calibri"/>
                <w:sz w:val="22"/>
              </w:rPr>
              <w:t>al questions</w:t>
            </w:r>
          </w:p>
          <w:p w14:paraId="35199EBA" w14:textId="77777777" w:rsidR="000A1889" w:rsidRPr="00AB2726" w:rsidRDefault="000A1889" w:rsidP="000A1889">
            <w:pPr>
              <w:rPr>
                <w:rFonts w:ascii="Arial Narrow" w:hAnsi="Arial Narrow" w:cs="Calibri"/>
                <w:i/>
                <w:szCs w:val="20"/>
              </w:rPr>
            </w:pPr>
            <w:r w:rsidRPr="00AB2726">
              <w:rPr>
                <w:rFonts w:ascii="Arial Narrow" w:hAnsi="Arial Narrow" w:cs="Calibri"/>
                <w:i/>
                <w:szCs w:val="20"/>
              </w:rPr>
              <w:t xml:space="preserve"> </w:t>
            </w:r>
          </w:p>
          <w:p w14:paraId="32EB118C" w14:textId="77DC4D06" w:rsidR="000A1889" w:rsidRPr="0032354A" w:rsidRDefault="000A1889" w:rsidP="000A1889">
            <w:pPr>
              <w:rPr>
                <w:rFonts w:ascii="Arial Narrow" w:hAnsi="Arial Narrow" w:cs="Calibri"/>
                <w:b/>
                <w:sz w:val="28"/>
                <w:szCs w:val="28"/>
              </w:rPr>
            </w:pPr>
            <w:r w:rsidRPr="00385587">
              <w:rPr>
                <w:rFonts w:ascii="Arial Narrow" w:hAnsi="Arial Narrow" w:cs="Calibri"/>
                <w:b/>
                <w:sz w:val="28"/>
                <w:szCs w:val="28"/>
              </w:rPr>
              <w:t>1</w:t>
            </w:r>
            <w:r>
              <w:rPr>
                <w:rFonts w:ascii="Arial Narrow" w:hAnsi="Arial Narrow" w:cs="Calibri"/>
                <w:b/>
                <w:sz w:val="28"/>
                <w:szCs w:val="28"/>
              </w:rPr>
              <w:t>0.</w:t>
            </w:r>
            <w:r w:rsidR="00472E64">
              <w:rPr>
                <w:rFonts w:ascii="Arial Narrow" w:hAnsi="Arial Narrow" w:cs="Calibri"/>
                <w:b/>
                <w:sz w:val="28"/>
                <w:szCs w:val="28"/>
              </w:rPr>
              <w:t>2</w:t>
            </w:r>
            <w:r w:rsidRPr="00385587">
              <w:rPr>
                <w:rFonts w:ascii="Arial Narrow" w:hAnsi="Arial Narrow" w:cs="Calibri"/>
                <w:b/>
                <w:sz w:val="28"/>
                <w:szCs w:val="28"/>
              </w:rPr>
              <w:t xml:space="preserve"> </w:t>
            </w:r>
            <w:r w:rsidRPr="0032354A">
              <w:rPr>
                <w:rFonts w:ascii="Arial Narrow" w:hAnsi="Arial Narrow" w:cs="Calibri"/>
                <w:b/>
                <w:sz w:val="28"/>
                <w:szCs w:val="28"/>
              </w:rPr>
              <w:t xml:space="preserve">Committee of Experts on the Evaluation of </w:t>
            </w:r>
            <w:r>
              <w:rPr>
                <w:rFonts w:ascii="Arial Narrow" w:hAnsi="Arial Narrow" w:cs="Calibri"/>
                <w:b/>
                <w:sz w:val="28"/>
                <w:szCs w:val="28"/>
              </w:rPr>
              <w:t>A</w:t>
            </w:r>
            <w:r w:rsidRPr="0032354A">
              <w:rPr>
                <w:rFonts w:ascii="Arial Narrow" w:hAnsi="Arial Narrow" w:cs="Calibri"/>
                <w:b/>
                <w:sz w:val="28"/>
                <w:szCs w:val="28"/>
              </w:rPr>
              <w:t xml:space="preserve">nti-money </w:t>
            </w:r>
            <w:r>
              <w:rPr>
                <w:rFonts w:ascii="Arial Narrow" w:hAnsi="Arial Narrow" w:cs="Calibri"/>
                <w:b/>
                <w:sz w:val="28"/>
                <w:szCs w:val="28"/>
              </w:rPr>
              <w:t>L</w:t>
            </w:r>
            <w:r w:rsidRPr="0032354A">
              <w:rPr>
                <w:rFonts w:ascii="Arial Narrow" w:hAnsi="Arial Narrow" w:cs="Calibri"/>
                <w:b/>
                <w:sz w:val="28"/>
                <w:szCs w:val="28"/>
              </w:rPr>
              <w:t xml:space="preserve">aundering </w:t>
            </w:r>
            <w:r>
              <w:rPr>
                <w:rFonts w:ascii="Arial Narrow" w:hAnsi="Arial Narrow" w:cs="Calibri"/>
                <w:b/>
                <w:sz w:val="28"/>
                <w:szCs w:val="28"/>
              </w:rPr>
              <w:t>M</w:t>
            </w:r>
            <w:r w:rsidRPr="0032354A">
              <w:rPr>
                <w:rFonts w:ascii="Arial Narrow" w:hAnsi="Arial Narrow" w:cs="Calibri"/>
                <w:b/>
                <w:sz w:val="28"/>
                <w:szCs w:val="28"/>
              </w:rPr>
              <w:t xml:space="preserve">easures and the </w:t>
            </w:r>
            <w:r>
              <w:rPr>
                <w:rFonts w:ascii="Arial Narrow" w:hAnsi="Arial Narrow" w:cs="Calibri"/>
                <w:b/>
                <w:sz w:val="28"/>
                <w:szCs w:val="28"/>
              </w:rPr>
              <w:t>F</w:t>
            </w:r>
            <w:r w:rsidRPr="0032354A">
              <w:rPr>
                <w:rFonts w:ascii="Arial Narrow" w:hAnsi="Arial Narrow" w:cs="Calibri"/>
                <w:b/>
                <w:sz w:val="28"/>
                <w:szCs w:val="28"/>
              </w:rPr>
              <w:t xml:space="preserve">inancing of </w:t>
            </w:r>
            <w:r>
              <w:rPr>
                <w:rFonts w:ascii="Arial Narrow" w:hAnsi="Arial Narrow" w:cs="Calibri"/>
                <w:b/>
                <w:sz w:val="28"/>
                <w:szCs w:val="28"/>
              </w:rPr>
              <w:t>T</w:t>
            </w:r>
            <w:r w:rsidRPr="0032354A">
              <w:rPr>
                <w:rFonts w:ascii="Arial Narrow" w:hAnsi="Arial Narrow" w:cs="Calibri"/>
                <w:b/>
                <w:sz w:val="28"/>
                <w:szCs w:val="28"/>
              </w:rPr>
              <w:t>errorism (MONEYVAL)</w:t>
            </w:r>
          </w:p>
          <w:p w14:paraId="7F0D08BD" w14:textId="77777777" w:rsidR="000A1889" w:rsidRPr="004356CC" w:rsidRDefault="000A1889" w:rsidP="000A1889">
            <w:pPr>
              <w:rPr>
                <w:rFonts w:ascii="Arial Narrow" w:hAnsi="Arial Narrow" w:cs="Calibri"/>
                <w:sz w:val="22"/>
              </w:rPr>
            </w:pPr>
            <w:r w:rsidRPr="004356CC">
              <w:rPr>
                <w:rFonts w:ascii="Arial Narrow" w:hAnsi="Arial Narrow" w:cs="Calibri"/>
                <w:sz w:val="22"/>
              </w:rPr>
              <w:t>b. Annual report for 202</w:t>
            </w:r>
            <w:r>
              <w:rPr>
                <w:rFonts w:ascii="Arial Narrow" w:hAnsi="Arial Narrow" w:cs="Calibri"/>
                <w:sz w:val="22"/>
              </w:rPr>
              <w:t>2</w:t>
            </w:r>
          </w:p>
          <w:p w14:paraId="3215358B" w14:textId="77777777" w:rsidR="000A1889" w:rsidRPr="00AB2726" w:rsidRDefault="000A1889" w:rsidP="000A1889">
            <w:pPr>
              <w:rPr>
                <w:rFonts w:ascii="Arial Narrow" w:hAnsi="Arial Narrow" w:cs="Calibri"/>
                <w:sz w:val="22"/>
              </w:rPr>
            </w:pPr>
          </w:p>
          <w:p w14:paraId="787AE4DC" w14:textId="72B3EB23" w:rsidR="00E457C3" w:rsidRPr="00AB2726" w:rsidRDefault="000A1889" w:rsidP="000A1889">
            <w:pPr>
              <w:rPr>
                <w:rFonts w:ascii="Arial Narrow" w:hAnsi="Arial Narrow" w:cs="Calibri"/>
                <w:b/>
                <w:szCs w:val="20"/>
              </w:rPr>
            </w:pPr>
            <w:r w:rsidRPr="00AB2726">
              <w:rPr>
                <w:rFonts w:ascii="Arial Narrow" w:hAnsi="Arial Narrow" w:cs="Calibri"/>
                <w:b/>
                <w:szCs w:val="20"/>
              </w:rPr>
              <w:t xml:space="preserve">Item to be considered by the GR-J at its meeting on </w:t>
            </w:r>
            <w:r>
              <w:rPr>
                <w:rFonts w:ascii="Arial Narrow" w:hAnsi="Arial Narrow" w:cs="Calibri"/>
                <w:b/>
                <w:szCs w:val="20"/>
              </w:rPr>
              <w:t>13 June 2023</w:t>
            </w:r>
          </w:p>
        </w:tc>
      </w:tr>
    </w:tbl>
    <w:p w14:paraId="3D06B221" w14:textId="77777777" w:rsidR="00D41C91" w:rsidRPr="00AB2726" w:rsidRDefault="00D41C91" w:rsidP="0037200F">
      <w:pPr>
        <w:rPr>
          <w:rFonts w:eastAsia="Times New Roman"/>
          <w:szCs w:val="24"/>
        </w:rPr>
      </w:pPr>
      <w:r w:rsidRPr="00AB2726">
        <w:rPr>
          <w:rFonts w:eastAsia="Times New Roman"/>
          <w:szCs w:val="24"/>
        </w:rPr>
        <w:t xml:space="preserve"> </w:t>
      </w:r>
    </w:p>
    <w:p w14:paraId="44EC7BBF" w14:textId="274329FE" w:rsidR="00E54322" w:rsidRPr="00277C14" w:rsidRDefault="00E54322" w:rsidP="00277C14">
      <w:pPr>
        <w:rPr>
          <w:rFonts w:eastAsia="Times New Roman" w:cs="Arial"/>
          <w:szCs w:val="20"/>
        </w:rPr>
      </w:pPr>
      <w:r w:rsidRPr="00AB2726">
        <w:rPr>
          <w:rFonts w:eastAsia="Times New Roman"/>
          <w:szCs w:val="24"/>
        </w:rPr>
        <w:t xml:space="preserve"> </w:t>
      </w:r>
    </w:p>
    <w:p w14:paraId="6F027438" w14:textId="77777777" w:rsidR="00277C14" w:rsidRPr="000C5B9D" w:rsidRDefault="00277C14">
      <w:pPr>
        <w:rPr>
          <w:rFonts w:eastAsia="Times New Roman" w:cs="Arial"/>
          <w:b/>
          <w:bCs/>
          <w:caps/>
          <w:szCs w:val="20"/>
          <w:lang w:val="en-US" w:eastAsia="fr-FR"/>
        </w:rPr>
      </w:pPr>
      <w:r>
        <w:rPr>
          <w:rFonts w:cs="Arial"/>
          <w:szCs w:val="20"/>
        </w:rPr>
        <w:br w:type="page"/>
      </w:r>
    </w:p>
    <w:sdt>
      <w:sdtPr>
        <w:rPr>
          <w:rFonts w:ascii="Arial" w:eastAsia="Calibri" w:hAnsi="Arial" w:cs="Arial"/>
          <w:b w:val="0"/>
          <w:bCs w:val="0"/>
          <w:color w:val="auto"/>
          <w:sz w:val="20"/>
          <w:szCs w:val="20"/>
          <w:lang w:val="en-GB" w:eastAsia="en-US"/>
        </w:rPr>
        <w:id w:val="412593562"/>
        <w:docPartObj>
          <w:docPartGallery w:val="Table of Contents"/>
          <w:docPartUnique/>
        </w:docPartObj>
      </w:sdtPr>
      <w:sdtEndPr>
        <w:rPr>
          <w:noProof/>
        </w:rPr>
      </w:sdtEndPr>
      <w:sdtContent>
        <w:p w14:paraId="3A29DB7F" w14:textId="2465DE2B" w:rsidR="005037AC" w:rsidRPr="00E368E0" w:rsidRDefault="005037AC" w:rsidP="000A1889">
          <w:pPr>
            <w:pStyle w:val="TOCHeading"/>
            <w:tabs>
              <w:tab w:val="left" w:pos="709"/>
              <w:tab w:val="right" w:leader="dot" w:pos="9639"/>
            </w:tabs>
            <w:spacing w:before="0" w:line="240" w:lineRule="auto"/>
            <w:rPr>
              <w:rFonts w:ascii="Arial" w:hAnsi="Arial" w:cs="Arial"/>
              <w:sz w:val="20"/>
              <w:szCs w:val="20"/>
            </w:rPr>
          </w:pPr>
          <w:r w:rsidRPr="00E368E0">
            <w:rPr>
              <w:rFonts w:ascii="Arial" w:hAnsi="Arial" w:cs="Arial"/>
              <w:sz w:val="20"/>
              <w:szCs w:val="20"/>
            </w:rPr>
            <w:t>Contents</w:t>
          </w:r>
        </w:p>
        <w:p w14:paraId="7308DCC7" w14:textId="77777777" w:rsidR="00E73BD4" w:rsidRPr="00E368E0" w:rsidRDefault="00E73BD4" w:rsidP="000A1889">
          <w:pPr>
            <w:tabs>
              <w:tab w:val="left" w:pos="709"/>
              <w:tab w:val="right" w:leader="dot" w:pos="9639"/>
            </w:tabs>
            <w:rPr>
              <w:rFonts w:cs="Arial"/>
              <w:szCs w:val="20"/>
              <w:lang w:val="en-US" w:eastAsia="ja-JP"/>
            </w:rPr>
          </w:pPr>
        </w:p>
        <w:p w14:paraId="58DA938A" w14:textId="6F5EDF96" w:rsidR="006E54F2" w:rsidRPr="00E368E0" w:rsidRDefault="005037AC" w:rsidP="00836B02">
          <w:pPr>
            <w:pStyle w:val="TOC2"/>
            <w:tabs>
              <w:tab w:val="clear" w:pos="400"/>
              <w:tab w:val="clear" w:pos="9628"/>
              <w:tab w:val="left" w:pos="709"/>
              <w:tab w:val="right" w:leader="dot" w:pos="9639"/>
            </w:tabs>
            <w:spacing w:before="120"/>
            <w:rPr>
              <w:rFonts w:ascii="Arial" w:eastAsiaTheme="minorEastAsia" w:hAnsi="Arial" w:cs="Arial"/>
            </w:rPr>
          </w:pPr>
          <w:r w:rsidRPr="00E368E0">
            <w:rPr>
              <w:rFonts w:ascii="Arial" w:hAnsi="Arial" w:cs="Arial"/>
              <w:caps/>
              <w:noProof w:val="0"/>
            </w:rPr>
            <w:fldChar w:fldCharType="begin"/>
          </w:r>
          <w:r w:rsidRPr="00E368E0">
            <w:rPr>
              <w:rFonts w:ascii="Arial" w:hAnsi="Arial" w:cs="Arial"/>
            </w:rPr>
            <w:instrText xml:space="preserve"> TOC \o "1-3" \h \z \u </w:instrText>
          </w:r>
          <w:r w:rsidRPr="00E368E0">
            <w:rPr>
              <w:rFonts w:ascii="Arial" w:hAnsi="Arial" w:cs="Arial"/>
              <w:caps/>
              <w:noProof w:val="0"/>
            </w:rPr>
            <w:fldChar w:fldCharType="separate"/>
          </w:r>
          <w:hyperlink w:anchor="_Toc135409874" w:history="1">
            <w:r w:rsidR="006E54F2" w:rsidRPr="00E368E0">
              <w:rPr>
                <w:rStyle w:val="Hyperlink"/>
                <w:rFonts w:ascii="Arial" w:hAnsi="Arial" w:cs="Arial"/>
              </w:rPr>
              <w:t>FREQUENTLY USED ABBREVIATIONS, ACCRONYMS AND EXPLANATIONS</w:t>
            </w:r>
            <w:r w:rsidR="006E54F2" w:rsidRPr="00E368E0">
              <w:rPr>
                <w:rFonts w:ascii="Arial" w:hAnsi="Arial" w:cs="Arial"/>
                <w:webHidden/>
              </w:rPr>
              <w:tab/>
            </w:r>
            <w:r w:rsidR="006E54F2" w:rsidRPr="00E368E0">
              <w:rPr>
                <w:rFonts w:ascii="Arial" w:hAnsi="Arial" w:cs="Arial"/>
                <w:webHidden/>
              </w:rPr>
              <w:fldChar w:fldCharType="begin"/>
            </w:r>
            <w:r w:rsidR="006E54F2" w:rsidRPr="00E368E0">
              <w:rPr>
                <w:rFonts w:ascii="Arial" w:hAnsi="Arial" w:cs="Arial"/>
                <w:webHidden/>
              </w:rPr>
              <w:instrText xml:space="preserve"> PAGEREF _Toc135409874 \h </w:instrText>
            </w:r>
            <w:r w:rsidR="006E54F2" w:rsidRPr="00E368E0">
              <w:rPr>
                <w:rFonts w:ascii="Arial" w:hAnsi="Arial" w:cs="Arial"/>
                <w:webHidden/>
              </w:rPr>
            </w:r>
            <w:r w:rsidR="006E54F2" w:rsidRPr="00E368E0">
              <w:rPr>
                <w:rFonts w:ascii="Arial" w:hAnsi="Arial" w:cs="Arial"/>
                <w:webHidden/>
              </w:rPr>
              <w:fldChar w:fldCharType="separate"/>
            </w:r>
            <w:r w:rsidR="007D5162">
              <w:rPr>
                <w:rFonts w:ascii="Arial" w:hAnsi="Arial" w:cs="Arial"/>
                <w:webHidden/>
              </w:rPr>
              <w:t>3</w:t>
            </w:r>
            <w:r w:rsidR="006E54F2" w:rsidRPr="00E368E0">
              <w:rPr>
                <w:rFonts w:ascii="Arial" w:hAnsi="Arial" w:cs="Arial"/>
                <w:webHidden/>
              </w:rPr>
              <w:fldChar w:fldCharType="end"/>
            </w:r>
          </w:hyperlink>
        </w:p>
        <w:p w14:paraId="545B0D77" w14:textId="79A12E9A" w:rsidR="006E54F2" w:rsidRPr="00E368E0" w:rsidRDefault="00000000" w:rsidP="000A1889">
          <w:pPr>
            <w:pStyle w:val="TOC2"/>
            <w:tabs>
              <w:tab w:val="clear" w:pos="400"/>
              <w:tab w:val="clear" w:pos="9628"/>
              <w:tab w:val="left" w:pos="709"/>
              <w:tab w:val="right" w:leader="dot" w:pos="9639"/>
            </w:tabs>
            <w:spacing w:before="120"/>
            <w:rPr>
              <w:rFonts w:ascii="Arial" w:eastAsiaTheme="minorEastAsia" w:hAnsi="Arial" w:cs="Arial"/>
            </w:rPr>
          </w:pPr>
          <w:hyperlink w:anchor="_Toc135409875" w:history="1">
            <w:r w:rsidR="006E54F2" w:rsidRPr="00E368E0">
              <w:rPr>
                <w:rStyle w:val="Hyperlink"/>
                <w:rFonts w:ascii="Arial" w:hAnsi="Arial" w:cs="Arial"/>
              </w:rPr>
              <w:t>INTRODUCTION FROM THE CHAIR</w:t>
            </w:r>
            <w:r w:rsidR="006E54F2" w:rsidRPr="00E368E0">
              <w:rPr>
                <w:rFonts w:ascii="Arial" w:hAnsi="Arial" w:cs="Arial"/>
                <w:webHidden/>
              </w:rPr>
              <w:tab/>
            </w:r>
            <w:r w:rsidR="006E54F2" w:rsidRPr="00E368E0">
              <w:rPr>
                <w:rFonts w:ascii="Arial" w:hAnsi="Arial" w:cs="Arial"/>
                <w:webHidden/>
              </w:rPr>
              <w:fldChar w:fldCharType="begin"/>
            </w:r>
            <w:r w:rsidR="006E54F2" w:rsidRPr="00E368E0">
              <w:rPr>
                <w:rFonts w:ascii="Arial" w:hAnsi="Arial" w:cs="Arial"/>
                <w:webHidden/>
              </w:rPr>
              <w:instrText xml:space="preserve"> PAGEREF _Toc135409875 \h </w:instrText>
            </w:r>
            <w:r w:rsidR="006E54F2" w:rsidRPr="00E368E0">
              <w:rPr>
                <w:rFonts w:ascii="Arial" w:hAnsi="Arial" w:cs="Arial"/>
                <w:webHidden/>
              </w:rPr>
            </w:r>
            <w:r w:rsidR="006E54F2" w:rsidRPr="00E368E0">
              <w:rPr>
                <w:rFonts w:ascii="Arial" w:hAnsi="Arial" w:cs="Arial"/>
                <w:webHidden/>
              </w:rPr>
              <w:fldChar w:fldCharType="separate"/>
            </w:r>
            <w:r w:rsidR="007D5162">
              <w:rPr>
                <w:rFonts w:ascii="Arial" w:hAnsi="Arial" w:cs="Arial"/>
                <w:webHidden/>
              </w:rPr>
              <w:t>4</w:t>
            </w:r>
            <w:r w:rsidR="006E54F2" w:rsidRPr="00E368E0">
              <w:rPr>
                <w:rFonts w:ascii="Arial" w:hAnsi="Arial" w:cs="Arial"/>
                <w:webHidden/>
              </w:rPr>
              <w:fldChar w:fldCharType="end"/>
            </w:r>
          </w:hyperlink>
        </w:p>
        <w:p w14:paraId="4420837E" w14:textId="22A045DE" w:rsidR="006E54F2" w:rsidRPr="00E368E0" w:rsidRDefault="00000000" w:rsidP="000A1889">
          <w:pPr>
            <w:pStyle w:val="TOC2"/>
            <w:tabs>
              <w:tab w:val="clear" w:pos="400"/>
              <w:tab w:val="clear" w:pos="9628"/>
              <w:tab w:val="left" w:pos="709"/>
              <w:tab w:val="right" w:leader="dot" w:pos="9639"/>
            </w:tabs>
            <w:spacing w:before="120"/>
            <w:rPr>
              <w:rFonts w:ascii="Arial" w:eastAsiaTheme="minorEastAsia" w:hAnsi="Arial" w:cs="Arial"/>
            </w:rPr>
          </w:pPr>
          <w:hyperlink w:anchor="_Toc135409876" w:history="1">
            <w:r w:rsidR="006E54F2" w:rsidRPr="00E368E0">
              <w:rPr>
                <w:rStyle w:val="Hyperlink"/>
                <w:rFonts w:ascii="Arial" w:hAnsi="Arial" w:cs="Arial"/>
              </w:rPr>
              <w:t>EXECUTIVE SUMMARY</w:t>
            </w:r>
            <w:r w:rsidR="006E54F2" w:rsidRPr="00E368E0">
              <w:rPr>
                <w:rFonts w:ascii="Arial" w:hAnsi="Arial" w:cs="Arial"/>
                <w:webHidden/>
              </w:rPr>
              <w:tab/>
            </w:r>
            <w:r w:rsidR="006E54F2" w:rsidRPr="00E368E0">
              <w:rPr>
                <w:rFonts w:ascii="Arial" w:hAnsi="Arial" w:cs="Arial"/>
                <w:webHidden/>
              </w:rPr>
              <w:fldChar w:fldCharType="begin"/>
            </w:r>
            <w:r w:rsidR="006E54F2" w:rsidRPr="00E368E0">
              <w:rPr>
                <w:rFonts w:ascii="Arial" w:hAnsi="Arial" w:cs="Arial"/>
                <w:webHidden/>
              </w:rPr>
              <w:instrText xml:space="preserve"> PAGEREF _Toc135409876 \h </w:instrText>
            </w:r>
            <w:r w:rsidR="006E54F2" w:rsidRPr="00E368E0">
              <w:rPr>
                <w:rFonts w:ascii="Arial" w:hAnsi="Arial" w:cs="Arial"/>
                <w:webHidden/>
              </w:rPr>
            </w:r>
            <w:r w:rsidR="006E54F2" w:rsidRPr="00E368E0">
              <w:rPr>
                <w:rFonts w:ascii="Arial" w:hAnsi="Arial" w:cs="Arial"/>
                <w:webHidden/>
              </w:rPr>
              <w:fldChar w:fldCharType="separate"/>
            </w:r>
            <w:r w:rsidR="007D5162">
              <w:rPr>
                <w:rFonts w:ascii="Arial" w:hAnsi="Arial" w:cs="Arial"/>
                <w:webHidden/>
              </w:rPr>
              <w:t>6</w:t>
            </w:r>
            <w:r w:rsidR="006E54F2" w:rsidRPr="00E368E0">
              <w:rPr>
                <w:rFonts w:ascii="Arial" w:hAnsi="Arial" w:cs="Arial"/>
                <w:webHidden/>
              </w:rPr>
              <w:fldChar w:fldCharType="end"/>
            </w:r>
          </w:hyperlink>
        </w:p>
        <w:p w14:paraId="2E615CE1" w14:textId="4D24EDBC" w:rsidR="006E54F2" w:rsidRPr="00E368E0" w:rsidRDefault="00000000" w:rsidP="000A1889">
          <w:pPr>
            <w:pStyle w:val="TOC1"/>
            <w:rPr>
              <w:rFonts w:ascii="Arial" w:eastAsiaTheme="minorEastAsia" w:hAnsi="Arial" w:cs="Arial"/>
              <w:noProof/>
              <w:sz w:val="20"/>
              <w:szCs w:val="20"/>
            </w:rPr>
          </w:pPr>
          <w:hyperlink w:anchor="_Toc135409877" w:history="1">
            <w:r w:rsidR="006E54F2" w:rsidRPr="00E368E0">
              <w:rPr>
                <w:rStyle w:val="Hyperlink"/>
                <w:rFonts w:ascii="Arial" w:eastAsiaTheme="minorHAnsi" w:hAnsi="Arial" w:cs="Arial"/>
                <w:noProof/>
                <w:kern w:val="28"/>
                <w:sz w:val="20"/>
                <w:szCs w:val="20"/>
              </w:rPr>
              <w:t>1.</w:t>
            </w:r>
            <w:r w:rsidR="006E54F2" w:rsidRPr="00E368E0">
              <w:rPr>
                <w:rFonts w:ascii="Arial" w:eastAsiaTheme="minorEastAsia" w:hAnsi="Arial" w:cs="Arial"/>
                <w:noProof/>
                <w:sz w:val="20"/>
                <w:szCs w:val="20"/>
              </w:rPr>
              <w:tab/>
            </w:r>
            <w:r w:rsidR="006E54F2" w:rsidRPr="00E368E0">
              <w:rPr>
                <w:rStyle w:val="Hyperlink"/>
                <w:rFonts w:ascii="Arial" w:eastAsiaTheme="minorHAnsi" w:hAnsi="Arial" w:cs="Arial"/>
                <w:noProof/>
                <w:kern w:val="28"/>
                <w:sz w:val="20"/>
                <w:szCs w:val="20"/>
              </w:rPr>
              <w:t>STRATEGIC OUTLOOK</w:t>
            </w:r>
            <w:r w:rsidR="006E54F2" w:rsidRPr="00E368E0">
              <w:rPr>
                <w:rFonts w:ascii="Arial" w:hAnsi="Arial" w:cs="Arial"/>
                <w:noProof/>
                <w:webHidden/>
                <w:sz w:val="20"/>
                <w:szCs w:val="20"/>
              </w:rPr>
              <w:tab/>
            </w:r>
            <w:r w:rsidR="006E54F2" w:rsidRPr="00E368E0">
              <w:rPr>
                <w:rFonts w:ascii="Arial" w:hAnsi="Arial" w:cs="Arial"/>
                <w:noProof/>
                <w:webHidden/>
                <w:sz w:val="20"/>
                <w:szCs w:val="20"/>
              </w:rPr>
              <w:fldChar w:fldCharType="begin"/>
            </w:r>
            <w:r w:rsidR="006E54F2" w:rsidRPr="00E368E0">
              <w:rPr>
                <w:rFonts w:ascii="Arial" w:hAnsi="Arial" w:cs="Arial"/>
                <w:noProof/>
                <w:webHidden/>
                <w:sz w:val="20"/>
                <w:szCs w:val="20"/>
              </w:rPr>
              <w:instrText xml:space="preserve"> PAGEREF _Toc135409877 \h </w:instrText>
            </w:r>
            <w:r w:rsidR="006E54F2" w:rsidRPr="00E368E0">
              <w:rPr>
                <w:rFonts w:ascii="Arial" w:hAnsi="Arial" w:cs="Arial"/>
                <w:noProof/>
                <w:webHidden/>
                <w:sz w:val="20"/>
                <w:szCs w:val="20"/>
              </w:rPr>
            </w:r>
            <w:r w:rsidR="006E54F2" w:rsidRPr="00E368E0">
              <w:rPr>
                <w:rFonts w:ascii="Arial" w:hAnsi="Arial" w:cs="Arial"/>
                <w:noProof/>
                <w:webHidden/>
                <w:sz w:val="20"/>
                <w:szCs w:val="20"/>
              </w:rPr>
              <w:fldChar w:fldCharType="separate"/>
            </w:r>
            <w:r w:rsidR="007D5162">
              <w:rPr>
                <w:rFonts w:ascii="Arial" w:hAnsi="Arial" w:cs="Arial"/>
                <w:noProof/>
                <w:webHidden/>
                <w:sz w:val="20"/>
                <w:szCs w:val="20"/>
              </w:rPr>
              <w:t>7</w:t>
            </w:r>
            <w:r w:rsidR="006E54F2" w:rsidRPr="00E368E0">
              <w:rPr>
                <w:rFonts w:ascii="Arial" w:hAnsi="Arial" w:cs="Arial"/>
                <w:noProof/>
                <w:webHidden/>
                <w:sz w:val="20"/>
                <w:szCs w:val="20"/>
              </w:rPr>
              <w:fldChar w:fldCharType="end"/>
            </w:r>
          </w:hyperlink>
        </w:p>
        <w:p w14:paraId="6834F0FD" w14:textId="37501956" w:rsidR="006E54F2" w:rsidRPr="00E368E0" w:rsidRDefault="00000000" w:rsidP="000A1889">
          <w:pPr>
            <w:pStyle w:val="TOC2"/>
            <w:tabs>
              <w:tab w:val="clear" w:pos="400"/>
              <w:tab w:val="clear" w:pos="9628"/>
              <w:tab w:val="left" w:pos="709"/>
              <w:tab w:val="right" w:leader="dot" w:pos="9639"/>
            </w:tabs>
            <w:rPr>
              <w:rFonts w:ascii="Arial" w:eastAsiaTheme="minorEastAsia" w:hAnsi="Arial" w:cs="Arial"/>
            </w:rPr>
          </w:pPr>
          <w:hyperlink w:anchor="_Toc135409878" w:history="1">
            <w:r w:rsidR="006E54F2" w:rsidRPr="00E368E0">
              <w:rPr>
                <w:rStyle w:val="Hyperlink"/>
                <w:rFonts w:ascii="Arial" w:eastAsiaTheme="minorHAnsi" w:hAnsi="Arial" w:cs="Arial"/>
              </w:rPr>
              <w:t>1.1.</w:t>
            </w:r>
            <w:r w:rsidR="006E54F2" w:rsidRPr="00E368E0">
              <w:rPr>
                <w:rFonts w:ascii="Arial" w:eastAsiaTheme="minorEastAsia" w:hAnsi="Arial" w:cs="Arial"/>
              </w:rPr>
              <w:tab/>
            </w:r>
            <w:r w:rsidR="006E54F2" w:rsidRPr="00E368E0">
              <w:rPr>
                <w:rStyle w:val="Hyperlink"/>
                <w:rFonts w:ascii="Arial" w:eastAsiaTheme="minorHAnsi" w:hAnsi="Arial" w:cs="Arial"/>
              </w:rPr>
              <w:t>Compliance trends</w:t>
            </w:r>
            <w:r w:rsidR="006E54F2" w:rsidRPr="00E368E0">
              <w:rPr>
                <w:rFonts w:ascii="Arial" w:hAnsi="Arial" w:cs="Arial"/>
                <w:webHidden/>
              </w:rPr>
              <w:tab/>
            </w:r>
            <w:r w:rsidR="006E54F2" w:rsidRPr="00E368E0">
              <w:rPr>
                <w:rFonts w:ascii="Arial" w:hAnsi="Arial" w:cs="Arial"/>
                <w:webHidden/>
              </w:rPr>
              <w:fldChar w:fldCharType="begin"/>
            </w:r>
            <w:r w:rsidR="006E54F2" w:rsidRPr="00E368E0">
              <w:rPr>
                <w:rFonts w:ascii="Arial" w:hAnsi="Arial" w:cs="Arial"/>
                <w:webHidden/>
              </w:rPr>
              <w:instrText xml:space="preserve"> PAGEREF _Toc135409878 \h </w:instrText>
            </w:r>
            <w:r w:rsidR="006E54F2" w:rsidRPr="00E368E0">
              <w:rPr>
                <w:rFonts w:ascii="Arial" w:hAnsi="Arial" w:cs="Arial"/>
                <w:webHidden/>
              </w:rPr>
            </w:r>
            <w:r w:rsidR="006E54F2" w:rsidRPr="00E368E0">
              <w:rPr>
                <w:rFonts w:ascii="Arial" w:hAnsi="Arial" w:cs="Arial"/>
                <w:webHidden/>
              </w:rPr>
              <w:fldChar w:fldCharType="separate"/>
            </w:r>
            <w:r w:rsidR="007D5162">
              <w:rPr>
                <w:rFonts w:ascii="Arial" w:hAnsi="Arial" w:cs="Arial"/>
                <w:webHidden/>
              </w:rPr>
              <w:t>8</w:t>
            </w:r>
            <w:r w:rsidR="006E54F2" w:rsidRPr="00E368E0">
              <w:rPr>
                <w:rFonts w:ascii="Arial" w:hAnsi="Arial" w:cs="Arial"/>
                <w:webHidden/>
              </w:rPr>
              <w:fldChar w:fldCharType="end"/>
            </w:r>
          </w:hyperlink>
        </w:p>
        <w:p w14:paraId="520DFE2A" w14:textId="7C68C5F4" w:rsidR="006E54F2" w:rsidRPr="00E368E0" w:rsidRDefault="00000000" w:rsidP="000A1889">
          <w:pPr>
            <w:pStyle w:val="TOC2"/>
            <w:tabs>
              <w:tab w:val="clear" w:pos="400"/>
              <w:tab w:val="clear" w:pos="9628"/>
              <w:tab w:val="left" w:pos="709"/>
              <w:tab w:val="right" w:leader="dot" w:pos="9639"/>
            </w:tabs>
            <w:rPr>
              <w:rFonts w:ascii="Arial" w:eastAsiaTheme="minorEastAsia" w:hAnsi="Arial" w:cs="Arial"/>
            </w:rPr>
          </w:pPr>
          <w:hyperlink w:anchor="_Toc135409879" w:history="1">
            <w:r w:rsidR="006E54F2" w:rsidRPr="00E368E0">
              <w:rPr>
                <w:rStyle w:val="Hyperlink"/>
                <w:rFonts w:ascii="Arial" w:eastAsiaTheme="minorHAnsi" w:hAnsi="Arial" w:cs="Arial"/>
                <w:kern w:val="28"/>
                <w:lang w:val="en-US"/>
              </w:rPr>
              <w:t>1.2</w:t>
            </w:r>
            <w:r w:rsidR="00836B02" w:rsidRPr="00E368E0">
              <w:rPr>
                <w:rStyle w:val="Hyperlink"/>
                <w:rFonts w:ascii="Arial" w:eastAsiaTheme="minorHAnsi" w:hAnsi="Arial" w:cs="Arial"/>
                <w:kern w:val="28"/>
                <w:lang w:val="en-US"/>
              </w:rPr>
              <w:tab/>
            </w:r>
            <w:r w:rsidR="006E54F2" w:rsidRPr="00E368E0">
              <w:rPr>
                <w:rStyle w:val="Hyperlink"/>
                <w:rFonts w:ascii="Arial" w:eastAsiaTheme="minorHAnsi" w:hAnsi="Arial" w:cs="Arial"/>
                <w:kern w:val="28"/>
                <w:lang w:val="en-US"/>
              </w:rPr>
              <w:t>Key results of the 2020-2022 Strategy</w:t>
            </w:r>
            <w:r w:rsidR="006E54F2" w:rsidRPr="00E368E0">
              <w:rPr>
                <w:rFonts w:ascii="Arial" w:hAnsi="Arial" w:cs="Arial"/>
                <w:webHidden/>
              </w:rPr>
              <w:tab/>
            </w:r>
            <w:r w:rsidR="006E54F2" w:rsidRPr="00E368E0">
              <w:rPr>
                <w:rFonts w:ascii="Arial" w:hAnsi="Arial" w:cs="Arial"/>
                <w:webHidden/>
              </w:rPr>
              <w:fldChar w:fldCharType="begin"/>
            </w:r>
            <w:r w:rsidR="006E54F2" w:rsidRPr="00E368E0">
              <w:rPr>
                <w:rFonts w:ascii="Arial" w:hAnsi="Arial" w:cs="Arial"/>
                <w:webHidden/>
              </w:rPr>
              <w:instrText xml:space="preserve"> PAGEREF _Toc135409879 \h </w:instrText>
            </w:r>
            <w:r w:rsidR="006E54F2" w:rsidRPr="00E368E0">
              <w:rPr>
                <w:rFonts w:ascii="Arial" w:hAnsi="Arial" w:cs="Arial"/>
                <w:webHidden/>
              </w:rPr>
            </w:r>
            <w:r w:rsidR="006E54F2" w:rsidRPr="00E368E0">
              <w:rPr>
                <w:rFonts w:ascii="Arial" w:hAnsi="Arial" w:cs="Arial"/>
                <w:webHidden/>
              </w:rPr>
              <w:fldChar w:fldCharType="separate"/>
            </w:r>
            <w:r w:rsidR="007D5162">
              <w:rPr>
                <w:rFonts w:ascii="Arial" w:hAnsi="Arial" w:cs="Arial"/>
                <w:webHidden/>
              </w:rPr>
              <w:t>10</w:t>
            </w:r>
            <w:r w:rsidR="006E54F2" w:rsidRPr="00E368E0">
              <w:rPr>
                <w:rFonts w:ascii="Arial" w:hAnsi="Arial" w:cs="Arial"/>
                <w:webHidden/>
              </w:rPr>
              <w:fldChar w:fldCharType="end"/>
            </w:r>
          </w:hyperlink>
        </w:p>
        <w:p w14:paraId="7DDC6C71" w14:textId="596D76C9" w:rsidR="006E54F2" w:rsidRPr="00E368E0" w:rsidRDefault="00000000" w:rsidP="000A1889">
          <w:pPr>
            <w:pStyle w:val="TOC1"/>
            <w:rPr>
              <w:rFonts w:ascii="Arial" w:eastAsiaTheme="minorEastAsia" w:hAnsi="Arial" w:cs="Arial"/>
              <w:noProof/>
              <w:sz w:val="20"/>
              <w:szCs w:val="20"/>
            </w:rPr>
          </w:pPr>
          <w:hyperlink w:anchor="_Toc135409880" w:history="1">
            <w:r w:rsidR="006E54F2" w:rsidRPr="00E368E0">
              <w:rPr>
                <w:rStyle w:val="Hyperlink"/>
                <w:rFonts w:ascii="Arial" w:eastAsiaTheme="minorHAnsi" w:hAnsi="Arial" w:cs="Arial"/>
                <w:noProof/>
                <w:kern w:val="28"/>
                <w:sz w:val="20"/>
                <w:szCs w:val="20"/>
              </w:rPr>
              <w:t>2.</w:t>
            </w:r>
            <w:r w:rsidR="006E54F2" w:rsidRPr="00E368E0">
              <w:rPr>
                <w:rFonts w:ascii="Arial" w:eastAsiaTheme="minorEastAsia" w:hAnsi="Arial" w:cs="Arial"/>
                <w:noProof/>
                <w:sz w:val="20"/>
                <w:szCs w:val="20"/>
              </w:rPr>
              <w:tab/>
            </w:r>
            <w:r w:rsidR="006E54F2" w:rsidRPr="00E368E0">
              <w:rPr>
                <w:rStyle w:val="Hyperlink"/>
                <w:rFonts w:ascii="Arial" w:eastAsiaTheme="minorHAnsi" w:hAnsi="Arial" w:cs="Arial"/>
                <w:noProof/>
                <w:kern w:val="28"/>
                <w:sz w:val="20"/>
                <w:szCs w:val="20"/>
              </w:rPr>
              <w:t>MUTUAL EVALUATIONS AND FOLLOW-UP</w:t>
            </w:r>
            <w:r w:rsidR="006E54F2" w:rsidRPr="00E368E0">
              <w:rPr>
                <w:rFonts w:ascii="Arial" w:hAnsi="Arial" w:cs="Arial"/>
                <w:noProof/>
                <w:webHidden/>
                <w:sz w:val="20"/>
                <w:szCs w:val="20"/>
              </w:rPr>
              <w:tab/>
            </w:r>
            <w:r w:rsidR="006E54F2" w:rsidRPr="00E368E0">
              <w:rPr>
                <w:rFonts w:ascii="Arial" w:hAnsi="Arial" w:cs="Arial"/>
                <w:noProof/>
                <w:webHidden/>
                <w:sz w:val="20"/>
                <w:szCs w:val="20"/>
              </w:rPr>
              <w:fldChar w:fldCharType="begin"/>
            </w:r>
            <w:r w:rsidR="006E54F2" w:rsidRPr="00E368E0">
              <w:rPr>
                <w:rFonts w:ascii="Arial" w:hAnsi="Arial" w:cs="Arial"/>
                <w:noProof/>
                <w:webHidden/>
                <w:sz w:val="20"/>
                <w:szCs w:val="20"/>
              </w:rPr>
              <w:instrText xml:space="preserve"> PAGEREF _Toc135409880 \h </w:instrText>
            </w:r>
            <w:r w:rsidR="006E54F2" w:rsidRPr="00E368E0">
              <w:rPr>
                <w:rFonts w:ascii="Arial" w:hAnsi="Arial" w:cs="Arial"/>
                <w:noProof/>
                <w:webHidden/>
                <w:sz w:val="20"/>
                <w:szCs w:val="20"/>
              </w:rPr>
            </w:r>
            <w:r w:rsidR="006E54F2" w:rsidRPr="00E368E0">
              <w:rPr>
                <w:rFonts w:ascii="Arial" w:hAnsi="Arial" w:cs="Arial"/>
                <w:noProof/>
                <w:webHidden/>
                <w:sz w:val="20"/>
                <w:szCs w:val="20"/>
              </w:rPr>
              <w:fldChar w:fldCharType="separate"/>
            </w:r>
            <w:r w:rsidR="007D5162">
              <w:rPr>
                <w:rFonts w:ascii="Arial" w:hAnsi="Arial" w:cs="Arial"/>
                <w:noProof/>
                <w:webHidden/>
                <w:sz w:val="20"/>
                <w:szCs w:val="20"/>
              </w:rPr>
              <w:t>12</w:t>
            </w:r>
            <w:r w:rsidR="006E54F2" w:rsidRPr="00E368E0">
              <w:rPr>
                <w:rFonts w:ascii="Arial" w:hAnsi="Arial" w:cs="Arial"/>
                <w:noProof/>
                <w:webHidden/>
                <w:sz w:val="20"/>
                <w:szCs w:val="20"/>
              </w:rPr>
              <w:fldChar w:fldCharType="end"/>
            </w:r>
          </w:hyperlink>
        </w:p>
        <w:p w14:paraId="0C392D6E" w14:textId="6C58DFB4" w:rsidR="006E54F2" w:rsidRPr="00E368E0" w:rsidRDefault="00000000" w:rsidP="000A1889">
          <w:pPr>
            <w:pStyle w:val="TOC2"/>
            <w:tabs>
              <w:tab w:val="clear" w:pos="400"/>
              <w:tab w:val="clear" w:pos="9628"/>
              <w:tab w:val="left" w:pos="709"/>
              <w:tab w:val="right" w:leader="dot" w:pos="9639"/>
            </w:tabs>
            <w:rPr>
              <w:rFonts w:ascii="Arial" w:eastAsiaTheme="minorEastAsia" w:hAnsi="Arial" w:cs="Arial"/>
            </w:rPr>
          </w:pPr>
          <w:hyperlink w:anchor="_Toc135409881" w:history="1">
            <w:r w:rsidR="006E54F2" w:rsidRPr="00E368E0">
              <w:rPr>
                <w:rStyle w:val="Hyperlink"/>
                <w:rFonts w:ascii="Arial" w:eastAsiaTheme="minorHAnsi" w:hAnsi="Arial" w:cs="Arial"/>
                <w:lang w:val="en-US"/>
              </w:rPr>
              <w:t>2.1.</w:t>
            </w:r>
            <w:r w:rsidR="006E54F2" w:rsidRPr="00E368E0">
              <w:rPr>
                <w:rFonts w:ascii="Arial" w:eastAsiaTheme="minorEastAsia" w:hAnsi="Arial" w:cs="Arial"/>
              </w:rPr>
              <w:tab/>
            </w:r>
            <w:r w:rsidR="006E54F2" w:rsidRPr="00E368E0">
              <w:rPr>
                <w:rStyle w:val="Hyperlink"/>
                <w:rFonts w:ascii="Arial" w:eastAsiaTheme="minorHAnsi" w:hAnsi="Arial" w:cs="Arial"/>
                <w:lang w:val="en-US"/>
              </w:rPr>
              <w:t>5</w:t>
            </w:r>
            <w:r w:rsidR="006E54F2" w:rsidRPr="00E368E0">
              <w:rPr>
                <w:rStyle w:val="Hyperlink"/>
                <w:rFonts w:ascii="Arial" w:eastAsiaTheme="minorHAnsi" w:hAnsi="Arial" w:cs="Arial"/>
                <w:vertAlign w:val="superscript"/>
                <w:lang w:val="en-US"/>
              </w:rPr>
              <w:t>th</w:t>
            </w:r>
            <w:r w:rsidR="006E54F2" w:rsidRPr="00E368E0">
              <w:rPr>
                <w:rStyle w:val="Hyperlink"/>
                <w:rFonts w:ascii="Arial" w:eastAsiaTheme="minorHAnsi" w:hAnsi="Arial" w:cs="Arial"/>
                <w:lang w:val="en-US"/>
              </w:rPr>
              <w:t> round mutual evaluation report of Bulgaria</w:t>
            </w:r>
            <w:r w:rsidR="006E54F2" w:rsidRPr="00E368E0">
              <w:rPr>
                <w:rFonts w:ascii="Arial" w:hAnsi="Arial" w:cs="Arial"/>
                <w:webHidden/>
              </w:rPr>
              <w:tab/>
            </w:r>
            <w:r w:rsidR="006E54F2" w:rsidRPr="00E368E0">
              <w:rPr>
                <w:rFonts w:ascii="Arial" w:hAnsi="Arial" w:cs="Arial"/>
                <w:webHidden/>
              </w:rPr>
              <w:fldChar w:fldCharType="begin"/>
            </w:r>
            <w:r w:rsidR="006E54F2" w:rsidRPr="00E368E0">
              <w:rPr>
                <w:rFonts w:ascii="Arial" w:hAnsi="Arial" w:cs="Arial"/>
                <w:webHidden/>
              </w:rPr>
              <w:instrText xml:space="preserve"> PAGEREF _Toc135409881 \h </w:instrText>
            </w:r>
            <w:r w:rsidR="006E54F2" w:rsidRPr="00E368E0">
              <w:rPr>
                <w:rFonts w:ascii="Arial" w:hAnsi="Arial" w:cs="Arial"/>
                <w:webHidden/>
              </w:rPr>
            </w:r>
            <w:r w:rsidR="006E54F2" w:rsidRPr="00E368E0">
              <w:rPr>
                <w:rFonts w:ascii="Arial" w:hAnsi="Arial" w:cs="Arial"/>
                <w:webHidden/>
              </w:rPr>
              <w:fldChar w:fldCharType="separate"/>
            </w:r>
            <w:r w:rsidR="007D5162">
              <w:rPr>
                <w:rFonts w:ascii="Arial" w:hAnsi="Arial" w:cs="Arial"/>
                <w:webHidden/>
              </w:rPr>
              <w:t>12</w:t>
            </w:r>
            <w:r w:rsidR="006E54F2" w:rsidRPr="00E368E0">
              <w:rPr>
                <w:rFonts w:ascii="Arial" w:hAnsi="Arial" w:cs="Arial"/>
                <w:webHidden/>
              </w:rPr>
              <w:fldChar w:fldCharType="end"/>
            </w:r>
          </w:hyperlink>
        </w:p>
        <w:p w14:paraId="08908A8A" w14:textId="73CA6A6A" w:rsidR="006E54F2" w:rsidRPr="00E368E0" w:rsidRDefault="00000000" w:rsidP="000A1889">
          <w:pPr>
            <w:pStyle w:val="TOC2"/>
            <w:tabs>
              <w:tab w:val="clear" w:pos="400"/>
              <w:tab w:val="clear" w:pos="9628"/>
              <w:tab w:val="left" w:pos="709"/>
              <w:tab w:val="right" w:leader="dot" w:pos="9639"/>
            </w:tabs>
            <w:rPr>
              <w:rFonts w:ascii="Arial" w:eastAsiaTheme="minorEastAsia" w:hAnsi="Arial" w:cs="Arial"/>
            </w:rPr>
          </w:pPr>
          <w:hyperlink w:anchor="_Toc135409882" w:history="1">
            <w:r w:rsidR="006E54F2" w:rsidRPr="00E368E0">
              <w:rPr>
                <w:rStyle w:val="Hyperlink"/>
                <w:rFonts w:ascii="Arial" w:eastAsiaTheme="minorHAnsi" w:hAnsi="Arial" w:cs="Arial"/>
                <w:lang w:val="en-US"/>
              </w:rPr>
              <w:t xml:space="preserve">2.2 </w:t>
            </w:r>
            <w:r w:rsidR="006E54F2" w:rsidRPr="00E368E0">
              <w:rPr>
                <w:rFonts w:ascii="Arial" w:eastAsiaTheme="minorEastAsia" w:hAnsi="Arial" w:cs="Arial"/>
              </w:rPr>
              <w:tab/>
            </w:r>
            <w:r w:rsidR="006E54F2" w:rsidRPr="00E368E0">
              <w:rPr>
                <w:rStyle w:val="Hyperlink"/>
                <w:rFonts w:ascii="Arial" w:eastAsiaTheme="minorHAnsi" w:hAnsi="Arial" w:cs="Arial"/>
                <w:lang w:val="en-US"/>
              </w:rPr>
              <w:t>5</w:t>
            </w:r>
            <w:r w:rsidR="006E54F2" w:rsidRPr="00E368E0">
              <w:rPr>
                <w:rStyle w:val="Hyperlink"/>
                <w:rFonts w:ascii="Arial" w:eastAsiaTheme="minorHAnsi" w:hAnsi="Arial" w:cs="Arial"/>
                <w:vertAlign w:val="superscript"/>
                <w:lang w:val="en-US"/>
              </w:rPr>
              <w:t>th</w:t>
            </w:r>
            <w:r w:rsidR="006E54F2" w:rsidRPr="00E368E0">
              <w:rPr>
                <w:rStyle w:val="Hyperlink"/>
                <w:rFonts w:ascii="Arial" w:eastAsiaTheme="minorHAnsi" w:hAnsi="Arial" w:cs="Arial"/>
                <w:lang w:val="en-US"/>
              </w:rPr>
              <w:t> round mutual evaluation report of Liechtenstein</w:t>
            </w:r>
            <w:r w:rsidR="006E54F2" w:rsidRPr="00E368E0">
              <w:rPr>
                <w:rFonts w:ascii="Arial" w:hAnsi="Arial" w:cs="Arial"/>
                <w:webHidden/>
              </w:rPr>
              <w:tab/>
            </w:r>
            <w:r w:rsidR="006E54F2" w:rsidRPr="00E368E0">
              <w:rPr>
                <w:rFonts w:ascii="Arial" w:hAnsi="Arial" w:cs="Arial"/>
                <w:webHidden/>
              </w:rPr>
              <w:fldChar w:fldCharType="begin"/>
            </w:r>
            <w:r w:rsidR="006E54F2" w:rsidRPr="00E368E0">
              <w:rPr>
                <w:rFonts w:ascii="Arial" w:hAnsi="Arial" w:cs="Arial"/>
                <w:webHidden/>
              </w:rPr>
              <w:instrText xml:space="preserve"> PAGEREF _Toc135409882 \h </w:instrText>
            </w:r>
            <w:r w:rsidR="006E54F2" w:rsidRPr="00E368E0">
              <w:rPr>
                <w:rFonts w:ascii="Arial" w:hAnsi="Arial" w:cs="Arial"/>
                <w:webHidden/>
              </w:rPr>
            </w:r>
            <w:r w:rsidR="006E54F2" w:rsidRPr="00E368E0">
              <w:rPr>
                <w:rFonts w:ascii="Arial" w:hAnsi="Arial" w:cs="Arial"/>
                <w:webHidden/>
              </w:rPr>
              <w:fldChar w:fldCharType="separate"/>
            </w:r>
            <w:r w:rsidR="007D5162">
              <w:rPr>
                <w:rFonts w:ascii="Arial" w:hAnsi="Arial" w:cs="Arial"/>
                <w:webHidden/>
              </w:rPr>
              <w:t>13</w:t>
            </w:r>
            <w:r w:rsidR="006E54F2" w:rsidRPr="00E368E0">
              <w:rPr>
                <w:rFonts w:ascii="Arial" w:hAnsi="Arial" w:cs="Arial"/>
                <w:webHidden/>
              </w:rPr>
              <w:fldChar w:fldCharType="end"/>
            </w:r>
          </w:hyperlink>
        </w:p>
        <w:p w14:paraId="2C1F7EBD" w14:textId="2AE933E7" w:rsidR="006E54F2" w:rsidRPr="00E368E0" w:rsidRDefault="00000000" w:rsidP="000A1889">
          <w:pPr>
            <w:pStyle w:val="TOC2"/>
            <w:tabs>
              <w:tab w:val="clear" w:pos="400"/>
              <w:tab w:val="clear" w:pos="9628"/>
              <w:tab w:val="left" w:pos="709"/>
              <w:tab w:val="right" w:leader="dot" w:pos="9639"/>
            </w:tabs>
            <w:rPr>
              <w:rFonts w:ascii="Arial" w:eastAsiaTheme="minorEastAsia" w:hAnsi="Arial" w:cs="Arial"/>
            </w:rPr>
          </w:pPr>
          <w:hyperlink w:anchor="_Toc135409883" w:history="1">
            <w:r w:rsidR="006E54F2" w:rsidRPr="00E368E0">
              <w:rPr>
                <w:rStyle w:val="Hyperlink"/>
                <w:rFonts w:ascii="Arial" w:eastAsiaTheme="minorHAnsi" w:hAnsi="Arial" w:cs="Arial"/>
                <w:lang w:val="en-US"/>
              </w:rPr>
              <w:t>2.3</w:t>
            </w:r>
            <w:r w:rsidR="006E54F2" w:rsidRPr="00E368E0">
              <w:rPr>
                <w:rFonts w:ascii="Arial" w:eastAsiaTheme="minorEastAsia" w:hAnsi="Arial" w:cs="Arial"/>
              </w:rPr>
              <w:tab/>
            </w:r>
            <w:r w:rsidR="006E54F2" w:rsidRPr="00E368E0">
              <w:rPr>
                <w:rStyle w:val="Hyperlink"/>
                <w:rFonts w:ascii="Arial" w:eastAsiaTheme="minorHAnsi" w:hAnsi="Arial" w:cs="Arial"/>
                <w:lang w:val="en-US"/>
              </w:rPr>
              <w:t>5</w:t>
            </w:r>
            <w:r w:rsidR="006E54F2" w:rsidRPr="00E368E0">
              <w:rPr>
                <w:rStyle w:val="Hyperlink"/>
                <w:rFonts w:ascii="Arial" w:eastAsiaTheme="minorHAnsi" w:hAnsi="Arial" w:cs="Arial"/>
                <w:vertAlign w:val="superscript"/>
                <w:lang w:val="en-US"/>
              </w:rPr>
              <w:t>th</w:t>
            </w:r>
            <w:r w:rsidR="006E54F2" w:rsidRPr="00E368E0">
              <w:rPr>
                <w:rStyle w:val="Hyperlink"/>
                <w:rFonts w:ascii="Arial" w:eastAsiaTheme="minorHAnsi" w:hAnsi="Arial" w:cs="Arial"/>
                <w:lang w:val="en-US"/>
              </w:rPr>
              <w:t> round mutual evaluation report of Monaco</w:t>
            </w:r>
            <w:r w:rsidR="006E54F2" w:rsidRPr="00E368E0">
              <w:rPr>
                <w:rFonts w:ascii="Arial" w:hAnsi="Arial" w:cs="Arial"/>
                <w:webHidden/>
              </w:rPr>
              <w:tab/>
            </w:r>
            <w:r w:rsidR="006E54F2" w:rsidRPr="00E368E0">
              <w:rPr>
                <w:rFonts w:ascii="Arial" w:hAnsi="Arial" w:cs="Arial"/>
                <w:webHidden/>
              </w:rPr>
              <w:fldChar w:fldCharType="begin"/>
            </w:r>
            <w:r w:rsidR="006E54F2" w:rsidRPr="00E368E0">
              <w:rPr>
                <w:rFonts w:ascii="Arial" w:hAnsi="Arial" w:cs="Arial"/>
                <w:webHidden/>
              </w:rPr>
              <w:instrText xml:space="preserve"> PAGEREF _Toc135409883 \h </w:instrText>
            </w:r>
            <w:r w:rsidR="006E54F2" w:rsidRPr="00E368E0">
              <w:rPr>
                <w:rFonts w:ascii="Arial" w:hAnsi="Arial" w:cs="Arial"/>
                <w:webHidden/>
              </w:rPr>
            </w:r>
            <w:r w:rsidR="006E54F2" w:rsidRPr="00E368E0">
              <w:rPr>
                <w:rFonts w:ascii="Arial" w:hAnsi="Arial" w:cs="Arial"/>
                <w:webHidden/>
              </w:rPr>
              <w:fldChar w:fldCharType="separate"/>
            </w:r>
            <w:r w:rsidR="007D5162">
              <w:rPr>
                <w:rFonts w:ascii="Arial" w:hAnsi="Arial" w:cs="Arial"/>
                <w:webHidden/>
              </w:rPr>
              <w:t>14</w:t>
            </w:r>
            <w:r w:rsidR="006E54F2" w:rsidRPr="00E368E0">
              <w:rPr>
                <w:rFonts w:ascii="Arial" w:hAnsi="Arial" w:cs="Arial"/>
                <w:webHidden/>
              </w:rPr>
              <w:fldChar w:fldCharType="end"/>
            </w:r>
          </w:hyperlink>
        </w:p>
        <w:p w14:paraId="4F4DF1C0" w14:textId="6D346847" w:rsidR="006E54F2" w:rsidRPr="00E368E0" w:rsidRDefault="00000000" w:rsidP="000A1889">
          <w:pPr>
            <w:pStyle w:val="TOC2"/>
            <w:tabs>
              <w:tab w:val="clear" w:pos="400"/>
              <w:tab w:val="clear" w:pos="9628"/>
              <w:tab w:val="left" w:pos="709"/>
              <w:tab w:val="right" w:leader="dot" w:pos="9639"/>
            </w:tabs>
            <w:rPr>
              <w:rFonts w:ascii="Arial" w:eastAsiaTheme="minorEastAsia" w:hAnsi="Arial" w:cs="Arial"/>
            </w:rPr>
          </w:pPr>
          <w:hyperlink w:anchor="_Toc135409884" w:history="1">
            <w:r w:rsidR="006E54F2" w:rsidRPr="00E368E0">
              <w:rPr>
                <w:rStyle w:val="Hyperlink"/>
                <w:rFonts w:ascii="Arial" w:eastAsiaTheme="minorHAnsi" w:hAnsi="Arial" w:cs="Arial"/>
                <w:lang w:val="en-US"/>
              </w:rPr>
              <w:t>2.4</w:t>
            </w:r>
            <w:r w:rsidR="006E54F2" w:rsidRPr="00E368E0">
              <w:rPr>
                <w:rFonts w:ascii="Arial" w:eastAsiaTheme="minorEastAsia" w:hAnsi="Arial" w:cs="Arial"/>
              </w:rPr>
              <w:tab/>
            </w:r>
            <w:r w:rsidR="006E54F2" w:rsidRPr="00E368E0">
              <w:rPr>
                <w:rStyle w:val="Hyperlink"/>
                <w:rFonts w:ascii="Arial" w:eastAsiaTheme="minorHAnsi" w:hAnsi="Arial" w:cs="Arial"/>
                <w:lang w:val="en-US"/>
              </w:rPr>
              <w:t>5</w:t>
            </w:r>
            <w:r w:rsidR="006E54F2" w:rsidRPr="00E368E0">
              <w:rPr>
                <w:rStyle w:val="Hyperlink"/>
                <w:rFonts w:ascii="Arial" w:eastAsiaTheme="minorHAnsi" w:hAnsi="Arial" w:cs="Arial"/>
                <w:vertAlign w:val="superscript"/>
                <w:lang w:val="en-US"/>
              </w:rPr>
              <w:t>th</w:t>
            </w:r>
            <w:r w:rsidR="006E54F2" w:rsidRPr="00E368E0">
              <w:rPr>
                <w:rStyle w:val="Hyperlink"/>
                <w:rFonts w:ascii="Arial" w:eastAsiaTheme="minorHAnsi" w:hAnsi="Arial" w:cs="Arial"/>
                <w:lang w:val="en-US"/>
              </w:rPr>
              <w:t> round mutual evaluation report of Estonia</w:t>
            </w:r>
            <w:r w:rsidR="006E54F2" w:rsidRPr="00E368E0">
              <w:rPr>
                <w:rFonts w:ascii="Arial" w:hAnsi="Arial" w:cs="Arial"/>
                <w:webHidden/>
              </w:rPr>
              <w:tab/>
            </w:r>
            <w:r w:rsidR="006E54F2" w:rsidRPr="00E368E0">
              <w:rPr>
                <w:rFonts w:ascii="Arial" w:hAnsi="Arial" w:cs="Arial"/>
                <w:webHidden/>
              </w:rPr>
              <w:fldChar w:fldCharType="begin"/>
            </w:r>
            <w:r w:rsidR="006E54F2" w:rsidRPr="00E368E0">
              <w:rPr>
                <w:rFonts w:ascii="Arial" w:hAnsi="Arial" w:cs="Arial"/>
                <w:webHidden/>
              </w:rPr>
              <w:instrText xml:space="preserve"> PAGEREF _Toc135409884 \h </w:instrText>
            </w:r>
            <w:r w:rsidR="006E54F2" w:rsidRPr="00E368E0">
              <w:rPr>
                <w:rFonts w:ascii="Arial" w:hAnsi="Arial" w:cs="Arial"/>
                <w:webHidden/>
              </w:rPr>
            </w:r>
            <w:r w:rsidR="006E54F2" w:rsidRPr="00E368E0">
              <w:rPr>
                <w:rFonts w:ascii="Arial" w:hAnsi="Arial" w:cs="Arial"/>
                <w:webHidden/>
              </w:rPr>
              <w:fldChar w:fldCharType="separate"/>
            </w:r>
            <w:r w:rsidR="007D5162">
              <w:rPr>
                <w:rFonts w:ascii="Arial" w:hAnsi="Arial" w:cs="Arial"/>
                <w:webHidden/>
              </w:rPr>
              <w:t>15</w:t>
            </w:r>
            <w:r w:rsidR="006E54F2" w:rsidRPr="00E368E0">
              <w:rPr>
                <w:rFonts w:ascii="Arial" w:hAnsi="Arial" w:cs="Arial"/>
                <w:webHidden/>
              </w:rPr>
              <w:fldChar w:fldCharType="end"/>
            </w:r>
          </w:hyperlink>
        </w:p>
        <w:p w14:paraId="7C402B76" w14:textId="7C02C624" w:rsidR="006E54F2" w:rsidRPr="00E368E0" w:rsidRDefault="00000000" w:rsidP="000A1889">
          <w:pPr>
            <w:pStyle w:val="TOC2"/>
            <w:tabs>
              <w:tab w:val="clear" w:pos="400"/>
              <w:tab w:val="clear" w:pos="9628"/>
              <w:tab w:val="left" w:pos="709"/>
              <w:tab w:val="right" w:leader="dot" w:pos="9639"/>
            </w:tabs>
            <w:rPr>
              <w:rFonts w:ascii="Arial" w:eastAsiaTheme="minorEastAsia" w:hAnsi="Arial" w:cs="Arial"/>
            </w:rPr>
          </w:pPr>
          <w:hyperlink w:anchor="_Toc135409885" w:history="1">
            <w:r w:rsidR="006E54F2" w:rsidRPr="00E368E0">
              <w:rPr>
                <w:rStyle w:val="Hyperlink"/>
                <w:rFonts w:ascii="Arial" w:hAnsi="Arial" w:cs="Arial"/>
              </w:rPr>
              <w:t>2.5.</w:t>
            </w:r>
            <w:r w:rsidR="006E54F2" w:rsidRPr="00E368E0">
              <w:rPr>
                <w:rFonts w:ascii="Arial" w:eastAsiaTheme="minorEastAsia" w:hAnsi="Arial" w:cs="Arial"/>
              </w:rPr>
              <w:tab/>
            </w:r>
            <w:r w:rsidR="006E54F2" w:rsidRPr="00E368E0">
              <w:rPr>
                <w:rStyle w:val="Hyperlink"/>
                <w:rFonts w:ascii="Arial" w:hAnsi="Arial" w:cs="Arial"/>
              </w:rPr>
              <w:t>5</w:t>
            </w:r>
            <w:r w:rsidR="006E54F2" w:rsidRPr="00E368E0">
              <w:rPr>
                <w:rStyle w:val="Hyperlink"/>
                <w:rFonts w:ascii="Arial" w:hAnsi="Arial" w:cs="Arial"/>
                <w:vertAlign w:val="superscript"/>
              </w:rPr>
              <w:t>th</w:t>
            </w:r>
            <w:r w:rsidR="006E54F2" w:rsidRPr="00E368E0">
              <w:rPr>
                <w:rStyle w:val="Hyperlink"/>
                <w:rFonts w:ascii="Arial" w:hAnsi="Arial" w:cs="Arial"/>
              </w:rPr>
              <w:t> Round follow-up reports</w:t>
            </w:r>
            <w:r w:rsidR="006E54F2" w:rsidRPr="00E368E0">
              <w:rPr>
                <w:rFonts w:ascii="Arial" w:hAnsi="Arial" w:cs="Arial"/>
                <w:webHidden/>
              </w:rPr>
              <w:tab/>
            </w:r>
            <w:r w:rsidR="006E54F2" w:rsidRPr="00E368E0">
              <w:rPr>
                <w:rFonts w:ascii="Arial" w:hAnsi="Arial" w:cs="Arial"/>
                <w:webHidden/>
              </w:rPr>
              <w:fldChar w:fldCharType="begin"/>
            </w:r>
            <w:r w:rsidR="006E54F2" w:rsidRPr="00E368E0">
              <w:rPr>
                <w:rFonts w:ascii="Arial" w:hAnsi="Arial" w:cs="Arial"/>
                <w:webHidden/>
              </w:rPr>
              <w:instrText xml:space="preserve"> PAGEREF _Toc135409885 \h </w:instrText>
            </w:r>
            <w:r w:rsidR="006E54F2" w:rsidRPr="00E368E0">
              <w:rPr>
                <w:rFonts w:ascii="Arial" w:hAnsi="Arial" w:cs="Arial"/>
                <w:webHidden/>
              </w:rPr>
            </w:r>
            <w:r w:rsidR="006E54F2" w:rsidRPr="00E368E0">
              <w:rPr>
                <w:rFonts w:ascii="Arial" w:hAnsi="Arial" w:cs="Arial"/>
                <w:webHidden/>
              </w:rPr>
              <w:fldChar w:fldCharType="separate"/>
            </w:r>
            <w:r w:rsidR="007D5162">
              <w:rPr>
                <w:rFonts w:ascii="Arial" w:hAnsi="Arial" w:cs="Arial"/>
                <w:webHidden/>
              </w:rPr>
              <w:t>16</w:t>
            </w:r>
            <w:r w:rsidR="006E54F2" w:rsidRPr="00E368E0">
              <w:rPr>
                <w:rFonts w:ascii="Arial" w:hAnsi="Arial" w:cs="Arial"/>
                <w:webHidden/>
              </w:rPr>
              <w:fldChar w:fldCharType="end"/>
            </w:r>
          </w:hyperlink>
        </w:p>
        <w:p w14:paraId="44D05078" w14:textId="503F618E" w:rsidR="006E54F2" w:rsidRPr="00E368E0" w:rsidRDefault="00000000" w:rsidP="000A1889">
          <w:pPr>
            <w:pStyle w:val="TOC2"/>
            <w:tabs>
              <w:tab w:val="clear" w:pos="400"/>
              <w:tab w:val="clear" w:pos="9628"/>
              <w:tab w:val="left" w:pos="709"/>
              <w:tab w:val="right" w:leader="dot" w:pos="9639"/>
            </w:tabs>
            <w:rPr>
              <w:rFonts w:ascii="Arial" w:eastAsiaTheme="minorEastAsia" w:hAnsi="Arial" w:cs="Arial"/>
            </w:rPr>
          </w:pPr>
          <w:hyperlink w:anchor="_Toc135409886" w:history="1">
            <w:r w:rsidR="006E54F2" w:rsidRPr="00E368E0">
              <w:rPr>
                <w:rStyle w:val="Hyperlink"/>
                <w:rFonts w:ascii="Arial" w:eastAsiaTheme="majorEastAsia" w:hAnsi="Arial" w:cs="Arial"/>
              </w:rPr>
              <w:t xml:space="preserve">2.6 </w:t>
            </w:r>
            <w:r w:rsidR="006E54F2" w:rsidRPr="00E368E0">
              <w:rPr>
                <w:rFonts w:ascii="Arial" w:eastAsiaTheme="minorEastAsia" w:hAnsi="Arial" w:cs="Arial"/>
              </w:rPr>
              <w:tab/>
            </w:r>
            <w:r w:rsidR="006E54F2" w:rsidRPr="00E368E0">
              <w:rPr>
                <w:rStyle w:val="Hyperlink"/>
                <w:rFonts w:ascii="Arial" w:eastAsiaTheme="majorEastAsia" w:hAnsi="Arial" w:cs="Arial"/>
              </w:rPr>
              <w:t>Voluntary tax compliance programmes</w:t>
            </w:r>
            <w:r w:rsidR="006E54F2" w:rsidRPr="00E368E0">
              <w:rPr>
                <w:rFonts w:ascii="Arial" w:hAnsi="Arial" w:cs="Arial"/>
                <w:webHidden/>
              </w:rPr>
              <w:tab/>
            </w:r>
            <w:r w:rsidR="006E54F2" w:rsidRPr="00E368E0">
              <w:rPr>
                <w:rFonts w:ascii="Arial" w:hAnsi="Arial" w:cs="Arial"/>
                <w:webHidden/>
              </w:rPr>
              <w:fldChar w:fldCharType="begin"/>
            </w:r>
            <w:r w:rsidR="006E54F2" w:rsidRPr="00E368E0">
              <w:rPr>
                <w:rFonts w:ascii="Arial" w:hAnsi="Arial" w:cs="Arial"/>
                <w:webHidden/>
              </w:rPr>
              <w:instrText xml:space="preserve"> PAGEREF _Toc135409886 \h </w:instrText>
            </w:r>
            <w:r w:rsidR="006E54F2" w:rsidRPr="00E368E0">
              <w:rPr>
                <w:rFonts w:ascii="Arial" w:hAnsi="Arial" w:cs="Arial"/>
                <w:webHidden/>
              </w:rPr>
            </w:r>
            <w:r w:rsidR="006E54F2" w:rsidRPr="00E368E0">
              <w:rPr>
                <w:rFonts w:ascii="Arial" w:hAnsi="Arial" w:cs="Arial"/>
                <w:webHidden/>
              </w:rPr>
              <w:fldChar w:fldCharType="separate"/>
            </w:r>
            <w:r w:rsidR="007D5162">
              <w:rPr>
                <w:rFonts w:ascii="Arial" w:hAnsi="Arial" w:cs="Arial"/>
                <w:webHidden/>
              </w:rPr>
              <w:t>18</w:t>
            </w:r>
            <w:r w:rsidR="006E54F2" w:rsidRPr="00E368E0">
              <w:rPr>
                <w:rFonts w:ascii="Arial" w:hAnsi="Arial" w:cs="Arial"/>
                <w:webHidden/>
              </w:rPr>
              <w:fldChar w:fldCharType="end"/>
            </w:r>
          </w:hyperlink>
        </w:p>
        <w:p w14:paraId="06ABD627" w14:textId="33C36205" w:rsidR="006E54F2" w:rsidRPr="00E368E0" w:rsidRDefault="00000000" w:rsidP="000A1889">
          <w:pPr>
            <w:pStyle w:val="TOC2"/>
            <w:tabs>
              <w:tab w:val="clear" w:pos="400"/>
              <w:tab w:val="clear" w:pos="9628"/>
              <w:tab w:val="left" w:pos="709"/>
              <w:tab w:val="right" w:leader="dot" w:pos="9639"/>
            </w:tabs>
            <w:rPr>
              <w:rFonts w:ascii="Arial" w:eastAsiaTheme="minorEastAsia" w:hAnsi="Arial" w:cs="Arial"/>
            </w:rPr>
          </w:pPr>
          <w:hyperlink w:anchor="_Toc135409887" w:history="1">
            <w:r w:rsidR="006E54F2" w:rsidRPr="00E368E0">
              <w:rPr>
                <w:rStyle w:val="Hyperlink"/>
                <w:rFonts w:ascii="Arial" w:hAnsi="Arial" w:cs="Arial"/>
              </w:rPr>
              <w:t>2.7</w:t>
            </w:r>
            <w:r w:rsidR="006E54F2" w:rsidRPr="00E368E0">
              <w:rPr>
                <w:rFonts w:ascii="Arial" w:eastAsiaTheme="minorEastAsia" w:hAnsi="Arial" w:cs="Arial"/>
              </w:rPr>
              <w:tab/>
            </w:r>
            <w:r w:rsidR="006E54F2" w:rsidRPr="00E368E0">
              <w:rPr>
                <w:rStyle w:val="Hyperlink"/>
                <w:rFonts w:ascii="Arial" w:hAnsi="Arial" w:cs="Arial"/>
              </w:rPr>
              <w:t>Compliance enhancing procedures (CEPs)</w:t>
            </w:r>
            <w:r w:rsidR="006E54F2" w:rsidRPr="00E368E0">
              <w:rPr>
                <w:rFonts w:ascii="Arial" w:hAnsi="Arial" w:cs="Arial"/>
                <w:webHidden/>
              </w:rPr>
              <w:tab/>
            </w:r>
            <w:r w:rsidR="006E54F2" w:rsidRPr="00E368E0">
              <w:rPr>
                <w:rFonts w:ascii="Arial" w:hAnsi="Arial" w:cs="Arial"/>
                <w:webHidden/>
              </w:rPr>
              <w:fldChar w:fldCharType="begin"/>
            </w:r>
            <w:r w:rsidR="006E54F2" w:rsidRPr="00E368E0">
              <w:rPr>
                <w:rFonts w:ascii="Arial" w:hAnsi="Arial" w:cs="Arial"/>
                <w:webHidden/>
              </w:rPr>
              <w:instrText xml:space="preserve"> PAGEREF _Toc135409887 \h </w:instrText>
            </w:r>
            <w:r w:rsidR="006E54F2" w:rsidRPr="00E368E0">
              <w:rPr>
                <w:rFonts w:ascii="Arial" w:hAnsi="Arial" w:cs="Arial"/>
                <w:webHidden/>
              </w:rPr>
            </w:r>
            <w:r w:rsidR="006E54F2" w:rsidRPr="00E368E0">
              <w:rPr>
                <w:rFonts w:ascii="Arial" w:hAnsi="Arial" w:cs="Arial"/>
                <w:webHidden/>
              </w:rPr>
              <w:fldChar w:fldCharType="separate"/>
            </w:r>
            <w:r w:rsidR="007D5162">
              <w:rPr>
                <w:rFonts w:ascii="Arial" w:hAnsi="Arial" w:cs="Arial"/>
                <w:webHidden/>
              </w:rPr>
              <w:t>18</w:t>
            </w:r>
            <w:r w:rsidR="006E54F2" w:rsidRPr="00E368E0">
              <w:rPr>
                <w:rFonts w:ascii="Arial" w:hAnsi="Arial" w:cs="Arial"/>
                <w:webHidden/>
              </w:rPr>
              <w:fldChar w:fldCharType="end"/>
            </w:r>
          </w:hyperlink>
        </w:p>
        <w:p w14:paraId="09433F62" w14:textId="73807D5E" w:rsidR="006E54F2" w:rsidRPr="00E368E0" w:rsidRDefault="00000000" w:rsidP="000A1889">
          <w:pPr>
            <w:pStyle w:val="TOC1"/>
            <w:rPr>
              <w:rFonts w:ascii="Arial" w:eastAsiaTheme="minorEastAsia" w:hAnsi="Arial" w:cs="Arial"/>
              <w:noProof/>
              <w:sz w:val="20"/>
              <w:szCs w:val="20"/>
            </w:rPr>
          </w:pPr>
          <w:hyperlink w:anchor="_Toc135409888" w:history="1">
            <w:r w:rsidR="006E54F2" w:rsidRPr="00E368E0">
              <w:rPr>
                <w:rStyle w:val="Hyperlink"/>
                <w:rFonts w:ascii="Arial" w:eastAsiaTheme="minorHAnsi" w:hAnsi="Arial" w:cs="Arial"/>
                <w:noProof/>
                <w:kern w:val="28"/>
                <w:sz w:val="20"/>
                <w:szCs w:val="20"/>
              </w:rPr>
              <w:t>3.</w:t>
            </w:r>
            <w:r w:rsidR="006E54F2" w:rsidRPr="00E368E0">
              <w:rPr>
                <w:rFonts w:ascii="Arial" w:eastAsiaTheme="minorEastAsia" w:hAnsi="Arial" w:cs="Arial"/>
                <w:noProof/>
                <w:sz w:val="20"/>
                <w:szCs w:val="20"/>
              </w:rPr>
              <w:tab/>
            </w:r>
            <w:r w:rsidR="006E54F2" w:rsidRPr="00E368E0">
              <w:rPr>
                <w:rStyle w:val="Hyperlink"/>
                <w:rFonts w:ascii="Arial" w:eastAsiaTheme="minorHAnsi" w:hAnsi="Arial" w:cs="Arial"/>
                <w:noProof/>
                <w:kern w:val="28"/>
                <w:sz w:val="20"/>
                <w:szCs w:val="20"/>
              </w:rPr>
              <w:t>HIGH-LEVEL AND VISIBILITY ENGAGEMENTS</w:t>
            </w:r>
            <w:r w:rsidR="006E54F2" w:rsidRPr="00E368E0">
              <w:rPr>
                <w:rFonts w:ascii="Arial" w:hAnsi="Arial" w:cs="Arial"/>
                <w:noProof/>
                <w:webHidden/>
                <w:sz w:val="20"/>
                <w:szCs w:val="20"/>
              </w:rPr>
              <w:tab/>
            </w:r>
            <w:r w:rsidR="006E54F2" w:rsidRPr="00E368E0">
              <w:rPr>
                <w:rFonts w:ascii="Arial" w:hAnsi="Arial" w:cs="Arial"/>
                <w:noProof/>
                <w:webHidden/>
                <w:sz w:val="20"/>
                <w:szCs w:val="20"/>
              </w:rPr>
              <w:fldChar w:fldCharType="begin"/>
            </w:r>
            <w:r w:rsidR="006E54F2" w:rsidRPr="00E368E0">
              <w:rPr>
                <w:rFonts w:ascii="Arial" w:hAnsi="Arial" w:cs="Arial"/>
                <w:noProof/>
                <w:webHidden/>
                <w:sz w:val="20"/>
                <w:szCs w:val="20"/>
              </w:rPr>
              <w:instrText xml:space="preserve"> PAGEREF _Toc135409888 \h </w:instrText>
            </w:r>
            <w:r w:rsidR="006E54F2" w:rsidRPr="00E368E0">
              <w:rPr>
                <w:rFonts w:ascii="Arial" w:hAnsi="Arial" w:cs="Arial"/>
                <w:noProof/>
                <w:webHidden/>
                <w:sz w:val="20"/>
                <w:szCs w:val="20"/>
              </w:rPr>
            </w:r>
            <w:r w:rsidR="006E54F2" w:rsidRPr="00E368E0">
              <w:rPr>
                <w:rFonts w:ascii="Arial" w:hAnsi="Arial" w:cs="Arial"/>
                <w:noProof/>
                <w:webHidden/>
                <w:sz w:val="20"/>
                <w:szCs w:val="20"/>
              </w:rPr>
              <w:fldChar w:fldCharType="separate"/>
            </w:r>
            <w:r w:rsidR="007D5162">
              <w:rPr>
                <w:rFonts w:ascii="Arial" w:hAnsi="Arial" w:cs="Arial"/>
                <w:noProof/>
                <w:webHidden/>
                <w:sz w:val="20"/>
                <w:szCs w:val="20"/>
              </w:rPr>
              <w:t>18</w:t>
            </w:r>
            <w:r w:rsidR="006E54F2" w:rsidRPr="00E368E0">
              <w:rPr>
                <w:rFonts w:ascii="Arial" w:hAnsi="Arial" w:cs="Arial"/>
                <w:noProof/>
                <w:webHidden/>
                <w:sz w:val="20"/>
                <w:szCs w:val="20"/>
              </w:rPr>
              <w:fldChar w:fldCharType="end"/>
            </w:r>
          </w:hyperlink>
        </w:p>
        <w:p w14:paraId="73E34254" w14:textId="465828ED" w:rsidR="006E54F2" w:rsidRPr="00E368E0" w:rsidRDefault="00000000" w:rsidP="000A1889">
          <w:pPr>
            <w:pStyle w:val="TOC1"/>
            <w:rPr>
              <w:rFonts w:ascii="Arial" w:eastAsiaTheme="minorEastAsia" w:hAnsi="Arial" w:cs="Arial"/>
              <w:noProof/>
              <w:sz w:val="20"/>
              <w:szCs w:val="20"/>
            </w:rPr>
          </w:pPr>
          <w:hyperlink w:anchor="_Toc135409889" w:history="1">
            <w:r w:rsidR="006E54F2" w:rsidRPr="00E368E0">
              <w:rPr>
                <w:rStyle w:val="Hyperlink"/>
                <w:rFonts w:ascii="Arial" w:eastAsiaTheme="minorHAnsi" w:hAnsi="Arial" w:cs="Arial"/>
                <w:noProof/>
                <w:kern w:val="28"/>
                <w:sz w:val="20"/>
                <w:szCs w:val="20"/>
              </w:rPr>
              <w:t>4.</w:t>
            </w:r>
            <w:r w:rsidR="006E54F2" w:rsidRPr="00E368E0">
              <w:rPr>
                <w:rFonts w:ascii="Arial" w:eastAsiaTheme="minorEastAsia" w:hAnsi="Arial" w:cs="Arial"/>
                <w:noProof/>
                <w:sz w:val="20"/>
                <w:szCs w:val="20"/>
              </w:rPr>
              <w:tab/>
            </w:r>
            <w:r w:rsidR="006E54F2" w:rsidRPr="00E368E0">
              <w:rPr>
                <w:rStyle w:val="Hyperlink"/>
                <w:rFonts w:ascii="Arial" w:eastAsiaTheme="minorHAnsi" w:hAnsi="Arial" w:cs="Arial"/>
                <w:noProof/>
                <w:kern w:val="28"/>
                <w:sz w:val="20"/>
                <w:szCs w:val="20"/>
              </w:rPr>
              <w:t>OTHER ACTIVITIES IN 2022</w:t>
            </w:r>
            <w:r w:rsidR="006E54F2" w:rsidRPr="00E368E0">
              <w:rPr>
                <w:rFonts w:ascii="Arial" w:hAnsi="Arial" w:cs="Arial"/>
                <w:noProof/>
                <w:webHidden/>
                <w:sz w:val="20"/>
                <w:szCs w:val="20"/>
              </w:rPr>
              <w:tab/>
            </w:r>
            <w:r w:rsidR="006E54F2" w:rsidRPr="00E368E0">
              <w:rPr>
                <w:rFonts w:ascii="Arial" w:hAnsi="Arial" w:cs="Arial"/>
                <w:noProof/>
                <w:webHidden/>
                <w:sz w:val="20"/>
                <w:szCs w:val="20"/>
              </w:rPr>
              <w:fldChar w:fldCharType="begin"/>
            </w:r>
            <w:r w:rsidR="006E54F2" w:rsidRPr="00E368E0">
              <w:rPr>
                <w:rFonts w:ascii="Arial" w:hAnsi="Arial" w:cs="Arial"/>
                <w:noProof/>
                <w:webHidden/>
                <w:sz w:val="20"/>
                <w:szCs w:val="20"/>
              </w:rPr>
              <w:instrText xml:space="preserve"> PAGEREF _Toc135409889 \h </w:instrText>
            </w:r>
            <w:r w:rsidR="006E54F2" w:rsidRPr="00E368E0">
              <w:rPr>
                <w:rFonts w:ascii="Arial" w:hAnsi="Arial" w:cs="Arial"/>
                <w:noProof/>
                <w:webHidden/>
                <w:sz w:val="20"/>
                <w:szCs w:val="20"/>
              </w:rPr>
            </w:r>
            <w:r w:rsidR="006E54F2" w:rsidRPr="00E368E0">
              <w:rPr>
                <w:rFonts w:ascii="Arial" w:hAnsi="Arial" w:cs="Arial"/>
                <w:noProof/>
                <w:webHidden/>
                <w:sz w:val="20"/>
                <w:szCs w:val="20"/>
              </w:rPr>
              <w:fldChar w:fldCharType="separate"/>
            </w:r>
            <w:r w:rsidR="007D5162">
              <w:rPr>
                <w:rFonts w:ascii="Arial" w:hAnsi="Arial" w:cs="Arial"/>
                <w:noProof/>
                <w:webHidden/>
                <w:sz w:val="20"/>
                <w:szCs w:val="20"/>
              </w:rPr>
              <w:t>19</w:t>
            </w:r>
            <w:r w:rsidR="006E54F2" w:rsidRPr="00E368E0">
              <w:rPr>
                <w:rFonts w:ascii="Arial" w:hAnsi="Arial" w:cs="Arial"/>
                <w:noProof/>
                <w:webHidden/>
                <w:sz w:val="20"/>
                <w:szCs w:val="20"/>
              </w:rPr>
              <w:fldChar w:fldCharType="end"/>
            </w:r>
          </w:hyperlink>
        </w:p>
        <w:p w14:paraId="70748567" w14:textId="51222770" w:rsidR="006E54F2" w:rsidRPr="00E368E0" w:rsidRDefault="00000000" w:rsidP="000A1889">
          <w:pPr>
            <w:pStyle w:val="TOC2"/>
            <w:tabs>
              <w:tab w:val="clear" w:pos="400"/>
              <w:tab w:val="clear" w:pos="9628"/>
              <w:tab w:val="left" w:pos="709"/>
              <w:tab w:val="right" w:leader="dot" w:pos="9639"/>
            </w:tabs>
            <w:rPr>
              <w:rFonts w:ascii="Arial" w:eastAsiaTheme="minorEastAsia" w:hAnsi="Arial" w:cs="Arial"/>
            </w:rPr>
          </w:pPr>
          <w:hyperlink w:anchor="_Toc135409890" w:history="1">
            <w:r w:rsidR="006E54F2" w:rsidRPr="00E368E0">
              <w:rPr>
                <w:rStyle w:val="Hyperlink"/>
                <w:rFonts w:ascii="Arial" w:hAnsi="Arial" w:cs="Arial"/>
              </w:rPr>
              <w:t>4.1.</w:t>
            </w:r>
            <w:r w:rsidR="006E54F2" w:rsidRPr="00E368E0">
              <w:rPr>
                <w:rFonts w:ascii="Arial" w:eastAsiaTheme="minorEastAsia" w:hAnsi="Arial" w:cs="Arial"/>
              </w:rPr>
              <w:tab/>
            </w:r>
            <w:r w:rsidR="006E54F2" w:rsidRPr="00E368E0">
              <w:rPr>
                <w:rStyle w:val="Hyperlink"/>
                <w:rFonts w:ascii="Arial" w:hAnsi="Arial" w:cs="Arial"/>
              </w:rPr>
              <w:t>Typologies programme</w:t>
            </w:r>
            <w:r w:rsidR="006E54F2" w:rsidRPr="00E368E0">
              <w:rPr>
                <w:rFonts w:ascii="Arial" w:hAnsi="Arial" w:cs="Arial"/>
                <w:webHidden/>
              </w:rPr>
              <w:tab/>
            </w:r>
            <w:r w:rsidR="006E54F2" w:rsidRPr="00E368E0">
              <w:rPr>
                <w:rFonts w:ascii="Arial" w:hAnsi="Arial" w:cs="Arial"/>
                <w:webHidden/>
              </w:rPr>
              <w:fldChar w:fldCharType="begin"/>
            </w:r>
            <w:r w:rsidR="006E54F2" w:rsidRPr="00E368E0">
              <w:rPr>
                <w:rFonts w:ascii="Arial" w:hAnsi="Arial" w:cs="Arial"/>
                <w:webHidden/>
              </w:rPr>
              <w:instrText xml:space="preserve"> PAGEREF _Toc135409890 \h </w:instrText>
            </w:r>
            <w:r w:rsidR="006E54F2" w:rsidRPr="00E368E0">
              <w:rPr>
                <w:rFonts w:ascii="Arial" w:hAnsi="Arial" w:cs="Arial"/>
                <w:webHidden/>
              </w:rPr>
            </w:r>
            <w:r w:rsidR="006E54F2" w:rsidRPr="00E368E0">
              <w:rPr>
                <w:rFonts w:ascii="Arial" w:hAnsi="Arial" w:cs="Arial"/>
                <w:webHidden/>
              </w:rPr>
              <w:fldChar w:fldCharType="separate"/>
            </w:r>
            <w:r w:rsidR="007D5162">
              <w:rPr>
                <w:rFonts w:ascii="Arial" w:hAnsi="Arial" w:cs="Arial"/>
                <w:webHidden/>
              </w:rPr>
              <w:t>19</w:t>
            </w:r>
            <w:r w:rsidR="006E54F2" w:rsidRPr="00E368E0">
              <w:rPr>
                <w:rFonts w:ascii="Arial" w:hAnsi="Arial" w:cs="Arial"/>
                <w:webHidden/>
              </w:rPr>
              <w:fldChar w:fldCharType="end"/>
            </w:r>
          </w:hyperlink>
        </w:p>
        <w:p w14:paraId="412EA80B" w14:textId="601653FF" w:rsidR="006E54F2" w:rsidRPr="00E368E0" w:rsidRDefault="00000000" w:rsidP="000A1889">
          <w:pPr>
            <w:pStyle w:val="TOC2"/>
            <w:tabs>
              <w:tab w:val="clear" w:pos="400"/>
              <w:tab w:val="clear" w:pos="9628"/>
              <w:tab w:val="left" w:pos="709"/>
              <w:tab w:val="right" w:leader="dot" w:pos="9639"/>
            </w:tabs>
            <w:rPr>
              <w:rFonts w:ascii="Arial" w:eastAsiaTheme="minorEastAsia" w:hAnsi="Arial" w:cs="Arial"/>
            </w:rPr>
          </w:pPr>
          <w:hyperlink w:anchor="_Toc135409891" w:history="1">
            <w:r w:rsidR="006E54F2" w:rsidRPr="00E368E0">
              <w:rPr>
                <w:rStyle w:val="Hyperlink"/>
                <w:rFonts w:ascii="Arial" w:hAnsi="Arial" w:cs="Arial"/>
              </w:rPr>
              <w:t>4.2.</w:t>
            </w:r>
            <w:r w:rsidR="006E54F2" w:rsidRPr="00E368E0">
              <w:rPr>
                <w:rFonts w:ascii="Arial" w:eastAsiaTheme="minorEastAsia" w:hAnsi="Arial" w:cs="Arial"/>
              </w:rPr>
              <w:tab/>
            </w:r>
            <w:r w:rsidR="006E54F2" w:rsidRPr="00E368E0">
              <w:rPr>
                <w:rStyle w:val="Hyperlink"/>
                <w:rFonts w:ascii="Arial" w:hAnsi="Arial" w:cs="Arial"/>
              </w:rPr>
              <w:t>MONEYVAL plenaries and intersessional consultations</w:t>
            </w:r>
            <w:r w:rsidR="006E54F2" w:rsidRPr="00E368E0">
              <w:rPr>
                <w:rFonts w:ascii="Arial" w:hAnsi="Arial" w:cs="Arial"/>
                <w:webHidden/>
              </w:rPr>
              <w:tab/>
            </w:r>
            <w:r w:rsidR="006E54F2" w:rsidRPr="00E368E0">
              <w:rPr>
                <w:rFonts w:ascii="Arial" w:hAnsi="Arial" w:cs="Arial"/>
                <w:webHidden/>
              </w:rPr>
              <w:fldChar w:fldCharType="begin"/>
            </w:r>
            <w:r w:rsidR="006E54F2" w:rsidRPr="00E368E0">
              <w:rPr>
                <w:rFonts w:ascii="Arial" w:hAnsi="Arial" w:cs="Arial"/>
                <w:webHidden/>
              </w:rPr>
              <w:instrText xml:space="preserve"> PAGEREF _Toc135409891 \h </w:instrText>
            </w:r>
            <w:r w:rsidR="006E54F2" w:rsidRPr="00E368E0">
              <w:rPr>
                <w:rFonts w:ascii="Arial" w:hAnsi="Arial" w:cs="Arial"/>
                <w:webHidden/>
              </w:rPr>
            </w:r>
            <w:r w:rsidR="006E54F2" w:rsidRPr="00E368E0">
              <w:rPr>
                <w:rFonts w:ascii="Arial" w:hAnsi="Arial" w:cs="Arial"/>
                <w:webHidden/>
              </w:rPr>
              <w:fldChar w:fldCharType="separate"/>
            </w:r>
            <w:r w:rsidR="007D5162">
              <w:rPr>
                <w:rFonts w:ascii="Arial" w:hAnsi="Arial" w:cs="Arial"/>
                <w:webHidden/>
              </w:rPr>
              <w:t>19</w:t>
            </w:r>
            <w:r w:rsidR="006E54F2" w:rsidRPr="00E368E0">
              <w:rPr>
                <w:rFonts w:ascii="Arial" w:hAnsi="Arial" w:cs="Arial"/>
                <w:webHidden/>
              </w:rPr>
              <w:fldChar w:fldCharType="end"/>
            </w:r>
          </w:hyperlink>
        </w:p>
        <w:p w14:paraId="35F18FEE" w14:textId="6C69A303" w:rsidR="006E54F2" w:rsidRPr="00E368E0" w:rsidRDefault="00000000" w:rsidP="000A1889">
          <w:pPr>
            <w:pStyle w:val="TOC2"/>
            <w:tabs>
              <w:tab w:val="clear" w:pos="400"/>
              <w:tab w:val="clear" w:pos="9628"/>
              <w:tab w:val="left" w:pos="709"/>
              <w:tab w:val="right" w:leader="dot" w:pos="9639"/>
            </w:tabs>
            <w:rPr>
              <w:rFonts w:ascii="Arial" w:eastAsiaTheme="minorEastAsia" w:hAnsi="Arial" w:cs="Arial"/>
            </w:rPr>
          </w:pPr>
          <w:hyperlink w:anchor="_Toc135409892" w:history="1">
            <w:r w:rsidR="006E54F2" w:rsidRPr="00E368E0">
              <w:rPr>
                <w:rStyle w:val="Hyperlink"/>
                <w:rFonts w:ascii="Arial" w:hAnsi="Arial" w:cs="Arial"/>
              </w:rPr>
              <w:t>4.3.</w:t>
            </w:r>
            <w:r w:rsidR="006E54F2" w:rsidRPr="00E368E0">
              <w:rPr>
                <w:rFonts w:ascii="Arial" w:eastAsiaTheme="minorEastAsia" w:hAnsi="Arial" w:cs="Arial"/>
              </w:rPr>
              <w:tab/>
            </w:r>
            <w:r w:rsidR="006E54F2" w:rsidRPr="00E368E0">
              <w:rPr>
                <w:rStyle w:val="Hyperlink"/>
                <w:rFonts w:ascii="Arial" w:hAnsi="Arial" w:cs="Arial"/>
              </w:rPr>
              <w:t>Trainings</w:t>
            </w:r>
            <w:r w:rsidR="006E54F2" w:rsidRPr="00E368E0">
              <w:rPr>
                <w:rFonts w:ascii="Arial" w:hAnsi="Arial" w:cs="Arial"/>
                <w:webHidden/>
              </w:rPr>
              <w:tab/>
            </w:r>
            <w:r w:rsidR="006E54F2" w:rsidRPr="00E368E0">
              <w:rPr>
                <w:rFonts w:ascii="Arial" w:hAnsi="Arial" w:cs="Arial"/>
                <w:webHidden/>
              </w:rPr>
              <w:fldChar w:fldCharType="begin"/>
            </w:r>
            <w:r w:rsidR="006E54F2" w:rsidRPr="00E368E0">
              <w:rPr>
                <w:rFonts w:ascii="Arial" w:hAnsi="Arial" w:cs="Arial"/>
                <w:webHidden/>
              </w:rPr>
              <w:instrText xml:space="preserve"> PAGEREF _Toc135409892 \h </w:instrText>
            </w:r>
            <w:r w:rsidR="006E54F2" w:rsidRPr="00E368E0">
              <w:rPr>
                <w:rFonts w:ascii="Arial" w:hAnsi="Arial" w:cs="Arial"/>
                <w:webHidden/>
              </w:rPr>
            </w:r>
            <w:r w:rsidR="006E54F2" w:rsidRPr="00E368E0">
              <w:rPr>
                <w:rFonts w:ascii="Arial" w:hAnsi="Arial" w:cs="Arial"/>
                <w:webHidden/>
              </w:rPr>
              <w:fldChar w:fldCharType="separate"/>
            </w:r>
            <w:r w:rsidR="007D5162">
              <w:rPr>
                <w:rFonts w:ascii="Arial" w:hAnsi="Arial" w:cs="Arial"/>
                <w:webHidden/>
              </w:rPr>
              <w:t>20</w:t>
            </w:r>
            <w:r w:rsidR="006E54F2" w:rsidRPr="00E368E0">
              <w:rPr>
                <w:rFonts w:ascii="Arial" w:hAnsi="Arial" w:cs="Arial"/>
                <w:webHidden/>
              </w:rPr>
              <w:fldChar w:fldCharType="end"/>
            </w:r>
          </w:hyperlink>
        </w:p>
        <w:p w14:paraId="0F2B6073" w14:textId="27A82D2B" w:rsidR="006E54F2" w:rsidRPr="00E368E0" w:rsidRDefault="00000000" w:rsidP="000A1889">
          <w:pPr>
            <w:pStyle w:val="TOC1"/>
            <w:rPr>
              <w:rFonts w:ascii="Arial" w:eastAsiaTheme="minorEastAsia" w:hAnsi="Arial" w:cs="Arial"/>
              <w:noProof/>
              <w:sz w:val="20"/>
              <w:szCs w:val="20"/>
            </w:rPr>
          </w:pPr>
          <w:hyperlink w:anchor="_Toc135409893" w:history="1">
            <w:r w:rsidR="006E54F2" w:rsidRPr="00E368E0">
              <w:rPr>
                <w:rStyle w:val="Hyperlink"/>
                <w:rFonts w:ascii="Arial" w:eastAsiaTheme="minorHAnsi" w:hAnsi="Arial" w:cs="Arial"/>
                <w:noProof/>
                <w:kern w:val="28"/>
                <w:sz w:val="20"/>
                <w:szCs w:val="20"/>
              </w:rPr>
              <w:t>5.</w:t>
            </w:r>
            <w:r w:rsidR="006E54F2" w:rsidRPr="00E368E0">
              <w:rPr>
                <w:rFonts w:ascii="Arial" w:eastAsiaTheme="minorEastAsia" w:hAnsi="Arial" w:cs="Arial"/>
                <w:noProof/>
                <w:sz w:val="20"/>
                <w:szCs w:val="20"/>
              </w:rPr>
              <w:tab/>
            </w:r>
            <w:r w:rsidR="006E54F2" w:rsidRPr="00E368E0">
              <w:rPr>
                <w:rStyle w:val="Hyperlink"/>
                <w:rFonts w:ascii="Arial" w:eastAsiaTheme="minorHAnsi" w:hAnsi="Arial" w:cs="Arial"/>
                <w:noProof/>
                <w:kern w:val="28"/>
                <w:sz w:val="20"/>
                <w:szCs w:val="20"/>
              </w:rPr>
              <w:t>KEY INTERNATIONAL PARTNERSHIPS</w:t>
            </w:r>
            <w:r w:rsidR="006E54F2" w:rsidRPr="00E368E0">
              <w:rPr>
                <w:rFonts w:ascii="Arial" w:hAnsi="Arial" w:cs="Arial"/>
                <w:noProof/>
                <w:webHidden/>
                <w:sz w:val="20"/>
                <w:szCs w:val="20"/>
              </w:rPr>
              <w:tab/>
            </w:r>
            <w:r w:rsidR="006E54F2" w:rsidRPr="00E368E0">
              <w:rPr>
                <w:rFonts w:ascii="Arial" w:hAnsi="Arial" w:cs="Arial"/>
                <w:noProof/>
                <w:webHidden/>
                <w:sz w:val="20"/>
                <w:szCs w:val="20"/>
              </w:rPr>
              <w:fldChar w:fldCharType="begin"/>
            </w:r>
            <w:r w:rsidR="006E54F2" w:rsidRPr="00E368E0">
              <w:rPr>
                <w:rFonts w:ascii="Arial" w:hAnsi="Arial" w:cs="Arial"/>
                <w:noProof/>
                <w:webHidden/>
                <w:sz w:val="20"/>
                <w:szCs w:val="20"/>
              </w:rPr>
              <w:instrText xml:space="preserve"> PAGEREF _Toc135409893 \h </w:instrText>
            </w:r>
            <w:r w:rsidR="006E54F2" w:rsidRPr="00E368E0">
              <w:rPr>
                <w:rFonts w:ascii="Arial" w:hAnsi="Arial" w:cs="Arial"/>
                <w:noProof/>
                <w:webHidden/>
                <w:sz w:val="20"/>
                <w:szCs w:val="20"/>
              </w:rPr>
            </w:r>
            <w:r w:rsidR="006E54F2" w:rsidRPr="00E368E0">
              <w:rPr>
                <w:rFonts w:ascii="Arial" w:hAnsi="Arial" w:cs="Arial"/>
                <w:noProof/>
                <w:webHidden/>
                <w:sz w:val="20"/>
                <w:szCs w:val="20"/>
              </w:rPr>
              <w:fldChar w:fldCharType="separate"/>
            </w:r>
            <w:r w:rsidR="007D5162">
              <w:rPr>
                <w:rFonts w:ascii="Arial" w:hAnsi="Arial" w:cs="Arial"/>
                <w:noProof/>
                <w:webHidden/>
                <w:sz w:val="20"/>
                <w:szCs w:val="20"/>
              </w:rPr>
              <w:t>20</w:t>
            </w:r>
            <w:r w:rsidR="006E54F2" w:rsidRPr="00E368E0">
              <w:rPr>
                <w:rFonts w:ascii="Arial" w:hAnsi="Arial" w:cs="Arial"/>
                <w:noProof/>
                <w:webHidden/>
                <w:sz w:val="20"/>
                <w:szCs w:val="20"/>
              </w:rPr>
              <w:fldChar w:fldCharType="end"/>
            </w:r>
          </w:hyperlink>
        </w:p>
        <w:p w14:paraId="0E1FDE18" w14:textId="2CCC3CF2" w:rsidR="006E54F2" w:rsidRPr="00E368E0" w:rsidRDefault="00000000" w:rsidP="000A1889">
          <w:pPr>
            <w:pStyle w:val="TOC2"/>
            <w:tabs>
              <w:tab w:val="clear" w:pos="400"/>
              <w:tab w:val="clear" w:pos="9628"/>
              <w:tab w:val="left" w:pos="709"/>
              <w:tab w:val="right" w:leader="dot" w:pos="9639"/>
            </w:tabs>
            <w:rPr>
              <w:rFonts w:ascii="Arial" w:eastAsiaTheme="minorEastAsia" w:hAnsi="Arial" w:cs="Arial"/>
            </w:rPr>
          </w:pPr>
          <w:hyperlink w:anchor="_Toc135409894" w:history="1">
            <w:r w:rsidR="006E54F2" w:rsidRPr="00E368E0">
              <w:rPr>
                <w:rStyle w:val="Hyperlink"/>
                <w:rFonts w:ascii="Arial" w:eastAsiaTheme="minorHAnsi" w:hAnsi="Arial" w:cs="Arial"/>
                <w:lang w:val="en-US"/>
              </w:rPr>
              <w:t>5.1.</w:t>
            </w:r>
            <w:r w:rsidR="006E54F2" w:rsidRPr="00E368E0">
              <w:rPr>
                <w:rFonts w:ascii="Arial" w:eastAsiaTheme="minorEastAsia" w:hAnsi="Arial" w:cs="Arial"/>
              </w:rPr>
              <w:tab/>
            </w:r>
            <w:r w:rsidR="006E54F2" w:rsidRPr="00E368E0">
              <w:rPr>
                <w:rStyle w:val="Hyperlink"/>
                <w:rFonts w:ascii="Arial" w:eastAsiaTheme="minorHAnsi" w:hAnsi="Arial" w:cs="Arial"/>
                <w:lang w:val="en-US"/>
              </w:rPr>
              <w:t>Financial Action Task Force</w:t>
            </w:r>
            <w:r w:rsidR="006E54F2" w:rsidRPr="00E368E0">
              <w:rPr>
                <w:rFonts w:ascii="Arial" w:hAnsi="Arial" w:cs="Arial"/>
                <w:webHidden/>
              </w:rPr>
              <w:tab/>
            </w:r>
            <w:r w:rsidR="006E54F2" w:rsidRPr="00E368E0">
              <w:rPr>
                <w:rFonts w:ascii="Arial" w:hAnsi="Arial" w:cs="Arial"/>
                <w:webHidden/>
              </w:rPr>
              <w:fldChar w:fldCharType="begin"/>
            </w:r>
            <w:r w:rsidR="006E54F2" w:rsidRPr="00E368E0">
              <w:rPr>
                <w:rFonts w:ascii="Arial" w:hAnsi="Arial" w:cs="Arial"/>
                <w:webHidden/>
              </w:rPr>
              <w:instrText xml:space="preserve"> PAGEREF _Toc135409894 \h </w:instrText>
            </w:r>
            <w:r w:rsidR="006E54F2" w:rsidRPr="00E368E0">
              <w:rPr>
                <w:rFonts w:ascii="Arial" w:hAnsi="Arial" w:cs="Arial"/>
                <w:webHidden/>
              </w:rPr>
            </w:r>
            <w:r w:rsidR="006E54F2" w:rsidRPr="00E368E0">
              <w:rPr>
                <w:rFonts w:ascii="Arial" w:hAnsi="Arial" w:cs="Arial"/>
                <w:webHidden/>
              </w:rPr>
              <w:fldChar w:fldCharType="separate"/>
            </w:r>
            <w:r w:rsidR="007D5162">
              <w:rPr>
                <w:rFonts w:ascii="Arial" w:hAnsi="Arial" w:cs="Arial"/>
                <w:webHidden/>
              </w:rPr>
              <w:t>20</w:t>
            </w:r>
            <w:r w:rsidR="006E54F2" w:rsidRPr="00E368E0">
              <w:rPr>
                <w:rFonts w:ascii="Arial" w:hAnsi="Arial" w:cs="Arial"/>
                <w:webHidden/>
              </w:rPr>
              <w:fldChar w:fldCharType="end"/>
            </w:r>
          </w:hyperlink>
        </w:p>
        <w:p w14:paraId="7797E8AD" w14:textId="7ECE2498" w:rsidR="006E54F2" w:rsidRPr="00E368E0" w:rsidRDefault="00000000" w:rsidP="000A1889">
          <w:pPr>
            <w:pStyle w:val="TOC2"/>
            <w:tabs>
              <w:tab w:val="clear" w:pos="400"/>
              <w:tab w:val="clear" w:pos="9628"/>
              <w:tab w:val="left" w:pos="709"/>
              <w:tab w:val="right" w:leader="dot" w:pos="9639"/>
            </w:tabs>
            <w:rPr>
              <w:rFonts w:ascii="Arial" w:eastAsiaTheme="minorEastAsia" w:hAnsi="Arial" w:cs="Arial"/>
            </w:rPr>
          </w:pPr>
          <w:hyperlink w:anchor="_Toc135409895" w:history="1">
            <w:r w:rsidR="006E54F2" w:rsidRPr="00E368E0">
              <w:rPr>
                <w:rStyle w:val="Hyperlink"/>
                <w:rFonts w:ascii="Arial" w:eastAsiaTheme="minorHAnsi" w:hAnsi="Arial" w:cs="Arial"/>
                <w:lang w:val="en-US"/>
              </w:rPr>
              <w:t>5.2.</w:t>
            </w:r>
            <w:r w:rsidR="006E54F2" w:rsidRPr="00E368E0">
              <w:rPr>
                <w:rFonts w:ascii="Arial" w:eastAsiaTheme="minorEastAsia" w:hAnsi="Arial" w:cs="Arial"/>
              </w:rPr>
              <w:tab/>
            </w:r>
            <w:r w:rsidR="006E54F2" w:rsidRPr="00E368E0">
              <w:rPr>
                <w:rStyle w:val="Hyperlink"/>
                <w:rFonts w:ascii="Arial" w:eastAsiaTheme="minorHAnsi" w:hAnsi="Arial" w:cs="Arial"/>
                <w:lang w:val="en-US"/>
              </w:rPr>
              <w:t>FATF-style regional bodies</w:t>
            </w:r>
            <w:r w:rsidR="006E54F2" w:rsidRPr="00E368E0">
              <w:rPr>
                <w:rFonts w:ascii="Arial" w:hAnsi="Arial" w:cs="Arial"/>
                <w:webHidden/>
              </w:rPr>
              <w:tab/>
            </w:r>
            <w:r w:rsidR="006E54F2" w:rsidRPr="00E368E0">
              <w:rPr>
                <w:rFonts w:ascii="Arial" w:hAnsi="Arial" w:cs="Arial"/>
                <w:webHidden/>
              </w:rPr>
              <w:fldChar w:fldCharType="begin"/>
            </w:r>
            <w:r w:rsidR="006E54F2" w:rsidRPr="00E368E0">
              <w:rPr>
                <w:rFonts w:ascii="Arial" w:hAnsi="Arial" w:cs="Arial"/>
                <w:webHidden/>
              </w:rPr>
              <w:instrText xml:space="preserve"> PAGEREF _Toc135409895 \h </w:instrText>
            </w:r>
            <w:r w:rsidR="006E54F2" w:rsidRPr="00E368E0">
              <w:rPr>
                <w:rFonts w:ascii="Arial" w:hAnsi="Arial" w:cs="Arial"/>
                <w:webHidden/>
              </w:rPr>
            </w:r>
            <w:r w:rsidR="006E54F2" w:rsidRPr="00E368E0">
              <w:rPr>
                <w:rFonts w:ascii="Arial" w:hAnsi="Arial" w:cs="Arial"/>
                <w:webHidden/>
              </w:rPr>
              <w:fldChar w:fldCharType="separate"/>
            </w:r>
            <w:r w:rsidR="007D5162">
              <w:rPr>
                <w:rFonts w:ascii="Arial" w:hAnsi="Arial" w:cs="Arial"/>
                <w:webHidden/>
              </w:rPr>
              <w:t>21</w:t>
            </w:r>
            <w:r w:rsidR="006E54F2" w:rsidRPr="00E368E0">
              <w:rPr>
                <w:rFonts w:ascii="Arial" w:hAnsi="Arial" w:cs="Arial"/>
                <w:webHidden/>
              </w:rPr>
              <w:fldChar w:fldCharType="end"/>
            </w:r>
          </w:hyperlink>
        </w:p>
        <w:p w14:paraId="19C62A43" w14:textId="6029319B" w:rsidR="006E54F2" w:rsidRPr="00E368E0" w:rsidRDefault="00000000" w:rsidP="000A1889">
          <w:pPr>
            <w:pStyle w:val="TOC2"/>
            <w:tabs>
              <w:tab w:val="clear" w:pos="400"/>
              <w:tab w:val="clear" w:pos="9628"/>
              <w:tab w:val="left" w:pos="709"/>
              <w:tab w:val="right" w:leader="dot" w:pos="9639"/>
            </w:tabs>
            <w:rPr>
              <w:rFonts w:ascii="Arial" w:eastAsiaTheme="minorEastAsia" w:hAnsi="Arial" w:cs="Arial"/>
            </w:rPr>
          </w:pPr>
          <w:hyperlink w:anchor="_Toc135409896" w:history="1">
            <w:r w:rsidR="006E54F2" w:rsidRPr="00E368E0">
              <w:rPr>
                <w:rStyle w:val="Hyperlink"/>
                <w:rFonts w:ascii="Arial" w:eastAsiaTheme="minorHAnsi" w:hAnsi="Arial" w:cs="Arial"/>
                <w:lang w:val="en-US"/>
              </w:rPr>
              <w:t>5.3.</w:t>
            </w:r>
            <w:r w:rsidR="006E54F2" w:rsidRPr="00E368E0">
              <w:rPr>
                <w:rFonts w:ascii="Arial" w:eastAsiaTheme="minorEastAsia" w:hAnsi="Arial" w:cs="Arial"/>
              </w:rPr>
              <w:tab/>
            </w:r>
            <w:r w:rsidR="006E54F2" w:rsidRPr="00E368E0">
              <w:rPr>
                <w:rStyle w:val="Hyperlink"/>
                <w:rFonts w:ascii="Arial" w:eastAsiaTheme="minorHAnsi" w:hAnsi="Arial" w:cs="Arial"/>
                <w:lang w:val="en-US"/>
              </w:rPr>
              <w:t>Other partnerships</w:t>
            </w:r>
            <w:r w:rsidR="006E54F2" w:rsidRPr="00E368E0">
              <w:rPr>
                <w:rFonts w:ascii="Arial" w:hAnsi="Arial" w:cs="Arial"/>
                <w:webHidden/>
              </w:rPr>
              <w:tab/>
            </w:r>
            <w:r w:rsidR="006E54F2" w:rsidRPr="00E368E0">
              <w:rPr>
                <w:rFonts w:ascii="Arial" w:hAnsi="Arial" w:cs="Arial"/>
                <w:webHidden/>
              </w:rPr>
              <w:fldChar w:fldCharType="begin"/>
            </w:r>
            <w:r w:rsidR="006E54F2" w:rsidRPr="00E368E0">
              <w:rPr>
                <w:rFonts w:ascii="Arial" w:hAnsi="Arial" w:cs="Arial"/>
                <w:webHidden/>
              </w:rPr>
              <w:instrText xml:space="preserve"> PAGEREF _Toc135409896 \h </w:instrText>
            </w:r>
            <w:r w:rsidR="006E54F2" w:rsidRPr="00E368E0">
              <w:rPr>
                <w:rFonts w:ascii="Arial" w:hAnsi="Arial" w:cs="Arial"/>
                <w:webHidden/>
              </w:rPr>
            </w:r>
            <w:r w:rsidR="006E54F2" w:rsidRPr="00E368E0">
              <w:rPr>
                <w:rFonts w:ascii="Arial" w:hAnsi="Arial" w:cs="Arial"/>
                <w:webHidden/>
              </w:rPr>
              <w:fldChar w:fldCharType="separate"/>
            </w:r>
            <w:r w:rsidR="007D5162">
              <w:rPr>
                <w:rFonts w:ascii="Arial" w:hAnsi="Arial" w:cs="Arial"/>
                <w:webHidden/>
              </w:rPr>
              <w:t>21</w:t>
            </w:r>
            <w:r w:rsidR="006E54F2" w:rsidRPr="00E368E0">
              <w:rPr>
                <w:rFonts w:ascii="Arial" w:hAnsi="Arial" w:cs="Arial"/>
                <w:webHidden/>
              </w:rPr>
              <w:fldChar w:fldCharType="end"/>
            </w:r>
          </w:hyperlink>
        </w:p>
        <w:p w14:paraId="62501817" w14:textId="4B3CD9E1" w:rsidR="006E54F2" w:rsidRPr="00E368E0" w:rsidRDefault="00000000" w:rsidP="000A1889">
          <w:pPr>
            <w:pStyle w:val="TOC1"/>
            <w:rPr>
              <w:rFonts w:ascii="Arial" w:eastAsiaTheme="minorEastAsia" w:hAnsi="Arial" w:cs="Arial"/>
              <w:noProof/>
              <w:sz w:val="20"/>
              <w:szCs w:val="20"/>
            </w:rPr>
          </w:pPr>
          <w:hyperlink w:anchor="_Toc135409897" w:history="1">
            <w:r w:rsidR="006E54F2" w:rsidRPr="00E368E0">
              <w:rPr>
                <w:rStyle w:val="Hyperlink"/>
                <w:rFonts w:ascii="Arial" w:eastAsiaTheme="minorHAnsi" w:hAnsi="Arial" w:cs="Arial"/>
                <w:noProof/>
                <w:kern w:val="28"/>
                <w:sz w:val="20"/>
                <w:szCs w:val="20"/>
              </w:rPr>
              <w:t>6.</w:t>
            </w:r>
            <w:r w:rsidR="006E54F2" w:rsidRPr="00E368E0">
              <w:rPr>
                <w:rFonts w:ascii="Arial" w:eastAsiaTheme="minorEastAsia" w:hAnsi="Arial" w:cs="Arial"/>
                <w:noProof/>
                <w:sz w:val="20"/>
                <w:szCs w:val="20"/>
              </w:rPr>
              <w:tab/>
            </w:r>
            <w:r w:rsidR="006E54F2" w:rsidRPr="00E368E0">
              <w:rPr>
                <w:rStyle w:val="Hyperlink"/>
                <w:rFonts w:ascii="Arial" w:eastAsiaTheme="minorHAnsi" w:hAnsi="Arial" w:cs="Arial"/>
                <w:noProof/>
                <w:kern w:val="28"/>
                <w:sz w:val="20"/>
                <w:szCs w:val="20"/>
              </w:rPr>
              <w:t>ENGAGEMENT WITHIN THE COUNCIL OF EUROPE</w:t>
            </w:r>
            <w:r w:rsidR="006E54F2" w:rsidRPr="00E368E0">
              <w:rPr>
                <w:rFonts w:ascii="Arial" w:hAnsi="Arial" w:cs="Arial"/>
                <w:noProof/>
                <w:webHidden/>
                <w:sz w:val="20"/>
                <w:szCs w:val="20"/>
              </w:rPr>
              <w:tab/>
            </w:r>
            <w:r w:rsidR="006E54F2" w:rsidRPr="00E368E0">
              <w:rPr>
                <w:rFonts w:ascii="Arial" w:hAnsi="Arial" w:cs="Arial"/>
                <w:noProof/>
                <w:webHidden/>
                <w:sz w:val="20"/>
                <w:szCs w:val="20"/>
              </w:rPr>
              <w:fldChar w:fldCharType="begin"/>
            </w:r>
            <w:r w:rsidR="006E54F2" w:rsidRPr="00E368E0">
              <w:rPr>
                <w:rFonts w:ascii="Arial" w:hAnsi="Arial" w:cs="Arial"/>
                <w:noProof/>
                <w:webHidden/>
                <w:sz w:val="20"/>
                <w:szCs w:val="20"/>
              </w:rPr>
              <w:instrText xml:space="preserve"> PAGEREF _Toc135409897 \h </w:instrText>
            </w:r>
            <w:r w:rsidR="006E54F2" w:rsidRPr="00E368E0">
              <w:rPr>
                <w:rFonts w:ascii="Arial" w:hAnsi="Arial" w:cs="Arial"/>
                <w:noProof/>
                <w:webHidden/>
                <w:sz w:val="20"/>
                <w:szCs w:val="20"/>
              </w:rPr>
            </w:r>
            <w:r w:rsidR="006E54F2" w:rsidRPr="00E368E0">
              <w:rPr>
                <w:rFonts w:ascii="Arial" w:hAnsi="Arial" w:cs="Arial"/>
                <w:noProof/>
                <w:webHidden/>
                <w:sz w:val="20"/>
                <w:szCs w:val="20"/>
              </w:rPr>
              <w:fldChar w:fldCharType="separate"/>
            </w:r>
            <w:r w:rsidR="007D5162">
              <w:rPr>
                <w:rFonts w:ascii="Arial" w:hAnsi="Arial" w:cs="Arial"/>
                <w:noProof/>
                <w:webHidden/>
                <w:sz w:val="20"/>
                <w:szCs w:val="20"/>
              </w:rPr>
              <w:t>22</w:t>
            </w:r>
            <w:r w:rsidR="006E54F2" w:rsidRPr="00E368E0">
              <w:rPr>
                <w:rFonts w:ascii="Arial" w:hAnsi="Arial" w:cs="Arial"/>
                <w:noProof/>
                <w:webHidden/>
                <w:sz w:val="20"/>
                <w:szCs w:val="20"/>
              </w:rPr>
              <w:fldChar w:fldCharType="end"/>
            </w:r>
          </w:hyperlink>
        </w:p>
        <w:p w14:paraId="35B91CB2" w14:textId="4D7D4BAF" w:rsidR="006E54F2" w:rsidRPr="00E368E0" w:rsidRDefault="00000000" w:rsidP="000A1889">
          <w:pPr>
            <w:pStyle w:val="TOC1"/>
            <w:rPr>
              <w:rFonts w:ascii="Arial" w:eastAsiaTheme="minorEastAsia" w:hAnsi="Arial" w:cs="Arial"/>
              <w:noProof/>
              <w:sz w:val="20"/>
              <w:szCs w:val="20"/>
            </w:rPr>
          </w:pPr>
          <w:hyperlink w:anchor="_Toc135409898" w:history="1">
            <w:r w:rsidR="006E54F2" w:rsidRPr="00E368E0">
              <w:rPr>
                <w:rStyle w:val="Hyperlink"/>
                <w:rFonts w:ascii="Arial" w:eastAsiaTheme="minorHAnsi" w:hAnsi="Arial" w:cs="Arial"/>
                <w:noProof/>
                <w:kern w:val="28"/>
                <w:sz w:val="20"/>
                <w:szCs w:val="20"/>
              </w:rPr>
              <w:t>7.</w:t>
            </w:r>
            <w:r w:rsidR="006E54F2" w:rsidRPr="00E368E0">
              <w:rPr>
                <w:rFonts w:ascii="Arial" w:eastAsiaTheme="minorEastAsia" w:hAnsi="Arial" w:cs="Arial"/>
                <w:noProof/>
                <w:sz w:val="20"/>
                <w:szCs w:val="20"/>
              </w:rPr>
              <w:tab/>
            </w:r>
            <w:r w:rsidR="006E54F2" w:rsidRPr="00E368E0">
              <w:rPr>
                <w:rStyle w:val="Hyperlink"/>
                <w:rFonts w:ascii="Arial" w:eastAsiaTheme="minorHAnsi" w:hAnsi="Arial" w:cs="Arial"/>
                <w:noProof/>
                <w:kern w:val="28"/>
                <w:sz w:val="20"/>
                <w:szCs w:val="20"/>
              </w:rPr>
              <w:t>HUMAN RESOURCES</w:t>
            </w:r>
            <w:r w:rsidR="006E54F2" w:rsidRPr="00E368E0">
              <w:rPr>
                <w:rFonts w:ascii="Arial" w:hAnsi="Arial" w:cs="Arial"/>
                <w:noProof/>
                <w:webHidden/>
                <w:sz w:val="20"/>
                <w:szCs w:val="20"/>
              </w:rPr>
              <w:tab/>
            </w:r>
            <w:r w:rsidR="006E54F2" w:rsidRPr="00E368E0">
              <w:rPr>
                <w:rFonts w:ascii="Arial" w:hAnsi="Arial" w:cs="Arial"/>
                <w:noProof/>
                <w:webHidden/>
                <w:sz w:val="20"/>
                <w:szCs w:val="20"/>
              </w:rPr>
              <w:fldChar w:fldCharType="begin"/>
            </w:r>
            <w:r w:rsidR="006E54F2" w:rsidRPr="00E368E0">
              <w:rPr>
                <w:rFonts w:ascii="Arial" w:hAnsi="Arial" w:cs="Arial"/>
                <w:noProof/>
                <w:webHidden/>
                <w:sz w:val="20"/>
                <w:szCs w:val="20"/>
              </w:rPr>
              <w:instrText xml:space="preserve"> PAGEREF _Toc135409898 \h </w:instrText>
            </w:r>
            <w:r w:rsidR="006E54F2" w:rsidRPr="00E368E0">
              <w:rPr>
                <w:rFonts w:ascii="Arial" w:hAnsi="Arial" w:cs="Arial"/>
                <w:noProof/>
                <w:webHidden/>
                <w:sz w:val="20"/>
                <w:szCs w:val="20"/>
              </w:rPr>
            </w:r>
            <w:r w:rsidR="006E54F2" w:rsidRPr="00E368E0">
              <w:rPr>
                <w:rFonts w:ascii="Arial" w:hAnsi="Arial" w:cs="Arial"/>
                <w:noProof/>
                <w:webHidden/>
                <w:sz w:val="20"/>
                <w:szCs w:val="20"/>
              </w:rPr>
              <w:fldChar w:fldCharType="separate"/>
            </w:r>
            <w:r w:rsidR="007D5162">
              <w:rPr>
                <w:rFonts w:ascii="Arial" w:hAnsi="Arial" w:cs="Arial"/>
                <w:noProof/>
                <w:webHidden/>
                <w:sz w:val="20"/>
                <w:szCs w:val="20"/>
              </w:rPr>
              <w:t>23</w:t>
            </w:r>
            <w:r w:rsidR="006E54F2" w:rsidRPr="00E368E0">
              <w:rPr>
                <w:rFonts w:ascii="Arial" w:hAnsi="Arial" w:cs="Arial"/>
                <w:noProof/>
                <w:webHidden/>
                <w:sz w:val="20"/>
                <w:szCs w:val="20"/>
              </w:rPr>
              <w:fldChar w:fldCharType="end"/>
            </w:r>
          </w:hyperlink>
        </w:p>
        <w:p w14:paraId="198EB98D" w14:textId="119A8149" w:rsidR="006E54F2" w:rsidRPr="00E368E0" w:rsidRDefault="00000000" w:rsidP="000A1889">
          <w:pPr>
            <w:pStyle w:val="TOC1"/>
            <w:rPr>
              <w:rFonts w:ascii="Arial" w:eastAsiaTheme="minorEastAsia" w:hAnsi="Arial" w:cs="Arial"/>
              <w:noProof/>
              <w:sz w:val="20"/>
              <w:szCs w:val="20"/>
            </w:rPr>
          </w:pPr>
          <w:hyperlink w:anchor="_Toc135409899" w:history="1">
            <w:r w:rsidR="006E54F2" w:rsidRPr="00E368E0">
              <w:rPr>
                <w:rStyle w:val="Hyperlink"/>
                <w:rFonts w:ascii="Arial" w:eastAsiaTheme="minorHAnsi" w:hAnsi="Arial" w:cs="Arial"/>
                <w:noProof/>
                <w:kern w:val="28"/>
                <w:sz w:val="20"/>
                <w:szCs w:val="20"/>
              </w:rPr>
              <w:t>8.</w:t>
            </w:r>
            <w:r w:rsidR="006E54F2" w:rsidRPr="00E368E0">
              <w:rPr>
                <w:rFonts w:ascii="Arial" w:eastAsiaTheme="minorEastAsia" w:hAnsi="Arial" w:cs="Arial"/>
                <w:noProof/>
                <w:sz w:val="20"/>
                <w:szCs w:val="20"/>
              </w:rPr>
              <w:tab/>
            </w:r>
            <w:r w:rsidR="006E54F2" w:rsidRPr="00E368E0">
              <w:rPr>
                <w:rStyle w:val="Hyperlink"/>
                <w:rFonts w:ascii="Arial" w:eastAsiaTheme="minorHAnsi" w:hAnsi="Arial" w:cs="Arial"/>
                <w:noProof/>
                <w:kern w:val="28"/>
                <w:sz w:val="20"/>
                <w:szCs w:val="20"/>
              </w:rPr>
              <w:t>GOVERNANCE AND PROCEDURAL FRAMEWORK</w:t>
            </w:r>
            <w:r w:rsidR="006E54F2" w:rsidRPr="00E368E0">
              <w:rPr>
                <w:rFonts w:ascii="Arial" w:hAnsi="Arial" w:cs="Arial"/>
                <w:noProof/>
                <w:webHidden/>
                <w:sz w:val="20"/>
                <w:szCs w:val="20"/>
              </w:rPr>
              <w:tab/>
            </w:r>
            <w:r w:rsidR="006E54F2" w:rsidRPr="00E368E0">
              <w:rPr>
                <w:rFonts w:ascii="Arial" w:hAnsi="Arial" w:cs="Arial"/>
                <w:noProof/>
                <w:webHidden/>
                <w:sz w:val="20"/>
                <w:szCs w:val="20"/>
              </w:rPr>
              <w:fldChar w:fldCharType="begin"/>
            </w:r>
            <w:r w:rsidR="006E54F2" w:rsidRPr="00E368E0">
              <w:rPr>
                <w:rFonts w:ascii="Arial" w:hAnsi="Arial" w:cs="Arial"/>
                <w:noProof/>
                <w:webHidden/>
                <w:sz w:val="20"/>
                <w:szCs w:val="20"/>
              </w:rPr>
              <w:instrText xml:space="preserve"> PAGEREF _Toc135409899 \h </w:instrText>
            </w:r>
            <w:r w:rsidR="006E54F2" w:rsidRPr="00E368E0">
              <w:rPr>
                <w:rFonts w:ascii="Arial" w:hAnsi="Arial" w:cs="Arial"/>
                <w:noProof/>
                <w:webHidden/>
                <w:sz w:val="20"/>
                <w:szCs w:val="20"/>
              </w:rPr>
            </w:r>
            <w:r w:rsidR="006E54F2" w:rsidRPr="00E368E0">
              <w:rPr>
                <w:rFonts w:ascii="Arial" w:hAnsi="Arial" w:cs="Arial"/>
                <w:noProof/>
                <w:webHidden/>
                <w:sz w:val="20"/>
                <w:szCs w:val="20"/>
              </w:rPr>
              <w:fldChar w:fldCharType="separate"/>
            </w:r>
            <w:r w:rsidR="007D5162">
              <w:rPr>
                <w:rFonts w:ascii="Arial" w:hAnsi="Arial" w:cs="Arial"/>
                <w:noProof/>
                <w:webHidden/>
                <w:sz w:val="20"/>
                <w:szCs w:val="20"/>
              </w:rPr>
              <w:t>23</w:t>
            </w:r>
            <w:r w:rsidR="006E54F2" w:rsidRPr="00E368E0">
              <w:rPr>
                <w:rFonts w:ascii="Arial" w:hAnsi="Arial" w:cs="Arial"/>
                <w:noProof/>
                <w:webHidden/>
                <w:sz w:val="20"/>
                <w:szCs w:val="20"/>
              </w:rPr>
              <w:fldChar w:fldCharType="end"/>
            </w:r>
          </w:hyperlink>
        </w:p>
        <w:p w14:paraId="13710462" w14:textId="1AC922CF" w:rsidR="006E54F2" w:rsidRPr="00E368E0" w:rsidRDefault="00000000" w:rsidP="000A1889">
          <w:pPr>
            <w:pStyle w:val="TOC2"/>
            <w:tabs>
              <w:tab w:val="clear" w:pos="400"/>
              <w:tab w:val="clear" w:pos="9628"/>
              <w:tab w:val="left" w:pos="709"/>
              <w:tab w:val="right" w:leader="dot" w:pos="9639"/>
            </w:tabs>
            <w:rPr>
              <w:rFonts w:ascii="Arial" w:eastAsiaTheme="minorEastAsia" w:hAnsi="Arial" w:cs="Arial"/>
            </w:rPr>
          </w:pPr>
          <w:hyperlink w:anchor="_Toc135409900" w:history="1">
            <w:r w:rsidR="006E54F2" w:rsidRPr="00E368E0">
              <w:rPr>
                <w:rStyle w:val="Hyperlink"/>
                <w:rFonts w:ascii="Arial" w:eastAsiaTheme="minorHAnsi" w:hAnsi="Arial" w:cs="Arial"/>
                <w:lang w:val="en-US"/>
              </w:rPr>
              <w:t>8.1.</w:t>
            </w:r>
            <w:r w:rsidR="006E54F2" w:rsidRPr="00E368E0">
              <w:rPr>
                <w:rFonts w:ascii="Arial" w:eastAsiaTheme="minorEastAsia" w:hAnsi="Arial" w:cs="Arial"/>
              </w:rPr>
              <w:tab/>
            </w:r>
            <w:r w:rsidR="006E54F2" w:rsidRPr="00E368E0">
              <w:rPr>
                <w:rStyle w:val="Hyperlink"/>
                <w:rFonts w:ascii="Arial" w:eastAsiaTheme="minorHAnsi" w:hAnsi="Arial" w:cs="Arial"/>
                <w:lang w:val="en-US"/>
              </w:rPr>
              <w:t>Members and observers</w:t>
            </w:r>
            <w:r w:rsidR="006E54F2" w:rsidRPr="00E368E0">
              <w:rPr>
                <w:rFonts w:ascii="Arial" w:hAnsi="Arial" w:cs="Arial"/>
                <w:webHidden/>
              </w:rPr>
              <w:tab/>
            </w:r>
            <w:r w:rsidR="006E54F2" w:rsidRPr="00E368E0">
              <w:rPr>
                <w:rFonts w:ascii="Arial" w:hAnsi="Arial" w:cs="Arial"/>
                <w:webHidden/>
              </w:rPr>
              <w:fldChar w:fldCharType="begin"/>
            </w:r>
            <w:r w:rsidR="006E54F2" w:rsidRPr="00E368E0">
              <w:rPr>
                <w:rFonts w:ascii="Arial" w:hAnsi="Arial" w:cs="Arial"/>
                <w:webHidden/>
              </w:rPr>
              <w:instrText xml:space="preserve"> PAGEREF _Toc135409900 \h </w:instrText>
            </w:r>
            <w:r w:rsidR="006E54F2" w:rsidRPr="00E368E0">
              <w:rPr>
                <w:rFonts w:ascii="Arial" w:hAnsi="Arial" w:cs="Arial"/>
                <w:webHidden/>
              </w:rPr>
            </w:r>
            <w:r w:rsidR="006E54F2" w:rsidRPr="00E368E0">
              <w:rPr>
                <w:rFonts w:ascii="Arial" w:hAnsi="Arial" w:cs="Arial"/>
                <w:webHidden/>
              </w:rPr>
              <w:fldChar w:fldCharType="separate"/>
            </w:r>
            <w:r w:rsidR="007D5162">
              <w:rPr>
                <w:rFonts w:ascii="Arial" w:hAnsi="Arial" w:cs="Arial"/>
                <w:webHidden/>
              </w:rPr>
              <w:t>24</w:t>
            </w:r>
            <w:r w:rsidR="006E54F2" w:rsidRPr="00E368E0">
              <w:rPr>
                <w:rFonts w:ascii="Arial" w:hAnsi="Arial" w:cs="Arial"/>
                <w:webHidden/>
              </w:rPr>
              <w:fldChar w:fldCharType="end"/>
            </w:r>
          </w:hyperlink>
        </w:p>
        <w:p w14:paraId="71C1D2E1" w14:textId="5A6CD362" w:rsidR="006E54F2" w:rsidRPr="00E368E0" w:rsidRDefault="00000000" w:rsidP="000A1889">
          <w:pPr>
            <w:pStyle w:val="TOC2"/>
            <w:tabs>
              <w:tab w:val="clear" w:pos="400"/>
              <w:tab w:val="clear" w:pos="9628"/>
              <w:tab w:val="left" w:pos="709"/>
              <w:tab w:val="right" w:leader="dot" w:pos="9639"/>
            </w:tabs>
            <w:rPr>
              <w:rFonts w:ascii="Arial" w:eastAsiaTheme="minorEastAsia" w:hAnsi="Arial" w:cs="Arial"/>
            </w:rPr>
          </w:pPr>
          <w:hyperlink w:anchor="_Toc135409901" w:history="1">
            <w:r w:rsidR="006E54F2" w:rsidRPr="00E368E0">
              <w:rPr>
                <w:rStyle w:val="Hyperlink"/>
                <w:rFonts w:ascii="Arial" w:eastAsiaTheme="minorHAnsi" w:hAnsi="Arial" w:cs="Arial"/>
                <w:lang w:val="en-US"/>
              </w:rPr>
              <w:t>8.2.</w:t>
            </w:r>
            <w:r w:rsidR="006E54F2" w:rsidRPr="00E368E0">
              <w:rPr>
                <w:rFonts w:ascii="Arial" w:eastAsiaTheme="minorEastAsia" w:hAnsi="Arial" w:cs="Arial"/>
              </w:rPr>
              <w:tab/>
            </w:r>
            <w:r w:rsidR="006E54F2" w:rsidRPr="00E368E0">
              <w:rPr>
                <w:rStyle w:val="Hyperlink"/>
                <w:rFonts w:ascii="Arial" w:eastAsiaTheme="minorHAnsi" w:hAnsi="Arial" w:cs="Arial"/>
                <w:lang w:val="en-US"/>
              </w:rPr>
              <w:t>Bureau</w:t>
            </w:r>
            <w:r w:rsidR="006E54F2" w:rsidRPr="00E368E0">
              <w:rPr>
                <w:rFonts w:ascii="Arial" w:hAnsi="Arial" w:cs="Arial"/>
                <w:webHidden/>
              </w:rPr>
              <w:tab/>
            </w:r>
            <w:r w:rsidR="006E54F2" w:rsidRPr="00E368E0">
              <w:rPr>
                <w:rFonts w:ascii="Arial" w:hAnsi="Arial" w:cs="Arial"/>
                <w:webHidden/>
              </w:rPr>
              <w:fldChar w:fldCharType="begin"/>
            </w:r>
            <w:r w:rsidR="006E54F2" w:rsidRPr="00E368E0">
              <w:rPr>
                <w:rFonts w:ascii="Arial" w:hAnsi="Arial" w:cs="Arial"/>
                <w:webHidden/>
              </w:rPr>
              <w:instrText xml:space="preserve"> PAGEREF _Toc135409901 \h </w:instrText>
            </w:r>
            <w:r w:rsidR="006E54F2" w:rsidRPr="00E368E0">
              <w:rPr>
                <w:rFonts w:ascii="Arial" w:hAnsi="Arial" w:cs="Arial"/>
                <w:webHidden/>
              </w:rPr>
            </w:r>
            <w:r w:rsidR="006E54F2" w:rsidRPr="00E368E0">
              <w:rPr>
                <w:rFonts w:ascii="Arial" w:hAnsi="Arial" w:cs="Arial"/>
                <w:webHidden/>
              </w:rPr>
              <w:fldChar w:fldCharType="separate"/>
            </w:r>
            <w:r w:rsidR="007D5162">
              <w:rPr>
                <w:rFonts w:ascii="Arial" w:hAnsi="Arial" w:cs="Arial"/>
                <w:webHidden/>
              </w:rPr>
              <w:t>25</w:t>
            </w:r>
            <w:r w:rsidR="006E54F2" w:rsidRPr="00E368E0">
              <w:rPr>
                <w:rFonts w:ascii="Arial" w:hAnsi="Arial" w:cs="Arial"/>
                <w:webHidden/>
              </w:rPr>
              <w:fldChar w:fldCharType="end"/>
            </w:r>
          </w:hyperlink>
        </w:p>
        <w:p w14:paraId="33C3F32E" w14:textId="4EBE6FF2" w:rsidR="006E54F2" w:rsidRPr="00E368E0" w:rsidRDefault="00000000" w:rsidP="000A1889">
          <w:pPr>
            <w:pStyle w:val="TOC2"/>
            <w:tabs>
              <w:tab w:val="clear" w:pos="400"/>
              <w:tab w:val="clear" w:pos="9628"/>
              <w:tab w:val="left" w:pos="709"/>
              <w:tab w:val="right" w:leader="dot" w:pos="9639"/>
            </w:tabs>
            <w:rPr>
              <w:rFonts w:ascii="Arial" w:eastAsiaTheme="minorEastAsia" w:hAnsi="Arial" w:cs="Arial"/>
            </w:rPr>
          </w:pPr>
          <w:hyperlink w:anchor="_Toc135409902" w:history="1">
            <w:r w:rsidR="006E54F2" w:rsidRPr="00E368E0">
              <w:rPr>
                <w:rStyle w:val="Hyperlink"/>
                <w:rFonts w:ascii="Arial" w:eastAsiaTheme="minorHAnsi" w:hAnsi="Arial" w:cs="Arial"/>
                <w:lang w:val="en-US"/>
              </w:rPr>
              <w:t>8.3.</w:t>
            </w:r>
            <w:r w:rsidR="006E54F2" w:rsidRPr="00E368E0">
              <w:rPr>
                <w:rFonts w:ascii="Arial" w:eastAsiaTheme="minorEastAsia" w:hAnsi="Arial" w:cs="Arial"/>
              </w:rPr>
              <w:tab/>
            </w:r>
            <w:r w:rsidR="006E54F2" w:rsidRPr="00E368E0">
              <w:rPr>
                <w:rStyle w:val="Hyperlink"/>
                <w:rFonts w:ascii="Arial" w:eastAsiaTheme="minorHAnsi" w:hAnsi="Arial" w:cs="Arial"/>
                <w:lang w:val="en-US"/>
              </w:rPr>
              <w:t>Scientific Experts</w:t>
            </w:r>
            <w:r w:rsidR="006E54F2" w:rsidRPr="00E368E0">
              <w:rPr>
                <w:rFonts w:ascii="Arial" w:hAnsi="Arial" w:cs="Arial"/>
                <w:webHidden/>
              </w:rPr>
              <w:tab/>
            </w:r>
            <w:r w:rsidR="006E54F2" w:rsidRPr="00E368E0">
              <w:rPr>
                <w:rFonts w:ascii="Arial" w:hAnsi="Arial" w:cs="Arial"/>
                <w:webHidden/>
              </w:rPr>
              <w:fldChar w:fldCharType="begin"/>
            </w:r>
            <w:r w:rsidR="006E54F2" w:rsidRPr="00E368E0">
              <w:rPr>
                <w:rFonts w:ascii="Arial" w:hAnsi="Arial" w:cs="Arial"/>
                <w:webHidden/>
              </w:rPr>
              <w:instrText xml:space="preserve"> PAGEREF _Toc135409902 \h </w:instrText>
            </w:r>
            <w:r w:rsidR="006E54F2" w:rsidRPr="00E368E0">
              <w:rPr>
                <w:rFonts w:ascii="Arial" w:hAnsi="Arial" w:cs="Arial"/>
                <w:webHidden/>
              </w:rPr>
            </w:r>
            <w:r w:rsidR="006E54F2" w:rsidRPr="00E368E0">
              <w:rPr>
                <w:rFonts w:ascii="Arial" w:hAnsi="Arial" w:cs="Arial"/>
                <w:webHidden/>
              </w:rPr>
              <w:fldChar w:fldCharType="separate"/>
            </w:r>
            <w:r w:rsidR="007D5162">
              <w:rPr>
                <w:rFonts w:ascii="Arial" w:hAnsi="Arial" w:cs="Arial"/>
                <w:webHidden/>
              </w:rPr>
              <w:t>25</w:t>
            </w:r>
            <w:r w:rsidR="006E54F2" w:rsidRPr="00E368E0">
              <w:rPr>
                <w:rFonts w:ascii="Arial" w:hAnsi="Arial" w:cs="Arial"/>
                <w:webHidden/>
              </w:rPr>
              <w:fldChar w:fldCharType="end"/>
            </w:r>
          </w:hyperlink>
        </w:p>
        <w:p w14:paraId="7F5505D9" w14:textId="04C15707" w:rsidR="006E54F2" w:rsidRPr="00E368E0" w:rsidRDefault="00000000" w:rsidP="000A1889">
          <w:pPr>
            <w:pStyle w:val="TOC2"/>
            <w:tabs>
              <w:tab w:val="clear" w:pos="400"/>
              <w:tab w:val="clear" w:pos="9628"/>
              <w:tab w:val="left" w:pos="709"/>
              <w:tab w:val="right" w:leader="dot" w:pos="9639"/>
            </w:tabs>
            <w:rPr>
              <w:rFonts w:ascii="Arial" w:eastAsiaTheme="minorEastAsia" w:hAnsi="Arial" w:cs="Arial"/>
            </w:rPr>
          </w:pPr>
          <w:hyperlink w:anchor="_Toc135409903" w:history="1">
            <w:r w:rsidR="006E54F2" w:rsidRPr="00E368E0">
              <w:rPr>
                <w:rStyle w:val="Hyperlink"/>
                <w:rFonts w:ascii="Arial" w:eastAsiaTheme="minorHAnsi" w:hAnsi="Arial" w:cs="Arial"/>
                <w:lang w:val="en-US"/>
              </w:rPr>
              <w:t>8.4.</w:t>
            </w:r>
            <w:r w:rsidR="006E54F2" w:rsidRPr="00E368E0">
              <w:rPr>
                <w:rFonts w:ascii="Arial" w:eastAsiaTheme="minorEastAsia" w:hAnsi="Arial" w:cs="Arial"/>
              </w:rPr>
              <w:tab/>
            </w:r>
            <w:r w:rsidR="006E54F2" w:rsidRPr="00E368E0">
              <w:rPr>
                <w:rStyle w:val="Hyperlink"/>
                <w:rFonts w:ascii="Arial" w:eastAsiaTheme="minorHAnsi" w:hAnsi="Arial" w:cs="Arial"/>
                <w:lang w:val="en-US"/>
              </w:rPr>
              <w:t>Objectives</w:t>
            </w:r>
            <w:r w:rsidR="006E54F2" w:rsidRPr="00E368E0">
              <w:rPr>
                <w:rFonts w:ascii="Arial" w:hAnsi="Arial" w:cs="Arial"/>
                <w:webHidden/>
              </w:rPr>
              <w:tab/>
            </w:r>
            <w:r w:rsidR="006E54F2" w:rsidRPr="00E368E0">
              <w:rPr>
                <w:rFonts w:ascii="Arial" w:hAnsi="Arial" w:cs="Arial"/>
                <w:webHidden/>
              </w:rPr>
              <w:fldChar w:fldCharType="begin"/>
            </w:r>
            <w:r w:rsidR="006E54F2" w:rsidRPr="00E368E0">
              <w:rPr>
                <w:rFonts w:ascii="Arial" w:hAnsi="Arial" w:cs="Arial"/>
                <w:webHidden/>
              </w:rPr>
              <w:instrText xml:space="preserve"> PAGEREF _Toc135409903 \h </w:instrText>
            </w:r>
            <w:r w:rsidR="006E54F2" w:rsidRPr="00E368E0">
              <w:rPr>
                <w:rFonts w:ascii="Arial" w:hAnsi="Arial" w:cs="Arial"/>
                <w:webHidden/>
              </w:rPr>
            </w:r>
            <w:r w:rsidR="006E54F2" w:rsidRPr="00E368E0">
              <w:rPr>
                <w:rFonts w:ascii="Arial" w:hAnsi="Arial" w:cs="Arial"/>
                <w:webHidden/>
              </w:rPr>
              <w:fldChar w:fldCharType="separate"/>
            </w:r>
            <w:r w:rsidR="007D5162">
              <w:rPr>
                <w:rFonts w:ascii="Arial" w:hAnsi="Arial" w:cs="Arial"/>
                <w:webHidden/>
              </w:rPr>
              <w:t>25</w:t>
            </w:r>
            <w:r w:rsidR="006E54F2" w:rsidRPr="00E368E0">
              <w:rPr>
                <w:rFonts w:ascii="Arial" w:hAnsi="Arial" w:cs="Arial"/>
                <w:webHidden/>
              </w:rPr>
              <w:fldChar w:fldCharType="end"/>
            </w:r>
          </w:hyperlink>
        </w:p>
        <w:p w14:paraId="7BCE4360" w14:textId="5C131ACC" w:rsidR="006E54F2" w:rsidRPr="00E368E0" w:rsidRDefault="00000000" w:rsidP="000A1889">
          <w:pPr>
            <w:pStyle w:val="TOC2"/>
            <w:tabs>
              <w:tab w:val="clear" w:pos="400"/>
              <w:tab w:val="clear" w:pos="9628"/>
              <w:tab w:val="left" w:pos="709"/>
              <w:tab w:val="right" w:leader="dot" w:pos="9639"/>
            </w:tabs>
            <w:rPr>
              <w:rFonts w:ascii="Arial" w:eastAsiaTheme="minorEastAsia" w:hAnsi="Arial" w:cs="Arial"/>
            </w:rPr>
          </w:pPr>
          <w:hyperlink w:anchor="_Toc135409904" w:history="1">
            <w:r w:rsidR="006E54F2" w:rsidRPr="00E368E0">
              <w:rPr>
                <w:rStyle w:val="Hyperlink"/>
                <w:rFonts w:ascii="Arial" w:eastAsiaTheme="minorHAnsi" w:hAnsi="Arial" w:cs="Arial"/>
                <w:lang w:val="en-US"/>
              </w:rPr>
              <w:t>8.5.</w:t>
            </w:r>
            <w:r w:rsidR="006E54F2" w:rsidRPr="00E368E0">
              <w:rPr>
                <w:rFonts w:ascii="Arial" w:eastAsiaTheme="minorEastAsia" w:hAnsi="Arial" w:cs="Arial"/>
              </w:rPr>
              <w:tab/>
            </w:r>
            <w:r w:rsidR="006E54F2" w:rsidRPr="00E368E0">
              <w:rPr>
                <w:rStyle w:val="Hyperlink"/>
                <w:rFonts w:ascii="Arial" w:eastAsiaTheme="minorHAnsi" w:hAnsi="Arial" w:cs="Arial"/>
                <w:lang w:val="en-US"/>
              </w:rPr>
              <w:t>Mutual evaluation rounds and follow-up procedures</w:t>
            </w:r>
            <w:r w:rsidR="006E54F2" w:rsidRPr="00E368E0">
              <w:rPr>
                <w:rFonts w:ascii="Arial" w:hAnsi="Arial" w:cs="Arial"/>
                <w:webHidden/>
              </w:rPr>
              <w:tab/>
            </w:r>
            <w:r w:rsidR="006E54F2" w:rsidRPr="00E368E0">
              <w:rPr>
                <w:rFonts w:ascii="Arial" w:hAnsi="Arial" w:cs="Arial"/>
                <w:webHidden/>
              </w:rPr>
              <w:fldChar w:fldCharType="begin"/>
            </w:r>
            <w:r w:rsidR="006E54F2" w:rsidRPr="00E368E0">
              <w:rPr>
                <w:rFonts w:ascii="Arial" w:hAnsi="Arial" w:cs="Arial"/>
                <w:webHidden/>
              </w:rPr>
              <w:instrText xml:space="preserve"> PAGEREF _Toc135409904 \h </w:instrText>
            </w:r>
            <w:r w:rsidR="006E54F2" w:rsidRPr="00E368E0">
              <w:rPr>
                <w:rFonts w:ascii="Arial" w:hAnsi="Arial" w:cs="Arial"/>
                <w:webHidden/>
              </w:rPr>
            </w:r>
            <w:r w:rsidR="006E54F2" w:rsidRPr="00E368E0">
              <w:rPr>
                <w:rFonts w:ascii="Arial" w:hAnsi="Arial" w:cs="Arial"/>
                <w:webHidden/>
              </w:rPr>
              <w:fldChar w:fldCharType="separate"/>
            </w:r>
            <w:r w:rsidR="007D5162">
              <w:rPr>
                <w:rFonts w:ascii="Arial" w:hAnsi="Arial" w:cs="Arial"/>
                <w:webHidden/>
              </w:rPr>
              <w:t>26</w:t>
            </w:r>
            <w:r w:rsidR="006E54F2" w:rsidRPr="00E368E0">
              <w:rPr>
                <w:rFonts w:ascii="Arial" w:hAnsi="Arial" w:cs="Arial"/>
                <w:webHidden/>
              </w:rPr>
              <w:fldChar w:fldCharType="end"/>
            </w:r>
          </w:hyperlink>
        </w:p>
        <w:p w14:paraId="32FBA94B" w14:textId="388BB39F" w:rsidR="006E54F2" w:rsidRPr="00E368E0" w:rsidRDefault="00000000" w:rsidP="000A1889">
          <w:pPr>
            <w:pStyle w:val="TOC2"/>
            <w:tabs>
              <w:tab w:val="clear" w:pos="400"/>
              <w:tab w:val="clear" w:pos="9628"/>
              <w:tab w:val="left" w:pos="709"/>
              <w:tab w:val="right" w:leader="dot" w:pos="9639"/>
            </w:tabs>
            <w:rPr>
              <w:rFonts w:ascii="Arial" w:eastAsiaTheme="minorEastAsia" w:hAnsi="Arial" w:cs="Arial"/>
            </w:rPr>
          </w:pPr>
          <w:hyperlink w:anchor="_Toc135409905" w:history="1">
            <w:r w:rsidR="006E54F2" w:rsidRPr="00E368E0">
              <w:rPr>
                <w:rStyle w:val="Hyperlink"/>
                <w:rFonts w:ascii="Arial" w:eastAsiaTheme="minorHAnsi" w:hAnsi="Arial" w:cs="Arial"/>
                <w:lang w:val="en-US"/>
              </w:rPr>
              <w:t>8.6.</w:t>
            </w:r>
            <w:r w:rsidR="006E54F2" w:rsidRPr="00E368E0">
              <w:rPr>
                <w:rFonts w:ascii="Arial" w:eastAsiaTheme="minorEastAsia" w:hAnsi="Arial" w:cs="Arial"/>
              </w:rPr>
              <w:tab/>
            </w:r>
            <w:r w:rsidR="006E54F2" w:rsidRPr="00E368E0">
              <w:rPr>
                <w:rStyle w:val="Hyperlink"/>
                <w:rFonts w:ascii="Arial" w:eastAsiaTheme="minorHAnsi" w:hAnsi="Arial" w:cs="Arial"/>
                <w:lang w:val="en-US"/>
              </w:rPr>
              <w:t>Compliance enhancing procedures</w:t>
            </w:r>
            <w:r w:rsidR="006E54F2" w:rsidRPr="00E368E0">
              <w:rPr>
                <w:rFonts w:ascii="Arial" w:hAnsi="Arial" w:cs="Arial"/>
                <w:webHidden/>
              </w:rPr>
              <w:tab/>
            </w:r>
            <w:r w:rsidR="006E54F2" w:rsidRPr="00E368E0">
              <w:rPr>
                <w:rFonts w:ascii="Arial" w:hAnsi="Arial" w:cs="Arial"/>
                <w:webHidden/>
              </w:rPr>
              <w:fldChar w:fldCharType="begin"/>
            </w:r>
            <w:r w:rsidR="006E54F2" w:rsidRPr="00E368E0">
              <w:rPr>
                <w:rFonts w:ascii="Arial" w:hAnsi="Arial" w:cs="Arial"/>
                <w:webHidden/>
              </w:rPr>
              <w:instrText xml:space="preserve"> PAGEREF _Toc135409905 \h </w:instrText>
            </w:r>
            <w:r w:rsidR="006E54F2" w:rsidRPr="00E368E0">
              <w:rPr>
                <w:rFonts w:ascii="Arial" w:hAnsi="Arial" w:cs="Arial"/>
                <w:webHidden/>
              </w:rPr>
            </w:r>
            <w:r w:rsidR="006E54F2" w:rsidRPr="00E368E0">
              <w:rPr>
                <w:rFonts w:ascii="Arial" w:hAnsi="Arial" w:cs="Arial"/>
                <w:webHidden/>
              </w:rPr>
              <w:fldChar w:fldCharType="separate"/>
            </w:r>
            <w:r w:rsidR="007D5162">
              <w:rPr>
                <w:rFonts w:ascii="Arial" w:hAnsi="Arial" w:cs="Arial"/>
                <w:webHidden/>
              </w:rPr>
              <w:t>26</w:t>
            </w:r>
            <w:r w:rsidR="006E54F2" w:rsidRPr="00E368E0">
              <w:rPr>
                <w:rFonts w:ascii="Arial" w:hAnsi="Arial" w:cs="Arial"/>
                <w:webHidden/>
              </w:rPr>
              <w:fldChar w:fldCharType="end"/>
            </w:r>
          </w:hyperlink>
        </w:p>
        <w:p w14:paraId="7B9A7FFA" w14:textId="7CA56483" w:rsidR="006E54F2" w:rsidRPr="00E368E0" w:rsidRDefault="00000000" w:rsidP="000A1889">
          <w:pPr>
            <w:pStyle w:val="TOC2"/>
            <w:tabs>
              <w:tab w:val="clear" w:pos="400"/>
              <w:tab w:val="clear" w:pos="9628"/>
              <w:tab w:val="left" w:pos="709"/>
              <w:tab w:val="right" w:leader="dot" w:pos="9639"/>
            </w:tabs>
            <w:spacing w:before="120"/>
            <w:rPr>
              <w:rFonts w:ascii="Arial" w:eastAsiaTheme="minorEastAsia" w:hAnsi="Arial" w:cs="Arial"/>
            </w:rPr>
          </w:pPr>
          <w:hyperlink w:anchor="_Toc135409906" w:history="1">
            <w:r w:rsidR="006E54F2" w:rsidRPr="00E368E0">
              <w:rPr>
                <w:rStyle w:val="Hyperlink"/>
                <w:rFonts w:ascii="Arial" w:hAnsi="Arial" w:cs="Arial"/>
              </w:rPr>
              <w:t>APPENDICES</w:t>
            </w:r>
            <w:r w:rsidR="006E54F2" w:rsidRPr="00E368E0">
              <w:rPr>
                <w:rFonts w:ascii="Arial" w:hAnsi="Arial" w:cs="Arial"/>
                <w:webHidden/>
              </w:rPr>
              <w:tab/>
            </w:r>
            <w:r w:rsidR="006E54F2" w:rsidRPr="00E368E0">
              <w:rPr>
                <w:rFonts w:ascii="Arial" w:hAnsi="Arial" w:cs="Arial"/>
                <w:webHidden/>
              </w:rPr>
              <w:fldChar w:fldCharType="begin"/>
            </w:r>
            <w:r w:rsidR="006E54F2" w:rsidRPr="00E368E0">
              <w:rPr>
                <w:rFonts w:ascii="Arial" w:hAnsi="Arial" w:cs="Arial"/>
                <w:webHidden/>
              </w:rPr>
              <w:instrText xml:space="preserve"> PAGEREF _Toc135409906 \h </w:instrText>
            </w:r>
            <w:r w:rsidR="006E54F2" w:rsidRPr="00E368E0">
              <w:rPr>
                <w:rFonts w:ascii="Arial" w:hAnsi="Arial" w:cs="Arial"/>
                <w:webHidden/>
              </w:rPr>
            </w:r>
            <w:r w:rsidR="006E54F2" w:rsidRPr="00E368E0">
              <w:rPr>
                <w:rFonts w:ascii="Arial" w:hAnsi="Arial" w:cs="Arial"/>
                <w:webHidden/>
              </w:rPr>
              <w:fldChar w:fldCharType="separate"/>
            </w:r>
            <w:r w:rsidR="007D5162">
              <w:rPr>
                <w:rFonts w:ascii="Arial" w:hAnsi="Arial" w:cs="Arial"/>
                <w:webHidden/>
              </w:rPr>
              <w:t>28</w:t>
            </w:r>
            <w:r w:rsidR="006E54F2" w:rsidRPr="00E368E0">
              <w:rPr>
                <w:rFonts w:ascii="Arial" w:hAnsi="Arial" w:cs="Arial"/>
                <w:webHidden/>
              </w:rPr>
              <w:fldChar w:fldCharType="end"/>
            </w:r>
          </w:hyperlink>
        </w:p>
        <w:p w14:paraId="72D657F2" w14:textId="712CA2F0" w:rsidR="005037AC" w:rsidRPr="00E73BD4" w:rsidRDefault="005037AC" w:rsidP="000A1889">
          <w:pPr>
            <w:tabs>
              <w:tab w:val="left" w:pos="709"/>
              <w:tab w:val="right" w:leader="dot" w:pos="9639"/>
            </w:tabs>
            <w:rPr>
              <w:rFonts w:cs="Arial"/>
              <w:szCs w:val="20"/>
            </w:rPr>
          </w:pPr>
          <w:r w:rsidRPr="00E368E0">
            <w:rPr>
              <w:rFonts w:cs="Arial"/>
              <w:b/>
              <w:bCs/>
              <w:noProof/>
              <w:szCs w:val="20"/>
            </w:rPr>
            <w:fldChar w:fldCharType="end"/>
          </w:r>
        </w:p>
      </w:sdtContent>
    </w:sdt>
    <w:p w14:paraId="2E5807F5" w14:textId="77777777" w:rsidR="00277C14" w:rsidRPr="00E73BD4" w:rsidRDefault="00277C14" w:rsidP="00E73BD4">
      <w:pPr>
        <w:tabs>
          <w:tab w:val="left" w:pos="709"/>
          <w:tab w:val="right" w:leader="dot" w:pos="9639"/>
        </w:tabs>
        <w:ind w:left="709"/>
        <w:rPr>
          <w:rFonts w:cs="Arial"/>
          <w:szCs w:val="20"/>
          <w:lang w:eastAsia="fr-FR"/>
        </w:rPr>
      </w:pPr>
    </w:p>
    <w:p w14:paraId="22E75091" w14:textId="77777777" w:rsidR="00277C14" w:rsidRPr="00E73BD4" w:rsidRDefault="00277C14" w:rsidP="00277C14">
      <w:pPr>
        <w:rPr>
          <w:rFonts w:eastAsia="Times New Roman" w:cs="Arial"/>
          <w:b/>
          <w:bCs/>
          <w:caps/>
          <w:color w:val="4F81BD" w:themeColor="accent1"/>
          <w:w w:val="105"/>
          <w:kern w:val="28"/>
          <w:szCs w:val="20"/>
          <w:lang w:eastAsia="zh-CN"/>
        </w:rPr>
      </w:pPr>
      <w:r w:rsidRPr="00E73BD4">
        <w:rPr>
          <w:rFonts w:eastAsia="Times New Roman" w:cs="Arial"/>
          <w:b/>
          <w:bCs/>
          <w:caps/>
          <w:color w:val="4F81BD" w:themeColor="accent1"/>
          <w:w w:val="105"/>
          <w:kern w:val="28"/>
          <w:szCs w:val="20"/>
          <w:lang w:eastAsia="zh-CN"/>
        </w:rPr>
        <w:br w:type="page"/>
      </w:r>
    </w:p>
    <w:p w14:paraId="1F0A8559" w14:textId="61EB1154" w:rsidR="00277C14" w:rsidRPr="00E73BD4" w:rsidRDefault="00277C14" w:rsidP="000C5B9D">
      <w:pPr>
        <w:pStyle w:val="Title1"/>
        <w:spacing w:before="0" w:after="0"/>
      </w:pPr>
      <w:bookmarkStart w:id="0" w:name="_Toc135409874"/>
      <w:r w:rsidRPr="00E73BD4">
        <w:lastRenderedPageBreak/>
        <w:t>FREQUENTLY USED ABBREVIATIONS</w:t>
      </w:r>
      <w:r w:rsidR="00766613">
        <w:t xml:space="preserve"> AND</w:t>
      </w:r>
      <w:r w:rsidRPr="00E73BD4">
        <w:t xml:space="preserve"> ACCRONYMS </w:t>
      </w:r>
      <w:bookmarkEnd w:id="0"/>
    </w:p>
    <w:p w14:paraId="71AA636C" w14:textId="77777777" w:rsidR="00277C14" w:rsidRPr="00E73BD4" w:rsidRDefault="00277C14" w:rsidP="000C5B9D">
      <w:pPr>
        <w:pStyle w:val="LDHeading1"/>
        <w:spacing w:after="0"/>
        <w:jc w:val="both"/>
        <w:rPr>
          <w:b w:val="0"/>
          <w:color w:val="auto"/>
          <w:sz w:val="20"/>
        </w:rPr>
      </w:pPr>
    </w:p>
    <w:tbl>
      <w:tblPr>
        <w:tblW w:w="9883" w:type="dxa"/>
        <w:jc w:val="center"/>
        <w:tblLayout w:type="fixed"/>
        <w:tblLook w:val="01E0" w:firstRow="1" w:lastRow="1" w:firstColumn="1" w:lastColumn="1" w:noHBand="0" w:noVBand="0"/>
      </w:tblPr>
      <w:tblGrid>
        <w:gridCol w:w="2914"/>
        <w:gridCol w:w="6969"/>
      </w:tblGrid>
      <w:tr w:rsidR="00277C14" w:rsidRPr="00E73BD4" w14:paraId="2D5AA0D5" w14:textId="77777777" w:rsidTr="00277C14">
        <w:trPr>
          <w:jc w:val="center"/>
        </w:trPr>
        <w:tc>
          <w:tcPr>
            <w:tcW w:w="2914" w:type="dxa"/>
          </w:tcPr>
          <w:p w14:paraId="30B51A00" w14:textId="77777777" w:rsidR="00277C14" w:rsidRPr="00E73BD4" w:rsidRDefault="00277C14" w:rsidP="00277C14">
            <w:pPr>
              <w:rPr>
                <w:rFonts w:cs="Arial"/>
                <w:szCs w:val="20"/>
              </w:rPr>
            </w:pPr>
            <w:r w:rsidRPr="00E73BD4">
              <w:rPr>
                <w:rFonts w:cs="Arial"/>
                <w:szCs w:val="20"/>
              </w:rPr>
              <w:t>AML</w:t>
            </w:r>
          </w:p>
        </w:tc>
        <w:tc>
          <w:tcPr>
            <w:tcW w:w="6969" w:type="dxa"/>
          </w:tcPr>
          <w:p w14:paraId="2EB33DE7" w14:textId="77777777" w:rsidR="00277C14" w:rsidRPr="00E73BD4" w:rsidRDefault="00277C14" w:rsidP="00277C14">
            <w:pPr>
              <w:rPr>
                <w:rFonts w:cs="Arial"/>
                <w:szCs w:val="20"/>
              </w:rPr>
            </w:pPr>
            <w:r w:rsidRPr="00E73BD4">
              <w:rPr>
                <w:rFonts w:cs="Arial"/>
                <w:szCs w:val="20"/>
              </w:rPr>
              <w:t xml:space="preserve">Anti-money laundering </w:t>
            </w:r>
          </w:p>
        </w:tc>
      </w:tr>
      <w:tr w:rsidR="00277C14" w:rsidRPr="00E73BD4" w14:paraId="54291B58" w14:textId="77777777" w:rsidTr="00277C14">
        <w:trPr>
          <w:jc w:val="center"/>
        </w:trPr>
        <w:tc>
          <w:tcPr>
            <w:tcW w:w="2914" w:type="dxa"/>
          </w:tcPr>
          <w:p w14:paraId="4DE07273" w14:textId="77777777" w:rsidR="00277C14" w:rsidRPr="00E73BD4" w:rsidRDefault="00277C14" w:rsidP="00277C14">
            <w:pPr>
              <w:rPr>
                <w:rFonts w:cs="Arial"/>
                <w:szCs w:val="20"/>
              </w:rPr>
            </w:pPr>
            <w:r w:rsidRPr="00E73BD4">
              <w:rPr>
                <w:rFonts w:cs="Arial"/>
                <w:szCs w:val="20"/>
              </w:rPr>
              <w:t>CDPC</w:t>
            </w:r>
          </w:p>
        </w:tc>
        <w:tc>
          <w:tcPr>
            <w:tcW w:w="6969" w:type="dxa"/>
          </w:tcPr>
          <w:p w14:paraId="36938383" w14:textId="77777777" w:rsidR="00277C14" w:rsidRPr="00E73BD4" w:rsidRDefault="00277C14" w:rsidP="00277C14">
            <w:pPr>
              <w:rPr>
                <w:rFonts w:cs="Arial"/>
                <w:szCs w:val="20"/>
              </w:rPr>
            </w:pPr>
            <w:r w:rsidRPr="00E73BD4">
              <w:rPr>
                <w:rFonts w:cs="Arial"/>
                <w:szCs w:val="20"/>
              </w:rPr>
              <w:t>European Committee on Crime Problems</w:t>
            </w:r>
          </w:p>
        </w:tc>
      </w:tr>
      <w:tr w:rsidR="00277C14" w:rsidRPr="00E73BD4" w14:paraId="7283CFE0" w14:textId="77777777" w:rsidTr="00277C14">
        <w:trPr>
          <w:jc w:val="center"/>
        </w:trPr>
        <w:tc>
          <w:tcPr>
            <w:tcW w:w="2914" w:type="dxa"/>
          </w:tcPr>
          <w:p w14:paraId="480AE83E" w14:textId="77777777" w:rsidR="00277C14" w:rsidRPr="00E73BD4" w:rsidRDefault="00277C14" w:rsidP="00277C14">
            <w:pPr>
              <w:rPr>
                <w:rFonts w:cs="Arial"/>
                <w:szCs w:val="20"/>
              </w:rPr>
            </w:pPr>
            <w:r w:rsidRPr="00E73BD4">
              <w:rPr>
                <w:rFonts w:cs="Arial"/>
                <w:szCs w:val="20"/>
              </w:rPr>
              <w:t>CEPs</w:t>
            </w:r>
          </w:p>
        </w:tc>
        <w:tc>
          <w:tcPr>
            <w:tcW w:w="6969" w:type="dxa"/>
          </w:tcPr>
          <w:p w14:paraId="657C743A" w14:textId="77777777" w:rsidR="00277C14" w:rsidRPr="00E73BD4" w:rsidRDefault="00277C14" w:rsidP="00277C14">
            <w:pPr>
              <w:rPr>
                <w:rFonts w:cs="Arial"/>
                <w:szCs w:val="20"/>
              </w:rPr>
            </w:pPr>
            <w:r w:rsidRPr="00E73BD4">
              <w:rPr>
                <w:rFonts w:cs="Arial"/>
                <w:szCs w:val="20"/>
              </w:rPr>
              <w:t>Compliance Enhancing Procedures</w:t>
            </w:r>
          </w:p>
        </w:tc>
      </w:tr>
      <w:tr w:rsidR="00277C14" w:rsidRPr="00E73BD4" w14:paraId="34A0471C" w14:textId="77777777" w:rsidTr="00277C14">
        <w:trPr>
          <w:jc w:val="center"/>
        </w:trPr>
        <w:tc>
          <w:tcPr>
            <w:tcW w:w="2914" w:type="dxa"/>
          </w:tcPr>
          <w:p w14:paraId="45CAB96A" w14:textId="77777777" w:rsidR="00277C14" w:rsidRPr="00E73BD4" w:rsidRDefault="00277C14" w:rsidP="00277C14">
            <w:pPr>
              <w:rPr>
                <w:rFonts w:cs="Arial"/>
                <w:szCs w:val="20"/>
              </w:rPr>
            </w:pPr>
            <w:r w:rsidRPr="00E73BD4">
              <w:rPr>
                <w:rFonts w:cs="Arial"/>
                <w:szCs w:val="20"/>
              </w:rPr>
              <w:t>CETS 198</w:t>
            </w:r>
          </w:p>
        </w:tc>
        <w:tc>
          <w:tcPr>
            <w:tcW w:w="6969" w:type="dxa"/>
          </w:tcPr>
          <w:p w14:paraId="0D37E6DC" w14:textId="77777777" w:rsidR="00277C14" w:rsidRPr="00E73BD4" w:rsidRDefault="00277C14" w:rsidP="00277C14">
            <w:pPr>
              <w:rPr>
                <w:rFonts w:cs="Arial"/>
                <w:szCs w:val="20"/>
              </w:rPr>
            </w:pPr>
            <w:r w:rsidRPr="00E73BD4">
              <w:rPr>
                <w:rFonts w:cs="Arial"/>
                <w:szCs w:val="20"/>
              </w:rPr>
              <w:t>2005 Council of Europe Convention on Laundering, Search, Seizure and Confiscation of the Proceeds from Crime and on the Financing of Terrorism – the Warsaw Convention</w:t>
            </w:r>
          </w:p>
        </w:tc>
      </w:tr>
      <w:tr w:rsidR="00277C14" w:rsidRPr="00E73BD4" w14:paraId="7CC55FB2" w14:textId="77777777" w:rsidTr="00277C14">
        <w:trPr>
          <w:jc w:val="center"/>
        </w:trPr>
        <w:tc>
          <w:tcPr>
            <w:tcW w:w="2914" w:type="dxa"/>
          </w:tcPr>
          <w:p w14:paraId="03D4D810" w14:textId="77777777" w:rsidR="00277C14" w:rsidRPr="00E73BD4" w:rsidRDefault="00277C14" w:rsidP="00277C14">
            <w:pPr>
              <w:rPr>
                <w:rFonts w:cs="Arial"/>
                <w:szCs w:val="20"/>
              </w:rPr>
            </w:pPr>
            <w:r w:rsidRPr="00E73BD4">
              <w:rPr>
                <w:rFonts w:cs="Arial"/>
                <w:szCs w:val="20"/>
              </w:rPr>
              <w:t>CFT</w:t>
            </w:r>
          </w:p>
        </w:tc>
        <w:tc>
          <w:tcPr>
            <w:tcW w:w="6969" w:type="dxa"/>
          </w:tcPr>
          <w:p w14:paraId="17719DF4" w14:textId="77777777" w:rsidR="00277C14" w:rsidRPr="00E73BD4" w:rsidRDefault="00277C14" w:rsidP="00277C14">
            <w:pPr>
              <w:rPr>
                <w:rFonts w:cs="Arial"/>
                <w:szCs w:val="20"/>
              </w:rPr>
            </w:pPr>
            <w:r w:rsidRPr="00E73BD4">
              <w:rPr>
                <w:rFonts w:cs="Arial"/>
                <w:szCs w:val="20"/>
              </w:rPr>
              <w:t>Countering the financing of terrorism</w:t>
            </w:r>
          </w:p>
        </w:tc>
      </w:tr>
      <w:tr w:rsidR="00277C14" w:rsidRPr="00E73BD4" w14:paraId="13F49F37" w14:textId="77777777" w:rsidTr="00277C14">
        <w:trPr>
          <w:jc w:val="center"/>
        </w:trPr>
        <w:tc>
          <w:tcPr>
            <w:tcW w:w="2914" w:type="dxa"/>
          </w:tcPr>
          <w:p w14:paraId="3AF52980" w14:textId="77777777" w:rsidR="00277C14" w:rsidRPr="00E73BD4" w:rsidRDefault="00277C14" w:rsidP="00277C14">
            <w:pPr>
              <w:rPr>
                <w:rFonts w:cs="Arial"/>
                <w:szCs w:val="20"/>
              </w:rPr>
            </w:pPr>
            <w:r w:rsidRPr="00E73BD4">
              <w:rPr>
                <w:rFonts w:cs="Arial"/>
                <w:szCs w:val="20"/>
              </w:rPr>
              <w:t>COP</w:t>
            </w:r>
          </w:p>
        </w:tc>
        <w:tc>
          <w:tcPr>
            <w:tcW w:w="6969" w:type="dxa"/>
          </w:tcPr>
          <w:p w14:paraId="6A45D476" w14:textId="77777777" w:rsidR="00277C14" w:rsidRPr="00E73BD4" w:rsidRDefault="00277C14" w:rsidP="00277C14">
            <w:pPr>
              <w:rPr>
                <w:rFonts w:cs="Arial"/>
                <w:szCs w:val="20"/>
              </w:rPr>
            </w:pPr>
            <w:r w:rsidRPr="00E73BD4">
              <w:rPr>
                <w:rFonts w:cs="Arial"/>
                <w:szCs w:val="20"/>
              </w:rPr>
              <w:t>Conference of the Parties to the 2005 Council of Europe Convention on Laundering, Search, Seizure and Confiscation of the Proceeds from Crime and on the Financing of Terrorism – the Warsaw Convention (CETS 198)</w:t>
            </w:r>
          </w:p>
        </w:tc>
      </w:tr>
      <w:tr w:rsidR="00277C14" w:rsidRPr="00E73BD4" w14:paraId="31FEB3A7" w14:textId="77777777" w:rsidTr="00277C14">
        <w:trPr>
          <w:jc w:val="center"/>
        </w:trPr>
        <w:tc>
          <w:tcPr>
            <w:tcW w:w="2914" w:type="dxa"/>
          </w:tcPr>
          <w:p w14:paraId="1DE7CDB0" w14:textId="77777777" w:rsidR="00277C14" w:rsidRPr="00E73BD4" w:rsidRDefault="00277C14" w:rsidP="00277C14">
            <w:pPr>
              <w:rPr>
                <w:rFonts w:cs="Arial"/>
                <w:szCs w:val="20"/>
              </w:rPr>
            </w:pPr>
            <w:r w:rsidRPr="00E73BD4">
              <w:rPr>
                <w:rFonts w:cs="Arial"/>
                <w:szCs w:val="20"/>
              </w:rPr>
              <w:t>DNFBPs</w:t>
            </w:r>
          </w:p>
          <w:p w14:paraId="565F85D5" w14:textId="55F46D19" w:rsidR="00277C14" w:rsidRPr="00E73BD4" w:rsidRDefault="00277C14" w:rsidP="00277C14">
            <w:pPr>
              <w:rPr>
                <w:rFonts w:cs="Arial"/>
                <w:szCs w:val="20"/>
              </w:rPr>
            </w:pPr>
            <w:r w:rsidRPr="00E73BD4">
              <w:rPr>
                <w:rFonts w:cs="Arial"/>
                <w:szCs w:val="20"/>
              </w:rPr>
              <w:t>EAG</w:t>
            </w:r>
          </w:p>
        </w:tc>
        <w:tc>
          <w:tcPr>
            <w:tcW w:w="6969" w:type="dxa"/>
          </w:tcPr>
          <w:p w14:paraId="299E255B" w14:textId="77777777" w:rsidR="00277C14" w:rsidRPr="00E73BD4" w:rsidRDefault="00277C14" w:rsidP="00277C14">
            <w:pPr>
              <w:rPr>
                <w:rFonts w:cs="Arial"/>
                <w:szCs w:val="20"/>
              </w:rPr>
            </w:pPr>
            <w:r w:rsidRPr="00E73BD4">
              <w:rPr>
                <w:rFonts w:cs="Arial"/>
                <w:szCs w:val="20"/>
              </w:rPr>
              <w:t>Designated non-financial businesses and professions</w:t>
            </w:r>
          </w:p>
          <w:p w14:paraId="68B2E4C1" w14:textId="07A1F9DD" w:rsidR="00277C14" w:rsidRPr="00E73BD4" w:rsidRDefault="00277C14" w:rsidP="00277C14">
            <w:pPr>
              <w:rPr>
                <w:rFonts w:cs="Arial"/>
                <w:szCs w:val="20"/>
              </w:rPr>
            </w:pPr>
            <w:r w:rsidRPr="00E73BD4">
              <w:rPr>
                <w:rFonts w:cs="Arial"/>
                <w:szCs w:val="20"/>
              </w:rPr>
              <w:t>Eurasian Group on Combating ML/T</w:t>
            </w:r>
          </w:p>
        </w:tc>
      </w:tr>
      <w:tr w:rsidR="00277C14" w:rsidRPr="00E73BD4" w14:paraId="77C852E9" w14:textId="77777777" w:rsidTr="00277C14">
        <w:trPr>
          <w:jc w:val="center"/>
        </w:trPr>
        <w:tc>
          <w:tcPr>
            <w:tcW w:w="2914" w:type="dxa"/>
          </w:tcPr>
          <w:p w14:paraId="133EEAF5" w14:textId="77777777" w:rsidR="00277C14" w:rsidRPr="00E73BD4" w:rsidRDefault="00277C14" w:rsidP="00277C14">
            <w:pPr>
              <w:rPr>
                <w:rFonts w:cs="Arial"/>
                <w:szCs w:val="20"/>
              </w:rPr>
            </w:pPr>
            <w:r w:rsidRPr="00E73BD4">
              <w:rPr>
                <w:rFonts w:cs="Arial"/>
                <w:szCs w:val="20"/>
              </w:rPr>
              <w:t>EU</w:t>
            </w:r>
          </w:p>
        </w:tc>
        <w:tc>
          <w:tcPr>
            <w:tcW w:w="6969" w:type="dxa"/>
          </w:tcPr>
          <w:p w14:paraId="6FC871F2" w14:textId="77777777" w:rsidR="00277C14" w:rsidRPr="00E73BD4" w:rsidRDefault="00277C14" w:rsidP="00277C14">
            <w:pPr>
              <w:rPr>
                <w:rFonts w:cs="Arial"/>
                <w:szCs w:val="20"/>
              </w:rPr>
            </w:pPr>
            <w:r w:rsidRPr="00E73BD4">
              <w:rPr>
                <w:rFonts w:cs="Arial"/>
                <w:szCs w:val="20"/>
              </w:rPr>
              <w:t>European Union</w:t>
            </w:r>
          </w:p>
        </w:tc>
      </w:tr>
      <w:tr w:rsidR="00277C14" w:rsidRPr="00E73BD4" w14:paraId="2DA10FD1" w14:textId="77777777" w:rsidTr="00277C14">
        <w:trPr>
          <w:jc w:val="center"/>
        </w:trPr>
        <w:tc>
          <w:tcPr>
            <w:tcW w:w="2914" w:type="dxa"/>
          </w:tcPr>
          <w:p w14:paraId="5B21BA8A" w14:textId="77777777" w:rsidR="00277C14" w:rsidRPr="00E73BD4" w:rsidRDefault="00277C14" w:rsidP="00277C14">
            <w:pPr>
              <w:rPr>
                <w:rFonts w:cs="Arial"/>
                <w:szCs w:val="20"/>
              </w:rPr>
            </w:pPr>
            <w:r w:rsidRPr="00E73BD4">
              <w:rPr>
                <w:rFonts w:cs="Arial"/>
                <w:szCs w:val="20"/>
              </w:rPr>
              <w:t>FATF</w:t>
            </w:r>
          </w:p>
        </w:tc>
        <w:tc>
          <w:tcPr>
            <w:tcW w:w="6969" w:type="dxa"/>
          </w:tcPr>
          <w:p w14:paraId="37FE30C0" w14:textId="77777777" w:rsidR="00277C14" w:rsidRPr="00E73BD4" w:rsidRDefault="00277C14" w:rsidP="00277C14">
            <w:pPr>
              <w:rPr>
                <w:rFonts w:cs="Arial"/>
                <w:szCs w:val="20"/>
              </w:rPr>
            </w:pPr>
            <w:r w:rsidRPr="00E73BD4">
              <w:rPr>
                <w:rFonts w:cs="Arial"/>
                <w:szCs w:val="20"/>
              </w:rPr>
              <w:t>Financial Action Task Force</w:t>
            </w:r>
          </w:p>
        </w:tc>
      </w:tr>
      <w:tr w:rsidR="00277C14" w:rsidRPr="00E73BD4" w14:paraId="05DA7229" w14:textId="77777777" w:rsidTr="00277C14">
        <w:trPr>
          <w:jc w:val="center"/>
        </w:trPr>
        <w:tc>
          <w:tcPr>
            <w:tcW w:w="2914" w:type="dxa"/>
          </w:tcPr>
          <w:p w14:paraId="16E88524" w14:textId="77777777" w:rsidR="00277C14" w:rsidRPr="00E73BD4" w:rsidRDefault="00277C14" w:rsidP="00277C14">
            <w:pPr>
              <w:rPr>
                <w:rFonts w:cs="Arial"/>
                <w:szCs w:val="20"/>
              </w:rPr>
            </w:pPr>
            <w:r w:rsidRPr="00E73BD4">
              <w:rPr>
                <w:rFonts w:cs="Arial"/>
                <w:szCs w:val="20"/>
              </w:rPr>
              <w:t>FIU</w:t>
            </w:r>
          </w:p>
        </w:tc>
        <w:tc>
          <w:tcPr>
            <w:tcW w:w="6969" w:type="dxa"/>
          </w:tcPr>
          <w:p w14:paraId="7148831A" w14:textId="77777777" w:rsidR="00277C14" w:rsidRPr="00E73BD4" w:rsidRDefault="00277C14" w:rsidP="00277C14">
            <w:pPr>
              <w:rPr>
                <w:rFonts w:cs="Arial"/>
                <w:szCs w:val="20"/>
              </w:rPr>
            </w:pPr>
            <w:r w:rsidRPr="00E73BD4">
              <w:rPr>
                <w:rFonts w:cs="Arial"/>
                <w:szCs w:val="20"/>
              </w:rPr>
              <w:t>Financial intelligence unit</w:t>
            </w:r>
          </w:p>
        </w:tc>
      </w:tr>
      <w:tr w:rsidR="00277C14" w:rsidRPr="00E73BD4" w14:paraId="4A2FE858" w14:textId="77777777" w:rsidTr="00277C14">
        <w:trPr>
          <w:jc w:val="center"/>
        </w:trPr>
        <w:tc>
          <w:tcPr>
            <w:tcW w:w="2914" w:type="dxa"/>
          </w:tcPr>
          <w:p w14:paraId="285A5029" w14:textId="77777777" w:rsidR="00277C14" w:rsidRPr="00E73BD4" w:rsidRDefault="00277C14" w:rsidP="00277C14">
            <w:pPr>
              <w:rPr>
                <w:rFonts w:cs="Arial"/>
                <w:szCs w:val="20"/>
              </w:rPr>
            </w:pPr>
            <w:r w:rsidRPr="00E73BD4">
              <w:rPr>
                <w:rFonts w:cs="Arial"/>
                <w:szCs w:val="20"/>
              </w:rPr>
              <w:t>FSRB</w:t>
            </w:r>
          </w:p>
        </w:tc>
        <w:tc>
          <w:tcPr>
            <w:tcW w:w="6969" w:type="dxa"/>
          </w:tcPr>
          <w:p w14:paraId="2BC1F064" w14:textId="77777777" w:rsidR="00277C14" w:rsidRPr="00E73BD4" w:rsidRDefault="00277C14" w:rsidP="00277C14">
            <w:pPr>
              <w:rPr>
                <w:rFonts w:cs="Arial"/>
                <w:szCs w:val="20"/>
              </w:rPr>
            </w:pPr>
            <w:r w:rsidRPr="00E73BD4">
              <w:rPr>
                <w:rFonts w:cs="Arial"/>
                <w:szCs w:val="20"/>
              </w:rPr>
              <w:t>FATF-Style Regional Body</w:t>
            </w:r>
          </w:p>
        </w:tc>
      </w:tr>
      <w:tr w:rsidR="00277C14" w:rsidRPr="00E73BD4" w14:paraId="46BB41BD" w14:textId="77777777" w:rsidTr="00277C14">
        <w:trPr>
          <w:jc w:val="center"/>
        </w:trPr>
        <w:tc>
          <w:tcPr>
            <w:tcW w:w="2914" w:type="dxa"/>
          </w:tcPr>
          <w:p w14:paraId="2AF164C4" w14:textId="77777777" w:rsidR="00277C14" w:rsidRPr="00E73BD4" w:rsidRDefault="00277C14" w:rsidP="00277C14">
            <w:pPr>
              <w:rPr>
                <w:rFonts w:cs="Arial"/>
                <w:szCs w:val="20"/>
              </w:rPr>
            </w:pPr>
            <w:r w:rsidRPr="00E73BD4">
              <w:rPr>
                <w:rFonts w:cs="Arial"/>
                <w:szCs w:val="20"/>
              </w:rPr>
              <w:t>FT</w:t>
            </w:r>
          </w:p>
        </w:tc>
        <w:tc>
          <w:tcPr>
            <w:tcW w:w="6969" w:type="dxa"/>
          </w:tcPr>
          <w:p w14:paraId="09B38328" w14:textId="77777777" w:rsidR="00277C14" w:rsidRPr="00E73BD4" w:rsidRDefault="00277C14" w:rsidP="00277C14">
            <w:pPr>
              <w:rPr>
                <w:rFonts w:cs="Arial"/>
                <w:szCs w:val="20"/>
              </w:rPr>
            </w:pPr>
            <w:r w:rsidRPr="00E73BD4">
              <w:rPr>
                <w:rFonts w:cs="Arial"/>
                <w:szCs w:val="20"/>
              </w:rPr>
              <w:t>Financing of terrorism</w:t>
            </w:r>
          </w:p>
        </w:tc>
      </w:tr>
      <w:tr w:rsidR="00277C14" w:rsidRPr="00E73BD4" w14:paraId="0D9AD4F9" w14:textId="77777777" w:rsidTr="00277C14">
        <w:trPr>
          <w:jc w:val="center"/>
        </w:trPr>
        <w:tc>
          <w:tcPr>
            <w:tcW w:w="2914" w:type="dxa"/>
          </w:tcPr>
          <w:p w14:paraId="18D5CFF2" w14:textId="77777777" w:rsidR="00277C14" w:rsidRPr="00E73BD4" w:rsidRDefault="00277C14" w:rsidP="00277C14">
            <w:pPr>
              <w:rPr>
                <w:rFonts w:cs="Arial"/>
                <w:szCs w:val="20"/>
              </w:rPr>
            </w:pPr>
            <w:r w:rsidRPr="00E73BD4">
              <w:rPr>
                <w:rFonts w:cs="Arial"/>
                <w:szCs w:val="20"/>
              </w:rPr>
              <w:t>ICRG</w:t>
            </w:r>
          </w:p>
        </w:tc>
        <w:tc>
          <w:tcPr>
            <w:tcW w:w="6969" w:type="dxa"/>
          </w:tcPr>
          <w:p w14:paraId="5D973A0C" w14:textId="77777777" w:rsidR="00277C14" w:rsidRPr="00E73BD4" w:rsidRDefault="00277C14" w:rsidP="00277C14">
            <w:pPr>
              <w:rPr>
                <w:rFonts w:cs="Arial"/>
                <w:szCs w:val="20"/>
              </w:rPr>
            </w:pPr>
            <w:r w:rsidRPr="00E73BD4">
              <w:rPr>
                <w:rFonts w:cs="Arial"/>
                <w:szCs w:val="20"/>
              </w:rPr>
              <w:t>International Co-operation Review Group of the FATF</w:t>
            </w:r>
          </w:p>
        </w:tc>
      </w:tr>
      <w:tr w:rsidR="00277C14" w:rsidRPr="00E73BD4" w14:paraId="229BFA76" w14:textId="77777777" w:rsidTr="00277C14">
        <w:trPr>
          <w:jc w:val="center"/>
        </w:trPr>
        <w:tc>
          <w:tcPr>
            <w:tcW w:w="2914" w:type="dxa"/>
          </w:tcPr>
          <w:p w14:paraId="07E91C8B" w14:textId="77777777" w:rsidR="00277C14" w:rsidRPr="00E73BD4" w:rsidRDefault="00277C14" w:rsidP="00277C14">
            <w:pPr>
              <w:rPr>
                <w:rFonts w:cs="Arial"/>
                <w:szCs w:val="20"/>
              </w:rPr>
            </w:pPr>
            <w:r w:rsidRPr="00E73BD4">
              <w:rPr>
                <w:rFonts w:cs="Arial"/>
                <w:szCs w:val="20"/>
              </w:rPr>
              <w:t>IFIs</w:t>
            </w:r>
          </w:p>
        </w:tc>
        <w:tc>
          <w:tcPr>
            <w:tcW w:w="6969" w:type="dxa"/>
          </w:tcPr>
          <w:p w14:paraId="14F8A9EF" w14:textId="77777777" w:rsidR="00277C14" w:rsidRPr="00E73BD4" w:rsidRDefault="00277C14" w:rsidP="00277C14">
            <w:pPr>
              <w:rPr>
                <w:rFonts w:cs="Arial"/>
                <w:szCs w:val="20"/>
              </w:rPr>
            </w:pPr>
            <w:r w:rsidRPr="00E73BD4">
              <w:rPr>
                <w:rFonts w:cs="Arial"/>
                <w:szCs w:val="20"/>
              </w:rPr>
              <w:t>International financial institutions – IMF and World Bank</w:t>
            </w:r>
          </w:p>
        </w:tc>
      </w:tr>
      <w:tr w:rsidR="00277C14" w:rsidRPr="00E73BD4" w14:paraId="2B37B08A" w14:textId="77777777" w:rsidTr="00277C14">
        <w:trPr>
          <w:jc w:val="center"/>
        </w:trPr>
        <w:tc>
          <w:tcPr>
            <w:tcW w:w="2914" w:type="dxa"/>
          </w:tcPr>
          <w:p w14:paraId="54E44307" w14:textId="77777777" w:rsidR="00277C14" w:rsidRPr="00E73BD4" w:rsidRDefault="00277C14" w:rsidP="00277C14">
            <w:pPr>
              <w:rPr>
                <w:rFonts w:cs="Arial"/>
                <w:szCs w:val="20"/>
              </w:rPr>
            </w:pPr>
            <w:r w:rsidRPr="00E73BD4">
              <w:rPr>
                <w:rFonts w:cs="Arial"/>
                <w:szCs w:val="20"/>
              </w:rPr>
              <w:t>IMF</w:t>
            </w:r>
          </w:p>
        </w:tc>
        <w:tc>
          <w:tcPr>
            <w:tcW w:w="6969" w:type="dxa"/>
          </w:tcPr>
          <w:p w14:paraId="53EC4C4B" w14:textId="77777777" w:rsidR="00277C14" w:rsidRPr="00E73BD4" w:rsidRDefault="00277C14" w:rsidP="00277C14">
            <w:pPr>
              <w:rPr>
                <w:rFonts w:cs="Arial"/>
                <w:szCs w:val="20"/>
              </w:rPr>
            </w:pPr>
            <w:r w:rsidRPr="00E73BD4">
              <w:rPr>
                <w:rFonts w:cs="Arial"/>
                <w:szCs w:val="20"/>
              </w:rPr>
              <w:t>International Monetary Fund</w:t>
            </w:r>
          </w:p>
        </w:tc>
      </w:tr>
      <w:tr w:rsidR="00277C14" w:rsidRPr="00E73BD4" w14:paraId="652C4422" w14:textId="77777777" w:rsidTr="00277C14">
        <w:trPr>
          <w:jc w:val="center"/>
        </w:trPr>
        <w:tc>
          <w:tcPr>
            <w:tcW w:w="2914" w:type="dxa"/>
          </w:tcPr>
          <w:p w14:paraId="127C6910" w14:textId="77777777" w:rsidR="00277C14" w:rsidRPr="00E73BD4" w:rsidRDefault="00277C14" w:rsidP="00277C14">
            <w:pPr>
              <w:rPr>
                <w:rFonts w:cs="Arial"/>
                <w:szCs w:val="20"/>
              </w:rPr>
            </w:pPr>
            <w:r w:rsidRPr="00E73BD4">
              <w:rPr>
                <w:rFonts w:cs="Arial"/>
                <w:szCs w:val="20"/>
              </w:rPr>
              <w:t>LEAs</w:t>
            </w:r>
          </w:p>
        </w:tc>
        <w:tc>
          <w:tcPr>
            <w:tcW w:w="6969" w:type="dxa"/>
          </w:tcPr>
          <w:p w14:paraId="49D756DD" w14:textId="77777777" w:rsidR="00277C14" w:rsidRPr="00E73BD4" w:rsidRDefault="00277C14" w:rsidP="00277C14">
            <w:pPr>
              <w:rPr>
                <w:rFonts w:cs="Arial"/>
                <w:szCs w:val="20"/>
              </w:rPr>
            </w:pPr>
            <w:r w:rsidRPr="00E73BD4">
              <w:rPr>
                <w:rFonts w:cs="Arial"/>
                <w:szCs w:val="20"/>
              </w:rPr>
              <w:t>Law enforcement authorities</w:t>
            </w:r>
          </w:p>
        </w:tc>
      </w:tr>
      <w:tr w:rsidR="00277C14" w:rsidRPr="00E73BD4" w14:paraId="5F71E024" w14:textId="77777777" w:rsidTr="00277C14">
        <w:trPr>
          <w:jc w:val="center"/>
        </w:trPr>
        <w:tc>
          <w:tcPr>
            <w:tcW w:w="2914" w:type="dxa"/>
          </w:tcPr>
          <w:p w14:paraId="6E3EC31C" w14:textId="77777777" w:rsidR="00277C14" w:rsidRPr="00E73BD4" w:rsidRDefault="00277C14" w:rsidP="00277C14">
            <w:pPr>
              <w:rPr>
                <w:rFonts w:cs="Arial"/>
                <w:szCs w:val="20"/>
              </w:rPr>
            </w:pPr>
            <w:r w:rsidRPr="00E73BD4">
              <w:rPr>
                <w:rFonts w:cs="Arial"/>
                <w:szCs w:val="20"/>
              </w:rPr>
              <w:t>MER</w:t>
            </w:r>
          </w:p>
        </w:tc>
        <w:tc>
          <w:tcPr>
            <w:tcW w:w="6969" w:type="dxa"/>
          </w:tcPr>
          <w:p w14:paraId="78D0058D" w14:textId="77777777" w:rsidR="00277C14" w:rsidRPr="00E73BD4" w:rsidRDefault="00277C14" w:rsidP="00277C14">
            <w:pPr>
              <w:rPr>
                <w:rFonts w:cs="Arial"/>
                <w:szCs w:val="20"/>
              </w:rPr>
            </w:pPr>
            <w:r w:rsidRPr="00E73BD4">
              <w:rPr>
                <w:rFonts w:cs="Arial"/>
                <w:szCs w:val="20"/>
              </w:rPr>
              <w:t>Mutual evaluation report</w:t>
            </w:r>
          </w:p>
        </w:tc>
      </w:tr>
      <w:tr w:rsidR="00277C14" w:rsidRPr="00E73BD4" w14:paraId="6E2D1824" w14:textId="77777777" w:rsidTr="00277C14">
        <w:trPr>
          <w:jc w:val="center"/>
        </w:trPr>
        <w:tc>
          <w:tcPr>
            <w:tcW w:w="2914" w:type="dxa"/>
          </w:tcPr>
          <w:p w14:paraId="2EB0B0E7" w14:textId="77777777" w:rsidR="00277C14" w:rsidRPr="00E73BD4" w:rsidRDefault="00277C14" w:rsidP="00277C14">
            <w:pPr>
              <w:rPr>
                <w:rFonts w:cs="Arial"/>
                <w:szCs w:val="20"/>
              </w:rPr>
            </w:pPr>
            <w:r w:rsidRPr="00E73BD4">
              <w:rPr>
                <w:rFonts w:cs="Arial"/>
                <w:szCs w:val="20"/>
              </w:rPr>
              <w:t>ML</w:t>
            </w:r>
          </w:p>
        </w:tc>
        <w:tc>
          <w:tcPr>
            <w:tcW w:w="6969" w:type="dxa"/>
          </w:tcPr>
          <w:p w14:paraId="4B7F5001" w14:textId="77777777" w:rsidR="00277C14" w:rsidRPr="00E73BD4" w:rsidRDefault="00277C14" w:rsidP="00277C14">
            <w:pPr>
              <w:rPr>
                <w:rFonts w:cs="Arial"/>
                <w:szCs w:val="20"/>
              </w:rPr>
            </w:pPr>
            <w:r w:rsidRPr="00E73BD4">
              <w:rPr>
                <w:rFonts w:cs="Arial"/>
                <w:szCs w:val="20"/>
              </w:rPr>
              <w:t>Money laundering</w:t>
            </w:r>
          </w:p>
        </w:tc>
      </w:tr>
      <w:tr w:rsidR="00277C14" w:rsidRPr="00E73BD4" w14:paraId="5A2C621C" w14:textId="77777777" w:rsidTr="00277C14">
        <w:trPr>
          <w:jc w:val="center"/>
        </w:trPr>
        <w:tc>
          <w:tcPr>
            <w:tcW w:w="2914" w:type="dxa"/>
          </w:tcPr>
          <w:p w14:paraId="53041EDA" w14:textId="77777777" w:rsidR="00277C14" w:rsidRPr="00E73BD4" w:rsidRDefault="00277C14" w:rsidP="00277C14">
            <w:pPr>
              <w:rPr>
                <w:rFonts w:cs="Arial"/>
                <w:szCs w:val="20"/>
              </w:rPr>
            </w:pPr>
            <w:r w:rsidRPr="00E73BD4">
              <w:rPr>
                <w:rFonts w:cs="Arial"/>
                <w:szCs w:val="20"/>
              </w:rPr>
              <w:t>MLA</w:t>
            </w:r>
          </w:p>
        </w:tc>
        <w:tc>
          <w:tcPr>
            <w:tcW w:w="6969" w:type="dxa"/>
          </w:tcPr>
          <w:p w14:paraId="6020821C" w14:textId="77777777" w:rsidR="00277C14" w:rsidRPr="00E73BD4" w:rsidRDefault="00277C14" w:rsidP="00277C14">
            <w:pPr>
              <w:rPr>
                <w:rFonts w:cs="Arial"/>
                <w:szCs w:val="20"/>
              </w:rPr>
            </w:pPr>
            <w:r w:rsidRPr="00E73BD4">
              <w:rPr>
                <w:rFonts w:cs="Arial"/>
                <w:szCs w:val="20"/>
              </w:rPr>
              <w:t>Mutual legal assistance</w:t>
            </w:r>
          </w:p>
        </w:tc>
      </w:tr>
      <w:tr w:rsidR="00277C14" w:rsidRPr="00E73BD4" w14:paraId="4298FBB3" w14:textId="77777777" w:rsidTr="00277C14">
        <w:trPr>
          <w:jc w:val="center"/>
        </w:trPr>
        <w:tc>
          <w:tcPr>
            <w:tcW w:w="2914" w:type="dxa"/>
          </w:tcPr>
          <w:p w14:paraId="26A9D93B" w14:textId="253F9D6D" w:rsidR="00277C14" w:rsidRPr="00E73BD4" w:rsidRDefault="00277C14" w:rsidP="00277C14">
            <w:pPr>
              <w:rPr>
                <w:rFonts w:cs="Arial"/>
                <w:szCs w:val="20"/>
              </w:rPr>
            </w:pPr>
            <w:r w:rsidRPr="00E73BD4">
              <w:rPr>
                <w:rFonts w:cs="Arial"/>
                <w:szCs w:val="20"/>
              </w:rPr>
              <w:t>NP</w:t>
            </w:r>
            <w:r w:rsidR="006E54F2">
              <w:rPr>
                <w:rFonts w:cs="Arial"/>
                <w:szCs w:val="20"/>
              </w:rPr>
              <w:t>O</w:t>
            </w:r>
          </w:p>
        </w:tc>
        <w:tc>
          <w:tcPr>
            <w:tcW w:w="6969" w:type="dxa"/>
          </w:tcPr>
          <w:p w14:paraId="4E202785" w14:textId="2F8BCBC3" w:rsidR="00277C14" w:rsidRPr="00E73BD4" w:rsidRDefault="00277C14" w:rsidP="006E54F2">
            <w:pPr>
              <w:rPr>
                <w:rFonts w:cs="Arial"/>
                <w:szCs w:val="20"/>
                <w:lang w:val="fr-FR"/>
              </w:rPr>
            </w:pPr>
            <w:r w:rsidRPr="00E73BD4">
              <w:rPr>
                <w:rFonts w:cs="Arial"/>
                <w:szCs w:val="20"/>
                <w:lang w:val="fr-FR"/>
              </w:rPr>
              <w:t>Non-profit organisation</w:t>
            </w:r>
          </w:p>
        </w:tc>
      </w:tr>
      <w:tr w:rsidR="00277C14" w:rsidRPr="00E73BD4" w14:paraId="6314F27F" w14:textId="77777777" w:rsidTr="00277C14">
        <w:trPr>
          <w:jc w:val="center"/>
        </w:trPr>
        <w:tc>
          <w:tcPr>
            <w:tcW w:w="2914" w:type="dxa"/>
          </w:tcPr>
          <w:p w14:paraId="01FCC877" w14:textId="77777777" w:rsidR="00277C14" w:rsidRPr="00E73BD4" w:rsidRDefault="00277C14" w:rsidP="00277C14">
            <w:pPr>
              <w:rPr>
                <w:rFonts w:cs="Arial"/>
                <w:szCs w:val="20"/>
              </w:rPr>
            </w:pPr>
            <w:r w:rsidRPr="00E73BD4">
              <w:rPr>
                <w:rFonts w:cs="Arial"/>
                <w:szCs w:val="20"/>
              </w:rPr>
              <w:t>OSCE</w:t>
            </w:r>
          </w:p>
        </w:tc>
        <w:tc>
          <w:tcPr>
            <w:tcW w:w="6969" w:type="dxa"/>
          </w:tcPr>
          <w:p w14:paraId="59A326D0" w14:textId="77777777" w:rsidR="00277C14" w:rsidRPr="00E73BD4" w:rsidRDefault="00277C14" w:rsidP="00277C14">
            <w:pPr>
              <w:rPr>
                <w:rFonts w:cs="Arial"/>
                <w:szCs w:val="20"/>
              </w:rPr>
            </w:pPr>
            <w:r w:rsidRPr="00E73BD4">
              <w:rPr>
                <w:rFonts w:cs="Arial"/>
                <w:szCs w:val="20"/>
              </w:rPr>
              <w:t>Organisation for Security and Co-operation in Europe</w:t>
            </w:r>
          </w:p>
        </w:tc>
      </w:tr>
      <w:tr w:rsidR="00277C14" w:rsidRPr="00E73BD4" w14:paraId="33C9D532" w14:textId="77777777" w:rsidTr="00277C14">
        <w:trPr>
          <w:jc w:val="center"/>
        </w:trPr>
        <w:tc>
          <w:tcPr>
            <w:tcW w:w="2914" w:type="dxa"/>
          </w:tcPr>
          <w:p w14:paraId="35A7E96C" w14:textId="77777777" w:rsidR="00277C14" w:rsidRPr="00E73BD4" w:rsidRDefault="00277C14" w:rsidP="00277C14">
            <w:pPr>
              <w:rPr>
                <w:rFonts w:cs="Arial"/>
                <w:szCs w:val="20"/>
              </w:rPr>
            </w:pPr>
            <w:r w:rsidRPr="00E73BD4">
              <w:rPr>
                <w:rFonts w:cs="Arial"/>
                <w:szCs w:val="20"/>
              </w:rPr>
              <w:t>PACE</w:t>
            </w:r>
          </w:p>
        </w:tc>
        <w:tc>
          <w:tcPr>
            <w:tcW w:w="6969" w:type="dxa"/>
          </w:tcPr>
          <w:p w14:paraId="05B2B4AC" w14:textId="77777777" w:rsidR="00277C14" w:rsidRPr="00E73BD4" w:rsidRDefault="00277C14" w:rsidP="00277C14">
            <w:pPr>
              <w:rPr>
                <w:rFonts w:cs="Arial"/>
                <w:szCs w:val="20"/>
              </w:rPr>
            </w:pPr>
            <w:r w:rsidRPr="00E73BD4">
              <w:rPr>
                <w:rFonts w:cs="Arial"/>
                <w:szCs w:val="20"/>
              </w:rPr>
              <w:t>Parliamentary Assembly of the Council of Europe</w:t>
            </w:r>
          </w:p>
        </w:tc>
      </w:tr>
      <w:tr w:rsidR="00277C14" w:rsidRPr="00E73BD4" w14:paraId="4AB685B1" w14:textId="77777777" w:rsidTr="00277C14">
        <w:trPr>
          <w:jc w:val="center"/>
        </w:trPr>
        <w:tc>
          <w:tcPr>
            <w:tcW w:w="2914" w:type="dxa"/>
          </w:tcPr>
          <w:p w14:paraId="0A8E0BD1" w14:textId="77777777" w:rsidR="00277C14" w:rsidRPr="00E73BD4" w:rsidRDefault="00277C14" w:rsidP="00277C14">
            <w:pPr>
              <w:rPr>
                <w:rFonts w:cs="Arial"/>
                <w:szCs w:val="20"/>
              </w:rPr>
            </w:pPr>
            <w:r w:rsidRPr="00E73BD4">
              <w:rPr>
                <w:rFonts w:cs="Arial"/>
                <w:szCs w:val="20"/>
              </w:rPr>
              <w:t>R.</w:t>
            </w:r>
          </w:p>
        </w:tc>
        <w:tc>
          <w:tcPr>
            <w:tcW w:w="6969" w:type="dxa"/>
          </w:tcPr>
          <w:p w14:paraId="62AE105C" w14:textId="77777777" w:rsidR="00277C14" w:rsidRPr="00E73BD4" w:rsidRDefault="00277C14" w:rsidP="00277C14">
            <w:pPr>
              <w:rPr>
                <w:rFonts w:cs="Arial"/>
                <w:szCs w:val="20"/>
              </w:rPr>
            </w:pPr>
            <w:r w:rsidRPr="00E73BD4">
              <w:rPr>
                <w:rFonts w:cs="Arial"/>
                <w:szCs w:val="20"/>
              </w:rPr>
              <w:t>Recommendation</w:t>
            </w:r>
          </w:p>
        </w:tc>
      </w:tr>
      <w:tr w:rsidR="00277C14" w:rsidRPr="00E73BD4" w14:paraId="71BDE8C1" w14:textId="77777777" w:rsidTr="00277C14">
        <w:trPr>
          <w:jc w:val="center"/>
        </w:trPr>
        <w:tc>
          <w:tcPr>
            <w:tcW w:w="2914" w:type="dxa"/>
          </w:tcPr>
          <w:p w14:paraId="5733C332" w14:textId="77777777" w:rsidR="00277C14" w:rsidRPr="00E73BD4" w:rsidRDefault="00277C14" w:rsidP="00277C14">
            <w:pPr>
              <w:rPr>
                <w:rFonts w:cs="Arial"/>
                <w:szCs w:val="20"/>
              </w:rPr>
            </w:pPr>
            <w:r w:rsidRPr="00E73BD4">
              <w:rPr>
                <w:rFonts w:cs="Arial"/>
                <w:szCs w:val="20"/>
              </w:rPr>
              <w:t>SAR</w:t>
            </w:r>
          </w:p>
          <w:p w14:paraId="77D44494" w14:textId="77777777" w:rsidR="00277C14" w:rsidRPr="00E73BD4" w:rsidRDefault="00277C14" w:rsidP="00277C14">
            <w:pPr>
              <w:rPr>
                <w:rFonts w:cs="Arial"/>
                <w:szCs w:val="20"/>
              </w:rPr>
            </w:pPr>
            <w:r w:rsidRPr="00E73BD4">
              <w:rPr>
                <w:rFonts w:cs="Arial"/>
                <w:szCs w:val="20"/>
              </w:rPr>
              <w:t>SR.</w:t>
            </w:r>
          </w:p>
        </w:tc>
        <w:tc>
          <w:tcPr>
            <w:tcW w:w="6969" w:type="dxa"/>
          </w:tcPr>
          <w:p w14:paraId="2557E5CB" w14:textId="77777777" w:rsidR="00277C14" w:rsidRPr="00E73BD4" w:rsidRDefault="00277C14" w:rsidP="00277C14">
            <w:pPr>
              <w:rPr>
                <w:rFonts w:cs="Arial"/>
                <w:szCs w:val="20"/>
              </w:rPr>
            </w:pPr>
            <w:r w:rsidRPr="00E73BD4">
              <w:rPr>
                <w:rFonts w:cs="Arial"/>
                <w:szCs w:val="20"/>
              </w:rPr>
              <w:t>Suspicious activity report</w:t>
            </w:r>
          </w:p>
          <w:p w14:paraId="38175252" w14:textId="77777777" w:rsidR="00277C14" w:rsidRPr="00E73BD4" w:rsidRDefault="00277C14" w:rsidP="00277C14">
            <w:pPr>
              <w:rPr>
                <w:rFonts w:cs="Arial"/>
                <w:szCs w:val="20"/>
              </w:rPr>
            </w:pPr>
            <w:r w:rsidRPr="00E73BD4">
              <w:rPr>
                <w:rFonts w:cs="Arial"/>
                <w:szCs w:val="20"/>
              </w:rPr>
              <w:t>Special Recommendation</w:t>
            </w:r>
          </w:p>
        </w:tc>
      </w:tr>
      <w:tr w:rsidR="00277C14" w:rsidRPr="00E73BD4" w14:paraId="2A768258" w14:textId="77777777" w:rsidTr="00277C14">
        <w:trPr>
          <w:jc w:val="center"/>
        </w:trPr>
        <w:tc>
          <w:tcPr>
            <w:tcW w:w="2914" w:type="dxa"/>
          </w:tcPr>
          <w:p w14:paraId="4CA21A77" w14:textId="66AB7FAE" w:rsidR="00277C14" w:rsidRPr="00E73BD4" w:rsidRDefault="00277C14" w:rsidP="00277C14">
            <w:pPr>
              <w:rPr>
                <w:rFonts w:cs="Arial"/>
                <w:szCs w:val="20"/>
              </w:rPr>
            </w:pPr>
            <w:r w:rsidRPr="00E73BD4">
              <w:rPr>
                <w:rFonts w:cs="Arial"/>
                <w:szCs w:val="20"/>
              </w:rPr>
              <w:t>STR</w:t>
            </w:r>
          </w:p>
        </w:tc>
        <w:tc>
          <w:tcPr>
            <w:tcW w:w="6969" w:type="dxa"/>
          </w:tcPr>
          <w:p w14:paraId="430ED10C" w14:textId="6E7A00F8" w:rsidR="00277C14" w:rsidRPr="00E73BD4" w:rsidRDefault="00277C14" w:rsidP="00277C14">
            <w:pPr>
              <w:rPr>
                <w:rFonts w:cs="Arial"/>
                <w:szCs w:val="20"/>
              </w:rPr>
            </w:pPr>
            <w:r w:rsidRPr="00E73BD4">
              <w:rPr>
                <w:rFonts w:cs="Arial"/>
                <w:szCs w:val="20"/>
              </w:rPr>
              <w:t>Suspicious transaction report</w:t>
            </w:r>
          </w:p>
        </w:tc>
      </w:tr>
      <w:tr w:rsidR="00277C14" w:rsidRPr="00E73BD4" w14:paraId="11E7278E" w14:textId="77777777" w:rsidTr="00277C14">
        <w:trPr>
          <w:jc w:val="center"/>
        </w:trPr>
        <w:tc>
          <w:tcPr>
            <w:tcW w:w="2914" w:type="dxa"/>
          </w:tcPr>
          <w:p w14:paraId="21372DD1" w14:textId="48AF9177" w:rsidR="00277C14" w:rsidRPr="00E73BD4" w:rsidRDefault="00277C14" w:rsidP="00277C14">
            <w:pPr>
              <w:rPr>
                <w:rFonts w:cs="Arial"/>
                <w:szCs w:val="20"/>
              </w:rPr>
            </w:pPr>
            <w:r w:rsidRPr="00E73BD4">
              <w:rPr>
                <w:rFonts w:cs="Arial"/>
                <w:szCs w:val="20"/>
              </w:rPr>
              <w:t>TF</w:t>
            </w:r>
          </w:p>
        </w:tc>
        <w:tc>
          <w:tcPr>
            <w:tcW w:w="6969" w:type="dxa"/>
          </w:tcPr>
          <w:p w14:paraId="6962E48F" w14:textId="0B198AD9" w:rsidR="00277C14" w:rsidRPr="00E73BD4" w:rsidRDefault="00277C14" w:rsidP="00277C14">
            <w:pPr>
              <w:rPr>
                <w:rFonts w:cs="Arial"/>
                <w:szCs w:val="20"/>
              </w:rPr>
            </w:pPr>
            <w:r w:rsidRPr="00E73BD4">
              <w:rPr>
                <w:rFonts w:cs="Arial"/>
                <w:szCs w:val="20"/>
              </w:rPr>
              <w:t>Terrorist financing</w:t>
            </w:r>
          </w:p>
        </w:tc>
      </w:tr>
      <w:tr w:rsidR="00277C14" w:rsidRPr="00E73BD4" w14:paraId="22B1C688" w14:textId="77777777" w:rsidTr="00277C14">
        <w:trPr>
          <w:jc w:val="center"/>
        </w:trPr>
        <w:tc>
          <w:tcPr>
            <w:tcW w:w="2914" w:type="dxa"/>
          </w:tcPr>
          <w:p w14:paraId="6FD5C875" w14:textId="32899761" w:rsidR="00766613" w:rsidRDefault="00766613" w:rsidP="00277C14">
            <w:pPr>
              <w:rPr>
                <w:rFonts w:cs="Arial"/>
                <w:szCs w:val="20"/>
              </w:rPr>
            </w:pPr>
            <w:r>
              <w:rPr>
                <w:rFonts w:cs="Arial"/>
                <w:szCs w:val="20"/>
              </w:rPr>
              <w:t>TFS</w:t>
            </w:r>
          </w:p>
          <w:p w14:paraId="6BE531C0" w14:textId="77757350" w:rsidR="00277C14" w:rsidRPr="00E73BD4" w:rsidRDefault="00277C14" w:rsidP="00277C14">
            <w:pPr>
              <w:rPr>
                <w:rFonts w:cs="Arial"/>
                <w:szCs w:val="20"/>
              </w:rPr>
            </w:pPr>
            <w:r w:rsidRPr="00E73BD4">
              <w:rPr>
                <w:rFonts w:cs="Arial"/>
                <w:szCs w:val="20"/>
              </w:rPr>
              <w:t>UN</w:t>
            </w:r>
          </w:p>
        </w:tc>
        <w:tc>
          <w:tcPr>
            <w:tcW w:w="6969" w:type="dxa"/>
          </w:tcPr>
          <w:p w14:paraId="6DDBB218" w14:textId="76DCF4FF" w:rsidR="00766613" w:rsidRDefault="00766613" w:rsidP="00277C14">
            <w:pPr>
              <w:rPr>
                <w:rFonts w:cs="Arial"/>
                <w:szCs w:val="20"/>
              </w:rPr>
            </w:pPr>
            <w:r>
              <w:rPr>
                <w:rFonts w:cs="Arial"/>
                <w:szCs w:val="20"/>
              </w:rPr>
              <w:t>Targeted financial sanctions</w:t>
            </w:r>
          </w:p>
          <w:p w14:paraId="52B2714F" w14:textId="63812E57" w:rsidR="00277C14" w:rsidRPr="00E73BD4" w:rsidRDefault="00277C14" w:rsidP="00277C14">
            <w:pPr>
              <w:rPr>
                <w:rFonts w:cs="Arial"/>
                <w:szCs w:val="20"/>
              </w:rPr>
            </w:pPr>
            <w:r w:rsidRPr="00E73BD4">
              <w:rPr>
                <w:rFonts w:cs="Arial"/>
                <w:szCs w:val="20"/>
              </w:rPr>
              <w:t>United Nations</w:t>
            </w:r>
          </w:p>
        </w:tc>
      </w:tr>
      <w:tr w:rsidR="00277C14" w:rsidRPr="00E73BD4" w14:paraId="1C3D57A1" w14:textId="77777777" w:rsidTr="00277C14">
        <w:trPr>
          <w:jc w:val="center"/>
        </w:trPr>
        <w:tc>
          <w:tcPr>
            <w:tcW w:w="2914" w:type="dxa"/>
          </w:tcPr>
          <w:p w14:paraId="191A194A" w14:textId="77777777" w:rsidR="00277C14" w:rsidRPr="00E73BD4" w:rsidRDefault="00277C14" w:rsidP="00277C14">
            <w:pPr>
              <w:rPr>
                <w:rFonts w:cs="Arial"/>
                <w:szCs w:val="20"/>
              </w:rPr>
            </w:pPr>
            <w:r w:rsidRPr="00E73BD4">
              <w:rPr>
                <w:rFonts w:cs="Arial"/>
                <w:szCs w:val="20"/>
              </w:rPr>
              <w:t>UNCTC</w:t>
            </w:r>
          </w:p>
        </w:tc>
        <w:tc>
          <w:tcPr>
            <w:tcW w:w="6969" w:type="dxa"/>
          </w:tcPr>
          <w:p w14:paraId="1948E31C" w14:textId="77777777" w:rsidR="00277C14" w:rsidRPr="00E73BD4" w:rsidRDefault="00277C14" w:rsidP="00277C14">
            <w:pPr>
              <w:rPr>
                <w:rFonts w:cs="Arial"/>
                <w:szCs w:val="20"/>
              </w:rPr>
            </w:pPr>
            <w:r w:rsidRPr="00E73BD4">
              <w:rPr>
                <w:rFonts w:cs="Arial"/>
                <w:szCs w:val="20"/>
              </w:rPr>
              <w:t>United Nations Counter-Terrorism Committee</w:t>
            </w:r>
          </w:p>
        </w:tc>
      </w:tr>
      <w:tr w:rsidR="00277C14" w:rsidRPr="00E73BD4" w14:paraId="1B9ABD69" w14:textId="77777777" w:rsidTr="00277C14">
        <w:trPr>
          <w:jc w:val="center"/>
        </w:trPr>
        <w:tc>
          <w:tcPr>
            <w:tcW w:w="2914" w:type="dxa"/>
          </w:tcPr>
          <w:p w14:paraId="785786A3" w14:textId="77777777" w:rsidR="00277C14" w:rsidRPr="00E73BD4" w:rsidRDefault="00277C14" w:rsidP="00277C14">
            <w:pPr>
              <w:rPr>
                <w:rFonts w:cs="Arial"/>
                <w:szCs w:val="20"/>
              </w:rPr>
            </w:pPr>
            <w:r w:rsidRPr="00E73BD4">
              <w:rPr>
                <w:rFonts w:cs="Arial"/>
                <w:szCs w:val="20"/>
              </w:rPr>
              <w:t>UNODC</w:t>
            </w:r>
          </w:p>
        </w:tc>
        <w:tc>
          <w:tcPr>
            <w:tcW w:w="6969" w:type="dxa"/>
          </w:tcPr>
          <w:p w14:paraId="50D52289" w14:textId="77777777" w:rsidR="00277C14" w:rsidRPr="00E73BD4" w:rsidRDefault="00277C14" w:rsidP="00277C14">
            <w:pPr>
              <w:rPr>
                <w:rFonts w:cs="Arial"/>
                <w:szCs w:val="20"/>
              </w:rPr>
            </w:pPr>
            <w:r w:rsidRPr="00E73BD4">
              <w:rPr>
                <w:rFonts w:cs="Arial"/>
                <w:szCs w:val="20"/>
              </w:rPr>
              <w:t>United Nations Office on Drugs and Crime</w:t>
            </w:r>
          </w:p>
        </w:tc>
      </w:tr>
      <w:tr w:rsidR="00277C14" w:rsidRPr="00E73BD4" w14:paraId="77007A2E" w14:textId="77777777" w:rsidTr="00277C14">
        <w:trPr>
          <w:jc w:val="center"/>
        </w:trPr>
        <w:tc>
          <w:tcPr>
            <w:tcW w:w="2914" w:type="dxa"/>
          </w:tcPr>
          <w:p w14:paraId="1A611E3E" w14:textId="77777777" w:rsidR="00277C14" w:rsidRPr="00E73BD4" w:rsidRDefault="00277C14" w:rsidP="00277C14">
            <w:pPr>
              <w:rPr>
                <w:rFonts w:cs="Arial"/>
                <w:szCs w:val="20"/>
              </w:rPr>
            </w:pPr>
            <w:r w:rsidRPr="00E73BD4">
              <w:rPr>
                <w:rFonts w:cs="Arial"/>
                <w:szCs w:val="20"/>
              </w:rPr>
              <w:t>UNSCR</w:t>
            </w:r>
          </w:p>
          <w:p w14:paraId="1745B207" w14:textId="0C6EF173" w:rsidR="00766613" w:rsidRDefault="00766613" w:rsidP="00277C14">
            <w:pPr>
              <w:rPr>
                <w:rFonts w:cs="Arial"/>
                <w:szCs w:val="20"/>
              </w:rPr>
            </w:pPr>
            <w:r>
              <w:rPr>
                <w:rFonts w:cs="Arial"/>
                <w:szCs w:val="20"/>
              </w:rPr>
              <w:t>VASPs</w:t>
            </w:r>
          </w:p>
          <w:p w14:paraId="1AD1F3BD" w14:textId="15AFE089" w:rsidR="00277C14" w:rsidRPr="00E73BD4" w:rsidRDefault="00277C14" w:rsidP="00277C14">
            <w:pPr>
              <w:rPr>
                <w:rFonts w:cs="Arial"/>
                <w:szCs w:val="20"/>
              </w:rPr>
            </w:pPr>
            <w:r w:rsidRPr="00E73BD4">
              <w:rPr>
                <w:rFonts w:cs="Arial"/>
                <w:szCs w:val="20"/>
              </w:rPr>
              <w:t>VTC</w:t>
            </w:r>
          </w:p>
        </w:tc>
        <w:tc>
          <w:tcPr>
            <w:tcW w:w="6969" w:type="dxa"/>
          </w:tcPr>
          <w:p w14:paraId="03804A84" w14:textId="77777777" w:rsidR="00277C14" w:rsidRPr="00E73BD4" w:rsidRDefault="00277C14" w:rsidP="00277C14">
            <w:pPr>
              <w:rPr>
                <w:rFonts w:cs="Arial"/>
                <w:szCs w:val="20"/>
              </w:rPr>
            </w:pPr>
            <w:r w:rsidRPr="00E73BD4">
              <w:rPr>
                <w:rFonts w:cs="Arial"/>
                <w:szCs w:val="20"/>
              </w:rPr>
              <w:t>United Nations Security Council Resolution</w:t>
            </w:r>
          </w:p>
          <w:p w14:paraId="628F433B" w14:textId="0F79FB92" w:rsidR="00766613" w:rsidRDefault="00766613" w:rsidP="00277C14">
            <w:pPr>
              <w:rPr>
                <w:rFonts w:cs="Arial"/>
                <w:szCs w:val="20"/>
              </w:rPr>
            </w:pPr>
            <w:r>
              <w:rPr>
                <w:rFonts w:cs="Arial"/>
                <w:szCs w:val="20"/>
              </w:rPr>
              <w:t>Virtual asset service provider</w:t>
            </w:r>
          </w:p>
          <w:p w14:paraId="6BB76DE9" w14:textId="17318A31" w:rsidR="00277C14" w:rsidRPr="00E73BD4" w:rsidRDefault="00277C14" w:rsidP="00277C14">
            <w:pPr>
              <w:rPr>
                <w:rFonts w:cs="Arial"/>
                <w:szCs w:val="20"/>
              </w:rPr>
            </w:pPr>
            <w:r w:rsidRPr="00E73BD4">
              <w:rPr>
                <w:rFonts w:cs="Arial"/>
                <w:szCs w:val="20"/>
              </w:rPr>
              <w:t>Voluntary tax compliance</w:t>
            </w:r>
          </w:p>
        </w:tc>
      </w:tr>
    </w:tbl>
    <w:p w14:paraId="685C1E56" w14:textId="77777777" w:rsidR="00277C14" w:rsidRPr="00E73BD4" w:rsidRDefault="00277C14" w:rsidP="00277C14">
      <w:pPr>
        <w:keepNext/>
        <w:widowControl w:val="0"/>
        <w:ind w:right="284"/>
        <w:outlineLvl w:val="1"/>
        <w:rPr>
          <w:rFonts w:cs="Arial"/>
          <w:b/>
          <w:bCs/>
          <w:smallCaps/>
          <w:w w:val="105"/>
          <w:kern w:val="28"/>
          <w:szCs w:val="20"/>
          <w:lang w:eastAsia="zh-CN"/>
        </w:rPr>
      </w:pPr>
      <w:bookmarkStart w:id="1" w:name="_Toc446602090"/>
    </w:p>
    <w:p w14:paraId="3104AB2D" w14:textId="77777777" w:rsidR="00277C14" w:rsidRPr="00E73BD4" w:rsidRDefault="00277C14" w:rsidP="00277C14">
      <w:pPr>
        <w:rPr>
          <w:rFonts w:eastAsia="Times New Roman" w:cs="Arial"/>
          <w:b/>
          <w:bCs/>
          <w:color w:val="000000"/>
          <w:w w:val="105"/>
          <w:kern w:val="28"/>
          <w:szCs w:val="20"/>
          <w:lang w:eastAsia="zh-CN"/>
        </w:rPr>
      </w:pPr>
      <w:bookmarkStart w:id="2" w:name="_Toc66712409"/>
      <w:r w:rsidRPr="00E73BD4">
        <w:rPr>
          <w:rFonts w:cs="Arial"/>
          <w:szCs w:val="20"/>
        </w:rPr>
        <w:br w:type="page"/>
      </w:r>
    </w:p>
    <w:bookmarkEnd w:id="2"/>
    <w:p w14:paraId="4527E362" w14:textId="77777777" w:rsidR="00394957" w:rsidRPr="00E73BD4" w:rsidRDefault="00394957" w:rsidP="00394957">
      <w:pPr>
        <w:pStyle w:val="Title1"/>
        <w:spacing w:before="0" w:after="0"/>
      </w:pPr>
    </w:p>
    <w:p w14:paraId="7AA0C6C1" w14:textId="77777777" w:rsidR="00A77BA6" w:rsidRPr="00E73BD4" w:rsidRDefault="00A77BA6" w:rsidP="00A77BA6">
      <w:pPr>
        <w:pStyle w:val="Title1"/>
        <w:spacing w:before="0" w:after="0"/>
      </w:pPr>
      <w:bookmarkStart w:id="3" w:name="_Toc96007488"/>
      <w:bookmarkStart w:id="4" w:name="_Toc135409875"/>
      <w:r w:rsidRPr="00E73BD4">
        <w:t>INTRODUCTION FROM THE CHAIR</w:t>
      </w:r>
      <w:bookmarkEnd w:id="3"/>
      <w:bookmarkEnd w:id="4"/>
    </w:p>
    <w:p w14:paraId="04F5C0B2" w14:textId="77777777" w:rsidR="00A77BA6" w:rsidRPr="00E73BD4" w:rsidRDefault="00A77BA6" w:rsidP="00A77BA6">
      <w:pPr>
        <w:pStyle w:val="Title1"/>
        <w:spacing w:before="0" w:after="0"/>
      </w:pPr>
    </w:p>
    <w:p w14:paraId="06AD10C8" w14:textId="77777777" w:rsidR="00AB25B8" w:rsidRDefault="00AB25B8" w:rsidP="00AB25B8">
      <w:pPr>
        <w:widowControl w:val="0"/>
        <w:autoSpaceDE w:val="0"/>
        <w:autoSpaceDN w:val="0"/>
        <w:adjustRightInd w:val="0"/>
        <w:jc w:val="both"/>
        <w:rPr>
          <w:rFonts w:cs="Arial"/>
          <w:szCs w:val="20"/>
        </w:rPr>
      </w:pPr>
      <w:bookmarkStart w:id="5" w:name="_Toc66712410"/>
      <w:r>
        <w:rPr>
          <w:rFonts w:cs="Arial"/>
          <w:szCs w:val="20"/>
        </w:rPr>
        <w:t xml:space="preserve">I am pleased to introduce the annual report of MONEYVAL, which highlights MONEYVAL’s achievements in 2022. </w:t>
      </w:r>
    </w:p>
    <w:p w14:paraId="38698221" w14:textId="77777777" w:rsidR="00AB25B8" w:rsidRDefault="00AB25B8" w:rsidP="00AB25B8">
      <w:pPr>
        <w:widowControl w:val="0"/>
        <w:autoSpaceDE w:val="0"/>
        <w:autoSpaceDN w:val="0"/>
        <w:adjustRightInd w:val="0"/>
        <w:rPr>
          <w:rFonts w:cs="Arial"/>
          <w:szCs w:val="20"/>
        </w:rPr>
      </w:pPr>
    </w:p>
    <w:p w14:paraId="42B1EBAD" w14:textId="1262A805" w:rsidR="00AB25B8" w:rsidRDefault="00AB25B8" w:rsidP="00AB25B8">
      <w:pPr>
        <w:widowControl w:val="0"/>
        <w:autoSpaceDE w:val="0"/>
        <w:autoSpaceDN w:val="0"/>
        <w:adjustRightInd w:val="0"/>
        <w:rPr>
          <w:rFonts w:cs="Arial"/>
          <w:szCs w:val="20"/>
        </w:rPr>
      </w:pPr>
      <w:r>
        <w:rPr>
          <w:rFonts w:cs="Arial"/>
          <w:szCs w:val="20"/>
        </w:rPr>
        <w:t>2022 was marked by significant challenges in global affairs, impacting efforts to combat money laundering and the financing of terrorism. The global community and multiple international organisations involved in anti-money</w:t>
      </w:r>
      <w:r w:rsidRPr="00830453">
        <w:rPr>
          <w:rFonts w:cs="Arial"/>
          <w:szCs w:val="20"/>
        </w:rPr>
        <w:t xml:space="preserve">-laundering and counter terrorism financing </w:t>
      </w:r>
      <w:r>
        <w:rPr>
          <w:rFonts w:cs="Arial"/>
          <w:szCs w:val="20"/>
        </w:rPr>
        <w:t>responded to</w:t>
      </w:r>
      <w:r w:rsidRPr="00830453">
        <w:rPr>
          <w:rFonts w:cs="Arial"/>
          <w:szCs w:val="20"/>
        </w:rPr>
        <w:t xml:space="preserve"> </w:t>
      </w:r>
      <w:r>
        <w:rPr>
          <w:rFonts w:cs="Arial"/>
          <w:szCs w:val="20"/>
        </w:rPr>
        <w:t xml:space="preserve">the </w:t>
      </w:r>
      <w:r w:rsidRPr="00830453">
        <w:rPr>
          <w:rFonts w:cs="Arial"/>
          <w:szCs w:val="20"/>
        </w:rPr>
        <w:t>Russian Federation’s aggression against Ukraine</w:t>
      </w:r>
      <w:r>
        <w:rPr>
          <w:rFonts w:cs="Arial"/>
          <w:szCs w:val="20"/>
        </w:rPr>
        <w:t xml:space="preserve">. After </w:t>
      </w:r>
      <w:r w:rsidRPr="00830453">
        <w:rPr>
          <w:rFonts w:cs="Arial"/>
          <w:szCs w:val="20"/>
        </w:rPr>
        <w:t xml:space="preserve">the expulsion of </w:t>
      </w:r>
      <w:r>
        <w:rPr>
          <w:rFonts w:cs="Arial"/>
          <w:szCs w:val="20"/>
        </w:rPr>
        <w:t xml:space="preserve">the Russian Federation </w:t>
      </w:r>
      <w:r w:rsidRPr="00830453">
        <w:rPr>
          <w:rFonts w:cs="Arial"/>
          <w:szCs w:val="20"/>
        </w:rPr>
        <w:t xml:space="preserve">from the Council of Europe and MONEYVAL, </w:t>
      </w:r>
      <w:r w:rsidRPr="00F601D4">
        <w:rPr>
          <w:rFonts w:cs="Arial"/>
          <w:szCs w:val="20"/>
        </w:rPr>
        <w:t xml:space="preserve">its participation </w:t>
      </w:r>
      <w:r>
        <w:rPr>
          <w:rFonts w:cs="Arial"/>
          <w:szCs w:val="20"/>
        </w:rPr>
        <w:t xml:space="preserve">was also </w:t>
      </w:r>
      <w:r w:rsidRPr="00830453">
        <w:rPr>
          <w:rFonts w:cs="Arial"/>
          <w:szCs w:val="20"/>
        </w:rPr>
        <w:t>limited in other international organisations</w:t>
      </w:r>
      <w:r>
        <w:rPr>
          <w:rFonts w:cs="Arial"/>
          <w:szCs w:val="20"/>
        </w:rPr>
        <w:t xml:space="preserve">, including the </w:t>
      </w:r>
      <w:r w:rsidRPr="0073177E">
        <w:rPr>
          <w:rFonts w:cs="Arial"/>
          <w:szCs w:val="20"/>
        </w:rPr>
        <w:t>Financial Action Task Force (FATF</w:t>
      </w:r>
      <w:r>
        <w:rPr>
          <w:rFonts w:cs="Arial"/>
          <w:szCs w:val="20"/>
        </w:rPr>
        <w:t>)</w:t>
      </w:r>
      <w:r w:rsidRPr="00F601D4">
        <w:rPr>
          <w:rFonts w:cs="Arial"/>
          <w:szCs w:val="20"/>
        </w:rPr>
        <w:t>.</w:t>
      </w:r>
      <w:r w:rsidRPr="00830453">
        <w:rPr>
          <w:rFonts w:cs="Arial"/>
          <w:szCs w:val="20"/>
        </w:rPr>
        <w:t xml:space="preserve"> </w:t>
      </w:r>
      <w:r>
        <w:rPr>
          <w:rFonts w:cs="Arial"/>
          <w:szCs w:val="20"/>
        </w:rPr>
        <w:t>Given t</w:t>
      </w:r>
      <w:r w:rsidRPr="00830453">
        <w:rPr>
          <w:rFonts w:cs="Arial"/>
          <w:szCs w:val="20"/>
        </w:rPr>
        <w:t>he</w:t>
      </w:r>
      <w:r>
        <w:rPr>
          <w:rFonts w:cs="Arial"/>
          <w:szCs w:val="20"/>
        </w:rPr>
        <w:t xml:space="preserve"> ties between AML/CFT efforts and sanctions policies, significant resources within competent authorities were reoriented towards tracing and freezing any funds and other assets of designated persons or entities. MONEYVAL was quick to adapt to these challenges and </w:t>
      </w:r>
      <w:proofErr w:type="gramStart"/>
      <w:r>
        <w:rPr>
          <w:rFonts w:cs="Arial"/>
          <w:szCs w:val="20"/>
        </w:rPr>
        <w:t>made adjustments to</w:t>
      </w:r>
      <w:proofErr w:type="gramEnd"/>
      <w:r>
        <w:rPr>
          <w:rFonts w:cs="Arial"/>
          <w:szCs w:val="20"/>
        </w:rPr>
        <w:t xml:space="preserve"> its mutual evaluation programme, where necessary. </w:t>
      </w:r>
    </w:p>
    <w:p w14:paraId="3EAB34D3" w14:textId="77777777" w:rsidR="00AB25B8" w:rsidRPr="004C7DDD" w:rsidRDefault="00AB25B8" w:rsidP="00AB25B8">
      <w:pPr>
        <w:widowControl w:val="0"/>
        <w:autoSpaceDE w:val="0"/>
        <w:autoSpaceDN w:val="0"/>
        <w:adjustRightInd w:val="0"/>
        <w:rPr>
          <w:rFonts w:cs="Arial"/>
          <w:szCs w:val="20"/>
        </w:rPr>
      </w:pPr>
    </w:p>
    <w:p w14:paraId="4916487C" w14:textId="604FCA27" w:rsidR="00AB25B8" w:rsidRDefault="00AB25B8" w:rsidP="00AB25B8">
      <w:pPr>
        <w:widowControl w:val="0"/>
        <w:autoSpaceDE w:val="0"/>
        <w:autoSpaceDN w:val="0"/>
        <w:adjustRightInd w:val="0"/>
        <w:rPr>
          <w:rFonts w:cs="Arial"/>
          <w:szCs w:val="20"/>
        </w:rPr>
      </w:pPr>
      <w:r w:rsidRPr="004C7DDD">
        <w:rPr>
          <w:rFonts w:cs="Arial"/>
          <w:szCs w:val="20"/>
        </w:rPr>
        <w:t>Russia’s aggression against Ukraine highlighted the link between authoritarian regimes</w:t>
      </w:r>
      <w:r>
        <w:rPr>
          <w:rFonts w:cs="Arial"/>
          <w:szCs w:val="20"/>
        </w:rPr>
        <w:t xml:space="preserve">, corrupt </w:t>
      </w:r>
      <w:proofErr w:type="gramStart"/>
      <w:r>
        <w:rPr>
          <w:rFonts w:cs="Arial"/>
          <w:szCs w:val="20"/>
        </w:rPr>
        <w:t>actors</w:t>
      </w:r>
      <w:proofErr w:type="gramEnd"/>
      <w:r>
        <w:rPr>
          <w:rFonts w:cs="Arial"/>
          <w:szCs w:val="20"/>
        </w:rPr>
        <w:t xml:space="preserve"> </w:t>
      </w:r>
      <w:r w:rsidRPr="004C7DDD">
        <w:rPr>
          <w:rFonts w:cs="Arial"/>
          <w:szCs w:val="20"/>
        </w:rPr>
        <w:t xml:space="preserve">and </w:t>
      </w:r>
      <w:r>
        <w:rPr>
          <w:rFonts w:cs="Arial"/>
          <w:szCs w:val="20"/>
        </w:rPr>
        <w:t>illicit financial flows. The</w:t>
      </w:r>
      <w:r w:rsidRPr="004C7DDD">
        <w:rPr>
          <w:rFonts w:cs="Arial"/>
          <w:szCs w:val="20"/>
        </w:rPr>
        <w:t xml:space="preserve"> need </w:t>
      </w:r>
      <w:r>
        <w:rPr>
          <w:rFonts w:cs="Arial"/>
          <w:szCs w:val="20"/>
        </w:rPr>
        <w:t xml:space="preserve">to </w:t>
      </w:r>
      <w:r w:rsidRPr="004C7DDD">
        <w:rPr>
          <w:rFonts w:cs="Arial"/>
          <w:szCs w:val="20"/>
        </w:rPr>
        <w:t xml:space="preserve">deny illicit actors access to the funds and resources </w:t>
      </w:r>
      <w:r>
        <w:rPr>
          <w:rFonts w:cs="Arial"/>
          <w:szCs w:val="20"/>
        </w:rPr>
        <w:t xml:space="preserve">used </w:t>
      </w:r>
      <w:r w:rsidRPr="004C7DDD">
        <w:rPr>
          <w:rFonts w:cs="Arial"/>
          <w:szCs w:val="20"/>
        </w:rPr>
        <w:t xml:space="preserve">to </w:t>
      </w:r>
      <w:r>
        <w:rPr>
          <w:rFonts w:cs="Arial"/>
          <w:szCs w:val="20"/>
        </w:rPr>
        <w:t xml:space="preserve">facilitate </w:t>
      </w:r>
      <w:r w:rsidRPr="004C7DDD">
        <w:rPr>
          <w:rFonts w:cs="Arial"/>
          <w:szCs w:val="20"/>
        </w:rPr>
        <w:t>harmful activities</w:t>
      </w:r>
      <w:r>
        <w:rPr>
          <w:rFonts w:cs="Arial"/>
          <w:szCs w:val="20"/>
        </w:rPr>
        <w:t>,</w:t>
      </w:r>
      <w:r w:rsidRPr="004C7DDD">
        <w:rPr>
          <w:rFonts w:cs="Arial"/>
          <w:szCs w:val="20"/>
        </w:rPr>
        <w:t xml:space="preserve"> including those that can undermine European security and </w:t>
      </w:r>
      <w:r>
        <w:rPr>
          <w:rFonts w:cs="Arial"/>
          <w:szCs w:val="20"/>
        </w:rPr>
        <w:t>stability, became even more apparent</w:t>
      </w:r>
      <w:r w:rsidRPr="004C7DDD">
        <w:rPr>
          <w:rFonts w:cs="Arial"/>
          <w:szCs w:val="20"/>
        </w:rPr>
        <w:t xml:space="preserve">. Money laundering and corruption undermine the rule of law and erode public trust in key institutions. This calls for governments to </w:t>
      </w:r>
      <w:r>
        <w:rPr>
          <w:rFonts w:cs="Arial"/>
          <w:szCs w:val="20"/>
        </w:rPr>
        <w:t>invest more in their</w:t>
      </w:r>
      <w:r w:rsidRPr="004C7DDD">
        <w:rPr>
          <w:rFonts w:cs="Arial"/>
          <w:szCs w:val="20"/>
        </w:rPr>
        <w:t xml:space="preserve"> AML/CFT </w:t>
      </w:r>
      <w:proofErr w:type="gramStart"/>
      <w:r w:rsidRPr="004C7DDD">
        <w:rPr>
          <w:rFonts w:cs="Arial"/>
          <w:szCs w:val="20"/>
        </w:rPr>
        <w:t>programmes, and</w:t>
      </w:r>
      <w:proofErr w:type="gramEnd"/>
      <w:r w:rsidRPr="004C7DDD">
        <w:rPr>
          <w:rFonts w:cs="Arial"/>
          <w:szCs w:val="20"/>
        </w:rPr>
        <w:t xml:space="preserve"> adopt stricter policies to prevent the laundering of proceeds associated with corrupt regimes. </w:t>
      </w:r>
    </w:p>
    <w:p w14:paraId="76E7A1F9" w14:textId="77777777" w:rsidR="00AB25B8" w:rsidRDefault="00AB25B8" w:rsidP="00AB25B8">
      <w:pPr>
        <w:widowControl w:val="0"/>
        <w:autoSpaceDE w:val="0"/>
        <w:autoSpaceDN w:val="0"/>
        <w:adjustRightInd w:val="0"/>
        <w:rPr>
          <w:rFonts w:cs="Arial"/>
          <w:szCs w:val="20"/>
        </w:rPr>
      </w:pPr>
    </w:p>
    <w:p w14:paraId="2F3DC0FF" w14:textId="05863FBB" w:rsidR="00AB25B8" w:rsidRDefault="00AB25B8" w:rsidP="00AB25B8">
      <w:pPr>
        <w:widowControl w:val="0"/>
        <w:autoSpaceDE w:val="0"/>
        <w:autoSpaceDN w:val="0"/>
        <w:adjustRightInd w:val="0"/>
        <w:rPr>
          <w:rFonts w:cs="Arial"/>
          <w:szCs w:val="20"/>
        </w:rPr>
      </w:pPr>
      <w:r w:rsidRPr="004C7DDD">
        <w:rPr>
          <w:rFonts w:cs="Arial"/>
          <w:szCs w:val="20"/>
        </w:rPr>
        <w:t>Recovery of criminal proceeds remains insufficient, further action is required from MONEYVAL</w:t>
      </w:r>
      <w:r>
        <w:rPr>
          <w:rFonts w:cs="Arial"/>
          <w:szCs w:val="20"/>
        </w:rPr>
        <w:t xml:space="preserve"> </w:t>
      </w:r>
      <w:r w:rsidRPr="004C7DDD">
        <w:rPr>
          <w:rFonts w:cs="Arial"/>
          <w:szCs w:val="20"/>
        </w:rPr>
        <w:t xml:space="preserve">to strengthen countries’ frameworks for asset management and effective recovery. </w:t>
      </w:r>
      <w:r>
        <w:rPr>
          <w:rFonts w:cs="Arial"/>
          <w:szCs w:val="20"/>
        </w:rPr>
        <w:t xml:space="preserve">Recognising that this is also a priority for the FATF, </w:t>
      </w:r>
      <w:r w:rsidRPr="004C7DDD">
        <w:rPr>
          <w:rFonts w:cs="Arial"/>
          <w:szCs w:val="20"/>
        </w:rPr>
        <w:t xml:space="preserve">MONEYVAL will continue to </w:t>
      </w:r>
      <w:r>
        <w:rPr>
          <w:rFonts w:cs="Arial"/>
          <w:szCs w:val="20"/>
        </w:rPr>
        <w:t>make active contribution to</w:t>
      </w:r>
      <w:r w:rsidRPr="004C7DDD">
        <w:rPr>
          <w:rFonts w:cs="Arial"/>
          <w:szCs w:val="20"/>
        </w:rPr>
        <w:t xml:space="preserve"> international initiatives </w:t>
      </w:r>
      <w:r>
        <w:rPr>
          <w:rFonts w:cs="Arial"/>
          <w:szCs w:val="20"/>
        </w:rPr>
        <w:t xml:space="preserve">on this </w:t>
      </w:r>
      <w:proofErr w:type="gramStart"/>
      <w:r>
        <w:rPr>
          <w:rFonts w:cs="Arial"/>
          <w:szCs w:val="20"/>
        </w:rPr>
        <w:t>area, and</w:t>
      </w:r>
      <w:proofErr w:type="gramEnd"/>
      <w:r>
        <w:rPr>
          <w:rFonts w:cs="Arial"/>
          <w:szCs w:val="20"/>
        </w:rPr>
        <w:t xml:space="preserve"> support any </w:t>
      </w:r>
      <w:r w:rsidRPr="004C7DDD">
        <w:rPr>
          <w:rFonts w:cs="Arial"/>
          <w:szCs w:val="20"/>
        </w:rPr>
        <w:t>Council of Europe action</w:t>
      </w:r>
      <w:r>
        <w:rPr>
          <w:rFonts w:cs="Arial"/>
          <w:szCs w:val="20"/>
        </w:rPr>
        <w:t>s</w:t>
      </w:r>
      <w:r w:rsidRPr="004C7DDD">
        <w:rPr>
          <w:rFonts w:cs="Arial"/>
          <w:szCs w:val="20"/>
        </w:rPr>
        <w:t xml:space="preserve"> </w:t>
      </w:r>
      <w:r>
        <w:rPr>
          <w:rFonts w:cs="Arial"/>
          <w:szCs w:val="20"/>
        </w:rPr>
        <w:t>relevant to asset recovery</w:t>
      </w:r>
      <w:r w:rsidRPr="004C7DDD">
        <w:rPr>
          <w:rFonts w:cs="Arial"/>
          <w:szCs w:val="20"/>
        </w:rPr>
        <w:t>.</w:t>
      </w:r>
      <w:r>
        <w:rPr>
          <w:rFonts w:cs="Arial"/>
          <w:szCs w:val="20"/>
        </w:rPr>
        <w:t xml:space="preserve"> </w:t>
      </w:r>
    </w:p>
    <w:p w14:paraId="6F21D412" w14:textId="77777777" w:rsidR="00AB25B8" w:rsidRDefault="00AB25B8" w:rsidP="00AB25B8">
      <w:pPr>
        <w:widowControl w:val="0"/>
        <w:autoSpaceDE w:val="0"/>
        <w:autoSpaceDN w:val="0"/>
        <w:adjustRightInd w:val="0"/>
        <w:rPr>
          <w:rFonts w:cs="Arial"/>
          <w:szCs w:val="20"/>
        </w:rPr>
      </w:pPr>
    </w:p>
    <w:p w14:paraId="7FD1A3C8" w14:textId="09ECA5EF" w:rsidR="00AB25B8" w:rsidRDefault="00AB25B8" w:rsidP="00AB25B8">
      <w:pPr>
        <w:widowControl w:val="0"/>
        <w:autoSpaceDE w:val="0"/>
        <w:autoSpaceDN w:val="0"/>
        <w:adjustRightInd w:val="0"/>
        <w:rPr>
          <w:rFonts w:cs="Arial"/>
          <w:szCs w:val="20"/>
        </w:rPr>
      </w:pPr>
      <w:r>
        <w:rPr>
          <w:rFonts w:cs="Arial"/>
          <w:szCs w:val="20"/>
        </w:rPr>
        <w:t xml:space="preserve">The weakest links in the international financial system are its gatekeepers, the so-called designated non-financial </w:t>
      </w:r>
      <w:proofErr w:type="gramStart"/>
      <w:r>
        <w:rPr>
          <w:rFonts w:cs="Arial"/>
          <w:szCs w:val="20"/>
        </w:rPr>
        <w:t>businesses</w:t>
      </w:r>
      <w:proofErr w:type="gramEnd"/>
      <w:r>
        <w:rPr>
          <w:rFonts w:cs="Arial"/>
          <w:szCs w:val="20"/>
        </w:rPr>
        <w:t xml:space="preserve"> and professions, including lawyers, notaries, accountants and specialised entities providing services for trusts and companies. Professional enablers guide money launderers in setting up complex schemes through multiple jurisdictions across the globe. Following two years of dedicated efforts by MONEYVAL, they have also become the object of special interest of the FATF and will become a focus of the next global round of mutual evaluations to start in 2024. </w:t>
      </w:r>
    </w:p>
    <w:p w14:paraId="28852991" w14:textId="77777777" w:rsidR="00AB25B8" w:rsidRDefault="00AB25B8" w:rsidP="00AB25B8">
      <w:pPr>
        <w:widowControl w:val="0"/>
        <w:autoSpaceDE w:val="0"/>
        <w:autoSpaceDN w:val="0"/>
        <w:adjustRightInd w:val="0"/>
        <w:rPr>
          <w:rFonts w:cs="Arial"/>
          <w:szCs w:val="20"/>
        </w:rPr>
      </w:pPr>
    </w:p>
    <w:p w14:paraId="17986789" w14:textId="0547A934" w:rsidR="00AB25B8" w:rsidRDefault="00AB25B8" w:rsidP="00AB25B8">
      <w:pPr>
        <w:widowControl w:val="0"/>
        <w:autoSpaceDE w:val="0"/>
        <w:autoSpaceDN w:val="0"/>
        <w:adjustRightInd w:val="0"/>
        <w:rPr>
          <w:rFonts w:cs="Arial"/>
          <w:szCs w:val="20"/>
        </w:rPr>
      </w:pPr>
      <w:r>
        <w:rPr>
          <w:rFonts w:cs="Arial"/>
          <w:szCs w:val="20"/>
        </w:rPr>
        <w:t>The international community and its institutions are moving in lockstep to tackle other systemic and emerging challenges. The digital transformation of society and economy is leading AML/CFT authorities and the private sector to adopt more advanced tools and propose new methods for monitoring transactions. Notwithstanding the advantages that new technologies bring</w:t>
      </w:r>
      <w:r w:rsidRPr="0078758E">
        <w:rPr>
          <w:rFonts w:cs="Arial"/>
          <w:szCs w:val="20"/>
        </w:rPr>
        <w:t xml:space="preserve"> </w:t>
      </w:r>
      <w:r>
        <w:rPr>
          <w:rFonts w:cs="Arial"/>
          <w:szCs w:val="20"/>
        </w:rPr>
        <w:t xml:space="preserve">for improved AML/CFT detection and compliance performance, in particular artificial intelligence, they also trigger numerous regulatory and operational challenges in member states. MONEYVAL should guide its members </w:t>
      </w:r>
      <w:proofErr w:type="gramStart"/>
      <w:r>
        <w:rPr>
          <w:rFonts w:cs="Arial"/>
          <w:szCs w:val="20"/>
        </w:rPr>
        <w:t>in order to</w:t>
      </w:r>
      <w:proofErr w:type="gramEnd"/>
      <w:r>
        <w:rPr>
          <w:rFonts w:cs="Arial"/>
          <w:szCs w:val="20"/>
        </w:rPr>
        <w:t xml:space="preserve"> ensure that the introduction and use of such technologies is compatible with relevant international and European standards, including in the area of data protection, privacy and cybersecurity. Data protection, a central theme of our efforts in the Council of Europe, should remain a key consideration in this regard. It is also essential to ensure a human rights-based approach within the financial sector, as artificial intelligence increasingly takes hold. A related risk is the abuse of cryptocurrencies and the increasing threat of cybercrime which requires the active involvement and greater capacity building of AML/CFT authorities </w:t>
      </w:r>
      <w:proofErr w:type="gramStart"/>
      <w:r>
        <w:rPr>
          <w:rFonts w:cs="Arial"/>
          <w:szCs w:val="20"/>
        </w:rPr>
        <w:t>in order to</w:t>
      </w:r>
      <w:proofErr w:type="gramEnd"/>
      <w:r>
        <w:rPr>
          <w:rFonts w:cs="Arial"/>
          <w:szCs w:val="20"/>
        </w:rPr>
        <w:t xml:space="preserve"> be addressed. We are developing partnerships with the respective Council of Europe committees to jointly tackle these challenges. </w:t>
      </w:r>
    </w:p>
    <w:p w14:paraId="4CC8ADAA" w14:textId="77777777" w:rsidR="00AB25B8" w:rsidRDefault="00AB25B8" w:rsidP="00AB25B8">
      <w:pPr>
        <w:widowControl w:val="0"/>
        <w:autoSpaceDE w:val="0"/>
        <w:autoSpaceDN w:val="0"/>
        <w:adjustRightInd w:val="0"/>
        <w:rPr>
          <w:rFonts w:cs="Arial"/>
          <w:szCs w:val="20"/>
        </w:rPr>
      </w:pPr>
    </w:p>
    <w:p w14:paraId="49BB23C1" w14:textId="2B80A780" w:rsidR="00AB25B8" w:rsidRDefault="00AB25B8" w:rsidP="00AB25B8">
      <w:pPr>
        <w:widowControl w:val="0"/>
        <w:autoSpaceDE w:val="0"/>
        <w:autoSpaceDN w:val="0"/>
        <w:adjustRightInd w:val="0"/>
        <w:rPr>
          <w:rFonts w:cs="Arial"/>
          <w:szCs w:val="20"/>
        </w:rPr>
      </w:pPr>
      <w:r w:rsidRPr="00BB6E13">
        <w:rPr>
          <w:rFonts w:cs="Arial"/>
          <w:szCs w:val="20"/>
        </w:rPr>
        <w:t xml:space="preserve">As we move towards the conclusion of our 5th mutual evaluation cycle, ending in 2024, it is a moment of strategic reflection and intense deliberations within MONEYVAL on the way forward. </w:t>
      </w:r>
      <w:r>
        <w:rPr>
          <w:rFonts w:cs="Arial"/>
          <w:szCs w:val="20"/>
        </w:rPr>
        <w:t xml:space="preserve">Across the </w:t>
      </w:r>
      <w:r w:rsidRPr="00BB6E13">
        <w:rPr>
          <w:rFonts w:cs="Arial"/>
          <w:szCs w:val="20"/>
        </w:rPr>
        <w:t xml:space="preserve">Global Network led by the FATF, our </w:t>
      </w:r>
      <w:proofErr w:type="gramStart"/>
      <w:r w:rsidRPr="00BB6E13">
        <w:rPr>
          <w:rFonts w:cs="Arial"/>
          <w:szCs w:val="20"/>
        </w:rPr>
        <w:t>Committee</w:t>
      </w:r>
      <w:proofErr w:type="gramEnd"/>
      <w:r w:rsidRPr="00BB6E13">
        <w:rPr>
          <w:rFonts w:cs="Arial"/>
          <w:szCs w:val="20"/>
        </w:rPr>
        <w:t xml:space="preserve"> was recognised in the top-tier of global performers, according to the most recent internal FATF ranking. We have </w:t>
      </w:r>
      <w:r>
        <w:rPr>
          <w:rFonts w:cs="Arial"/>
          <w:szCs w:val="20"/>
        </w:rPr>
        <w:t xml:space="preserve">strong </w:t>
      </w:r>
      <w:r w:rsidRPr="00BB6E13">
        <w:rPr>
          <w:rFonts w:cs="Arial"/>
          <w:szCs w:val="20"/>
        </w:rPr>
        <w:t>expertise among delegations and within the Secretariat</w:t>
      </w:r>
      <w:r w:rsidRPr="00BB6E13" w:rsidDel="00BB6E13">
        <w:rPr>
          <w:rFonts w:cs="Arial"/>
          <w:szCs w:val="20"/>
        </w:rPr>
        <w:t xml:space="preserve"> </w:t>
      </w:r>
      <w:r>
        <w:rPr>
          <w:rFonts w:cs="Arial"/>
          <w:szCs w:val="20"/>
        </w:rPr>
        <w:t>and delivered high-quality</w:t>
      </w:r>
      <w:r w:rsidRPr="00BB6E13">
        <w:rPr>
          <w:rFonts w:cs="Arial"/>
          <w:szCs w:val="20"/>
        </w:rPr>
        <w:t xml:space="preserve"> assessments. This is, in no doubt, the result of continuous efforts by several generations of AML/CFT experts actively taking part in the work of our </w:t>
      </w:r>
      <w:proofErr w:type="gramStart"/>
      <w:r w:rsidRPr="00BB6E13">
        <w:rPr>
          <w:rFonts w:cs="Arial"/>
          <w:szCs w:val="20"/>
        </w:rPr>
        <w:t>Committee</w:t>
      </w:r>
      <w:proofErr w:type="gramEnd"/>
      <w:r w:rsidRPr="00BB6E13">
        <w:rPr>
          <w:rFonts w:cs="Arial"/>
          <w:szCs w:val="20"/>
        </w:rPr>
        <w:t>. Having just marked our 25-year anniversary in December 2022, I take this opportunity to thank all colleagues involved in the successful development of MONEYVAL since its establishment in 1997.</w:t>
      </w:r>
    </w:p>
    <w:p w14:paraId="2B578A84" w14:textId="77777777" w:rsidR="00AB25B8" w:rsidRDefault="00AB25B8" w:rsidP="00AB25B8">
      <w:pPr>
        <w:widowControl w:val="0"/>
        <w:autoSpaceDE w:val="0"/>
        <w:autoSpaceDN w:val="0"/>
        <w:adjustRightInd w:val="0"/>
        <w:rPr>
          <w:rFonts w:cs="Arial"/>
          <w:szCs w:val="20"/>
        </w:rPr>
      </w:pPr>
    </w:p>
    <w:p w14:paraId="1AC83108" w14:textId="77777777" w:rsidR="004D5F3C" w:rsidRDefault="004D5F3C">
      <w:pPr>
        <w:rPr>
          <w:rFonts w:cs="Arial"/>
          <w:szCs w:val="20"/>
        </w:rPr>
      </w:pPr>
      <w:r>
        <w:rPr>
          <w:rFonts w:cs="Arial"/>
          <w:szCs w:val="20"/>
        </w:rPr>
        <w:br w:type="page"/>
      </w:r>
    </w:p>
    <w:p w14:paraId="5869B6E7" w14:textId="68EA07A7" w:rsidR="00AB25B8" w:rsidRDefault="00AB25B8" w:rsidP="00AB25B8">
      <w:pPr>
        <w:widowControl w:val="0"/>
        <w:autoSpaceDE w:val="0"/>
        <w:autoSpaceDN w:val="0"/>
        <w:adjustRightInd w:val="0"/>
        <w:rPr>
          <w:rFonts w:cs="Arial"/>
          <w:szCs w:val="20"/>
        </w:rPr>
      </w:pPr>
      <w:r>
        <w:rPr>
          <w:rFonts w:cs="Arial"/>
          <w:szCs w:val="20"/>
        </w:rPr>
        <w:lastRenderedPageBreak/>
        <w:t>Having efficiently overcome the challenges of C</w:t>
      </w:r>
      <w:r w:rsidR="004C7EF8">
        <w:rPr>
          <w:rFonts w:cs="Arial"/>
          <w:szCs w:val="20"/>
        </w:rPr>
        <w:t>ovid</w:t>
      </w:r>
      <w:r>
        <w:rPr>
          <w:rFonts w:cs="Arial"/>
          <w:szCs w:val="20"/>
        </w:rPr>
        <w:t xml:space="preserve"> pandemic and barriers it created to MONEYVAL operations, </w:t>
      </w:r>
      <w:r w:rsidR="007A08B3">
        <w:rPr>
          <w:rFonts w:cs="Arial"/>
          <w:szCs w:val="20"/>
        </w:rPr>
        <w:t xml:space="preserve">our monitoring body has </w:t>
      </w:r>
      <w:r>
        <w:rPr>
          <w:rFonts w:cs="Arial"/>
          <w:szCs w:val="20"/>
        </w:rPr>
        <w:t xml:space="preserve">emerged as the leader among its global peers on the total count of mutual evaluations completed in the last 3 years. As a result, we have been entrusted by the FATF to be the first in </w:t>
      </w:r>
      <w:r w:rsidR="007A08B3">
        <w:rPr>
          <w:rFonts w:cs="Arial"/>
          <w:szCs w:val="20"/>
        </w:rPr>
        <w:t>initiating</w:t>
      </w:r>
      <w:r>
        <w:rPr>
          <w:rFonts w:cs="Arial"/>
          <w:szCs w:val="20"/>
        </w:rPr>
        <w:t xml:space="preserve"> mutual evaluations in the new global round as of 2024. This is a privilege and our key priority. </w:t>
      </w:r>
    </w:p>
    <w:p w14:paraId="6A9AAAA9" w14:textId="77777777" w:rsidR="00AB25B8" w:rsidRDefault="00AB25B8" w:rsidP="00AB25B8">
      <w:pPr>
        <w:widowControl w:val="0"/>
        <w:autoSpaceDE w:val="0"/>
        <w:autoSpaceDN w:val="0"/>
        <w:adjustRightInd w:val="0"/>
        <w:rPr>
          <w:rFonts w:cs="Arial"/>
          <w:szCs w:val="20"/>
        </w:rPr>
      </w:pPr>
    </w:p>
    <w:p w14:paraId="4A920111" w14:textId="2A106E3D" w:rsidR="00AB25B8" w:rsidRDefault="00AB25B8" w:rsidP="00AB25B8">
      <w:pPr>
        <w:widowControl w:val="0"/>
        <w:autoSpaceDE w:val="0"/>
        <w:autoSpaceDN w:val="0"/>
        <w:adjustRightInd w:val="0"/>
        <w:rPr>
          <w:rFonts w:cs="Arial"/>
          <w:szCs w:val="20"/>
        </w:rPr>
      </w:pPr>
      <w:r>
        <w:rPr>
          <w:rFonts w:cs="Arial"/>
          <w:szCs w:val="20"/>
        </w:rPr>
        <w:t xml:space="preserve">Our efforts in the coming years will be focused on preparing and rolling out the new assessment round and launching the next ambitious chapter in our work, based on the Warsaw Strategy (2023-2027), recently adopted by MONEYVAL’s members’ ministers and high-level officials.  We will continue to focus our efforts on our primary goal, to enhance AML/CFT systems and their effectiveness in countries and territories assessed by MONEYVAL. We also aim to expand the regional role of MONEYVAL, enhance its partnership with European Union institutions and a ensure it engages in regular dialogue with the private sector and civil society. </w:t>
      </w:r>
    </w:p>
    <w:p w14:paraId="5E3FC3B0" w14:textId="77777777" w:rsidR="00AB25B8" w:rsidRDefault="00AB25B8" w:rsidP="00AB25B8">
      <w:pPr>
        <w:widowControl w:val="0"/>
        <w:autoSpaceDE w:val="0"/>
        <w:autoSpaceDN w:val="0"/>
        <w:adjustRightInd w:val="0"/>
        <w:rPr>
          <w:rFonts w:cs="Arial"/>
          <w:szCs w:val="20"/>
        </w:rPr>
      </w:pPr>
    </w:p>
    <w:p w14:paraId="4F4320F6" w14:textId="40879C38" w:rsidR="00AB25B8" w:rsidRDefault="00AB25B8" w:rsidP="00AB25B8">
      <w:pPr>
        <w:widowControl w:val="0"/>
        <w:autoSpaceDE w:val="0"/>
        <w:autoSpaceDN w:val="0"/>
        <w:adjustRightInd w:val="0"/>
        <w:rPr>
          <w:rFonts w:cs="Arial"/>
          <w:szCs w:val="20"/>
        </w:rPr>
      </w:pPr>
      <w:r>
        <w:rPr>
          <w:rFonts w:cs="Arial"/>
          <w:szCs w:val="20"/>
        </w:rPr>
        <w:t xml:space="preserve">In 2023, I am concluding the 4-year Polish Presidency of MONEYVAL, which resulted in important achievements for the Committee, and defined a clear path for its development, based on support from its membership and the FATF. The High-level meeting of MONEYVAL held in Warsaw on 25 April 2023 is a key historic milestone in our efforts to enhance political and ministerial involvement in AML/CFT and to ensure that our common efforts lead to tangible results, as our members face new and emerging challenges. </w:t>
      </w:r>
    </w:p>
    <w:p w14:paraId="5D545807" w14:textId="77777777" w:rsidR="00AB25B8" w:rsidRDefault="00AB25B8" w:rsidP="00AB25B8">
      <w:pPr>
        <w:widowControl w:val="0"/>
        <w:autoSpaceDE w:val="0"/>
        <w:autoSpaceDN w:val="0"/>
        <w:adjustRightInd w:val="0"/>
        <w:rPr>
          <w:rFonts w:cs="Arial"/>
          <w:szCs w:val="20"/>
        </w:rPr>
      </w:pPr>
    </w:p>
    <w:p w14:paraId="07C1FC82" w14:textId="638D261E" w:rsidR="00AB25B8" w:rsidRDefault="00AB25B8" w:rsidP="00AB25B8">
      <w:pPr>
        <w:widowControl w:val="0"/>
        <w:autoSpaceDE w:val="0"/>
        <w:autoSpaceDN w:val="0"/>
        <w:adjustRightInd w:val="0"/>
        <w:rPr>
          <w:rFonts w:cs="Arial"/>
          <w:szCs w:val="20"/>
        </w:rPr>
      </w:pPr>
      <w:r>
        <w:rPr>
          <w:rFonts w:cs="Arial"/>
          <w:szCs w:val="20"/>
        </w:rPr>
        <w:t xml:space="preserve">I take this opportunity to </w:t>
      </w:r>
      <w:r w:rsidRPr="00E50881">
        <w:rPr>
          <w:rFonts w:cs="Arial"/>
          <w:szCs w:val="20"/>
        </w:rPr>
        <w:t xml:space="preserve">express my sincere appreciation to </w:t>
      </w:r>
      <w:r>
        <w:rPr>
          <w:rFonts w:cs="Arial"/>
          <w:szCs w:val="20"/>
        </w:rPr>
        <w:t xml:space="preserve">our European and international stakeholders </w:t>
      </w:r>
      <w:r w:rsidRPr="00E50881">
        <w:rPr>
          <w:rFonts w:cs="Arial"/>
          <w:szCs w:val="20"/>
        </w:rPr>
        <w:t>for their</w:t>
      </w:r>
      <w:r>
        <w:rPr>
          <w:rFonts w:cs="Arial"/>
          <w:szCs w:val="20"/>
        </w:rPr>
        <w:t xml:space="preserve"> </w:t>
      </w:r>
      <w:r w:rsidRPr="00E50881">
        <w:rPr>
          <w:rFonts w:cs="Arial"/>
          <w:szCs w:val="20"/>
        </w:rPr>
        <w:t xml:space="preserve">support </w:t>
      </w:r>
      <w:r>
        <w:rPr>
          <w:rFonts w:cs="Arial"/>
          <w:szCs w:val="20"/>
        </w:rPr>
        <w:t>and engagement with</w:t>
      </w:r>
      <w:r w:rsidRPr="00E50881">
        <w:rPr>
          <w:rFonts w:cs="Arial"/>
          <w:szCs w:val="20"/>
        </w:rPr>
        <w:t xml:space="preserve"> MONEYVAL</w:t>
      </w:r>
      <w:r>
        <w:rPr>
          <w:rFonts w:cs="Arial"/>
          <w:szCs w:val="20"/>
        </w:rPr>
        <w:t xml:space="preserve"> as we continue our joint efforts to tackle money laundering, terrorism financing and the proliferation of weapons of mass destruction. </w:t>
      </w:r>
    </w:p>
    <w:p w14:paraId="3800B349" w14:textId="77777777" w:rsidR="00AB25B8" w:rsidRDefault="00AB25B8" w:rsidP="00AB25B8">
      <w:pPr>
        <w:widowControl w:val="0"/>
        <w:autoSpaceDE w:val="0"/>
        <w:autoSpaceDN w:val="0"/>
        <w:adjustRightInd w:val="0"/>
        <w:rPr>
          <w:rFonts w:cs="Arial"/>
          <w:szCs w:val="20"/>
        </w:rPr>
      </w:pPr>
    </w:p>
    <w:p w14:paraId="0C2259D1" w14:textId="56442CF7" w:rsidR="007A08B3" w:rsidRDefault="00AB25B8" w:rsidP="007A08B3">
      <w:pPr>
        <w:rPr>
          <w:rFonts w:cs="Arial"/>
          <w:b/>
          <w:bCs/>
          <w:i/>
          <w:iCs/>
          <w:szCs w:val="20"/>
        </w:rPr>
      </w:pPr>
      <w:proofErr w:type="spellStart"/>
      <w:r>
        <w:rPr>
          <w:rFonts w:cs="Arial"/>
          <w:b/>
          <w:bCs/>
          <w:i/>
          <w:iCs/>
          <w:szCs w:val="20"/>
        </w:rPr>
        <w:t>Elżbieta</w:t>
      </w:r>
      <w:proofErr w:type="spellEnd"/>
      <w:r>
        <w:rPr>
          <w:rFonts w:cs="Arial"/>
          <w:b/>
          <w:bCs/>
          <w:i/>
          <w:iCs/>
          <w:szCs w:val="20"/>
        </w:rPr>
        <w:t xml:space="preserve"> </w:t>
      </w:r>
      <w:proofErr w:type="spellStart"/>
      <w:r>
        <w:rPr>
          <w:rFonts w:cs="Arial"/>
          <w:b/>
          <w:bCs/>
          <w:i/>
          <w:iCs/>
          <w:szCs w:val="20"/>
        </w:rPr>
        <w:t>Frankó</w:t>
      </w:r>
      <w:r w:rsidRPr="00E50881">
        <w:rPr>
          <w:rFonts w:cs="Arial"/>
          <w:b/>
          <w:bCs/>
          <w:i/>
          <w:iCs/>
          <w:szCs w:val="20"/>
        </w:rPr>
        <w:t>w-Jaśkiewicz</w:t>
      </w:r>
      <w:proofErr w:type="spellEnd"/>
    </w:p>
    <w:p w14:paraId="318B53C6" w14:textId="77777777" w:rsidR="007A08B3" w:rsidRPr="007A08B3" w:rsidRDefault="007A08B3" w:rsidP="007A08B3">
      <w:pPr>
        <w:rPr>
          <w:rFonts w:cs="Arial"/>
          <w:b/>
          <w:bCs/>
          <w:i/>
          <w:iCs/>
          <w:szCs w:val="20"/>
        </w:rPr>
      </w:pPr>
    </w:p>
    <w:p w14:paraId="1FF9621C" w14:textId="4D5E3104" w:rsidR="00AB25B8" w:rsidRPr="007A08B3" w:rsidRDefault="00AB25B8" w:rsidP="007A08B3">
      <w:pPr>
        <w:rPr>
          <w:rFonts w:cs="Arial"/>
          <w:b/>
          <w:bCs/>
          <w:i/>
          <w:iCs/>
          <w:szCs w:val="20"/>
        </w:rPr>
      </w:pPr>
      <w:r w:rsidRPr="007A08B3">
        <w:rPr>
          <w:rFonts w:cs="Arial"/>
          <w:b/>
          <w:bCs/>
          <w:i/>
          <w:iCs/>
          <w:szCs w:val="20"/>
        </w:rPr>
        <w:t>MONEYVAL Chair</w:t>
      </w:r>
    </w:p>
    <w:p w14:paraId="4D985963" w14:textId="47E4C6ED" w:rsidR="00AB25B8" w:rsidRDefault="00AB25B8" w:rsidP="00394957">
      <w:pPr>
        <w:pStyle w:val="Title1"/>
        <w:spacing w:before="0" w:after="0"/>
      </w:pPr>
    </w:p>
    <w:p w14:paraId="46265400" w14:textId="77777777" w:rsidR="00B81966" w:rsidRDefault="00B81966" w:rsidP="00394957">
      <w:pPr>
        <w:pStyle w:val="Title1"/>
        <w:spacing w:before="0" w:after="0"/>
      </w:pPr>
    </w:p>
    <w:p w14:paraId="65743865" w14:textId="77777777" w:rsidR="00B81966" w:rsidRDefault="00B81966" w:rsidP="00394957">
      <w:pPr>
        <w:pStyle w:val="Title1"/>
        <w:spacing w:before="0" w:after="0"/>
      </w:pPr>
    </w:p>
    <w:p w14:paraId="59B8F22A" w14:textId="77777777" w:rsidR="00B81966" w:rsidRDefault="00B81966" w:rsidP="00394957">
      <w:pPr>
        <w:pStyle w:val="Title1"/>
        <w:spacing w:before="0" w:after="0"/>
      </w:pPr>
    </w:p>
    <w:p w14:paraId="5D30055B" w14:textId="24B3189E" w:rsidR="007A08B3" w:rsidRDefault="007A08B3">
      <w:pPr>
        <w:rPr>
          <w:rFonts w:eastAsia="Times New Roman" w:cs="Arial"/>
          <w:b/>
          <w:bCs/>
          <w:color w:val="000000"/>
          <w:w w:val="105"/>
          <w:kern w:val="28"/>
          <w:szCs w:val="20"/>
          <w:lang w:eastAsia="zh-CN"/>
        </w:rPr>
      </w:pPr>
      <w:r>
        <w:br w:type="page"/>
      </w:r>
    </w:p>
    <w:p w14:paraId="05C42611" w14:textId="77777777" w:rsidR="00B81966" w:rsidRDefault="00B81966" w:rsidP="00394957">
      <w:pPr>
        <w:pStyle w:val="Title1"/>
        <w:spacing w:before="0" w:after="0"/>
      </w:pPr>
    </w:p>
    <w:p w14:paraId="2CCF8C95" w14:textId="77777777" w:rsidR="00B81966" w:rsidRDefault="00B81966" w:rsidP="00394957">
      <w:pPr>
        <w:pStyle w:val="Title1"/>
        <w:spacing w:before="0" w:after="0"/>
      </w:pPr>
    </w:p>
    <w:p w14:paraId="5CA7D6B2" w14:textId="4DF9D26C" w:rsidR="00277C14" w:rsidRDefault="00277C14" w:rsidP="00394957">
      <w:pPr>
        <w:pStyle w:val="Title1"/>
        <w:spacing w:before="0" w:after="0"/>
      </w:pPr>
      <w:bookmarkStart w:id="6" w:name="_Toc135409876"/>
      <w:r w:rsidRPr="00277C14">
        <w:t>EXECUTIVE SUMMARY</w:t>
      </w:r>
      <w:bookmarkEnd w:id="1"/>
      <w:bookmarkEnd w:id="5"/>
      <w:bookmarkEnd w:id="6"/>
    </w:p>
    <w:p w14:paraId="508847F2" w14:textId="77777777" w:rsidR="00394957" w:rsidRPr="00277C14" w:rsidRDefault="00394957" w:rsidP="00394957">
      <w:pPr>
        <w:pStyle w:val="Title1"/>
        <w:spacing w:before="0" w:after="0"/>
      </w:pPr>
    </w:p>
    <w:p w14:paraId="2DE4588C" w14:textId="21D48C72" w:rsidR="00277C14" w:rsidRPr="00277C14" w:rsidRDefault="00277C14" w:rsidP="00394957">
      <w:pPr>
        <w:widowControl w:val="0"/>
        <w:autoSpaceDE w:val="0"/>
        <w:autoSpaceDN w:val="0"/>
        <w:adjustRightInd w:val="0"/>
        <w:rPr>
          <w:rFonts w:cs="Arial"/>
          <w:szCs w:val="20"/>
        </w:rPr>
      </w:pPr>
      <w:r w:rsidRPr="00277C14">
        <w:rPr>
          <w:rFonts w:cs="Arial"/>
          <w:szCs w:val="20"/>
        </w:rPr>
        <w:t>The Committee of Experts on the Evaluation of anti-money laundering measures and the financing of terrorism (MONEYVAL) is a monitoring body of the Council of Europe, which includes 3</w:t>
      </w:r>
      <w:r w:rsidR="003A55B5">
        <w:rPr>
          <w:rFonts w:cs="Arial"/>
          <w:szCs w:val="20"/>
        </w:rPr>
        <w:t>5</w:t>
      </w:r>
      <w:r w:rsidRPr="00277C14">
        <w:rPr>
          <w:rFonts w:cs="Arial"/>
          <w:szCs w:val="20"/>
        </w:rPr>
        <w:t xml:space="preserve"> member States and jurisdictions. MONEYVAL peer pressure motivates </w:t>
      </w:r>
      <w:r w:rsidR="00991FD2">
        <w:rPr>
          <w:rFonts w:cs="Arial"/>
          <w:szCs w:val="20"/>
        </w:rPr>
        <w:t xml:space="preserve">its </w:t>
      </w:r>
      <w:r w:rsidRPr="00277C14">
        <w:rPr>
          <w:rFonts w:cs="Arial"/>
          <w:szCs w:val="20"/>
        </w:rPr>
        <w:t xml:space="preserve">members to constantly update their anti-money laundering and counter-terrorist financing (AML/CFT) legislation, </w:t>
      </w:r>
      <w:proofErr w:type="gramStart"/>
      <w:r w:rsidRPr="00277C14">
        <w:rPr>
          <w:rFonts w:cs="Arial"/>
          <w:szCs w:val="20"/>
        </w:rPr>
        <w:t>institutions</w:t>
      </w:r>
      <w:proofErr w:type="gramEnd"/>
      <w:r w:rsidRPr="00277C14">
        <w:rPr>
          <w:rFonts w:cs="Arial"/>
          <w:szCs w:val="20"/>
        </w:rPr>
        <w:t xml:space="preserve"> and operational practices. MONEYVAL’s reports are public and widely used by financial institutions around the globe in determining whether to conduct business in a jurisdiction. The international AML/CFT standards monitored by MONEYVAL are defined by the Financial Action Task Force (FATF). MONEYVAL is an FATF-style regional body (FSRB) and an associate member of the FATF. </w:t>
      </w:r>
    </w:p>
    <w:p w14:paraId="2C25C7FB" w14:textId="77777777" w:rsidR="00277C14" w:rsidRPr="00277C14" w:rsidRDefault="00277C14" w:rsidP="00394957">
      <w:pPr>
        <w:widowControl w:val="0"/>
        <w:autoSpaceDE w:val="0"/>
        <w:autoSpaceDN w:val="0"/>
        <w:adjustRightInd w:val="0"/>
        <w:rPr>
          <w:rFonts w:cs="Arial"/>
          <w:szCs w:val="20"/>
        </w:rPr>
      </w:pPr>
    </w:p>
    <w:p w14:paraId="4075A8D9" w14:textId="25CAD2ED" w:rsidR="00277C14" w:rsidRPr="00277C14" w:rsidRDefault="00277C14" w:rsidP="00277C14">
      <w:pPr>
        <w:rPr>
          <w:rFonts w:cs="Arial"/>
          <w:szCs w:val="20"/>
        </w:rPr>
      </w:pPr>
      <w:r w:rsidRPr="00277C14">
        <w:rPr>
          <w:rFonts w:cs="Arial"/>
          <w:szCs w:val="20"/>
        </w:rPr>
        <w:t xml:space="preserve">This Annual Report provides a comprehensive overview of key compliance trends in </w:t>
      </w:r>
      <w:r w:rsidR="00991FD2">
        <w:rPr>
          <w:rFonts w:cs="Arial"/>
          <w:szCs w:val="20"/>
        </w:rPr>
        <w:t xml:space="preserve">the </w:t>
      </w:r>
      <w:r w:rsidRPr="00277C14">
        <w:rPr>
          <w:rFonts w:cs="Arial"/>
          <w:szCs w:val="20"/>
        </w:rPr>
        <w:t>MONEYVAL member-</w:t>
      </w:r>
      <w:proofErr w:type="gramStart"/>
      <w:r w:rsidRPr="00277C14">
        <w:rPr>
          <w:rFonts w:cs="Arial"/>
          <w:szCs w:val="20"/>
        </w:rPr>
        <w:t>jurisdictions, and</w:t>
      </w:r>
      <w:proofErr w:type="gramEnd"/>
      <w:r w:rsidRPr="00277C14">
        <w:rPr>
          <w:rFonts w:cs="Arial"/>
          <w:szCs w:val="20"/>
        </w:rPr>
        <w:t xml:space="preserve"> presents major MONEYVAL activities and results achieved in 202</w:t>
      </w:r>
      <w:r w:rsidR="00322994">
        <w:rPr>
          <w:rFonts w:cs="Arial"/>
          <w:szCs w:val="20"/>
        </w:rPr>
        <w:t>2</w:t>
      </w:r>
      <w:r w:rsidRPr="00277C14">
        <w:rPr>
          <w:rFonts w:cs="Arial"/>
          <w:szCs w:val="20"/>
        </w:rPr>
        <w:t xml:space="preserve"> in the area of mutual evaluations</w:t>
      </w:r>
      <w:r w:rsidR="005A142F">
        <w:rPr>
          <w:rFonts w:cs="Arial"/>
          <w:szCs w:val="20"/>
        </w:rPr>
        <w:t>,</w:t>
      </w:r>
      <w:r w:rsidRPr="00277C14">
        <w:rPr>
          <w:rFonts w:cs="Arial"/>
          <w:szCs w:val="20"/>
        </w:rPr>
        <w:t xml:space="preserve"> follow-up</w:t>
      </w:r>
      <w:r w:rsidR="005A142F">
        <w:rPr>
          <w:rFonts w:cs="Arial"/>
          <w:szCs w:val="20"/>
        </w:rPr>
        <w:t xml:space="preserve">, research typologies, training, </w:t>
      </w:r>
      <w:r w:rsidR="00991FD2">
        <w:rPr>
          <w:rFonts w:cs="Arial"/>
          <w:szCs w:val="20"/>
        </w:rPr>
        <w:t xml:space="preserve">as well as </w:t>
      </w:r>
      <w:r w:rsidR="005A142F">
        <w:rPr>
          <w:rFonts w:cs="Arial"/>
          <w:szCs w:val="20"/>
        </w:rPr>
        <w:t>external and internal engagement.</w:t>
      </w:r>
    </w:p>
    <w:p w14:paraId="7CDB5D4D" w14:textId="77777777" w:rsidR="00277C14" w:rsidRPr="00277C14" w:rsidRDefault="00277C14" w:rsidP="00277C14">
      <w:pPr>
        <w:rPr>
          <w:rFonts w:cs="Arial"/>
          <w:szCs w:val="20"/>
        </w:rPr>
      </w:pPr>
    </w:p>
    <w:p w14:paraId="06975653" w14:textId="67D222BD" w:rsidR="00277C14" w:rsidRDefault="00277C14" w:rsidP="00277C14">
      <w:pPr>
        <w:rPr>
          <w:rFonts w:cs="Arial"/>
          <w:szCs w:val="20"/>
        </w:rPr>
      </w:pPr>
      <w:bookmarkStart w:id="7" w:name="_Hlk66644770"/>
      <w:r w:rsidRPr="00277C14">
        <w:rPr>
          <w:rFonts w:cs="Arial"/>
          <w:szCs w:val="20"/>
        </w:rPr>
        <w:t xml:space="preserve">MONEYVAL member </w:t>
      </w:r>
      <w:r w:rsidR="00344B93">
        <w:rPr>
          <w:rFonts w:cs="Arial"/>
          <w:szCs w:val="20"/>
        </w:rPr>
        <w:t>State</w:t>
      </w:r>
      <w:r w:rsidRPr="00277C14">
        <w:rPr>
          <w:rFonts w:cs="Arial"/>
          <w:szCs w:val="20"/>
        </w:rPr>
        <w:t xml:space="preserve">s and jurisdictions </w:t>
      </w:r>
      <w:proofErr w:type="gramStart"/>
      <w:r w:rsidRPr="00277C14">
        <w:rPr>
          <w:rFonts w:cs="Arial"/>
          <w:szCs w:val="20"/>
        </w:rPr>
        <w:t>continue on</w:t>
      </w:r>
      <w:proofErr w:type="gramEnd"/>
      <w:r w:rsidRPr="00277C14">
        <w:rPr>
          <w:rFonts w:cs="Arial"/>
          <w:szCs w:val="20"/>
        </w:rPr>
        <w:t xml:space="preserve"> average to demonstrate a </w:t>
      </w:r>
      <w:r w:rsidRPr="00277C14">
        <w:rPr>
          <w:rFonts w:cs="Arial"/>
          <w:b/>
          <w:bCs/>
          <w:szCs w:val="20"/>
        </w:rPr>
        <w:t>moderate level of effectiveness</w:t>
      </w:r>
      <w:r w:rsidRPr="00277C14">
        <w:rPr>
          <w:rFonts w:cs="Arial"/>
          <w:szCs w:val="20"/>
        </w:rPr>
        <w:t xml:space="preserve"> in their AML/CFT efforts. Thus, the median level of compliance </w:t>
      </w:r>
      <w:r w:rsidRPr="00277C14">
        <w:rPr>
          <w:rFonts w:cs="Arial"/>
          <w:b/>
          <w:bCs/>
          <w:szCs w:val="20"/>
        </w:rPr>
        <w:t>is below the satisfactory threshold</w:t>
      </w:r>
      <w:r w:rsidRPr="00277C14">
        <w:rPr>
          <w:rFonts w:cs="Arial"/>
          <w:szCs w:val="20"/>
        </w:rPr>
        <w:t xml:space="preserve">. </w:t>
      </w:r>
      <w:r w:rsidR="007A08B3">
        <w:rPr>
          <w:rFonts w:cs="Arial"/>
          <w:szCs w:val="20"/>
        </w:rPr>
        <w:t>T</w:t>
      </w:r>
      <w:r w:rsidRPr="00277C14">
        <w:rPr>
          <w:rFonts w:cs="Arial"/>
          <w:szCs w:val="20"/>
        </w:rPr>
        <w:t xml:space="preserve">he best results </w:t>
      </w:r>
      <w:r w:rsidR="007A08B3">
        <w:rPr>
          <w:rFonts w:cs="Arial"/>
          <w:szCs w:val="20"/>
        </w:rPr>
        <w:t xml:space="preserve">are achieved </w:t>
      </w:r>
      <w:r w:rsidRPr="00277C14">
        <w:rPr>
          <w:rFonts w:cs="Arial"/>
          <w:szCs w:val="20"/>
        </w:rPr>
        <w:t xml:space="preserve">in the areas of risk assessment, international </w:t>
      </w:r>
      <w:proofErr w:type="gramStart"/>
      <w:r w:rsidRPr="00277C14">
        <w:rPr>
          <w:rFonts w:cs="Arial"/>
          <w:szCs w:val="20"/>
        </w:rPr>
        <w:t>co</w:t>
      </w:r>
      <w:r w:rsidR="002F5F50">
        <w:rPr>
          <w:rFonts w:cs="Arial"/>
          <w:szCs w:val="20"/>
        </w:rPr>
        <w:t>-</w:t>
      </w:r>
      <w:r w:rsidRPr="00277C14">
        <w:rPr>
          <w:rFonts w:cs="Arial"/>
          <w:szCs w:val="20"/>
        </w:rPr>
        <w:t>operation</w:t>
      </w:r>
      <w:proofErr w:type="gramEnd"/>
      <w:r w:rsidRPr="00277C14">
        <w:rPr>
          <w:rFonts w:cs="Arial"/>
          <w:szCs w:val="20"/>
        </w:rPr>
        <w:t xml:space="preserve"> and use of financial intelligence. Effectiveness remains particularly weak in financial sector supervision, private sector compliance, transparency of legal persons, money laundering convictions and confiscations, </w:t>
      </w:r>
      <w:r w:rsidR="00991FD2">
        <w:rPr>
          <w:rFonts w:cs="Arial"/>
          <w:szCs w:val="20"/>
        </w:rPr>
        <w:t xml:space="preserve">and </w:t>
      </w:r>
      <w:r w:rsidRPr="00277C14">
        <w:rPr>
          <w:rFonts w:cs="Arial"/>
          <w:szCs w:val="20"/>
        </w:rPr>
        <w:t xml:space="preserve">financial sanctions for terrorism and proliferation of weapons of mass destruction. </w:t>
      </w:r>
    </w:p>
    <w:p w14:paraId="485BA420" w14:textId="6095273D" w:rsidR="00E82063" w:rsidRDefault="00E82063" w:rsidP="00277C14">
      <w:pPr>
        <w:rPr>
          <w:rFonts w:cs="Arial"/>
          <w:szCs w:val="20"/>
        </w:rPr>
      </w:pPr>
    </w:p>
    <w:p w14:paraId="550F270D" w14:textId="14AC5DD6" w:rsidR="00E82063" w:rsidRPr="00330786" w:rsidRDefault="00E82063" w:rsidP="00277C14">
      <w:pPr>
        <w:rPr>
          <w:rFonts w:cs="Arial"/>
          <w:szCs w:val="20"/>
        </w:rPr>
      </w:pPr>
      <w:r w:rsidRPr="00330786">
        <w:rPr>
          <w:rFonts w:cs="Arial"/>
          <w:szCs w:val="20"/>
        </w:rPr>
        <w:t>At the same time, MONEYVAL members demonstrate impressive results, when it comes to the pace of implement</w:t>
      </w:r>
      <w:r w:rsidR="00242284" w:rsidRPr="00330786">
        <w:rPr>
          <w:rFonts w:cs="Arial"/>
          <w:szCs w:val="20"/>
        </w:rPr>
        <w:t>ing</w:t>
      </w:r>
      <w:r w:rsidRPr="00330786">
        <w:rPr>
          <w:rFonts w:cs="Arial"/>
          <w:szCs w:val="20"/>
        </w:rPr>
        <w:t xml:space="preserve"> recommendations</w:t>
      </w:r>
      <w:r w:rsidR="00242284" w:rsidRPr="00330786">
        <w:rPr>
          <w:rFonts w:cs="Arial"/>
          <w:szCs w:val="20"/>
        </w:rPr>
        <w:t xml:space="preserve"> in the technical compliance field covering legislative and institutional reforms. This average overall indicator has reached </w:t>
      </w:r>
      <w:r w:rsidRPr="00330786">
        <w:rPr>
          <w:rFonts w:cs="Arial"/>
          <w:szCs w:val="20"/>
        </w:rPr>
        <w:t>72%</w:t>
      </w:r>
      <w:r w:rsidR="00FA5D5D" w:rsidRPr="00330786">
        <w:rPr>
          <w:rFonts w:cs="Arial"/>
          <w:szCs w:val="20"/>
        </w:rPr>
        <w:t xml:space="preserve"> in the current round</w:t>
      </w:r>
      <w:r w:rsidRPr="00330786">
        <w:rPr>
          <w:rFonts w:cs="Arial"/>
          <w:szCs w:val="20"/>
        </w:rPr>
        <w:t xml:space="preserve">, which is the highest in the FATF-led Global Network and on par with the FATF itself. </w:t>
      </w:r>
    </w:p>
    <w:p w14:paraId="339894E3" w14:textId="7F94A081" w:rsidR="00C53A5E" w:rsidRPr="00330786" w:rsidRDefault="00C53A5E" w:rsidP="00277C14">
      <w:pPr>
        <w:rPr>
          <w:rFonts w:cs="Arial"/>
          <w:szCs w:val="20"/>
        </w:rPr>
      </w:pPr>
    </w:p>
    <w:p w14:paraId="17C4F14E" w14:textId="6D92D442" w:rsidR="00BC25F6" w:rsidRPr="00330786" w:rsidRDefault="00BC25F6" w:rsidP="00BC25F6">
      <w:pPr>
        <w:autoSpaceDE w:val="0"/>
        <w:autoSpaceDN w:val="0"/>
        <w:adjustRightInd w:val="0"/>
        <w:rPr>
          <w:rFonts w:cs="Arial"/>
          <w:color w:val="000000"/>
          <w:szCs w:val="20"/>
          <w:lang w:eastAsia="en-GB"/>
        </w:rPr>
      </w:pPr>
      <w:r w:rsidRPr="00330786">
        <w:rPr>
          <w:rFonts w:cs="Arial"/>
          <w:szCs w:val="20"/>
        </w:rPr>
        <w:t xml:space="preserve">Covid-related working methods were still in use in the first part of 2022, including hybrid tools for mutual evaluations, but were generally discontinued in the second semester. Certain adjustments were made to the mutual evaluation schedule to </w:t>
      </w:r>
      <w:proofErr w:type="gramStart"/>
      <w:r w:rsidRPr="00330786">
        <w:rPr>
          <w:rFonts w:cs="Arial"/>
          <w:szCs w:val="20"/>
        </w:rPr>
        <w:t>take into account</w:t>
      </w:r>
      <w:proofErr w:type="gramEnd"/>
      <w:r w:rsidRPr="00330786">
        <w:rPr>
          <w:rFonts w:cs="Arial"/>
          <w:szCs w:val="20"/>
        </w:rPr>
        <w:t xml:space="preserve"> the consequences of Russia’s aggression against Ukraine, including a delay requested by Estonia for its on-site visit, and a temporary suspension of monitoring for Ukraine. Despite these additional complications in its region, </w:t>
      </w:r>
      <w:r w:rsidRPr="00330786">
        <w:rPr>
          <w:rFonts w:cs="Arial"/>
          <w:color w:val="000000"/>
          <w:szCs w:val="20"/>
          <w:lang w:eastAsia="en-GB"/>
        </w:rPr>
        <w:t xml:space="preserve">MONEYVAL continued to lead among its international peers in the overall count of completed mutual evaluations, reaching a total of ten since the start of the pandemic – the highest number in the FATF-led Global AML/CFT Network. </w:t>
      </w:r>
    </w:p>
    <w:p w14:paraId="796A081C" w14:textId="77777777" w:rsidR="00BC25F6" w:rsidRPr="00330786" w:rsidRDefault="00BC25F6" w:rsidP="00BC25F6">
      <w:pPr>
        <w:autoSpaceDE w:val="0"/>
        <w:autoSpaceDN w:val="0"/>
        <w:adjustRightInd w:val="0"/>
        <w:rPr>
          <w:rFonts w:cs="Arial"/>
          <w:color w:val="000000"/>
          <w:szCs w:val="20"/>
          <w:lang w:eastAsia="en-GB"/>
        </w:rPr>
      </w:pPr>
    </w:p>
    <w:p w14:paraId="177F0BF9" w14:textId="78EADEFF" w:rsidR="002A6779" w:rsidRPr="00330786" w:rsidRDefault="002A6779" w:rsidP="002A6779">
      <w:pPr>
        <w:autoSpaceDE w:val="0"/>
        <w:autoSpaceDN w:val="0"/>
        <w:adjustRightInd w:val="0"/>
        <w:rPr>
          <w:rFonts w:cs="Arial"/>
          <w:color w:val="000000"/>
          <w:szCs w:val="20"/>
          <w:lang w:eastAsia="en-GB"/>
        </w:rPr>
      </w:pPr>
      <w:r w:rsidRPr="00330786">
        <w:rPr>
          <w:rFonts w:cs="Arial"/>
          <w:szCs w:val="20"/>
        </w:rPr>
        <w:t xml:space="preserve">Throughout 2022 a total of </w:t>
      </w:r>
      <w:r w:rsidR="007A08B3" w:rsidRPr="00330786">
        <w:rPr>
          <w:rFonts w:cs="Arial"/>
          <w:szCs w:val="20"/>
        </w:rPr>
        <w:t>twenty</w:t>
      </w:r>
      <w:r w:rsidRPr="00330786">
        <w:rPr>
          <w:rFonts w:cs="Arial"/>
          <w:szCs w:val="20"/>
        </w:rPr>
        <w:t xml:space="preserve"> MONEYVAL States </w:t>
      </w:r>
      <w:r w:rsidR="007A08B3" w:rsidRPr="00330786">
        <w:rPr>
          <w:rFonts w:cs="Arial"/>
          <w:szCs w:val="20"/>
        </w:rPr>
        <w:t>and</w:t>
      </w:r>
      <w:r w:rsidRPr="00330786">
        <w:rPr>
          <w:rFonts w:cs="Arial"/>
          <w:szCs w:val="20"/>
        </w:rPr>
        <w:t xml:space="preserve"> territories were subject to active monitoring processes</w:t>
      </w:r>
      <w:r w:rsidR="007A08B3" w:rsidRPr="00330786">
        <w:rPr>
          <w:rFonts w:cs="Arial"/>
          <w:szCs w:val="20"/>
        </w:rPr>
        <w:t xml:space="preserve">, </w:t>
      </w:r>
      <w:r w:rsidRPr="00330786">
        <w:rPr>
          <w:rFonts w:cs="Arial"/>
          <w:szCs w:val="20"/>
        </w:rPr>
        <w:t xml:space="preserve">through onsite visits, adopted reports, </w:t>
      </w:r>
      <w:proofErr w:type="gramStart"/>
      <w:r w:rsidRPr="00330786">
        <w:rPr>
          <w:rFonts w:cs="Arial"/>
          <w:szCs w:val="20"/>
        </w:rPr>
        <w:t>follow-up</w:t>
      </w:r>
      <w:proofErr w:type="gramEnd"/>
      <w:r w:rsidRPr="00330786">
        <w:rPr>
          <w:rFonts w:cs="Arial"/>
          <w:szCs w:val="20"/>
        </w:rPr>
        <w:t xml:space="preserve"> and compliance procedures. MONEYVAL continued its 5</w:t>
      </w:r>
      <w:r w:rsidRPr="00330786">
        <w:rPr>
          <w:rFonts w:cs="Arial"/>
          <w:szCs w:val="20"/>
          <w:vertAlign w:val="superscript"/>
        </w:rPr>
        <w:t>th</w:t>
      </w:r>
      <w:r w:rsidRPr="00330786">
        <w:rPr>
          <w:rFonts w:cs="Arial"/>
          <w:szCs w:val="20"/>
        </w:rPr>
        <w:t xml:space="preserve"> round of mutual evaluations by adopting four mutual evaluation reports for </w:t>
      </w:r>
      <w:r w:rsidR="003524AE" w:rsidRPr="00330786">
        <w:rPr>
          <w:rFonts w:cs="Arial"/>
          <w:szCs w:val="20"/>
        </w:rPr>
        <w:t>Bulgaria</w:t>
      </w:r>
      <w:r w:rsidRPr="00330786">
        <w:rPr>
          <w:rFonts w:cs="Arial"/>
          <w:szCs w:val="20"/>
        </w:rPr>
        <w:t xml:space="preserve">, </w:t>
      </w:r>
      <w:r w:rsidR="003524AE" w:rsidRPr="00330786">
        <w:rPr>
          <w:rFonts w:cs="Arial"/>
          <w:szCs w:val="20"/>
        </w:rPr>
        <w:t xml:space="preserve">Estonia, </w:t>
      </w:r>
      <w:proofErr w:type="gramStart"/>
      <w:r w:rsidR="003524AE" w:rsidRPr="00330786">
        <w:rPr>
          <w:rFonts w:cs="Arial"/>
          <w:szCs w:val="20"/>
        </w:rPr>
        <w:t>Liechtenstein</w:t>
      </w:r>
      <w:proofErr w:type="gramEnd"/>
      <w:r w:rsidRPr="00330786">
        <w:rPr>
          <w:rFonts w:cs="Arial"/>
          <w:szCs w:val="20"/>
        </w:rPr>
        <w:t xml:space="preserve"> and </w:t>
      </w:r>
      <w:r w:rsidR="003524AE" w:rsidRPr="00330786">
        <w:rPr>
          <w:rFonts w:cs="Arial"/>
          <w:szCs w:val="20"/>
        </w:rPr>
        <w:t xml:space="preserve">Monaco, </w:t>
      </w:r>
      <w:r w:rsidRPr="00330786">
        <w:rPr>
          <w:rFonts w:cs="Arial"/>
          <w:szCs w:val="20"/>
        </w:rPr>
        <w:t>and conducting on-site visits for</w:t>
      </w:r>
      <w:r w:rsidR="003524AE" w:rsidRPr="00330786">
        <w:rPr>
          <w:rFonts w:cs="Arial"/>
          <w:szCs w:val="20"/>
        </w:rPr>
        <w:t xml:space="preserve"> the evaluations of Romania and North Macedonia</w:t>
      </w:r>
      <w:r w:rsidR="00BC25F6" w:rsidRPr="00330786">
        <w:rPr>
          <w:rFonts w:cs="Arial"/>
          <w:szCs w:val="20"/>
        </w:rPr>
        <w:t>,</w:t>
      </w:r>
      <w:r w:rsidR="003524AE" w:rsidRPr="00330786">
        <w:rPr>
          <w:rFonts w:cs="Arial"/>
          <w:szCs w:val="20"/>
        </w:rPr>
        <w:t xml:space="preserve"> to be completed in 2023</w:t>
      </w:r>
      <w:r w:rsidRPr="00330786">
        <w:rPr>
          <w:rFonts w:cs="Arial"/>
          <w:szCs w:val="20"/>
        </w:rPr>
        <w:t xml:space="preserve">. The mutual evaluation process was launched for </w:t>
      </w:r>
      <w:r w:rsidR="003524AE" w:rsidRPr="00330786">
        <w:rPr>
          <w:rFonts w:cs="Arial"/>
          <w:szCs w:val="20"/>
        </w:rPr>
        <w:t>four</w:t>
      </w:r>
      <w:r w:rsidRPr="00330786">
        <w:rPr>
          <w:rFonts w:cs="Arial"/>
          <w:szCs w:val="20"/>
        </w:rPr>
        <w:t xml:space="preserve"> other members (</w:t>
      </w:r>
      <w:r w:rsidR="003524AE" w:rsidRPr="00330786">
        <w:rPr>
          <w:rFonts w:cs="Arial"/>
          <w:szCs w:val="20"/>
        </w:rPr>
        <w:t xml:space="preserve">Azerbaijan, Bosnia and Herzegovina, </w:t>
      </w:r>
      <w:proofErr w:type="gramStart"/>
      <w:r w:rsidR="003524AE" w:rsidRPr="00330786">
        <w:rPr>
          <w:rFonts w:cs="Arial"/>
          <w:szCs w:val="20"/>
        </w:rPr>
        <w:t>Jersey</w:t>
      </w:r>
      <w:proofErr w:type="gramEnd"/>
      <w:r w:rsidR="003524AE" w:rsidRPr="00330786">
        <w:rPr>
          <w:rFonts w:cs="Arial"/>
          <w:szCs w:val="20"/>
        </w:rPr>
        <w:t xml:space="preserve"> and Montenegro</w:t>
      </w:r>
      <w:r w:rsidRPr="00330786">
        <w:rPr>
          <w:rFonts w:cs="Arial"/>
          <w:szCs w:val="20"/>
        </w:rPr>
        <w:t xml:space="preserve">). The Committee adopted </w:t>
      </w:r>
      <w:r w:rsidR="00FE0529" w:rsidRPr="00330786">
        <w:rPr>
          <w:rFonts w:cs="Arial"/>
          <w:szCs w:val="20"/>
        </w:rPr>
        <w:t xml:space="preserve">ten </w:t>
      </w:r>
      <w:r w:rsidRPr="00330786">
        <w:rPr>
          <w:rFonts w:cs="Arial"/>
          <w:szCs w:val="20"/>
        </w:rPr>
        <w:t>follow-up reports under the 5</w:t>
      </w:r>
      <w:r w:rsidRPr="00330786">
        <w:rPr>
          <w:rFonts w:cs="Arial"/>
          <w:szCs w:val="20"/>
          <w:vertAlign w:val="superscript"/>
        </w:rPr>
        <w:t>th</w:t>
      </w:r>
      <w:r w:rsidRPr="00330786">
        <w:rPr>
          <w:rFonts w:cs="Arial"/>
          <w:szCs w:val="20"/>
        </w:rPr>
        <w:t xml:space="preserve"> Round of Mutual evaluations. </w:t>
      </w:r>
    </w:p>
    <w:p w14:paraId="5C58D4BC" w14:textId="77777777" w:rsidR="002A6779" w:rsidRPr="00330786" w:rsidRDefault="002A6779" w:rsidP="002A6779">
      <w:pPr>
        <w:autoSpaceDE w:val="0"/>
        <w:autoSpaceDN w:val="0"/>
        <w:adjustRightInd w:val="0"/>
        <w:rPr>
          <w:rFonts w:cs="Arial"/>
          <w:color w:val="000000"/>
          <w:szCs w:val="20"/>
          <w:lang w:eastAsia="en-GB"/>
        </w:rPr>
      </w:pPr>
    </w:p>
    <w:p w14:paraId="6CDB68CB" w14:textId="1FBFC104" w:rsidR="00A50AF6" w:rsidRPr="00330786" w:rsidRDefault="00C53A5E" w:rsidP="00277C14">
      <w:pPr>
        <w:rPr>
          <w:rFonts w:cs="Arial"/>
          <w:szCs w:val="20"/>
        </w:rPr>
      </w:pPr>
      <w:r w:rsidRPr="00330786">
        <w:rPr>
          <w:rFonts w:cs="Arial"/>
          <w:szCs w:val="20"/>
        </w:rPr>
        <w:t xml:space="preserve">In the course of 2022, a total of five MONEYVAL members were under various stages of consideration by the FATF International </w:t>
      </w:r>
      <w:r w:rsidR="003654E4">
        <w:rPr>
          <w:rFonts w:cs="Arial"/>
          <w:szCs w:val="20"/>
        </w:rPr>
        <w:t>Co-op</w:t>
      </w:r>
      <w:r w:rsidRPr="00330786">
        <w:rPr>
          <w:rFonts w:cs="Arial"/>
          <w:szCs w:val="20"/>
        </w:rPr>
        <w:t>eration Review Group (ICRG). Among them, Albania remained in the FATF “grey list” throughout the entire year, with the last remaining concern related to its initiative to undertake a voluntary tax compliance programme</w:t>
      </w:r>
      <w:r w:rsidR="007A08B3" w:rsidRPr="00330786">
        <w:rPr>
          <w:rFonts w:cs="Arial"/>
          <w:szCs w:val="20"/>
        </w:rPr>
        <w:t xml:space="preserve"> which did not comply with the FATF principles in this area</w:t>
      </w:r>
      <w:r w:rsidRPr="00330786">
        <w:rPr>
          <w:rFonts w:cs="Arial"/>
          <w:szCs w:val="20"/>
        </w:rPr>
        <w:t xml:space="preserve">. Malta was successfully removed from the FATF “grey list”, </w:t>
      </w:r>
      <w:r w:rsidR="00BC25F6" w:rsidRPr="00330786">
        <w:rPr>
          <w:rFonts w:cs="Arial"/>
          <w:szCs w:val="20"/>
        </w:rPr>
        <w:t xml:space="preserve">while </w:t>
      </w:r>
      <w:r w:rsidRPr="00330786">
        <w:rPr>
          <w:rFonts w:cs="Arial"/>
          <w:szCs w:val="20"/>
        </w:rPr>
        <w:t>Gibraltar was listed by the FATF</w:t>
      </w:r>
      <w:r w:rsidR="00BC25F6" w:rsidRPr="00330786">
        <w:rPr>
          <w:rFonts w:cs="Arial"/>
          <w:szCs w:val="20"/>
        </w:rPr>
        <w:t>, in June 2022.</w:t>
      </w:r>
      <w:r w:rsidRPr="00330786">
        <w:rPr>
          <w:rFonts w:cs="Arial"/>
          <w:szCs w:val="20"/>
        </w:rPr>
        <w:t xml:space="preserve"> Bulgaria</w:t>
      </w:r>
      <w:r w:rsidR="002A6779" w:rsidRPr="00330786">
        <w:rPr>
          <w:rFonts w:cs="Arial"/>
          <w:szCs w:val="20"/>
        </w:rPr>
        <w:t xml:space="preserve"> and</w:t>
      </w:r>
      <w:r w:rsidRPr="00330786">
        <w:rPr>
          <w:rFonts w:cs="Arial"/>
          <w:szCs w:val="20"/>
        </w:rPr>
        <w:t xml:space="preserve"> Croatia</w:t>
      </w:r>
      <w:r w:rsidR="002A6779" w:rsidRPr="00330786">
        <w:rPr>
          <w:rFonts w:cs="Arial"/>
          <w:szCs w:val="20"/>
        </w:rPr>
        <w:t xml:space="preserve"> remained in an observation period awaiting </w:t>
      </w:r>
      <w:r w:rsidR="00BC25F6" w:rsidRPr="00330786">
        <w:rPr>
          <w:rFonts w:cs="Arial"/>
          <w:szCs w:val="20"/>
        </w:rPr>
        <w:t>the FATF’s</w:t>
      </w:r>
      <w:r w:rsidR="002A6779" w:rsidRPr="00330786">
        <w:rPr>
          <w:rFonts w:cs="Arial"/>
          <w:szCs w:val="20"/>
        </w:rPr>
        <w:t xml:space="preserve"> decision in 2023</w:t>
      </w:r>
      <w:r w:rsidR="00FC2E59">
        <w:rPr>
          <w:rFonts w:cs="Arial"/>
          <w:szCs w:val="20"/>
        </w:rPr>
        <w:t>, which will be taken considering progress achieved during this period.</w:t>
      </w:r>
    </w:p>
    <w:p w14:paraId="3A095B99" w14:textId="140BC916" w:rsidR="00A50AF6" w:rsidRPr="00330786" w:rsidRDefault="00A50AF6" w:rsidP="00277C14">
      <w:pPr>
        <w:rPr>
          <w:rFonts w:cs="Arial"/>
          <w:szCs w:val="20"/>
        </w:rPr>
      </w:pPr>
    </w:p>
    <w:p w14:paraId="64CF43EE" w14:textId="4FB5FF5B" w:rsidR="004D5F3C" w:rsidRDefault="00A50AF6" w:rsidP="00277C14">
      <w:pPr>
        <w:rPr>
          <w:rFonts w:cs="Arial"/>
          <w:szCs w:val="20"/>
        </w:rPr>
      </w:pPr>
      <w:r w:rsidRPr="00330786">
        <w:rPr>
          <w:rFonts w:cs="Arial"/>
          <w:szCs w:val="20"/>
        </w:rPr>
        <w:t>In 2022 MONEYVAL concluded the implementation of its first Strategy for 2020-2022, successfully executing all priorities set out in that document</w:t>
      </w:r>
      <w:r w:rsidR="00BC25F6" w:rsidRPr="00330786">
        <w:rPr>
          <w:rFonts w:cs="Arial"/>
          <w:szCs w:val="20"/>
        </w:rPr>
        <w:t xml:space="preserve">, </w:t>
      </w:r>
      <w:proofErr w:type="gramStart"/>
      <w:r w:rsidR="00BC25F6" w:rsidRPr="00330786">
        <w:rPr>
          <w:rFonts w:cs="Arial"/>
          <w:szCs w:val="20"/>
        </w:rPr>
        <w:t>with the exception of</w:t>
      </w:r>
      <w:proofErr w:type="gramEnd"/>
      <w:r w:rsidR="00BC25F6" w:rsidRPr="00330786">
        <w:rPr>
          <w:rFonts w:cs="Arial"/>
          <w:szCs w:val="20"/>
        </w:rPr>
        <w:t xml:space="preserve"> the High-level meeting in Warsaw delayed to April 2023 due to C</w:t>
      </w:r>
      <w:r w:rsidR="004C7EF8">
        <w:rPr>
          <w:rFonts w:cs="Arial"/>
          <w:szCs w:val="20"/>
        </w:rPr>
        <w:t>ovid</w:t>
      </w:r>
      <w:r w:rsidR="00BC25F6" w:rsidRPr="00330786">
        <w:rPr>
          <w:rFonts w:cs="Arial"/>
          <w:szCs w:val="20"/>
        </w:rPr>
        <w:t xml:space="preserve"> and the regi</w:t>
      </w:r>
      <w:r w:rsidR="007A08B3" w:rsidRPr="00330786">
        <w:rPr>
          <w:rFonts w:cs="Arial"/>
          <w:szCs w:val="20"/>
        </w:rPr>
        <w:t>o</w:t>
      </w:r>
      <w:r w:rsidR="00BC25F6" w:rsidRPr="00330786">
        <w:rPr>
          <w:rFonts w:cs="Arial"/>
          <w:szCs w:val="20"/>
        </w:rPr>
        <w:t>nal security situation</w:t>
      </w:r>
      <w:r w:rsidRPr="00330786">
        <w:rPr>
          <w:rFonts w:cs="Arial"/>
          <w:szCs w:val="20"/>
        </w:rPr>
        <w:t>. The Committee conducted preparations of its next strategic cycle for 2023-2027 and its 6</w:t>
      </w:r>
      <w:r w:rsidRPr="00330786">
        <w:rPr>
          <w:rFonts w:cs="Arial"/>
          <w:szCs w:val="20"/>
          <w:vertAlign w:val="superscript"/>
        </w:rPr>
        <w:t>th</w:t>
      </w:r>
      <w:r w:rsidRPr="00330786">
        <w:rPr>
          <w:rFonts w:cs="Arial"/>
          <w:szCs w:val="20"/>
        </w:rPr>
        <w:t xml:space="preserve"> mutual evaluations round</w:t>
      </w:r>
      <w:r w:rsidR="007A08B3" w:rsidRPr="00330786">
        <w:rPr>
          <w:rFonts w:cs="Arial"/>
          <w:szCs w:val="20"/>
        </w:rPr>
        <w:t>,</w:t>
      </w:r>
      <w:r w:rsidRPr="00330786">
        <w:rPr>
          <w:rFonts w:cs="Arial"/>
          <w:szCs w:val="20"/>
        </w:rPr>
        <w:t xml:space="preserve"> due to start in 2024. A comprehensive dialogue </w:t>
      </w:r>
      <w:r w:rsidR="00BC25F6" w:rsidRPr="00330786">
        <w:rPr>
          <w:rFonts w:cs="Arial"/>
          <w:szCs w:val="20"/>
        </w:rPr>
        <w:t xml:space="preserve">on these matters </w:t>
      </w:r>
      <w:r w:rsidRPr="00330786">
        <w:rPr>
          <w:rFonts w:cs="Arial"/>
          <w:szCs w:val="20"/>
        </w:rPr>
        <w:t>was held with its members and former</w:t>
      </w:r>
      <w:r w:rsidR="00BC25F6" w:rsidRPr="00330786">
        <w:rPr>
          <w:rFonts w:cs="Arial"/>
          <w:szCs w:val="20"/>
        </w:rPr>
        <w:t xml:space="preserve"> MONEYVAL</w:t>
      </w:r>
      <w:r w:rsidRPr="00330786">
        <w:rPr>
          <w:rFonts w:cs="Arial"/>
          <w:szCs w:val="20"/>
        </w:rPr>
        <w:t xml:space="preserve"> </w:t>
      </w:r>
    </w:p>
    <w:p w14:paraId="5C20557D" w14:textId="77777777" w:rsidR="004D5F3C" w:rsidRDefault="004D5F3C">
      <w:pPr>
        <w:rPr>
          <w:rFonts w:cs="Arial"/>
          <w:szCs w:val="20"/>
        </w:rPr>
      </w:pPr>
      <w:r>
        <w:rPr>
          <w:rFonts w:cs="Arial"/>
          <w:szCs w:val="20"/>
        </w:rPr>
        <w:br w:type="page"/>
      </w:r>
    </w:p>
    <w:p w14:paraId="232E15EE" w14:textId="7E6DFA18" w:rsidR="00A50AF6" w:rsidRPr="00330786" w:rsidRDefault="00A50AF6" w:rsidP="00277C14">
      <w:pPr>
        <w:rPr>
          <w:rFonts w:cs="Arial"/>
          <w:szCs w:val="20"/>
        </w:rPr>
      </w:pPr>
      <w:r w:rsidRPr="00330786">
        <w:rPr>
          <w:rFonts w:cs="Arial"/>
          <w:szCs w:val="20"/>
        </w:rPr>
        <w:lastRenderedPageBreak/>
        <w:t>chairs</w:t>
      </w:r>
      <w:r w:rsidR="003D3038" w:rsidRPr="00330786">
        <w:rPr>
          <w:rFonts w:cs="Arial"/>
          <w:szCs w:val="20"/>
        </w:rPr>
        <w:t xml:space="preserve"> at the occasion of the 25</w:t>
      </w:r>
      <w:r w:rsidR="003D3038" w:rsidRPr="00330786">
        <w:rPr>
          <w:rFonts w:cs="Arial"/>
          <w:szCs w:val="20"/>
          <w:vertAlign w:val="superscript"/>
        </w:rPr>
        <w:t>th</w:t>
      </w:r>
      <w:r w:rsidR="003D3038" w:rsidRPr="00330786">
        <w:rPr>
          <w:rFonts w:cs="Arial"/>
          <w:szCs w:val="20"/>
        </w:rPr>
        <w:t xml:space="preserve"> </w:t>
      </w:r>
      <w:r w:rsidR="00BC25F6" w:rsidRPr="00330786">
        <w:rPr>
          <w:rFonts w:cs="Arial"/>
          <w:szCs w:val="20"/>
        </w:rPr>
        <w:t>a</w:t>
      </w:r>
      <w:r w:rsidR="003D3038" w:rsidRPr="00330786">
        <w:rPr>
          <w:rFonts w:cs="Arial"/>
          <w:szCs w:val="20"/>
        </w:rPr>
        <w:t xml:space="preserve">nniversary of MONEYVAL </w:t>
      </w:r>
      <w:r w:rsidR="00BC25F6" w:rsidRPr="00330786">
        <w:rPr>
          <w:rFonts w:cs="Arial"/>
          <w:szCs w:val="20"/>
        </w:rPr>
        <w:t>celebrated</w:t>
      </w:r>
      <w:r w:rsidR="003D3038" w:rsidRPr="00330786">
        <w:rPr>
          <w:rFonts w:cs="Arial"/>
          <w:szCs w:val="20"/>
        </w:rPr>
        <w:t xml:space="preserve"> by the Committee in December 2022</w:t>
      </w:r>
      <w:r w:rsidRPr="00330786">
        <w:rPr>
          <w:rFonts w:cs="Arial"/>
          <w:szCs w:val="20"/>
        </w:rPr>
        <w:t xml:space="preserve">.  </w:t>
      </w:r>
    </w:p>
    <w:p w14:paraId="751B995E" w14:textId="3ED7A475" w:rsidR="00D2467F" w:rsidRPr="00330786" w:rsidRDefault="00D2467F" w:rsidP="00277C14">
      <w:pPr>
        <w:rPr>
          <w:rFonts w:cs="Arial"/>
          <w:szCs w:val="20"/>
        </w:rPr>
      </w:pPr>
    </w:p>
    <w:bookmarkEnd w:id="7"/>
    <w:p w14:paraId="202DC39E" w14:textId="08C745A0" w:rsidR="00F40EC3" w:rsidRPr="00330786" w:rsidRDefault="00277C14" w:rsidP="00277C14">
      <w:pPr>
        <w:autoSpaceDE w:val="0"/>
        <w:autoSpaceDN w:val="0"/>
        <w:adjustRightInd w:val="0"/>
        <w:rPr>
          <w:rFonts w:cs="Arial"/>
          <w:color w:val="000000"/>
          <w:szCs w:val="20"/>
          <w:lang w:eastAsia="en-GB"/>
        </w:rPr>
      </w:pPr>
      <w:r w:rsidRPr="00330786">
        <w:rPr>
          <w:rFonts w:cs="Arial"/>
          <w:color w:val="000000"/>
          <w:szCs w:val="20"/>
          <w:lang w:eastAsia="en-GB"/>
        </w:rPr>
        <w:t xml:space="preserve">MONEYVAL </w:t>
      </w:r>
      <w:r w:rsidR="00B76132" w:rsidRPr="00330786">
        <w:rPr>
          <w:rFonts w:cs="Arial"/>
          <w:color w:val="000000"/>
          <w:szCs w:val="20"/>
          <w:lang w:eastAsia="en-GB"/>
        </w:rPr>
        <w:t>continued to expand</w:t>
      </w:r>
      <w:r w:rsidRPr="00330786">
        <w:rPr>
          <w:rFonts w:cs="Arial"/>
          <w:color w:val="000000"/>
          <w:szCs w:val="20"/>
          <w:lang w:eastAsia="en-GB"/>
        </w:rPr>
        <w:t xml:space="preserve"> </w:t>
      </w:r>
      <w:r w:rsidR="00B76132" w:rsidRPr="00330786">
        <w:rPr>
          <w:rFonts w:cs="Arial"/>
          <w:color w:val="000000"/>
          <w:szCs w:val="20"/>
          <w:lang w:eastAsia="en-GB"/>
        </w:rPr>
        <w:t>its</w:t>
      </w:r>
      <w:r w:rsidRPr="00330786">
        <w:rPr>
          <w:rFonts w:cs="Arial"/>
          <w:color w:val="000000"/>
          <w:szCs w:val="20"/>
          <w:lang w:eastAsia="en-GB"/>
        </w:rPr>
        <w:t xml:space="preserve"> engagement with the FATF</w:t>
      </w:r>
      <w:r w:rsidR="004A56BF" w:rsidRPr="00330786">
        <w:rPr>
          <w:rFonts w:cs="Arial"/>
          <w:color w:val="000000"/>
          <w:szCs w:val="20"/>
          <w:lang w:eastAsia="en-GB"/>
        </w:rPr>
        <w:t xml:space="preserve"> and </w:t>
      </w:r>
      <w:r w:rsidR="00BC25F6" w:rsidRPr="00330786">
        <w:rPr>
          <w:rFonts w:cs="Arial"/>
          <w:color w:val="000000"/>
          <w:szCs w:val="20"/>
          <w:lang w:eastAsia="en-GB"/>
        </w:rPr>
        <w:t xml:space="preserve">its regional bodies, developing new </w:t>
      </w:r>
      <w:r w:rsidR="00F40EC3" w:rsidRPr="00330786">
        <w:rPr>
          <w:rFonts w:cs="Arial"/>
          <w:color w:val="000000"/>
          <w:szCs w:val="20"/>
          <w:lang w:eastAsia="en-GB"/>
        </w:rPr>
        <w:t>partnerships</w:t>
      </w:r>
      <w:r w:rsidR="00BC25F6" w:rsidRPr="00330786">
        <w:rPr>
          <w:rFonts w:cs="Arial"/>
          <w:color w:val="000000"/>
          <w:szCs w:val="20"/>
          <w:lang w:eastAsia="en-GB"/>
        </w:rPr>
        <w:t xml:space="preserve"> with the Caribbean and Latin American regions, and continuing the development of ties with Central Asia, North </w:t>
      </w:r>
      <w:proofErr w:type="gramStart"/>
      <w:r w:rsidR="00BC25F6" w:rsidRPr="00330786">
        <w:rPr>
          <w:rFonts w:cs="Arial"/>
          <w:color w:val="000000"/>
          <w:szCs w:val="20"/>
          <w:lang w:eastAsia="en-GB"/>
        </w:rPr>
        <w:t>Africa</w:t>
      </w:r>
      <w:proofErr w:type="gramEnd"/>
      <w:r w:rsidR="00BC25F6" w:rsidRPr="00330786">
        <w:rPr>
          <w:rFonts w:cs="Arial"/>
          <w:color w:val="000000"/>
          <w:szCs w:val="20"/>
          <w:lang w:eastAsia="en-GB"/>
        </w:rPr>
        <w:t xml:space="preserve"> and the Middle East. </w:t>
      </w:r>
      <w:r w:rsidR="00F40EC3" w:rsidRPr="00330786">
        <w:rPr>
          <w:rFonts w:cs="Arial"/>
          <w:color w:val="000000"/>
          <w:szCs w:val="20"/>
          <w:lang w:eastAsia="en-GB"/>
        </w:rPr>
        <w:t>T</w:t>
      </w:r>
      <w:r w:rsidR="00BC25F6" w:rsidRPr="00330786">
        <w:rPr>
          <w:rFonts w:cs="Arial"/>
          <w:color w:val="000000"/>
          <w:szCs w:val="20"/>
          <w:lang w:eastAsia="en-GB"/>
        </w:rPr>
        <w:t xml:space="preserve">he </w:t>
      </w:r>
      <w:r w:rsidR="00F40EC3" w:rsidRPr="00330786">
        <w:rPr>
          <w:rFonts w:cs="Arial"/>
          <w:color w:val="000000"/>
          <w:szCs w:val="20"/>
          <w:lang w:eastAsia="en-GB"/>
        </w:rPr>
        <w:t>Islamic Development Bank was granted observer status</w:t>
      </w:r>
      <w:r w:rsidR="007A08B3" w:rsidRPr="00330786">
        <w:rPr>
          <w:rFonts w:cs="Arial"/>
          <w:color w:val="000000"/>
          <w:szCs w:val="20"/>
          <w:lang w:eastAsia="en-GB"/>
        </w:rPr>
        <w:t xml:space="preserve"> in 2022</w:t>
      </w:r>
      <w:r w:rsidR="00F40EC3" w:rsidRPr="00330786">
        <w:rPr>
          <w:rFonts w:cs="Arial"/>
          <w:color w:val="000000"/>
          <w:szCs w:val="20"/>
          <w:lang w:eastAsia="en-GB"/>
        </w:rPr>
        <w:t xml:space="preserve">. </w:t>
      </w:r>
      <w:bookmarkStart w:id="8" w:name="_Hlk95233730"/>
      <w:r w:rsidR="00F40EC3" w:rsidRPr="00330786">
        <w:rPr>
          <w:rFonts w:cs="Arial"/>
          <w:color w:val="000000"/>
          <w:szCs w:val="20"/>
          <w:lang w:eastAsia="en-GB"/>
        </w:rPr>
        <w:t>In February 2022</w:t>
      </w:r>
      <w:r w:rsidR="007A08B3" w:rsidRPr="00330786">
        <w:rPr>
          <w:rFonts w:cs="Arial"/>
          <w:color w:val="000000"/>
          <w:szCs w:val="20"/>
          <w:lang w:eastAsia="en-GB"/>
        </w:rPr>
        <w:t>,</w:t>
      </w:r>
      <w:r w:rsidR="00F40EC3" w:rsidRPr="00330786">
        <w:rPr>
          <w:rFonts w:cs="Arial"/>
          <w:color w:val="000000"/>
          <w:szCs w:val="20"/>
          <w:lang w:eastAsia="en-GB"/>
        </w:rPr>
        <w:t xml:space="preserve"> the Council of Europe was itself granted observer status in the Financial Action Task </w:t>
      </w:r>
      <w:proofErr w:type="gramStart"/>
      <w:r w:rsidR="00F40EC3" w:rsidRPr="00330786">
        <w:rPr>
          <w:rFonts w:cs="Arial"/>
          <w:color w:val="000000"/>
          <w:szCs w:val="20"/>
          <w:lang w:eastAsia="en-GB"/>
        </w:rPr>
        <w:t>Force, and</w:t>
      </w:r>
      <w:proofErr w:type="gramEnd"/>
      <w:r w:rsidR="00F40EC3" w:rsidRPr="00330786">
        <w:rPr>
          <w:rFonts w:cs="Arial"/>
          <w:color w:val="000000"/>
          <w:szCs w:val="20"/>
          <w:lang w:eastAsia="en-GB"/>
        </w:rPr>
        <w:t xml:space="preserve"> took part in the FATF Plenary meetings in June and October 2022. Since then, several thematic engagements between the FATF and various CoE bodies took place. </w:t>
      </w:r>
    </w:p>
    <w:p w14:paraId="4261212D" w14:textId="2342A346" w:rsidR="00DA309F" w:rsidRPr="00330786" w:rsidRDefault="00DA309F" w:rsidP="00277C14">
      <w:pPr>
        <w:autoSpaceDE w:val="0"/>
        <w:autoSpaceDN w:val="0"/>
        <w:adjustRightInd w:val="0"/>
        <w:rPr>
          <w:rFonts w:cs="Arial"/>
          <w:color w:val="000000"/>
          <w:szCs w:val="20"/>
          <w:lang w:eastAsia="en-GB"/>
        </w:rPr>
      </w:pPr>
    </w:p>
    <w:p w14:paraId="4E7E8BCC" w14:textId="18316F92" w:rsidR="00DA309F" w:rsidRDefault="00DA309F" w:rsidP="00277C14">
      <w:pPr>
        <w:autoSpaceDE w:val="0"/>
        <w:autoSpaceDN w:val="0"/>
        <w:adjustRightInd w:val="0"/>
        <w:rPr>
          <w:rFonts w:cs="Arial"/>
          <w:color w:val="000000"/>
          <w:szCs w:val="20"/>
          <w:lang w:eastAsia="en-GB"/>
        </w:rPr>
      </w:pPr>
      <w:r w:rsidRPr="00330786">
        <w:rPr>
          <w:rFonts w:cs="Arial"/>
          <w:color w:val="000000"/>
          <w:szCs w:val="20"/>
          <w:lang w:eastAsia="en-GB"/>
        </w:rPr>
        <w:t xml:space="preserve">The aggression of the Russian Federation against Ukraine was prominent in the international AML/CFT agenda, with </w:t>
      </w:r>
      <w:proofErr w:type="gramStart"/>
      <w:r w:rsidRPr="00330786">
        <w:rPr>
          <w:rFonts w:cs="Arial"/>
          <w:color w:val="000000"/>
          <w:szCs w:val="20"/>
          <w:lang w:eastAsia="en-GB"/>
        </w:rPr>
        <w:t>a number of</w:t>
      </w:r>
      <w:proofErr w:type="gramEnd"/>
      <w:r w:rsidRPr="00330786">
        <w:rPr>
          <w:rFonts w:cs="Arial"/>
          <w:color w:val="000000"/>
          <w:szCs w:val="20"/>
          <w:lang w:eastAsia="en-GB"/>
        </w:rPr>
        <w:t xml:space="preserve"> regional bodies, such as the Asia-Pacific Group and the Caribbean Financial Action Task Force suspending Russia’s observer participation. Ukraine launched a nomination of the Russian Federation for potential listing by the FATF, pending decision in 2023.</w:t>
      </w:r>
      <w:r>
        <w:rPr>
          <w:rFonts w:cs="Arial"/>
          <w:color w:val="000000"/>
          <w:szCs w:val="20"/>
          <w:lang w:eastAsia="en-GB"/>
        </w:rPr>
        <w:t xml:space="preserve"> </w:t>
      </w:r>
    </w:p>
    <w:p w14:paraId="6B309403" w14:textId="77777777" w:rsidR="00F40EC3" w:rsidRDefault="00F40EC3" w:rsidP="00277C14">
      <w:pPr>
        <w:autoSpaceDE w:val="0"/>
        <w:autoSpaceDN w:val="0"/>
        <w:adjustRightInd w:val="0"/>
        <w:rPr>
          <w:rFonts w:cs="Arial"/>
          <w:color w:val="000000"/>
          <w:szCs w:val="20"/>
          <w:lang w:eastAsia="en-GB"/>
        </w:rPr>
      </w:pPr>
    </w:p>
    <w:bookmarkEnd w:id="8"/>
    <w:p w14:paraId="5BEA4C84" w14:textId="17287388" w:rsidR="00277C14" w:rsidRPr="00277C14" w:rsidRDefault="00277C14" w:rsidP="00277C14">
      <w:pPr>
        <w:autoSpaceDE w:val="0"/>
        <w:autoSpaceDN w:val="0"/>
        <w:adjustRightInd w:val="0"/>
        <w:rPr>
          <w:rFonts w:cs="Arial"/>
          <w:color w:val="000000"/>
          <w:szCs w:val="20"/>
        </w:rPr>
      </w:pPr>
    </w:p>
    <w:p w14:paraId="4E3E3887" w14:textId="5DEFD3EA" w:rsidR="00394957" w:rsidRDefault="00BA071E" w:rsidP="00C92E41">
      <w:pPr>
        <w:pStyle w:val="Heading1"/>
        <w:numPr>
          <w:ilvl w:val="0"/>
          <w:numId w:val="37"/>
        </w:numPr>
        <w:spacing w:before="0"/>
        <w:rPr>
          <w:rFonts w:ascii="Arial" w:eastAsiaTheme="minorHAnsi" w:hAnsi="Arial" w:cs="Times New Roman"/>
          <w:b/>
          <w:bCs/>
          <w:color w:val="auto"/>
          <w:kern w:val="28"/>
          <w:sz w:val="20"/>
          <w:szCs w:val="20"/>
        </w:rPr>
      </w:pPr>
      <w:bookmarkStart w:id="9" w:name="_Toc135409877"/>
      <w:r>
        <w:rPr>
          <w:rFonts w:ascii="Arial" w:eastAsiaTheme="minorHAnsi" w:hAnsi="Arial" w:cs="Times New Roman"/>
          <w:b/>
          <w:bCs/>
          <w:color w:val="auto"/>
          <w:kern w:val="28"/>
          <w:sz w:val="20"/>
          <w:szCs w:val="20"/>
        </w:rPr>
        <w:t>STRATEGIC OUTLOOK</w:t>
      </w:r>
      <w:bookmarkEnd w:id="9"/>
    </w:p>
    <w:p w14:paraId="4DB0CDEA" w14:textId="77777777" w:rsidR="00394957" w:rsidRPr="00394957" w:rsidRDefault="00394957" w:rsidP="00394957"/>
    <w:p w14:paraId="27032629" w14:textId="39E85114" w:rsidR="00277C14" w:rsidRPr="00277C14" w:rsidRDefault="00277C14" w:rsidP="00277C14">
      <w:pPr>
        <w:rPr>
          <w:rFonts w:cs="Arial"/>
          <w:szCs w:val="20"/>
        </w:rPr>
      </w:pPr>
      <w:r w:rsidRPr="00277C14">
        <w:rPr>
          <w:rFonts w:cs="Arial"/>
          <w:szCs w:val="20"/>
        </w:rPr>
        <w:t xml:space="preserve">Money laundering is </w:t>
      </w:r>
      <w:r w:rsidRPr="00277C14">
        <w:rPr>
          <w:rFonts w:cs="Arial"/>
          <w:iCs/>
          <w:szCs w:val="20"/>
        </w:rPr>
        <w:t>the process through which criminals give the appearance of legitimacy to proceeds of crime. It is</w:t>
      </w:r>
      <w:r w:rsidRPr="00277C14">
        <w:rPr>
          <w:rFonts w:cs="Arial"/>
          <w:szCs w:val="20"/>
        </w:rPr>
        <w:t xml:space="preserve"> an expanding and increasingly international phenomenon, with current estimates of money laundered worldwide ranging from $500 billion to a staggering $1 trillion, with disastrous effects on the global economy and </w:t>
      </w:r>
      <w:r w:rsidR="001F36B5">
        <w:rPr>
          <w:rFonts w:cs="Arial"/>
          <w:szCs w:val="20"/>
        </w:rPr>
        <w:t xml:space="preserve">on </w:t>
      </w:r>
      <w:r w:rsidRPr="00277C14">
        <w:rPr>
          <w:rFonts w:cs="Arial"/>
          <w:szCs w:val="20"/>
        </w:rPr>
        <w:t xml:space="preserve">society. Terrorism financing is the pre-requisite of all terrorist activity in its organised forms, and as such it is a principal threat to the safety and security of society and populations. </w:t>
      </w:r>
    </w:p>
    <w:p w14:paraId="3EDBC40B" w14:textId="77777777" w:rsidR="00277C14" w:rsidRPr="00277C14" w:rsidRDefault="00277C14" w:rsidP="00277C14">
      <w:pPr>
        <w:rPr>
          <w:rFonts w:cs="Arial"/>
          <w:szCs w:val="20"/>
        </w:rPr>
      </w:pPr>
    </w:p>
    <w:p w14:paraId="0FFCA8F9" w14:textId="3C4A9FA2" w:rsidR="00277C14" w:rsidRPr="00277C14" w:rsidRDefault="00277C14" w:rsidP="00277C14">
      <w:pPr>
        <w:rPr>
          <w:rFonts w:cs="Arial"/>
          <w:szCs w:val="20"/>
        </w:rPr>
      </w:pPr>
      <w:r w:rsidRPr="00277C14">
        <w:rPr>
          <w:rFonts w:cs="Arial"/>
          <w:szCs w:val="20"/>
        </w:rPr>
        <w:t xml:space="preserve">The international standards to combat the dual threats of money laundering and terrorism financing have been developed by the </w:t>
      </w:r>
      <w:proofErr w:type="gramStart"/>
      <w:r w:rsidRPr="00277C14">
        <w:rPr>
          <w:rFonts w:cs="Arial"/>
          <w:szCs w:val="20"/>
        </w:rPr>
        <w:t>FATF, and</w:t>
      </w:r>
      <w:proofErr w:type="gramEnd"/>
      <w:r w:rsidRPr="00277C14">
        <w:rPr>
          <w:rFonts w:cs="Arial"/>
          <w:szCs w:val="20"/>
        </w:rPr>
        <w:t xml:space="preserve"> consist of 40 Recommendations covering the legal and institutional aspects of compliance, as well as 11 Immediate Outcomes on effectiveness. The FATF Standards establish requirements for law enforcement, </w:t>
      </w:r>
      <w:r w:rsidR="001F36B5">
        <w:rPr>
          <w:rFonts w:cs="Arial"/>
          <w:szCs w:val="20"/>
        </w:rPr>
        <w:t xml:space="preserve">the </w:t>
      </w:r>
      <w:r w:rsidRPr="00277C14">
        <w:rPr>
          <w:rFonts w:cs="Arial"/>
          <w:szCs w:val="20"/>
        </w:rPr>
        <w:t xml:space="preserve">judiciary, financial intelligence units (FIUs), </w:t>
      </w:r>
      <w:r w:rsidR="001F36B5">
        <w:rPr>
          <w:rFonts w:cs="Arial"/>
          <w:szCs w:val="20"/>
        </w:rPr>
        <w:t xml:space="preserve">and the </w:t>
      </w:r>
      <w:r w:rsidRPr="00277C14">
        <w:rPr>
          <w:rFonts w:cs="Arial"/>
          <w:szCs w:val="20"/>
        </w:rPr>
        <w:t xml:space="preserve">private sector and its supervisors (see full list of FATF Standards in Appendix I). MONEYVAL monitors the application of these requirements for its </w:t>
      </w:r>
      <w:r w:rsidR="00154234">
        <w:rPr>
          <w:rFonts w:cs="Arial"/>
          <w:szCs w:val="20"/>
        </w:rPr>
        <w:t>3</w:t>
      </w:r>
      <w:r w:rsidR="00B37BCF">
        <w:rPr>
          <w:rFonts w:cs="Arial"/>
          <w:szCs w:val="20"/>
        </w:rPr>
        <w:t>3</w:t>
      </w:r>
      <w:r w:rsidR="00154234" w:rsidRPr="00277C14">
        <w:rPr>
          <w:rFonts w:cs="Arial"/>
          <w:szCs w:val="20"/>
        </w:rPr>
        <w:t xml:space="preserve"> </w:t>
      </w:r>
      <w:r w:rsidRPr="00277C14">
        <w:rPr>
          <w:rFonts w:cs="Arial"/>
          <w:szCs w:val="20"/>
        </w:rPr>
        <w:t>member</w:t>
      </w:r>
      <w:r w:rsidR="0018309A">
        <w:rPr>
          <w:rFonts w:cs="Arial"/>
          <w:szCs w:val="20"/>
        </w:rPr>
        <w:t xml:space="preserve"> </w:t>
      </w:r>
      <w:r w:rsidR="00344B93">
        <w:rPr>
          <w:rFonts w:cs="Arial"/>
          <w:szCs w:val="20"/>
        </w:rPr>
        <w:t>S</w:t>
      </w:r>
      <w:r w:rsidRPr="00277C14">
        <w:rPr>
          <w:rFonts w:cs="Arial"/>
          <w:szCs w:val="20"/>
        </w:rPr>
        <w:t xml:space="preserve">tates and territories (see full list in Section </w:t>
      </w:r>
      <w:r w:rsidR="00330786">
        <w:rPr>
          <w:rFonts w:cs="Arial"/>
          <w:szCs w:val="20"/>
        </w:rPr>
        <w:t>8</w:t>
      </w:r>
      <w:r w:rsidRPr="00277C14">
        <w:rPr>
          <w:rFonts w:cs="Arial"/>
          <w:szCs w:val="20"/>
        </w:rPr>
        <w:t>). The effectiveness cycle of AML/CFT measures is presented below:</w:t>
      </w:r>
    </w:p>
    <w:p w14:paraId="6AEB1D2A" w14:textId="77777777" w:rsidR="00277C14" w:rsidRPr="00277C14" w:rsidRDefault="00277C14" w:rsidP="00277C14">
      <w:pPr>
        <w:keepNext/>
        <w:widowControl w:val="0"/>
        <w:ind w:right="284"/>
        <w:outlineLvl w:val="1"/>
        <w:rPr>
          <w:rFonts w:eastAsia="Times New Roman" w:cs="Arial"/>
          <w:b/>
          <w:bCs/>
          <w:color w:val="000000"/>
          <w:w w:val="105"/>
          <w:kern w:val="28"/>
          <w:szCs w:val="20"/>
          <w:lang w:eastAsia="zh-CN"/>
        </w:rPr>
      </w:pPr>
    </w:p>
    <w:p w14:paraId="58CAC3C0" w14:textId="7DE0B06F" w:rsidR="00277C14" w:rsidRDefault="009E3C3C" w:rsidP="00277C14">
      <w:pPr>
        <w:rPr>
          <w:rFonts w:cs="Arial"/>
          <w:noProof/>
          <w:szCs w:val="20"/>
        </w:rPr>
      </w:pPr>
      <w:r>
        <w:rPr>
          <w:noProof/>
        </w:rPr>
        <w:drawing>
          <wp:inline distT="0" distB="0" distL="0" distR="0" wp14:anchorId="2FDD9275" wp14:editId="38E7D608">
            <wp:extent cx="6067425" cy="43307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67425" cy="4330700"/>
                    </a:xfrm>
                    <a:prstGeom prst="rect">
                      <a:avLst/>
                    </a:prstGeom>
                    <a:noFill/>
                    <a:ln>
                      <a:noFill/>
                    </a:ln>
                  </pic:spPr>
                </pic:pic>
              </a:graphicData>
            </a:graphic>
          </wp:inline>
        </w:drawing>
      </w:r>
    </w:p>
    <w:p w14:paraId="3F706CBF" w14:textId="77777777" w:rsidR="009E3C3C" w:rsidRPr="00277C14" w:rsidRDefault="009E3C3C" w:rsidP="00277C14">
      <w:pPr>
        <w:rPr>
          <w:rFonts w:cs="Arial"/>
          <w:szCs w:val="20"/>
        </w:rPr>
      </w:pPr>
    </w:p>
    <w:p w14:paraId="49A54F50" w14:textId="77777777" w:rsidR="004D5F3C" w:rsidRDefault="004D5F3C">
      <w:pPr>
        <w:rPr>
          <w:rStyle w:val="Emphasis"/>
          <w:rFonts w:eastAsiaTheme="minorHAnsi"/>
          <w:b/>
          <w:bCs/>
          <w:i w:val="0"/>
          <w:iCs w:val="0"/>
          <w:color w:val="000000" w:themeColor="text1"/>
          <w:szCs w:val="20"/>
        </w:rPr>
      </w:pPr>
      <w:bookmarkStart w:id="10" w:name="_Toc66712412"/>
      <w:bookmarkStart w:id="11" w:name="_Toc135409878"/>
      <w:r>
        <w:rPr>
          <w:rStyle w:val="Emphasis"/>
          <w:rFonts w:eastAsiaTheme="minorHAnsi"/>
          <w:b/>
          <w:bCs/>
          <w:i w:val="0"/>
          <w:iCs w:val="0"/>
          <w:color w:val="000000" w:themeColor="text1"/>
          <w:szCs w:val="20"/>
        </w:rPr>
        <w:br w:type="page"/>
      </w:r>
    </w:p>
    <w:p w14:paraId="75C48160" w14:textId="5F7C9677" w:rsidR="00277C14" w:rsidRDefault="00277C14" w:rsidP="00C92E41">
      <w:pPr>
        <w:pStyle w:val="Heading2"/>
        <w:keepLines w:val="0"/>
        <w:numPr>
          <w:ilvl w:val="1"/>
          <w:numId w:val="38"/>
        </w:numPr>
        <w:spacing w:before="0"/>
        <w:ind w:right="680" w:firstLine="0"/>
        <w:jc w:val="both"/>
        <w:rPr>
          <w:rStyle w:val="Emphasis"/>
          <w:rFonts w:ascii="Arial" w:eastAsiaTheme="minorHAnsi" w:hAnsi="Arial" w:cs="Times New Roman"/>
          <w:b/>
          <w:bCs/>
          <w:i w:val="0"/>
          <w:iCs w:val="0"/>
          <w:color w:val="000000" w:themeColor="text1"/>
          <w:sz w:val="20"/>
          <w:szCs w:val="20"/>
        </w:rPr>
      </w:pPr>
      <w:r w:rsidRPr="00394957">
        <w:rPr>
          <w:rStyle w:val="Emphasis"/>
          <w:rFonts w:ascii="Arial" w:eastAsiaTheme="minorHAnsi" w:hAnsi="Arial" w:cs="Times New Roman"/>
          <w:b/>
          <w:bCs/>
          <w:i w:val="0"/>
          <w:iCs w:val="0"/>
          <w:color w:val="000000" w:themeColor="text1"/>
          <w:sz w:val="20"/>
          <w:szCs w:val="20"/>
        </w:rPr>
        <w:lastRenderedPageBreak/>
        <w:t>Compliance trends</w:t>
      </w:r>
      <w:bookmarkEnd w:id="10"/>
      <w:bookmarkEnd w:id="11"/>
      <w:r w:rsidRPr="00394957">
        <w:rPr>
          <w:rStyle w:val="Emphasis"/>
          <w:rFonts w:ascii="Arial" w:eastAsiaTheme="minorHAnsi" w:hAnsi="Arial" w:cs="Times New Roman"/>
          <w:b/>
          <w:bCs/>
          <w:i w:val="0"/>
          <w:iCs w:val="0"/>
          <w:color w:val="000000" w:themeColor="text1"/>
          <w:sz w:val="20"/>
          <w:szCs w:val="20"/>
        </w:rPr>
        <w:t xml:space="preserve"> </w:t>
      </w:r>
    </w:p>
    <w:p w14:paraId="083163C2" w14:textId="77777777" w:rsidR="001B19B8" w:rsidRPr="001B19B8" w:rsidRDefault="001B19B8" w:rsidP="001B19B8"/>
    <w:p w14:paraId="0EA43DE8" w14:textId="59F6BBF8" w:rsidR="00277C14" w:rsidRPr="00277C14" w:rsidRDefault="00277C14" w:rsidP="001B19B8">
      <w:pPr>
        <w:rPr>
          <w:rFonts w:cs="Arial"/>
          <w:szCs w:val="20"/>
        </w:rPr>
      </w:pPr>
      <w:r w:rsidRPr="00277C14">
        <w:rPr>
          <w:rFonts w:cs="Arial"/>
          <w:szCs w:val="20"/>
        </w:rPr>
        <w:t xml:space="preserve">MONEYVAL </w:t>
      </w:r>
      <w:r w:rsidR="003A5046">
        <w:rPr>
          <w:rFonts w:cs="Arial"/>
          <w:szCs w:val="20"/>
        </w:rPr>
        <w:t xml:space="preserve">continued its </w:t>
      </w:r>
      <w:r w:rsidRPr="00277C14">
        <w:rPr>
          <w:rFonts w:cs="Arial"/>
          <w:szCs w:val="20"/>
        </w:rPr>
        <w:t>horizontal review of implementation of the FATF Recommendations by its member-jurisdictions</w:t>
      </w:r>
      <w:r w:rsidR="00BA071E">
        <w:rPr>
          <w:rFonts w:cs="Arial"/>
          <w:szCs w:val="20"/>
        </w:rPr>
        <w:t xml:space="preserve"> in 202</w:t>
      </w:r>
      <w:r w:rsidR="00AF6E2B">
        <w:rPr>
          <w:rFonts w:cs="Arial"/>
          <w:szCs w:val="20"/>
        </w:rPr>
        <w:t>2</w:t>
      </w:r>
      <w:r w:rsidR="00BA071E">
        <w:rPr>
          <w:rFonts w:cs="Arial"/>
          <w:szCs w:val="20"/>
        </w:rPr>
        <w:t xml:space="preserve"> by systematising and incorporating the results of the most recent mutual evaluations</w:t>
      </w:r>
      <w:r w:rsidRPr="00277C14">
        <w:rPr>
          <w:rFonts w:cs="Arial"/>
          <w:szCs w:val="20"/>
        </w:rPr>
        <w:t>.</w:t>
      </w:r>
      <w:r w:rsidRPr="00277C14">
        <w:rPr>
          <w:rFonts w:cs="Arial"/>
          <w:szCs w:val="20"/>
          <w:vertAlign w:val="superscript"/>
        </w:rPr>
        <w:footnoteReference w:id="2"/>
      </w:r>
      <w:r w:rsidRPr="00277C14">
        <w:rPr>
          <w:rFonts w:cs="Arial"/>
          <w:szCs w:val="20"/>
        </w:rPr>
        <w:t xml:space="preserve"> The analysis below represents preliminary compliance trends in these MONEYVAL member jurisdictions. </w:t>
      </w:r>
    </w:p>
    <w:p w14:paraId="4DE7B4D6" w14:textId="77777777" w:rsidR="00277C14" w:rsidRPr="00277C14" w:rsidRDefault="00277C14" w:rsidP="00277C14">
      <w:pPr>
        <w:rPr>
          <w:rFonts w:cs="Arial"/>
          <w:szCs w:val="20"/>
        </w:rPr>
      </w:pPr>
    </w:p>
    <w:p w14:paraId="4D11617D" w14:textId="5E48FB02" w:rsidR="00277C14" w:rsidRPr="00277C14" w:rsidRDefault="00277C14" w:rsidP="00277C14">
      <w:pPr>
        <w:rPr>
          <w:rFonts w:cs="Arial"/>
          <w:szCs w:val="20"/>
        </w:rPr>
      </w:pPr>
      <w:r w:rsidRPr="00277C14">
        <w:rPr>
          <w:rFonts w:cs="Arial"/>
          <w:szCs w:val="20"/>
        </w:rPr>
        <w:t xml:space="preserve">It can be observed that MONEYVAL member </w:t>
      </w:r>
      <w:r w:rsidR="00344B93">
        <w:rPr>
          <w:rFonts w:cs="Arial"/>
          <w:szCs w:val="20"/>
        </w:rPr>
        <w:t>S</w:t>
      </w:r>
      <w:r w:rsidRPr="00277C14">
        <w:rPr>
          <w:rFonts w:cs="Arial"/>
          <w:szCs w:val="20"/>
        </w:rPr>
        <w:t xml:space="preserve">tates and jurisdictions </w:t>
      </w:r>
      <w:proofErr w:type="gramStart"/>
      <w:r w:rsidRPr="00277C14">
        <w:rPr>
          <w:rFonts w:cs="Arial"/>
          <w:szCs w:val="20"/>
        </w:rPr>
        <w:t>continue on</w:t>
      </w:r>
      <w:proofErr w:type="gramEnd"/>
      <w:r w:rsidRPr="00277C14">
        <w:rPr>
          <w:rFonts w:cs="Arial"/>
          <w:szCs w:val="20"/>
        </w:rPr>
        <w:t xml:space="preserve"> average to demonstrate a </w:t>
      </w:r>
      <w:r w:rsidRPr="00A37214">
        <w:rPr>
          <w:rFonts w:cs="Arial"/>
          <w:szCs w:val="20"/>
        </w:rPr>
        <w:t xml:space="preserve">moderate level of effectiveness in their anti-money laundering and combating the financing of terrorism efforts. Thus, the median level of compliance </w:t>
      </w:r>
      <w:r w:rsidR="00BA071E" w:rsidRPr="00A37214">
        <w:rPr>
          <w:rFonts w:cs="Arial"/>
          <w:szCs w:val="20"/>
        </w:rPr>
        <w:t>continues to be</w:t>
      </w:r>
      <w:r w:rsidRPr="00A37214">
        <w:rPr>
          <w:rFonts w:cs="Arial"/>
          <w:szCs w:val="20"/>
        </w:rPr>
        <w:t xml:space="preserve"> below the satisfactory threshold</w:t>
      </w:r>
      <w:r w:rsidR="00C71F19" w:rsidRPr="00A37214">
        <w:rPr>
          <w:rFonts w:cs="Arial"/>
          <w:szCs w:val="20"/>
        </w:rPr>
        <w:t xml:space="preserve">. </w:t>
      </w:r>
      <w:r w:rsidRPr="00A37214">
        <w:rPr>
          <w:rFonts w:cs="Arial"/>
          <w:szCs w:val="20"/>
        </w:rPr>
        <w:t xml:space="preserve">MONEYVAL members demonstrate the best results in the areas of risk assessment, international </w:t>
      </w:r>
      <w:proofErr w:type="gramStart"/>
      <w:r w:rsidRPr="00A37214">
        <w:rPr>
          <w:rFonts w:cs="Arial"/>
          <w:szCs w:val="20"/>
        </w:rPr>
        <w:t>co</w:t>
      </w:r>
      <w:r w:rsidR="002F5F50" w:rsidRPr="00A37214">
        <w:rPr>
          <w:rFonts w:cs="Arial"/>
          <w:szCs w:val="20"/>
        </w:rPr>
        <w:t>-</w:t>
      </w:r>
      <w:r w:rsidRPr="00A37214">
        <w:rPr>
          <w:rFonts w:cs="Arial"/>
          <w:szCs w:val="20"/>
        </w:rPr>
        <w:t>operation</w:t>
      </w:r>
      <w:proofErr w:type="gramEnd"/>
      <w:r w:rsidRPr="00A37214">
        <w:rPr>
          <w:rFonts w:cs="Arial"/>
          <w:szCs w:val="20"/>
        </w:rPr>
        <w:t xml:space="preserve"> and use of financial intelligence. Effectiveness remains particularly weak in financial sector supervision, private </w:t>
      </w:r>
      <w:r w:rsidRPr="00330786">
        <w:rPr>
          <w:rFonts w:cs="Arial"/>
          <w:szCs w:val="20"/>
        </w:rPr>
        <w:t>sector compliance, transparency of legal persons, money laundering convictions and confiscations, financial sanctions for terrorism and proliferation of weapons of mass destruction.</w:t>
      </w:r>
      <w:r w:rsidR="00C71F19" w:rsidRPr="00330786">
        <w:rPr>
          <w:rFonts w:cs="Arial"/>
          <w:szCs w:val="20"/>
        </w:rPr>
        <w:t xml:space="preserve"> The latest evaluations adopted in 202</w:t>
      </w:r>
      <w:r w:rsidR="005C3C4A" w:rsidRPr="00330786">
        <w:rPr>
          <w:rFonts w:cs="Arial"/>
          <w:szCs w:val="20"/>
        </w:rPr>
        <w:t>2</w:t>
      </w:r>
      <w:r w:rsidR="00C71F19" w:rsidRPr="00330786">
        <w:rPr>
          <w:rFonts w:cs="Arial"/>
          <w:szCs w:val="20"/>
        </w:rPr>
        <w:t xml:space="preserve"> have improved the average median of compliance in </w:t>
      </w:r>
      <w:proofErr w:type="gramStart"/>
      <w:r w:rsidR="00C71F19" w:rsidRPr="00330786">
        <w:rPr>
          <w:rFonts w:cs="Arial"/>
          <w:szCs w:val="20"/>
        </w:rPr>
        <w:t>a number of</w:t>
      </w:r>
      <w:proofErr w:type="gramEnd"/>
      <w:r w:rsidR="00C71F19" w:rsidRPr="00330786">
        <w:rPr>
          <w:rFonts w:cs="Arial"/>
          <w:szCs w:val="20"/>
        </w:rPr>
        <w:t xml:space="preserve"> areas, namely international co</w:t>
      </w:r>
      <w:r w:rsidR="00E73BD4" w:rsidRPr="00330786">
        <w:rPr>
          <w:rFonts w:cs="Arial"/>
          <w:szCs w:val="20"/>
        </w:rPr>
        <w:noBreakHyphen/>
      </w:r>
      <w:r w:rsidR="00C71F19" w:rsidRPr="00330786">
        <w:rPr>
          <w:rFonts w:cs="Arial"/>
          <w:szCs w:val="20"/>
        </w:rPr>
        <w:t xml:space="preserve">operation, </w:t>
      </w:r>
      <w:r w:rsidR="006B2486" w:rsidRPr="00330786">
        <w:rPr>
          <w:rFonts w:cs="Arial"/>
          <w:szCs w:val="20"/>
        </w:rPr>
        <w:t xml:space="preserve">the use of </w:t>
      </w:r>
      <w:r w:rsidR="009C759A" w:rsidRPr="00330786">
        <w:rPr>
          <w:rFonts w:cs="Arial"/>
          <w:szCs w:val="20"/>
        </w:rPr>
        <w:t xml:space="preserve">financial intelligence </w:t>
      </w:r>
      <w:r w:rsidR="00C71F19" w:rsidRPr="00330786">
        <w:rPr>
          <w:rFonts w:cs="Arial"/>
          <w:szCs w:val="20"/>
        </w:rPr>
        <w:t xml:space="preserve">and </w:t>
      </w:r>
      <w:r w:rsidR="009C759A" w:rsidRPr="00330786">
        <w:rPr>
          <w:rFonts w:cs="Arial"/>
          <w:szCs w:val="20"/>
        </w:rPr>
        <w:t>TF prosecution</w:t>
      </w:r>
      <w:r w:rsidR="00C71F19" w:rsidRPr="00330786">
        <w:rPr>
          <w:rFonts w:cs="Arial"/>
          <w:szCs w:val="20"/>
        </w:rPr>
        <w:t>. However, the field of international co</w:t>
      </w:r>
      <w:r w:rsidR="00E73BD4" w:rsidRPr="00330786">
        <w:rPr>
          <w:rFonts w:cs="Arial"/>
          <w:szCs w:val="20"/>
        </w:rPr>
        <w:t>-</w:t>
      </w:r>
      <w:r w:rsidR="00C71F19" w:rsidRPr="00330786">
        <w:rPr>
          <w:rFonts w:cs="Arial"/>
          <w:szCs w:val="20"/>
        </w:rPr>
        <w:t>operation remains the only area where average compliance is above the satisfactory threshold across the MONEYVAL membership.</w:t>
      </w:r>
      <w:r w:rsidR="00C71F19">
        <w:rPr>
          <w:rFonts w:cs="Arial"/>
          <w:szCs w:val="20"/>
        </w:rPr>
        <w:t xml:space="preserve">  </w:t>
      </w:r>
    </w:p>
    <w:p w14:paraId="703A1A23" w14:textId="77777777" w:rsidR="001B19B8" w:rsidRDefault="001B19B8">
      <w:pPr>
        <w:rPr>
          <w:rFonts w:eastAsiaTheme="minorEastAsia" w:cs="Arial"/>
          <w:szCs w:val="20"/>
          <w:lang w:eastAsia="fr-FR"/>
        </w:rPr>
      </w:pPr>
    </w:p>
    <w:p w14:paraId="2FD5B7BF" w14:textId="5EB1ED47" w:rsidR="00C71F19" w:rsidRDefault="00C71F19" w:rsidP="00277C14">
      <w:pPr>
        <w:rPr>
          <w:rFonts w:cs="Arial"/>
          <w:szCs w:val="20"/>
        </w:rPr>
      </w:pPr>
      <w:r w:rsidRPr="00277C14">
        <w:rPr>
          <w:rFonts w:cs="Arial"/>
          <w:noProof/>
          <w:szCs w:val="20"/>
          <w:lang w:val="en-US"/>
        </w:rPr>
        <w:drawing>
          <wp:inline distT="0" distB="0" distL="0" distR="0" wp14:anchorId="6AE89B46" wp14:editId="510901F9">
            <wp:extent cx="5762445" cy="4079875"/>
            <wp:effectExtent l="0" t="0" r="10160" b="1587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E0D48E1" w14:textId="5F1B4A0D" w:rsidR="00C71F19" w:rsidRDefault="00C71F19" w:rsidP="00277C14">
      <w:pPr>
        <w:rPr>
          <w:rFonts w:cs="Arial"/>
          <w:szCs w:val="20"/>
        </w:rPr>
      </w:pPr>
    </w:p>
    <w:p w14:paraId="64F7FBE3" w14:textId="3813D26A" w:rsidR="00A37214" w:rsidRPr="00277C14" w:rsidRDefault="00A37214" w:rsidP="00A37214">
      <w:pPr>
        <w:rPr>
          <w:rFonts w:cs="Arial"/>
          <w:szCs w:val="20"/>
        </w:rPr>
      </w:pPr>
      <w:r w:rsidRPr="00277C14">
        <w:rPr>
          <w:rFonts w:cs="Arial"/>
          <w:szCs w:val="20"/>
        </w:rPr>
        <w:t xml:space="preserve">Risk understanding is the central pillar of a robust AML/CFT system. An inadequate understanding of country </w:t>
      </w:r>
      <w:r w:rsidRPr="00330786">
        <w:rPr>
          <w:rFonts w:cs="Arial"/>
          <w:szCs w:val="20"/>
        </w:rPr>
        <w:t xml:space="preserve">risks </w:t>
      </w:r>
      <w:r w:rsidR="001F36B5" w:rsidRPr="00330786">
        <w:rPr>
          <w:rFonts w:cs="Arial"/>
          <w:szCs w:val="20"/>
        </w:rPr>
        <w:t xml:space="preserve">is likely to </w:t>
      </w:r>
      <w:r w:rsidRPr="00330786">
        <w:rPr>
          <w:rFonts w:cs="Arial"/>
          <w:szCs w:val="20"/>
        </w:rPr>
        <w:t>lead to inappropriate policies. In almost 9</w:t>
      </w:r>
      <w:r w:rsidR="009C759A" w:rsidRPr="00330786">
        <w:rPr>
          <w:rFonts w:cs="Arial"/>
          <w:szCs w:val="20"/>
        </w:rPr>
        <w:t>2</w:t>
      </w:r>
      <w:r w:rsidRPr="00330786">
        <w:rPr>
          <w:rFonts w:cs="Arial"/>
          <w:szCs w:val="20"/>
        </w:rPr>
        <w:t>% of the assessed countries, the analysis highlights the absence of in-depth assessment of certain specific risks, such as terrorism financing</w:t>
      </w:r>
      <w:r w:rsidR="009C759A" w:rsidRPr="00330786">
        <w:rPr>
          <w:rFonts w:cs="Arial"/>
          <w:szCs w:val="20"/>
        </w:rPr>
        <w:t>, VASP sector</w:t>
      </w:r>
      <w:r w:rsidRPr="00330786">
        <w:rPr>
          <w:rFonts w:cs="Arial"/>
          <w:szCs w:val="20"/>
        </w:rPr>
        <w:t xml:space="preserve"> and offshore money laundering, where relevant to the </w:t>
      </w:r>
      <w:proofErr w:type="gramStart"/>
      <w:r w:rsidRPr="00330786">
        <w:rPr>
          <w:rFonts w:cs="Arial"/>
          <w:szCs w:val="20"/>
        </w:rPr>
        <w:t>particular context</w:t>
      </w:r>
      <w:proofErr w:type="gramEnd"/>
      <w:r w:rsidRPr="00330786">
        <w:rPr>
          <w:rFonts w:cs="Arial"/>
          <w:szCs w:val="20"/>
        </w:rPr>
        <w:t xml:space="preserve"> of a jurisdiction. Moreover, when the assessment of risks is not thorough, risk-based responses cannot be adequate. </w:t>
      </w:r>
      <w:r w:rsidR="001F36B5" w:rsidRPr="00330786">
        <w:rPr>
          <w:rFonts w:cs="Arial"/>
          <w:szCs w:val="20"/>
        </w:rPr>
        <w:t>Indeed, t</w:t>
      </w:r>
      <w:r w:rsidRPr="00330786">
        <w:rPr>
          <w:rFonts w:cs="Arial"/>
          <w:szCs w:val="20"/>
        </w:rPr>
        <w:t xml:space="preserve">he analysis points </w:t>
      </w:r>
      <w:r w:rsidR="001F36B5" w:rsidRPr="00330786">
        <w:rPr>
          <w:rFonts w:cs="Arial"/>
          <w:szCs w:val="20"/>
        </w:rPr>
        <w:t xml:space="preserve">to </w:t>
      </w:r>
      <w:r w:rsidRPr="00330786">
        <w:rPr>
          <w:rFonts w:cs="Arial"/>
          <w:szCs w:val="20"/>
        </w:rPr>
        <w:t xml:space="preserve">the difficulty of </w:t>
      </w:r>
      <w:r w:rsidR="009C759A" w:rsidRPr="00330786">
        <w:rPr>
          <w:rFonts w:cs="Arial"/>
          <w:szCs w:val="20"/>
        </w:rPr>
        <w:t>7</w:t>
      </w:r>
      <w:r w:rsidR="004356CC" w:rsidRPr="00330786">
        <w:rPr>
          <w:rFonts w:cs="Arial"/>
          <w:szCs w:val="20"/>
        </w:rPr>
        <w:t xml:space="preserve"> </w:t>
      </w:r>
      <w:r w:rsidRPr="00330786">
        <w:rPr>
          <w:rFonts w:cs="Arial"/>
          <w:szCs w:val="20"/>
        </w:rPr>
        <w:t>countries (26%) to successfully apply a risk-based</w:t>
      </w:r>
      <w:r w:rsidRPr="00277C14">
        <w:rPr>
          <w:rFonts w:cs="Arial"/>
          <w:szCs w:val="20"/>
        </w:rPr>
        <w:t xml:space="preserve"> approach to </w:t>
      </w:r>
      <w:r w:rsidR="00FF04EF">
        <w:rPr>
          <w:rFonts w:cs="Arial"/>
          <w:szCs w:val="20"/>
        </w:rPr>
        <w:t>non-profit organisations (NPOs)</w:t>
      </w:r>
      <w:r w:rsidR="00FF04EF" w:rsidRPr="00277C14">
        <w:rPr>
          <w:rFonts w:cs="Arial"/>
          <w:szCs w:val="20"/>
        </w:rPr>
        <w:t xml:space="preserve"> </w:t>
      </w:r>
      <w:r w:rsidRPr="00277C14">
        <w:rPr>
          <w:rFonts w:cs="Arial"/>
          <w:szCs w:val="20"/>
        </w:rPr>
        <w:t>potentially at risk of misuse for terrorism financing purposes.</w:t>
      </w:r>
    </w:p>
    <w:p w14:paraId="18872103" w14:textId="77777777" w:rsidR="00A37214" w:rsidRPr="00277C14" w:rsidRDefault="00A37214" w:rsidP="00A37214">
      <w:pPr>
        <w:rPr>
          <w:rFonts w:cs="Arial"/>
          <w:szCs w:val="20"/>
        </w:rPr>
      </w:pPr>
    </w:p>
    <w:p w14:paraId="0E83B065" w14:textId="77777777" w:rsidR="004D5F3C" w:rsidRDefault="004D5F3C">
      <w:pPr>
        <w:rPr>
          <w:rFonts w:cs="Arial"/>
          <w:szCs w:val="20"/>
        </w:rPr>
      </w:pPr>
      <w:r>
        <w:rPr>
          <w:rFonts w:cs="Arial"/>
          <w:szCs w:val="20"/>
        </w:rPr>
        <w:br w:type="page"/>
      </w:r>
    </w:p>
    <w:p w14:paraId="130A3900" w14:textId="48A574EE" w:rsidR="00A37214" w:rsidRPr="00277C14" w:rsidRDefault="00A37214" w:rsidP="00A37214">
      <w:pPr>
        <w:rPr>
          <w:rFonts w:cs="Arial"/>
          <w:szCs w:val="20"/>
        </w:rPr>
      </w:pPr>
      <w:r w:rsidRPr="00277C14">
        <w:rPr>
          <w:rFonts w:cs="Arial"/>
          <w:szCs w:val="20"/>
        </w:rPr>
        <w:lastRenderedPageBreak/>
        <w:t>A proper risk assessment cannot be conducted, and the performance of the regime cannot be evaluated</w:t>
      </w:r>
      <w:r w:rsidR="001F36B5">
        <w:rPr>
          <w:rFonts w:cs="Arial"/>
          <w:szCs w:val="20"/>
        </w:rPr>
        <w:t>,</w:t>
      </w:r>
      <w:r w:rsidRPr="00277C14">
        <w:rPr>
          <w:rFonts w:cs="Arial"/>
          <w:szCs w:val="20"/>
        </w:rPr>
        <w:t xml:space="preserve"> without proper ML/TF statistics. All countries assessed </w:t>
      </w:r>
      <w:r w:rsidR="001F36B5">
        <w:rPr>
          <w:rFonts w:cs="Arial"/>
          <w:szCs w:val="20"/>
        </w:rPr>
        <w:t>so</w:t>
      </w:r>
      <w:r w:rsidR="001F36B5" w:rsidRPr="00277C14">
        <w:rPr>
          <w:rFonts w:cs="Arial"/>
          <w:szCs w:val="20"/>
        </w:rPr>
        <w:t xml:space="preserve"> </w:t>
      </w:r>
      <w:r w:rsidRPr="00277C14">
        <w:rPr>
          <w:rFonts w:cs="Arial"/>
          <w:szCs w:val="20"/>
        </w:rPr>
        <w:t xml:space="preserve">far have room for improvement in gathering and maintaining high-quality and reliable ML/TF statistics. Countries should engage </w:t>
      </w:r>
      <w:r w:rsidR="001F36B5">
        <w:rPr>
          <w:rFonts w:cs="Arial"/>
          <w:szCs w:val="20"/>
        </w:rPr>
        <w:t xml:space="preserve">further </w:t>
      </w:r>
      <w:r w:rsidRPr="00277C14">
        <w:rPr>
          <w:rFonts w:cs="Arial"/>
          <w:szCs w:val="20"/>
        </w:rPr>
        <w:t xml:space="preserve">with the private sector in the risk assessment process </w:t>
      </w:r>
      <w:proofErr w:type="gramStart"/>
      <w:r w:rsidRPr="00277C14">
        <w:rPr>
          <w:rFonts w:cs="Arial"/>
          <w:szCs w:val="20"/>
        </w:rPr>
        <w:t>in order to</w:t>
      </w:r>
      <w:proofErr w:type="gramEnd"/>
      <w:r w:rsidRPr="00277C14">
        <w:rPr>
          <w:rFonts w:cs="Arial"/>
          <w:szCs w:val="20"/>
        </w:rPr>
        <w:t xml:space="preserve"> develop a </w:t>
      </w:r>
      <w:r w:rsidR="001F36B5">
        <w:rPr>
          <w:rFonts w:cs="Arial"/>
          <w:szCs w:val="20"/>
        </w:rPr>
        <w:t xml:space="preserve">fuller and </w:t>
      </w:r>
      <w:r w:rsidRPr="00277C14">
        <w:rPr>
          <w:rFonts w:cs="Arial"/>
          <w:szCs w:val="20"/>
        </w:rPr>
        <w:t>more accurate picture of ML/TF threats.</w:t>
      </w:r>
    </w:p>
    <w:p w14:paraId="0A395E5D" w14:textId="77777777" w:rsidR="00A37214" w:rsidRPr="00277C14" w:rsidRDefault="00A37214" w:rsidP="00A37214">
      <w:pPr>
        <w:rPr>
          <w:rFonts w:cs="Arial"/>
          <w:szCs w:val="20"/>
        </w:rPr>
      </w:pPr>
    </w:p>
    <w:p w14:paraId="55E5D373" w14:textId="73CF38EF" w:rsidR="00A37214" w:rsidRPr="00277C14" w:rsidRDefault="00A37214" w:rsidP="00A37214">
      <w:pPr>
        <w:rPr>
          <w:rFonts w:cs="Arial"/>
          <w:szCs w:val="20"/>
        </w:rPr>
      </w:pPr>
      <w:r w:rsidRPr="00277C14">
        <w:rPr>
          <w:rFonts w:cs="Arial"/>
          <w:szCs w:val="20"/>
        </w:rPr>
        <w:t>Given the nature of money laundering and financing of terrorism, solid international co</w:t>
      </w:r>
      <w:r>
        <w:rPr>
          <w:rFonts w:cs="Arial"/>
          <w:szCs w:val="20"/>
        </w:rPr>
        <w:t>-</w:t>
      </w:r>
      <w:r w:rsidRPr="00277C14">
        <w:rPr>
          <w:rFonts w:cs="Arial"/>
          <w:szCs w:val="20"/>
        </w:rPr>
        <w:t>operation is key to effective implementation of AML/CFT. The FATF Standards call for mutual legal assistance (MLA) and other forms of international co</w:t>
      </w:r>
      <w:r>
        <w:rPr>
          <w:rFonts w:cs="Arial"/>
          <w:szCs w:val="20"/>
        </w:rPr>
        <w:t>-</w:t>
      </w:r>
      <w:r w:rsidRPr="00277C14">
        <w:rPr>
          <w:rFonts w:cs="Arial"/>
          <w:szCs w:val="20"/>
        </w:rPr>
        <w:t xml:space="preserve">operation to the </w:t>
      </w:r>
      <w:r w:rsidRPr="006E54F2">
        <w:rPr>
          <w:rFonts w:cs="Arial"/>
          <w:szCs w:val="20"/>
        </w:rPr>
        <w:t xml:space="preserve">greatest extent possible and an established system for expeditious actions to be taken in response to requests made by foreign countries. International co-operation and information exchange are the strongest point of MONEYVAL members. </w:t>
      </w:r>
      <w:r w:rsidR="00022501" w:rsidRPr="006E54F2">
        <w:rPr>
          <w:rFonts w:cs="Arial"/>
          <w:szCs w:val="20"/>
        </w:rPr>
        <w:t>Twenty-one</w:t>
      </w:r>
      <w:r w:rsidR="001F36B5" w:rsidRPr="006E54F2">
        <w:rPr>
          <w:rFonts w:cs="Arial"/>
          <w:szCs w:val="20"/>
        </w:rPr>
        <w:t xml:space="preserve"> </w:t>
      </w:r>
      <w:r w:rsidRPr="006E54F2">
        <w:rPr>
          <w:rFonts w:cs="Arial"/>
          <w:szCs w:val="20"/>
        </w:rPr>
        <w:t>(8</w:t>
      </w:r>
      <w:r w:rsidR="00022501" w:rsidRPr="006E54F2">
        <w:rPr>
          <w:rFonts w:cs="Arial"/>
          <w:szCs w:val="20"/>
        </w:rPr>
        <w:t>0</w:t>
      </w:r>
      <w:r w:rsidRPr="006E54F2">
        <w:rPr>
          <w:rFonts w:cs="Arial"/>
          <w:szCs w:val="20"/>
        </w:rPr>
        <w:t xml:space="preserve">%) of the jurisdictions assessed by MONEYVAL proactively pursue international co-operation, </w:t>
      </w:r>
      <w:r w:rsidR="001F36B5" w:rsidRPr="006E54F2">
        <w:rPr>
          <w:rFonts w:cs="Arial"/>
          <w:szCs w:val="20"/>
        </w:rPr>
        <w:t xml:space="preserve">and </w:t>
      </w:r>
      <w:r w:rsidRPr="006E54F2">
        <w:rPr>
          <w:rFonts w:cs="Arial"/>
          <w:szCs w:val="20"/>
        </w:rPr>
        <w:t xml:space="preserve">only </w:t>
      </w:r>
      <w:r w:rsidR="00022501" w:rsidRPr="006E54F2">
        <w:rPr>
          <w:rFonts w:cs="Arial"/>
          <w:szCs w:val="20"/>
        </w:rPr>
        <w:t>5</w:t>
      </w:r>
      <w:r w:rsidR="004356CC" w:rsidRPr="006E54F2">
        <w:rPr>
          <w:rFonts w:cs="Arial"/>
          <w:szCs w:val="20"/>
        </w:rPr>
        <w:t xml:space="preserve"> </w:t>
      </w:r>
      <w:r w:rsidRPr="006E54F2">
        <w:rPr>
          <w:rFonts w:cs="Arial"/>
          <w:szCs w:val="20"/>
        </w:rPr>
        <w:t>(13%) face difficulties in sending and receiving MLA requests, lack</w:t>
      </w:r>
      <w:r w:rsidR="00022501" w:rsidRPr="006E54F2">
        <w:rPr>
          <w:rFonts w:cs="Arial"/>
          <w:szCs w:val="20"/>
        </w:rPr>
        <w:t>ing</w:t>
      </w:r>
      <w:r w:rsidRPr="006E54F2">
        <w:rPr>
          <w:rFonts w:cs="Arial"/>
          <w:szCs w:val="20"/>
        </w:rPr>
        <w:t xml:space="preserve"> prioritisation mechanisms or cannot guarantee the provision of information in a timely manner.</w:t>
      </w:r>
      <w:r w:rsidRPr="00277C14">
        <w:rPr>
          <w:rFonts w:cs="Arial"/>
          <w:szCs w:val="20"/>
        </w:rPr>
        <w:t xml:space="preserve"> </w:t>
      </w:r>
    </w:p>
    <w:p w14:paraId="6CEDCF6C" w14:textId="77777777" w:rsidR="00A37214" w:rsidRPr="00277C14" w:rsidRDefault="00A37214" w:rsidP="00A37214">
      <w:pPr>
        <w:rPr>
          <w:rFonts w:cs="Arial"/>
          <w:szCs w:val="20"/>
        </w:rPr>
      </w:pPr>
    </w:p>
    <w:p w14:paraId="4B7D1E02" w14:textId="75B74CE8" w:rsidR="00A37214" w:rsidRPr="006E54F2" w:rsidRDefault="00A37214" w:rsidP="00A37214">
      <w:pPr>
        <w:rPr>
          <w:rFonts w:cs="Arial"/>
          <w:szCs w:val="20"/>
        </w:rPr>
      </w:pPr>
      <w:r w:rsidRPr="00277C14">
        <w:rPr>
          <w:rFonts w:cs="Arial"/>
          <w:szCs w:val="20"/>
        </w:rPr>
        <w:t>Efficient supervision of the private sector lies at the basis of an effective AML/CFT regime. However,</w:t>
      </w:r>
      <w:r w:rsidR="001F36B5">
        <w:rPr>
          <w:rFonts w:cs="Arial"/>
          <w:szCs w:val="20"/>
        </w:rPr>
        <w:t xml:space="preserve"> </w:t>
      </w:r>
      <w:r w:rsidR="001F36B5" w:rsidRPr="00277C14">
        <w:rPr>
          <w:rFonts w:cs="Arial"/>
          <w:szCs w:val="20"/>
        </w:rPr>
        <w:t>no country was awarded a high effectiveness rating so far</w:t>
      </w:r>
      <w:r w:rsidR="001F36B5">
        <w:rPr>
          <w:rFonts w:cs="Arial"/>
          <w:szCs w:val="20"/>
        </w:rPr>
        <w:t>, and</w:t>
      </w:r>
      <w:r w:rsidRPr="00277C14">
        <w:rPr>
          <w:rFonts w:cs="Arial"/>
          <w:szCs w:val="20"/>
        </w:rPr>
        <w:t xml:space="preserve"> supervision is one of the areas where countries are less effective. The analysis underlines the significant differences in the global risk understanding among the supervisors, </w:t>
      </w:r>
      <w:r w:rsidR="00675DE7">
        <w:rPr>
          <w:rFonts w:cs="Arial"/>
          <w:szCs w:val="20"/>
        </w:rPr>
        <w:t>that is</w:t>
      </w:r>
      <w:r w:rsidR="00675DE7" w:rsidRPr="00277C14">
        <w:rPr>
          <w:rFonts w:cs="Arial"/>
          <w:szCs w:val="20"/>
        </w:rPr>
        <w:t xml:space="preserve"> </w:t>
      </w:r>
      <w:r w:rsidRPr="00277C14">
        <w:rPr>
          <w:rFonts w:cs="Arial"/>
          <w:szCs w:val="20"/>
        </w:rPr>
        <w:t xml:space="preserve">the supervisors of the designated non-financial sectors (lawyers, notaries, accountants, casinos, trust and company service providers, real estate agents, dealers in precious metals </w:t>
      </w:r>
      <w:r w:rsidRPr="006E54F2">
        <w:rPr>
          <w:rFonts w:cs="Arial"/>
          <w:szCs w:val="20"/>
        </w:rPr>
        <w:t>and stones). In all countries, having a sole supervisor for the different non-financial sectors passably enhances effectiveness, if and only if the supervisor benefits from adequate powers and resources; yet insufficient resources have been noted for 7</w:t>
      </w:r>
      <w:r w:rsidR="004B25BB" w:rsidRPr="006E54F2">
        <w:rPr>
          <w:rFonts w:cs="Arial"/>
          <w:szCs w:val="20"/>
        </w:rPr>
        <w:t>3</w:t>
      </w:r>
      <w:r w:rsidRPr="006E54F2">
        <w:rPr>
          <w:rFonts w:cs="Arial"/>
          <w:szCs w:val="20"/>
        </w:rPr>
        <w:t>% of the assessed jurisdictions.</w:t>
      </w:r>
    </w:p>
    <w:p w14:paraId="6AE41D4F" w14:textId="77777777" w:rsidR="00A37214" w:rsidRPr="006E54F2" w:rsidRDefault="00A37214" w:rsidP="00A37214">
      <w:pPr>
        <w:rPr>
          <w:rFonts w:cs="Arial"/>
          <w:szCs w:val="20"/>
        </w:rPr>
      </w:pPr>
    </w:p>
    <w:p w14:paraId="560B5111" w14:textId="624EA3B7" w:rsidR="00A37214" w:rsidRPr="006E54F2" w:rsidRDefault="00A37214" w:rsidP="00A37214">
      <w:pPr>
        <w:rPr>
          <w:rFonts w:cs="Arial"/>
          <w:szCs w:val="20"/>
        </w:rPr>
      </w:pPr>
      <w:r w:rsidRPr="006E54F2">
        <w:rPr>
          <w:rFonts w:cs="Arial"/>
          <w:szCs w:val="20"/>
        </w:rPr>
        <w:t xml:space="preserve">Actionable financial intelligence is a fundamental </w:t>
      </w:r>
      <w:r w:rsidR="00DF5CD6" w:rsidRPr="006E54F2">
        <w:rPr>
          <w:rFonts w:cs="Arial"/>
          <w:szCs w:val="20"/>
        </w:rPr>
        <w:t xml:space="preserve">component </w:t>
      </w:r>
      <w:r w:rsidRPr="006E54F2">
        <w:rPr>
          <w:rFonts w:cs="Arial"/>
          <w:szCs w:val="20"/>
        </w:rPr>
        <w:t>of an effective AML/CFT regime, as it provides law enforcement authorities with valuable elements for their financial investigations. When the private sector is poorly supervised and not committed to putting efforts in</w:t>
      </w:r>
      <w:r w:rsidR="00DF5CD6" w:rsidRPr="006E54F2">
        <w:rPr>
          <w:rFonts w:cs="Arial"/>
          <w:szCs w:val="20"/>
        </w:rPr>
        <w:t>to</w:t>
      </w:r>
      <w:r w:rsidRPr="006E54F2">
        <w:rPr>
          <w:rFonts w:cs="Arial"/>
          <w:szCs w:val="20"/>
        </w:rPr>
        <w:t xml:space="preserve"> disrupting financial crime, it produces low quality </w:t>
      </w:r>
      <w:r w:rsidR="00FF04EF" w:rsidRPr="006E54F2">
        <w:rPr>
          <w:rFonts w:cs="Arial"/>
          <w:szCs w:val="20"/>
        </w:rPr>
        <w:t>suspicious transaction reports</w:t>
      </w:r>
      <w:r w:rsidRPr="006E54F2">
        <w:rPr>
          <w:rFonts w:cs="Arial"/>
          <w:szCs w:val="20"/>
        </w:rPr>
        <w:t xml:space="preserve">, or </w:t>
      </w:r>
      <w:proofErr w:type="gramStart"/>
      <w:r w:rsidRPr="006E54F2">
        <w:rPr>
          <w:rFonts w:cs="Arial"/>
          <w:szCs w:val="20"/>
        </w:rPr>
        <w:t>none at all</w:t>
      </w:r>
      <w:proofErr w:type="gramEnd"/>
      <w:r w:rsidRPr="006E54F2">
        <w:rPr>
          <w:rFonts w:cs="Arial"/>
          <w:szCs w:val="20"/>
        </w:rPr>
        <w:t xml:space="preserve">. For </w:t>
      </w:r>
      <w:r w:rsidR="00822AC9" w:rsidRPr="006E54F2">
        <w:rPr>
          <w:rFonts w:cs="Arial"/>
          <w:szCs w:val="20"/>
        </w:rPr>
        <w:t>10</w:t>
      </w:r>
      <w:r w:rsidR="004356CC" w:rsidRPr="006E54F2">
        <w:rPr>
          <w:rFonts w:cs="Arial"/>
          <w:szCs w:val="20"/>
        </w:rPr>
        <w:t xml:space="preserve"> </w:t>
      </w:r>
      <w:r w:rsidRPr="006E54F2">
        <w:rPr>
          <w:rFonts w:cs="Arial"/>
          <w:szCs w:val="20"/>
        </w:rPr>
        <w:t>countries (</w:t>
      </w:r>
      <w:r w:rsidR="00822AC9" w:rsidRPr="006E54F2">
        <w:rPr>
          <w:rFonts w:cs="Arial"/>
          <w:szCs w:val="20"/>
        </w:rPr>
        <w:t>38</w:t>
      </w:r>
      <w:r w:rsidRPr="006E54F2">
        <w:rPr>
          <w:rFonts w:cs="Arial"/>
          <w:szCs w:val="20"/>
        </w:rPr>
        <w:t>% of the sample), the analysis strongly recommends addressing the lack of feedback provided by the FIUs) to the private sector. It also highlights the low quality of internal controls in the non-financial sector for 7</w:t>
      </w:r>
      <w:r w:rsidR="00233725" w:rsidRPr="006E54F2">
        <w:rPr>
          <w:rFonts w:cs="Arial"/>
          <w:szCs w:val="20"/>
        </w:rPr>
        <w:t>0</w:t>
      </w:r>
      <w:r w:rsidRPr="006E54F2">
        <w:rPr>
          <w:rFonts w:cs="Arial"/>
          <w:szCs w:val="20"/>
        </w:rPr>
        <w:t>% of the countries.</w:t>
      </w:r>
    </w:p>
    <w:p w14:paraId="0B31EEE4" w14:textId="77777777" w:rsidR="00A37214" w:rsidRPr="006E54F2" w:rsidRDefault="00A37214" w:rsidP="00A37214">
      <w:pPr>
        <w:rPr>
          <w:rFonts w:cs="Arial"/>
          <w:szCs w:val="20"/>
        </w:rPr>
      </w:pPr>
    </w:p>
    <w:p w14:paraId="15A66205" w14:textId="47567C7A" w:rsidR="00A37214" w:rsidRPr="006E54F2" w:rsidRDefault="00A37214" w:rsidP="00A37214">
      <w:pPr>
        <w:rPr>
          <w:rFonts w:cs="Arial"/>
          <w:szCs w:val="20"/>
        </w:rPr>
      </w:pPr>
      <w:r w:rsidRPr="006E54F2">
        <w:rPr>
          <w:rFonts w:cs="Arial"/>
          <w:szCs w:val="20"/>
        </w:rPr>
        <w:t xml:space="preserve">Another condition for law enforcement authorities to successfully conduct their financial investigations is their ability to easily obtain beneficial ownership information in a timely manner. Nevertheless, the analysis shows that countries generally apply insufficient measures to ensure that this information is accurate and up to date. Maintaining beneficial ownership registers is one of the tools frequently used </w:t>
      </w:r>
      <w:r w:rsidR="00DF5CD6" w:rsidRPr="006E54F2">
        <w:rPr>
          <w:rFonts w:cs="Arial"/>
          <w:szCs w:val="20"/>
        </w:rPr>
        <w:t>i</w:t>
      </w:r>
      <w:r w:rsidRPr="006E54F2">
        <w:rPr>
          <w:rFonts w:cs="Arial"/>
          <w:szCs w:val="20"/>
        </w:rPr>
        <w:t xml:space="preserve">n the European space, and </w:t>
      </w:r>
      <w:r w:rsidR="00233725" w:rsidRPr="006E54F2">
        <w:rPr>
          <w:rFonts w:cs="Arial"/>
          <w:szCs w:val="20"/>
        </w:rPr>
        <w:t>eleven</w:t>
      </w:r>
      <w:r w:rsidR="004356CC" w:rsidRPr="006E54F2">
        <w:rPr>
          <w:rFonts w:cs="Arial"/>
          <w:szCs w:val="20"/>
        </w:rPr>
        <w:t xml:space="preserve"> </w:t>
      </w:r>
      <w:r w:rsidRPr="006E54F2">
        <w:rPr>
          <w:rFonts w:cs="Arial"/>
          <w:szCs w:val="20"/>
        </w:rPr>
        <w:t xml:space="preserve">countries assessed </w:t>
      </w:r>
      <w:r w:rsidR="00DF5CD6" w:rsidRPr="006E54F2">
        <w:rPr>
          <w:rFonts w:cs="Arial"/>
          <w:szCs w:val="20"/>
        </w:rPr>
        <w:t xml:space="preserve">so </w:t>
      </w:r>
      <w:r w:rsidRPr="006E54F2">
        <w:rPr>
          <w:rFonts w:cs="Arial"/>
          <w:szCs w:val="20"/>
        </w:rPr>
        <w:t xml:space="preserve">far have operational beneficial </w:t>
      </w:r>
      <w:proofErr w:type="gramStart"/>
      <w:r w:rsidRPr="006E54F2">
        <w:rPr>
          <w:rFonts w:cs="Arial"/>
          <w:szCs w:val="20"/>
        </w:rPr>
        <w:t>owners</w:t>
      </w:r>
      <w:proofErr w:type="gramEnd"/>
      <w:r w:rsidRPr="006E54F2">
        <w:rPr>
          <w:rFonts w:cs="Arial"/>
          <w:szCs w:val="20"/>
        </w:rPr>
        <w:t xml:space="preserve"> registers. At the same time</w:t>
      </w:r>
      <w:r w:rsidR="00DF5CD6" w:rsidRPr="006E54F2">
        <w:rPr>
          <w:rFonts w:cs="Arial"/>
          <w:szCs w:val="20"/>
        </w:rPr>
        <w:t>,</w:t>
      </w:r>
      <w:r w:rsidRPr="006E54F2">
        <w:rPr>
          <w:rFonts w:cs="Arial"/>
          <w:szCs w:val="20"/>
        </w:rPr>
        <w:t xml:space="preserve"> only </w:t>
      </w:r>
      <w:r w:rsidR="00233725" w:rsidRPr="006E54F2">
        <w:rPr>
          <w:rFonts w:cs="Arial"/>
          <w:szCs w:val="20"/>
        </w:rPr>
        <w:t>six</w:t>
      </w:r>
      <w:r w:rsidR="004356CC" w:rsidRPr="006E54F2">
        <w:rPr>
          <w:rFonts w:cs="Arial"/>
          <w:szCs w:val="20"/>
        </w:rPr>
        <w:t xml:space="preserve"> </w:t>
      </w:r>
      <w:r w:rsidRPr="006E54F2">
        <w:rPr>
          <w:rFonts w:cs="Arial"/>
          <w:szCs w:val="20"/>
        </w:rPr>
        <w:t>of them (22%) have efficient mechanisms to verify the information contained in th</w:t>
      </w:r>
      <w:r w:rsidR="00DF5CD6" w:rsidRPr="006E54F2">
        <w:rPr>
          <w:rFonts w:cs="Arial"/>
          <w:szCs w:val="20"/>
        </w:rPr>
        <w:t>o</w:t>
      </w:r>
      <w:r w:rsidRPr="006E54F2">
        <w:rPr>
          <w:rFonts w:cs="Arial"/>
          <w:szCs w:val="20"/>
        </w:rPr>
        <w:t>se registers.</w:t>
      </w:r>
    </w:p>
    <w:p w14:paraId="2B0B0E58" w14:textId="77777777" w:rsidR="00A37214" w:rsidRPr="006E54F2" w:rsidRDefault="00A37214" w:rsidP="00A37214">
      <w:pPr>
        <w:rPr>
          <w:rFonts w:cs="Arial"/>
          <w:szCs w:val="20"/>
        </w:rPr>
      </w:pPr>
    </w:p>
    <w:p w14:paraId="6232061B" w14:textId="4F95500C" w:rsidR="00A37214" w:rsidRPr="006E54F2" w:rsidRDefault="00A37214" w:rsidP="00A37214">
      <w:pPr>
        <w:rPr>
          <w:rFonts w:cs="Arial"/>
          <w:szCs w:val="20"/>
        </w:rPr>
      </w:pPr>
      <w:r w:rsidRPr="006E54F2">
        <w:rPr>
          <w:rFonts w:cs="Arial"/>
          <w:szCs w:val="20"/>
        </w:rPr>
        <w:t xml:space="preserve">Regarding convictions for serious and complex money laundering offences, they still appear to be rare, and this is reflected in the effectiveness ratings: </w:t>
      </w:r>
      <w:r w:rsidR="00137BCE" w:rsidRPr="006E54F2">
        <w:rPr>
          <w:rFonts w:cs="Arial"/>
          <w:szCs w:val="20"/>
        </w:rPr>
        <w:t>twelve</w:t>
      </w:r>
      <w:r w:rsidR="004356CC" w:rsidRPr="006E54F2">
        <w:rPr>
          <w:rFonts w:cs="Arial"/>
          <w:szCs w:val="20"/>
        </w:rPr>
        <w:t xml:space="preserve"> </w:t>
      </w:r>
      <w:r w:rsidRPr="006E54F2">
        <w:rPr>
          <w:rFonts w:cs="Arial"/>
          <w:szCs w:val="20"/>
        </w:rPr>
        <w:t>countries (</w:t>
      </w:r>
      <w:r w:rsidR="00137BCE" w:rsidRPr="006E54F2">
        <w:rPr>
          <w:rFonts w:cs="Arial"/>
          <w:szCs w:val="20"/>
        </w:rPr>
        <w:t>46</w:t>
      </w:r>
      <w:r w:rsidRPr="006E54F2">
        <w:rPr>
          <w:rFonts w:cs="Arial"/>
          <w:szCs w:val="20"/>
        </w:rPr>
        <w:t xml:space="preserve">%) have been given a Low rating. Money laundering is mostly treated </w:t>
      </w:r>
      <w:proofErr w:type="gramStart"/>
      <w:r w:rsidRPr="006E54F2">
        <w:rPr>
          <w:rFonts w:cs="Arial"/>
          <w:szCs w:val="20"/>
        </w:rPr>
        <w:t>as a consequence of</w:t>
      </w:r>
      <w:proofErr w:type="gramEnd"/>
      <w:r w:rsidRPr="006E54F2">
        <w:rPr>
          <w:rFonts w:cs="Arial"/>
          <w:szCs w:val="20"/>
        </w:rPr>
        <w:t xml:space="preserve"> the underlying criminal activity, as illustrated by the lack of pursuit of systematic parallel financial investigations in </w:t>
      </w:r>
      <w:r w:rsidR="00137BCE" w:rsidRPr="006E54F2">
        <w:rPr>
          <w:rFonts w:cs="Arial"/>
          <w:szCs w:val="20"/>
        </w:rPr>
        <w:t>14</w:t>
      </w:r>
      <w:r w:rsidRPr="006E54F2">
        <w:rPr>
          <w:rFonts w:cs="Arial"/>
          <w:szCs w:val="20"/>
        </w:rPr>
        <w:t xml:space="preserve"> countries (5</w:t>
      </w:r>
      <w:r w:rsidR="00137BCE" w:rsidRPr="006E54F2">
        <w:rPr>
          <w:rFonts w:cs="Arial"/>
          <w:szCs w:val="20"/>
        </w:rPr>
        <w:t>3</w:t>
      </w:r>
      <w:r w:rsidRPr="006E54F2">
        <w:rPr>
          <w:rFonts w:cs="Arial"/>
          <w:szCs w:val="20"/>
        </w:rPr>
        <w:t xml:space="preserve">%). </w:t>
      </w:r>
    </w:p>
    <w:p w14:paraId="3421263B" w14:textId="77777777" w:rsidR="00A37214" w:rsidRPr="006E54F2" w:rsidRDefault="00A37214" w:rsidP="00A37214">
      <w:pPr>
        <w:rPr>
          <w:rFonts w:cs="Arial"/>
          <w:szCs w:val="20"/>
        </w:rPr>
      </w:pPr>
    </w:p>
    <w:p w14:paraId="76C478E7" w14:textId="7F49AF7F" w:rsidR="00A37214" w:rsidRPr="00277C14" w:rsidRDefault="00A37214" w:rsidP="00A37214">
      <w:pPr>
        <w:rPr>
          <w:rFonts w:cs="Arial"/>
          <w:szCs w:val="20"/>
        </w:rPr>
      </w:pPr>
      <w:r w:rsidRPr="006E54F2">
        <w:rPr>
          <w:rFonts w:cs="Arial"/>
          <w:szCs w:val="20"/>
        </w:rPr>
        <w:t xml:space="preserve">The same can be noted for terrorism financing prosecutions: in </w:t>
      </w:r>
      <w:r w:rsidR="00B303E8" w:rsidRPr="006E54F2">
        <w:rPr>
          <w:rFonts w:cs="Arial"/>
          <w:szCs w:val="20"/>
        </w:rPr>
        <w:t>16</w:t>
      </w:r>
      <w:r w:rsidRPr="006E54F2">
        <w:rPr>
          <w:rFonts w:cs="Arial"/>
          <w:szCs w:val="20"/>
        </w:rPr>
        <w:t xml:space="preserve"> countries (</w:t>
      </w:r>
      <w:r w:rsidR="00B303E8" w:rsidRPr="006E54F2">
        <w:rPr>
          <w:rFonts w:cs="Arial"/>
          <w:szCs w:val="20"/>
        </w:rPr>
        <w:t>62</w:t>
      </w:r>
      <w:r w:rsidRPr="006E54F2">
        <w:rPr>
          <w:rFonts w:cs="Arial"/>
          <w:szCs w:val="20"/>
        </w:rPr>
        <w:t>%) financing of terrorism investigations are either not systematically carried out in the context of terrorism investigations, or financing aspects are lacking in the investigations. For both ML and TF, this leads to a lack of robust jurisprudence,</w:t>
      </w:r>
      <w:r w:rsidRPr="00277C14">
        <w:rPr>
          <w:rFonts w:cs="Arial"/>
          <w:szCs w:val="20"/>
        </w:rPr>
        <w:t xml:space="preserve"> which is needed to facilitate the convictions of these crimes.</w:t>
      </w:r>
    </w:p>
    <w:p w14:paraId="6A5F1D18" w14:textId="77777777" w:rsidR="00A37214" w:rsidRPr="00277C14" w:rsidRDefault="00A37214" w:rsidP="00A37214">
      <w:pPr>
        <w:rPr>
          <w:rFonts w:cs="Arial"/>
          <w:szCs w:val="20"/>
        </w:rPr>
      </w:pPr>
    </w:p>
    <w:p w14:paraId="5DEC0034" w14:textId="26BF5BD1" w:rsidR="00A37214" w:rsidRPr="006E54F2" w:rsidRDefault="00A37214" w:rsidP="00A37214">
      <w:pPr>
        <w:rPr>
          <w:rFonts w:cs="Arial"/>
          <w:szCs w:val="20"/>
        </w:rPr>
      </w:pPr>
      <w:r w:rsidRPr="00277C14">
        <w:rPr>
          <w:rFonts w:cs="Arial"/>
          <w:szCs w:val="20"/>
        </w:rPr>
        <w:t xml:space="preserve">Targeted financial sanctions (TFS) </w:t>
      </w:r>
      <w:r w:rsidRPr="006E54F2">
        <w:rPr>
          <w:rFonts w:cs="Arial"/>
          <w:szCs w:val="20"/>
        </w:rPr>
        <w:t xml:space="preserve">prevent assets from being available to listed persons and entities such as terrorists and other designated criminals. </w:t>
      </w:r>
      <w:r w:rsidR="00DF5CD6" w:rsidRPr="006E54F2">
        <w:rPr>
          <w:rFonts w:cs="Arial"/>
          <w:szCs w:val="20"/>
        </w:rPr>
        <w:t xml:space="preserve">It can be noted that </w:t>
      </w:r>
      <w:r w:rsidRPr="006E54F2">
        <w:rPr>
          <w:rFonts w:cs="Arial"/>
          <w:szCs w:val="20"/>
        </w:rPr>
        <w:t>9</w:t>
      </w:r>
      <w:r w:rsidR="00B303E8" w:rsidRPr="006E54F2">
        <w:rPr>
          <w:rFonts w:cs="Arial"/>
          <w:szCs w:val="20"/>
        </w:rPr>
        <w:t>2</w:t>
      </w:r>
      <w:r w:rsidRPr="006E54F2">
        <w:rPr>
          <w:rFonts w:cs="Arial"/>
          <w:szCs w:val="20"/>
        </w:rPr>
        <w:t xml:space="preserve">% of the countries have received a moderate or a low rating for their TFS regime. </w:t>
      </w:r>
      <w:r w:rsidR="00B303E8" w:rsidRPr="006E54F2">
        <w:rPr>
          <w:rFonts w:cs="Arial"/>
          <w:szCs w:val="20"/>
        </w:rPr>
        <w:t>Seven</w:t>
      </w:r>
      <w:r w:rsidRPr="006E54F2">
        <w:rPr>
          <w:rFonts w:cs="Arial"/>
          <w:szCs w:val="20"/>
        </w:rPr>
        <w:t xml:space="preserve"> countries (26%) fail in the timely transposition of international official designations in their national framework. Besides, adequate measures to freeze, and even to identify funds, are often not taken.</w:t>
      </w:r>
    </w:p>
    <w:p w14:paraId="41D0A69A" w14:textId="77777777" w:rsidR="00A37214" w:rsidRPr="006E54F2" w:rsidRDefault="00A37214" w:rsidP="00A37214">
      <w:pPr>
        <w:rPr>
          <w:rFonts w:cs="Arial"/>
          <w:szCs w:val="20"/>
        </w:rPr>
      </w:pPr>
    </w:p>
    <w:p w14:paraId="26856C49" w14:textId="77777777" w:rsidR="004D5F3C" w:rsidRDefault="004D5F3C">
      <w:pPr>
        <w:rPr>
          <w:rFonts w:cs="Arial"/>
          <w:szCs w:val="20"/>
        </w:rPr>
      </w:pPr>
      <w:r>
        <w:rPr>
          <w:rFonts w:cs="Arial"/>
          <w:szCs w:val="20"/>
        </w:rPr>
        <w:br w:type="page"/>
      </w:r>
    </w:p>
    <w:p w14:paraId="7C94485E" w14:textId="31E48314" w:rsidR="00A37214" w:rsidRPr="00277C14" w:rsidRDefault="00A37214" w:rsidP="00A37214">
      <w:pPr>
        <w:rPr>
          <w:rFonts w:cs="Arial"/>
          <w:szCs w:val="20"/>
        </w:rPr>
      </w:pPr>
      <w:r w:rsidRPr="006E54F2">
        <w:rPr>
          <w:rFonts w:cs="Arial"/>
          <w:szCs w:val="20"/>
        </w:rPr>
        <w:lastRenderedPageBreak/>
        <w:t xml:space="preserve">Urgent improvement is required regarding overall sanctioning, </w:t>
      </w:r>
      <w:r w:rsidR="00DF5CD6" w:rsidRPr="006E54F2">
        <w:rPr>
          <w:rFonts w:cs="Arial"/>
          <w:szCs w:val="20"/>
        </w:rPr>
        <w:t xml:space="preserve">that is </w:t>
      </w:r>
      <w:r w:rsidRPr="006E54F2">
        <w:rPr>
          <w:rFonts w:cs="Arial"/>
          <w:szCs w:val="20"/>
        </w:rPr>
        <w:t xml:space="preserve">when supervising the private sector, legal </w:t>
      </w:r>
      <w:proofErr w:type="gramStart"/>
      <w:r w:rsidRPr="006E54F2">
        <w:rPr>
          <w:rFonts w:cs="Arial"/>
          <w:szCs w:val="20"/>
        </w:rPr>
        <w:t>persons</w:t>
      </w:r>
      <w:proofErr w:type="gramEnd"/>
      <w:r w:rsidRPr="006E54F2">
        <w:rPr>
          <w:rFonts w:cs="Arial"/>
          <w:szCs w:val="20"/>
        </w:rPr>
        <w:t xml:space="preserve"> and arrangements</w:t>
      </w:r>
      <w:r w:rsidR="00855571" w:rsidRPr="006E54F2">
        <w:rPr>
          <w:rFonts w:cs="Arial"/>
          <w:szCs w:val="20"/>
        </w:rPr>
        <w:t>, such as trusts</w:t>
      </w:r>
      <w:r w:rsidRPr="006E54F2">
        <w:rPr>
          <w:rFonts w:cs="Arial"/>
          <w:szCs w:val="20"/>
        </w:rPr>
        <w:t>. The analysis demonstrates that</w:t>
      </w:r>
      <w:r w:rsidR="00DF5CD6" w:rsidRPr="006E54F2">
        <w:rPr>
          <w:rFonts w:cs="Arial"/>
          <w:szCs w:val="20"/>
        </w:rPr>
        <w:t>,</w:t>
      </w:r>
      <w:r w:rsidRPr="006E54F2">
        <w:rPr>
          <w:rFonts w:cs="Arial"/>
          <w:szCs w:val="20"/>
        </w:rPr>
        <w:t xml:space="preserve"> in many cases, sanctions are either not proportionate, dissuasive, and effective enough, </w:t>
      </w:r>
      <w:r w:rsidR="00DF5CD6" w:rsidRPr="006E54F2">
        <w:rPr>
          <w:rFonts w:cs="Arial"/>
          <w:szCs w:val="20"/>
        </w:rPr>
        <w:t xml:space="preserve">and </w:t>
      </w:r>
      <w:r w:rsidRPr="006E54F2">
        <w:rPr>
          <w:rFonts w:cs="Arial"/>
          <w:szCs w:val="20"/>
        </w:rPr>
        <w:t xml:space="preserve">in many </w:t>
      </w:r>
      <w:proofErr w:type="gramStart"/>
      <w:r w:rsidRPr="006E54F2">
        <w:rPr>
          <w:rFonts w:cs="Arial"/>
          <w:szCs w:val="20"/>
        </w:rPr>
        <w:t>cases</w:t>
      </w:r>
      <w:proofErr w:type="gramEnd"/>
      <w:r w:rsidRPr="006E54F2">
        <w:rPr>
          <w:rFonts w:cs="Arial"/>
          <w:szCs w:val="20"/>
        </w:rPr>
        <w:t xml:space="preserve"> they are not applied</w:t>
      </w:r>
      <w:r w:rsidR="00DF5CD6" w:rsidRPr="006E54F2">
        <w:rPr>
          <w:rFonts w:cs="Arial"/>
          <w:szCs w:val="20"/>
        </w:rPr>
        <w:t xml:space="preserve"> by</w:t>
      </w:r>
      <w:r w:rsidRPr="006E54F2">
        <w:rPr>
          <w:rFonts w:cs="Arial"/>
          <w:szCs w:val="20"/>
        </w:rPr>
        <w:t>, or not even available to</w:t>
      </w:r>
      <w:r w:rsidR="00DF5CD6" w:rsidRPr="006E54F2">
        <w:rPr>
          <w:rFonts w:cs="Arial"/>
          <w:szCs w:val="20"/>
        </w:rPr>
        <w:t>,</w:t>
      </w:r>
      <w:r w:rsidRPr="006E54F2">
        <w:rPr>
          <w:rFonts w:cs="Arial"/>
          <w:szCs w:val="20"/>
        </w:rPr>
        <w:t xml:space="preserve"> </w:t>
      </w:r>
      <w:r w:rsidR="00DF5CD6" w:rsidRPr="006E54F2">
        <w:rPr>
          <w:rFonts w:cs="Arial"/>
          <w:szCs w:val="20"/>
        </w:rPr>
        <w:t xml:space="preserve">the </w:t>
      </w:r>
      <w:r w:rsidRPr="006E54F2">
        <w:rPr>
          <w:rFonts w:cs="Arial"/>
          <w:szCs w:val="20"/>
        </w:rPr>
        <w:t xml:space="preserve">competent authorities. Indeed, only </w:t>
      </w:r>
      <w:r w:rsidR="00DF5CD6" w:rsidRPr="006E54F2">
        <w:rPr>
          <w:rFonts w:cs="Arial"/>
          <w:szCs w:val="20"/>
        </w:rPr>
        <w:t xml:space="preserve">in </w:t>
      </w:r>
      <w:r w:rsidR="004356CC" w:rsidRPr="006E54F2">
        <w:rPr>
          <w:rFonts w:cs="Arial"/>
          <w:szCs w:val="20"/>
        </w:rPr>
        <w:t xml:space="preserve">three </w:t>
      </w:r>
      <w:r w:rsidRPr="006E54F2">
        <w:rPr>
          <w:rFonts w:cs="Arial"/>
          <w:szCs w:val="20"/>
        </w:rPr>
        <w:t xml:space="preserve">jurisdictions (13%) </w:t>
      </w:r>
      <w:r w:rsidR="00DF5CD6" w:rsidRPr="006E54F2">
        <w:rPr>
          <w:rFonts w:cs="Arial"/>
          <w:szCs w:val="20"/>
        </w:rPr>
        <w:t xml:space="preserve">was </w:t>
      </w:r>
      <w:r w:rsidRPr="006E54F2">
        <w:rPr>
          <w:rFonts w:cs="Arial"/>
          <w:szCs w:val="20"/>
        </w:rPr>
        <w:t xml:space="preserve">the sanctioning regime for banks considered effective. Sanctioning of non-financial institutions was not considered effective in any jurisdiction, whilst in </w:t>
      </w:r>
      <w:r w:rsidR="00B303E8" w:rsidRPr="006E54F2">
        <w:rPr>
          <w:rFonts w:cs="Arial"/>
          <w:szCs w:val="20"/>
        </w:rPr>
        <w:t>19</w:t>
      </w:r>
      <w:r w:rsidRPr="006E54F2">
        <w:rPr>
          <w:rFonts w:cs="Arial"/>
          <w:szCs w:val="20"/>
        </w:rPr>
        <w:t xml:space="preserve"> jurisdictions (</w:t>
      </w:r>
      <w:r w:rsidR="00B303E8" w:rsidRPr="006E54F2">
        <w:rPr>
          <w:rFonts w:cs="Arial"/>
          <w:szCs w:val="20"/>
        </w:rPr>
        <w:t>73</w:t>
      </w:r>
      <w:r w:rsidRPr="006E54F2">
        <w:rPr>
          <w:rFonts w:cs="Arial"/>
          <w:szCs w:val="20"/>
        </w:rPr>
        <w:t>%) it was considered as fully ineffective.</w:t>
      </w:r>
    </w:p>
    <w:p w14:paraId="5FA949F7" w14:textId="77777777" w:rsidR="00A37214" w:rsidRPr="00277C14" w:rsidRDefault="00A37214" w:rsidP="00A37214">
      <w:pPr>
        <w:rPr>
          <w:rFonts w:cs="Arial"/>
          <w:szCs w:val="20"/>
        </w:rPr>
      </w:pPr>
    </w:p>
    <w:p w14:paraId="7C876078" w14:textId="4660EDF5" w:rsidR="00A37214" w:rsidRPr="00B069FB" w:rsidRDefault="00DF5CD6" w:rsidP="00A37214">
      <w:pPr>
        <w:rPr>
          <w:rFonts w:cs="Arial"/>
          <w:szCs w:val="20"/>
        </w:rPr>
      </w:pPr>
      <w:r>
        <w:rPr>
          <w:rFonts w:cs="Arial"/>
          <w:szCs w:val="20"/>
        </w:rPr>
        <w:t>Moreover</w:t>
      </w:r>
      <w:r w:rsidR="00A37214" w:rsidRPr="00277C14">
        <w:rPr>
          <w:rFonts w:cs="Arial"/>
          <w:szCs w:val="20"/>
        </w:rPr>
        <w:t>, successful confiscations of ill-gotten funds as a criminal measure are rather rare in comparison with the estimates of the proceeds of crime</w:t>
      </w:r>
      <w:r w:rsidR="00A37214" w:rsidRPr="00B069FB">
        <w:rPr>
          <w:rFonts w:cs="Arial"/>
          <w:szCs w:val="20"/>
        </w:rPr>
        <w:t xml:space="preserve">.  Countries should resort not only to freezing but also to seizure and confiscation of criminal funds. In at least </w:t>
      </w:r>
      <w:r w:rsidR="00163947" w:rsidRPr="00B069FB">
        <w:rPr>
          <w:rFonts w:cs="Arial"/>
          <w:szCs w:val="20"/>
        </w:rPr>
        <w:t>ten</w:t>
      </w:r>
      <w:r w:rsidR="00A37214" w:rsidRPr="00B069FB">
        <w:rPr>
          <w:rFonts w:cs="Arial"/>
          <w:szCs w:val="20"/>
        </w:rPr>
        <w:t xml:space="preserve"> countries (</w:t>
      </w:r>
      <w:r w:rsidR="00CA7DC8" w:rsidRPr="00B069FB">
        <w:rPr>
          <w:rFonts w:cs="Arial"/>
          <w:szCs w:val="20"/>
        </w:rPr>
        <w:t>39</w:t>
      </w:r>
      <w:r w:rsidR="00A37214" w:rsidRPr="00B069FB">
        <w:rPr>
          <w:rFonts w:cs="Arial"/>
          <w:szCs w:val="20"/>
        </w:rPr>
        <w:t>%), enhancing</w:t>
      </w:r>
      <w:r w:rsidRPr="00B069FB">
        <w:rPr>
          <w:rFonts w:cs="Arial"/>
          <w:szCs w:val="20"/>
        </w:rPr>
        <w:t xml:space="preserve"> the</w:t>
      </w:r>
      <w:r w:rsidR="00A37214" w:rsidRPr="00B069FB">
        <w:rPr>
          <w:rFonts w:cs="Arial"/>
          <w:szCs w:val="20"/>
        </w:rPr>
        <w:t xml:space="preserve"> powers and resources of the countries’ asset recovery and management offices </w:t>
      </w:r>
      <w:r w:rsidRPr="00B069FB">
        <w:rPr>
          <w:rFonts w:cs="Arial"/>
          <w:szCs w:val="20"/>
        </w:rPr>
        <w:t>will be</w:t>
      </w:r>
      <w:r w:rsidR="00A37214" w:rsidRPr="00B069FB">
        <w:rPr>
          <w:rFonts w:cs="Arial"/>
          <w:szCs w:val="20"/>
        </w:rPr>
        <w:t xml:space="preserve"> crucial </w:t>
      </w:r>
      <w:r w:rsidRPr="00B069FB">
        <w:rPr>
          <w:rFonts w:cs="Arial"/>
          <w:szCs w:val="20"/>
        </w:rPr>
        <w:t>to</w:t>
      </w:r>
      <w:r w:rsidR="00A37214" w:rsidRPr="00B069FB">
        <w:rPr>
          <w:rFonts w:cs="Arial"/>
          <w:szCs w:val="20"/>
        </w:rPr>
        <w:t xml:space="preserve"> improving their effectiveness.</w:t>
      </w:r>
    </w:p>
    <w:p w14:paraId="708CD054" w14:textId="77777777" w:rsidR="00A37214" w:rsidRPr="00B069FB" w:rsidRDefault="00A37214" w:rsidP="00A37214">
      <w:pPr>
        <w:rPr>
          <w:rFonts w:cs="Arial"/>
          <w:szCs w:val="20"/>
        </w:rPr>
      </w:pPr>
    </w:p>
    <w:p w14:paraId="652126B7" w14:textId="2BC4C891" w:rsidR="00A37214" w:rsidRPr="00277C14" w:rsidRDefault="00A37214" w:rsidP="00A37214">
      <w:pPr>
        <w:rPr>
          <w:rFonts w:cs="Arial"/>
          <w:szCs w:val="20"/>
        </w:rPr>
      </w:pPr>
      <w:r w:rsidRPr="00B069FB">
        <w:rPr>
          <w:rFonts w:cs="Arial"/>
          <w:szCs w:val="20"/>
        </w:rPr>
        <w:t>Lack of adequate human resources and expertise o</w:t>
      </w:r>
      <w:r w:rsidR="008B7D7A" w:rsidRPr="00B069FB">
        <w:rPr>
          <w:rFonts w:cs="Arial"/>
          <w:szCs w:val="20"/>
        </w:rPr>
        <w:t xml:space="preserve">n the part of the </w:t>
      </w:r>
      <w:r w:rsidRPr="00B069FB">
        <w:rPr>
          <w:rFonts w:cs="Arial"/>
          <w:szCs w:val="20"/>
        </w:rPr>
        <w:t xml:space="preserve">competent authorities is a cross-cutting issue in </w:t>
      </w:r>
      <w:proofErr w:type="gramStart"/>
      <w:r w:rsidRPr="00B069FB">
        <w:rPr>
          <w:rFonts w:cs="Arial"/>
          <w:szCs w:val="20"/>
        </w:rPr>
        <w:t>the majority of</w:t>
      </w:r>
      <w:proofErr w:type="gramEnd"/>
      <w:r w:rsidRPr="00B069FB">
        <w:rPr>
          <w:rFonts w:cs="Arial"/>
          <w:szCs w:val="20"/>
        </w:rPr>
        <w:t xml:space="preserve"> assessed countries. As regards supervisors, the analysis highlights insufficient resources and/or expertise in 15 (65%) of the assessed jurisdictions. Countries should therefore consider continuously strengthening their human resources capacities and </w:t>
      </w:r>
      <w:r w:rsidR="008B7D7A" w:rsidRPr="00B069FB">
        <w:rPr>
          <w:rFonts w:cs="Arial"/>
          <w:szCs w:val="20"/>
        </w:rPr>
        <w:t xml:space="preserve">the </w:t>
      </w:r>
      <w:r w:rsidRPr="00B069FB">
        <w:rPr>
          <w:rFonts w:cs="Arial"/>
          <w:szCs w:val="20"/>
        </w:rPr>
        <w:t>development of skills.</w:t>
      </w:r>
    </w:p>
    <w:p w14:paraId="34F4BC46" w14:textId="03927986" w:rsidR="00C71F19" w:rsidRDefault="00C71F19" w:rsidP="00277C14">
      <w:pPr>
        <w:rPr>
          <w:rFonts w:cs="Arial"/>
          <w:szCs w:val="20"/>
        </w:rPr>
      </w:pPr>
    </w:p>
    <w:p w14:paraId="66D47D45" w14:textId="36E5EAF7" w:rsidR="00C74775" w:rsidRPr="00B069FB" w:rsidRDefault="00C74775" w:rsidP="00C74775">
      <w:pPr>
        <w:pStyle w:val="Heading2"/>
        <w:tabs>
          <w:tab w:val="left" w:pos="709"/>
        </w:tabs>
        <w:spacing w:before="0"/>
        <w:jc w:val="both"/>
        <w:rPr>
          <w:rFonts w:ascii="Arial" w:eastAsiaTheme="minorHAnsi" w:hAnsi="Arial" w:cs="Times New Roman"/>
          <w:b/>
          <w:bCs/>
          <w:color w:val="auto"/>
          <w:kern w:val="28"/>
          <w:sz w:val="20"/>
          <w:szCs w:val="20"/>
          <w:lang w:val="en-US"/>
        </w:rPr>
      </w:pPr>
      <w:bookmarkStart w:id="12" w:name="_Toc135409879"/>
      <w:r w:rsidRPr="00B069FB">
        <w:rPr>
          <w:rFonts w:ascii="Arial" w:eastAsiaTheme="minorHAnsi" w:hAnsi="Arial" w:cs="Times New Roman"/>
          <w:b/>
          <w:bCs/>
          <w:color w:val="auto"/>
          <w:kern w:val="28"/>
          <w:sz w:val="20"/>
          <w:szCs w:val="20"/>
          <w:lang w:val="en-US"/>
        </w:rPr>
        <w:t>1.2</w:t>
      </w:r>
      <w:r w:rsidR="004D5F3C">
        <w:rPr>
          <w:rFonts w:ascii="Arial" w:eastAsiaTheme="minorHAnsi" w:hAnsi="Arial" w:cs="Times New Roman"/>
          <w:b/>
          <w:bCs/>
          <w:color w:val="auto"/>
          <w:kern w:val="28"/>
          <w:sz w:val="20"/>
          <w:szCs w:val="20"/>
          <w:lang w:val="en-US"/>
        </w:rPr>
        <w:tab/>
      </w:r>
      <w:r w:rsidR="00C36CF5" w:rsidRPr="00B069FB">
        <w:rPr>
          <w:rFonts w:ascii="Arial" w:eastAsiaTheme="minorHAnsi" w:hAnsi="Arial" w:cs="Times New Roman"/>
          <w:b/>
          <w:bCs/>
          <w:color w:val="auto"/>
          <w:kern w:val="28"/>
          <w:sz w:val="20"/>
          <w:szCs w:val="20"/>
          <w:lang w:val="en-US"/>
        </w:rPr>
        <w:t>K</w:t>
      </w:r>
      <w:r w:rsidR="00125781" w:rsidRPr="00B069FB">
        <w:rPr>
          <w:rFonts w:ascii="Arial" w:eastAsiaTheme="minorHAnsi" w:hAnsi="Arial" w:cs="Times New Roman"/>
          <w:b/>
          <w:bCs/>
          <w:color w:val="auto"/>
          <w:kern w:val="28"/>
          <w:sz w:val="20"/>
          <w:szCs w:val="20"/>
          <w:lang w:val="en-US"/>
        </w:rPr>
        <w:t>ey r</w:t>
      </w:r>
      <w:r w:rsidR="0066578D" w:rsidRPr="00B069FB">
        <w:rPr>
          <w:rFonts w:ascii="Arial" w:eastAsiaTheme="minorHAnsi" w:hAnsi="Arial" w:cs="Times New Roman"/>
          <w:b/>
          <w:bCs/>
          <w:color w:val="auto"/>
          <w:kern w:val="28"/>
          <w:sz w:val="20"/>
          <w:szCs w:val="20"/>
          <w:lang w:val="en-US"/>
        </w:rPr>
        <w:t>esults of the 2020-2022 Strategy</w:t>
      </w:r>
      <w:bookmarkEnd w:id="12"/>
    </w:p>
    <w:p w14:paraId="584F562B" w14:textId="59D86196" w:rsidR="0066578D" w:rsidRPr="00B069FB" w:rsidRDefault="0066578D" w:rsidP="0066578D">
      <w:pPr>
        <w:rPr>
          <w:lang w:val="en-US"/>
        </w:rPr>
      </w:pPr>
    </w:p>
    <w:p w14:paraId="5D24A9AE" w14:textId="7E6273DD" w:rsidR="0066578D" w:rsidRPr="00B069FB" w:rsidRDefault="0066578D" w:rsidP="00B069FB">
      <w:pPr>
        <w:rPr>
          <w:lang w:val="en-US"/>
        </w:rPr>
      </w:pPr>
      <w:r w:rsidRPr="00B069FB">
        <w:rPr>
          <w:lang w:val="en-US"/>
        </w:rPr>
        <w:t>This section summarizes the main results achieved by MONEYVAL in the implementation of its 2020-2022 Strategy, as presented to the MONEYVAL Plenary meeting in December 2022.</w:t>
      </w:r>
    </w:p>
    <w:p w14:paraId="2203DD53" w14:textId="4A0E84BC" w:rsidR="0066578D" w:rsidRPr="00B069FB" w:rsidRDefault="0066578D" w:rsidP="00B069FB">
      <w:pPr>
        <w:rPr>
          <w:lang w:val="en-US"/>
        </w:rPr>
      </w:pPr>
    </w:p>
    <w:p w14:paraId="406ED94C" w14:textId="6B56B4AC" w:rsidR="0066578D" w:rsidRPr="00B069FB" w:rsidRDefault="0066578D" w:rsidP="00B069FB">
      <w:pPr>
        <w:rPr>
          <w:rFonts w:eastAsiaTheme="minorHAnsi" w:cs="Arial"/>
          <w:szCs w:val="20"/>
          <w:lang w:eastAsia="fr-FR"/>
        </w:rPr>
      </w:pPr>
      <w:r w:rsidRPr="00B069FB">
        <w:rPr>
          <w:rFonts w:eastAsiaTheme="minorHAnsi" w:cs="Arial"/>
          <w:szCs w:val="20"/>
          <w:lang w:eastAsia="fr-FR"/>
        </w:rPr>
        <w:t>The MONEYVAL Strategy for 2020-2022, adopted in December 2019</w:t>
      </w:r>
      <w:r w:rsidR="006E54F2">
        <w:rPr>
          <w:rFonts w:eastAsiaTheme="minorHAnsi" w:cs="Arial"/>
          <w:szCs w:val="20"/>
          <w:lang w:eastAsia="fr-FR"/>
        </w:rPr>
        <w:t>,</w:t>
      </w:r>
      <w:r w:rsidRPr="00B069FB">
        <w:rPr>
          <w:rFonts w:eastAsiaTheme="minorHAnsi" w:cs="Arial"/>
          <w:szCs w:val="20"/>
          <w:lang w:eastAsia="fr-FR"/>
        </w:rPr>
        <w:t xml:space="preserve"> was the first MONEYVAL strategic document - a key first step in the development of long-term planning. It took stock of the key workstreams of MONEYVAL and set general and specific targets in the </w:t>
      </w:r>
      <w:r w:rsidR="007E49E1" w:rsidRPr="00B069FB">
        <w:rPr>
          <w:rFonts w:eastAsiaTheme="minorHAnsi" w:cs="Arial"/>
          <w:szCs w:val="20"/>
          <w:lang w:eastAsia="fr-FR"/>
        </w:rPr>
        <w:t>various</w:t>
      </w:r>
      <w:r w:rsidRPr="00B069FB">
        <w:rPr>
          <w:rFonts w:eastAsiaTheme="minorHAnsi" w:cs="Arial"/>
          <w:szCs w:val="20"/>
          <w:lang w:eastAsia="fr-FR"/>
        </w:rPr>
        <w:t xml:space="preserve"> areas. </w:t>
      </w:r>
    </w:p>
    <w:p w14:paraId="779308A1" w14:textId="77777777" w:rsidR="0066578D" w:rsidRPr="00B069FB" w:rsidRDefault="0066578D" w:rsidP="00B069FB">
      <w:pPr>
        <w:rPr>
          <w:rFonts w:eastAsiaTheme="minorHAnsi" w:cs="Arial"/>
          <w:szCs w:val="20"/>
          <w:lang w:eastAsia="fr-FR"/>
        </w:rPr>
      </w:pPr>
    </w:p>
    <w:p w14:paraId="7B354527" w14:textId="77777777" w:rsidR="0066578D" w:rsidRPr="00B069FB" w:rsidRDefault="0066578D" w:rsidP="00B069FB">
      <w:pPr>
        <w:contextualSpacing/>
        <w:rPr>
          <w:rFonts w:eastAsiaTheme="minorHAnsi" w:cs="Arial"/>
          <w:szCs w:val="20"/>
          <w:lang w:eastAsia="fr-FR"/>
        </w:rPr>
      </w:pPr>
      <w:r w:rsidRPr="00B069FB">
        <w:rPr>
          <w:rFonts w:eastAsiaTheme="minorHAnsi" w:cs="Arial"/>
          <w:szCs w:val="20"/>
          <w:lang w:eastAsia="fr-FR"/>
        </w:rPr>
        <w:t>The Strategy identified the following strategic goals for the period 2020-2022:</w:t>
      </w:r>
    </w:p>
    <w:p w14:paraId="45AAD823" w14:textId="77777777" w:rsidR="0066578D" w:rsidRPr="00B069FB" w:rsidRDefault="0066578D" w:rsidP="00B069FB">
      <w:pPr>
        <w:rPr>
          <w:rFonts w:eastAsiaTheme="minorHAnsi" w:cs="Arial"/>
          <w:szCs w:val="20"/>
          <w:lang w:eastAsia="fr-FR"/>
        </w:rPr>
      </w:pPr>
    </w:p>
    <w:p w14:paraId="46329101" w14:textId="77777777" w:rsidR="0066578D" w:rsidRPr="00B069FB" w:rsidRDefault="0066578D" w:rsidP="00B069FB">
      <w:pPr>
        <w:numPr>
          <w:ilvl w:val="0"/>
          <w:numId w:val="45"/>
        </w:numPr>
        <w:spacing w:after="100" w:afterAutospacing="1"/>
        <w:ind w:left="714" w:hanging="357"/>
        <w:contextualSpacing/>
        <w:rPr>
          <w:rFonts w:eastAsiaTheme="minorHAnsi" w:cs="Arial"/>
          <w:szCs w:val="20"/>
          <w:lang w:eastAsia="fr-FR"/>
        </w:rPr>
      </w:pPr>
      <w:r w:rsidRPr="00B069FB">
        <w:rPr>
          <w:rFonts w:eastAsiaTheme="minorHAnsi" w:cs="Arial"/>
          <w:szCs w:val="20"/>
          <w:lang w:eastAsia="fr-FR"/>
        </w:rPr>
        <w:t xml:space="preserve">Sustaining MONEYVAL’s monitoring and other </w:t>
      </w:r>
      <w:proofErr w:type="gramStart"/>
      <w:r w:rsidRPr="00B069FB">
        <w:rPr>
          <w:rFonts w:eastAsiaTheme="minorHAnsi" w:cs="Arial"/>
          <w:szCs w:val="20"/>
          <w:lang w:eastAsia="fr-FR"/>
        </w:rPr>
        <w:t>activities;</w:t>
      </w:r>
      <w:proofErr w:type="gramEnd"/>
    </w:p>
    <w:p w14:paraId="1CF1A87C" w14:textId="77777777" w:rsidR="0066578D" w:rsidRPr="00B069FB" w:rsidRDefault="0066578D" w:rsidP="00B069FB">
      <w:pPr>
        <w:numPr>
          <w:ilvl w:val="0"/>
          <w:numId w:val="45"/>
        </w:numPr>
        <w:spacing w:after="100" w:afterAutospacing="1"/>
        <w:ind w:left="714" w:hanging="357"/>
        <w:contextualSpacing/>
        <w:rPr>
          <w:rFonts w:eastAsiaTheme="minorHAnsi" w:cs="Arial"/>
          <w:szCs w:val="20"/>
          <w:lang w:eastAsia="fr-FR"/>
        </w:rPr>
      </w:pPr>
      <w:r w:rsidRPr="00B069FB">
        <w:rPr>
          <w:rFonts w:eastAsiaTheme="minorHAnsi" w:cs="Arial"/>
          <w:szCs w:val="20"/>
          <w:lang w:eastAsia="fr-FR"/>
        </w:rPr>
        <w:t xml:space="preserve">Strengthening the capacities of MONEYVAL members by training its members on the FATF </w:t>
      </w:r>
      <w:proofErr w:type="gramStart"/>
      <w:r w:rsidRPr="00B069FB">
        <w:rPr>
          <w:rFonts w:eastAsiaTheme="minorHAnsi" w:cs="Arial"/>
          <w:szCs w:val="20"/>
          <w:lang w:eastAsia="fr-FR"/>
        </w:rPr>
        <w:t>Standards;</w:t>
      </w:r>
      <w:proofErr w:type="gramEnd"/>
    </w:p>
    <w:p w14:paraId="7DD95DB5" w14:textId="77777777" w:rsidR="0066578D" w:rsidRPr="00B069FB" w:rsidRDefault="0066578D" w:rsidP="00B069FB">
      <w:pPr>
        <w:numPr>
          <w:ilvl w:val="0"/>
          <w:numId w:val="45"/>
        </w:numPr>
        <w:spacing w:after="100" w:afterAutospacing="1"/>
        <w:ind w:left="714" w:hanging="357"/>
        <w:contextualSpacing/>
        <w:rPr>
          <w:rFonts w:eastAsiaTheme="minorHAnsi" w:cs="Arial"/>
          <w:szCs w:val="20"/>
          <w:lang w:eastAsia="fr-FR"/>
        </w:rPr>
      </w:pPr>
      <w:r w:rsidRPr="00B069FB">
        <w:rPr>
          <w:rFonts w:eastAsiaTheme="minorHAnsi" w:cs="Arial"/>
          <w:szCs w:val="20"/>
          <w:lang w:eastAsia="fr-FR"/>
        </w:rPr>
        <w:t xml:space="preserve">Enhancing MONEYVAL’s involvement in the global AML/CFT </w:t>
      </w:r>
      <w:proofErr w:type="gramStart"/>
      <w:r w:rsidRPr="00B069FB">
        <w:rPr>
          <w:rFonts w:eastAsiaTheme="minorHAnsi" w:cs="Arial"/>
          <w:szCs w:val="20"/>
          <w:lang w:eastAsia="fr-FR"/>
        </w:rPr>
        <w:t>network;</w:t>
      </w:r>
      <w:proofErr w:type="gramEnd"/>
    </w:p>
    <w:p w14:paraId="16ECDF98" w14:textId="77777777" w:rsidR="0066578D" w:rsidRPr="00B069FB" w:rsidRDefault="0066578D" w:rsidP="00B069FB">
      <w:pPr>
        <w:numPr>
          <w:ilvl w:val="0"/>
          <w:numId w:val="45"/>
        </w:numPr>
        <w:spacing w:after="100" w:afterAutospacing="1"/>
        <w:ind w:left="714" w:hanging="357"/>
        <w:contextualSpacing/>
        <w:rPr>
          <w:rFonts w:eastAsiaTheme="minorHAnsi" w:cs="Arial"/>
          <w:szCs w:val="20"/>
          <w:lang w:eastAsia="fr-FR"/>
        </w:rPr>
      </w:pPr>
      <w:r w:rsidRPr="00B069FB">
        <w:rPr>
          <w:rFonts w:eastAsiaTheme="minorHAnsi" w:cs="Arial"/>
          <w:szCs w:val="20"/>
          <w:lang w:eastAsia="fr-FR"/>
        </w:rPr>
        <w:t xml:space="preserve">Strengthening MONEYVAL’s political </w:t>
      </w:r>
      <w:proofErr w:type="gramStart"/>
      <w:r w:rsidRPr="00B069FB">
        <w:rPr>
          <w:rFonts w:eastAsiaTheme="minorHAnsi" w:cs="Arial"/>
          <w:szCs w:val="20"/>
          <w:lang w:eastAsia="fr-FR"/>
        </w:rPr>
        <w:t>standing;</w:t>
      </w:r>
      <w:proofErr w:type="gramEnd"/>
    </w:p>
    <w:p w14:paraId="184A80FE" w14:textId="2BF4BBAC" w:rsidR="0066578D" w:rsidRPr="00B069FB" w:rsidRDefault="0066578D" w:rsidP="00B069FB">
      <w:pPr>
        <w:numPr>
          <w:ilvl w:val="0"/>
          <w:numId w:val="45"/>
        </w:numPr>
        <w:spacing w:after="100" w:afterAutospacing="1"/>
        <w:ind w:left="714" w:hanging="357"/>
        <w:contextualSpacing/>
        <w:rPr>
          <w:rFonts w:eastAsiaTheme="minorHAnsi" w:cs="Arial"/>
          <w:szCs w:val="20"/>
          <w:lang w:eastAsia="fr-FR"/>
        </w:rPr>
      </w:pPr>
      <w:r w:rsidRPr="00B069FB">
        <w:rPr>
          <w:rFonts w:eastAsiaTheme="minorHAnsi" w:cs="Arial"/>
          <w:szCs w:val="20"/>
          <w:lang w:eastAsia="fr-FR"/>
        </w:rPr>
        <w:t>Increasing the resources in the MONEYVAL Secretariat.</w:t>
      </w:r>
    </w:p>
    <w:p w14:paraId="66D087FA" w14:textId="77777777" w:rsidR="007E49E1" w:rsidRPr="00B069FB" w:rsidRDefault="007E49E1" w:rsidP="00B069FB">
      <w:pPr>
        <w:spacing w:after="100" w:afterAutospacing="1"/>
        <w:ind w:left="714"/>
        <w:contextualSpacing/>
        <w:rPr>
          <w:rFonts w:eastAsiaTheme="minorHAnsi" w:cs="Arial"/>
          <w:szCs w:val="20"/>
          <w:lang w:eastAsia="fr-FR"/>
        </w:rPr>
      </w:pPr>
    </w:p>
    <w:p w14:paraId="7D4361A4" w14:textId="0C188F52" w:rsidR="0066578D" w:rsidRPr="00B069FB" w:rsidRDefault="0066578D" w:rsidP="00B069FB">
      <w:pPr>
        <w:rPr>
          <w:rFonts w:eastAsiaTheme="minorHAnsi" w:cs="Arial"/>
          <w:szCs w:val="20"/>
          <w:lang w:eastAsia="fr-FR"/>
        </w:rPr>
      </w:pPr>
      <w:r w:rsidRPr="00B069FB">
        <w:rPr>
          <w:rFonts w:eastAsiaTheme="minorHAnsi" w:cs="Arial"/>
          <w:szCs w:val="20"/>
          <w:lang w:eastAsia="fr-FR"/>
        </w:rPr>
        <w:t xml:space="preserve">Overall, MONEYVAL has made significant advancements on </w:t>
      </w:r>
      <w:proofErr w:type="gramStart"/>
      <w:r w:rsidRPr="00B069FB">
        <w:rPr>
          <w:rFonts w:eastAsiaTheme="minorHAnsi" w:cs="Arial"/>
          <w:szCs w:val="20"/>
          <w:lang w:eastAsia="fr-FR"/>
        </w:rPr>
        <w:t>all of</w:t>
      </w:r>
      <w:proofErr w:type="gramEnd"/>
      <w:r w:rsidRPr="00B069FB">
        <w:rPr>
          <w:rFonts w:eastAsiaTheme="minorHAnsi" w:cs="Arial"/>
          <w:szCs w:val="20"/>
          <w:lang w:eastAsia="fr-FR"/>
        </w:rPr>
        <w:t xml:space="preserve"> these benchmarks, adapting to the constraints of the unprecedented and unexpected C</w:t>
      </w:r>
      <w:r w:rsidR="004C7EF8">
        <w:rPr>
          <w:rFonts w:eastAsiaTheme="minorHAnsi" w:cs="Arial"/>
          <w:szCs w:val="20"/>
          <w:lang w:eastAsia="fr-FR"/>
        </w:rPr>
        <w:t>ovid</w:t>
      </w:r>
      <w:r w:rsidRPr="00B069FB">
        <w:rPr>
          <w:rFonts w:eastAsiaTheme="minorHAnsi" w:cs="Arial"/>
          <w:szCs w:val="20"/>
          <w:lang w:eastAsia="fr-FR"/>
        </w:rPr>
        <w:t xml:space="preserve"> pandemic and other contextual factors. </w:t>
      </w:r>
    </w:p>
    <w:p w14:paraId="1D05DAD3" w14:textId="77777777" w:rsidR="0066578D" w:rsidRPr="00B069FB" w:rsidRDefault="0066578D" w:rsidP="00B069FB">
      <w:pPr>
        <w:contextualSpacing/>
        <w:rPr>
          <w:rFonts w:eastAsiaTheme="minorHAnsi" w:cs="Arial"/>
          <w:szCs w:val="20"/>
          <w:lang w:eastAsia="fr-FR"/>
        </w:rPr>
      </w:pPr>
    </w:p>
    <w:p w14:paraId="04A88914" w14:textId="77777777" w:rsidR="0066578D" w:rsidRPr="00B069FB" w:rsidRDefault="0066578D" w:rsidP="00B069FB">
      <w:pPr>
        <w:contextualSpacing/>
        <w:rPr>
          <w:rFonts w:eastAsiaTheme="minorHAnsi" w:cs="Arial"/>
          <w:szCs w:val="20"/>
          <w:lang w:eastAsia="fr-FR"/>
        </w:rPr>
      </w:pPr>
      <w:r w:rsidRPr="00B069FB">
        <w:rPr>
          <w:rFonts w:eastAsiaTheme="minorHAnsi" w:cs="Arial"/>
          <w:i/>
          <w:iCs/>
          <w:szCs w:val="20"/>
          <w:lang w:eastAsia="fr-FR"/>
        </w:rPr>
        <w:t xml:space="preserve">Sustaining MONEYVAL’s monitoring and other activities </w:t>
      </w:r>
    </w:p>
    <w:p w14:paraId="509F6F20" w14:textId="77777777" w:rsidR="0066578D" w:rsidRPr="00B069FB" w:rsidRDefault="0066578D" w:rsidP="00B069FB">
      <w:pPr>
        <w:contextualSpacing/>
        <w:rPr>
          <w:rFonts w:eastAsiaTheme="minorHAnsi" w:cs="Arial"/>
          <w:szCs w:val="20"/>
          <w:lang w:eastAsia="fr-FR"/>
        </w:rPr>
      </w:pPr>
    </w:p>
    <w:p w14:paraId="0F76F492" w14:textId="2539F974" w:rsidR="0066578D" w:rsidRPr="00B069FB" w:rsidRDefault="0066578D" w:rsidP="00B069FB">
      <w:pPr>
        <w:contextualSpacing/>
        <w:rPr>
          <w:rFonts w:eastAsiaTheme="minorHAnsi" w:cs="Arial"/>
          <w:szCs w:val="20"/>
          <w:lang w:eastAsia="fr-FR"/>
        </w:rPr>
      </w:pPr>
      <w:r w:rsidRPr="00B069FB">
        <w:rPr>
          <w:rFonts w:eastAsiaTheme="minorHAnsi" w:cs="Arial"/>
          <w:szCs w:val="20"/>
          <w:lang w:eastAsia="fr-FR"/>
        </w:rPr>
        <w:t xml:space="preserve">The years 2020-2022 were a significant challenge to the </w:t>
      </w:r>
      <w:r w:rsidRPr="00B069FB">
        <w:rPr>
          <w:rFonts w:eastAsiaTheme="minorHAnsi" w:cs="Arial"/>
          <w:b/>
          <w:bCs/>
          <w:szCs w:val="20"/>
          <w:lang w:eastAsia="fr-FR"/>
        </w:rPr>
        <w:t>mutual evaluations programme</w:t>
      </w:r>
      <w:r w:rsidRPr="00B069FB">
        <w:rPr>
          <w:rFonts w:eastAsiaTheme="minorHAnsi" w:cs="Arial"/>
          <w:szCs w:val="20"/>
          <w:lang w:eastAsia="fr-FR"/>
        </w:rPr>
        <w:t xml:space="preserve"> of MONEYVAL – its sustained delivery was under threat due to C</w:t>
      </w:r>
      <w:r w:rsidR="004C7EF8">
        <w:rPr>
          <w:rFonts w:eastAsiaTheme="minorHAnsi" w:cs="Arial"/>
          <w:szCs w:val="20"/>
          <w:lang w:eastAsia="fr-FR"/>
        </w:rPr>
        <w:t>ovid</w:t>
      </w:r>
      <w:r w:rsidRPr="00B069FB">
        <w:rPr>
          <w:rFonts w:eastAsiaTheme="minorHAnsi" w:cs="Arial"/>
          <w:szCs w:val="20"/>
          <w:lang w:eastAsia="fr-FR"/>
        </w:rPr>
        <w:t xml:space="preserve"> lockdowns. Ensuring continued roll-out of evaluations required major readjustments of evaluation methods, which was accompanied by increased strain on human resources in the Secretariat, Bureau and member states and territories. MONEYVAL successfully met the challenges by pioneering hybrid evaluation methods, and it remains the assessor body in the Global Network with the most evaluations completed since the start of the pandemic. </w:t>
      </w:r>
    </w:p>
    <w:p w14:paraId="619145A0" w14:textId="77777777" w:rsidR="0066578D" w:rsidRPr="00B069FB" w:rsidRDefault="0066578D" w:rsidP="00B069FB">
      <w:pPr>
        <w:contextualSpacing/>
        <w:rPr>
          <w:rFonts w:eastAsiaTheme="minorHAnsi" w:cs="Arial"/>
          <w:szCs w:val="20"/>
          <w:lang w:eastAsia="fr-FR"/>
        </w:rPr>
      </w:pPr>
    </w:p>
    <w:p w14:paraId="1D28FAFF" w14:textId="7CD87839" w:rsidR="0066578D" w:rsidRPr="00B069FB" w:rsidRDefault="0066578D" w:rsidP="00B069FB">
      <w:pPr>
        <w:contextualSpacing/>
        <w:rPr>
          <w:rFonts w:eastAsiaTheme="minorHAnsi" w:cs="Arial"/>
          <w:szCs w:val="20"/>
          <w:lang w:eastAsia="fr-FR"/>
        </w:rPr>
      </w:pPr>
      <w:r w:rsidRPr="00B069FB">
        <w:rPr>
          <w:rFonts w:eastAsiaTheme="minorHAnsi" w:cs="Arial"/>
          <w:szCs w:val="20"/>
          <w:lang w:eastAsia="fr-FR"/>
        </w:rPr>
        <w:t xml:space="preserve">As the FSRB with the largest number of non-FATF members MONEYVAL has gained significant experience in area of mutual evaluations, which serves as an excellent basis for further horizontal analysis and identification of trends. Based on this experience MONEYVAL launched </w:t>
      </w:r>
      <w:proofErr w:type="gramStart"/>
      <w:r w:rsidRPr="00B069FB">
        <w:rPr>
          <w:rFonts w:eastAsiaTheme="minorHAnsi" w:cs="Arial"/>
          <w:szCs w:val="20"/>
          <w:lang w:eastAsia="fr-FR"/>
        </w:rPr>
        <w:t>a number of</w:t>
      </w:r>
      <w:proofErr w:type="gramEnd"/>
      <w:r w:rsidRPr="00B069FB">
        <w:rPr>
          <w:rFonts w:eastAsiaTheme="minorHAnsi" w:cs="Arial"/>
          <w:szCs w:val="20"/>
          <w:lang w:eastAsia="fr-FR"/>
        </w:rPr>
        <w:t xml:space="preserve"> horizontal projects, including the Horizontal Review of mutual evaluations (presented to the 62</w:t>
      </w:r>
      <w:r w:rsidRPr="00B069FB">
        <w:rPr>
          <w:rFonts w:eastAsiaTheme="minorHAnsi" w:cs="Arial"/>
          <w:szCs w:val="20"/>
          <w:vertAlign w:val="superscript"/>
          <w:lang w:eastAsia="fr-FR"/>
        </w:rPr>
        <w:t>nd</w:t>
      </w:r>
      <w:r w:rsidRPr="00B069FB">
        <w:rPr>
          <w:rFonts w:eastAsiaTheme="minorHAnsi" w:cs="Arial"/>
          <w:szCs w:val="20"/>
          <w:lang w:eastAsia="fr-FR"/>
        </w:rPr>
        <w:t xml:space="preserve"> Plenary</w:t>
      </w:r>
      <w:r w:rsidR="007E49E1" w:rsidRPr="00B069FB">
        <w:rPr>
          <w:rFonts w:eastAsiaTheme="minorHAnsi" w:cs="Arial"/>
          <w:szCs w:val="20"/>
          <w:lang w:eastAsia="fr-FR"/>
        </w:rPr>
        <w:t xml:space="preserve"> in 2021</w:t>
      </w:r>
      <w:r w:rsidRPr="00B069FB">
        <w:rPr>
          <w:rFonts w:eastAsiaTheme="minorHAnsi" w:cs="Arial"/>
          <w:szCs w:val="20"/>
          <w:lang w:eastAsia="fr-FR"/>
        </w:rPr>
        <w:t xml:space="preserve">), analysis of materiality indicators (launched in January 2022), preparation of a detailed </w:t>
      </w:r>
      <w:r w:rsidR="007E49E1" w:rsidRPr="00B069FB">
        <w:rPr>
          <w:rFonts w:eastAsiaTheme="minorHAnsi" w:cs="Arial"/>
          <w:szCs w:val="20"/>
          <w:lang w:eastAsia="fr-FR"/>
        </w:rPr>
        <w:t>mutual evaluation report</w:t>
      </w:r>
      <w:r w:rsidRPr="00B069FB">
        <w:rPr>
          <w:rFonts w:eastAsiaTheme="minorHAnsi" w:cs="Arial"/>
          <w:szCs w:val="20"/>
          <w:lang w:eastAsia="fr-FR"/>
        </w:rPr>
        <w:t xml:space="preserve"> template. </w:t>
      </w:r>
      <w:r w:rsidR="00DD0B75" w:rsidRPr="00B069FB">
        <w:rPr>
          <w:rFonts w:eastAsiaTheme="minorHAnsi" w:cs="Arial"/>
          <w:szCs w:val="20"/>
          <w:lang w:eastAsia="fr-FR"/>
        </w:rPr>
        <w:t>T</w:t>
      </w:r>
      <w:r w:rsidRPr="00B069FB">
        <w:rPr>
          <w:rFonts w:eastAsiaTheme="minorHAnsi" w:cs="Arial"/>
          <w:szCs w:val="20"/>
          <w:lang w:eastAsia="fr-FR"/>
        </w:rPr>
        <w:t xml:space="preserve">hese projects </w:t>
      </w:r>
      <w:r w:rsidR="00DD0B75" w:rsidRPr="00B069FB">
        <w:rPr>
          <w:rFonts w:eastAsiaTheme="minorHAnsi" w:cs="Arial"/>
          <w:szCs w:val="20"/>
          <w:lang w:eastAsia="fr-FR"/>
        </w:rPr>
        <w:t xml:space="preserve">are leading to enhancements in the </w:t>
      </w:r>
      <w:r w:rsidRPr="00B069FB">
        <w:rPr>
          <w:rFonts w:eastAsiaTheme="minorHAnsi" w:cs="Arial"/>
          <w:szCs w:val="20"/>
          <w:lang w:eastAsia="fr-FR"/>
        </w:rPr>
        <w:t>quality and consistency of mutual evaluations,</w:t>
      </w:r>
      <w:r w:rsidR="00DD0B75" w:rsidRPr="00B069FB">
        <w:rPr>
          <w:rFonts w:eastAsiaTheme="minorHAnsi" w:cs="Arial"/>
          <w:szCs w:val="20"/>
          <w:lang w:eastAsia="fr-FR"/>
        </w:rPr>
        <w:t xml:space="preserve"> improved</w:t>
      </w:r>
      <w:r w:rsidRPr="00B069FB">
        <w:rPr>
          <w:rFonts w:eastAsiaTheme="minorHAnsi" w:cs="Arial"/>
          <w:szCs w:val="20"/>
          <w:lang w:eastAsia="fr-FR"/>
        </w:rPr>
        <w:t xml:space="preserve"> equal treatment </w:t>
      </w:r>
      <w:r w:rsidR="00DD0B75" w:rsidRPr="00B069FB">
        <w:rPr>
          <w:rFonts w:eastAsiaTheme="minorHAnsi" w:cs="Arial"/>
          <w:szCs w:val="20"/>
          <w:lang w:eastAsia="fr-FR"/>
        </w:rPr>
        <w:t xml:space="preserve">and expert support </w:t>
      </w:r>
      <w:r w:rsidRPr="00B069FB">
        <w:rPr>
          <w:rFonts w:eastAsiaTheme="minorHAnsi" w:cs="Arial"/>
          <w:szCs w:val="20"/>
          <w:lang w:eastAsia="fr-FR"/>
        </w:rPr>
        <w:t>of member</w:t>
      </w:r>
      <w:r w:rsidR="00DD0B75" w:rsidRPr="00B069FB">
        <w:rPr>
          <w:rFonts w:eastAsiaTheme="minorHAnsi" w:cs="Arial"/>
          <w:szCs w:val="20"/>
          <w:lang w:eastAsia="fr-FR"/>
        </w:rPr>
        <w:t xml:space="preserve"> jurisdictions</w:t>
      </w:r>
      <w:r w:rsidRPr="00B069FB">
        <w:rPr>
          <w:rFonts w:eastAsiaTheme="minorHAnsi" w:cs="Arial"/>
          <w:szCs w:val="20"/>
          <w:lang w:eastAsia="fr-FR"/>
        </w:rPr>
        <w:t xml:space="preserve">, </w:t>
      </w:r>
      <w:r w:rsidR="00DD0B75" w:rsidRPr="00B069FB">
        <w:rPr>
          <w:rFonts w:eastAsiaTheme="minorHAnsi" w:cs="Arial"/>
          <w:szCs w:val="20"/>
          <w:lang w:eastAsia="fr-FR"/>
        </w:rPr>
        <w:t xml:space="preserve">and </w:t>
      </w:r>
      <w:r w:rsidRPr="00B069FB">
        <w:rPr>
          <w:rFonts w:eastAsiaTheme="minorHAnsi" w:cs="Arial"/>
          <w:szCs w:val="20"/>
          <w:lang w:eastAsia="fr-FR"/>
        </w:rPr>
        <w:t>assessors</w:t>
      </w:r>
      <w:r w:rsidR="00DD0B75" w:rsidRPr="00B069FB">
        <w:rPr>
          <w:rFonts w:eastAsiaTheme="minorHAnsi" w:cs="Arial"/>
          <w:szCs w:val="20"/>
          <w:lang w:eastAsia="fr-FR"/>
        </w:rPr>
        <w:t xml:space="preserve">, as well as </w:t>
      </w:r>
      <w:r w:rsidRPr="00B069FB">
        <w:rPr>
          <w:rFonts w:eastAsiaTheme="minorHAnsi" w:cs="Arial"/>
          <w:szCs w:val="20"/>
          <w:lang w:eastAsia="fr-FR"/>
        </w:rPr>
        <w:t xml:space="preserve">resource efficiencies for national administrations and the MONEYVAL structures and Secretariat. </w:t>
      </w:r>
    </w:p>
    <w:p w14:paraId="4831C361" w14:textId="77777777" w:rsidR="0066578D" w:rsidRPr="00B069FB" w:rsidRDefault="0066578D" w:rsidP="00B069FB">
      <w:pPr>
        <w:contextualSpacing/>
        <w:rPr>
          <w:rFonts w:eastAsiaTheme="minorHAnsi" w:cs="Arial"/>
          <w:szCs w:val="20"/>
          <w:lang w:eastAsia="fr-FR"/>
        </w:rPr>
      </w:pPr>
    </w:p>
    <w:p w14:paraId="0A34C9ED" w14:textId="77777777" w:rsidR="004D5F3C" w:rsidRDefault="004D5F3C">
      <w:pPr>
        <w:rPr>
          <w:rFonts w:eastAsiaTheme="minorHAnsi" w:cs="Arial"/>
          <w:szCs w:val="20"/>
          <w:lang w:eastAsia="fr-FR"/>
        </w:rPr>
      </w:pPr>
      <w:bookmarkStart w:id="13" w:name="_Hlk119840482"/>
      <w:r>
        <w:rPr>
          <w:rFonts w:eastAsiaTheme="minorHAnsi" w:cs="Arial"/>
          <w:szCs w:val="20"/>
          <w:lang w:eastAsia="fr-FR"/>
        </w:rPr>
        <w:br w:type="page"/>
      </w:r>
    </w:p>
    <w:p w14:paraId="382149AA" w14:textId="586A89C9" w:rsidR="0066578D" w:rsidRPr="00B069FB" w:rsidRDefault="0066578D" w:rsidP="00B069FB">
      <w:pPr>
        <w:contextualSpacing/>
        <w:rPr>
          <w:rFonts w:eastAsiaTheme="minorHAnsi" w:cs="Arial"/>
          <w:szCs w:val="20"/>
          <w:lang w:eastAsia="fr-FR"/>
        </w:rPr>
      </w:pPr>
      <w:r w:rsidRPr="00B069FB">
        <w:rPr>
          <w:rFonts w:eastAsiaTheme="minorHAnsi" w:cs="Arial"/>
          <w:szCs w:val="20"/>
          <w:lang w:eastAsia="fr-FR"/>
        </w:rPr>
        <w:lastRenderedPageBreak/>
        <w:t xml:space="preserve">Between 2020 and 2022 MONEYVAL has </w:t>
      </w:r>
      <w:r w:rsidR="0032620A" w:rsidRPr="00B069FB">
        <w:rPr>
          <w:rFonts w:eastAsiaTheme="minorHAnsi" w:cs="Arial"/>
          <w:szCs w:val="20"/>
          <w:lang w:eastAsia="fr-FR"/>
        </w:rPr>
        <w:t>significantly streamlined</w:t>
      </w:r>
      <w:r w:rsidRPr="00B069FB">
        <w:rPr>
          <w:rFonts w:eastAsiaTheme="minorHAnsi" w:cs="Arial"/>
          <w:szCs w:val="20"/>
          <w:lang w:eastAsia="fr-FR"/>
        </w:rPr>
        <w:t xml:space="preserve"> its approach to </w:t>
      </w:r>
      <w:r w:rsidRPr="00B069FB">
        <w:rPr>
          <w:rFonts w:eastAsiaTheme="minorHAnsi" w:cs="Arial"/>
          <w:b/>
          <w:bCs/>
          <w:szCs w:val="20"/>
          <w:lang w:eastAsia="fr-FR"/>
        </w:rPr>
        <w:t>follow-up reporting</w:t>
      </w:r>
      <w:r w:rsidRPr="00B069FB">
        <w:rPr>
          <w:rFonts w:eastAsiaTheme="minorHAnsi" w:cs="Arial"/>
          <w:szCs w:val="20"/>
          <w:lang w:eastAsia="fr-FR"/>
        </w:rPr>
        <w:t xml:space="preserve">, in order </w:t>
      </w:r>
      <w:r w:rsidR="0032620A" w:rsidRPr="00B069FB">
        <w:rPr>
          <w:rFonts w:eastAsiaTheme="minorHAnsi" w:cs="Arial"/>
          <w:szCs w:val="20"/>
          <w:lang w:eastAsia="fr-FR"/>
        </w:rPr>
        <w:t>manage the</w:t>
      </w:r>
      <w:r w:rsidRPr="00B069FB">
        <w:rPr>
          <w:rFonts w:eastAsiaTheme="minorHAnsi" w:cs="Arial"/>
          <w:szCs w:val="20"/>
          <w:lang w:eastAsia="fr-FR"/>
        </w:rPr>
        <w:t xml:space="preserve"> increasing number of reports </w:t>
      </w:r>
      <w:r w:rsidR="0032620A" w:rsidRPr="00B069FB">
        <w:rPr>
          <w:rFonts w:eastAsiaTheme="minorHAnsi" w:cs="Arial"/>
          <w:szCs w:val="20"/>
          <w:lang w:eastAsia="fr-FR"/>
        </w:rPr>
        <w:t xml:space="preserve">accumulating </w:t>
      </w:r>
      <w:r w:rsidRPr="00B069FB">
        <w:rPr>
          <w:rFonts w:eastAsiaTheme="minorHAnsi" w:cs="Arial"/>
          <w:szCs w:val="20"/>
          <w:lang w:eastAsia="fr-FR"/>
        </w:rPr>
        <w:t xml:space="preserve">towards the end of the evaluation round. </w:t>
      </w:r>
      <w:r w:rsidR="0032620A" w:rsidRPr="00B069FB">
        <w:rPr>
          <w:rFonts w:eastAsiaTheme="minorHAnsi" w:cs="Arial"/>
          <w:szCs w:val="20"/>
          <w:lang w:eastAsia="fr-FR"/>
        </w:rPr>
        <w:t xml:space="preserve">This included a partial transition to written procedures, and efficiency adjustments in the reporting procedure. </w:t>
      </w:r>
      <w:r w:rsidRPr="00B069FB">
        <w:rPr>
          <w:rFonts w:eastAsiaTheme="minorHAnsi" w:cs="Arial"/>
          <w:szCs w:val="20"/>
          <w:lang w:eastAsia="fr-FR"/>
        </w:rPr>
        <w:t xml:space="preserve">The effectiveness of MONEYVAL’s follow-up reporting is </w:t>
      </w:r>
      <w:r w:rsidR="0032620A" w:rsidRPr="00B069FB">
        <w:rPr>
          <w:rFonts w:eastAsiaTheme="minorHAnsi" w:cs="Arial"/>
          <w:szCs w:val="20"/>
          <w:lang w:eastAsia="fr-FR"/>
        </w:rPr>
        <w:t xml:space="preserve">now </w:t>
      </w:r>
      <w:r w:rsidRPr="00B069FB">
        <w:rPr>
          <w:rFonts w:eastAsiaTheme="minorHAnsi" w:cs="Arial"/>
          <w:szCs w:val="20"/>
          <w:lang w:eastAsia="fr-FR"/>
        </w:rPr>
        <w:t>the highest among all assessor bodies</w:t>
      </w:r>
      <w:r w:rsidR="0032620A" w:rsidRPr="00B069FB">
        <w:rPr>
          <w:rFonts w:eastAsiaTheme="minorHAnsi" w:cs="Arial"/>
          <w:szCs w:val="20"/>
          <w:lang w:eastAsia="fr-FR"/>
        </w:rPr>
        <w:t xml:space="preserve"> </w:t>
      </w:r>
      <w:r w:rsidRPr="00B069FB">
        <w:rPr>
          <w:rFonts w:eastAsiaTheme="minorHAnsi" w:cs="Arial"/>
          <w:szCs w:val="20"/>
          <w:lang w:eastAsia="fr-FR"/>
        </w:rPr>
        <w:t xml:space="preserve">in the Global Network, according to a recent review carried out by the FATF. </w:t>
      </w:r>
      <w:r w:rsidR="0032620A" w:rsidRPr="00B069FB">
        <w:rPr>
          <w:rFonts w:eastAsiaTheme="minorHAnsi" w:cs="Arial"/>
          <w:szCs w:val="20"/>
          <w:lang w:eastAsia="fr-FR"/>
        </w:rPr>
        <w:t xml:space="preserve">It shows that 72% of MONEYVAL’s technical compliance recommendations are being implemented. </w:t>
      </w:r>
      <w:r w:rsidRPr="00B069FB">
        <w:rPr>
          <w:rFonts w:eastAsiaTheme="minorHAnsi" w:cs="Arial"/>
          <w:b/>
          <w:bCs/>
          <w:szCs w:val="20"/>
          <w:lang w:eastAsia="fr-FR"/>
        </w:rPr>
        <w:t>Compliance Enhancement Procedures (CEPs)</w:t>
      </w:r>
      <w:r w:rsidRPr="00B069FB">
        <w:rPr>
          <w:rFonts w:eastAsiaTheme="minorHAnsi" w:cs="Arial"/>
          <w:szCs w:val="20"/>
          <w:lang w:eastAsia="fr-FR"/>
        </w:rPr>
        <w:t xml:space="preserve"> are continuing to be an important tool to motivate assessed countries to make progress. </w:t>
      </w:r>
      <w:r w:rsidR="0032620A" w:rsidRPr="00B069FB">
        <w:rPr>
          <w:rFonts w:eastAsiaTheme="minorHAnsi" w:cs="Arial"/>
          <w:szCs w:val="20"/>
          <w:lang w:eastAsia="fr-FR"/>
        </w:rPr>
        <w:t>Their</w:t>
      </w:r>
      <w:r w:rsidRPr="00B069FB">
        <w:rPr>
          <w:rFonts w:eastAsiaTheme="minorHAnsi" w:cs="Arial"/>
          <w:szCs w:val="20"/>
          <w:lang w:eastAsia="fr-FR"/>
        </w:rPr>
        <w:t xml:space="preserve"> automatic integration with the follow-up process agreed by the 63</w:t>
      </w:r>
      <w:r w:rsidRPr="00B069FB">
        <w:rPr>
          <w:rFonts w:eastAsiaTheme="minorHAnsi" w:cs="Arial"/>
          <w:szCs w:val="20"/>
          <w:vertAlign w:val="superscript"/>
          <w:lang w:eastAsia="fr-FR"/>
        </w:rPr>
        <w:t>rd</w:t>
      </w:r>
      <w:r w:rsidRPr="00B069FB">
        <w:rPr>
          <w:rFonts w:eastAsiaTheme="minorHAnsi" w:cs="Arial"/>
          <w:szCs w:val="20"/>
          <w:lang w:eastAsia="fr-FR"/>
        </w:rPr>
        <w:t xml:space="preserve"> Plenary </w:t>
      </w:r>
      <w:r w:rsidR="0032620A" w:rsidRPr="00B069FB">
        <w:rPr>
          <w:rFonts w:eastAsiaTheme="minorHAnsi" w:cs="Arial"/>
          <w:szCs w:val="20"/>
          <w:lang w:eastAsia="fr-FR"/>
        </w:rPr>
        <w:t xml:space="preserve">now </w:t>
      </w:r>
      <w:r w:rsidRPr="00B069FB">
        <w:rPr>
          <w:rFonts w:eastAsiaTheme="minorHAnsi" w:cs="Arial"/>
          <w:szCs w:val="20"/>
          <w:lang w:eastAsia="fr-FR"/>
        </w:rPr>
        <w:t>further enhance</w:t>
      </w:r>
      <w:r w:rsidR="0032620A" w:rsidRPr="00B069FB">
        <w:rPr>
          <w:rFonts w:eastAsiaTheme="minorHAnsi" w:cs="Arial"/>
          <w:szCs w:val="20"/>
          <w:lang w:eastAsia="fr-FR"/>
        </w:rPr>
        <w:t>s</w:t>
      </w:r>
      <w:r w:rsidRPr="00B069FB">
        <w:rPr>
          <w:rFonts w:eastAsiaTheme="minorHAnsi" w:cs="Arial"/>
          <w:szCs w:val="20"/>
          <w:lang w:eastAsia="fr-FR"/>
        </w:rPr>
        <w:t xml:space="preserve"> the </w:t>
      </w:r>
      <w:r w:rsidR="0032620A" w:rsidRPr="00B069FB">
        <w:rPr>
          <w:rFonts w:eastAsiaTheme="minorHAnsi" w:cs="Arial"/>
          <w:szCs w:val="20"/>
          <w:lang w:eastAsia="fr-FR"/>
        </w:rPr>
        <w:t>peer pressure toolbox of MONEYVAL</w:t>
      </w:r>
      <w:r w:rsidRPr="00B069FB">
        <w:rPr>
          <w:rFonts w:eastAsiaTheme="minorHAnsi" w:cs="Arial"/>
          <w:szCs w:val="20"/>
          <w:lang w:eastAsia="fr-FR"/>
        </w:rPr>
        <w:t xml:space="preserve">. </w:t>
      </w:r>
    </w:p>
    <w:bookmarkEnd w:id="13"/>
    <w:p w14:paraId="60B0283D" w14:textId="77777777" w:rsidR="0066578D" w:rsidRPr="00C36CF5" w:rsidRDefault="0066578D" w:rsidP="0066578D">
      <w:pPr>
        <w:contextualSpacing/>
        <w:jc w:val="both"/>
        <w:rPr>
          <w:rFonts w:eastAsiaTheme="minorHAnsi" w:cs="Arial"/>
          <w:szCs w:val="20"/>
          <w:highlight w:val="yellow"/>
          <w:lang w:eastAsia="fr-FR"/>
        </w:rPr>
      </w:pPr>
    </w:p>
    <w:p w14:paraId="6104A1A5" w14:textId="77777777" w:rsidR="0066578D" w:rsidRPr="00B069FB" w:rsidRDefault="0066578D" w:rsidP="00B069FB">
      <w:pPr>
        <w:contextualSpacing/>
        <w:rPr>
          <w:rFonts w:eastAsiaTheme="minorHAnsi" w:cs="Arial"/>
          <w:i/>
          <w:iCs/>
          <w:szCs w:val="20"/>
          <w:lang w:eastAsia="fr-FR"/>
        </w:rPr>
      </w:pPr>
      <w:r w:rsidRPr="00B069FB">
        <w:rPr>
          <w:rFonts w:eastAsiaTheme="minorHAnsi" w:cs="Arial"/>
          <w:i/>
          <w:iCs/>
          <w:szCs w:val="20"/>
          <w:lang w:eastAsia="fr-FR"/>
        </w:rPr>
        <w:t xml:space="preserve">Capacities of MONEYVAL members – training &amp; typologies </w:t>
      </w:r>
    </w:p>
    <w:p w14:paraId="09BA2FF4" w14:textId="77777777" w:rsidR="0066578D" w:rsidRPr="00B069FB" w:rsidRDefault="0066578D" w:rsidP="00B069FB">
      <w:pPr>
        <w:contextualSpacing/>
        <w:rPr>
          <w:rFonts w:eastAsiaTheme="minorHAnsi" w:cs="Arial"/>
          <w:szCs w:val="20"/>
          <w:lang w:eastAsia="fr-FR"/>
        </w:rPr>
      </w:pPr>
    </w:p>
    <w:p w14:paraId="46CE6487" w14:textId="5B38F799" w:rsidR="0066578D" w:rsidRPr="00B069FB" w:rsidRDefault="0066578D" w:rsidP="00B069FB">
      <w:pPr>
        <w:contextualSpacing/>
        <w:rPr>
          <w:rFonts w:eastAsiaTheme="minorHAnsi" w:cs="Arial"/>
          <w:szCs w:val="20"/>
          <w:lang w:eastAsia="fr-FR"/>
        </w:rPr>
      </w:pPr>
      <w:r w:rsidRPr="00B069FB">
        <w:rPr>
          <w:rFonts w:eastAsiaTheme="minorHAnsi" w:cs="Arial"/>
          <w:szCs w:val="20"/>
          <w:lang w:eastAsia="fr-FR"/>
        </w:rPr>
        <w:t>During C</w:t>
      </w:r>
      <w:r w:rsidR="004C7EF8">
        <w:rPr>
          <w:rFonts w:eastAsiaTheme="minorHAnsi" w:cs="Arial"/>
          <w:szCs w:val="20"/>
          <w:lang w:eastAsia="fr-FR"/>
        </w:rPr>
        <w:t>ovid</w:t>
      </w:r>
      <w:r w:rsidRPr="00B069FB">
        <w:rPr>
          <w:rFonts w:eastAsiaTheme="minorHAnsi" w:cs="Arial"/>
          <w:szCs w:val="20"/>
          <w:lang w:eastAsia="fr-FR"/>
        </w:rPr>
        <w:t xml:space="preserve">, the </w:t>
      </w:r>
      <w:r w:rsidRPr="00B069FB">
        <w:rPr>
          <w:rFonts w:eastAsiaTheme="minorHAnsi" w:cs="Arial"/>
          <w:b/>
          <w:bCs/>
          <w:szCs w:val="20"/>
          <w:lang w:eastAsia="fr-FR"/>
        </w:rPr>
        <w:t>training programmes</w:t>
      </w:r>
      <w:r w:rsidRPr="00B069FB">
        <w:rPr>
          <w:rFonts w:eastAsiaTheme="minorHAnsi" w:cs="Arial"/>
          <w:szCs w:val="20"/>
          <w:lang w:eastAsia="fr-FR"/>
        </w:rPr>
        <w:t xml:space="preserve"> were adjusted to maximise the impact and utility for MONEYVAL. Assessor training needs were largely met through Joint Trainings with the FATF. Standards training was introduced in 2021 through a tailored workshop based on initial findings of the MONEYVAL horizontal review of mutual evaluations. A joint MONEYVAL/FATF standards training was subsequently held in 2022 based on a programme of the FATF Training Institute. </w:t>
      </w:r>
    </w:p>
    <w:p w14:paraId="76F3746B" w14:textId="77777777" w:rsidR="0066578D" w:rsidRPr="00B069FB" w:rsidRDefault="0066578D" w:rsidP="00B069FB">
      <w:pPr>
        <w:contextualSpacing/>
        <w:rPr>
          <w:rFonts w:eastAsiaTheme="minorHAnsi" w:cs="Arial"/>
          <w:szCs w:val="20"/>
          <w:lang w:eastAsia="fr-FR"/>
        </w:rPr>
      </w:pPr>
    </w:p>
    <w:p w14:paraId="74C623DB" w14:textId="68846739" w:rsidR="0066578D" w:rsidRPr="00B069FB" w:rsidRDefault="0066578D" w:rsidP="00B069FB">
      <w:pPr>
        <w:contextualSpacing/>
        <w:rPr>
          <w:rFonts w:eastAsiaTheme="minorHAnsi" w:cs="Arial"/>
          <w:szCs w:val="20"/>
          <w:lang w:eastAsia="fr-FR"/>
        </w:rPr>
      </w:pPr>
      <w:r w:rsidRPr="00B069FB">
        <w:rPr>
          <w:rFonts w:eastAsiaTheme="minorHAnsi" w:cs="Arial"/>
          <w:szCs w:val="20"/>
          <w:lang w:eastAsia="fr-FR"/>
        </w:rPr>
        <w:t xml:space="preserve">Between 2020 and 2022 the </w:t>
      </w:r>
      <w:r w:rsidRPr="00B069FB">
        <w:rPr>
          <w:rFonts w:eastAsiaTheme="minorHAnsi" w:cs="Arial"/>
          <w:b/>
          <w:bCs/>
          <w:szCs w:val="20"/>
          <w:lang w:eastAsia="fr-FR"/>
        </w:rPr>
        <w:t>typologies</w:t>
      </w:r>
      <w:r w:rsidRPr="00B069FB">
        <w:rPr>
          <w:rFonts w:eastAsiaTheme="minorHAnsi" w:cs="Arial"/>
          <w:szCs w:val="20"/>
          <w:lang w:eastAsia="fr-FR"/>
        </w:rPr>
        <w:t xml:space="preserve"> workstream largely had a focus on capacity-building. After a multi-year pause</w:t>
      </w:r>
      <w:r w:rsidR="005821FB" w:rsidRPr="00B069FB">
        <w:rPr>
          <w:rFonts w:eastAsiaTheme="minorHAnsi" w:cs="Arial"/>
          <w:szCs w:val="20"/>
          <w:lang w:eastAsia="fr-FR"/>
        </w:rPr>
        <w:t xml:space="preserve"> (between 2014 and 2020)</w:t>
      </w:r>
      <w:r w:rsidRPr="00B069FB">
        <w:rPr>
          <w:rFonts w:eastAsiaTheme="minorHAnsi" w:cs="Arial"/>
          <w:szCs w:val="20"/>
          <w:lang w:eastAsia="fr-FR"/>
        </w:rPr>
        <w:t>, this workstream was successfully re-launched and provided significant added benefit to the work of the Committee in the C</w:t>
      </w:r>
      <w:r w:rsidR="004C7EF8">
        <w:rPr>
          <w:rFonts w:eastAsiaTheme="minorHAnsi" w:cs="Arial"/>
          <w:szCs w:val="20"/>
          <w:lang w:eastAsia="fr-FR"/>
        </w:rPr>
        <w:t>ovid</w:t>
      </w:r>
      <w:r w:rsidRPr="00B069FB">
        <w:rPr>
          <w:rFonts w:eastAsiaTheme="minorHAnsi" w:cs="Arial"/>
          <w:szCs w:val="20"/>
          <w:lang w:eastAsia="fr-FR"/>
        </w:rPr>
        <w:t xml:space="preserve"> context. Typologies studies were focused on methods and trends, as well as indicators for authorities to handle C</w:t>
      </w:r>
      <w:r w:rsidR="004C7EF8">
        <w:rPr>
          <w:rFonts w:eastAsiaTheme="minorHAnsi" w:cs="Arial"/>
          <w:szCs w:val="20"/>
          <w:lang w:eastAsia="fr-FR"/>
        </w:rPr>
        <w:t>ovid</w:t>
      </w:r>
      <w:r w:rsidRPr="00B069FB">
        <w:rPr>
          <w:rFonts w:eastAsiaTheme="minorHAnsi" w:cs="Arial"/>
          <w:szCs w:val="20"/>
          <w:lang w:eastAsia="fr-FR"/>
        </w:rPr>
        <w:t xml:space="preserve">-related risk factors in general, and more specifically </w:t>
      </w:r>
      <w:proofErr w:type="gramStart"/>
      <w:r w:rsidRPr="00B069FB">
        <w:rPr>
          <w:rFonts w:eastAsiaTheme="minorHAnsi" w:cs="Arial"/>
          <w:szCs w:val="20"/>
          <w:lang w:eastAsia="fr-FR"/>
        </w:rPr>
        <w:t>in the area of</w:t>
      </w:r>
      <w:proofErr w:type="gramEnd"/>
      <w:r w:rsidRPr="00B069FB">
        <w:rPr>
          <w:rFonts w:eastAsiaTheme="minorHAnsi" w:cs="Arial"/>
          <w:szCs w:val="20"/>
          <w:lang w:eastAsia="fr-FR"/>
        </w:rPr>
        <w:t xml:space="preserve"> </w:t>
      </w:r>
      <w:r w:rsidR="005821FB" w:rsidRPr="00B069FB">
        <w:rPr>
          <w:rFonts w:eastAsiaTheme="minorHAnsi" w:cs="Arial"/>
          <w:szCs w:val="20"/>
          <w:lang w:eastAsia="fr-FR"/>
        </w:rPr>
        <w:t xml:space="preserve">financial </w:t>
      </w:r>
      <w:r w:rsidRPr="00B069FB">
        <w:rPr>
          <w:rFonts w:eastAsiaTheme="minorHAnsi" w:cs="Arial"/>
          <w:szCs w:val="20"/>
          <w:lang w:eastAsia="fr-FR"/>
        </w:rPr>
        <w:t xml:space="preserve">supervision. Typologies studies were frequently picked up by media </w:t>
      </w:r>
      <w:proofErr w:type="gramStart"/>
      <w:r w:rsidRPr="00B069FB">
        <w:rPr>
          <w:rFonts w:eastAsiaTheme="minorHAnsi" w:cs="Arial"/>
          <w:szCs w:val="20"/>
          <w:lang w:eastAsia="fr-FR"/>
        </w:rPr>
        <w:t>outlets, and</w:t>
      </w:r>
      <w:proofErr w:type="gramEnd"/>
      <w:r w:rsidRPr="00B069FB">
        <w:rPr>
          <w:rFonts w:eastAsiaTheme="minorHAnsi" w:cs="Arial"/>
          <w:szCs w:val="20"/>
          <w:lang w:eastAsia="fr-FR"/>
        </w:rPr>
        <w:t xml:space="preserve"> provided significant additional </w:t>
      </w:r>
      <w:r w:rsidRPr="00B069FB">
        <w:rPr>
          <w:rFonts w:eastAsiaTheme="minorHAnsi" w:cs="Arial"/>
          <w:b/>
          <w:bCs/>
          <w:szCs w:val="20"/>
          <w:lang w:eastAsia="fr-FR"/>
        </w:rPr>
        <w:t>visibility</w:t>
      </w:r>
      <w:r w:rsidRPr="00B069FB">
        <w:rPr>
          <w:rFonts w:eastAsiaTheme="minorHAnsi" w:cs="Arial"/>
          <w:szCs w:val="20"/>
          <w:lang w:eastAsia="fr-FR"/>
        </w:rPr>
        <w:t xml:space="preserve"> to the Committee. Since 2022 the use of typologies has been further expanded to build institutional co</w:t>
      </w:r>
      <w:r w:rsidR="003654E4">
        <w:rPr>
          <w:rFonts w:eastAsiaTheme="minorHAnsi" w:cs="Arial"/>
          <w:szCs w:val="20"/>
          <w:lang w:eastAsia="fr-FR"/>
        </w:rPr>
        <w:t>-</w:t>
      </w:r>
      <w:r w:rsidRPr="00B069FB">
        <w:rPr>
          <w:rFonts w:eastAsiaTheme="minorHAnsi" w:cs="Arial"/>
          <w:szCs w:val="20"/>
          <w:lang w:eastAsia="fr-FR"/>
        </w:rPr>
        <w:t xml:space="preserve">operation with other Committees of the Council of Europe, </w:t>
      </w:r>
      <w:proofErr w:type="gramStart"/>
      <w:r w:rsidRPr="00B069FB">
        <w:rPr>
          <w:rFonts w:eastAsiaTheme="minorHAnsi" w:cs="Arial"/>
          <w:szCs w:val="20"/>
          <w:lang w:eastAsia="fr-FR"/>
        </w:rPr>
        <w:t>in particular in</w:t>
      </w:r>
      <w:proofErr w:type="gramEnd"/>
      <w:r w:rsidRPr="00B069FB">
        <w:rPr>
          <w:rFonts w:eastAsiaTheme="minorHAnsi" w:cs="Arial"/>
          <w:szCs w:val="20"/>
          <w:lang w:eastAsia="fr-FR"/>
        </w:rPr>
        <w:t xml:space="preserve"> the field of cybercrime (with regard to virtual assets research). </w:t>
      </w:r>
    </w:p>
    <w:p w14:paraId="705A737B" w14:textId="77777777" w:rsidR="0066578D" w:rsidRPr="00B069FB" w:rsidRDefault="0066578D" w:rsidP="00B069FB">
      <w:pPr>
        <w:contextualSpacing/>
        <w:rPr>
          <w:rFonts w:eastAsiaTheme="minorHAnsi" w:cs="Arial"/>
          <w:szCs w:val="20"/>
          <w:lang w:eastAsia="fr-FR"/>
        </w:rPr>
      </w:pPr>
    </w:p>
    <w:p w14:paraId="590D1750" w14:textId="4BB29B1B" w:rsidR="0066578D" w:rsidRPr="00B069FB" w:rsidRDefault="0066578D" w:rsidP="00B069FB">
      <w:pPr>
        <w:rPr>
          <w:rFonts w:eastAsiaTheme="minorHAnsi" w:cs="Arial"/>
          <w:i/>
          <w:iCs/>
          <w:szCs w:val="20"/>
          <w:lang w:eastAsia="fr-FR"/>
        </w:rPr>
      </w:pPr>
      <w:r w:rsidRPr="00B069FB">
        <w:rPr>
          <w:rFonts w:eastAsiaTheme="minorHAnsi" w:cs="Arial"/>
          <w:i/>
          <w:iCs/>
          <w:szCs w:val="20"/>
          <w:lang w:eastAsia="fr-FR"/>
        </w:rPr>
        <w:t xml:space="preserve">Enhancing MONEYVAL’s involvement in the </w:t>
      </w:r>
      <w:r w:rsidR="00125781" w:rsidRPr="00B069FB">
        <w:rPr>
          <w:rFonts w:eastAsiaTheme="minorHAnsi" w:cs="Arial"/>
          <w:i/>
          <w:iCs/>
          <w:szCs w:val="20"/>
          <w:lang w:eastAsia="fr-FR"/>
        </w:rPr>
        <w:t>G</w:t>
      </w:r>
      <w:r w:rsidRPr="00B069FB">
        <w:rPr>
          <w:rFonts w:eastAsiaTheme="minorHAnsi" w:cs="Arial"/>
          <w:i/>
          <w:iCs/>
          <w:szCs w:val="20"/>
          <w:lang w:eastAsia="fr-FR"/>
        </w:rPr>
        <w:t>lobal AML/CFT network</w:t>
      </w:r>
    </w:p>
    <w:p w14:paraId="66444BF9" w14:textId="77777777" w:rsidR="0066578D" w:rsidRPr="00B069FB" w:rsidRDefault="0066578D" w:rsidP="00B069FB">
      <w:pPr>
        <w:contextualSpacing/>
        <w:rPr>
          <w:rFonts w:eastAsiaTheme="minorHAnsi" w:cs="Arial"/>
          <w:szCs w:val="20"/>
          <w:lang w:eastAsia="fr-FR"/>
        </w:rPr>
      </w:pPr>
    </w:p>
    <w:p w14:paraId="65238F95" w14:textId="7A76D228" w:rsidR="0066578D" w:rsidRPr="00B069FB" w:rsidRDefault="0066578D" w:rsidP="00B069FB">
      <w:pPr>
        <w:contextualSpacing/>
        <w:rPr>
          <w:rFonts w:eastAsiaTheme="minorHAnsi" w:cs="Arial"/>
          <w:szCs w:val="20"/>
          <w:lang w:eastAsia="fr-FR"/>
        </w:rPr>
      </w:pPr>
      <w:r w:rsidRPr="00B069FB">
        <w:rPr>
          <w:rFonts w:eastAsiaTheme="minorHAnsi" w:cs="Arial"/>
          <w:szCs w:val="20"/>
          <w:lang w:eastAsia="fr-FR"/>
        </w:rPr>
        <w:t xml:space="preserve">MONEYVAL achieved </w:t>
      </w:r>
      <w:r w:rsidR="00125781" w:rsidRPr="00B069FB">
        <w:rPr>
          <w:rFonts w:eastAsiaTheme="minorHAnsi" w:cs="Arial"/>
          <w:szCs w:val="20"/>
          <w:lang w:eastAsia="fr-FR"/>
        </w:rPr>
        <w:t>important</w:t>
      </w:r>
      <w:r w:rsidRPr="00B069FB">
        <w:rPr>
          <w:rFonts w:eastAsiaTheme="minorHAnsi" w:cs="Arial"/>
          <w:szCs w:val="20"/>
          <w:lang w:eastAsia="fr-FR"/>
        </w:rPr>
        <w:t xml:space="preserve"> results in expanding its engagement and role in the Global Network by promoting several strategic initiatives to reform the </w:t>
      </w:r>
      <w:r w:rsidR="005821FB" w:rsidRPr="00B069FB">
        <w:rPr>
          <w:rFonts w:eastAsiaTheme="minorHAnsi" w:cs="Arial"/>
          <w:szCs w:val="20"/>
          <w:lang w:eastAsia="fr-FR"/>
        </w:rPr>
        <w:t xml:space="preserve">relationship between the </w:t>
      </w:r>
      <w:r w:rsidRPr="00B069FB">
        <w:rPr>
          <w:rFonts w:eastAsiaTheme="minorHAnsi" w:cs="Arial"/>
          <w:szCs w:val="20"/>
          <w:lang w:eastAsia="fr-FR"/>
        </w:rPr>
        <w:t>FATF</w:t>
      </w:r>
      <w:r w:rsidR="005821FB" w:rsidRPr="00B069FB">
        <w:rPr>
          <w:rFonts w:eastAsiaTheme="minorHAnsi" w:cs="Arial"/>
          <w:szCs w:val="20"/>
          <w:lang w:eastAsia="fr-FR"/>
        </w:rPr>
        <w:t xml:space="preserve"> and FATF-style regional bodies (</w:t>
      </w:r>
      <w:r w:rsidRPr="00B069FB">
        <w:rPr>
          <w:rFonts w:eastAsiaTheme="minorHAnsi" w:cs="Arial"/>
          <w:szCs w:val="20"/>
          <w:lang w:eastAsia="fr-FR"/>
        </w:rPr>
        <w:t>FSRB</w:t>
      </w:r>
      <w:r w:rsidR="005821FB" w:rsidRPr="00B069FB">
        <w:rPr>
          <w:rFonts w:eastAsiaTheme="minorHAnsi" w:cs="Arial"/>
          <w:szCs w:val="20"/>
          <w:lang w:eastAsia="fr-FR"/>
        </w:rPr>
        <w:t>s)</w:t>
      </w:r>
      <w:r w:rsidRPr="00B069FB">
        <w:rPr>
          <w:rFonts w:eastAsiaTheme="minorHAnsi" w:cs="Arial"/>
          <w:szCs w:val="20"/>
          <w:lang w:eastAsia="fr-FR"/>
        </w:rPr>
        <w:t xml:space="preserve">. This includes the creation of a “feedback” mechanism allowing FSRBs to request FATF for an interpretation of the </w:t>
      </w:r>
      <w:r w:rsidR="00125781" w:rsidRPr="00B069FB">
        <w:rPr>
          <w:rFonts w:eastAsiaTheme="minorHAnsi" w:cs="Arial"/>
          <w:szCs w:val="20"/>
          <w:lang w:eastAsia="fr-FR"/>
        </w:rPr>
        <w:t xml:space="preserve">global </w:t>
      </w:r>
      <w:r w:rsidRPr="00B069FB">
        <w:rPr>
          <w:rFonts w:eastAsiaTheme="minorHAnsi" w:cs="Arial"/>
          <w:szCs w:val="20"/>
          <w:lang w:eastAsia="fr-FR"/>
        </w:rPr>
        <w:t>Standards</w:t>
      </w:r>
      <w:r w:rsidR="00BB3335" w:rsidRPr="00B069FB">
        <w:rPr>
          <w:rFonts w:eastAsiaTheme="minorHAnsi" w:cs="Arial"/>
          <w:szCs w:val="20"/>
          <w:lang w:eastAsia="fr-FR"/>
        </w:rPr>
        <w:t>. T</w:t>
      </w:r>
      <w:r w:rsidRPr="00B069FB">
        <w:rPr>
          <w:rFonts w:eastAsiaTheme="minorHAnsi" w:cs="Arial"/>
          <w:szCs w:val="20"/>
          <w:lang w:eastAsia="fr-FR"/>
        </w:rPr>
        <w:t>his mechanism has already been activated twice by MONEYVAL</w:t>
      </w:r>
      <w:r w:rsidR="00BB3335" w:rsidRPr="00B069FB">
        <w:rPr>
          <w:rFonts w:eastAsiaTheme="minorHAnsi" w:cs="Arial"/>
          <w:szCs w:val="20"/>
          <w:lang w:eastAsia="fr-FR"/>
        </w:rPr>
        <w:t xml:space="preserve">, resulting in changes to the FATF </w:t>
      </w:r>
      <w:r w:rsidR="00125781" w:rsidRPr="00B069FB">
        <w:rPr>
          <w:rFonts w:eastAsiaTheme="minorHAnsi" w:cs="Arial"/>
          <w:szCs w:val="20"/>
          <w:lang w:eastAsia="fr-FR"/>
        </w:rPr>
        <w:t>Recommendations</w:t>
      </w:r>
      <w:r w:rsidRPr="00B069FB">
        <w:rPr>
          <w:rFonts w:eastAsiaTheme="minorHAnsi" w:cs="Arial"/>
          <w:szCs w:val="20"/>
          <w:lang w:eastAsia="fr-FR"/>
        </w:rPr>
        <w:t xml:space="preserve">. Furthermore, a joint MONEYVAL initiative with other FSRBs was launched to develop and implement a new </w:t>
      </w:r>
      <w:r w:rsidR="00125781" w:rsidRPr="00B069FB">
        <w:rPr>
          <w:rFonts w:eastAsiaTheme="minorHAnsi" w:cs="Arial"/>
          <w:szCs w:val="20"/>
          <w:lang w:eastAsia="fr-FR"/>
        </w:rPr>
        <w:t xml:space="preserve">Global </w:t>
      </w:r>
      <w:r w:rsidRPr="00B069FB">
        <w:rPr>
          <w:rFonts w:eastAsiaTheme="minorHAnsi" w:cs="Arial"/>
          <w:szCs w:val="20"/>
          <w:lang w:eastAsia="fr-FR"/>
        </w:rPr>
        <w:t>Strategic vision, envisaging a higher degree of integration between the assessor bodies</w:t>
      </w:r>
      <w:r w:rsidR="00125781" w:rsidRPr="00B069FB">
        <w:rPr>
          <w:rFonts w:eastAsiaTheme="minorHAnsi" w:cs="Arial"/>
          <w:szCs w:val="20"/>
          <w:lang w:eastAsia="fr-FR"/>
        </w:rPr>
        <w:t>, and influence of the FSRBs on the FATF</w:t>
      </w:r>
      <w:r w:rsidRPr="00B069FB">
        <w:rPr>
          <w:rFonts w:eastAsiaTheme="minorHAnsi" w:cs="Arial"/>
          <w:szCs w:val="20"/>
          <w:lang w:eastAsia="fr-FR"/>
        </w:rPr>
        <w:t xml:space="preserve">. This long-standing project shall be implemented throughout 2022-2024. </w:t>
      </w:r>
    </w:p>
    <w:p w14:paraId="20483833" w14:textId="77777777" w:rsidR="0066578D" w:rsidRPr="00B069FB" w:rsidRDefault="0066578D" w:rsidP="00B069FB">
      <w:pPr>
        <w:contextualSpacing/>
        <w:rPr>
          <w:rFonts w:eastAsiaTheme="minorHAnsi" w:cs="Arial"/>
          <w:szCs w:val="20"/>
          <w:lang w:eastAsia="fr-FR"/>
        </w:rPr>
      </w:pPr>
    </w:p>
    <w:p w14:paraId="0DA0B3AE" w14:textId="3CA4DBC4" w:rsidR="0066578D" w:rsidRPr="00B069FB" w:rsidRDefault="0066578D" w:rsidP="00B069FB">
      <w:pPr>
        <w:contextualSpacing/>
        <w:rPr>
          <w:rFonts w:eastAsiaTheme="minorHAnsi" w:cs="Arial"/>
          <w:szCs w:val="20"/>
          <w:lang w:eastAsia="fr-FR"/>
        </w:rPr>
      </w:pPr>
      <w:r w:rsidRPr="00B069FB">
        <w:rPr>
          <w:rFonts w:eastAsiaTheme="minorHAnsi" w:cs="Arial"/>
          <w:szCs w:val="20"/>
          <w:lang w:eastAsia="fr-FR"/>
        </w:rPr>
        <w:t>Co</w:t>
      </w:r>
      <w:r w:rsidR="003654E4">
        <w:rPr>
          <w:rFonts w:eastAsiaTheme="minorHAnsi" w:cs="Arial"/>
          <w:szCs w:val="20"/>
          <w:lang w:eastAsia="fr-FR"/>
        </w:rPr>
        <w:t>-</w:t>
      </w:r>
      <w:r w:rsidRPr="00B069FB">
        <w:rPr>
          <w:rFonts w:eastAsiaTheme="minorHAnsi" w:cs="Arial"/>
          <w:szCs w:val="20"/>
          <w:lang w:eastAsia="fr-FR"/>
        </w:rPr>
        <w:t xml:space="preserve">operation with other FSRBs has been expanding through MONEYVAL’s engagement in the review of </w:t>
      </w:r>
      <w:r w:rsidR="00125781" w:rsidRPr="00B069FB">
        <w:rPr>
          <w:rFonts w:eastAsiaTheme="minorHAnsi" w:cs="Arial"/>
          <w:szCs w:val="20"/>
          <w:lang w:eastAsia="fr-FR"/>
        </w:rPr>
        <w:t>mutual evaluation reports</w:t>
      </w:r>
      <w:r w:rsidRPr="00B069FB">
        <w:rPr>
          <w:rFonts w:eastAsiaTheme="minorHAnsi" w:cs="Arial"/>
          <w:szCs w:val="20"/>
          <w:lang w:eastAsia="fr-FR"/>
        </w:rPr>
        <w:t xml:space="preserve"> and consultations on strategic issues. Initial discussions have taken place among FSRBs to increase cross-fertilisation through sharing assessors and exchange of secretariat staff for each other’s evaluations. </w:t>
      </w:r>
    </w:p>
    <w:p w14:paraId="623FCD8E" w14:textId="77777777" w:rsidR="0066578D" w:rsidRPr="00B069FB" w:rsidRDefault="0066578D" w:rsidP="00B069FB">
      <w:pPr>
        <w:contextualSpacing/>
        <w:rPr>
          <w:rFonts w:eastAsiaTheme="minorHAnsi" w:cs="Arial"/>
          <w:szCs w:val="20"/>
          <w:lang w:eastAsia="fr-FR"/>
        </w:rPr>
      </w:pPr>
    </w:p>
    <w:p w14:paraId="44BD9F98" w14:textId="178D38B3" w:rsidR="0066578D" w:rsidRPr="00B069FB" w:rsidRDefault="0066578D" w:rsidP="00B069FB">
      <w:pPr>
        <w:contextualSpacing/>
        <w:rPr>
          <w:rFonts w:eastAsiaTheme="minorHAnsi" w:cs="Arial"/>
          <w:szCs w:val="20"/>
          <w:lang w:eastAsia="fr-FR"/>
        </w:rPr>
      </w:pPr>
      <w:r w:rsidRPr="00B069FB">
        <w:rPr>
          <w:rFonts w:eastAsiaTheme="minorHAnsi" w:cs="Arial"/>
          <w:szCs w:val="20"/>
          <w:lang w:eastAsia="fr-FR"/>
        </w:rPr>
        <w:t xml:space="preserve">Concrete relationships have been developed by MONEYVAL with counterparts in the Council of Europe in the fields of data protection, counterterrorism, cybercrime, human </w:t>
      </w:r>
      <w:proofErr w:type="gramStart"/>
      <w:r w:rsidRPr="00B069FB">
        <w:rPr>
          <w:rFonts w:eastAsiaTheme="minorHAnsi" w:cs="Arial"/>
          <w:szCs w:val="20"/>
          <w:lang w:eastAsia="fr-FR"/>
        </w:rPr>
        <w:t>rights</w:t>
      </w:r>
      <w:proofErr w:type="gramEnd"/>
      <w:r w:rsidRPr="00B069FB">
        <w:rPr>
          <w:rFonts w:eastAsiaTheme="minorHAnsi" w:cs="Arial"/>
          <w:szCs w:val="20"/>
          <w:lang w:eastAsia="fr-FR"/>
        </w:rPr>
        <w:t xml:space="preserve"> and </w:t>
      </w:r>
      <w:r w:rsidR="00125781" w:rsidRPr="00B069FB">
        <w:rPr>
          <w:rFonts w:eastAsiaTheme="minorHAnsi" w:cs="Arial"/>
          <w:szCs w:val="20"/>
          <w:lang w:eastAsia="fr-FR"/>
        </w:rPr>
        <w:t>regulation of non-profit organisations</w:t>
      </w:r>
      <w:r w:rsidRPr="00B069FB">
        <w:rPr>
          <w:rFonts w:eastAsiaTheme="minorHAnsi" w:cs="Arial"/>
          <w:szCs w:val="20"/>
          <w:lang w:eastAsia="fr-FR"/>
        </w:rPr>
        <w:t xml:space="preserve">, including as regards unintended consequences of the FATF standards, and other areas. This </w:t>
      </w:r>
      <w:r w:rsidR="00125781" w:rsidRPr="00B069FB">
        <w:rPr>
          <w:rFonts w:eastAsiaTheme="minorHAnsi" w:cs="Arial"/>
          <w:szCs w:val="20"/>
          <w:lang w:eastAsia="fr-FR"/>
        </w:rPr>
        <w:t xml:space="preserve">produces unique synergies </w:t>
      </w:r>
      <w:r w:rsidRPr="00B069FB">
        <w:rPr>
          <w:rFonts w:eastAsiaTheme="minorHAnsi" w:cs="Arial"/>
          <w:szCs w:val="20"/>
          <w:lang w:eastAsia="fr-FR"/>
        </w:rPr>
        <w:t>which benefit MONEYVAL</w:t>
      </w:r>
      <w:r w:rsidR="00125781" w:rsidRPr="00B069FB">
        <w:rPr>
          <w:rFonts w:eastAsiaTheme="minorHAnsi" w:cs="Arial"/>
          <w:szCs w:val="20"/>
          <w:lang w:eastAsia="fr-FR"/>
        </w:rPr>
        <w:t xml:space="preserve"> and the Council of Europe as a whole</w:t>
      </w:r>
      <w:r w:rsidRPr="00B069FB">
        <w:rPr>
          <w:rFonts w:eastAsiaTheme="minorHAnsi" w:cs="Arial"/>
          <w:szCs w:val="20"/>
          <w:lang w:eastAsia="fr-FR"/>
        </w:rPr>
        <w:t>. The Committee also facilitat</w:t>
      </w:r>
      <w:r w:rsidR="00125781" w:rsidRPr="00B069FB">
        <w:rPr>
          <w:rFonts w:eastAsiaTheme="minorHAnsi" w:cs="Arial"/>
          <w:szCs w:val="20"/>
          <w:lang w:eastAsia="fr-FR"/>
        </w:rPr>
        <w:t>ed</w:t>
      </w:r>
      <w:r w:rsidRPr="00B069FB">
        <w:rPr>
          <w:rFonts w:eastAsiaTheme="minorHAnsi" w:cs="Arial"/>
          <w:szCs w:val="20"/>
          <w:lang w:eastAsia="fr-FR"/>
        </w:rPr>
        <w:t xml:space="preserve"> further synergies between interested CoE entities and the </w:t>
      </w:r>
      <w:proofErr w:type="gramStart"/>
      <w:r w:rsidRPr="00B069FB">
        <w:rPr>
          <w:rFonts w:eastAsiaTheme="minorHAnsi" w:cs="Arial"/>
          <w:szCs w:val="20"/>
          <w:lang w:eastAsia="fr-FR"/>
        </w:rPr>
        <w:t>FATF, and</w:t>
      </w:r>
      <w:proofErr w:type="gramEnd"/>
      <w:r w:rsidRPr="00B069FB">
        <w:rPr>
          <w:rFonts w:eastAsiaTheme="minorHAnsi" w:cs="Arial"/>
          <w:szCs w:val="20"/>
          <w:lang w:eastAsia="fr-FR"/>
        </w:rPr>
        <w:t xml:space="preserve"> supported the successful observer request of the Council of Europe to the FATF. MONEYVAL continues to prioritise engagement with the </w:t>
      </w:r>
      <w:r w:rsidR="00125781" w:rsidRPr="00B069FB">
        <w:rPr>
          <w:rFonts w:eastAsiaTheme="minorHAnsi" w:cs="Arial"/>
          <w:szCs w:val="20"/>
          <w:lang w:eastAsia="fr-FR"/>
        </w:rPr>
        <w:t>Conference of the Parties to the CETS 1</w:t>
      </w:r>
      <w:r w:rsidRPr="00B069FB">
        <w:rPr>
          <w:rFonts w:eastAsiaTheme="minorHAnsi" w:cs="Arial"/>
          <w:szCs w:val="20"/>
          <w:lang w:eastAsia="fr-FR"/>
        </w:rPr>
        <w:t>98</w:t>
      </w:r>
      <w:r w:rsidR="00125781" w:rsidRPr="00B069FB">
        <w:rPr>
          <w:rFonts w:eastAsiaTheme="minorHAnsi" w:cs="Arial"/>
          <w:szCs w:val="20"/>
          <w:lang w:eastAsia="fr-FR"/>
        </w:rPr>
        <w:t xml:space="preserve"> Convention</w:t>
      </w:r>
      <w:r w:rsidRPr="00B069FB">
        <w:rPr>
          <w:rFonts w:eastAsiaTheme="minorHAnsi" w:cs="Arial"/>
          <w:szCs w:val="20"/>
          <w:lang w:eastAsia="fr-FR"/>
        </w:rPr>
        <w:t xml:space="preserve"> and </w:t>
      </w:r>
      <w:r w:rsidR="00125781" w:rsidRPr="00B069FB">
        <w:rPr>
          <w:rFonts w:eastAsiaTheme="minorHAnsi" w:cs="Arial"/>
          <w:szCs w:val="20"/>
          <w:lang w:eastAsia="fr-FR"/>
        </w:rPr>
        <w:t xml:space="preserve">actively </w:t>
      </w:r>
      <w:r w:rsidRPr="00B069FB">
        <w:rPr>
          <w:rFonts w:eastAsiaTheme="minorHAnsi" w:cs="Arial"/>
          <w:szCs w:val="20"/>
          <w:lang w:eastAsia="fr-FR"/>
        </w:rPr>
        <w:t>promot</w:t>
      </w:r>
      <w:r w:rsidR="00125781" w:rsidRPr="00B069FB">
        <w:rPr>
          <w:rFonts w:eastAsiaTheme="minorHAnsi" w:cs="Arial"/>
          <w:szCs w:val="20"/>
          <w:lang w:eastAsia="fr-FR"/>
        </w:rPr>
        <w:t>es</w:t>
      </w:r>
      <w:r w:rsidRPr="00B069FB">
        <w:rPr>
          <w:rFonts w:eastAsiaTheme="minorHAnsi" w:cs="Arial"/>
          <w:szCs w:val="20"/>
          <w:lang w:eastAsia="fr-FR"/>
        </w:rPr>
        <w:t xml:space="preserve"> </w:t>
      </w:r>
      <w:r w:rsidR="00125781" w:rsidRPr="00B069FB">
        <w:rPr>
          <w:rFonts w:eastAsiaTheme="minorHAnsi" w:cs="Arial"/>
          <w:szCs w:val="20"/>
          <w:lang w:eastAsia="fr-FR"/>
        </w:rPr>
        <w:t>its</w:t>
      </w:r>
      <w:r w:rsidRPr="00B069FB">
        <w:rPr>
          <w:rFonts w:eastAsiaTheme="minorHAnsi" w:cs="Arial"/>
          <w:szCs w:val="20"/>
          <w:lang w:eastAsia="fr-FR"/>
        </w:rPr>
        <w:t xml:space="preserve"> standards at the </w:t>
      </w:r>
      <w:r w:rsidR="00125781" w:rsidRPr="00B069FB">
        <w:rPr>
          <w:rFonts w:eastAsiaTheme="minorHAnsi" w:cs="Arial"/>
          <w:szCs w:val="20"/>
          <w:lang w:eastAsia="fr-FR"/>
        </w:rPr>
        <w:t xml:space="preserve">FATF global </w:t>
      </w:r>
      <w:r w:rsidRPr="00B069FB">
        <w:rPr>
          <w:rFonts w:eastAsiaTheme="minorHAnsi" w:cs="Arial"/>
          <w:szCs w:val="20"/>
          <w:lang w:eastAsia="fr-FR"/>
        </w:rPr>
        <w:t>level</w:t>
      </w:r>
      <w:r w:rsidR="00125781" w:rsidRPr="00B069FB">
        <w:rPr>
          <w:rFonts w:eastAsiaTheme="minorHAnsi" w:cs="Arial"/>
          <w:szCs w:val="20"/>
          <w:lang w:eastAsia="fr-FR"/>
        </w:rPr>
        <w:t>.</w:t>
      </w:r>
    </w:p>
    <w:p w14:paraId="39A07059" w14:textId="77777777" w:rsidR="0066578D" w:rsidRPr="00B069FB" w:rsidRDefault="0066578D" w:rsidP="00B069FB">
      <w:pPr>
        <w:contextualSpacing/>
        <w:rPr>
          <w:rFonts w:eastAsiaTheme="minorHAnsi" w:cs="Arial"/>
          <w:szCs w:val="20"/>
          <w:lang w:eastAsia="fr-FR"/>
        </w:rPr>
      </w:pPr>
    </w:p>
    <w:p w14:paraId="5B02CFE9" w14:textId="77777777" w:rsidR="0066578D" w:rsidRPr="00B069FB" w:rsidRDefault="0066578D" w:rsidP="00B069FB">
      <w:pPr>
        <w:rPr>
          <w:rFonts w:eastAsiaTheme="minorHAnsi" w:cs="Arial"/>
          <w:i/>
          <w:iCs/>
          <w:szCs w:val="20"/>
          <w:lang w:eastAsia="fr-FR"/>
        </w:rPr>
      </w:pPr>
      <w:r w:rsidRPr="00B069FB">
        <w:rPr>
          <w:rFonts w:eastAsiaTheme="minorHAnsi" w:cs="Arial"/>
          <w:i/>
          <w:iCs/>
          <w:szCs w:val="20"/>
          <w:lang w:eastAsia="fr-FR"/>
        </w:rPr>
        <w:t>Strengthening MONEYVAL’s political standing</w:t>
      </w:r>
    </w:p>
    <w:p w14:paraId="15EF05B9" w14:textId="77777777" w:rsidR="0066578D" w:rsidRPr="00B069FB" w:rsidRDefault="0066578D" w:rsidP="00B069FB">
      <w:pPr>
        <w:contextualSpacing/>
        <w:rPr>
          <w:rFonts w:eastAsiaTheme="minorHAnsi" w:cs="Arial"/>
          <w:szCs w:val="20"/>
          <w:lang w:eastAsia="fr-FR"/>
        </w:rPr>
      </w:pPr>
    </w:p>
    <w:p w14:paraId="0DBB4926" w14:textId="0DF4DAA7" w:rsidR="0066578D" w:rsidRPr="00B069FB" w:rsidRDefault="0066578D" w:rsidP="00B069FB">
      <w:pPr>
        <w:contextualSpacing/>
        <w:rPr>
          <w:rFonts w:eastAsiaTheme="minorHAnsi" w:cs="Arial"/>
          <w:szCs w:val="20"/>
          <w:lang w:eastAsia="fr-FR"/>
        </w:rPr>
      </w:pPr>
      <w:r w:rsidRPr="00B069FB">
        <w:rPr>
          <w:rFonts w:eastAsiaTheme="minorHAnsi" w:cs="Arial"/>
          <w:szCs w:val="20"/>
          <w:lang w:eastAsia="fr-FR"/>
        </w:rPr>
        <w:t xml:space="preserve">Political engagement and visibility of MONEYVAL have increased, including through </w:t>
      </w:r>
      <w:r w:rsidR="00501A17" w:rsidRPr="00B069FB">
        <w:rPr>
          <w:rFonts w:eastAsiaTheme="minorHAnsi" w:cs="Arial"/>
          <w:szCs w:val="20"/>
          <w:lang w:eastAsia="fr-FR"/>
        </w:rPr>
        <w:t xml:space="preserve">high level </w:t>
      </w:r>
      <w:r w:rsidRPr="00B069FB">
        <w:rPr>
          <w:rFonts w:eastAsiaTheme="minorHAnsi" w:cs="Arial"/>
          <w:szCs w:val="20"/>
          <w:lang w:eastAsia="fr-FR"/>
        </w:rPr>
        <w:t xml:space="preserve">engagement with </w:t>
      </w:r>
      <w:r w:rsidR="001F473F" w:rsidRPr="00B069FB">
        <w:rPr>
          <w:rFonts w:eastAsiaTheme="minorHAnsi" w:cs="Arial"/>
          <w:szCs w:val="20"/>
          <w:lang w:eastAsia="fr-FR"/>
        </w:rPr>
        <w:t xml:space="preserve">national governments undergoing mutual evaluations. </w:t>
      </w:r>
      <w:r w:rsidR="00125781" w:rsidRPr="00B069FB">
        <w:rPr>
          <w:rFonts w:eastAsiaTheme="minorHAnsi" w:cs="Arial"/>
          <w:szCs w:val="20"/>
          <w:lang w:eastAsia="fr-FR"/>
        </w:rPr>
        <w:t>S</w:t>
      </w:r>
      <w:r w:rsidRPr="00B069FB">
        <w:rPr>
          <w:rFonts w:eastAsiaTheme="minorHAnsi" w:cs="Arial"/>
          <w:szCs w:val="20"/>
          <w:lang w:eastAsia="fr-FR"/>
        </w:rPr>
        <w:t xml:space="preserve">trategic consultations with ministers responsible for AML/CFT issues </w:t>
      </w:r>
      <w:r w:rsidR="00B069FB">
        <w:rPr>
          <w:rFonts w:eastAsiaTheme="minorHAnsi" w:cs="Arial"/>
          <w:szCs w:val="20"/>
          <w:lang w:eastAsia="fr-FR"/>
        </w:rPr>
        <w:t xml:space="preserve">were initiated </w:t>
      </w:r>
      <w:proofErr w:type="gramStart"/>
      <w:r w:rsidRPr="00B069FB">
        <w:rPr>
          <w:rFonts w:eastAsiaTheme="minorHAnsi" w:cs="Arial"/>
          <w:szCs w:val="20"/>
          <w:lang w:eastAsia="fr-FR"/>
        </w:rPr>
        <w:t>in order to</w:t>
      </w:r>
      <w:proofErr w:type="gramEnd"/>
      <w:r w:rsidRPr="00B069FB">
        <w:rPr>
          <w:rFonts w:eastAsiaTheme="minorHAnsi" w:cs="Arial"/>
          <w:szCs w:val="20"/>
          <w:lang w:eastAsia="fr-FR"/>
        </w:rPr>
        <w:t xml:space="preserve"> discuss and adopt the new Strategy</w:t>
      </w:r>
      <w:r w:rsidR="00B069FB">
        <w:rPr>
          <w:rFonts w:eastAsiaTheme="minorHAnsi" w:cs="Arial"/>
          <w:szCs w:val="20"/>
          <w:lang w:eastAsia="fr-FR"/>
        </w:rPr>
        <w:t xml:space="preserve"> in 2023</w:t>
      </w:r>
      <w:r w:rsidRPr="00B069FB">
        <w:rPr>
          <w:rFonts w:eastAsiaTheme="minorHAnsi" w:cs="Arial"/>
          <w:szCs w:val="20"/>
          <w:lang w:eastAsia="fr-FR"/>
        </w:rPr>
        <w:t xml:space="preserve">, agree on strategic resource commitments with regard to MONEYVAL and the parameters of its developing engagement in the Global Network. </w:t>
      </w:r>
    </w:p>
    <w:p w14:paraId="64F20075" w14:textId="77777777" w:rsidR="0066578D" w:rsidRPr="00B069FB" w:rsidRDefault="0066578D" w:rsidP="00B069FB">
      <w:pPr>
        <w:contextualSpacing/>
        <w:rPr>
          <w:rFonts w:eastAsiaTheme="minorHAnsi" w:cs="Arial"/>
          <w:szCs w:val="20"/>
          <w:lang w:eastAsia="fr-FR"/>
        </w:rPr>
      </w:pPr>
    </w:p>
    <w:p w14:paraId="55B66539" w14:textId="77777777" w:rsidR="004D5F3C" w:rsidRDefault="004D5F3C">
      <w:pPr>
        <w:rPr>
          <w:rFonts w:eastAsiaTheme="minorHAnsi" w:cs="Arial"/>
          <w:b/>
          <w:bCs/>
          <w:szCs w:val="20"/>
          <w:lang w:eastAsia="fr-FR"/>
        </w:rPr>
      </w:pPr>
      <w:r>
        <w:rPr>
          <w:rFonts w:eastAsiaTheme="minorHAnsi" w:cs="Arial"/>
          <w:b/>
          <w:bCs/>
          <w:szCs w:val="20"/>
          <w:lang w:eastAsia="fr-FR"/>
        </w:rPr>
        <w:br w:type="page"/>
      </w:r>
    </w:p>
    <w:p w14:paraId="18F62A99" w14:textId="65E9F194" w:rsidR="007E49E1" w:rsidRPr="00B069FB" w:rsidRDefault="007E49E1" w:rsidP="00B069FB">
      <w:pPr>
        <w:contextualSpacing/>
        <w:rPr>
          <w:rFonts w:eastAsiaTheme="minorHAnsi" w:cs="Arial"/>
          <w:b/>
          <w:bCs/>
          <w:szCs w:val="20"/>
          <w:lang w:eastAsia="fr-FR"/>
        </w:rPr>
      </w:pPr>
      <w:r w:rsidRPr="00B069FB">
        <w:rPr>
          <w:rFonts w:eastAsiaTheme="minorHAnsi" w:cs="Arial"/>
          <w:b/>
          <w:bCs/>
          <w:szCs w:val="20"/>
          <w:lang w:eastAsia="fr-FR"/>
        </w:rPr>
        <w:lastRenderedPageBreak/>
        <w:t>1.3</w:t>
      </w:r>
      <w:r w:rsidR="004D5F3C">
        <w:rPr>
          <w:rFonts w:eastAsiaTheme="minorHAnsi" w:cs="Arial"/>
          <w:b/>
          <w:bCs/>
          <w:szCs w:val="20"/>
          <w:lang w:eastAsia="fr-FR"/>
        </w:rPr>
        <w:tab/>
      </w:r>
      <w:r w:rsidRPr="00B069FB">
        <w:rPr>
          <w:rFonts w:eastAsiaTheme="minorHAnsi" w:cs="Arial"/>
          <w:b/>
          <w:bCs/>
          <w:szCs w:val="20"/>
          <w:lang w:eastAsia="fr-FR"/>
        </w:rPr>
        <w:t>Preparation of the Strategy for 2023-2027</w:t>
      </w:r>
    </w:p>
    <w:p w14:paraId="61BD2924" w14:textId="77777777" w:rsidR="007E49E1" w:rsidRPr="00B069FB" w:rsidRDefault="007E49E1" w:rsidP="00B069FB">
      <w:pPr>
        <w:contextualSpacing/>
        <w:rPr>
          <w:rFonts w:eastAsiaTheme="minorHAnsi" w:cs="Arial"/>
          <w:szCs w:val="20"/>
          <w:lang w:eastAsia="fr-FR"/>
        </w:rPr>
      </w:pPr>
    </w:p>
    <w:p w14:paraId="2C1A1CC0" w14:textId="77777777" w:rsidR="00A77EB8" w:rsidRPr="00B069FB" w:rsidRDefault="0066578D" w:rsidP="00B069FB">
      <w:pPr>
        <w:contextualSpacing/>
        <w:rPr>
          <w:rFonts w:eastAsiaTheme="minorHAnsi" w:cs="Arial"/>
          <w:szCs w:val="20"/>
          <w:lang w:eastAsia="fr-FR"/>
        </w:rPr>
      </w:pPr>
      <w:r w:rsidRPr="00B069FB">
        <w:rPr>
          <w:rFonts w:eastAsiaTheme="minorHAnsi" w:cs="Arial"/>
          <w:szCs w:val="20"/>
          <w:lang w:eastAsia="fr-FR"/>
        </w:rPr>
        <w:t xml:space="preserve">The implementation of the </w:t>
      </w:r>
      <w:r w:rsidR="007E49E1" w:rsidRPr="00B069FB">
        <w:rPr>
          <w:rFonts w:eastAsiaTheme="minorHAnsi" w:cs="Arial"/>
          <w:szCs w:val="20"/>
          <w:lang w:eastAsia="fr-FR"/>
        </w:rPr>
        <w:t xml:space="preserve">2020-2022 </w:t>
      </w:r>
      <w:r w:rsidRPr="00B069FB">
        <w:rPr>
          <w:rFonts w:eastAsiaTheme="minorHAnsi" w:cs="Arial"/>
          <w:szCs w:val="20"/>
          <w:lang w:eastAsia="fr-FR"/>
        </w:rPr>
        <w:t>Strategy allowed MONEYVAL, its governing bodies and Secretariat to further develop experience in strategic planning, thus setting the stage for the preparation of the new Strategy</w:t>
      </w:r>
      <w:r w:rsidR="007E49E1" w:rsidRPr="00B069FB">
        <w:rPr>
          <w:rFonts w:eastAsiaTheme="minorHAnsi" w:cs="Arial"/>
          <w:szCs w:val="20"/>
          <w:lang w:eastAsia="fr-FR"/>
        </w:rPr>
        <w:t xml:space="preserve"> for the period 2023-2027</w:t>
      </w:r>
      <w:r w:rsidRPr="00B069FB">
        <w:rPr>
          <w:rFonts w:eastAsiaTheme="minorHAnsi" w:cs="Arial"/>
          <w:szCs w:val="20"/>
          <w:lang w:eastAsia="fr-FR"/>
        </w:rPr>
        <w:t>.</w:t>
      </w:r>
      <w:r w:rsidR="00501A17" w:rsidRPr="00B069FB">
        <w:rPr>
          <w:rFonts w:eastAsiaTheme="minorHAnsi" w:cs="Arial"/>
          <w:szCs w:val="20"/>
          <w:lang w:eastAsia="fr-FR"/>
        </w:rPr>
        <w:t xml:space="preserve"> A dedicated Strategy group was created and held a meeting in October 2022 for this purpose. Its discussions were based on a detailed analysis of MONEYVAL’s strengths, weaknesses, </w:t>
      </w:r>
      <w:proofErr w:type="gramStart"/>
      <w:r w:rsidR="00501A17" w:rsidRPr="00B069FB">
        <w:rPr>
          <w:rFonts w:eastAsiaTheme="minorHAnsi" w:cs="Arial"/>
          <w:szCs w:val="20"/>
          <w:lang w:eastAsia="fr-FR"/>
        </w:rPr>
        <w:t>opportunities</w:t>
      </w:r>
      <w:proofErr w:type="gramEnd"/>
      <w:r w:rsidR="00501A17" w:rsidRPr="00B069FB">
        <w:rPr>
          <w:rFonts w:eastAsiaTheme="minorHAnsi" w:cs="Arial"/>
          <w:szCs w:val="20"/>
          <w:lang w:eastAsia="fr-FR"/>
        </w:rPr>
        <w:t xml:space="preserve"> and threats (SWOT), while taking into account the resource capacities of the Committee and the potential for </w:t>
      </w:r>
      <w:r w:rsidR="00A77EB8" w:rsidRPr="00B069FB">
        <w:rPr>
          <w:rFonts w:eastAsiaTheme="minorHAnsi" w:cs="Arial"/>
          <w:szCs w:val="20"/>
          <w:lang w:eastAsia="fr-FR"/>
        </w:rPr>
        <w:t xml:space="preserve">extrabudgetary support from the membership. </w:t>
      </w:r>
    </w:p>
    <w:p w14:paraId="6F050C84" w14:textId="77777777" w:rsidR="00A77EB8" w:rsidRPr="00B069FB" w:rsidRDefault="00A77EB8" w:rsidP="00B069FB">
      <w:pPr>
        <w:contextualSpacing/>
        <w:rPr>
          <w:rFonts w:eastAsiaTheme="minorHAnsi" w:cs="Arial"/>
          <w:szCs w:val="20"/>
          <w:lang w:eastAsia="fr-FR"/>
        </w:rPr>
      </w:pPr>
    </w:p>
    <w:p w14:paraId="5E567CA2" w14:textId="70377635" w:rsidR="00A77EB8" w:rsidRPr="00B069FB" w:rsidRDefault="00A77EB8" w:rsidP="00B069FB">
      <w:pPr>
        <w:contextualSpacing/>
        <w:rPr>
          <w:rFonts w:eastAsiaTheme="minorHAnsi" w:cs="Arial"/>
          <w:szCs w:val="20"/>
          <w:lang w:eastAsia="fr-FR"/>
        </w:rPr>
      </w:pPr>
      <w:r w:rsidRPr="00B069FB">
        <w:rPr>
          <w:rFonts w:eastAsiaTheme="minorHAnsi" w:cs="Arial"/>
          <w:szCs w:val="20"/>
          <w:lang w:eastAsia="fr-FR"/>
        </w:rPr>
        <w:t xml:space="preserve">The resulting draft Strategy aims to develop MONEYVAL in line with five Strategic Pillars, related to: further enhancing MONEYVAL’s monitoring mechanisms; enhancing the Committee’s role as a reference point for AML/CFT issues in the region; strengthening its role in the FATF Global Network; further developing synergies within the Council of Europe; developing MONEYVAL’s political standing and media visibility; and strengthening the Committee’s resources. </w:t>
      </w:r>
    </w:p>
    <w:p w14:paraId="660CADD0" w14:textId="0F4DFF0A" w:rsidR="00A77EB8" w:rsidRPr="00B069FB" w:rsidRDefault="00A77EB8" w:rsidP="00B069FB">
      <w:pPr>
        <w:contextualSpacing/>
        <w:rPr>
          <w:rFonts w:eastAsiaTheme="minorHAnsi" w:cs="Arial"/>
          <w:szCs w:val="20"/>
          <w:lang w:eastAsia="fr-FR"/>
        </w:rPr>
      </w:pPr>
    </w:p>
    <w:p w14:paraId="3E3DD1FD" w14:textId="64C97692" w:rsidR="00A77EB8" w:rsidRDefault="00A77EB8" w:rsidP="00B069FB">
      <w:pPr>
        <w:contextualSpacing/>
        <w:rPr>
          <w:rFonts w:eastAsiaTheme="minorHAnsi" w:cs="Arial"/>
          <w:szCs w:val="20"/>
          <w:lang w:eastAsia="fr-FR"/>
        </w:rPr>
      </w:pPr>
      <w:r w:rsidRPr="00B069FB">
        <w:rPr>
          <w:rFonts w:eastAsiaTheme="minorHAnsi" w:cs="Arial"/>
          <w:szCs w:val="20"/>
          <w:lang w:eastAsia="fr-FR"/>
        </w:rPr>
        <w:t>The new Strategy</w:t>
      </w:r>
      <w:r w:rsidR="00B069FB">
        <w:rPr>
          <w:rFonts w:eastAsiaTheme="minorHAnsi" w:cs="Arial"/>
          <w:szCs w:val="20"/>
          <w:lang w:eastAsia="fr-FR"/>
        </w:rPr>
        <w:t xml:space="preserve"> </w:t>
      </w:r>
      <w:r w:rsidR="00FC2E59">
        <w:rPr>
          <w:rFonts w:eastAsiaTheme="minorHAnsi" w:cs="Arial"/>
          <w:szCs w:val="20"/>
          <w:lang w:eastAsia="fr-FR"/>
        </w:rPr>
        <w:t xml:space="preserve">and a declaration were </w:t>
      </w:r>
      <w:r w:rsidR="00B069FB">
        <w:rPr>
          <w:rFonts w:eastAsiaTheme="minorHAnsi" w:cs="Arial"/>
          <w:szCs w:val="20"/>
          <w:lang w:eastAsia="fr-FR"/>
        </w:rPr>
        <w:t xml:space="preserve">adopted at </w:t>
      </w:r>
      <w:r w:rsidRPr="00B069FB">
        <w:rPr>
          <w:rFonts w:eastAsiaTheme="minorHAnsi" w:cs="Arial"/>
          <w:szCs w:val="20"/>
          <w:lang w:eastAsia="fr-FR"/>
        </w:rPr>
        <w:t xml:space="preserve">the High-level meeting </w:t>
      </w:r>
      <w:r w:rsidR="00B069FB">
        <w:rPr>
          <w:rFonts w:eastAsiaTheme="minorHAnsi" w:cs="Arial"/>
          <w:szCs w:val="20"/>
          <w:lang w:eastAsia="fr-FR"/>
        </w:rPr>
        <w:t xml:space="preserve">held </w:t>
      </w:r>
      <w:r w:rsidRPr="00B069FB">
        <w:rPr>
          <w:rFonts w:eastAsiaTheme="minorHAnsi" w:cs="Arial"/>
          <w:szCs w:val="20"/>
          <w:lang w:eastAsia="fr-FR"/>
        </w:rPr>
        <w:t>in Warsaw, Poland on 25</w:t>
      </w:r>
      <w:r w:rsidR="003654E4">
        <w:rPr>
          <w:rFonts w:eastAsiaTheme="minorHAnsi" w:cs="Arial"/>
          <w:szCs w:val="20"/>
          <w:lang w:eastAsia="fr-FR"/>
        </w:rPr>
        <w:t> </w:t>
      </w:r>
      <w:r w:rsidRPr="00B069FB">
        <w:rPr>
          <w:rFonts w:eastAsiaTheme="minorHAnsi" w:cs="Arial"/>
          <w:szCs w:val="20"/>
          <w:lang w:eastAsia="fr-FR"/>
        </w:rPr>
        <w:t>April 2023.</w:t>
      </w:r>
      <w:r w:rsidR="00FC2E59">
        <w:rPr>
          <w:rStyle w:val="FootnoteReference"/>
          <w:rFonts w:eastAsiaTheme="minorHAnsi" w:cs="Arial"/>
          <w:szCs w:val="20"/>
          <w:lang w:eastAsia="fr-FR"/>
        </w:rPr>
        <w:footnoteReference w:id="3"/>
      </w:r>
    </w:p>
    <w:p w14:paraId="0F53CE20" w14:textId="723B8252" w:rsidR="00A77EB8" w:rsidRDefault="00A77EB8" w:rsidP="0066578D">
      <w:pPr>
        <w:contextualSpacing/>
        <w:jc w:val="both"/>
        <w:rPr>
          <w:rFonts w:eastAsiaTheme="minorHAnsi" w:cs="Arial"/>
          <w:szCs w:val="20"/>
          <w:lang w:eastAsia="fr-FR"/>
        </w:rPr>
      </w:pPr>
    </w:p>
    <w:p w14:paraId="1343B6C2" w14:textId="57262C3D" w:rsidR="00277C14" w:rsidRDefault="00277C14" w:rsidP="000C5B9D">
      <w:pPr>
        <w:pStyle w:val="Heading1"/>
        <w:numPr>
          <w:ilvl w:val="0"/>
          <w:numId w:val="37"/>
        </w:numPr>
        <w:spacing w:before="0"/>
        <w:rPr>
          <w:rFonts w:ascii="Arial" w:eastAsiaTheme="minorHAnsi" w:hAnsi="Arial" w:cs="Times New Roman"/>
          <w:b/>
          <w:bCs/>
          <w:color w:val="auto"/>
          <w:kern w:val="28"/>
          <w:sz w:val="20"/>
          <w:szCs w:val="20"/>
        </w:rPr>
      </w:pPr>
      <w:bookmarkStart w:id="14" w:name="_Toc66712416"/>
      <w:bookmarkStart w:id="15" w:name="_Toc135409880"/>
      <w:r w:rsidRPr="000C5B9D">
        <w:rPr>
          <w:rFonts w:ascii="Arial" w:eastAsiaTheme="minorHAnsi" w:hAnsi="Arial" w:cs="Times New Roman"/>
          <w:b/>
          <w:bCs/>
          <w:color w:val="auto"/>
          <w:kern w:val="28"/>
          <w:sz w:val="20"/>
          <w:szCs w:val="20"/>
        </w:rPr>
        <w:t>MUTUAL EVALUATIONS AND FOLLOW-UP</w:t>
      </w:r>
      <w:bookmarkEnd w:id="14"/>
      <w:bookmarkEnd w:id="15"/>
    </w:p>
    <w:p w14:paraId="3A322D46" w14:textId="77777777" w:rsidR="000C5B9D" w:rsidRPr="000C5B9D" w:rsidRDefault="000C5B9D" w:rsidP="000C5B9D"/>
    <w:p w14:paraId="5BB85619" w14:textId="785E1734" w:rsidR="0074051E" w:rsidRDefault="0074051E" w:rsidP="0074051E">
      <w:pPr>
        <w:rPr>
          <w:rFonts w:cs="Arial"/>
          <w:szCs w:val="20"/>
        </w:rPr>
      </w:pPr>
      <w:r w:rsidRPr="0074051E">
        <w:rPr>
          <w:rFonts w:cs="Arial"/>
          <w:szCs w:val="20"/>
        </w:rPr>
        <w:t xml:space="preserve">Mutual evaluations are the central pillar of the MONEYVAL mandate. </w:t>
      </w:r>
      <w:r>
        <w:rPr>
          <w:rFonts w:cs="Arial"/>
          <w:szCs w:val="20"/>
        </w:rPr>
        <w:t xml:space="preserve">After </w:t>
      </w:r>
      <w:r w:rsidR="000307E9">
        <w:rPr>
          <w:rFonts w:cs="Arial"/>
          <w:szCs w:val="20"/>
        </w:rPr>
        <w:t>only a</w:t>
      </w:r>
      <w:r>
        <w:rPr>
          <w:rFonts w:cs="Arial"/>
          <w:szCs w:val="20"/>
        </w:rPr>
        <w:t xml:space="preserve"> </w:t>
      </w:r>
      <w:r w:rsidR="00205C94">
        <w:rPr>
          <w:rFonts w:cs="Arial"/>
          <w:szCs w:val="20"/>
        </w:rPr>
        <w:t>six</w:t>
      </w:r>
      <w:r>
        <w:rPr>
          <w:rFonts w:cs="Arial"/>
          <w:szCs w:val="20"/>
        </w:rPr>
        <w:t xml:space="preserve">-month delay caused by the </w:t>
      </w:r>
      <w:r w:rsidR="004356CC">
        <w:rPr>
          <w:rFonts w:cs="Arial"/>
          <w:szCs w:val="20"/>
        </w:rPr>
        <w:t>Covid</w:t>
      </w:r>
      <w:r>
        <w:rPr>
          <w:rFonts w:cs="Arial"/>
          <w:szCs w:val="20"/>
        </w:rPr>
        <w:t xml:space="preserve"> lockdown in 2020, the mutual evaluation programme </w:t>
      </w:r>
      <w:proofErr w:type="gramStart"/>
      <w:r>
        <w:rPr>
          <w:rFonts w:cs="Arial"/>
          <w:szCs w:val="20"/>
        </w:rPr>
        <w:t>continued on</w:t>
      </w:r>
      <w:proofErr w:type="gramEnd"/>
      <w:r>
        <w:rPr>
          <w:rFonts w:cs="Arial"/>
          <w:szCs w:val="20"/>
        </w:rPr>
        <w:t xml:space="preserve"> schedule in 2021, </w:t>
      </w:r>
      <w:r w:rsidR="000307E9">
        <w:rPr>
          <w:rFonts w:cs="Arial"/>
          <w:szCs w:val="20"/>
        </w:rPr>
        <w:t xml:space="preserve">and then subsequently in 2022 </w:t>
      </w:r>
      <w:r>
        <w:rPr>
          <w:rFonts w:cs="Arial"/>
          <w:szCs w:val="20"/>
        </w:rPr>
        <w:t>with four on-site visits carried out to</w:t>
      </w:r>
      <w:r w:rsidR="000307E9">
        <w:rPr>
          <w:rFonts w:cs="Arial"/>
          <w:szCs w:val="20"/>
        </w:rPr>
        <w:t xml:space="preserve"> Estonia, Monaco, North Macedonia and Romania</w:t>
      </w:r>
      <w:r>
        <w:rPr>
          <w:rFonts w:cs="Arial"/>
          <w:szCs w:val="20"/>
        </w:rPr>
        <w:t xml:space="preserve">, and four mutual evaluation reports adopted for </w:t>
      </w:r>
      <w:r w:rsidR="000307E9">
        <w:rPr>
          <w:rFonts w:cs="Arial"/>
          <w:szCs w:val="20"/>
        </w:rPr>
        <w:t>Bulgaria, Estonia, Liechtenstein and Monaco</w:t>
      </w:r>
      <w:r>
        <w:rPr>
          <w:rFonts w:cs="Arial"/>
          <w:szCs w:val="20"/>
        </w:rPr>
        <w:t xml:space="preserve">. </w:t>
      </w:r>
    </w:p>
    <w:p w14:paraId="2C6588E2" w14:textId="77777777" w:rsidR="0074051E" w:rsidRDefault="0074051E" w:rsidP="0074051E">
      <w:pPr>
        <w:rPr>
          <w:rFonts w:cs="Arial"/>
          <w:szCs w:val="20"/>
        </w:rPr>
      </w:pPr>
    </w:p>
    <w:p w14:paraId="61E6F4C7" w14:textId="3E51B42C" w:rsidR="00277C14" w:rsidRDefault="0074051E" w:rsidP="00277C14">
      <w:pPr>
        <w:rPr>
          <w:rFonts w:cs="Arial"/>
          <w:szCs w:val="20"/>
        </w:rPr>
      </w:pPr>
      <w:r>
        <w:rPr>
          <w:rFonts w:cs="Arial"/>
          <w:szCs w:val="20"/>
        </w:rPr>
        <w:t xml:space="preserve">MONEYVAL </w:t>
      </w:r>
      <w:r w:rsidR="00565570">
        <w:rPr>
          <w:rFonts w:cs="Arial"/>
          <w:szCs w:val="20"/>
        </w:rPr>
        <w:t xml:space="preserve">maintained the </w:t>
      </w:r>
      <w:r>
        <w:rPr>
          <w:rFonts w:cs="Arial"/>
          <w:szCs w:val="20"/>
        </w:rPr>
        <w:t xml:space="preserve">use </w:t>
      </w:r>
      <w:r w:rsidR="00565570">
        <w:rPr>
          <w:rFonts w:cs="Arial"/>
          <w:szCs w:val="20"/>
        </w:rPr>
        <w:t xml:space="preserve">of </w:t>
      </w:r>
      <w:r>
        <w:rPr>
          <w:rFonts w:cs="Arial"/>
          <w:szCs w:val="20"/>
        </w:rPr>
        <w:t>hybrid means for mutual evaluations</w:t>
      </w:r>
      <w:r w:rsidR="000307E9">
        <w:rPr>
          <w:rFonts w:cs="Arial"/>
          <w:szCs w:val="20"/>
        </w:rPr>
        <w:t xml:space="preserve"> only for the evaluation of Monaco</w:t>
      </w:r>
      <w:r>
        <w:rPr>
          <w:rFonts w:cs="Arial"/>
          <w:szCs w:val="20"/>
        </w:rPr>
        <w:t xml:space="preserve">, </w:t>
      </w:r>
      <w:proofErr w:type="gramStart"/>
      <w:r>
        <w:rPr>
          <w:rFonts w:cs="Arial"/>
          <w:szCs w:val="20"/>
        </w:rPr>
        <w:t>in order to</w:t>
      </w:r>
      <w:proofErr w:type="gramEnd"/>
      <w:r>
        <w:rPr>
          <w:rFonts w:cs="Arial"/>
          <w:szCs w:val="20"/>
        </w:rPr>
        <w:t xml:space="preserve"> mitigate risks related to </w:t>
      </w:r>
      <w:r w:rsidR="004356CC">
        <w:rPr>
          <w:rFonts w:cs="Arial"/>
          <w:szCs w:val="20"/>
        </w:rPr>
        <w:t>Covid</w:t>
      </w:r>
      <w:r>
        <w:rPr>
          <w:rFonts w:cs="Arial"/>
          <w:szCs w:val="20"/>
        </w:rPr>
        <w:t xml:space="preserve"> travel cancellations and possible infections</w:t>
      </w:r>
      <w:r w:rsidR="00565570">
        <w:rPr>
          <w:rFonts w:cs="Arial"/>
          <w:szCs w:val="20"/>
        </w:rPr>
        <w:t xml:space="preserve"> among evaluation team members</w:t>
      </w:r>
      <w:r>
        <w:rPr>
          <w:rFonts w:cs="Arial"/>
          <w:szCs w:val="20"/>
        </w:rPr>
        <w:t xml:space="preserve">. </w:t>
      </w:r>
      <w:r w:rsidR="000307E9">
        <w:rPr>
          <w:rFonts w:cs="Arial"/>
          <w:szCs w:val="20"/>
        </w:rPr>
        <w:t xml:space="preserve">Other evaluations were held in physical mode. </w:t>
      </w:r>
      <w:r w:rsidR="00277C14" w:rsidRPr="00277C14">
        <w:rPr>
          <w:rFonts w:cs="Arial"/>
          <w:szCs w:val="20"/>
        </w:rPr>
        <w:t xml:space="preserve">MONEYVAL </w:t>
      </w:r>
      <w:r>
        <w:rPr>
          <w:rFonts w:cs="Arial"/>
          <w:szCs w:val="20"/>
        </w:rPr>
        <w:t>continues to be the FATF-style regional body with the most mutual evaluations conducted in the Global Network of AML/CFT assessor bodies</w:t>
      </w:r>
      <w:r w:rsidR="00565570">
        <w:rPr>
          <w:rFonts w:cs="Arial"/>
          <w:szCs w:val="20"/>
        </w:rPr>
        <w:t xml:space="preserve"> since the start of the pandemic</w:t>
      </w:r>
      <w:r>
        <w:rPr>
          <w:rFonts w:cs="Arial"/>
          <w:szCs w:val="20"/>
        </w:rPr>
        <w:t xml:space="preserve">.  </w:t>
      </w:r>
      <w:r w:rsidR="00277C14" w:rsidRPr="00277C14">
        <w:rPr>
          <w:rFonts w:cs="Arial"/>
          <w:szCs w:val="20"/>
        </w:rPr>
        <w:t xml:space="preserve"> </w:t>
      </w:r>
    </w:p>
    <w:p w14:paraId="1FBE167C" w14:textId="77777777" w:rsidR="00933DF9" w:rsidRPr="00FC2E59" w:rsidRDefault="00933DF9" w:rsidP="00277C14">
      <w:pPr>
        <w:rPr>
          <w:rFonts w:cs="Arial"/>
          <w:szCs w:val="20"/>
          <w:lang w:val="en-US"/>
        </w:rPr>
      </w:pPr>
    </w:p>
    <w:p w14:paraId="744951C7" w14:textId="77777777" w:rsidR="00277C14" w:rsidRPr="00FC2E59" w:rsidRDefault="00277C14" w:rsidP="00277C14">
      <w:pPr>
        <w:rPr>
          <w:rFonts w:cs="Arial"/>
          <w:szCs w:val="20"/>
          <w:lang w:val="en-US"/>
        </w:rPr>
      </w:pPr>
    </w:p>
    <w:p w14:paraId="2C9F5A70" w14:textId="0A600F94" w:rsidR="003C2584" w:rsidRPr="00B069FB" w:rsidRDefault="000C5B9D" w:rsidP="003C2584">
      <w:pPr>
        <w:pStyle w:val="Heading2"/>
        <w:keepLines w:val="0"/>
        <w:tabs>
          <w:tab w:val="left" w:pos="709"/>
        </w:tabs>
        <w:spacing w:before="0"/>
        <w:ind w:right="680"/>
        <w:jc w:val="both"/>
        <w:rPr>
          <w:rFonts w:ascii="Arial" w:eastAsiaTheme="minorHAnsi" w:hAnsi="Arial" w:cs="Times New Roman"/>
          <w:b/>
          <w:bCs/>
          <w:color w:val="000000" w:themeColor="text1"/>
          <w:sz w:val="20"/>
          <w:szCs w:val="20"/>
          <w:lang w:val="en-US"/>
        </w:rPr>
      </w:pPr>
      <w:bookmarkStart w:id="16" w:name="_Toc135409881"/>
      <w:bookmarkStart w:id="17" w:name="_Toc66712417"/>
      <w:r w:rsidRPr="000C5B9D">
        <w:rPr>
          <w:rFonts w:ascii="Arial" w:eastAsiaTheme="minorHAnsi" w:hAnsi="Arial" w:cs="Times New Roman"/>
          <w:b/>
          <w:bCs/>
          <w:color w:val="000000" w:themeColor="text1"/>
          <w:sz w:val="20"/>
          <w:szCs w:val="20"/>
          <w:lang w:val="en-US"/>
        </w:rPr>
        <w:t>2.1.</w:t>
      </w:r>
      <w:r w:rsidRPr="000C5B9D">
        <w:rPr>
          <w:rFonts w:ascii="Arial" w:eastAsiaTheme="minorHAnsi" w:hAnsi="Arial" w:cs="Times New Roman"/>
          <w:b/>
          <w:bCs/>
          <w:color w:val="000000" w:themeColor="text1"/>
          <w:sz w:val="20"/>
          <w:szCs w:val="20"/>
          <w:lang w:val="en-US"/>
        </w:rPr>
        <w:tab/>
      </w:r>
      <w:r w:rsidR="003C2584" w:rsidRPr="00B069FB">
        <w:rPr>
          <w:rFonts w:ascii="Arial" w:eastAsiaTheme="minorHAnsi" w:hAnsi="Arial" w:cs="Times New Roman"/>
          <w:b/>
          <w:bCs/>
          <w:color w:val="000000" w:themeColor="text1"/>
          <w:sz w:val="20"/>
          <w:szCs w:val="20"/>
          <w:lang w:val="en-US"/>
        </w:rPr>
        <w:t>5</w:t>
      </w:r>
      <w:r w:rsidR="003C2584" w:rsidRPr="00B069FB">
        <w:rPr>
          <w:rFonts w:ascii="Arial" w:eastAsiaTheme="minorHAnsi" w:hAnsi="Arial" w:cs="Times New Roman"/>
          <w:b/>
          <w:bCs/>
          <w:color w:val="000000" w:themeColor="text1"/>
          <w:sz w:val="20"/>
          <w:szCs w:val="20"/>
          <w:vertAlign w:val="superscript"/>
          <w:lang w:val="en-US"/>
        </w:rPr>
        <w:t>th</w:t>
      </w:r>
      <w:r w:rsidR="003C2584" w:rsidRPr="00B069FB">
        <w:rPr>
          <w:rFonts w:ascii="Arial" w:eastAsiaTheme="minorHAnsi" w:hAnsi="Arial" w:cs="Times New Roman"/>
          <w:b/>
          <w:bCs/>
          <w:color w:val="000000" w:themeColor="text1"/>
          <w:sz w:val="20"/>
          <w:szCs w:val="20"/>
          <w:lang w:val="en-US"/>
        </w:rPr>
        <w:t> round mutual evaluation report of Bulgaria</w:t>
      </w:r>
      <w:bookmarkEnd w:id="16"/>
    </w:p>
    <w:p w14:paraId="1126A757" w14:textId="46B17ABD" w:rsidR="003C2584" w:rsidRPr="00B069FB" w:rsidRDefault="003C2584" w:rsidP="003C2584">
      <w:pPr>
        <w:rPr>
          <w:lang w:val="en-US"/>
        </w:rPr>
      </w:pPr>
    </w:p>
    <w:p w14:paraId="05E3139F" w14:textId="5F192CAB" w:rsidR="003C2584" w:rsidRPr="00B069FB" w:rsidRDefault="00744408" w:rsidP="003C2584">
      <w:pPr>
        <w:rPr>
          <w:lang w:val="en-US"/>
        </w:rPr>
      </w:pPr>
      <w:r w:rsidRPr="00B069FB">
        <w:rPr>
          <w:lang w:val="en-US"/>
        </w:rPr>
        <w:t>The 5</w:t>
      </w:r>
      <w:r w:rsidR="00EE5C37" w:rsidRPr="00EE5C37">
        <w:rPr>
          <w:vertAlign w:val="superscript"/>
          <w:lang w:val="en-US"/>
        </w:rPr>
        <w:t>th</w:t>
      </w:r>
      <w:r w:rsidR="00EE5C37">
        <w:rPr>
          <w:lang w:val="en-US"/>
        </w:rPr>
        <w:t xml:space="preserve"> </w:t>
      </w:r>
      <w:r w:rsidRPr="00B069FB">
        <w:rPr>
          <w:lang w:val="en-US"/>
        </w:rPr>
        <w:t>Round mutual evaluation report of Bulgaria was adopted at the 63</w:t>
      </w:r>
      <w:r w:rsidR="00EE5C37" w:rsidRPr="00EE5C37">
        <w:rPr>
          <w:vertAlign w:val="superscript"/>
          <w:lang w:val="en-US"/>
        </w:rPr>
        <w:t>rd</w:t>
      </w:r>
      <w:r w:rsidR="00EE5C37">
        <w:rPr>
          <w:lang w:val="en-US"/>
        </w:rPr>
        <w:t xml:space="preserve"> </w:t>
      </w:r>
      <w:r w:rsidRPr="00B069FB">
        <w:rPr>
          <w:lang w:val="en-US"/>
        </w:rPr>
        <w:t xml:space="preserve">Plenary meeting in May 2022. </w:t>
      </w:r>
      <w:r w:rsidR="003C2584" w:rsidRPr="00B069FB">
        <w:rPr>
          <w:lang w:val="en-US"/>
        </w:rPr>
        <w:t xml:space="preserve">MONEYVAL </w:t>
      </w:r>
      <w:r w:rsidRPr="00B069FB">
        <w:rPr>
          <w:lang w:val="en-US"/>
        </w:rPr>
        <w:t>conclude</w:t>
      </w:r>
      <w:r w:rsidR="00977380" w:rsidRPr="00B069FB">
        <w:rPr>
          <w:lang w:val="en-US"/>
        </w:rPr>
        <w:t>s</w:t>
      </w:r>
      <w:r w:rsidRPr="00B069FB">
        <w:rPr>
          <w:lang w:val="en-US"/>
        </w:rPr>
        <w:t xml:space="preserve"> </w:t>
      </w:r>
      <w:r w:rsidR="003C2584" w:rsidRPr="00B069FB">
        <w:rPr>
          <w:lang w:val="en-US"/>
        </w:rPr>
        <w:t xml:space="preserve">that Bulgaria achieved a moderate level of effectiveness regarding the assessment of money laundering and terrorism financing risks, and domestic </w:t>
      </w:r>
      <w:r w:rsidR="003654E4">
        <w:rPr>
          <w:lang w:val="en-US"/>
        </w:rPr>
        <w:t>co-or</w:t>
      </w:r>
      <w:r w:rsidR="003C2584" w:rsidRPr="00B069FB">
        <w:rPr>
          <w:lang w:val="en-US"/>
        </w:rPr>
        <w:t>dination, investigation and prosecution of terrorism financing, targeted financial sanctions related to terrorism financing, the implementation of preventive measures by and supervision of financial institutions and non-financial professions (accountants, lawyers, notaries, trusts and company service providers, casinos and real estate agents), as well as in international co</w:t>
      </w:r>
      <w:r w:rsidR="003654E4">
        <w:rPr>
          <w:lang w:val="en-US"/>
        </w:rPr>
        <w:t>-</w:t>
      </w:r>
      <w:r w:rsidR="003C2584" w:rsidRPr="00B069FB">
        <w:rPr>
          <w:lang w:val="en-US"/>
        </w:rPr>
        <w:t xml:space="preserve">operation. Bulgaria </w:t>
      </w:r>
      <w:r w:rsidR="00977380" w:rsidRPr="00B069FB">
        <w:rPr>
          <w:lang w:val="en-US"/>
        </w:rPr>
        <w:t xml:space="preserve">demonstrates </w:t>
      </w:r>
      <w:r w:rsidR="003C2584" w:rsidRPr="00B069FB">
        <w:rPr>
          <w:lang w:val="en-US"/>
        </w:rPr>
        <w:t>a low level of effectiveness in areas related to the use of financial intelligence, investigations and prosecutions of money laundering, confiscation of proceeds of crime or property of equivalent value, targeted financial sanctions related to proliferation financing and the prevention of misuse of legal persons and arrangements.</w:t>
      </w:r>
    </w:p>
    <w:p w14:paraId="73746804" w14:textId="77777777" w:rsidR="003C2584" w:rsidRPr="00B069FB" w:rsidRDefault="003C2584" w:rsidP="003C2584">
      <w:pPr>
        <w:rPr>
          <w:lang w:val="en-US"/>
        </w:rPr>
      </w:pPr>
    </w:p>
    <w:p w14:paraId="53C75691" w14:textId="1801C32B" w:rsidR="003C2584" w:rsidRPr="00B069FB" w:rsidRDefault="003C2584" w:rsidP="003C2584">
      <w:pPr>
        <w:rPr>
          <w:lang w:val="en-US"/>
        </w:rPr>
      </w:pPr>
      <w:r w:rsidRPr="00B069FB">
        <w:rPr>
          <w:lang w:val="en-US"/>
        </w:rPr>
        <w:t xml:space="preserve">MONEYVAL commends Bulgaria for conducting a comprehensive national risk assessment and notes that Bulgaria has, in general, a reasonable understanding of the main money laundering risks, while the understanding of the terrorism financing risks </w:t>
      </w:r>
      <w:r w:rsidR="00977380" w:rsidRPr="00B069FB">
        <w:rPr>
          <w:lang w:val="en-US"/>
        </w:rPr>
        <w:t xml:space="preserve">was </w:t>
      </w:r>
      <w:r w:rsidRPr="00B069FB">
        <w:rPr>
          <w:lang w:val="en-US"/>
        </w:rPr>
        <w:t xml:space="preserve">limited. The report finds that the lack of comprehensive statistics limits the authorities’ understanding and their abilities to react to risks. Challenges </w:t>
      </w:r>
      <w:r w:rsidR="00977380" w:rsidRPr="00B069FB">
        <w:rPr>
          <w:lang w:val="en-US"/>
        </w:rPr>
        <w:t xml:space="preserve">are noted </w:t>
      </w:r>
      <w:r w:rsidRPr="00B069FB">
        <w:rPr>
          <w:lang w:val="en-US"/>
        </w:rPr>
        <w:t>also in relation to inter-agency co-operation between law enforcement agencies, which is particularly hindered by the lack of necessary technical tools.</w:t>
      </w:r>
    </w:p>
    <w:p w14:paraId="2150CEEC" w14:textId="77777777" w:rsidR="003C2584" w:rsidRPr="00B069FB" w:rsidRDefault="003C2584" w:rsidP="003C2584">
      <w:pPr>
        <w:rPr>
          <w:lang w:val="en-US"/>
        </w:rPr>
      </w:pPr>
    </w:p>
    <w:p w14:paraId="6905446F" w14:textId="77777777" w:rsidR="004D5F3C" w:rsidRDefault="003C2584" w:rsidP="003C2584">
      <w:pPr>
        <w:rPr>
          <w:lang w:val="en-US"/>
        </w:rPr>
      </w:pPr>
      <w:r w:rsidRPr="00B069FB">
        <w:rPr>
          <w:lang w:val="en-US"/>
        </w:rPr>
        <w:t xml:space="preserve">The number of money-laundering investigations, prosecutions, and convictions, as well as the severity of the criminal sanctions for money laundering is generally low and is not commensurate with the identified money laundering risks. MONEYVAL notes that Bulgaria should improve the use of financial intelligence, the investigation and prosecution of the money laundering and confiscation regime, which are currently hampered by several technical and procedural constraints. In addition, the report finds that Bulgaria should take a more systematic approach to investigate the financing aspects of the terrorism-related offences, </w:t>
      </w:r>
    </w:p>
    <w:p w14:paraId="6AC97E71" w14:textId="77777777" w:rsidR="004D5F3C" w:rsidRDefault="004D5F3C">
      <w:pPr>
        <w:rPr>
          <w:lang w:val="en-US"/>
        </w:rPr>
      </w:pPr>
      <w:r>
        <w:rPr>
          <w:lang w:val="en-US"/>
        </w:rPr>
        <w:br w:type="page"/>
      </w:r>
    </w:p>
    <w:p w14:paraId="341EE9D5" w14:textId="0A1F388F" w:rsidR="003C2584" w:rsidRPr="00B069FB" w:rsidRDefault="003C2584" w:rsidP="003C2584">
      <w:pPr>
        <w:rPr>
          <w:lang w:val="en-US"/>
        </w:rPr>
      </w:pPr>
      <w:r w:rsidRPr="00B069FB">
        <w:rPr>
          <w:lang w:val="en-US"/>
        </w:rPr>
        <w:lastRenderedPageBreak/>
        <w:t xml:space="preserve">improve the national mechanism for implementing targeted financial sanctions and conduct more comprehensive analysis of terrorism financing vulnerabilities in the non-profit sectors. Bulgaria should also enhance risk-based supervision or monitoring of those non-profit </w:t>
      </w:r>
      <w:proofErr w:type="spellStart"/>
      <w:r w:rsidRPr="00B069FB">
        <w:rPr>
          <w:lang w:val="en-US"/>
        </w:rPr>
        <w:t>organisations</w:t>
      </w:r>
      <w:proofErr w:type="spellEnd"/>
      <w:r w:rsidRPr="00B069FB">
        <w:rPr>
          <w:lang w:val="en-US"/>
        </w:rPr>
        <w:t xml:space="preserve"> that are at risk of being misused for terrorism financing.</w:t>
      </w:r>
    </w:p>
    <w:p w14:paraId="20FD6FC4" w14:textId="77777777" w:rsidR="003C2584" w:rsidRPr="00B069FB" w:rsidRDefault="003C2584" w:rsidP="003C2584">
      <w:pPr>
        <w:rPr>
          <w:lang w:val="en-US"/>
        </w:rPr>
      </w:pPr>
    </w:p>
    <w:p w14:paraId="35B56E72" w14:textId="77777777" w:rsidR="003C2584" w:rsidRPr="00B069FB" w:rsidRDefault="003C2584" w:rsidP="003C2584">
      <w:pPr>
        <w:rPr>
          <w:lang w:val="en-US"/>
        </w:rPr>
      </w:pPr>
      <w:r w:rsidRPr="00B069FB">
        <w:rPr>
          <w:lang w:val="en-US"/>
        </w:rPr>
        <w:t xml:space="preserve">The knowledge of anti-money laundering and combating of financing of the terrorism obligations by obliged entities is generally high, however, the understanding of the business-related risks and the application of the preventative measures in higher-risk areas need to be improved. Supervisors are applying the risk-based approach for the financial sector to a large extent, while for other sectors the supervisory activities are still neither risk-based nor effective, which can be attributed to a significant lack of resources. In addition, the absence of measures to prevent criminals from entering the market for certain sectors (such as real estate brokers, trusts and company service providers, accountants, virtual asset service providers) is of concern. The report also notes that there are no criminality or other fit and proper tests performed regarding postal money operators or shareholders of currency exchange offices, and the ownership threshold for casinos that triggers </w:t>
      </w:r>
      <w:proofErr w:type="gramStart"/>
      <w:r w:rsidRPr="00B069FB">
        <w:rPr>
          <w:lang w:val="en-US"/>
        </w:rPr>
        <w:t>fit</w:t>
      </w:r>
      <w:proofErr w:type="gramEnd"/>
      <w:r w:rsidRPr="00B069FB">
        <w:rPr>
          <w:lang w:val="en-US"/>
        </w:rPr>
        <w:t xml:space="preserve"> and proper checks is higher than permitted by the FATF. MONEYVAL recommends establishing such market entry measures and to take proactive measures to prevent unlicensed (hawala) businesses.</w:t>
      </w:r>
    </w:p>
    <w:p w14:paraId="0C5AE6C1" w14:textId="77777777" w:rsidR="003C2584" w:rsidRPr="00B069FB" w:rsidRDefault="003C2584" w:rsidP="003C2584">
      <w:pPr>
        <w:rPr>
          <w:lang w:val="en-US"/>
        </w:rPr>
      </w:pPr>
    </w:p>
    <w:p w14:paraId="16533DB4" w14:textId="77777777" w:rsidR="003C2584" w:rsidRPr="00B069FB" w:rsidRDefault="003C2584" w:rsidP="003C2584">
      <w:pPr>
        <w:rPr>
          <w:lang w:val="en-US"/>
        </w:rPr>
      </w:pPr>
      <w:r w:rsidRPr="00B069FB">
        <w:rPr>
          <w:lang w:val="en-US"/>
        </w:rPr>
        <w:t>Despite Bulgaria’s efforts to increase the transparency of the beneficial ownership regime, there are significant concerns in relation to accuracy of the beneficial ownership information held in the registers and by the obliged entities. MONEYVAL recommends urgently reviewing policies and taking urgent actions in this sphere.</w:t>
      </w:r>
    </w:p>
    <w:p w14:paraId="1272CFBA" w14:textId="77777777" w:rsidR="003C2584" w:rsidRPr="00B069FB" w:rsidRDefault="003C2584" w:rsidP="003C2584">
      <w:pPr>
        <w:rPr>
          <w:lang w:val="en-US"/>
        </w:rPr>
      </w:pPr>
    </w:p>
    <w:p w14:paraId="21BE7F2D" w14:textId="4CE9C655" w:rsidR="003C2584" w:rsidRPr="00B069FB" w:rsidRDefault="003C2584" w:rsidP="003C2584">
      <w:pPr>
        <w:rPr>
          <w:lang w:val="en-US"/>
        </w:rPr>
      </w:pPr>
      <w:r w:rsidRPr="00B069FB">
        <w:rPr>
          <w:lang w:val="en-US"/>
        </w:rPr>
        <w:t>Finally, the report concludes that although there are some technical and procedural constrains, Bulgaria provides generally timely and constructive assistance across the range of requests for international co-operation, including mutual legal assistance.</w:t>
      </w:r>
    </w:p>
    <w:p w14:paraId="3F6A823F" w14:textId="334B4D8B" w:rsidR="00977380" w:rsidRPr="00B069FB" w:rsidRDefault="00977380" w:rsidP="003C2584">
      <w:pPr>
        <w:rPr>
          <w:lang w:val="en-US"/>
        </w:rPr>
      </w:pPr>
    </w:p>
    <w:p w14:paraId="7D1F63AA" w14:textId="02284E4E" w:rsidR="003C2584" w:rsidRDefault="00977380" w:rsidP="006E54F2">
      <w:pPr>
        <w:rPr>
          <w:lang w:val="en-US"/>
        </w:rPr>
      </w:pPr>
      <w:r w:rsidRPr="00B069FB">
        <w:rPr>
          <w:lang w:val="en-US"/>
        </w:rPr>
        <w:t>Based on the results of its evaluation, MONEYVAL decided to apply its enhanced follow-up procedure and invited Bulgaria to report back in May 2024.</w:t>
      </w:r>
    </w:p>
    <w:p w14:paraId="5F50B311" w14:textId="77777777" w:rsidR="006E54F2" w:rsidRPr="006E54F2" w:rsidRDefault="006E54F2" w:rsidP="006E54F2">
      <w:pPr>
        <w:rPr>
          <w:lang w:val="en-US"/>
        </w:rPr>
      </w:pPr>
    </w:p>
    <w:p w14:paraId="11EF1F61" w14:textId="70576F09" w:rsidR="003C2584" w:rsidRPr="00B069FB" w:rsidRDefault="003C2584" w:rsidP="00471DBC">
      <w:pPr>
        <w:pStyle w:val="Heading2"/>
        <w:keepLines w:val="0"/>
        <w:tabs>
          <w:tab w:val="left" w:pos="709"/>
        </w:tabs>
        <w:spacing w:before="0"/>
        <w:ind w:right="680"/>
        <w:jc w:val="both"/>
        <w:rPr>
          <w:rFonts w:ascii="Arial" w:eastAsiaTheme="minorHAnsi" w:hAnsi="Arial" w:cs="Times New Roman"/>
          <w:b/>
          <w:bCs/>
          <w:color w:val="000000" w:themeColor="text1"/>
          <w:sz w:val="20"/>
          <w:szCs w:val="20"/>
          <w:lang w:val="en-US"/>
        </w:rPr>
      </w:pPr>
      <w:bookmarkStart w:id="18" w:name="_Toc135409882"/>
      <w:r w:rsidRPr="00B069FB">
        <w:rPr>
          <w:rFonts w:ascii="Arial" w:eastAsiaTheme="minorHAnsi" w:hAnsi="Arial" w:cs="Times New Roman"/>
          <w:b/>
          <w:bCs/>
          <w:color w:val="000000" w:themeColor="text1"/>
          <w:sz w:val="20"/>
          <w:szCs w:val="20"/>
          <w:lang w:val="en-US"/>
        </w:rPr>
        <w:t xml:space="preserve">2.2 </w:t>
      </w:r>
      <w:r w:rsidRPr="00B069FB">
        <w:rPr>
          <w:rFonts w:ascii="Arial" w:eastAsiaTheme="minorHAnsi" w:hAnsi="Arial" w:cs="Times New Roman"/>
          <w:b/>
          <w:bCs/>
          <w:color w:val="000000" w:themeColor="text1"/>
          <w:sz w:val="20"/>
          <w:szCs w:val="20"/>
          <w:lang w:val="en-US"/>
        </w:rPr>
        <w:tab/>
        <w:t>5</w:t>
      </w:r>
      <w:r w:rsidRPr="00B069FB">
        <w:rPr>
          <w:rFonts w:ascii="Arial" w:eastAsiaTheme="minorHAnsi" w:hAnsi="Arial" w:cs="Times New Roman"/>
          <w:b/>
          <w:bCs/>
          <w:color w:val="000000" w:themeColor="text1"/>
          <w:sz w:val="20"/>
          <w:szCs w:val="20"/>
          <w:vertAlign w:val="superscript"/>
          <w:lang w:val="en-US"/>
        </w:rPr>
        <w:t>th</w:t>
      </w:r>
      <w:r w:rsidRPr="00B069FB">
        <w:rPr>
          <w:rFonts w:ascii="Arial" w:eastAsiaTheme="minorHAnsi" w:hAnsi="Arial" w:cs="Times New Roman"/>
          <w:b/>
          <w:bCs/>
          <w:color w:val="000000" w:themeColor="text1"/>
          <w:sz w:val="20"/>
          <w:szCs w:val="20"/>
          <w:lang w:val="en-US"/>
        </w:rPr>
        <w:t> round mutual evaluation report of Liechtenstein</w:t>
      </w:r>
      <w:bookmarkEnd w:id="18"/>
    </w:p>
    <w:p w14:paraId="765D4F83" w14:textId="7076BF3E" w:rsidR="003C2584" w:rsidRPr="00B069FB" w:rsidRDefault="003C2584" w:rsidP="003C2584">
      <w:pPr>
        <w:rPr>
          <w:lang w:val="en-US"/>
        </w:rPr>
      </w:pPr>
    </w:p>
    <w:p w14:paraId="2A33BD74" w14:textId="52FE6859" w:rsidR="003C2584" w:rsidRPr="00B069FB" w:rsidRDefault="00977380" w:rsidP="003C2584">
      <w:pPr>
        <w:rPr>
          <w:lang w:val="en-US"/>
        </w:rPr>
      </w:pPr>
      <w:r w:rsidRPr="00B069FB">
        <w:rPr>
          <w:lang w:val="en-US"/>
        </w:rPr>
        <w:t xml:space="preserve">The 5th Round mutual evaluation report of Liechtenstein was adopted at the 63rd Plenary meeting in May 2022. It </w:t>
      </w:r>
      <w:r w:rsidR="003C2584" w:rsidRPr="00B069FB">
        <w:rPr>
          <w:lang w:val="en-US"/>
        </w:rPr>
        <w:t xml:space="preserve">acknowledges that the country has demonstrated a substantial level of effectiveness with understanding of ML/TF risk, setting national AML/CFT policies and co-ordination, use of financial intelligence, confiscation of proceeds of crime, terrorist financing investigations and prosecution, and international </w:t>
      </w:r>
      <w:r w:rsidR="003654E4">
        <w:rPr>
          <w:lang w:val="en-US"/>
        </w:rPr>
        <w:t>co-op</w:t>
      </w:r>
      <w:r w:rsidR="003C2584" w:rsidRPr="00B069FB">
        <w:rPr>
          <w:lang w:val="en-US"/>
        </w:rPr>
        <w:t>eration. The report finds that further improvements are needed in enhancing supervision, application of AML/CFT preventative measures by the private sector, transparency of beneficial ownership of legal persons and legal arrangements, money laundering investigation and prosecution and implementation of targeted financial sanctions.</w:t>
      </w:r>
    </w:p>
    <w:p w14:paraId="1DF7D1A7" w14:textId="77777777" w:rsidR="003C2584" w:rsidRPr="00B069FB" w:rsidRDefault="003C2584" w:rsidP="003C2584">
      <w:pPr>
        <w:rPr>
          <w:lang w:val="en-US"/>
        </w:rPr>
      </w:pPr>
    </w:p>
    <w:p w14:paraId="4732A439" w14:textId="77E3F6BB" w:rsidR="003C2584" w:rsidRPr="00B069FB" w:rsidRDefault="003C2584" w:rsidP="003C2584">
      <w:pPr>
        <w:rPr>
          <w:lang w:val="en-US"/>
        </w:rPr>
      </w:pPr>
      <w:r w:rsidRPr="00B069FB">
        <w:rPr>
          <w:lang w:val="en-US"/>
        </w:rPr>
        <w:t xml:space="preserve">MONEYVAL compliments Liechtenstein for having a broad and convergent understanding of its core ML/TF risks. The report also notes that, although a more comprehensive understanding of risks in some </w:t>
      </w:r>
      <w:proofErr w:type="gramStart"/>
      <w:r w:rsidRPr="00B069FB">
        <w:rPr>
          <w:lang w:val="en-US"/>
        </w:rPr>
        <w:t>particular areas</w:t>
      </w:r>
      <w:proofErr w:type="gramEnd"/>
      <w:r w:rsidRPr="00B069FB">
        <w:rPr>
          <w:lang w:val="en-US"/>
        </w:rPr>
        <w:t xml:space="preserve"> is needed, this </w:t>
      </w:r>
      <w:r w:rsidR="006E54F2" w:rsidRPr="00B069FB">
        <w:rPr>
          <w:lang w:val="en-US"/>
        </w:rPr>
        <w:t>endeavor</w:t>
      </w:r>
      <w:r w:rsidRPr="00B069FB">
        <w:rPr>
          <w:lang w:val="en-US"/>
        </w:rPr>
        <w:t xml:space="preserve"> would only require refinements to a well-established risk assessment process.</w:t>
      </w:r>
    </w:p>
    <w:p w14:paraId="7CD2ED27" w14:textId="77777777" w:rsidR="003C2584" w:rsidRPr="00B069FB" w:rsidRDefault="003C2584" w:rsidP="003C2584">
      <w:pPr>
        <w:rPr>
          <w:lang w:val="en-US"/>
        </w:rPr>
      </w:pPr>
    </w:p>
    <w:p w14:paraId="42E0F830" w14:textId="77777777" w:rsidR="003C2584" w:rsidRPr="00B069FB" w:rsidRDefault="003C2584" w:rsidP="003C2584">
      <w:pPr>
        <w:rPr>
          <w:lang w:val="en-US"/>
        </w:rPr>
      </w:pPr>
      <w:r w:rsidRPr="00B069FB">
        <w:rPr>
          <w:lang w:val="en-US"/>
        </w:rPr>
        <w:t>Whilst the report finds that competent authorities produce good quality financial intelligence and are successful in confiscating the proceeds of crime, more efforts need to be invested in investigating and prosecuting money laundering of the widest range of foreign predicates, which target sophisticated ML schemes, including complex legal structures established and managed in the country.</w:t>
      </w:r>
    </w:p>
    <w:p w14:paraId="4B9E2F90" w14:textId="77777777" w:rsidR="003C2584" w:rsidRPr="00B069FB" w:rsidRDefault="003C2584" w:rsidP="003C2584">
      <w:pPr>
        <w:rPr>
          <w:lang w:val="en-US"/>
        </w:rPr>
      </w:pPr>
    </w:p>
    <w:p w14:paraId="0E939742" w14:textId="6DFBE219" w:rsidR="003C2584" w:rsidRPr="00B069FB" w:rsidRDefault="003C2584" w:rsidP="003C2584">
      <w:pPr>
        <w:rPr>
          <w:lang w:val="en-US"/>
        </w:rPr>
      </w:pPr>
      <w:r w:rsidRPr="00B069FB">
        <w:rPr>
          <w:lang w:val="en-US"/>
        </w:rPr>
        <w:t xml:space="preserve">Being geographically surrounded by Switzerland and Austria, Liechtenstein closely </w:t>
      </w:r>
      <w:r w:rsidR="003654E4">
        <w:rPr>
          <w:lang w:val="en-US"/>
        </w:rPr>
        <w:t>co-op</w:t>
      </w:r>
      <w:r w:rsidRPr="00B069FB">
        <w:rPr>
          <w:lang w:val="en-US"/>
        </w:rPr>
        <w:t xml:space="preserve">erates with both countries in combatting terrorism and TF. The report, which examines the features of TF related investigatory actions carried out by the competent authorities, concludes that these authorities are equipped with skills and knowledge to detect collection, </w:t>
      </w:r>
      <w:proofErr w:type="gramStart"/>
      <w:r w:rsidRPr="00B069FB">
        <w:rPr>
          <w:lang w:val="en-US"/>
        </w:rPr>
        <w:t>movement</w:t>
      </w:r>
      <w:proofErr w:type="gramEnd"/>
      <w:r w:rsidRPr="00B069FB">
        <w:rPr>
          <w:lang w:val="en-US"/>
        </w:rPr>
        <w:t xml:space="preserve"> and use of funds for TF purposes.</w:t>
      </w:r>
    </w:p>
    <w:p w14:paraId="4F1E80B0" w14:textId="77777777" w:rsidR="003C2584" w:rsidRPr="00B069FB" w:rsidRDefault="003C2584" w:rsidP="003C2584">
      <w:pPr>
        <w:rPr>
          <w:lang w:val="en-US"/>
        </w:rPr>
      </w:pPr>
    </w:p>
    <w:p w14:paraId="026B1336" w14:textId="77777777" w:rsidR="004D5F3C" w:rsidRDefault="003C2584" w:rsidP="003C2584">
      <w:pPr>
        <w:rPr>
          <w:lang w:val="en-US"/>
        </w:rPr>
      </w:pPr>
      <w:r w:rsidRPr="00B069FB">
        <w:rPr>
          <w:lang w:val="en-US"/>
        </w:rPr>
        <w:t xml:space="preserve">Understanding of ML/TF risks and obligations is now generally good in the private sector. Banks and large trust and company service providers demonstrated the best understanding of ML/TF risks, linked to private banking and wealth management. The supervisory approach applied by the main AML/CFT supervisory </w:t>
      </w:r>
    </w:p>
    <w:p w14:paraId="252A134E" w14:textId="77777777" w:rsidR="004D5F3C" w:rsidRDefault="004D5F3C">
      <w:pPr>
        <w:rPr>
          <w:lang w:val="en-US"/>
        </w:rPr>
      </w:pPr>
      <w:r>
        <w:rPr>
          <w:lang w:val="en-US"/>
        </w:rPr>
        <w:br w:type="page"/>
      </w:r>
    </w:p>
    <w:p w14:paraId="603BC53D" w14:textId="60CCA02F" w:rsidR="003C2584" w:rsidRPr="00B069FB" w:rsidRDefault="003C2584" w:rsidP="003C2584">
      <w:pPr>
        <w:rPr>
          <w:lang w:val="en-US"/>
        </w:rPr>
      </w:pPr>
      <w:r w:rsidRPr="00B069FB">
        <w:rPr>
          <w:lang w:val="en-US"/>
        </w:rPr>
        <w:lastRenderedPageBreak/>
        <w:t>authority has been subject to a significant overhaul and greater use is now made of inspections conducted by its own staff, rather than external audit firms. This notwithstanding, supervision over entities assessed as presenting a high or medium-high risk is found not to be sufficient.</w:t>
      </w:r>
    </w:p>
    <w:p w14:paraId="700AA52D" w14:textId="77777777" w:rsidR="003C2584" w:rsidRPr="00B069FB" w:rsidRDefault="003C2584" w:rsidP="003C2584">
      <w:pPr>
        <w:rPr>
          <w:lang w:val="en-US"/>
        </w:rPr>
      </w:pPr>
    </w:p>
    <w:p w14:paraId="636F9E64" w14:textId="77777777" w:rsidR="003C2584" w:rsidRPr="00B069FB" w:rsidRDefault="003C2584" w:rsidP="003C2584">
      <w:pPr>
        <w:rPr>
          <w:lang w:val="en-US"/>
        </w:rPr>
      </w:pPr>
      <w:r w:rsidRPr="00B069FB">
        <w:rPr>
          <w:lang w:val="en-US"/>
        </w:rPr>
        <w:t>Beneficial ownership (BO) information on legal persons and legal arrangements is available to competent authorities from a register maintained by the Office of Justice and directly from the private sector. Whilst the report notes that there has been no difficulty in accessing this information in a timely manner, the completeness and plausibility of information held in the BO register has not yet been a subject of monitoring by the Office of Justice.</w:t>
      </w:r>
    </w:p>
    <w:p w14:paraId="4C1C43A9" w14:textId="77777777" w:rsidR="003C2584" w:rsidRPr="00B069FB" w:rsidRDefault="003C2584" w:rsidP="003C2584">
      <w:pPr>
        <w:rPr>
          <w:lang w:val="en-US"/>
        </w:rPr>
      </w:pPr>
    </w:p>
    <w:p w14:paraId="735C825C" w14:textId="77777777" w:rsidR="003C2584" w:rsidRPr="00B069FB" w:rsidRDefault="003C2584" w:rsidP="003C2584">
      <w:pPr>
        <w:rPr>
          <w:lang w:val="en-US"/>
        </w:rPr>
      </w:pPr>
      <w:r w:rsidRPr="00B069FB">
        <w:rPr>
          <w:lang w:val="en-US"/>
        </w:rPr>
        <w:t>Finally, the report concludes that, although there are some procedural constraints, Liechtenstein provides timely and constructive assistance across the range of requests for international co-operation, including mutual legal assistance.</w:t>
      </w:r>
    </w:p>
    <w:p w14:paraId="3F01E6B4" w14:textId="77777777" w:rsidR="003C2584" w:rsidRPr="00B069FB" w:rsidRDefault="003C2584" w:rsidP="003C2584">
      <w:pPr>
        <w:rPr>
          <w:lang w:val="en-US"/>
        </w:rPr>
      </w:pPr>
    </w:p>
    <w:p w14:paraId="169390F5" w14:textId="40FC69D2" w:rsidR="003C2584" w:rsidRPr="00B069FB" w:rsidRDefault="003C2584" w:rsidP="003C2584">
      <w:pPr>
        <w:rPr>
          <w:lang w:val="en-US"/>
        </w:rPr>
      </w:pPr>
      <w:r w:rsidRPr="00B069FB">
        <w:rPr>
          <w:lang w:val="en-US"/>
        </w:rPr>
        <w:t xml:space="preserve">Liechtenstein will be subject to MONEYVAL’s regular follow-up reporting process </w:t>
      </w:r>
      <w:proofErr w:type="gramStart"/>
      <w:r w:rsidRPr="00B069FB">
        <w:rPr>
          <w:lang w:val="en-US"/>
        </w:rPr>
        <w:t>as a result of</w:t>
      </w:r>
      <w:proofErr w:type="gramEnd"/>
      <w:r w:rsidRPr="00B069FB">
        <w:rPr>
          <w:lang w:val="en-US"/>
        </w:rPr>
        <w:t xml:space="preserve"> the report.</w:t>
      </w:r>
    </w:p>
    <w:p w14:paraId="74778989" w14:textId="77777777" w:rsidR="003C2584" w:rsidRPr="00B069FB" w:rsidRDefault="003C2584" w:rsidP="003C2584">
      <w:pPr>
        <w:rPr>
          <w:lang w:val="en-US"/>
        </w:rPr>
      </w:pPr>
    </w:p>
    <w:p w14:paraId="1F9E8346" w14:textId="3D99B7FE" w:rsidR="00471DBC" w:rsidRPr="00B069FB" w:rsidRDefault="003C2584" w:rsidP="00471DBC">
      <w:pPr>
        <w:pStyle w:val="Heading2"/>
        <w:keepLines w:val="0"/>
        <w:tabs>
          <w:tab w:val="left" w:pos="709"/>
        </w:tabs>
        <w:spacing w:before="0"/>
        <w:ind w:right="680"/>
        <w:jc w:val="both"/>
        <w:rPr>
          <w:rFonts w:ascii="Arial" w:eastAsiaTheme="minorHAnsi" w:hAnsi="Arial" w:cs="Times New Roman"/>
          <w:b/>
          <w:bCs/>
          <w:color w:val="000000" w:themeColor="text1"/>
          <w:sz w:val="20"/>
          <w:szCs w:val="20"/>
          <w:lang w:val="en-US"/>
        </w:rPr>
      </w:pPr>
      <w:bookmarkStart w:id="19" w:name="_Toc135409883"/>
      <w:r w:rsidRPr="00B069FB">
        <w:rPr>
          <w:rFonts w:ascii="Arial" w:eastAsiaTheme="minorHAnsi" w:hAnsi="Arial" w:cs="Times New Roman"/>
          <w:b/>
          <w:bCs/>
          <w:color w:val="000000" w:themeColor="text1"/>
          <w:sz w:val="20"/>
          <w:szCs w:val="20"/>
          <w:lang w:val="en-US"/>
        </w:rPr>
        <w:t>2.3</w:t>
      </w:r>
      <w:r w:rsidRPr="00B069FB">
        <w:rPr>
          <w:rFonts w:ascii="Arial" w:eastAsiaTheme="minorHAnsi" w:hAnsi="Arial" w:cs="Times New Roman"/>
          <w:b/>
          <w:bCs/>
          <w:color w:val="000000" w:themeColor="text1"/>
          <w:sz w:val="20"/>
          <w:szCs w:val="20"/>
          <w:lang w:val="en-US"/>
        </w:rPr>
        <w:tab/>
      </w:r>
      <w:r w:rsidR="00471DBC" w:rsidRPr="00B069FB">
        <w:rPr>
          <w:rFonts w:ascii="Arial" w:eastAsiaTheme="minorHAnsi" w:hAnsi="Arial" w:cs="Times New Roman"/>
          <w:b/>
          <w:bCs/>
          <w:color w:val="000000" w:themeColor="text1"/>
          <w:sz w:val="20"/>
          <w:szCs w:val="20"/>
          <w:lang w:val="en-US"/>
        </w:rPr>
        <w:t>5</w:t>
      </w:r>
      <w:r w:rsidR="00471DBC" w:rsidRPr="00B069FB">
        <w:rPr>
          <w:rFonts w:ascii="Arial" w:eastAsiaTheme="minorHAnsi" w:hAnsi="Arial" w:cs="Times New Roman"/>
          <w:b/>
          <w:bCs/>
          <w:color w:val="000000" w:themeColor="text1"/>
          <w:sz w:val="20"/>
          <w:szCs w:val="20"/>
          <w:vertAlign w:val="superscript"/>
          <w:lang w:val="en-US"/>
        </w:rPr>
        <w:t>th</w:t>
      </w:r>
      <w:r w:rsidR="00471DBC" w:rsidRPr="00B069FB">
        <w:rPr>
          <w:rFonts w:ascii="Arial" w:eastAsiaTheme="minorHAnsi" w:hAnsi="Arial" w:cs="Times New Roman"/>
          <w:b/>
          <w:bCs/>
          <w:color w:val="000000" w:themeColor="text1"/>
          <w:sz w:val="20"/>
          <w:szCs w:val="20"/>
          <w:lang w:val="en-US"/>
        </w:rPr>
        <w:t xml:space="preserve"> round mutual evaluation report of </w:t>
      </w:r>
      <w:r w:rsidRPr="00B069FB">
        <w:rPr>
          <w:rFonts w:ascii="Arial" w:eastAsiaTheme="minorHAnsi" w:hAnsi="Arial" w:cs="Times New Roman"/>
          <w:b/>
          <w:bCs/>
          <w:color w:val="000000" w:themeColor="text1"/>
          <w:sz w:val="20"/>
          <w:szCs w:val="20"/>
          <w:lang w:val="en-US"/>
        </w:rPr>
        <w:t>Monaco</w:t>
      </w:r>
      <w:bookmarkEnd w:id="19"/>
    </w:p>
    <w:p w14:paraId="756A0B1E" w14:textId="1E78F9E6" w:rsidR="00471DBC" w:rsidRPr="00B069FB" w:rsidRDefault="00471DBC" w:rsidP="00471DBC">
      <w:pPr>
        <w:rPr>
          <w:lang w:val="en-US"/>
        </w:rPr>
      </w:pPr>
    </w:p>
    <w:p w14:paraId="4CED6144" w14:textId="59DDE602" w:rsidR="003C2584" w:rsidRPr="00B069FB" w:rsidRDefault="006E7463" w:rsidP="003C2584">
      <w:pPr>
        <w:rPr>
          <w:lang w:val="en-US"/>
        </w:rPr>
      </w:pPr>
      <w:r w:rsidRPr="00B069FB">
        <w:rPr>
          <w:lang w:val="en-US"/>
        </w:rPr>
        <w:t>The 5th Round mutual evaluation report of Monaco was adopted at the 64</w:t>
      </w:r>
      <w:r w:rsidRPr="00B069FB">
        <w:rPr>
          <w:vertAlign w:val="superscript"/>
          <w:lang w:val="en-US"/>
        </w:rPr>
        <w:t>th</w:t>
      </w:r>
      <w:r w:rsidRPr="00B069FB">
        <w:rPr>
          <w:lang w:val="en-US"/>
        </w:rPr>
        <w:t xml:space="preserve"> Plenary meeting in December 2022. </w:t>
      </w:r>
      <w:r w:rsidR="008565D0" w:rsidRPr="00B069FB">
        <w:rPr>
          <w:lang w:val="en-US"/>
        </w:rPr>
        <w:t xml:space="preserve">The </w:t>
      </w:r>
      <w:r w:rsidR="003C2584" w:rsidRPr="00B069FB">
        <w:rPr>
          <w:lang w:val="en-US"/>
        </w:rPr>
        <w:t xml:space="preserve">MONEYVAL </w:t>
      </w:r>
      <w:r w:rsidR="008565D0" w:rsidRPr="00B069FB">
        <w:rPr>
          <w:lang w:val="en-US"/>
        </w:rPr>
        <w:t xml:space="preserve">report considers </w:t>
      </w:r>
      <w:r w:rsidR="003C2584" w:rsidRPr="00B069FB">
        <w:rPr>
          <w:lang w:val="en-US"/>
        </w:rPr>
        <w:t xml:space="preserve">that the country has demonstrated a moderate level of effectiveness in relation to ML/TF risk understanding, international </w:t>
      </w:r>
      <w:r w:rsidR="003654E4">
        <w:rPr>
          <w:lang w:val="en-US"/>
        </w:rPr>
        <w:t>co-op</w:t>
      </w:r>
      <w:r w:rsidR="003C2584" w:rsidRPr="00B069FB">
        <w:rPr>
          <w:lang w:val="en-US"/>
        </w:rPr>
        <w:t>eration, the application of AML/CFT preventive measures by the private sector, the use of financial intelligence and the implementation of the United Nations targeted financial sanctions (TFS) on TF and proliferation financing (PF). The report finds that major improvements are also required regarding the transparency of legal persons, as well as TF investigations and prosecutions.</w:t>
      </w:r>
    </w:p>
    <w:p w14:paraId="7A528592" w14:textId="77777777" w:rsidR="003C2584" w:rsidRPr="00B069FB" w:rsidRDefault="003C2584" w:rsidP="003C2584">
      <w:pPr>
        <w:rPr>
          <w:lang w:val="en-US"/>
        </w:rPr>
      </w:pPr>
    </w:p>
    <w:p w14:paraId="49B95986" w14:textId="13384A4B" w:rsidR="003C2584" w:rsidRPr="00B069FB" w:rsidRDefault="003C2584" w:rsidP="003C2584">
      <w:r w:rsidRPr="00B069FB">
        <w:t xml:space="preserve">The report </w:t>
      </w:r>
      <w:r w:rsidR="006E7463" w:rsidRPr="00B069FB">
        <w:t xml:space="preserve">considers </w:t>
      </w:r>
      <w:r w:rsidRPr="00B069FB">
        <w:t>that fundamental improvements are needed to enhance effectiveness on supervision, ML investigations and prosecutions and confiscation of proceeds of crime.</w:t>
      </w:r>
    </w:p>
    <w:p w14:paraId="08DD8CD4" w14:textId="77777777" w:rsidR="003C2584" w:rsidRPr="00B069FB" w:rsidRDefault="003C2584" w:rsidP="003C2584"/>
    <w:p w14:paraId="66AC5221" w14:textId="347B5A91" w:rsidR="003C2584" w:rsidRPr="00B069FB" w:rsidRDefault="003C2584" w:rsidP="003C2584">
      <w:r w:rsidRPr="00B069FB">
        <w:t xml:space="preserve">MONEYVAL acknowledges that Monaco has undertaken commendable efforts to identify ML/TF risks. While the achieved results provide an initial risk understanding in some sectors, further analysis is needed regarding others (casinos, company services providers, trusts and virtual assets). Furthermore, the threat environment should be further analysed as regards organised crime and external money laundering threats.  </w:t>
      </w:r>
    </w:p>
    <w:p w14:paraId="7B4E3F3E" w14:textId="77777777" w:rsidR="003C2584" w:rsidRPr="00B069FB" w:rsidRDefault="003C2584" w:rsidP="003C2584"/>
    <w:p w14:paraId="7BD79DC4" w14:textId="30C63E7E" w:rsidR="003C2584" w:rsidRPr="00B069FB" w:rsidRDefault="003C2584" w:rsidP="003C2584">
      <w:r w:rsidRPr="00B069FB">
        <w:t xml:space="preserve">The Monegasque Financial Intelligence Unit (SICCFIN) is a key source of financial intelligence. Despite a significant lack of human and technical resources, SICCFIN has proven its capacity to produce high-quality analysis, which however is not fully used by the investigative authorities. </w:t>
      </w:r>
    </w:p>
    <w:p w14:paraId="405843C9" w14:textId="77777777" w:rsidR="003C2584" w:rsidRPr="00B069FB" w:rsidRDefault="003C2584" w:rsidP="003C2584"/>
    <w:p w14:paraId="19CC69FB" w14:textId="5DD26E7E" w:rsidR="003C2584" w:rsidRPr="00B069FB" w:rsidRDefault="003C2584" w:rsidP="003C2584">
      <w:r w:rsidRPr="00B069FB">
        <w:t xml:space="preserve">MONEYVAL notes that ML investigations and prosecutions do not appear to be consistent with Monaco’s risk profile, with </w:t>
      </w:r>
      <w:proofErr w:type="gramStart"/>
      <w:r w:rsidRPr="00B069FB">
        <w:t>particular shortcomings</w:t>
      </w:r>
      <w:proofErr w:type="gramEnd"/>
      <w:r w:rsidRPr="00B069FB">
        <w:t xml:space="preserve"> relating to complex cases. The report expresses concerns regarding the very low number of convictions achieved, and the even lower number of confiscation measures ordered, none of which covers property of equivalent value or property held by third parties. Monaco needs to enhance its efforts to identify and prioritize ML cases, seize, </w:t>
      </w:r>
      <w:proofErr w:type="gramStart"/>
      <w:r w:rsidRPr="00B069FB">
        <w:t>confiscate</w:t>
      </w:r>
      <w:proofErr w:type="gramEnd"/>
      <w:r w:rsidRPr="00B069FB">
        <w:t xml:space="preserve"> and recover the proceeds of ML and predicate offences. </w:t>
      </w:r>
    </w:p>
    <w:p w14:paraId="6CE5C757" w14:textId="77777777" w:rsidR="003C2584" w:rsidRPr="00B069FB" w:rsidRDefault="003C2584" w:rsidP="003C2584"/>
    <w:p w14:paraId="520A8CBD" w14:textId="55B4C3E3" w:rsidR="003C2584" w:rsidRPr="00B069FB" w:rsidRDefault="003C2584" w:rsidP="003C2584">
      <w:r w:rsidRPr="00B069FB">
        <w:t xml:space="preserve">Monaco needs to fundamentally improve its supervisory system. Deficiencies are noted in relation to beneficial ownership (BO) fit and proper checks, while the shortcomings in the risk understanding undermine authorities’ capacity to apply tailored supervision for </w:t>
      </w:r>
      <w:proofErr w:type="gramStart"/>
      <w:r w:rsidRPr="00B069FB">
        <w:t>a number of</w:t>
      </w:r>
      <w:proofErr w:type="gramEnd"/>
      <w:r w:rsidRPr="00B069FB">
        <w:t xml:space="preserve"> obliged entities. Sanctions for failure to comply with the AML/CFT obligations are limited, not proportionate, not dissuasive, and imposed with delays.</w:t>
      </w:r>
    </w:p>
    <w:p w14:paraId="12CBF846" w14:textId="77777777" w:rsidR="003C2584" w:rsidRPr="00B069FB" w:rsidRDefault="003C2584" w:rsidP="003C2584"/>
    <w:p w14:paraId="79C5FE3B" w14:textId="3D6A0F9D" w:rsidR="003C2584" w:rsidRPr="00B069FB" w:rsidRDefault="003C2584" w:rsidP="003C2584">
      <w:r w:rsidRPr="00B069FB">
        <w:t xml:space="preserve">Turning to the private sector, MONEYVAL notes that the AML/CFT obligations are implemented to some extent. The number of suspicious transaction reports (STRs) originating from the banking sector can be considered satisfactory, although the large volume of defensive reporting and excessively long transmission times raise questions about the quality of information provided. The designated non-financial business and professions (DNFBPs) have a poorer AML/CFT risk understanding and compliance culture. The number of STRs filed by casinos and </w:t>
      </w:r>
      <w:r w:rsidR="006E54F2" w:rsidRPr="00B069FB">
        <w:t>jewellers</w:t>
      </w:r>
      <w:r w:rsidRPr="00B069FB">
        <w:t xml:space="preserve"> is still limited even though the two sectors play an important role in the Principality.    </w:t>
      </w:r>
    </w:p>
    <w:p w14:paraId="77549A03" w14:textId="77777777" w:rsidR="003C2584" w:rsidRPr="00B069FB" w:rsidRDefault="003C2584" w:rsidP="003C2584"/>
    <w:p w14:paraId="7E4B0DE7" w14:textId="77777777" w:rsidR="004D5F3C" w:rsidRDefault="004D5F3C">
      <w:r>
        <w:br w:type="page"/>
      </w:r>
    </w:p>
    <w:p w14:paraId="3BB719E4" w14:textId="5A3354DA" w:rsidR="003C2584" w:rsidRPr="00B069FB" w:rsidRDefault="003C2584" w:rsidP="003C2584">
      <w:r w:rsidRPr="00B069FB">
        <w:lastRenderedPageBreak/>
        <w:t xml:space="preserve">Monaco is commended for reforming, the framework enabling the implementation of TF and PF-related TFS under the United Nations Security Council Resolutions (UNSCRs). Since May 2021, the existing delays under the previous system were reduced, although technical deficiencies were identified, mainly regarding the risk of freezing measures being lifted. While Monaco carried out an initial risk assessment of the non-profit sector, due to its recent adoption, it was not used to construct a risk-based approach. The existing awareness-raising and supervision measures could not be regarded as proportionate and targeted. </w:t>
      </w:r>
    </w:p>
    <w:p w14:paraId="3DBEA7BF" w14:textId="77777777" w:rsidR="003C2584" w:rsidRPr="00B069FB" w:rsidRDefault="003C2584" w:rsidP="003C2584"/>
    <w:p w14:paraId="7A690E6D" w14:textId="278A8489" w:rsidR="003C2584" w:rsidRPr="00B069FB" w:rsidRDefault="003C2584" w:rsidP="003C2584">
      <w:r w:rsidRPr="00B069FB">
        <w:t xml:space="preserve">MONEYVAL notes that there have been no prosecutions or convictions for TF in Monaco. Given the gaps in the TF risk analysis, it could not be concluded that this is fully in line with the country’s risk profile.  </w:t>
      </w:r>
    </w:p>
    <w:p w14:paraId="080B3CD0" w14:textId="77777777" w:rsidR="003C2584" w:rsidRPr="00B069FB" w:rsidRDefault="003C2584" w:rsidP="003C2584"/>
    <w:p w14:paraId="2B5B5A32" w14:textId="6C5D012D" w:rsidR="003C2584" w:rsidRPr="00B069FB" w:rsidRDefault="003C2584" w:rsidP="003C2584">
      <w:r w:rsidRPr="00B069FB">
        <w:t>MONEYVAL acknowledges the good understanding of ML/TF risk associated with the activities of various types of legal persons, by the Monegasque authorities, but criticises major shortcomings in obtaining beneficial ownership information. The mitigating measures applied are insufficient when it comes to a high-risk category of legal persons and in relation to the non-</w:t>
      </w:r>
      <w:proofErr w:type="gramStart"/>
      <w:r w:rsidRPr="00B069FB">
        <w:t>for profit</w:t>
      </w:r>
      <w:proofErr w:type="gramEnd"/>
      <w:r w:rsidRPr="00B069FB">
        <w:t xml:space="preserve"> organisations. Most of the applicable sanctions are not dissuasive and are rarely imposed.</w:t>
      </w:r>
    </w:p>
    <w:p w14:paraId="4702F9FB" w14:textId="77777777" w:rsidR="003C2584" w:rsidRPr="00B069FB" w:rsidRDefault="003C2584" w:rsidP="003C2584"/>
    <w:p w14:paraId="6A9FE789" w14:textId="60FC14AC" w:rsidR="003C2584" w:rsidRPr="00B069FB" w:rsidRDefault="003C2584" w:rsidP="003C2584">
      <w:r w:rsidRPr="00B069FB">
        <w:t xml:space="preserve">Major improvements are needed do enhance the Principality’s effectiveness in international </w:t>
      </w:r>
      <w:r w:rsidR="003654E4">
        <w:t>co-op</w:t>
      </w:r>
      <w:r w:rsidRPr="00B069FB">
        <w:t xml:space="preserve">eration. Monaco generally seeks the co-operation of its counterparts, although not entirely in line with the risk and context of the jurisdiction. The prosecution authorities execute requests satisfactorily, but systemic and unusual legislative obstacles, hinder the provision of mutual legal </w:t>
      </w:r>
      <w:r w:rsidR="00B069FB" w:rsidRPr="00B069FB">
        <w:t>assistance</w:t>
      </w:r>
      <w:r w:rsidRPr="00B069FB">
        <w:t xml:space="preserve"> by Monaco. As far as extradition is concerned, the restrictive interpretation by the courts of the dual criminality </w:t>
      </w:r>
      <w:proofErr w:type="gramStart"/>
      <w:r w:rsidRPr="00B069FB">
        <w:t>principle</w:t>
      </w:r>
      <w:proofErr w:type="gramEnd"/>
      <w:r w:rsidRPr="00B069FB">
        <w:t xml:space="preserve"> results in one out of two requests being refused.  </w:t>
      </w:r>
    </w:p>
    <w:p w14:paraId="7B06B9D5" w14:textId="77777777" w:rsidR="003C2584" w:rsidRPr="00B069FB" w:rsidRDefault="003C2584" w:rsidP="006E54F2"/>
    <w:p w14:paraId="2217A9D9" w14:textId="13825587" w:rsidR="00471DBC" w:rsidRPr="00B069FB" w:rsidRDefault="003C2584" w:rsidP="006E54F2">
      <w:bookmarkStart w:id="20" w:name="_Hlk132128741"/>
      <w:r w:rsidRPr="00B069FB">
        <w:t>Based on the results of its evaluation, MONEYVAL decided to apply its enhanced follow-up procedure and invited Monaco to report back in December 2024.</w:t>
      </w:r>
    </w:p>
    <w:bookmarkEnd w:id="20"/>
    <w:p w14:paraId="67BE41C4" w14:textId="1F1ED013" w:rsidR="00471DBC" w:rsidRPr="00B069FB" w:rsidRDefault="00471DBC" w:rsidP="000C5B9D">
      <w:pPr>
        <w:pStyle w:val="Heading2"/>
        <w:keepLines w:val="0"/>
        <w:tabs>
          <w:tab w:val="left" w:pos="709"/>
        </w:tabs>
        <w:spacing w:before="0"/>
        <w:ind w:right="680"/>
        <w:jc w:val="both"/>
        <w:rPr>
          <w:rFonts w:ascii="Arial" w:eastAsiaTheme="minorHAnsi" w:hAnsi="Arial" w:cs="Times New Roman"/>
          <w:b/>
          <w:bCs/>
          <w:color w:val="000000" w:themeColor="text1"/>
          <w:sz w:val="20"/>
          <w:szCs w:val="20"/>
          <w:highlight w:val="yellow"/>
        </w:rPr>
      </w:pPr>
    </w:p>
    <w:p w14:paraId="30F8AB2A" w14:textId="4CEE9BB0" w:rsidR="00277C14" w:rsidRPr="00B069FB" w:rsidRDefault="003C2584" w:rsidP="000C5B9D">
      <w:pPr>
        <w:pStyle w:val="Heading2"/>
        <w:keepLines w:val="0"/>
        <w:tabs>
          <w:tab w:val="left" w:pos="709"/>
        </w:tabs>
        <w:spacing w:before="0"/>
        <w:ind w:right="680"/>
        <w:jc w:val="both"/>
        <w:rPr>
          <w:rFonts w:ascii="Arial" w:eastAsiaTheme="minorHAnsi" w:hAnsi="Arial" w:cs="Times New Roman"/>
          <w:b/>
          <w:bCs/>
          <w:color w:val="000000" w:themeColor="text1"/>
          <w:sz w:val="20"/>
          <w:szCs w:val="20"/>
          <w:lang w:val="en-US"/>
        </w:rPr>
      </w:pPr>
      <w:bookmarkStart w:id="21" w:name="_Toc135409884"/>
      <w:r w:rsidRPr="00B069FB">
        <w:rPr>
          <w:rFonts w:ascii="Arial" w:eastAsiaTheme="minorHAnsi" w:hAnsi="Arial" w:cs="Times New Roman"/>
          <w:b/>
          <w:bCs/>
          <w:color w:val="000000" w:themeColor="text1"/>
          <w:sz w:val="20"/>
          <w:szCs w:val="20"/>
          <w:lang w:val="en-US"/>
        </w:rPr>
        <w:t>2.4</w:t>
      </w:r>
      <w:r w:rsidRPr="00B069FB">
        <w:rPr>
          <w:rFonts w:ascii="Arial" w:eastAsiaTheme="minorHAnsi" w:hAnsi="Arial" w:cs="Times New Roman"/>
          <w:b/>
          <w:bCs/>
          <w:color w:val="000000" w:themeColor="text1"/>
          <w:sz w:val="20"/>
          <w:szCs w:val="20"/>
          <w:lang w:val="en-US"/>
        </w:rPr>
        <w:tab/>
      </w:r>
      <w:r w:rsidR="00277C14" w:rsidRPr="00B069FB">
        <w:rPr>
          <w:rFonts w:ascii="Arial" w:eastAsiaTheme="minorHAnsi" w:hAnsi="Arial" w:cs="Times New Roman"/>
          <w:b/>
          <w:bCs/>
          <w:color w:val="000000" w:themeColor="text1"/>
          <w:sz w:val="20"/>
          <w:szCs w:val="20"/>
          <w:lang w:val="en-US"/>
        </w:rPr>
        <w:t>5</w:t>
      </w:r>
      <w:r w:rsidR="00277C14" w:rsidRPr="00B069FB">
        <w:rPr>
          <w:rFonts w:ascii="Arial" w:eastAsiaTheme="minorHAnsi" w:hAnsi="Arial" w:cs="Times New Roman"/>
          <w:b/>
          <w:bCs/>
          <w:color w:val="000000" w:themeColor="text1"/>
          <w:sz w:val="20"/>
          <w:szCs w:val="20"/>
          <w:vertAlign w:val="superscript"/>
          <w:lang w:val="en-US"/>
        </w:rPr>
        <w:t>th</w:t>
      </w:r>
      <w:r w:rsidR="000C5B9D" w:rsidRPr="00B069FB">
        <w:rPr>
          <w:rFonts w:ascii="Arial" w:eastAsiaTheme="minorHAnsi" w:hAnsi="Arial" w:cs="Times New Roman"/>
          <w:b/>
          <w:bCs/>
          <w:color w:val="000000" w:themeColor="text1"/>
          <w:sz w:val="20"/>
          <w:szCs w:val="20"/>
          <w:lang w:val="en-US"/>
        </w:rPr>
        <w:t> </w:t>
      </w:r>
      <w:r w:rsidR="00277C14" w:rsidRPr="00B069FB">
        <w:rPr>
          <w:rFonts w:ascii="Arial" w:eastAsiaTheme="minorHAnsi" w:hAnsi="Arial" w:cs="Times New Roman"/>
          <w:b/>
          <w:bCs/>
          <w:color w:val="000000" w:themeColor="text1"/>
          <w:sz w:val="20"/>
          <w:szCs w:val="20"/>
          <w:lang w:val="en-US"/>
        </w:rPr>
        <w:t xml:space="preserve">round mutual evaluation report of </w:t>
      </w:r>
      <w:bookmarkEnd w:id="17"/>
      <w:r w:rsidR="00471DBC" w:rsidRPr="00B069FB">
        <w:rPr>
          <w:rFonts w:ascii="Arial" w:eastAsiaTheme="minorHAnsi" w:hAnsi="Arial" w:cs="Times New Roman"/>
          <w:b/>
          <w:bCs/>
          <w:color w:val="000000" w:themeColor="text1"/>
          <w:sz w:val="20"/>
          <w:szCs w:val="20"/>
          <w:lang w:val="en-US"/>
        </w:rPr>
        <w:t>Estonia</w:t>
      </w:r>
      <w:bookmarkEnd w:id="21"/>
    </w:p>
    <w:p w14:paraId="64954A81" w14:textId="62EC7C06" w:rsidR="0074051E" w:rsidRPr="00B069FB" w:rsidRDefault="0074051E" w:rsidP="0074051E">
      <w:pPr>
        <w:rPr>
          <w:rFonts w:cs="Arial"/>
          <w:szCs w:val="20"/>
        </w:rPr>
      </w:pPr>
      <w:bookmarkStart w:id="22" w:name="_Toc66712418"/>
    </w:p>
    <w:p w14:paraId="2A300E35" w14:textId="162349D9" w:rsidR="00471DBC" w:rsidRPr="00B069FB" w:rsidRDefault="00ED6452" w:rsidP="00471DBC">
      <w:pPr>
        <w:rPr>
          <w:rFonts w:cs="Arial"/>
          <w:szCs w:val="20"/>
        </w:rPr>
      </w:pPr>
      <w:r w:rsidRPr="00B069FB">
        <w:rPr>
          <w:rFonts w:cs="Arial"/>
          <w:szCs w:val="20"/>
        </w:rPr>
        <w:t xml:space="preserve">The 5th Round mutual evaluation report of Estonia was adopted at the 64th Plenary meeting in December 2022. The report </w:t>
      </w:r>
      <w:r w:rsidR="00471DBC" w:rsidRPr="00B069FB">
        <w:rPr>
          <w:rFonts w:cs="Arial"/>
          <w:szCs w:val="20"/>
        </w:rPr>
        <w:t xml:space="preserve">acknowledges that the country has demonstrated a substantial level of effectiveness in international </w:t>
      </w:r>
      <w:r w:rsidR="003654E4">
        <w:rPr>
          <w:rFonts w:cs="Arial"/>
          <w:szCs w:val="20"/>
        </w:rPr>
        <w:t>co-op</w:t>
      </w:r>
      <w:r w:rsidR="00471DBC" w:rsidRPr="00B069FB">
        <w:rPr>
          <w:rFonts w:cs="Arial"/>
          <w:szCs w:val="20"/>
        </w:rPr>
        <w:t xml:space="preserve">eration, use of financial intelligence and implementation of the United Nations targeted financial sanctions on proliferation financing. The report finds that further improvements are needed in enhancing the understanding of ML/TF risks, effectiveness of ML and TF investigations and prosecutions, confiscation of proceeds of crime, implementation of targeted financial sanctions on TF, application of AML/CFT preventative measures by the private sector, </w:t>
      </w:r>
      <w:proofErr w:type="gramStart"/>
      <w:r w:rsidR="00471DBC" w:rsidRPr="00B069FB">
        <w:rPr>
          <w:rFonts w:cs="Arial"/>
          <w:szCs w:val="20"/>
        </w:rPr>
        <w:t>supervision</w:t>
      </w:r>
      <w:proofErr w:type="gramEnd"/>
      <w:r w:rsidR="00471DBC" w:rsidRPr="00B069FB">
        <w:rPr>
          <w:rFonts w:cs="Arial"/>
          <w:szCs w:val="20"/>
        </w:rPr>
        <w:t xml:space="preserve"> and transparency of beneficial ownership of legal persons and legal arrangements.</w:t>
      </w:r>
    </w:p>
    <w:p w14:paraId="26192818" w14:textId="77777777" w:rsidR="00471DBC" w:rsidRPr="00B069FB" w:rsidRDefault="00471DBC" w:rsidP="00471DBC">
      <w:pPr>
        <w:rPr>
          <w:rFonts w:cs="Arial"/>
          <w:szCs w:val="20"/>
        </w:rPr>
      </w:pPr>
    </w:p>
    <w:p w14:paraId="109DC749" w14:textId="1F0527C0" w:rsidR="00471DBC" w:rsidRPr="00B069FB" w:rsidRDefault="00471DBC" w:rsidP="00471DBC">
      <w:pPr>
        <w:rPr>
          <w:rFonts w:cs="Arial"/>
          <w:szCs w:val="20"/>
        </w:rPr>
      </w:pPr>
      <w:r w:rsidRPr="00B069FB">
        <w:rPr>
          <w:rFonts w:cs="Arial"/>
          <w:szCs w:val="20"/>
        </w:rPr>
        <w:t xml:space="preserve">MONEYVAL </w:t>
      </w:r>
      <w:r w:rsidR="00ED6452" w:rsidRPr="00B069FB">
        <w:rPr>
          <w:rFonts w:cs="Arial"/>
          <w:szCs w:val="20"/>
        </w:rPr>
        <w:t xml:space="preserve">considers </w:t>
      </w:r>
      <w:r w:rsidRPr="00B069FB">
        <w:rPr>
          <w:rFonts w:cs="Arial"/>
          <w:szCs w:val="20"/>
        </w:rPr>
        <w:t>that Estonia has an appropriate mechanism for identification, assessment and, subsequently, understanding of ML/TF risks. While the achieved results provide useful hints on sectors with higher risk exposure, they do not give a fully sufficient view of the risk environment.</w:t>
      </w:r>
    </w:p>
    <w:p w14:paraId="7844852F" w14:textId="77777777" w:rsidR="00471DBC" w:rsidRPr="00B069FB" w:rsidRDefault="00471DBC" w:rsidP="00471DBC">
      <w:pPr>
        <w:rPr>
          <w:rFonts w:cs="Arial"/>
          <w:szCs w:val="20"/>
        </w:rPr>
      </w:pPr>
    </w:p>
    <w:p w14:paraId="0FF2E3F2" w14:textId="3D4D8B7D" w:rsidR="00471DBC" w:rsidRPr="00B069FB" w:rsidRDefault="00471DBC" w:rsidP="00471DBC">
      <w:pPr>
        <w:rPr>
          <w:rFonts w:cs="Arial"/>
          <w:szCs w:val="20"/>
        </w:rPr>
      </w:pPr>
      <w:r w:rsidRPr="00B069FB">
        <w:rPr>
          <w:rFonts w:cs="Arial"/>
          <w:szCs w:val="20"/>
        </w:rPr>
        <w:t>Estonia is commended for co-ordination and co-operation between the Estonian Financial Intelligence Unite (EFIU) and the law enforcement authorities (LEAs). At the same time, the report finds that the EFIU should reinforce proactive detection of ML/TF targets. More efforts are required in improving interpretation of the ML offence and investigating and prosecuting ML in line with the risk in the country. LEAs and prosecutors are expected to enhance their efforts in dealing with complex types of ML, also where legal persons and company service providers (CSPs) are involved and misused. Estonia needs to enhance to a major extent its efforts to seize, confiscate and recover the proceeds of ML and predicate offences, especially those moved abroad, in line with its ML/TF risks.</w:t>
      </w:r>
    </w:p>
    <w:p w14:paraId="62ED009E" w14:textId="77777777" w:rsidR="00471DBC" w:rsidRPr="00B069FB" w:rsidRDefault="00471DBC" w:rsidP="00471DBC">
      <w:pPr>
        <w:rPr>
          <w:rFonts w:cs="Arial"/>
          <w:szCs w:val="20"/>
        </w:rPr>
      </w:pPr>
    </w:p>
    <w:p w14:paraId="741F8162" w14:textId="18D97471" w:rsidR="00471DBC" w:rsidRPr="00B069FB" w:rsidRDefault="00471DBC" w:rsidP="00471DBC">
      <w:pPr>
        <w:rPr>
          <w:rFonts w:cs="Arial"/>
          <w:szCs w:val="20"/>
        </w:rPr>
      </w:pPr>
      <w:r w:rsidRPr="00B069FB">
        <w:rPr>
          <w:rFonts w:cs="Arial"/>
          <w:szCs w:val="20"/>
        </w:rPr>
        <w:t>MONEYVAL noted that the authorities undertake investigations into TF and achieved a conviction, which demonstrates authorities’ skills and knowledge to deal with the TF offence. Nevertheless, those efforts need to be further enhanced in line with improved understanding of national TF risks, and the effectiveness of criminal sanctions should be improved.</w:t>
      </w:r>
    </w:p>
    <w:p w14:paraId="6954E399" w14:textId="77777777" w:rsidR="00471DBC" w:rsidRPr="00B069FB" w:rsidRDefault="00471DBC" w:rsidP="00471DBC">
      <w:pPr>
        <w:rPr>
          <w:rFonts w:cs="Arial"/>
          <w:szCs w:val="20"/>
        </w:rPr>
      </w:pPr>
    </w:p>
    <w:p w14:paraId="1D10DB89" w14:textId="77777777" w:rsidR="004D5F3C" w:rsidRDefault="004D5F3C">
      <w:pPr>
        <w:rPr>
          <w:rFonts w:cs="Arial"/>
          <w:szCs w:val="20"/>
        </w:rPr>
      </w:pPr>
      <w:r>
        <w:rPr>
          <w:rFonts w:cs="Arial"/>
          <w:szCs w:val="20"/>
        </w:rPr>
        <w:br w:type="page"/>
      </w:r>
    </w:p>
    <w:p w14:paraId="77B37336" w14:textId="35D73B76" w:rsidR="00471DBC" w:rsidRPr="00B069FB" w:rsidRDefault="00471DBC" w:rsidP="00471DBC">
      <w:pPr>
        <w:rPr>
          <w:rFonts w:cs="Arial"/>
          <w:szCs w:val="20"/>
        </w:rPr>
      </w:pPr>
      <w:r w:rsidRPr="00B069FB">
        <w:rPr>
          <w:rFonts w:cs="Arial"/>
          <w:szCs w:val="20"/>
        </w:rPr>
        <w:lastRenderedPageBreak/>
        <w:t xml:space="preserve">There was significant improvement achieved in implementation of preventative measures over the assessment period </w:t>
      </w:r>
      <w:proofErr w:type="gramStart"/>
      <w:r w:rsidRPr="00B069FB">
        <w:rPr>
          <w:rFonts w:cs="Arial"/>
          <w:szCs w:val="20"/>
        </w:rPr>
        <w:t>as a result of</w:t>
      </w:r>
      <w:proofErr w:type="gramEnd"/>
      <w:r w:rsidRPr="00B069FB">
        <w:rPr>
          <w:rFonts w:cs="Arial"/>
          <w:szCs w:val="20"/>
        </w:rPr>
        <w:t xml:space="preserve"> focused supervisory actions. The report concludes that currently, the understanding of ML/TF risks is good in the banking sector. Virtual assets service providers (VASPs) and CSPs demonstrated a superficial understanding of ML risks to which their individual businesses are exposed. Understanding of TF risk is generally lower across all sectors. Banks and VASPs have a generally good understanding of their AML/CFT obligations, while CSPs - to a lesser degree. Hence, further continued efforts of the supervisory authorities in strengthening the implementation of preventative measures by the private sector are still expected.</w:t>
      </w:r>
    </w:p>
    <w:p w14:paraId="5D85B6C8" w14:textId="77777777" w:rsidR="00471DBC" w:rsidRPr="00B069FB" w:rsidRDefault="00471DBC" w:rsidP="00471DBC">
      <w:pPr>
        <w:rPr>
          <w:rFonts w:cs="Arial"/>
          <w:szCs w:val="20"/>
        </w:rPr>
      </w:pPr>
    </w:p>
    <w:p w14:paraId="3A57E8B6" w14:textId="0C4A1139" w:rsidR="00471DBC" w:rsidRPr="00B069FB" w:rsidRDefault="00471DBC" w:rsidP="00471DBC">
      <w:pPr>
        <w:rPr>
          <w:rFonts w:cs="Arial"/>
          <w:szCs w:val="20"/>
        </w:rPr>
      </w:pPr>
      <w:r w:rsidRPr="00B069FB">
        <w:rPr>
          <w:rFonts w:cs="Arial"/>
          <w:szCs w:val="20"/>
        </w:rPr>
        <w:t>Beneficial ownership (BO) information on legal persons is available to competent authorities, but the measures in place do not fully enable availability of adequate, accurate and current BO information. The large share of Estonian companies with e-Residents as their basic or beneficial owners, significant involvement of licensed and non-licensed CSPs in the company registration processes, coupled with poorly designed and vaguely understood CDD measures implemented by them, are factors with adverse impact on the quality of BO information. Applicable sanctions are not effective.</w:t>
      </w:r>
    </w:p>
    <w:p w14:paraId="108360FF" w14:textId="77777777" w:rsidR="00471DBC" w:rsidRPr="00B069FB" w:rsidRDefault="00471DBC" w:rsidP="00471DBC">
      <w:pPr>
        <w:rPr>
          <w:rFonts w:cs="Arial"/>
          <w:szCs w:val="20"/>
        </w:rPr>
      </w:pPr>
    </w:p>
    <w:p w14:paraId="59875EF7" w14:textId="2055E1D9" w:rsidR="00471DBC" w:rsidRPr="00B069FB" w:rsidRDefault="00471DBC" w:rsidP="00471DBC">
      <w:pPr>
        <w:rPr>
          <w:rFonts w:cs="Arial"/>
          <w:szCs w:val="20"/>
        </w:rPr>
      </w:pPr>
      <w:r w:rsidRPr="00B069FB">
        <w:rPr>
          <w:rFonts w:cs="Arial"/>
          <w:szCs w:val="20"/>
        </w:rPr>
        <w:t>Finally, the report concludes that although there are some technical and procedural constraints, Estonia provides generally timely and constructive assistance across the range of requests for international co-operation, including mutual legal assistance.</w:t>
      </w:r>
    </w:p>
    <w:p w14:paraId="19C60F4F" w14:textId="77777777" w:rsidR="00471DBC" w:rsidRPr="00B069FB" w:rsidRDefault="00471DBC" w:rsidP="00471DBC">
      <w:pPr>
        <w:rPr>
          <w:rFonts w:cs="Arial"/>
          <w:szCs w:val="20"/>
        </w:rPr>
      </w:pPr>
    </w:p>
    <w:p w14:paraId="255ED829" w14:textId="77777777" w:rsidR="000307E9" w:rsidRDefault="00471DBC" w:rsidP="00471DBC">
      <w:pPr>
        <w:rPr>
          <w:rFonts w:cs="Arial"/>
          <w:szCs w:val="20"/>
        </w:rPr>
      </w:pPr>
      <w:r w:rsidRPr="00B069FB">
        <w:rPr>
          <w:rFonts w:cs="Arial"/>
          <w:szCs w:val="20"/>
        </w:rPr>
        <w:t xml:space="preserve">Estonia is subject to MONEYVAL’s enhanced follow-up reporting process </w:t>
      </w:r>
      <w:proofErr w:type="gramStart"/>
      <w:r w:rsidRPr="00B069FB">
        <w:rPr>
          <w:rFonts w:cs="Arial"/>
          <w:szCs w:val="20"/>
        </w:rPr>
        <w:t>as a result of</w:t>
      </w:r>
      <w:proofErr w:type="gramEnd"/>
      <w:r w:rsidRPr="00B069FB">
        <w:rPr>
          <w:rFonts w:cs="Arial"/>
          <w:szCs w:val="20"/>
        </w:rPr>
        <w:t xml:space="preserve"> the report.</w:t>
      </w:r>
    </w:p>
    <w:p w14:paraId="48D37747" w14:textId="77777777" w:rsidR="000307E9" w:rsidRDefault="000307E9" w:rsidP="0074051E">
      <w:pPr>
        <w:rPr>
          <w:rFonts w:cs="Arial"/>
          <w:szCs w:val="20"/>
        </w:rPr>
      </w:pPr>
    </w:p>
    <w:p w14:paraId="5E8848CB" w14:textId="71FCC169" w:rsidR="00277C14" w:rsidRPr="00B069FB" w:rsidRDefault="000C5B9D" w:rsidP="000C5B9D">
      <w:pPr>
        <w:pStyle w:val="Heading2"/>
        <w:keepLines w:val="0"/>
        <w:tabs>
          <w:tab w:val="left" w:pos="709"/>
        </w:tabs>
        <w:spacing w:before="0"/>
        <w:ind w:right="680"/>
        <w:jc w:val="both"/>
        <w:rPr>
          <w:rStyle w:val="docheader1"/>
          <w:rFonts w:ascii="Arial" w:hAnsi="Arial" w:cs="Arial"/>
          <w:color w:val="000000" w:themeColor="text1"/>
          <w:sz w:val="20"/>
          <w:szCs w:val="20"/>
        </w:rPr>
      </w:pPr>
      <w:bookmarkStart w:id="23" w:name="_Toc66712419"/>
      <w:bookmarkStart w:id="24" w:name="_Toc135409885"/>
      <w:bookmarkEnd w:id="22"/>
      <w:r w:rsidRPr="00B069FB">
        <w:rPr>
          <w:rStyle w:val="docheader1"/>
          <w:rFonts w:ascii="Arial" w:hAnsi="Arial" w:cs="Arial"/>
          <w:color w:val="000000" w:themeColor="text1"/>
          <w:sz w:val="20"/>
          <w:szCs w:val="20"/>
        </w:rPr>
        <w:t>2.</w:t>
      </w:r>
      <w:r w:rsidR="00565570" w:rsidRPr="00B069FB">
        <w:rPr>
          <w:rStyle w:val="docheader1"/>
          <w:rFonts w:ascii="Arial" w:hAnsi="Arial" w:cs="Arial"/>
          <w:color w:val="000000" w:themeColor="text1"/>
          <w:sz w:val="20"/>
          <w:szCs w:val="20"/>
        </w:rPr>
        <w:t>5</w:t>
      </w:r>
      <w:r w:rsidRPr="00B069FB">
        <w:rPr>
          <w:rStyle w:val="docheader1"/>
          <w:rFonts w:ascii="Arial" w:hAnsi="Arial" w:cs="Arial"/>
          <w:color w:val="000000" w:themeColor="text1"/>
          <w:sz w:val="20"/>
          <w:szCs w:val="20"/>
        </w:rPr>
        <w:t>.</w:t>
      </w:r>
      <w:r w:rsidRPr="00B069FB">
        <w:rPr>
          <w:rStyle w:val="docheader1"/>
          <w:rFonts w:ascii="Arial" w:hAnsi="Arial" w:cs="Arial"/>
          <w:color w:val="000000" w:themeColor="text1"/>
          <w:sz w:val="20"/>
          <w:szCs w:val="20"/>
        </w:rPr>
        <w:tab/>
      </w:r>
      <w:r w:rsidR="00277C14" w:rsidRPr="00B069FB">
        <w:rPr>
          <w:rStyle w:val="docheader1"/>
          <w:rFonts w:ascii="Arial" w:hAnsi="Arial" w:cs="Arial"/>
          <w:color w:val="000000" w:themeColor="text1"/>
          <w:sz w:val="20"/>
          <w:szCs w:val="20"/>
        </w:rPr>
        <w:t>5</w:t>
      </w:r>
      <w:r w:rsidR="00277C14" w:rsidRPr="00B069FB">
        <w:rPr>
          <w:rStyle w:val="docheader1"/>
          <w:rFonts w:ascii="Arial" w:hAnsi="Arial" w:cs="Arial"/>
          <w:color w:val="000000" w:themeColor="text1"/>
          <w:sz w:val="20"/>
          <w:szCs w:val="20"/>
          <w:vertAlign w:val="superscript"/>
        </w:rPr>
        <w:t>th</w:t>
      </w:r>
      <w:r w:rsidRPr="00B069FB">
        <w:rPr>
          <w:rStyle w:val="docheader1"/>
          <w:rFonts w:ascii="Arial" w:hAnsi="Arial" w:cs="Arial"/>
          <w:color w:val="000000" w:themeColor="text1"/>
          <w:sz w:val="20"/>
          <w:szCs w:val="20"/>
        </w:rPr>
        <w:t> </w:t>
      </w:r>
      <w:r w:rsidR="00277C14" w:rsidRPr="00B069FB">
        <w:rPr>
          <w:rStyle w:val="docheader1"/>
          <w:rFonts w:ascii="Arial" w:hAnsi="Arial" w:cs="Arial"/>
          <w:color w:val="000000" w:themeColor="text1"/>
          <w:sz w:val="20"/>
          <w:szCs w:val="20"/>
        </w:rPr>
        <w:t>Round follow-up reports</w:t>
      </w:r>
      <w:bookmarkEnd w:id="23"/>
      <w:bookmarkEnd w:id="24"/>
    </w:p>
    <w:p w14:paraId="3AC1BB47" w14:textId="77777777" w:rsidR="000C5B9D" w:rsidRPr="00B069FB" w:rsidRDefault="000C5B9D" w:rsidP="000C5B9D"/>
    <w:p w14:paraId="2D5D8052" w14:textId="45FD6974" w:rsidR="00277C14" w:rsidRPr="00B069FB" w:rsidRDefault="00277C14" w:rsidP="00277C14">
      <w:pPr>
        <w:rPr>
          <w:rFonts w:cs="Arial"/>
          <w:szCs w:val="20"/>
        </w:rPr>
      </w:pPr>
      <w:bookmarkStart w:id="25" w:name="_Hlk66636387"/>
      <w:r w:rsidRPr="00B069FB">
        <w:rPr>
          <w:rFonts w:cs="Arial"/>
          <w:szCs w:val="20"/>
        </w:rPr>
        <w:t xml:space="preserve">MONEYVAL </w:t>
      </w:r>
      <w:r w:rsidR="00AF7023" w:rsidRPr="00B069FB">
        <w:rPr>
          <w:rFonts w:cs="Arial"/>
          <w:szCs w:val="20"/>
        </w:rPr>
        <w:t xml:space="preserve">has been gradually reforming its system of follow-up reporting, </w:t>
      </w:r>
      <w:proofErr w:type="gramStart"/>
      <w:r w:rsidR="00AF7023" w:rsidRPr="00B069FB">
        <w:rPr>
          <w:rFonts w:cs="Arial"/>
          <w:szCs w:val="20"/>
        </w:rPr>
        <w:t>in order to</w:t>
      </w:r>
      <w:proofErr w:type="gramEnd"/>
      <w:r w:rsidR="00AF7023" w:rsidRPr="00B069FB">
        <w:rPr>
          <w:rFonts w:cs="Arial"/>
          <w:szCs w:val="20"/>
        </w:rPr>
        <w:t xml:space="preserve"> enhance transparency and engagement of members in the process in modalities similar to the mutual evaluation approach, including face-to-face meetings. In 2022 the Committee </w:t>
      </w:r>
      <w:r w:rsidRPr="00B069FB">
        <w:rPr>
          <w:rFonts w:cs="Arial"/>
          <w:szCs w:val="20"/>
        </w:rPr>
        <w:t xml:space="preserve">considered </w:t>
      </w:r>
      <w:r w:rsidR="0074051E" w:rsidRPr="00B069FB">
        <w:rPr>
          <w:rFonts w:cs="Arial"/>
          <w:szCs w:val="20"/>
        </w:rPr>
        <w:t>ten</w:t>
      </w:r>
      <w:r w:rsidRPr="00B069FB">
        <w:rPr>
          <w:rFonts w:cs="Arial"/>
          <w:szCs w:val="20"/>
        </w:rPr>
        <w:t xml:space="preserve"> </w:t>
      </w:r>
      <w:proofErr w:type="gramStart"/>
      <w:r w:rsidRPr="00B069FB">
        <w:rPr>
          <w:rFonts w:cs="Arial"/>
          <w:szCs w:val="20"/>
        </w:rPr>
        <w:t>5</w:t>
      </w:r>
      <w:r w:rsidRPr="00B069FB">
        <w:rPr>
          <w:rFonts w:cs="Arial"/>
          <w:szCs w:val="20"/>
          <w:vertAlign w:val="superscript"/>
        </w:rPr>
        <w:t>th</w:t>
      </w:r>
      <w:proofErr w:type="gramEnd"/>
      <w:r w:rsidR="001E2D7E" w:rsidRPr="00B069FB">
        <w:rPr>
          <w:rFonts w:cs="Arial"/>
          <w:szCs w:val="20"/>
        </w:rPr>
        <w:t> </w:t>
      </w:r>
      <w:r w:rsidRPr="00B069FB">
        <w:rPr>
          <w:rFonts w:cs="Arial"/>
          <w:szCs w:val="20"/>
        </w:rPr>
        <w:t>Round follow-up reports</w:t>
      </w:r>
      <w:bookmarkEnd w:id="25"/>
      <w:r w:rsidRPr="00B069FB">
        <w:rPr>
          <w:rFonts w:cs="Arial"/>
          <w:szCs w:val="20"/>
        </w:rPr>
        <w:t>.</w:t>
      </w:r>
    </w:p>
    <w:p w14:paraId="771084D4" w14:textId="77777777" w:rsidR="00277C14" w:rsidRPr="00B069FB" w:rsidRDefault="00277C14" w:rsidP="00277C14">
      <w:pPr>
        <w:rPr>
          <w:rFonts w:cs="Arial"/>
          <w:szCs w:val="20"/>
        </w:rPr>
      </w:pPr>
    </w:p>
    <w:p w14:paraId="6A60A53C" w14:textId="38AE155B" w:rsidR="0074051E" w:rsidRPr="00B069FB" w:rsidRDefault="0074051E" w:rsidP="0074051E">
      <w:pPr>
        <w:rPr>
          <w:rFonts w:cs="Arial"/>
          <w:szCs w:val="20"/>
        </w:rPr>
      </w:pPr>
      <w:r w:rsidRPr="00B069FB">
        <w:rPr>
          <w:rFonts w:cs="Arial"/>
          <w:szCs w:val="20"/>
        </w:rPr>
        <w:t xml:space="preserve">The follow-up report for </w:t>
      </w:r>
      <w:r w:rsidRPr="00B069FB">
        <w:rPr>
          <w:rFonts w:cs="Arial"/>
          <w:b/>
          <w:bCs/>
          <w:szCs w:val="20"/>
        </w:rPr>
        <w:t>Albania</w:t>
      </w:r>
      <w:r w:rsidRPr="00B069FB">
        <w:rPr>
          <w:rFonts w:cs="Arial"/>
          <w:szCs w:val="20"/>
        </w:rPr>
        <w:t xml:space="preserve"> has found that this country has improved measures to combat money laundering and terrorist financing in line with the FATF Recommendations. </w:t>
      </w:r>
      <w:r w:rsidR="008F0371" w:rsidRPr="00B069FB">
        <w:t xml:space="preserve"> </w:t>
      </w:r>
      <w:r w:rsidR="008F0371" w:rsidRPr="00B069FB">
        <w:rPr>
          <w:rFonts w:cs="Arial"/>
          <w:szCs w:val="20"/>
        </w:rPr>
        <w:t xml:space="preserve">The positive steps taken by the authorities resulted in the upgrading of the country’s ratings from “partially compliant” to “largely compliant” in two areas related to transparency and beneficial ownership (BO) of legal persons, and regulation and supervision of financial institutions; as well as in further upgrading from “partially compliant” to “compliant” </w:t>
      </w:r>
      <w:proofErr w:type="gramStart"/>
      <w:r w:rsidR="008F0371" w:rsidRPr="00B069FB">
        <w:rPr>
          <w:rFonts w:cs="Arial"/>
          <w:szCs w:val="20"/>
        </w:rPr>
        <w:t>in the area of</w:t>
      </w:r>
      <w:proofErr w:type="gramEnd"/>
      <w:r w:rsidR="008F0371" w:rsidRPr="00B069FB">
        <w:rPr>
          <w:rFonts w:cs="Arial"/>
          <w:szCs w:val="20"/>
        </w:rPr>
        <w:t xml:space="preserve"> mutual legal assistance (MLA) regarding freezing of assets and confiscation. Overall, Albania has met MONEYVAL’s general expectation by addressing most - if not all - technical compliance deficiencies within three years after the adoption of the mutual evaluation report.</w:t>
      </w:r>
    </w:p>
    <w:p w14:paraId="2D65A7B8" w14:textId="640E1472" w:rsidR="0074051E" w:rsidRPr="00B069FB" w:rsidRDefault="0074051E" w:rsidP="00277C14">
      <w:pPr>
        <w:rPr>
          <w:rFonts w:cs="Arial"/>
          <w:szCs w:val="20"/>
        </w:rPr>
      </w:pPr>
    </w:p>
    <w:p w14:paraId="34A59EDD" w14:textId="31E0D873" w:rsidR="0074051E" w:rsidRPr="00B069FB" w:rsidRDefault="0074051E" w:rsidP="008F0371">
      <w:pPr>
        <w:rPr>
          <w:rFonts w:cs="Arial"/>
          <w:szCs w:val="20"/>
        </w:rPr>
      </w:pPr>
      <w:r w:rsidRPr="00B069FB">
        <w:rPr>
          <w:rFonts w:cs="Arial"/>
          <w:szCs w:val="20"/>
        </w:rPr>
        <w:t xml:space="preserve">In its follow-up report for </w:t>
      </w:r>
      <w:r w:rsidRPr="00B069FB">
        <w:rPr>
          <w:rFonts w:cs="Arial"/>
          <w:b/>
          <w:bCs/>
          <w:szCs w:val="20"/>
        </w:rPr>
        <w:t>Hungary</w:t>
      </w:r>
      <w:r w:rsidR="00B069FB" w:rsidRPr="00B069FB">
        <w:rPr>
          <w:rFonts w:cs="Arial"/>
          <w:b/>
          <w:bCs/>
          <w:szCs w:val="20"/>
        </w:rPr>
        <w:t>,</w:t>
      </w:r>
      <w:r w:rsidRPr="00B069FB">
        <w:rPr>
          <w:rFonts w:cs="Arial"/>
          <w:szCs w:val="20"/>
        </w:rPr>
        <w:t xml:space="preserve"> MONEYVAL concluded that Hungary </w:t>
      </w:r>
      <w:r w:rsidR="008F0371" w:rsidRPr="00B069FB">
        <w:rPr>
          <w:rFonts w:cs="Arial"/>
          <w:szCs w:val="20"/>
        </w:rPr>
        <w:t>has improved measures to combat money laundering and terrorist financing, demonstrating good progress in the level of compliance with the FATF standards. The positive steps taken by the authorities have led to the upgrade of Hungary from “partially compliant” to “largely compliant” in three areas related to correspondent banking relationships, internal controls in financial institutions and transparency and beneficial ownership (BO) of legal persons.</w:t>
      </w:r>
      <w:r w:rsidR="008F0371" w:rsidRPr="00B069FB">
        <w:t xml:space="preserve"> </w:t>
      </w:r>
      <w:r w:rsidR="008F0371" w:rsidRPr="00B069FB">
        <w:rPr>
          <w:rFonts w:cs="Arial"/>
          <w:szCs w:val="20"/>
        </w:rPr>
        <w:t xml:space="preserve">Among the positive developments noted by MONEYVAL are the amendments to the Companies register, which has established the necessary requirements to ensure the accuracy of basic information of legal persons submitted to the register. Besides, Hungary has introduced requirements for financial institutions on screening procedures when hiring employees and on-going trainings. Moreover, new requirements have been introduced on correspondent banking relationship with financial institutions established within the EU. Overall, Hungary has succeeded in meeting the general expectation of MONEYVAL for countries to have addressed most - if not all - of the technical compliance deficiencies within five years after the adoption of the mutual evaluation report. </w:t>
      </w:r>
    </w:p>
    <w:p w14:paraId="019694BE" w14:textId="77777777" w:rsidR="00391766" w:rsidRPr="00B069FB" w:rsidRDefault="00391766" w:rsidP="0074051E">
      <w:pPr>
        <w:rPr>
          <w:rFonts w:cs="Arial"/>
          <w:szCs w:val="20"/>
        </w:rPr>
      </w:pPr>
    </w:p>
    <w:p w14:paraId="10A7241A" w14:textId="77777777" w:rsidR="004D5F3C" w:rsidRDefault="00A26D01" w:rsidP="0074051E">
      <w:r w:rsidRPr="00B069FB">
        <w:rPr>
          <w:rFonts w:cs="Arial"/>
          <w:szCs w:val="20"/>
        </w:rPr>
        <w:t xml:space="preserve">MONEYVAL found a range of improvements made by the </w:t>
      </w:r>
      <w:r w:rsidRPr="00B069FB">
        <w:rPr>
          <w:rFonts w:cs="Arial"/>
          <w:b/>
          <w:bCs/>
          <w:szCs w:val="20"/>
        </w:rPr>
        <w:t>Republic of Moldova</w:t>
      </w:r>
      <w:r w:rsidRPr="00B069FB">
        <w:rPr>
          <w:rFonts w:cs="Arial"/>
          <w:szCs w:val="20"/>
        </w:rPr>
        <w:t xml:space="preserve"> to its measures to combat money laundering and terrorist financing. The positive steps taken by the authorities have led to the upgrading of the country’s ratings from “partially compliant” to “largely compliant” in four areas related to the activities of designated non-financial businesses and professions, customer due diligence, politically exposed persons, and higher risk countries. However, in the field of new technologies, where new international requirements for virtual assets have been introduced, Moldova’s rating has been downgraded.</w:t>
      </w:r>
      <w:r w:rsidRPr="00B069FB">
        <w:t xml:space="preserve"> </w:t>
      </w:r>
    </w:p>
    <w:p w14:paraId="3BBC09BA" w14:textId="77777777" w:rsidR="004D5F3C" w:rsidRDefault="004D5F3C">
      <w:r>
        <w:br w:type="page"/>
      </w:r>
    </w:p>
    <w:p w14:paraId="142DED88" w14:textId="7720ADE4" w:rsidR="00A26D01" w:rsidRPr="00B069FB" w:rsidRDefault="00A26D01" w:rsidP="0074051E">
      <w:pPr>
        <w:rPr>
          <w:rFonts w:cs="Arial"/>
          <w:szCs w:val="20"/>
        </w:rPr>
      </w:pPr>
      <w:r w:rsidRPr="00B069FB">
        <w:rPr>
          <w:rFonts w:cs="Arial"/>
          <w:szCs w:val="20"/>
        </w:rPr>
        <w:lastRenderedPageBreak/>
        <w:t xml:space="preserve">Among the positive developments identified by MONEYVAL is the expansion of the scope of the entities obliged to carry out customer due diligence requirements. Previously identified deficiencies regarding the need for enhanced due diligence for high-risk countries have also been addressed. Moldova has equally taken necessary steps </w:t>
      </w:r>
      <w:proofErr w:type="gramStart"/>
      <w:r w:rsidRPr="00B069FB">
        <w:rPr>
          <w:rFonts w:cs="Arial"/>
          <w:szCs w:val="20"/>
        </w:rPr>
        <w:t>in the area of</w:t>
      </w:r>
      <w:proofErr w:type="gramEnd"/>
      <w:r w:rsidRPr="00B069FB">
        <w:rPr>
          <w:rFonts w:cs="Arial"/>
          <w:szCs w:val="20"/>
        </w:rPr>
        <w:t xml:space="preserve"> politically exposed persons with the view to enhancing requirements for financial institutions.</w:t>
      </w:r>
    </w:p>
    <w:p w14:paraId="7B5BD227" w14:textId="77777777" w:rsidR="00A26D01" w:rsidRPr="00B069FB" w:rsidRDefault="00A26D01" w:rsidP="0074051E">
      <w:pPr>
        <w:rPr>
          <w:rFonts w:cs="Arial"/>
          <w:szCs w:val="20"/>
        </w:rPr>
      </w:pPr>
    </w:p>
    <w:p w14:paraId="08F888D7" w14:textId="396045F2" w:rsidR="00A26D01" w:rsidRPr="00B069FB" w:rsidRDefault="0074051E" w:rsidP="00A26D01">
      <w:pPr>
        <w:rPr>
          <w:rFonts w:cs="Arial"/>
          <w:szCs w:val="20"/>
        </w:rPr>
      </w:pPr>
      <w:r w:rsidRPr="00B069FB">
        <w:rPr>
          <w:rFonts w:cs="Arial"/>
          <w:szCs w:val="20"/>
        </w:rPr>
        <w:t xml:space="preserve">MONEYVAL noted </w:t>
      </w:r>
      <w:r w:rsidRPr="00B069FB">
        <w:rPr>
          <w:rFonts w:cs="Arial"/>
          <w:b/>
          <w:bCs/>
          <w:szCs w:val="20"/>
        </w:rPr>
        <w:t>Slovenia’s</w:t>
      </w:r>
      <w:r w:rsidRPr="00B069FB">
        <w:rPr>
          <w:rFonts w:cs="Arial"/>
          <w:szCs w:val="20"/>
        </w:rPr>
        <w:t xml:space="preserve"> positive progress </w:t>
      </w:r>
      <w:r w:rsidR="00A26D01" w:rsidRPr="00B069FB">
        <w:rPr>
          <w:rFonts w:cs="Arial"/>
          <w:szCs w:val="20"/>
        </w:rPr>
        <w:t xml:space="preserve">in AML/CFT reforms, which has led to an upgrade from “partially compliant” to “largely compliant” in the area related to assessment of money laundering and terrorist financing (ML/TF) risks. However, the legal framework of Slovenia still contains significant deficiencies as regards the criminalisation of terrorism financing. Therefore, Slovenia has not succeeded in meeting the general expectation of MONEYVAL, which is that countries should have addressed most - if not all - of the technical compliance deficiencies within three years after the adoption of the mutual evaluation report in June 2017. Under these circumstances, MONEYVAL decided to apply its Compliance Enhancing Procedures (CEPs) </w:t>
      </w:r>
      <w:proofErr w:type="gramStart"/>
      <w:r w:rsidR="00A26D01" w:rsidRPr="00B069FB">
        <w:rPr>
          <w:rFonts w:cs="Arial"/>
          <w:szCs w:val="20"/>
        </w:rPr>
        <w:t>with regard to</w:t>
      </w:r>
      <w:proofErr w:type="gramEnd"/>
      <w:r w:rsidR="00A26D01" w:rsidRPr="00B069FB">
        <w:rPr>
          <w:rFonts w:cs="Arial"/>
          <w:szCs w:val="20"/>
        </w:rPr>
        <w:t xml:space="preserve"> Slovenia. The first step envisaged inviting the Secretary General of the Council of Europe to send a letter to the country’s authorities requesting the necessary corrective measures to be taken. The respective exchange of letters between the Secretary General and Slovenian authorities resulted in positive legislative changes to be reviewed by MONEYVAL in 2023. </w:t>
      </w:r>
    </w:p>
    <w:p w14:paraId="04E24694" w14:textId="06D12B6A" w:rsidR="001E2D7E" w:rsidRPr="00B069FB" w:rsidRDefault="001E2D7E">
      <w:pPr>
        <w:rPr>
          <w:rFonts w:cs="Arial"/>
          <w:szCs w:val="20"/>
        </w:rPr>
      </w:pPr>
    </w:p>
    <w:p w14:paraId="67E78131" w14:textId="6EA1B2DA" w:rsidR="00C56DEA" w:rsidRPr="00B069FB" w:rsidRDefault="00C56DEA" w:rsidP="00C56DEA">
      <w:pPr>
        <w:rPr>
          <w:rFonts w:cs="Arial"/>
          <w:szCs w:val="20"/>
        </w:rPr>
      </w:pPr>
      <w:r w:rsidRPr="00B069FB">
        <w:rPr>
          <w:rFonts w:cs="Arial"/>
          <w:szCs w:val="20"/>
        </w:rPr>
        <w:t xml:space="preserve">MONEYVAL considers that the </w:t>
      </w:r>
      <w:r w:rsidRPr="00B069FB">
        <w:rPr>
          <w:rFonts w:cs="Arial"/>
          <w:b/>
          <w:bCs/>
          <w:szCs w:val="20"/>
        </w:rPr>
        <w:t>Czech Republic</w:t>
      </w:r>
      <w:r w:rsidRPr="00B069FB">
        <w:rPr>
          <w:rFonts w:cs="Arial"/>
          <w:szCs w:val="20"/>
        </w:rPr>
        <w:t xml:space="preserve"> has </w:t>
      </w:r>
      <w:r w:rsidR="00830172" w:rsidRPr="00B069FB">
        <w:rPr>
          <w:rFonts w:cs="Arial"/>
          <w:szCs w:val="20"/>
        </w:rPr>
        <w:t xml:space="preserve">taken some steps to enhance its level of compliance with the FATF standards, </w:t>
      </w:r>
      <w:proofErr w:type="gramStart"/>
      <w:r w:rsidR="00830172" w:rsidRPr="00B069FB">
        <w:rPr>
          <w:rFonts w:cs="Arial"/>
          <w:szCs w:val="20"/>
        </w:rPr>
        <w:t>in particular concerning</w:t>
      </w:r>
      <w:proofErr w:type="gramEnd"/>
      <w:r w:rsidR="00830172" w:rsidRPr="00B069FB">
        <w:rPr>
          <w:rFonts w:cs="Arial"/>
          <w:szCs w:val="20"/>
        </w:rPr>
        <w:t xml:space="preserve"> the physical cross-border transportation of currency and bearer negotiable instruments (BNIs). MONEYVAL concludes that the authorities have taken some positive steps to empower the customs to temporarily detain currency and bearer negotiable instruments, though this established legal framework only applies to currency and BNIs entering or leaving the EU. The Czech Republic is expected to report back to MONEYVAL on further progress to strengthen its implementation of AML/CFT measures in 2023.</w:t>
      </w:r>
    </w:p>
    <w:p w14:paraId="2949860B" w14:textId="5D965175" w:rsidR="00C56DEA" w:rsidRPr="00B069FB" w:rsidRDefault="00C56DEA" w:rsidP="00C56DEA">
      <w:pPr>
        <w:rPr>
          <w:rFonts w:cs="Arial"/>
          <w:szCs w:val="20"/>
        </w:rPr>
      </w:pPr>
    </w:p>
    <w:p w14:paraId="6ABFE48C" w14:textId="266B3E9C" w:rsidR="00440DE9" w:rsidRPr="00B069FB" w:rsidRDefault="00440DE9" w:rsidP="00440DE9">
      <w:pPr>
        <w:rPr>
          <w:rFonts w:cs="Arial"/>
          <w:szCs w:val="20"/>
        </w:rPr>
      </w:pPr>
      <w:r w:rsidRPr="00B069FB">
        <w:rPr>
          <w:rFonts w:cs="Arial"/>
          <w:szCs w:val="20"/>
        </w:rPr>
        <w:t xml:space="preserve">The </w:t>
      </w:r>
      <w:r w:rsidRPr="00B069FB">
        <w:rPr>
          <w:rFonts w:cs="Arial"/>
          <w:b/>
          <w:bCs/>
          <w:szCs w:val="20"/>
        </w:rPr>
        <w:t>Republic of Slovakia</w:t>
      </w:r>
      <w:r w:rsidRPr="00B069FB">
        <w:rPr>
          <w:rFonts w:cs="Arial"/>
          <w:szCs w:val="20"/>
        </w:rPr>
        <w:t xml:space="preserve"> has improved measures to combat money laundering and terrorist financing, demonstrating good progress in the level of compliance with the FATF standards. The positive steps taken by the authorities have led to the upgrading of the country’s ratings from “partially compliant” to “largely compliant” in four areas related to the ML/TF risk assessment, suspicious transaction reporting, designation of a competent authority for ML and maintaining comprehensive statistics. However, in the field of new technologies, where international requirements for virtual assets have recently been introduced, Slovakia’s rating has been downgraded.</w:t>
      </w:r>
      <w:r w:rsidRPr="00B069FB">
        <w:t xml:space="preserve"> </w:t>
      </w:r>
      <w:r w:rsidRPr="00B069FB">
        <w:rPr>
          <w:rFonts w:cs="Arial"/>
          <w:szCs w:val="20"/>
        </w:rPr>
        <w:t xml:space="preserve">Among the positive developments identified by MONEYVAL is the adoption of the Action plan to manage and mitigate ML and TF risks. Previously identified deficiencies regarding the requirement to report suspicious transactions to the Financial Intelligence Unit have also been addressed. Slovakia has equally taken necessary steps </w:t>
      </w:r>
      <w:proofErr w:type="gramStart"/>
      <w:r w:rsidRPr="00B069FB">
        <w:rPr>
          <w:rFonts w:cs="Arial"/>
          <w:szCs w:val="20"/>
        </w:rPr>
        <w:t>in the area of</w:t>
      </w:r>
      <w:proofErr w:type="gramEnd"/>
      <w:r w:rsidRPr="00B069FB">
        <w:rPr>
          <w:rFonts w:cs="Arial"/>
          <w:szCs w:val="20"/>
        </w:rPr>
        <w:t xml:space="preserve"> establishing a competent authority to investigate ML cases and a requirement to keep and maintain comprehensive statistical data.</w:t>
      </w:r>
    </w:p>
    <w:p w14:paraId="6771F0F0" w14:textId="19351A6E" w:rsidR="0008234F" w:rsidRPr="00B069FB" w:rsidRDefault="0008234F" w:rsidP="00C56DEA">
      <w:pPr>
        <w:rPr>
          <w:rFonts w:cs="Arial"/>
          <w:szCs w:val="20"/>
        </w:rPr>
      </w:pPr>
    </w:p>
    <w:p w14:paraId="005CD8A3" w14:textId="26531C7A" w:rsidR="00440DE9" w:rsidRPr="00B069FB" w:rsidRDefault="0001496F" w:rsidP="00440DE9">
      <w:pPr>
        <w:rPr>
          <w:rFonts w:cs="Arial"/>
          <w:szCs w:val="20"/>
        </w:rPr>
      </w:pPr>
      <w:r w:rsidRPr="00B069FB">
        <w:rPr>
          <w:rFonts w:cs="Arial"/>
          <w:szCs w:val="20"/>
        </w:rPr>
        <w:t xml:space="preserve">MONEYVAL assessed the progress made by </w:t>
      </w:r>
      <w:r w:rsidRPr="00B069FB">
        <w:rPr>
          <w:rFonts w:cs="Arial"/>
          <w:b/>
          <w:bCs/>
          <w:szCs w:val="20"/>
        </w:rPr>
        <w:t>Cyprus</w:t>
      </w:r>
      <w:r w:rsidRPr="00B069FB">
        <w:rPr>
          <w:rFonts w:cs="Arial"/>
          <w:szCs w:val="20"/>
        </w:rPr>
        <w:t xml:space="preserve"> on legislative, regulatory and institutional measures </w:t>
      </w:r>
      <w:r w:rsidR="00440DE9" w:rsidRPr="00B069FB">
        <w:rPr>
          <w:rFonts w:cs="Arial"/>
          <w:szCs w:val="20"/>
        </w:rPr>
        <w:t xml:space="preserve">to tackle money laundering and terrorism </w:t>
      </w:r>
      <w:proofErr w:type="gramStart"/>
      <w:r w:rsidR="00440DE9" w:rsidRPr="00B069FB">
        <w:rPr>
          <w:rFonts w:cs="Arial"/>
          <w:szCs w:val="20"/>
        </w:rPr>
        <w:t>financing, and</w:t>
      </w:r>
      <w:proofErr w:type="gramEnd"/>
      <w:r w:rsidR="00440DE9" w:rsidRPr="00B069FB">
        <w:rPr>
          <w:rFonts w:cs="Arial"/>
          <w:szCs w:val="20"/>
        </w:rPr>
        <w:t xml:space="preserve"> found that Cyprus has made some progress in improving its level of compliance with FATF standards.</w:t>
      </w:r>
      <w:r w:rsidR="00391766" w:rsidRPr="00B069FB">
        <w:rPr>
          <w:rFonts w:cs="Arial"/>
          <w:szCs w:val="20"/>
        </w:rPr>
        <w:t xml:space="preserve"> </w:t>
      </w:r>
      <w:r w:rsidR="00440DE9" w:rsidRPr="00B069FB">
        <w:rPr>
          <w:rFonts w:cs="Arial"/>
          <w:szCs w:val="20"/>
        </w:rPr>
        <w:t xml:space="preserve">The Cypriot authorities took measures aimed at improving the level of compliance with the FATF Recommendations concerning non-profit organizations, virtual asset services providers (VASPs) and powers of investigative and law enforcement authorities, however, moderate shortcomings </w:t>
      </w:r>
      <w:proofErr w:type="gramStart"/>
      <w:r w:rsidR="00440DE9" w:rsidRPr="00B069FB">
        <w:rPr>
          <w:rFonts w:cs="Arial"/>
          <w:szCs w:val="20"/>
        </w:rPr>
        <w:t>still remain</w:t>
      </w:r>
      <w:proofErr w:type="gramEnd"/>
      <w:r w:rsidR="00440DE9" w:rsidRPr="00B069FB">
        <w:rPr>
          <w:rFonts w:cs="Arial"/>
          <w:szCs w:val="20"/>
        </w:rPr>
        <w:t>.</w:t>
      </w:r>
      <w:r w:rsidR="00391766" w:rsidRPr="00B069FB">
        <w:t xml:space="preserve"> Specifically, t</w:t>
      </w:r>
      <w:r w:rsidR="00391766" w:rsidRPr="00B069FB">
        <w:rPr>
          <w:rFonts w:cs="Arial"/>
          <w:szCs w:val="20"/>
        </w:rPr>
        <w:t xml:space="preserve">he authorities have taken several measures to assess terrorism financing (TF) risk exposure by the non-profit sector and strengthen its oversight activities, however, these measures have not yet been fully implemented. Substantive progress has been made by Cyprus in the implementation of its VASP regime, however, inter alia, there is no national action plan to address risks identified in the VASP sector and some technical deficiencies remain in implementation of preventive measures, including the so called “travel rule”. In addition, moderate shortcomings remain relating to the absence of powers to intercept the content of communication concerning the investigation of money laundering, terrorism financing and some other associated predicate offences, such as, for example, sexual exploitation, participation in an organised criminal group, fraud, theft, arms trafficking, some corruption </w:t>
      </w:r>
      <w:proofErr w:type="gramStart"/>
      <w:r w:rsidR="00391766" w:rsidRPr="00B069FB">
        <w:rPr>
          <w:rFonts w:cs="Arial"/>
          <w:szCs w:val="20"/>
        </w:rPr>
        <w:t>offences</w:t>
      </w:r>
      <w:proofErr w:type="gramEnd"/>
      <w:r w:rsidR="00391766" w:rsidRPr="00B069FB">
        <w:rPr>
          <w:rFonts w:cs="Arial"/>
          <w:szCs w:val="20"/>
        </w:rPr>
        <w:t xml:space="preserve"> and tax crimes, among others.</w:t>
      </w:r>
    </w:p>
    <w:p w14:paraId="75BD47AC" w14:textId="17D81A87" w:rsidR="00391766" w:rsidRPr="00B069FB" w:rsidRDefault="00391766" w:rsidP="0001496F">
      <w:pPr>
        <w:rPr>
          <w:rFonts w:cs="Arial"/>
          <w:szCs w:val="20"/>
        </w:rPr>
      </w:pPr>
    </w:p>
    <w:p w14:paraId="724FEEB7" w14:textId="77777777" w:rsidR="004D5F3C" w:rsidRDefault="00391766" w:rsidP="00391766">
      <w:pPr>
        <w:rPr>
          <w:rFonts w:cs="Arial"/>
          <w:szCs w:val="20"/>
        </w:rPr>
      </w:pPr>
      <w:r w:rsidRPr="00B069FB">
        <w:rPr>
          <w:rFonts w:cs="Arial"/>
          <w:szCs w:val="20"/>
        </w:rPr>
        <w:t xml:space="preserve">MONEYVAL's follow-up report of </w:t>
      </w:r>
      <w:r w:rsidRPr="00B069FB">
        <w:rPr>
          <w:rFonts w:cs="Arial"/>
          <w:b/>
          <w:bCs/>
          <w:szCs w:val="20"/>
        </w:rPr>
        <w:t>Georgia</w:t>
      </w:r>
      <w:r w:rsidRPr="00B069FB">
        <w:rPr>
          <w:rFonts w:cs="Arial"/>
          <w:szCs w:val="20"/>
        </w:rPr>
        <w:t xml:space="preserve"> found improvements in its measures to combat money laundering and terrorist financing. It notes good progress achieved by Georgia within its Financial Intelligence Unit, leading to an upgrade from “partially compliant” to “largely compliant” with FATF Recommendation 29. By enhancing the powers of the Financial Monitoring Service (Financial Intelligence </w:t>
      </w:r>
    </w:p>
    <w:p w14:paraId="4A7F118D" w14:textId="77777777" w:rsidR="004D5F3C" w:rsidRDefault="004D5F3C">
      <w:pPr>
        <w:rPr>
          <w:rFonts w:cs="Arial"/>
          <w:szCs w:val="20"/>
        </w:rPr>
      </w:pPr>
      <w:r>
        <w:rPr>
          <w:rFonts w:cs="Arial"/>
          <w:szCs w:val="20"/>
        </w:rPr>
        <w:br w:type="page"/>
      </w:r>
    </w:p>
    <w:p w14:paraId="587E74C0" w14:textId="7F85C90E" w:rsidR="00391766" w:rsidRPr="00B069FB" w:rsidRDefault="00391766" w:rsidP="00391766">
      <w:pPr>
        <w:rPr>
          <w:rFonts w:cs="Arial"/>
          <w:szCs w:val="20"/>
        </w:rPr>
      </w:pPr>
      <w:r w:rsidRPr="00B069FB">
        <w:rPr>
          <w:rFonts w:cs="Arial"/>
          <w:szCs w:val="20"/>
        </w:rPr>
        <w:lastRenderedPageBreak/>
        <w:t>Unit of Georgia) to disseminate information and results of analyses upon request and without a court order to all law enforcement authorities, Georgia has addressed a significant shortcoming earlier identified. Only minor shortcomings remain regarding a lack of explicit reference to require the Financial Monitoring Service to conduct operational and strategic analysis and the scope of the money laundering definition.</w:t>
      </w:r>
    </w:p>
    <w:p w14:paraId="4CB9300B" w14:textId="77777777" w:rsidR="00FE0529" w:rsidRPr="00B069FB" w:rsidRDefault="00FE0529" w:rsidP="00FE0529">
      <w:pPr>
        <w:rPr>
          <w:rFonts w:cs="Arial"/>
          <w:szCs w:val="20"/>
        </w:rPr>
      </w:pPr>
    </w:p>
    <w:p w14:paraId="1E5FF6B9" w14:textId="77777777" w:rsidR="00FE0529" w:rsidRPr="00B069FB" w:rsidRDefault="00FE0529" w:rsidP="00FE0529">
      <w:pPr>
        <w:rPr>
          <w:rFonts w:cs="Arial"/>
          <w:szCs w:val="20"/>
        </w:rPr>
      </w:pPr>
      <w:r w:rsidRPr="00B069FB">
        <w:rPr>
          <w:rFonts w:cs="Arial"/>
          <w:szCs w:val="20"/>
        </w:rPr>
        <w:t xml:space="preserve">MONEYVAL adopted the follow-up report of the </w:t>
      </w:r>
      <w:r w:rsidRPr="00B069FB">
        <w:rPr>
          <w:rFonts w:cs="Arial"/>
          <w:b/>
          <w:bCs/>
          <w:szCs w:val="20"/>
        </w:rPr>
        <w:t>Isle of Man</w:t>
      </w:r>
      <w:r w:rsidRPr="00B069FB">
        <w:rPr>
          <w:rFonts w:cs="Arial"/>
          <w:szCs w:val="20"/>
        </w:rPr>
        <w:t xml:space="preserve">, noting only few remaining deficiencies in its AML/CFT regime, </w:t>
      </w:r>
      <w:proofErr w:type="gramStart"/>
      <w:r w:rsidRPr="00B069FB">
        <w:rPr>
          <w:rFonts w:cs="Arial"/>
          <w:szCs w:val="20"/>
        </w:rPr>
        <w:t>in particular as</w:t>
      </w:r>
      <w:proofErr w:type="gramEnd"/>
      <w:r w:rsidRPr="00B069FB">
        <w:rPr>
          <w:rFonts w:cs="Arial"/>
          <w:szCs w:val="20"/>
        </w:rPr>
        <w:t xml:space="preserve"> regards compliance requirements for designated non-financial businesses and professions in accordance with FATF Recommendation 23. The Isle of Man has otherwise achieved an adequate level of compliance with all other AML/CFT requirements as prescribed by the FATF Recommendations. </w:t>
      </w:r>
    </w:p>
    <w:p w14:paraId="25565FAF" w14:textId="77777777" w:rsidR="00FE0529" w:rsidRPr="00B069FB" w:rsidRDefault="00FE0529" w:rsidP="00FE0529">
      <w:pPr>
        <w:rPr>
          <w:rFonts w:cs="Arial"/>
          <w:szCs w:val="20"/>
        </w:rPr>
      </w:pPr>
    </w:p>
    <w:p w14:paraId="764A3D7D" w14:textId="118D7D4F" w:rsidR="00FE0529" w:rsidRPr="00CB1566" w:rsidRDefault="00FE0529" w:rsidP="00FE0529">
      <w:pPr>
        <w:rPr>
          <w:rFonts w:cs="Arial"/>
          <w:szCs w:val="20"/>
        </w:rPr>
      </w:pPr>
      <w:r w:rsidRPr="00B069FB">
        <w:rPr>
          <w:rFonts w:cs="Arial"/>
          <w:szCs w:val="20"/>
        </w:rPr>
        <w:t xml:space="preserve">MONEYVAL considered that </w:t>
      </w:r>
      <w:r w:rsidRPr="00B069FB">
        <w:rPr>
          <w:rFonts w:cs="Arial"/>
          <w:b/>
          <w:bCs/>
          <w:szCs w:val="20"/>
        </w:rPr>
        <w:t>Lithuania</w:t>
      </w:r>
      <w:r w:rsidRPr="00B069FB">
        <w:rPr>
          <w:rFonts w:cs="Arial"/>
          <w:szCs w:val="20"/>
        </w:rPr>
        <w:t xml:space="preserve"> is making progress to address most of the technical compliance deficiencies after the adoption of the mutual evaluation report within two years, however continued efforts remain necessary. </w:t>
      </w:r>
      <w:r w:rsidRPr="00B069FB">
        <w:t xml:space="preserve"> </w:t>
      </w:r>
      <w:r w:rsidRPr="00B069FB">
        <w:rPr>
          <w:rFonts w:cs="Arial"/>
          <w:szCs w:val="20"/>
        </w:rPr>
        <w:t xml:space="preserve">Lithuania has improved its measures related to transparency of legal persons and cash couriers. By enhancing the powers of the customs authority to request and obtain further information where a false declaration or disclosure, or failure to declare, has been detected, Lithuania has addressed a significant shortcoming identified earlier. Moreover, Lithuania has enhanced its </w:t>
      </w:r>
      <w:r w:rsidR="003654E4">
        <w:rPr>
          <w:rFonts w:cs="Arial"/>
          <w:szCs w:val="20"/>
        </w:rPr>
        <w:t>co-or</w:t>
      </w:r>
      <w:r w:rsidRPr="00B069FB">
        <w:rPr>
          <w:rFonts w:cs="Arial"/>
          <w:szCs w:val="20"/>
        </w:rPr>
        <w:t xml:space="preserve">dination mechanisms among customs and immigration authorities and the FIU. Some minor shortcomings remain regarding a declaration requirement for transportation of cash by mail/cargo and restraining currency for a reasonable </w:t>
      </w:r>
      <w:proofErr w:type="gramStart"/>
      <w:r w:rsidRPr="00B069FB">
        <w:rPr>
          <w:rFonts w:cs="Arial"/>
          <w:szCs w:val="20"/>
        </w:rPr>
        <w:t>period of time</w:t>
      </w:r>
      <w:proofErr w:type="gramEnd"/>
      <w:r w:rsidRPr="00B069FB">
        <w:rPr>
          <w:rFonts w:cs="Arial"/>
          <w:szCs w:val="20"/>
        </w:rPr>
        <w:t xml:space="preserve"> in order to ascertain whether evidence of ML/FT may be found. In addition, Lithuania has taken some important steps to enhance transparency of legal persons. The country has established a beneficial ownership register and started collecting information on shareholders, </w:t>
      </w:r>
      <w:proofErr w:type="gramStart"/>
      <w:r w:rsidRPr="00B069FB">
        <w:rPr>
          <w:rFonts w:cs="Arial"/>
          <w:szCs w:val="20"/>
        </w:rPr>
        <w:t>members</w:t>
      </w:r>
      <w:proofErr w:type="gramEnd"/>
      <w:r w:rsidRPr="00B069FB">
        <w:rPr>
          <w:rFonts w:cs="Arial"/>
          <w:szCs w:val="20"/>
        </w:rPr>
        <w:t xml:space="preserve"> and owners of legal persons. Although, Lithuania has improved its legal framework, several outstanding shortcomings remain regarding proportionality and dissuasiveness of sanctions and a lack of risk assessment of legal persons.</w:t>
      </w:r>
    </w:p>
    <w:p w14:paraId="2CA08BA5" w14:textId="261A0944" w:rsidR="007A15BB" w:rsidRDefault="007A15BB" w:rsidP="00C56DEA">
      <w:pPr>
        <w:rPr>
          <w:rFonts w:cs="Arial"/>
          <w:szCs w:val="20"/>
        </w:rPr>
      </w:pPr>
    </w:p>
    <w:p w14:paraId="23D53864" w14:textId="15CB780F" w:rsidR="005037AC" w:rsidRPr="005037AC" w:rsidRDefault="005037AC" w:rsidP="005037AC">
      <w:pPr>
        <w:keepNext/>
        <w:tabs>
          <w:tab w:val="left" w:pos="709"/>
        </w:tabs>
        <w:ind w:right="680"/>
        <w:jc w:val="both"/>
        <w:outlineLvl w:val="1"/>
        <w:rPr>
          <w:rFonts w:eastAsiaTheme="majorEastAsia" w:cs="Arial"/>
          <w:b/>
          <w:bCs/>
          <w:color w:val="000000" w:themeColor="text1"/>
          <w:szCs w:val="20"/>
        </w:rPr>
      </w:pPr>
      <w:bookmarkStart w:id="26" w:name="_Toc135409886"/>
      <w:bookmarkStart w:id="27" w:name="_Toc66712421"/>
      <w:r w:rsidRPr="005037AC">
        <w:rPr>
          <w:rFonts w:eastAsiaTheme="majorEastAsia" w:cs="Arial"/>
          <w:b/>
          <w:bCs/>
          <w:color w:val="000000" w:themeColor="text1"/>
          <w:szCs w:val="20"/>
        </w:rPr>
        <w:t>2.</w:t>
      </w:r>
      <w:r w:rsidR="0031373B">
        <w:rPr>
          <w:rFonts w:eastAsiaTheme="majorEastAsia" w:cs="Arial"/>
          <w:b/>
          <w:bCs/>
          <w:color w:val="000000" w:themeColor="text1"/>
          <w:szCs w:val="20"/>
        </w:rPr>
        <w:t>6</w:t>
      </w:r>
      <w:r w:rsidRPr="005037AC">
        <w:rPr>
          <w:rFonts w:eastAsiaTheme="majorEastAsia" w:cs="Arial"/>
          <w:b/>
          <w:bCs/>
          <w:color w:val="000000" w:themeColor="text1"/>
          <w:szCs w:val="20"/>
        </w:rPr>
        <w:t xml:space="preserve"> </w:t>
      </w:r>
      <w:r w:rsidRPr="005037AC">
        <w:rPr>
          <w:rFonts w:eastAsiaTheme="majorEastAsia" w:cs="Arial"/>
          <w:b/>
          <w:bCs/>
          <w:color w:val="000000" w:themeColor="text1"/>
          <w:szCs w:val="20"/>
        </w:rPr>
        <w:tab/>
        <w:t>Voluntary tax compliance programmes</w:t>
      </w:r>
      <w:bookmarkEnd w:id="26"/>
    </w:p>
    <w:p w14:paraId="45E129E5" w14:textId="77777777" w:rsidR="005037AC" w:rsidRPr="005037AC" w:rsidRDefault="005037AC" w:rsidP="005037AC"/>
    <w:p w14:paraId="6A1120AA" w14:textId="7A1094A8" w:rsidR="005037AC" w:rsidRDefault="005037AC" w:rsidP="005037AC">
      <w:r w:rsidRPr="00B069FB">
        <w:t xml:space="preserve">MONEYVAL continued to monitor and evaluate voluntary tax compliance (VTC) programmes in its member </w:t>
      </w:r>
      <w:r w:rsidR="00E73BD4" w:rsidRPr="00B069FB">
        <w:t>State</w:t>
      </w:r>
      <w:r w:rsidRPr="00B069FB">
        <w:t>s and territories. In 202</w:t>
      </w:r>
      <w:r w:rsidR="0054637D" w:rsidRPr="00B069FB">
        <w:t>2</w:t>
      </w:r>
      <w:r w:rsidRPr="00B069FB">
        <w:t xml:space="preserve"> MONEYVAL reviewed the </w:t>
      </w:r>
      <w:r w:rsidR="00B069FB">
        <w:t xml:space="preserve">draft </w:t>
      </w:r>
      <w:r w:rsidRPr="00B069FB">
        <w:t xml:space="preserve">VTC </w:t>
      </w:r>
      <w:r w:rsidR="0054637D" w:rsidRPr="00B069FB">
        <w:t xml:space="preserve">initiative in Albania, in the framework of its discussion by the FATF International </w:t>
      </w:r>
      <w:r w:rsidR="003654E4">
        <w:t>Co-op</w:t>
      </w:r>
      <w:r w:rsidR="0054637D" w:rsidRPr="00B069FB">
        <w:t>eration Review Group.</w:t>
      </w:r>
      <w:r w:rsidR="0054637D" w:rsidRPr="005037AC">
        <w:t xml:space="preserve"> </w:t>
      </w:r>
    </w:p>
    <w:p w14:paraId="7517DEE1" w14:textId="77777777" w:rsidR="005037AC" w:rsidRPr="005B3C93" w:rsidRDefault="005037AC" w:rsidP="005037AC"/>
    <w:p w14:paraId="6EC3E3C3" w14:textId="2794AD0C" w:rsidR="00277C14" w:rsidRDefault="00DB50CE" w:rsidP="00DB50CE">
      <w:pPr>
        <w:pStyle w:val="Heading2"/>
        <w:keepLines w:val="0"/>
        <w:tabs>
          <w:tab w:val="left" w:pos="709"/>
        </w:tabs>
        <w:spacing w:before="0"/>
        <w:ind w:right="680"/>
        <w:jc w:val="both"/>
        <w:rPr>
          <w:rStyle w:val="docheader1"/>
          <w:rFonts w:ascii="Arial" w:hAnsi="Arial" w:cs="Arial"/>
          <w:color w:val="000000" w:themeColor="text1"/>
          <w:sz w:val="20"/>
          <w:szCs w:val="20"/>
        </w:rPr>
      </w:pPr>
      <w:bookmarkStart w:id="28" w:name="_Toc135409887"/>
      <w:r>
        <w:rPr>
          <w:rStyle w:val="docheader1"/>
          <w:rFonts w:ascii="Arial" w:hAnsi="Arial" w:cs="Arial"/>
          <w:color w:val="000000" w:themeColor="text1"/>
          <w:sz w:val="20"/>
          <w:szCs w:val="20"/>
        </w:rPr>
        <w:t>2.</w:t>
      </w:r>
      <w:r w:rsidR="0031373B">
        <w:rPr>
          <w:rStyle w:val="docheader1"/>
          <w:rFonts w:ascii="Arial" w:hAnsi="Arial" w:cs="Arial"/>
          <w:color w:val="000000" w:themeColor="text1"/>
          <w:sz w:val="20"/>
          <w:szCs w:val="20"/>
        </w:rPr>
        <w:t>7</w:t>
      </w:r>
      <w:r>
        <w:rPr>
          <w:rStyle w:val="docheader1"/>
          <w:rFonts w:ascii="Arial" w:hAnsi="Arial" w:cs="Arial"/>
          <w:color w:val="000000" w:themeColor="text1"/>
          <w:sz w:val="20"/>
          <w:szCs w:val="20"/>
        </w:rPr>
        <w:tab/>
      </w:r>
      <w:r w:rsidR="00277C14" w:rsidRPr="00277C14">
        <w:rPr>
          <w:rStyle w:val="docheader1"/>
          <w:rFonts w:ascii="Arial" w:hAnsi="Arial" w:cs="Arial"/>
          <w:color w:val="000000" w:themeColor="text1"/>
          <w:sz w:val="20"/>
          <w:szCs w:val="20"/>
        </w:rPr>
        <w:t>Compliance enhancing procedures (CEPs)</w:t>
      </w:r>
      <w:bookmarkEnd w:id="27"/>
      <w:bookmarkEnd w:id="28"/>
    </w:p>
    <w:p w14:paraId="13239741" w14:textId="77777777" w:rsidR="00DB50CE" w:rsidRPr="00DB50CE" w:rsidRDefault="00DB50CE" w:rsidP="00DB50CE"/>
    <w:p w14:paraId="4BACB2E8" w14:textId="1A4572AC" w:rsidR="00DB50CE" w:rsidRDefault="0054637D" w:rsidP="00277C14">
      <w:pPr>
        <w:pStyle w:val="Default"/>
        <w:rPr>
          <w:sz w:val="20"/>
          <w:szCs w:val="20"/>
        </w:rPr>
      </w:pPr>
      <w:r w:rsidRPr="00B069FB">
        <w:rPr>
          <w:sz w:val="20"/>
          <w:szCs w:val="20"/>
        </w:rPr>
        <w:t>Slovenia is currently under Step 1 of</w:t>
      </w:r>
      <w:r w:rsidR="001B5936" w:rsidRPr="00B069FB">
        <w:rPr>
          <w:sz w:val="20"/>
          <w:szCs w:val="20"/>
        </w:rPr>
        <w:t xml:space="preserve"> MONEYVAL</w:t>
      </w:r>
      <w:r w:rsidRPr="00B069FB">
        <w:rPr>
          <w:sz w:val="20"/>
          <w:szCs w:val="20"/>
        </w:rPr>
        <w:t>’s Compliance enhancing procedures, due to continued shortcomings in the criminalisation of terrorism financing. As a result of an exchange of letters between the Council of Europe Secretary General and Slovenian authorities in 2022, the necessary steps were taken by the Slovenian government to introduce and pass the necessary legislation to rectify existing shortcomings.</w:t>
      </w:r>
      <w:r>
        <w:rPr>
          <w:sz w:val="20"/>
          <w:szCs w:val="20"/>
        </w:rPr>
        <w:t xml:space="preserve"> </w:t>
      </w:r>
      <w:r w:rsidR="001B5936">
        <w:rPr>
          <w:sz w:val="20"/>
          <w:szCs w:val="20"/>
        </w:rPr>
        <w:t xml:space="preserve"> </w:t>
      </w:r>
    </w:p>
    <w:p w14:paraId="40E58F50" w14:textId="77777777" w:rsidR="005037AC" w:rsidRDefault="005037AC" w:rsidP="00277C14">
      <w:pPr>
        <w:pStyle w:val="Default"/>
        <w:rPr>
          <w:sz w:val="20"/>
          <w:szCs w:val="20"/>
        </w:rPr>
      </w:pPr>
    </w:p>
    <w:p w14:paraId="310E8A04" w14:textId="0FBB7BC2" w:rsidR="00277C14" w:rsidRPr="00EE5C37" w:rsidRDefault="00277C14" w:rsidP="00DB50CE">
      <w:pPr>
        <w:pStyle w:val="Heading1"/>
        <w:numPr>
          <w:ilvl w:val="0"/>
          <w:numId w:val="37"/>
        </w:numPr>
        <w:spacing w:before="0"/>
        <w:rPr>
          <w:rFonts w:ascii="Arial" w:eastAsiaTheme="minorHAnsi" w:hAnsi="Arial" w:cs="Times New Roman"/>
          <w:b/>
          <w:bCs/>
          <w:color w:val="auto"/>
          <w:kern w:val="28"/>
          <w:sz w:val="20"/>
          <w:szCs w:val="20"/>
        </w:rPr>
      </w:pPr>
      <w:bookmarkStart w:id="29" w:name="_Toc66712422"/>
      <w:bookmarkStart w:id="30" w:name="_Toc135409888"/>
      <w:bookmarkStart w:id="31" w:name="_Toc346194278"/>
      <w:bookmarkStart w:id="32" w:name="_Toc379211900"/>
      <w:bookmarkStart w:id="33" w:name="_Toc423609804"/>
      <w:bookmarkStart w:id="34" w:name="_Toc423613573"/>
      <w:bookmarkStart w:id="35" w:name="_Toc446602094"/>
      <w:r w:rsidRPr="00EE5C37">
        <w:rPr>
          <w:rFonts w:ascii="Arial" w:eastAsiaTheme="minorHAnsi" w:hAnsi="Arial" w:cs="Times New Roman"/>
          <w:b/>
          <w:bCs/>
          <w:color w:val="auto"/>
          <w:kern w:val="28"/>
          <w:sz w:val="20"/>
          <w:szCs w:val="20"/>
        </w:rPr>
        <w:t xml:space="preserve">HIGH-LEVEL </w:t>
      </w:r>
      <w:r w:rsidR="00F14837" w:rsidRPr="00EE5C37">
        <w:rPr>
          <w:rFonts w:ascii="Arial" w:eastAsiaTheme="minorHAnsi" w:hAnsi="Arial" w:cs="Times New Roman"/>
          <w:b/>
          <w:bCs/>
          <w:color w:val="auto"/>
          <w:kern w:val="28"/>
          <w:sz w:val="20"/>
          <w:szCs w:val="20"/>
        </w:rPr>
        <w:t xml:space="preserve">AND VISIBILITY </w:t>
      </w:r>
      <w:r w:rsidRPr="00EE5C37">
        <w:rPr>
          <w:rFonts w:ascii="Arial" w:eastAsiaTheme="minorHAnsi" w:hAnsi="Arial" w:cs="Times New Roman"/>
          <w:b/>
          <w:bCs/>
          <w:color w:val="auto"/>
          <w:kern w:val="28"/>
          <w:sz w:val="20"/>
          <w:szCs w:val="20"/>
        </w:rPr>
        <w:t>ENGAGEMENTS</w:t>
      </w:r>
      <w:bookmarkEnd w:id="29"/>
      <w:bookmarkEnd w:id="30"/>
    </w:p>
    <w:p w14:paraId="4601715B" w14:textId="77777777" w:rsidR="00DB50CE" w:rsidRPr="00EE5C37" w:rsidRDefault="00DB50CE" w:rsidP="00DB50CE"/>
    <w:p w14:paraId="7C4DC33B" w14:textId="5E93EDF2" w:rsidR="00467CDD" w:rsidRPr="00EE5C37" w:rsidRDefault="00F14837" w:rsidP="00277C14">
      <w:pPr>
        <w:pStyle w:val="Default"/>
        <w:rPr>
          <w:color w:val="auto"/>
          <w:sz w:val="20"/>
          <w:szCs w:val="20"/>
          <w:shd w:val="clear" w:color="auto" w:fill="FFFFFF"/>
        </w:rPr>
      </w:pPr>
      <w:r w:rsidRPr="00EE5C37">
        <w:rPr>
          <w:color w:val="auto"/>
          <w:sz w:val="20"/>
          <w:szCs w:val="20"/>
          <w:shd w:val="clear" w:color="auto" w:fill="FFFFFF"/>
        </w:rPr>
        <w:t xml:space="preserve">In </w:t>
      </w:r>
      <w:r w:rsidR="00CB3465" w:rsidRPr="00EE5C37">
        <w:rPr>
          <w:color w:val="auto"/>
          <w:sz w:val="20"/>
          <w:szCs w:val="20"/>
          <w:shd w:val="clear" w:color="auto" w:fill="FFFFFF"/>
        </w:rPr>
        <w:t xml:space="preserve">2022 </w:t>
      </w:r>
      <w:r w:rsidRPr="00EE5C37">
        <w:rPr>
          <w:color w:val="auto"/>
          <w:sz w:val="20"/>
          <w:szCs w:val="20"/>
          <w:shd w:val="clear" w:color="auto" w:fill="FFFFFF"/>
        </w:rPr>
        <w:t xml:space="preserve">the MONEYVAL Chair </w:t>
      </w:r>
      <w:r w:rsidR="00CB3465" w:rsidRPr="00EE5C37">
        <w:rPr>
          <w:color w:val="auto"/>
          <w:sz w:val="20"/>
          <w:szCs w:val="20"/>
          <w:shd w:val="clear" w:color="auto" w:fill="FFFFFF"/>
        </w:rPr>
        <w:t xml:space="preserve">and Secretariat </w:t>
      </w:r>
      <w:r w:rsidRPr="00EE5C37">
        <w:rPr>
          <w:color w:val="auto"/>
          <w:sz w:val="20"/>
          <w:szCs w:val="20"/>
          <w:shd w:val="clear" w:color="auto" w:fill="FFFFFF"/>
        </w:rPr>
        <w:t xml:space="preserve">carried out </w:t>
      </w:r>
      <w:proofErr w:type="gramStart"/>
      <w:r w:rsidRPr="00EE5C37">
        <w:rPr>
          <w:color w:val="auto"/>
          <w:sz w:val="20"/>
          <w:szCs w:val="20"/>
          <w:shd w:val="clear" w:color="auto" w:fill="FFFFFF"/>
        </w:rPr>
        <w:t>a number of</w:t>
      </w:r>
      <w:proofErr w:type="gramEnd"/>
      <w:r w:rsidRPr="00EE5C37">
        <w:rPr>
          <w:color w:val="auto"/>
          <w:sz w:val="20"/>
          <w:szCs w:val="20"/>
          <w:shd w:val="clear" w:color="auto" w:fill="FFFFFF"/>
        </w:rPr>
        <w:t xml:space="preserve"> high-level </w:t>
      </w:r>
      <w:r w:rsidR="00467CDD" w:rsidRPr="00EE5C37">
        <w:rPr>
          <w:color w:val="auto"/>
          <w:sz w:val="20"/>
          <w:szCs w:val="20"/>
          <w:shd w:val="clear" w:color="auto" w:fill="FFFFFF"/>
        </w:rPr>
        <w:t xml:space="preserve">and visibility </w:t>
      </w:r>
      <w:r w:rsidRPr="00EE5C37">
        <w:rPr>
          <w:color w:val="auto"/>
          <w:sz w:val="20"/>
          <w:szCs w:val="20"/>
          <w:shd w:val="clear" w:color="auto" w:fill="FFFFFF"/>
        </w:rPr>
        <w:t>activities and engagements with external counterparts</w:t>
      </w:r>
      <w:r w:rsidR="00467CDD" w:rsidRPr="00EE5C37">
        <w:rPr>
          <w:color w:val="auto"/>
          <w:sz w:val="20"/>
          <w:szCs w:val="20"/>
          <w:shd w:val="clear" w:color="auto" w:fill="FFFFFF"/>
        </w:rPr>
        <w:t xml:space="preserve">, including the following actions: </w:t>
      </w:r>
    </w:p>
    <w:p w14:paraId="2B8B3D00" w14:textId="77777777" w:rsidR="00467CDD" w:rsidRPr="00EE5C37" w:rsidRDefault="00467CDD" w:rsidP="004D5F3C">
      <w:pPr>
        <w:pStyle w:val="Default"/>
        <w:rPr>
          <w:color w:val="auto"/>
          <w:sz w:val="20"/>
          <w:szCs w:val="20"/>
          <w:shd w:val="clear" w:color="auto" w:fill="FFFFFF"/>
        </w:rPr>
      </w:pPr>
    </w:p>
    <w:p w14:paraId="7D6A3131" w14:textId="35B22881" w:rsidR="00CB3465" w:rsidRPr="00EE5C37" w:rsidRDefault="00CB3465" w:rsidP="004D5F3C">
      <w:pPr>
        <w:pStyle w:val="Default"/>
        <w:numPr>
          <w:ilvl w:val="0"/>
          <w:numId w:val="42"/>
        </w:numPr>
        <w:ind w:left="714" w:hanging="357"/>
        <w:rPr>
          <w:color w:val="auto"/>
          <w:sz w:val="20"/>
          <w:szCs w:val="20"/>
          <w:shd w:val="clear" w:color="auto" w:fill="FFFFFF"/>
        </w:rPr>
      </w:pPr>
      <w:r w:rsidRPr="00EE5C37">
        <w:rPr>
          <w:color w:val="auto"/>
          <w:sz w:val="20"/>
          <w:szCs w:val="20"/>
          <w:shd w:val="clear" w:color="auto" w:fill="FFFFFF"/>
        </w:rPr>
        <w:t xml:space="preserve">On 1-4 March 2022 the MONEYVAL delegation led by the Chair Ms </w:t>
      </w:r>
      <w:proofErr w:type="spellStart"/>
      <w:r w:rsidRPr="00EE5C37">
        <w:rPr>
          <w:color w:val="auto"/>
          <w:sz w:val="20"/>
          <w:szCs w:val="20"/>
          <w:shd w:val="clear" w:color="auto" w:fill="FFFFFF"/>
        </w:rPr>
        <w:t>Elżbieta</w:t>
      </w:r>
      <w:proofErr w:type="spellEnd"/>
      <w:r w:rsidRPr="00EE5C37">
        <w:rPr>
          <w:color w:val="auto"/>
          <w:sz w:val="20"/>
          <w:szCs w:val="20"/>
          <w:shd w:val="clear" w:color="auto" w:fill="FFFFFF"/>
        </w:rPr>
        <w:t xml:space="preserve"> </w:t>
      </w:r>
      <w:proofErr w:type="spellStart"/>
      <w:r w:rsidRPr="00EE5C37">
        <w:rPr>
          <w:color w:val="auto"/>
          <w:sz w:val="20"/>
          <w:szCs w:val="20"/>
          <w:shd w:val="clear" w:color="auto" w:fill="FFFFFF"/>
        </w:rPr>
        <w:t>Franków-Jaśkiewicz</w:t>
      </w:r>
      <w:proofErr w:type="spellEnd"/>
      <w:r w:rsidRPr="00EE5C37">
        <w:rPr>
          <w:color w:val="auto"/>
          <w:sz w:val="20"/>
          <w:szCs w:val="20"/>
          <w:shd w:val="clear" w:color="auto" w:fill="FFFFFF"/>
        </w:rPr>
        <w:t xml:space="preserve"> took part in the Plenary meeting of the Financial Action Task Force in Paris, France. This Plenary meeting completed the process of the Strategic Review by the FATF by adopting the new FATF Methodology and Procedures for the next round of mutual evaluations, which will serve as the basis for MONEYVAL’s next evaluation round. The FATF endorsed a new Strategic vision for the AML/CFT Global Network, supported by MONEYVAL. The Plenary also adopted the mutual evaluation report of France, where MONEYVAL was engaged as a reviewer.</w:t>
      </w:r>
    </w:p>
    <w:p w14:paraId="0EC8A0FA" w14:textId="77777777" w:rsidR="004D5F3C" w:rsidRPr="00EE5C37" w:rsidRDefault="004D5F3C" w:rsidP="004D5F3C">
      <w:pPr>
        <w:pStyle w:val="Default"/>
        <w:ind w:left="714"/>
        <w:rPr>
          <w:color w:val="auto"/>
          <w:sz w:val="20"/>
          <w:szCs w:val="20"/>
          <w:shd w:val="clear" w:color="auto" w:fill="FFFFFF"/>
        </w:rPr>
      </w:pPr>
    </w:p>
    <w:p w14:paraId="50DB954A" w14:textId="41D44E91" w:rsidR="00CB3465" w:rsidRPr="00EE5C37" w:rsidRDefault="00CB3465" w:rsidP="004D5F3C">
      <w:pPr>
        <w:pStyle w:val="Default"/>
        <w:numPr>
          <w:ilvl w:val="0"/>
          <w:numId w:val="42"/>
        </w:numPr>
        <w:ind w:left="714" w:hanging="357"/>
        <w:rPr>
          <w:color w:val="auto"/>
          <w:sz w:val="20"/>
          <w:szCs w:val="20"/>
          <w:shd w:val="clear" w:color="auto" w:fill="FFFFFF"/>
        </w:rPr>
      </w:pPr>
      <w:r w:rsidRPr="00EE5C37">
        <w:rPr>
          <w:color w:val="auto"/>
          <w:sz w:val="20"/>
          <w:szCs w:val="20"/>
          <w:shd w:val="clear" w:color="auto" w:fill="FFFFFF"/>
        </w:rPr>
        <w:t>On 30 March 2022</w:t>
      </w:r>
      <w:r w:rsidR="00EB0A8F" w:rsidRPr="00EE5C37">
        <w:rPr>
          <w:color w:val="auto"/>
          <w:sz w:val="20"/>
          <w:szCs w:val="20"/>
          <w:shd w:val="clear" w:color="auto" w:fill="FFFFFF"/>
        </w:rPr>
        <w:t xml:space="preserve"> </w:t>
      </w:r>
      <w:r w:rsidRPr="00EE5C37">
        <w:rPr>
          <w:color w:val="auto"/>
          <w:sz w:val="20"/>
          <w:szCs w:val="20"/>
          <w:shd w:val="clear" w:color="auto" w:fill="FFFFFF"/>
        </w:rPr>
        <w:t xml:space="preserve">the Chair of MONEYVAL Ms </w:t>
      </w:r>
      <w:proofErr w:type="spellStart"/>
      <w:r w:rsidRPr="00EE5C37">
        <w:rPr>
          <w:color w:val="auto"/>
          <w:sz w:val="20"/>
          <w:szCs w:val="20"/>
          <w:shd w:val="clear" w:color="auto" w:fill="FFFFFF"/>
        </w:rPr>
        <w:t>Elżbieta</w:t>
      </w:r>
      <w:proofErr w:type="spellEnd"/>
      <w:r w:rsidRPr="00EE5C37">
        <w:rPr>
          <w:color w:val="auto"/>
          <w:sz w:val="20"/>
          <w:szCs w:val="20"/>
          <w:shd w:val="clear" w:color="auto" w:fill="FFFFFF"/>
        </w:rPr>
        <w:t xml:space="preserve"> </w:t>
      </w:r>
      <w:proofErr w:type="spellStart"/>
      <w:r w:rsidRPr="00EE5C37">
        <w:rPr>
          <w:color w:val="auto"/>
          <w:sz w:val="20"/>
          <w:szCs w:val="20"/>
          <w:shd w:val="clear" w:color="auto" w:fill="FFFFFF"/>
        </w:rPr>
        <w:t>Franków-Jaśkiewicz</w:t>
      </w:r>
      <w:proofErr w:type="spellEnd"/>
      <w:r w:rsidRPr="00EE5C37">
        <w:rPr>
          <w:color w:val="auto"/>
          <w:sz w:val="20"/>
          <w:szCs w:val="20"/>
          <w:shd w:val="clear" w:color="auto" w:fill="FFFFFF"/>
        </w:rPr>
        <w:t xml:space="preserve"> held an exchange of views with the Council of Europe Committee of Ministers. The meeting focused on the current international and European trends in the field of money laundering, the financing of terrorism and the proliferation of weapons of mass destruction. The MONEYVAL Chair also presented the Annual Report of MONEYVAL for 2021, and the results achieved so far by the Committee in the current round of mutual evaluations.</w:t>
      </w:r>
    </w:p>
    <w:p w14:paraId="08D6EFEA" w14:textId="77777777" w:rsidR="004D5F3C" w:rsidRPr="00B069FB" w:rsidRDefault="004D5F3C" w:rsidP="004D5F3C">
      <w:pPr>
        <w:pStyle w:val="Default"/>
        <w:rPr>
          <w:color w:val="161616"/>
          <w:sz w:val="20"/>
          <w:szCs w:val="20"/>
          <w:shd w:val="clear" w:color="auto" w:fill="FFFFFF"/>
        </w:rPr>
      </w:pPr>
    </w:p>
    <w:p w14:paraId="259C7123" w14:textId="77777777" w:rsidR="004D5F3C" w:rsidRDefault="004D5F3C">
      <w:pPr>
        <w:rPr>
          <w:rFonts w:eastAsia="Times New Roman" w:cs="Arial"/>
          <w:color w:val="161616"/>
          <w:szCs w:val="20"/>
          <w:shd w:val="clear" w:color="auto" w:fill="FFFFFF"/>
        </w:rPr>
      </w:pPr>
      <w:r>
        <w:rPr>
          <w:color w:val="161616"/>
          <w:szCs w:val="20"/>
          <w:shd w:val="clear" w:color="auto" w:fill="FFFFFF"/>
        </w:rPr>
        <w:br w:type="page"/>
      </w:r>
    </w:p>
    <w:p w14:paraId="6C64B799" w14:textId="26C9C522" w:rsidR="00CB3465" w:rsidRDefault="00CB3465" w:rsidP="004D5F3C">
      <w:pPr>
        <w:pStyle w:val="Default"/>
        <w:numPr>
          <w:ilvl w:val="0"/>
          <w:numId w:val="42"/>
        </w:numPr>
        <w:ind w:left="714" w:hanging="357"/>
        <w:rPr>
          <w:color w:val="161616"/>
          <w:sz w:val="20"/>
          <w:szCs w:val="20"/>
          <w:shd w:val="clear" w:color="auto" w:fill="FFFFFF"/>
        </w:rPr>
      </w:pPr>
      <w:r w:rsidRPr="00B069FB">
        <w:rPr>
          <w:color w:val="161616"/>
          <w:sz w:val="20"/>
          <w:szCs w:val="20"/>
          <w:shd w:val="clear" w:color="auto" w:fill="FFFFFF"/>
        </w:rPr>
        <w:lastRenderedPageBreak/>
        <w:t xml:space="preserve">On 10-11 April 2022 representatives of the Financial Action Task Force (FATF) and MONEYVAL held an on-site visit to Malta </w:t>
      </w:r>
      <w:proofErr w:type="gramStart"/>
      <w:r w:rsidRPr="00B069FB">
        <w:rPr>
          <w:color w:val="161616"/>
          <w:sz w:val="20"/>
          <w:szCs w:val="20"/>
          <w:shd w:val="clear" w:color="auto" w:fill="FFFFFF"/>
        </w:rPr>
        <w:t>in order to</w:t>
      </w:r>
      <w:proofErr w:type="gramEnd"/>
      <w:r w:rsidRPr="00B069FB">
        <w:rPr>
          <w:color w:val="161616"/>
          <w:sz w:val="20"/>
          <w:szCs w:val="20"/>
          <w:shd w:val="clear" w:color="auto" w:fill="FFFFFF"/>
        </w:rPr>
        <w:t xml:space="preserve"> ascertain Malta’s progress in the framework of the FATF de-listing procedure. The team met with representatives of Maltese authorities involved in AML/CFT efforts and was received by the Prime Minister of Malta Mr Robert Abela.</w:t>
      </w:r>
    </w:p>
    <w:p w14:paraId="51D97EC7" w14:textId="77777777" w:rsidR="004D5F3C" w:rsidRPr="00B069FB" w:rsidRDefault="004D5F3C" w:rsidP="004D5F3C">
      <w:pPr>
        <w:pStyle w:val="Default"/>
        <w:rPr>
          <w:color w:val="161616"/>
          <w:sz w:val="20"/>
          <w:szCs w:val="20"/>
          <w:shd w:val="clear" w:color="auto" w:fill="FFFFFF"/>
        </w:rPr>
      </w:pPr>
    </w:p>
    <w:p w14:paraId="05A65703" w14:textId="7DACFFA3" w:rsidR="00CB3465" w:rsidRDefault="00CB3465" w:rsidP="004D5F3C">
      <w:pPr>
        <w:pStyle w:val="Default"/>
        <w:numPr>
          <w:ilvl w:val="0"/>
          <w:numId w:val="42"/>
        </w:numPr>
        <w:ind w:left="714" w:hanging="357"/>
        <w:rPr>
          <w:color w:val="161616"/>
          <w:sz w:val="20"/>
          <w:szCs w:val="20"/>
          <w:shd w:val="clear" w:color="auto" w:fill="FFFFFF"/>
        </w:rPr>
      </w:pPr>
      <w:r w:rsidRPr="00B069FB">
        <w:rPr>
          <w:color w:val="161616"/>
          <w:sz w:val="20"/>
          <w:szCs w:val="20"/>
          <w:shd w:val="clear" w:color="auto" w:fill="FFFFFF"/>
        </w:rPr>
        <w:t xml:space="preserve">The MONEYVAL Chair and Secretariat took part in the FATF Plenary meeting on 14-17 June 2022 in Berlin, Germany. The MONEYVAL delegation actively took part in the discussion of the FATF mutual evaluation reports of Germany and The Netherlands. The FATF took the decision to remove Malta from its “grey list”, while </w:t>
      </w:r>
      <w:r w:rsidR="00EB0A8F" w:rsidRPr="00B069FB">
        <w:rPr>
          <w:color w:val="161616"/>
          <w:sz w:val="20"/>
          <w:szCs w:val="20"/>
          <w:shd w:val="clear" w:color="auto" w:fill="FFFFFF"/>
        </w:rPr>
        <w:t xml:space="preserve">deciding to include </w:t>
      </w:r>
      <w:r w:rsidRPr="00B069FB">
        <w:rPr>
          <w:color w:val="161616"/>
          <w:sz w:val="20"/>
          <w:szCs w:val="20"/>
          <w:shd w:val="clear" w:color="auto" w:fill="FFFFFF"/>
        </w:rPr>
        <w:t>Gibraltar</w:t>
      </w:r>
      <w:r w:rsidR="00EB0A8F" w:rsidRPr="00B069FB">
        <w:rPr>
          <w:color w:val="161616"/>
          <w:sz w:val="20"/>
          <w:szCs w:val="20"/>
          <w:shd w:val="clear" w:color="auto" w:fill="FFFFFF"/>
        </w:rPr>
        <w:t xml:space="preserve"> in the same list. </w:t>
      </w:r>
    </w:p>
    <w:p w14:paraId="70D80BB2" w14:textId="77777777" w:rsidR="004D5F3C" w:rsidRPr="00B069FB" w:rsidRDefault="004D5F3C" w:rsidP="004D5F3C">
      <w:pPr>
        <w:pStyle w:val="Default"/>
        <w:rPr>
          <w:color w:val="161616"/>
          <w:sz w:val="20"/>
          <w:szCs w:val="20"/>
          <w:shd w:val="clear" w:color="auto" w:fill="FFFFFF"/>
        </w:rPr>
      </w:pPr>
    </w:p>
    <w:p w14:paraId="2468BCAF" w14:textId="271960DA" w:rsidR="00EB0A8F" w:rsidRDefault="00EB0A8F" w:rsidP="004D5F3C">
      <w:pPr>
        <w:pStyle w:val="Default"/>
        <w:numPr>
          <w:ilvl w:val="0"/>
          <w:numId w:val="42"/>
        </w:numPr>
        <w:ind w:left="714" w:hanging="357"/>
        <w:rPr>
          <w:color w:val="161616"/>
          <w:sz w:val="20"/>
          <w:szCs w:val="20"/>
          <w:shd w:val="clear" w:color="auto" w:fill="FFFFFF"/>
        </w:rPr>
      </w:pPr>
      <w:r w:rsidRPr="00B069FB">
        <w:rPr>
          <w:color w:val="161616"/>
          <w:sz w:val="20"/>
          <w:szCs w:val="20"/>
          <w:shd w:val="clear" w:color="auto" w:fill="FFFFFF"/>
        </w:rPr>
        <w:t xml:space="preserve">The MONEYVAL Chair and Secretariat took part in the FATF Plenary meeting on 17-21 October 2022 in Paris, France. The Plenary meeting discussed issues related to the preparation of the next round of mutual evaluations, including the possibility of allowing MONEYVAL to lead the first evaluations in the round. The Plenary also finalised FATF work in </w:t>
      </w:r>
      <w:proofErr w:type="gramStart"/>
      <w:r w:rsidRPr="00B069FB">
        <w:rPr>
          <w:color w:val="161616"/>
          <w:sz w:val="20"/>
          <w:szCs w:val="20"/>
          <w:shd w:val="clear" w:color="auto" w:fill="FFFFFF"/>
        </w:rPr>
        <w:t>a number of</w:t>
      </w:r>
      <w:proofErr w:type="gramEnd"/>
      <w:r w:rsidRPr="00B069FB">
        <w:rPr>
          <w:color w:val="161616"/>
          <w:sz w:val="20"/>
          <w:szCs w:val="20"/>
          <w:shd w:val="clear" w:color="auto" w:fill="FFFFFF"/>
        </w:rPr>
        <w:t xml:space="preserve"> important areas, including an updated guidance for a risk-based approach to virtual assets and virtual asset service providers.</w:t>
      </w:r>
    </w:p>
    <w:p w14:paraId="13A548CA" w14:textId="77777777" w:rsidR="004D5F3C" w:rsidRPr="00B069FB" w:rsidRDefault="004D5F3C" w:rsidP="004D5F3C">
      <w:pPr>
        <w:pStyle w:val="Default"/>
        <w:rPr>
          <w:color w:val="161616"/>
          <w:sz w:val="20"/>
          <w:szCs w:val="20"/>
          <w:shd w:val="clear" w:color="auto" w:fill="FFFFFF"/>
        </w:rPr>
      </w:pPr>
    </w:p>
    <w:p w14:paraId="0669D35E" w14:textId="6793CC58" w:rsidR="00EB0A8F" w:rsidRPr="00B069FB" w:rsidRDefault="00EB0A8F" w:rsidP="004D5F3C">
      <w:pPr>
        <w:pStyle w:val="Default"/>
        <w:numPr>
          <w:ilvl w:val="0"/>
          <w:numId w:val="42"/>
        </w:numPr>
        <w:ind w:left="714" w:hanging="357"/>
        <w:rPr>
          <w:color w:val="161616"/>
          <w:sz w:val="20"/>
          <w:szCs w:val="20"/>
          <w:shd w:val="clear" w:color="auto" w:fill="FFFFFF"/>
        </w:rPr>
      </w:pPr>
      <w:r w:rsidRPr="00B069FB">
        <w:rPr>
          <w:color w:val="161616"/>
          <w:sz w:val="20"/>
          <w:szCs w:val="20"/>
          <w:shd w:val="clear" w:color="auto" w:fill="FFFFFF"/>
        </w:rPr>
        <w:t xml:space="preserve">The Chair of MONEYVAL took part in the Third Ministerial Conference 'No Money for Terror' in New Delhi, 18-19 November 2022. It included over 500 delegates from across the world, including Ministers, Heads of Multilateral organisations and FATF Heads of Delegations. The Prime Minister of India, Mr Shri Narendra Modi addressed the Conference, stressing that the United Nations Security Council, Financial Action Task Force, Financial Intelligence Units, and the Egmont Group, are boosting </w:t>
      </w:r>
      <w:r w:rsidR="003654E4">
        <w:rPr>
          <w:color w:val="161616"/>
          <w:sz w:val="20"/>
          <w:szCs w:val="20"/>
          <w:shd w:val="clear" w:color="auto" w:fill="FFFFFF"/>
        </w:rPr>
        <w:t>co-op</w:t>
      </w:r>
      <w:r w:rsidRPr="00B069FB">
        <w:rPr>
          <w:color w:val="161616"/>
          <w:sz w:val="20"/>
          <w:szCs w:val="20"/>
          <w:shd w:val="clear" w:color="auto" w:fill="FFFFFF"/>
        </w:rPr>
        <w:t xml:space="preserve">eration in the prevention, </w:t>
      </w:r>
      <w:proofErr w:type="gramStart"/>
      <w:r w:rsidRPr="00B069FB">
        <w:rPr>
          <w:color w:val="161616"/>
          <w:sz w:val="20"/>
          <w:szCs w:val="20"/>
          <w:shd w:val="clear" w:color="auto" w:fill="FFFFFF"/>
        </w:rPr>
        <w:t>detection</w:t>
      </w:r>
      <w:proofErr w:type="gramEnd"/>
      <w:r w:rsidRPr="00B069FB">
        <w:rPr>
          <w:color w:val="161616"/>
          <w:sz w:val="20"/>
          <w:szCs w:val="20"/>
          <w:shd w:val="clear" w:color="auto" w:fill="FFFFFF"/>
        </w:rPr>
        <w:t xml:space="preserve"> and prosecution of illegal fund flows. The Prime Minister highlighted that the framework is helping the war against terror in multiple ways over the past two decades.</w:t>
      </w:r>
    </w:p>
    <w:p w14:paraId="03F10285" w14:textId="5F435537" w:rsidR="001E2D7E" w:rsidRDefault="001E2D7E">
      <w:pPr>
        <w:rPr>
          <w:rFonts w:eastAsia="Times New Roman" w:cs="Arial"/>
          <w:color w:val="161616"/>
          <w:szCs w:val="20"/>
          <w:shd w:val="clear" w:color="auto" w:fill="FFFFFF"/>
        </w:rPr>
      </w:pPr>
    </w:p>
    <w:p w14:paraId="735B7639" w14:textId="4B6911B8" w:rsidR="00277C14" w:rsidRDefault="00277C14" w:rsidP="00DB50CE">
      <w:pPr>
        <w:pStyle w:val="Heading1"/>
        <w:numPr>
          <w:ilvl w:val="0"/>
          <w:numId w:val="37"/>
        </w:numPr>
        <w:spacing w:before="0"/>
        <w:rPr>
          <w:rFonts w:ascii="Arial" w:eastAsiaTheme="minorHAnsi" w:hAnsi="Arial" w:cs="Times New Roman"/>
          <w:b/>
          <w:bCs/>
          <w:color w:val="auto"/>
          <w:kern w:val="28"/>
          <w:sz w:val="20"/>
          <w:szCs w:val="20"/>
        </w:rPr>
      </w:pPr>
      <w:bookmarkStart w:id="36" w:name="_Toc66712423"/>
      <w:bookmarkStart w:id="37" w:name="_Toc135409889"/>
      <w:bookmarkEnd w:id="31"/>
      <w:bookmarkEnd w:id="32"/>
      <w:bookmarkEnd w:id="33"/>
      <w:bookmarkEnd w:id="34"/>
      <w:bookmarkEnd w:id="35"/>
      <w:r w:rsidRPr="00DB50CE">
        <w:rPr>
          <w:rFonts w:ascii="Arial" w:eastAsiaTheme="minorHAnsi" w:hAnsi="Arial" w:cs="Times New Roman"/>
          <w:b/>
          <w:bCs/>
          <w:color w:val="auto"/>
          <w:kern w:val="28"/>
          <w:sz w:val="20"/>
          <w:szCs w:val="20"/>
        </w:rPr>
        <w:t>OTHER ACTIVITIES IN 202</w:t>
      </w:r>
      <w:bookmarkEnd w:id="36"/>
      <w:r w:rsidR="004E01B0">
        <w:rPr>
          <w:rFonts w:ascii="Arial" w:eastAsiaTheme="minorHAnsi" w:hAnsi="Arial" w:cs="Times New Roman"/>
          <w:b/>
          <w:bCs/>
          <w:color w:val="auto"/>
          <w:kern w:val="28"/>
          <w:sz w:val="20"/>
          <w:szCs w:val="20"/>
        </w:rPr>
        <w:t>2</w:t>
      </w:r>
      <w:bookmarkEnd w:id="37"/>
    </w:p>
    <w:p w14:paraId="38BF074F" w14:textId="77777777" w:rsidR="00DB50CE" w:rsidRPr="00DB50CE" w:rsidRDefault="00DB50CE" w:rsidP="00DB50CE"/>
    <w:p w14:paraId="16D370C8" w14:textId="4F5B53E2" w:rsidR="00277C14" w:rsidRDefault="00277C14" w:rsidP="00277C14">
      <w:pPr>
        <w:pStyle w:val="Default"/>
        <w:rPr>
          <w:sz w:val="20"/>
          <w:szCs w:val="20"/>
        </w:rPr>
      </w:pPr>
      <w:r w:rsidRPr="00277C14">
        <w:rPr>
          <w:sz w:val="20"/>
          <w:szCs w:val="20"/>
        </w:rPr>
        <w:t>In addition to its normal evaluation cycles, progress and follow-up reports and other peer pressure assessment mechanisms, MONEYVAL engages in other activities, including those listed below.</w:t>
      </w:r>
    </w:p>
    <w:p w14:paraId="7DADDA24" w14:textId="77777777" w:rsidR="00DB50CE" w:rsidRPr="00277C14" w:rsidRDefault="00DB50CE" w:rsidP="00277C14">
      <w:pPr>
        <w:pStyle w:val="Default"/>
        <w:rPr>
          <w:sz w:val="20"/>
          <w:szCs w:val="20"/>
        </w:rPr>
      </w:pPr>
    </w:p>
    <w:p w14:paraId="309C3571" w14:textId="4164BB56" w:rsidR="00277C14" w:rsidRDefault="00DB50CE" w:rsidP="00DB50CE">
      <w:pPr>
        <w:pStyle w:val="Heading2"/>
        <w:keepLines w:val="0"/>
        <w:tabs>
          <w:tab w:val="left" w:pos="709"/>
        </w:tabs>
        <w:spacing w:before="0"/>
        <w:ind w:right="680"/>
        <w:jc w:val="both"/>
        <w:rPr>
          <w:rStyle w:val="docheader1"/>
          <w:rFonts w:ascii="Arial" w:hAnsi="Arial" w:cs="Arial"/>
          <w:color w:val="000000" w:themeColor="text1"/>
          <w:sz w:val="20"/>
          <w:szCs w:val="20"/>
        </w:rPr>
      </w:pPr>
      <w:bookmarkStart w:id="38" w:name="_Toc66712425"/>
      <w:bookmarkStart w:id="39" w:name="_Toc135409890"/>
      <w:r>
        <w:rPr>
          <w:rStyle w:val="docheader1"/>
          <w:rFonts w:ascii="Arial" w:hAnsi="Arial" w:cs="Arial"/>
          <w:color w:val="000000" w:themeColor="text1"/>
          <w:sz w:val="20"/>
          <w:szCs w:val="20"/>
        </w:rPr>
        <w:t>4.</w:t>
      </w:r>
      <w:r w:rsidR="001D011D">
        <w:rPr>
          <w:rStyle w:val="docheader1"/>
          <w:rFonts w:ascii="Arial" w:hAnsi="Arial" w:cs="Arial"/>
          <w:color w:val="000000" w:themeColor="text1"/>
          <w:sz w:val="20"/>
          <w:szCs w:val="20"/>
        </w:rPr>
        <w:t>1</w:t>
      </w:r>
      <w:r>
        <w:rPr>
          <w:rStyle w:val="docheader1"/>
          <w:rFonts w:ascii="Arial" w:hAnsi="Arial" w:cs="Arial"/>
          <w:color w:val="000000" w:themeColor="text1"/>
          <w:sz w:val="20"/>
          <w:szCs w:val="20"/>
        </w:rPr>
        <w:t>.</w:t>
      </w:r>
      <w:r>
        <w:rPr>
          <w:rStyle w:val="docheader1"/>
          <w:rFonts w:ascii="Arial" w:hAnsi="Arial" w:cs="Arial"/>
          <w:color w:val="000000" w:themeColor="text1"/>
          <w:sz w:val="20"/>
          <w:szCs w:val="20"/>
        </w:rPr>
        <w:tab/>
      </w:r>
      <w:r w:rsidR="00277C14" w:rsidRPr="00277C14">
        <w:rPr>
          <w:rStyle w:val="docheader1"/>
          <w:rFonts w:ascii="Arial" w:hAnsi="Arial" w:cs="Arial"/>
          <w:color w:val="000000" w:themeColor="text1"/>
          <w:sz w:val="20"/>
          <w:szCs w:val="20"/>
        </w:rPr>
        <w:t>Typologies programme</w:t>
      </w:r>
      <w:bookmarkEnd w:id="38"/>
      <w:bookmarkEnd w:id="39"/>
    </w:p>
    <w:p w14:paraId="39416F4D" w14:textId="77777777" w:rsidR="00DB50CE" w:rsidRPr="00DB50CE" w:rsidRDefault="00DB50CE" w:rsidP="00DB50CE"/>
    <w:p w14:paraId="3C079F05" w14:textId="5C7D3DA4" w:rsidR="004D20DD" w:rsidRPr="00B069FB" w:rsidRDefault="001D011D" w:rsidP="004D20DD">
      <w:pPr>
        <w:pStyle w:val="Default"/>
        <w:rPr>
          <w:sz w:val="20"/>
          <w:szCs w:val="20"/>
        </w:rPr>
      </w:pPr>
      <w:r w:rsidRPr="00B069FB">
        <w:rPr>
          <w:sz w:val="20"/>
          <w:szCs w:val="20"/>
        </w:rPr>
        <w:t xml:space="preserve">The outcomes of the first typologies research Project (led by Poland) on the topic “AML/CFT supervision in times of crisis and challenging external factors” </w:t>
      </w:r>
      <w:r w:rsidR="00A74E02" w:rsidRPr="00B069FB">
        <w:rPr>
          <w:sz w:val="20"/>
          <w:szCs w:val="20"/>
        </w:rPr>
        <w:t>were</w:t>
      </w:r>
      <w:r w:rsidR="004D20DD" w:rsidRPr="00B069FB">
        <w:rPr>
          <w:sz w:val="20"/>
          <w:szCs w:val="20"/>
        </w:rPr>
        <w:t xml:space="preserve"> published on 25 January 2022</w:t>
      </w:r>
      <w:r w:rsidR="00A74E02" w:rsidRPr="00B069FB">
        <w:rPr>
          <w:sz w:val="20"/>
          <w:szCs w:val="20"/>
        </w:rPr>
        <w:t xml:space="preserve">. </w:t>
      </w:r>
      <w:r w:rsidR="004D20DD" w:rsidRPr="00B069FB">
        <w:rPr>
          <w:sz w:val="20"/>
          <w:szCs w:val="20"/>
        </w:rPr>
        <w:t>The report is based on information collected from supervisors across MONEYVAL jurisdictions and other international actors on the measures they have taken to overcome the difficulties caused by the C</w:t>
      </w:r>
      <w:r w:rsidR="004C7EF8">
        <w:rPr>
          <w:sz w:val="20"/>
          <w:szCs w:val="20"/>
        </w:rPr>
        <w:t>ovid</w:t>
      </w:r>
      <w:r w:rsidR="004D20DD" w:rsidRPr="00B069FB">
        <w:rPr>
          <w:sz w:val="20"/>
          <w:szCs w:val="20"/>
        </w:rPr>
        <w:t>-19 pandemic, including operational limitations, notably the physical movement restrictions impeding the execution of on-site visits, limited human resources and technical complications. It draws on earlier work conducted by MONEYVAL on the topic of C</w:t>
      </w:r>
      <w:r w:rsidR="004C7EF8">
        <w:rPr>
          <w:sz w:val="20"/>
          <w:szCs w:val="20"/>
        </w:rPr>
        <w:t>ovid</w:t>
      </w:r>
      <w:r w:rsidR="004D20DD" w:rsidRPr="00B069FB">
        <w:rPr>
          <w:sz w:val="20"/>
          <w:szCs w:val="20"/>
        </w:rPr>
        <w:t>-19 risks.</w:t>
      </w:r>
    </w:p>
    <w:p w14:paraId="69D56F0C" w14:textId="3D1E1327" w:rsidR="004D20DD" w:rsidRPr="00B069FB" w:rsidRDefault="004D20DD" w:rsidP="00277C14">
      <w:pPr>
        <w:pStyle w:val="Default"/>
        <w:rPr>
          <w:sz w:val="20"/>
          <w:szCs w:val="20"/>
        </w:rPr>
      </w:pPr>
    </w:p>
    <w:p w14:paraId="45D186B9" w14:textId="30303334" w:rsidR="004D20DD" w:rsidRDefault="004D20DD" w:rsidP="004D20DD">
      <w:pPr>
        <w:pStyle w:val="Default"/>
        <w:rPr>
          <w:sz w:val="20"/>
          <w:szCs w:val="20"/>
        </w:rPr>
      </w:pPr>
      <w:r w:rsidRPr="00B069FB">
        <w:rPr>
          <w:sz w:val="20"/>
          <w:szCs w:val="20"/>
        </w:rPr>
        <w:t>In 2022</w:t>
      </w:r>
      <w:r w:rsidR="00B069FB">
        <w:rPr>
          <w:sz w:val="20"/>
          <w:szCs w:val="20"/>
        </w:rPr>
        <w:t>,</w:t>
      </w:r>
      <w:r w:rsidRPr="00B069FB">
        <w:rPr>
          <w:sz w:val="20"/>
          <w:szCs w:val="20"/>
        </w:rPr>
        <w:t xml:space="preserve"> MONEYVAL continued its typologies research by focusing on various aspects of the potential misuse of virtual assets (VA) and virtual asset service providers (VASPs) in money laundering or terror financing schemes. The research Project, led by Isle of Man, </w:t>
      </w:r>
      <w:proofErr w:type="gramStart"/>
      <w:r w:rsidRPr="00B069FB">
        <w:rPr>
          <w:sz w:val="20"/>
          <w:szCs w:val="20"/>
        </w:rPr>
        <w:t>looks into</w:t>
      </w:r>
      <w:proofErr w:type="gramEnd"/>
      <w:r w:rsidRPr="00B069FB">
        <w:rPr>
          <w:sz w:val="20"/>
          <w:szCs w:val="20"/>
        </w:rPr>
        <w:t xml:space="preserve"> issues related to risk, supervision and suspicious activity reporting. The topic of VA and VASPs has evolved tremendously in the recent years. A range of new products, services and business models have been developed that have the potential to spur financial innovation and efficiency and improve financial inclusion, but they also create new opportunities for criminals and terrorists to launder their proceeds or finance their illicit activities. The typologies study is scheduled to be completed and published in 2023.</w:t>
      </w:r>
      <w:r>
        <w:rPr>
          <w:sz w:val="20"/>
          <w:szCs w:val="20"/>
        </w:rPr>
        <w:t xml:space="preserve"> </w:t>
      </w:r>
    </w:p>
    <w:p w14:paraId="2BD4DE35" w14:textId="77777777" w:rsidR="004D20DD" w:rsidRPr="00277C14" w:rsidRDefault="004D20DD" w:rsidP="00277C14">
      <w:pPr>
        <w:pStyle w:val="Default"/>
        <w:rPr>
          <w:sz w:val="20"/>
          <w:szCs w:val="20"/>
        </w:rPr>
      </w:pPr>
    </w:p>
    <w:p w14:paraId="05987C52" w14:textId="6A02E68B" w:rsidR="00277C14" w:rsidRDefault="00DB50CE" w:rsidP="00DB50CE">
      <w:pPr>
        <w:pStyle w:val="Heading2"/>
        <w:keepLines w:val="0"/>
        <w:tabs>
          <w:tab w:val="left" w:pos="709"/>
        </w:tabs>
        <w:spacing w:before="0"/>
        <w:ind w:right="680"/>
        <w:jc w:val="both"/>
        <w:rPr>
          <w:rStyle w:val="docheader1"/>
          <w:rFonts w:ascii="Arial" w:hAnsi="Arial" w:cs="Arial"/>
          <w:color w:val="000000" w:themeColor="text1"/>
          <w:sz w:val="20"/>
          <w:szCs w:val="20"/>
        </w:rPr>
      </w:pPr>
      <w:bookmarkStart w:id="40" w:name="_Toc66712426"/>
      <w:bookmarkStart w:id="41" w:name="_Toc135409891"/>
      <w:r>
        <w:rPr>
          <w:rStyle w:val="docheader1"/>
          <w:rFonts w:ascii="Arial" w:hAnsi="Arial" w:cs="Arial"/>
          <w:color w:val="000000" w:themeColor="text1"/>
          <w:sz w:val="20"/>
          <w:szCs w:val="20"/>
        </w:rPr>
        <w:t>4.</w:t>
      </w:r>
      <w:r w:rsidR="001E2D7E">
        <w:rPr>
          <w:rStyle w:val="docheader1"/>
          <w:rFonts w:ascii="Arial" w:hAnsi="Arial" w:cs="Arial"/>
          <w:color w:val="000000" w:themeColor="text1"/>
          <w:sz w:val="20"/>
          <w:szCs w:val="20"/>
        </w:rPr>
        <w:t>2</w:t>
      </w:r>
      <w:r>
        <w:rPr>
          <w:rStyle w:val="docheader1"/>
          <w:rFonts w:ascii="Arial" w:hAnsi="Arial" w:cs="Arial"/>
          <w:color w:val="000000" w:themeColor="text1"/>
          <w:sz w:val="20"/>
          <w:szCs w:val="20"/>
        </w:rPr>
        <w:t>.</w:t>
      </w:r>
      <w:r>
        <w:rPr>
          <w:rStyle w:val="docheader1"/>
          <w:rFonts w:ascii="Arial" w:hAnsi="Arial" w:cs="Arial"/>
          <w:color w:val="000000" w:themeColor="text1"/>
          <w:sz w:val="20"/>
          <w:szCs w:val="20"/>
        </w:rPr>
        <w:tab/>
      </w:r>
      <w:r w:rsidR="00277C14" w:rsidRPr="00277C14">
        <w:rPr>
          <w:rStyle w:val="docheader1"/>
          <w:rFonts w:ascii="Arial" w:hAnsi="Arial" w:cs="Arial"/>
          <w:color w:val="000000" w:themeColor="text1"/>
          <w:sz w:val="20"/>
          <w:szCs w:val="20"/>
        </w:rPr>
        <w:t xml:space="preserve">MONEYVAL plenaries and </w:t>
      </w:r>
      <w:r w:rsidR="00205C94">
        <w:rPr>
          <w:rStyle w:val="docheader1"/>
          <w:rFonts w:ascii="Arial" w:hAnsi="Arial" w:cs="Arial"/>
          <w:color w:val="000000" w:themeColor="text1"/>
          <w:sz w:val="20"/>
          <w:szCs w:val="20"/>
        </w:rPr>
        <w:t>i</w:t>
      </w:r>
      <w:r w:rsidR="00277C14" w:rsidRPr="00277C14">
        <w:rPr>
          <w:rStyle w:val="docheader1"/>
          <w:rFonts w:ascii="Arial" w:hAnsi="Arial" w:cs="Arial"/>
          <w:color w:val="000000" w:themeColor="text1"/>
          <w:sz w:val="20"/>
          <w:szCs w:val="20"/>
        </w:rPr>
        <w:t>ntersessional consultations</w:t>
      </w:r>
      <w:bookmarkEnd w:id="40"/>
      <w:bookmarkEnd w:id="41"/>
    </w:p>
    <w:p w14:paraId="4FB92FE3" w14:textId="77777777" w:rsidR="00DB50CE" w:rsidRPr="00DB50CE" w:rsidRDefault="00DB50CE" w:rsidP="00DB50CE"/>
    <w:p w14:paraId="45E6019F" w14:textId="3493E708" w:rsidR="00277C14" w:rsidRDefault="00277C14" w:rsidP="00277C14">
      <w:pPr>
        <w:pStyle w:val="Default"/>
        <w:rPr>
          <w:sz w:val="20"/>
          <w:szCs w:val="20"/>
        </w:rPr>
      </w:pPr>
      <w:r w:rsidRPr="00277C14">
        <w:rPr>
          <w:sz w:val="20"/>
          <w:szCs w:val="20"/>
        </w:rPr>
        <w:t xml:space="preserve">At its Plenary </w:t>
      </w:r>
      <w:r w:rsidR="006B2E26">
        <w:rPr>
          <w:sz w:val="20"/>
          <w:szCs w:val="20"/>
        </w:rPr>
        <w:t>meetings</w:t>
      </w:r>
      <w:r w:rsidRPr="00277C14">
        <w:rPr>
          <w:sz w:val="20"/>
          <w:szCs w:val="20"/>
        </w:rPr>
        <w:t xml:space="preserve"> in 202</w:t>
      </w:r>
      <w:r w:rsidR="006B2E26">
        <w:rPr>
          <w:sz w:val="20"/>
          <w:szCs w:val="20"/>
        </w:rPr>
        <w:t>2</w:t>
      </w:r>
      <w:r w:rsidRPr="00277C14">
        <w:rPr>
          <w:sz w:val="20"/>
          <w:szCs w:val="20"/>
        </w:rPr>
        <w:t xml:space="preserve">, MONEYVAL discussed a number of topical issues in the AML/CFT </w:t>
      </w:r>
      <w:proofErr w:type="gramStart"/>
      <w:r w:rsidRPr="00277C14">
        <w:rPr>
          <w:sz w:val="20"/>
          <w:szCs w:val="20"/>
        </w:rPr>
        <w:t xml:space="preserve">field, </w:t>
      </w:r>
      <w:r w:rsidR="00A74E02">
        <w:rPr>
          <w:sz w:val="20"/>
          <w:szCs w:val="20"/>
        </w:rPr>
        <w:t>and</w:t>
      </w:r>
      <w:proofErr w:type="gramEnd"/>
      <w:r w:rsidR="00A74E02">
        <w:rPr>
          <w:sz w:val="20"/>
          <w:szCs w:val="20"/>
        </w:rPr>
        <w:t xml:space="preserve"> </w:t>
      </w:r>
      <w:r w:rsidRPr="00277C14">
        <w:rPr>
          <w:sz w:val="20"/>
          <w:szCs w:val="20"/>
        </w:rPr>
        <w:t>had exchanges of views wit</w:t>
      </w:r>
      <w:r w:rsidR="00205C94">
        <w:rPr>
          <w:sz w:val="20"/>
          <w:szCs w:val="20"/>
        </w:rPr>
        <w:t>h</w:t>
      </w:r>
      <w:r w:rsidRPr="00277C14">
        <w:rPr>
          <w:sz w:val="20"/>
          <w:szCs w:val="20"/>
        </w:rPr>
        <w:t xml:space="preserve"> AML/CFT experts. Apart from the issues already covered elsewhere in this report, the following lists a selection of these</w:t>
      </w:r>
      <w:r w:rsidR="00A74E02">
        <w:rPr>
          <w:sz w:val="20"/>
          <w:szCs w:val="20"/>
        </w:rPr>
        <w:t xml:space="preserve"> decisions and exchanges. </w:t>
      </w:r>
      <w:proofErr w:type="gramStart"/>
      <w:r w:rsidR="00A74E02">
        <w:rPr>
          <w:sz w:val="20"/>
          <w:szCs w:val="20"/>
        </w:rPr>
        <w:t>In particular the</w:t>
      </w:r>
      <w:proofErr w:type="gramEnd"/>
      <w:r w:rsidR="00A74E02">
        <w:rPr>
          <w:sz w:val="20"/>
          <w:szCs w:val="20"/>
        </w:rPr>
        <w:t xml:space="preserve"> MONEYVAL </w:t>
      </w:r>
      <w:r w:rsidR="00A74E02" w:rsidRPr="005844FD">
        <w:rPr>
          <w:sz w:val="20"/>
          <w:szCs w:val="20"/>
        </w:rPr>
        <w:t>Plenar</w:t>
      </w:r>
      <w:r w:rsidR="006B2E26" w:rsidRPr="005844FD">
        <w:rPr>
          <w:sz w:val="20"/>
          <w:szCs w:val="20"/>
        </w:rPr>
        <w:t>y</w:t>
      </w:r>
      <w:r w:rsidR="00A74E02" w:rsidRPr="005844FD">
        <w:rPr>
          <w:sz w:val="20"/>
          <w:szCs w:val="20"/>
        </w:rPr>
        <w:t>:</w:t>
      </w:r>
    </w:p>
    <w:p w14:paraId="2912E9EC" w14:textId="77777777" w:rsidR="00E51C76" w:rsidRPr="005844FD" w:rsidRDefault="00E51C76" w:rsidP="00277C14">
      <w:pPr>
        <w:pStyle w:val="Default"/>
        <w:rPr>
          <w:sz w:val="20"/>
          <w:szCs w:val="20"/>
        </w:rPr>
      </w:pPr>
    </w:p>
    <w:p w14:paraId="76FFDE5F" w14:textId="55A4D3EB" w:rsidR="004D663C" w:rsidRDefault="004D663C" w:rsidP="004D663C">
      <w:pPr>
        <w:pStyle w:val="Default"/>
        <w:numPr>
          <w:ilvl w:val="0"/>
          <w:numId w:val="46"/>
        </w:numPr>
        <w:rPr>
          <w:sz w:val="20"/>
          <w:szCs w:val="20"/>
        </w:rPr>
      </w:pPr>
      <w:r w:rsidRPr="005844FD">
        <w:rPr>
          <w:sz w:val="20"/>
          <w:szCs w:val="20"/>
        </w:rPr>
        <w:t xml:space="preserve">agreed on changes to the procedure on follow-up to mutual evaluations, including a new approach to reporting, its link with the Compliance Enhancing Procedures, and increased engagement between the rapporteur team and the country under </w:t>
      </w:r>
      <w:proofErr w:type="gramStart"/>
      <w:r w:rsidRPr="005844FD">
        <w:rPr>
          <w:sz w:val="20"/>
          <w:szCs w:val="20"/>
        </w:rPr>
        <w:t>review;</w:t>
      </w:r>
      <w:proofErr w:type="gramEnd"/>
    </w:p>
    <w:p w14:paraId="2F62C403" w14:textId="77777777" w:rsidR="00E51C76" w:rsidRPr="005844FD" w:rsidRDefault="00E51C76" w:rsidP="00E51C76">
      <w:pPr>
        <w:pStyle w:val="Default"/>
        <w:ind w:left="360"/>
        <w:rPr>
          <w:sz w:val="20"/>
          <w:szCs w:val="20"/>
        </w:rPr>
      </w:pPr>
    </w:p>
    <w:p w14:paraId="223D2657" w14:textId="77777777" w:rsidR="00E51C76" w:rsidRDefault="00E51C76">
      <w:pPr>
        <w:rPr>
          <w:rFonts w:eastAsia="Times New Roman" w:cs="Arial"/>
          <w:color w:val="000000"/>
          <w:szCs w:val="20"/>
        </w:rPr>
      </w:pPr>
      <w:r>
        <w:rPr>
          <w:szCs w:val="20"/>
        </w:rPr>
        <w:br w:type="page"/>
      </w:r>
    </w:p>
    <w:p w14:paraId="1B12D46F" w14:textId="172B597E" w:rsidR="004D663C" w:rsidRDefault="004D663C" w:rsidP="004D663C">
      <w:pPr>
        <w:pStyle w:val="Default"/>
        <w:numPr>
          <w:ilvl w:val="0"/>
          <w:numId w:val="46"/>
        </w:numPr>
        <w:rPr>
          <w:sz w:val="20"/>
          <w:szCs w:val="20"/>
        </w:rPr>
      </w:pPr>
      <w:r w:rsidRPr="005844FD">
        <w:rPr>
          <w:sz w:val="20"/>
          <w:szCs w:val="20"/>
        </w:rPr>
        <w:lastRenderedPageBreak/>
        <w:t>discussed the planning and sequencing for the 6</w:t>
      </w:r>
      <w:r w:rsidR="00EE5C37" w:rsidRPr="00EE5C37">
        <w:rPr>
          <w:sz w:val="20"/>
          <w:szCs w:val="20"/>
          <w:vertAlign w:val="superscript"/>
        </w:rPr>
        <w:t>th</w:t>
      </w:r>
      <w:r w:rsidR="00EE5C37">
        <w:rPr>
          <w:sz w:val="20"/>
          <w:szCs w:val="20"/>
        </w:rPr>
        <w:t xml:space="preserve"> </w:t>
      </w:r>
      <w:r w:rsidRPr="005844FD">
        <w:rPr>
          <w:sz w:val="20"/>
          <w:szCs w:val="20"/>
        </w:rPr>
        <w:t xml:space="preserve">Round of mutual </w:t>
      </w:r>
      <w:proofErr w:type="gramStart"/>
      <w:r w:rsidRPr="005844FD">
        <w:rPr>
          <w:sz w:val="20"/>
          <w:szCs w:val="20"/>
        </w:rPr>
        <w:t>evaluations;</w:t>
      </w:r>
      <w:proofErr w:type="gramEnd"/>
    </w:p>
    <w:p w14:paraId="42F4A2FD" w14:textId="77777777" w:rsidR="00E51C76" w:rsidRPr="005844FD" w:rsidRDefault="00E51C76" w:rsidP="00E51C76">
      <w:pPr>
        <w:pStyle w:val="Default"/>
        <w:rPr>
          <w:sz w:val="20"/>
          <w:szCs w:val="20"/>
        </w:rPr>
      </w:pPr>
    </w:p>
    <w:p w14:paraId="5723223A" w14:textId="1EF48F81" w:rsidR="004D663C" w:rsidRDefault="004D663C" w:rsidP="004D663C">
      <w:pPr>
        <w:pStyle w:val="Default"/>
        <w:numPr>
          <w:ilvl w:val="0"/>
          <w:numId w:val="46"/>
        </w:numPr>
        <w:rPr>
          <w:sz w:val="20"/>
          <w:szCs w:val="20"/>
        </w:rPr>
      </w:pPr>
      <w:r w:rsidRPr="005844FD">
        <w:rPr>
          <w:sz w:val="20"/>
          <w:szCs w:val="20"/>
        </w:rPr>
        <w:t xml:space="preserve">discussed and adopted the Organisational principles during the mutual evaluation process for evaluated countries and </w:t>
      </w:r>
      <w:proofErr w:type="gramStart"/>
      <w:r w:rsidRPr="005844FD">
        <w:rPr>
          <w:sz w:val="20"/>
          <w:szCs w:val="20"/>
        </w:rPr>
        <w:t>territories;</w:t>
      </w:r>
      <w:proofErr w:type="gramEnd"/>
    </w:p>
    <w:p w14:paraId="27320EAC" w14:textId="77777777" w:rsidR="00E51C76" w:rsidRPr="005844FD" w:rsidRDefault="00E51C76" w:rsidP="00E51C76">
      <w:pPr>
        <w:pStyle w:val="Default"/>
        <w:rPr>
          <w:sz w:val="20"/>
          <w:szCs w:val="20"/>
        </w:rPr>
      </w:pPr>
    </w:p>
    <w:p w14:paraId="57BE24F4" w14:textId="5E81D6F9" w:rsidR="004D663C" w:rsidRDefault="004D663C" w:rsidP="004D663C">
      <w:pPr>
        <w:pStyle w:val="Default"/>
        <w:numPr>
          <w:ilvl w:val="0"/>
          <w:numId w:val="46"/>
        </w:numPr>
        <w:rPr>
          <w:sz w:val="20"/>
          <w:szCs w:val="20"/>
        </w:rPr>
      </w:pPr>
      <w:r w:rsidRPr="005844FD">
        <w:rPr>
          <w:sz w:val="20"/>
          <w:szCs w:val="20"/>
        </w:rPr>
        <w:t>held a thematic session on money laundering and human trafficking, including an exchange of views with Ms Helga Gayer</w:t>
      </w:r>
      <w:r w:rsidR="005844FD" w:rsidRPr="005844FD">
        <w:rPr>
          <w:sz w:val="20"/>
          <w:szCs w:val="20"/>
        </w:rPr>
        <w:t>,</w:t>
      </w:r>
      <w:r w:rsidRPr="005844FD">
        <w:rPr>
          <w:sz w:val="20"/>
          <w:szCs w:val="20"/>
        </w:rPr>
        <w:t xml:space="preserve"> the Chair of the Group of Experts on Action against Trafficking in Human Beings (GRETA</w:t>
      </w:r>
      <w:proofErr w:type="gramStart"/>
      <w:r w:rsidRPr="005844FD">
        <w:rPr>
          <w:sz w:val="20"/>
          <w:szCs w:val="20"/>
        </w:rPr>
        <w:t>);</w:t>
      </w:r>
      <w:proofErr w:type="gramEnd"/>
    </w:p>
    <w:p w14:paraId="3620F09D" w14:textId="77777777" w:rsidR="00E51C76" w:rsidRPr="005844FD" w:rsidRDefault="00E51C76" w:rsidP="00E51C76">
      <w:pPr>
        <w:pStyle w:val="Default"/>
        <w:rPr>
          <w:sz w:val="20"/>
          <w:szCs w:val="20"/>
        </w:rPr>
      </w:pPr>
    </w:p>
    <w:p w14:paraId="239EA5B9" w14:textId="1B50C504" w:rsidR="004D663C" w:rsidRPr="005844FD" w:rsidRDefault="004D663C" w:rsidP="004D663C">
      <w:pPr>
        <w:pStyle w:val="Default"/>
        <w:numPr>
          <w:ilvl w:val="0"/>
          <w:numId w:val="46"/>
        </w:numPr>
        <w:rPr>
          <w:sz w:val="20"/>
          <w:szCs w:val="20"/>
        </w:rPr>
      </w:pPr>
      <w:r w:rsidRPr="005844FD">
        <w:rPr>
          <w:sz w:val="20"/>
          <w:szCs w:val="20"/>
        </w:rPr>
        <w:t>discussed the Draft MONEYVAL Strategy for 2023-2027 and heard interventions from the former MONEYVAL Chairs and scientific experts.</w:t>
      </w:r>
    </w:p>
    <w:p w14:paraId="23D91491" w14:textId="77777777" w:rsidR="00277C14" w:rsidRPr="00277C14" w:rsidRDefault="00277C14" w:rsidP="00277C14">
      <w:pPr>
        <w:pStyle w:val="Default"/>
        <w:rPr>
          <w:sz w:val="20"/>
          <w:szCs w:val="20"/>
        </w:rPr>
      </w:pPr>
    </w:p>
    <w:p w14:paraId="3E74B904" w14:textId="50C6B9CF" w:rsidR="00277C14" w:rsidRDefault="00DB50CE" w:rsidP="00DB50CE">
      <w:pPr>
        <w:pStyle w:val="Heading2"/>
        <w:keepLines w:val="0"/>
        <w:tabs>
          <w:tab w:val="left" w:pos="709"/>
        </w:tabs>
        <w:spacing w:before="0"/>
        <w:ind w:right="680"/>
        <w:jc w:val="both"/>
        <w:rPr>
          <w:rStyle w:val="docheader1"/>
          <w:rFonts w:ascii="Arial" w:hAnsi="Arial" w:cs="Arial"/>
          <w:color w:val="000000" w:themeColor="text1"/>
          <w:sz w:val="20"/>
          <w:szCs w:val="20"/>
        </w:rPr>
      </w:pPr>
      <w:bookmarkStart w:id="42" w:name="_Toc423609848"/>
      <w:bookmarkStart w:id="43" w:name="_Toc66712427"/>
      <w:bookmarkStart w:id="44" w:name="_Toc135409892"/>
      <w:bookmarkStart w:id="45" w:name="_Toc346194302"/>
      <w:bookmarkStart w:id="46" w:name="_Toc379211960"/>
      <w:bookmarkStart w:id="47" w:name="_Toc423609829"/>
      <w:bookmarkStart w:id="48" w:name="_Toc446602131"/>
      <w:r>
        <w:rPr>
          <w:rStyle w:val="docheader1"/>
          <w:rFonts w:ascii="Arial" w:hAnsi="Arial" w:cs="Arial"/>
          <w:color w:val="000000" w:themeColor="text1"/>
          <w:sz w:val="20"/>
          <w:szCs w:val="20"/>
        </w:rPr>
        <w:t>4.</w:t>
      </w:r>
      <w:r w:rsidR="00503E8C">
        <w:rPr>
          <w:rStyle w:val="docheader1"/>
          <w:rFonts w:ascii="Arial" w:hAnsi="Arial" w:cs="Arial"/>
          <w:color w:val="000000" w:themeColor="text1"/>
          <w:sz w:val="20"/>
          <w:szCs w:val="20"/>
        </w:rPr>
        <w:t>3</w:t>
      </w:r>
      <w:r>
        <w:rPr>
          <w:rStyle w:val="docheader1"/>
          <w:rFonts w:ascii="Arial" w:hAnsi="Arial" w:cs="Arial"/>
          <w:color w:val="000000" w:themeColor="text1"/>
          <w:sz w:val="20"/>
          <w:szCs w:val="20"/>
        </w:rPr>
        <w:t>.</w:t>
      </w:r>
      <w:r>
        <w:rPr>
          <w:rStyle w:val="docheader1"/>
          <w:rFonts w:ascii="Arial" w:hAnsi="Arial" w:cs="Arial"/>
          <w:color w:val="000000" w:themeColor="text1"/>
          <w:sz w:val="20"/>
          <w:szCs w:val="20"/>
        </w:rPr>
        <w:tab/>
      </w:r>
      <w:r w:rsidR="005D084D">
        <w:rPr>
          <w:rStyle w:val="docheader1"/>
          <w:rFonts w:ascii="Arial" w:hAnsi="Arial" w:cs="Arial"/>
          <w:color w:val="000000" w:themeColor="text1"/>
          <w:sz w:val="20"/>
          <w:szCs w:val="20"/>
        </w:rPr>
        <w:t>T</w:t>
      </w:r>
      <w:r w:rsidR="00277C14" w:rsidRPr="00277C14">
        <w:rPr>
          <w:rStyle w:val="docheader1"/>
          <w:rFonts w:ascii="Arial" w:hAnsi="Arial" w:cs="Arial"/>
          <w:color w:val="000000" w:themeColor="text1"/>
          <w:sz w:val="20"/>
          <w:szCs w:val="20"/>
        </w:rPr>
        <w:t>raining</w:t>
      </w:r>
      <w:bookmarkEnd w:id="42"/>
      <w:r w:rsidR="00277C14" w:rsidRPr="00277C14">
        <w:rPr>
          <w:rStyle w:val="docheader1"/>
          <w:rFonts w:ascii="Arial" w:hAnsi="Arial" w:cs="Arial"/>
          <w:color w:val="000000" w:themeColor="text1"/>
          <w:sz w:val="20"/>
          <w:szCs w:val="20"/>
        </w:rPr>
        <w:t>s</w:t>
      </w:r>
      <w:bookmarkEnd w:id="43"/>
      <w:bookmarkEnd w:id="44"/>
    </w:p>
    <w:p w14:paraId="54DC1D8F" w14:textId="77777777" w:rsidR="00DB50CE" w:rsidRPr="00DB50CE" w:rsidRDefault="00DB50CE" w:rsidP="00DB50CE"/>
    <w:p w14:paraId="2196A4C4" w14:textId="2FCA8796" w:rsidR="004D20DD" w:rsidRPr="004D20DD" w:rsidRDefault="004D20DD" w:rsidP="004D20DD">
      <w:pPr>
        <w:pStyle w:val="Default"/>
        <w:rPr>
          <w:sz w:val="20"/>
          <w:szCs w:val="20"/>
        </w:rPr>
      </w:pPr>
      <w:r w:rsidRPr="005844FD">
        <w:rPr>
          <w:sz w:val="20"/>
          <w:szCs w:val="20"/>
        </w:rPr>
        <w:t>On 14-24 February 2022</w:t>
      </w:r>
      <w:r w:rsidR="005844FD" w:rsidRPr="005844FD">
        <w:rPr>
          <w:sz w:val="20"/>
          <w:szCs w:val="20"/>
        </w:rPr>
        <w:t>,</w:t>
      </w:r>
      <w:r w:rsidRPr="005844FD">
        <w:rPr>
          <w:sz w:val="20"/>
          <w:szCs w:val="20"/>
        </w:rPr>
        <w:t xml:space="preserve"> MONEYVAL delegations participated in the tenth virtual course focused on anti-money laundering, counter-terrorist </w:t>
      </w:r>
      <w:proofErr w:type="gramStart"/>
      <w:r w:rsidRPr="005844FD">
        <w:rPr>
          <w:sz w:val="20"/>
          <w:szCs w:val="20"/>
        </w:rPr>
        <w:t>financing</w:t>
      </w:r>
      <w:proofErr w:type="gramEnd"/>
      <w:r w:rsidRPr="005844FD">
        <w:rPr>
          <w:sz w:val="20"/>
          <w:szCs w:val="20"/>
        </w:rPr>
        <w:t xml:space="preserve"> and counter-proliferation financing techniques. The training course was jointly delivered by training specialists from the FATF Training Institute in Busan, Republic of </w:t>
      </w:r>
      <w:proofErr w:type="gramStart"/>
      <w:r w:rsidRPr="005844FD">
        <w:rPr>
          <w:sz w:val="20"/>
          <w:szCs w:val="20"/>
        </w:rPr>
        <w:t>Korea</w:t>
      </w:r>
      <w:proofErr w:type="gramEnd"/>
      <w:r w:rsidRPr="005844FD">
        <w:rPr>
          <w:sz w:val="20"/>
          <w:szCs w:val="20"/>
        </w:rPr>
        <w:t xml:space="preserve"> and experts from MONEYVAL. The Standards Training Course aimed at enhancing participants’ understanding of the FATF Standards on AML/CFT and the implementation of effective measures to combat ML/TF. It was an intermediate level training, designed for AML/CFT practitioners with prior exposure to the FATF Standards, and was delivered through a series of e-learning, presentations, group discussions and small group activities. In addition, this course is also designed for practitioners looking to improve their countries’ AML/CFT measures.</w:t>
      </w:r>
    </w:p>
    <w:p w14:paraId="6E00C5E8" w14:textId="75700FD6" w:rsidR="00503E8C" w:rsidRDefault="00503E8C"/>
    <w:p w14:paraId="7E3955BA" w14:textId="48E41CB3" w:rsidR="00277C14" w:rsidRPr="005745B6" w:rsidRDefault="00277C14" w:rsidP="005745B6">
      <w:pPr>
        <w:pStyle w:val="Heading1"/>
        <w:numPr>
          <w:ilvl w:val="0"/>
          <w:numId w:val="37"/>
        </w:numPr>
        <w:spacing w:before="0"/>
        <w:rPr>
          <w:rFonts w:ascii="Arial" w:eastAsiaTheme="minorHAnsi" w:hAnsi="Arial" w:cs="Times New Roman"/>
          <w:b/>
          <w:bCs/>
          <w:color w:val="auto"/>
          <w:kern w:val="28"/>
          <w:sz w:val="20"/>
          <w:szCs w:val="20"/>
        </w:rPr>
      </w:pPr>
      <w:bookmarkStart w:id="49" w:name="_Toc66712429"/>
      <w:bookmarkStart w:id="50" w:name="_Toc135409893"/>
      <w:r w:rsidRPr="005745B6">
        <w:rPr>
          <w:rFonts w:ascii="Arial" w:eastAsiaTheme="minorHAnsi" w:hAnsi="Arial" w:cs="Times New Roman"/>
          <w:b/>
          <w:bCs/>
          <w:color w:val="auto"/>
          <w:kern w:val="28"/>
          <w:sz w:val="20"/>
          <w:szCs w:val="20"/>
        </w:rPr>
        <w:t>KEY INTERNATIONAL PARTNERSHIPS</w:t>
      </w:r>
      <w:bookmarkEnd w:id="45"/>
      <w:bookmarkEnd w:id="46"/>
      <w:bookmarkEnd w:id="47"/>
      <w:bookmarkEnd w:id="48"/>
      <w:bookmarkEnd w:id="49"/>
      <w:bookmarkEnd w:id="50"/>
    </w:p>
    <w:p w14:paraId="722DD352" w14:textId="77777777" w:rsidR="005745B6" w:rsidRPr="005745B6" w:rsidRDefault="005745B6" w:rsidP="005745B6">
      <w:pPr>
        <w:rPr>
          <w:lang w:val="fr-FR"/>
        </w:rPr>
      </w:pPr>
    </w:p>
    <w:p w14:paraId="789AAB57" w14:textId="713997F5" w:rsidR="00277C14" w:rsidRDefault="00277C14" w:rsidP="00277C14">
      <w:pPr>
        <w:pStyle w:val="Default"/>
        <w:rPr>
          <w:sz w:val="20"/>
          <w:szCs w:val="20"/>
        </w:rPr>
      </w:pPr>
      <w:r w:rsidRPr="00277C14">
        <w:rPr>
          <w:sz w:val="20"/>
          <w:szCs w:val="20"/>
        </w:rPr>
        <w:t xml:space="preserve">MONEYVAL is a key partner in the Global Network of AML/CFT assessment bodies, which is led by the FATF. The development of horizontal partnerships within this Network is essential to its coherent functioning and overall global effectiveness. </w:t>
      </w:r>
    </w:p>
    <w:p w14:paraId="49877CED" w14:textId="77777777" w:rsidR="005745B6" w:rsidRPr="00277C14" w:rsidRDefault="005745B6" w:rsidP="00277C14">
      <w:pPr>
        <w:pStyle w:val="Default"/>
        <w:rPr>
          <w:sz w:val="20"/>
          <w:szCs w:val="20"/>
        </w:rPr>
      </w:pPr>
    </w:p>
    <w:p w14:paraId="60AC22A9" w14:textId="584521E5" w:rsidR="00277C14" w:rsidRPr="00793889" w:rsidRDefault="005745B6" w:rsidP="005745B6">
      <w:pPr>
        <w:pStyle w:val="Heading2"/>
        <w:keepLines w:val="0"/>
        <w:spacing w:before="0"/>
        <w:ind w:right="680"/>
        <w:jc w:val="both"/>
        <w:rPr>
          <w:rStyle w:val="Strong"/>
          <w:rFonts w:ascii="Arial" w:eastAsiaTheme="minorHAnsi" w:hAnsi="Arial" w:cs="Arial"/>
          <w:bCs/>
          <w:color w:val="auto"/>
          <w:sz w:val="20"/>
          <w:szCs w:val="20"/>
          <w:lang w:val="en-US"/>
        </w:rPr>
      </w:pPr>
      <w:bookmarkStart w:id="51" w:name="_Toc379211961"/>
      <w:bookmarkStart w:id="52" w:name="_Toc423609830"/>
      <w:bookmarkStart w:id="53" w:name="_Toc66712430"/>
      <w:bookmarkStart w:id="54" w:name="_Toc135409894"/>
      <w:r w:rsidRPr="00793889">
        <w:rPr>
          <w:rStyle w:val="Strong"/>
          <w:rFonts w:ascii="Arial" w:eastAsiaTheme="minorHAnsi" w:hAnsi="Arial" w:cs="Arial"/>
          <w:bCs/>
          <w:color w:val="auto"/>
          <w:sz w:val="20"/>
          <w:szCs w:val="20"/>
          <w:lang w:val="en-US"/>
        </w:rPr>
        <w:t>5.1.</w:t>
      </w:r>
      <w:r w:rsidRPr="00793889">
        <w:rPr>
          <w:rStyle w:val="Strong"/>
          <w:rFonts w:ascii="Arial" w:eastAsiaTheme="minorHAnsi" w:hAnsi="Arial" w:cs="Arial"/>
          <w:bCs/>
          <w:color w:val="auto"/>
          <w:sz w:val="20"/>
          <w:szCs w:val="20"/>
          <w:lang w:val="en-US"/>
        </w:rPr>
        <w:tab/>
      </w:r>
      <w:r w:rsidR="00277C14" w:rsidRPr="00793889">
        <w:rPr>
          <w:rStyle w:val="Strong"/>
          <w:rFonts w:ascii="Arial" w:eastAsiaTheme="minorHAnsi" w:hAnsi="Arial" w:cs="Arial"/>
          <w:bCs/>
          <w:color w:val="auto"/>
          <w:sz w:val="20"/>
          <w:szCs w:val="20"/>
          <w:lang w:val="en-US"/>
        </w:rPr>
        <w:t>Financial Action Task Force</w:t>
      </w:r>
      <w:bookmarkEnd w:id="51"/>
      <w:bookmarkEnd w:id="52"/>
      <w:bookmarkEnd w:id="53"/>
      <w:bookmarkEnd w:id="54"/>
    </w:p>
    <w:p w14:paraId="6F32216F" w14:textId="77777777" w:rsidR="005745B6" w:rsidRPr="00793889" w:rsidRDefault="005745B6" w:rsidP="005745B6">
      <w:pPr>
        <w:rPr>
          <w:lang w:val="en-US"/>
        </w:rPr>
      </w:pPr>
    </w:p>
    <w:p w14:paraId="46BAA98D" w14:textId="77777777" w:rsidR="00277C14" w:rsidRPr="00277C14" w:rsidRDefault="00277C14" w:rsidP="00277C14">
      <w:pPr>
        <w:pStyle w:val="Default"/>
        <w:rPr>
          <w:sz w:val="20"/>
          <w:szCs w:val="20"/>
        </w:rPr>
      </w:pPr>
      <w:r w:rsidRPr="00277C14">
        <w:rPr>
          <w:sz w:val="20"/>
          <w:szCs w:val="20"/>
        </w:rPr>
        <w:t>The Financial Action Task Force (FATF) continues to be MONEYVAL’s primary international partner and collaborator. The FATF is an inter-governmental body established in 1989 and designed to set standards and promote effective implementation of anti-money laundering and countering terrorist financing measures. The FATF is therefore a policy-making body which works to generate the necessary political will to bring about national legislative and regulatory reforms. It operates in combination with nine FATF-style regional bodies, among which MONEYVAL is recognised as a leading member.</w:t>
      </w:r>
    </w:p>
    <w:p w14:paraId="02075F3E" w14:textId="77777777" w:rsidR="00277C14" w:rsidRPr="00277C14" w:rsidRDefault="00277C14" w:rsidP="00277C14">
      <w:pPr>
        <w:pStyle w:val="Default"/>
        <w:rPr>
          <w:sz w:val="20"/>
          <w:szCs w:val="20"/>
        </w:rPr>
      </w:pPr>
    </w:p>
    <w:p w14:paraId="6FDD78E8" w14:textId="77777777" w:rsidR="00277C14" w:rsidRPr="00277C14" w:rsidRDefault="00277C14" w:rsidP="00277C14">
      <w:pPr>
        <w:pStyle w:val="Default"/>
        <w:rPr>
          <w:sz w:val="20"/>
          <w:szCs w:val="20"/>
        </w:rPr>
      </w:pPr>
      <w:r w:rsidRPr="00277C14">
        <w:rPr>
          <w:sz w:val="20"/>
          <w:szCs w:val="20"/>
        </w:rPr>
        <w:t xml:space="preserve">As an associate member of the FATF since 2006, MONEYVAL contributes to the policy-making work of FATF. The Chair, the Vice-Chairs and the Executive Secretary systematically attend and actively contribute in FATF working groups and plenary meetings, together with delegates from MONEYVAL States and territories who participate under the MONEYVAL flag. Thus, MONEYVAL members have real opportunities of providing input to the FATF’s global AML/CFT </w:t>
      </w:r>
      <w:proofErr w:type="gramStart"/>
      <w:r w:rsidRPr="00277C14">
        <w:rPr>
          <w:sz w:val="20"/>
          <w:szCs w:val="20"/>
        </w:rPr>
        <w:t>policy-making</w:t>
      </w:r>
      <w:proofErr w:type="gramEnd"/>
      <w:r w:rsidRPr="00277C14">
        <w:rPr>
          <w:sz w:val="20"/>
          <w:szCs w:val="20"/>
        </w:rPr>
        <w:t xml:space="preserve">. </w:t>
      </w:r>
    </w:p>
    <w:p w14:paraId="1E743CA5" w14:textId="77777777" w:rsidR="00277C14" w:rsidRPr="00277C14" w:rsidRDefault="00277C14" w:rsidP="00277C14">
      <w:pPr>
        <w:pStyle w:val="Default"/>
        <w:rPr>
          <w:sz w:val="20"/>
          <w:szCs w:val="20"/>
        </w:rPr>
      </w:pPr>
    </w:p>
    <w:p w14:paraId="6C4740C2" w14:textId="1460AD2F" w:rsidR="00277C14" w:rsidRPr="00277C14" w:rsidRDefault="00277C14" w:rsidP="00277C14">
      <w:pPr>
        <w:pStyle w:val="Default"/>
        <w:rPr>
          <w:sz w:val="20"/>
          <w:szCs w:val="20"/>
        </w:rPr>
      </w:pPr>
      <w:r w:rsidRPr="00277C14">
        <w:rPr>
          <w:sz w:val="20"/>
          <w:szCs w:val="20"/>
        </w:rPr>
        <w:t xml:space="preserve">Considerable MONEYVAL Secretariat resources are </w:t>
      </w:r>
      <w:r w:rsidR="009B70A0">
        <w:rPr>
          <w:sz w:val="20"/>
          <w:szCs w:val="20"/>
        </w:rPr>
        <w:t>devoted</w:t>
      </w:r>
      <w:r w:rsidR="009B70A0" w:rsidRPr="00277C14">
        <w:rPr>
          <w:sz w:val="20"/>
          <w:szCs w:val="20"/>
        </w:rPr>
        <w:t xml:space="preserve"> </w:t>
      </w:r>
      <w:r w:rsidRPr="00277C14">
        <w:rPr>
          <w:sz w:val="20"/>
          <w:szCs w:val="20"/>
        </w:rPr>
        <w:t xml:space="preserve">to following the work of each of the main FATF working groups, and in attendance at inter-sessional meetings. This concerns </w:t>
      </w:r>
      <w:proofErr w:type="gramStart"/>
      <w:r w:rsidRPr="00277C14">
        <w:rPr>
          <w:sz w:val="20"/>
          <w:szCs w:val="20"/>
        </w:rPr>
        <w:t>in particular the</w:t>
      </w:r>
      <w:proofErr w:type="gramEnd"/>
      <w:r w:rsidRPr="00277C14">
        <w:rPr>
          <w:sz w:val="20"/>
          <w:szCs w:val="20"/>
        </w:rPr>
        <w:t xml:space="preserve"> International Co-operation Review Group (ICRG), to which four MONEYVAL members had been referred to in past years. But it also concerns the Policy and Development Group (PDG) responsible for amending the FATF standards, as well as the Evaluations and Compliance Group (ECG) which deals with issues involving the interpretation of the FATF standards and the development of the global AML/CFT Methodology. MONEYVAL’s involvement is essential in these working groups, given that amendments of the FATF standards or decisions on their interpretation have direct consequences for all future MONEYVAL evaluations. It is therefore in the interest of all its members that MONEYVAL is properly and sufficiently represented in these working groups at FATF Plenaries. </w:t>
      </w:r>
    </w:p>
    <w:p w14:paraId="048C42DF" w14:textId="77777777" w:rsidR="00277C14" w:rsidRPr="00277C14" w:rsidRDefault="00277C14" w:rsidP="00277C14">
      <w:pPr>
        <w:pStyle w:val="Default"/>
        <w:rPr>
          <w:sz w:val="20"/>
          <w:szCs w:val="20"/>
        </w:rPr>
      </w:pPr>
    </w:p>
    <w:p w14:paraId="2FC5773D" w14:textId="77777777" w:rsidR="00E51C76" w:rsidRDefault="00E51C76">
      <w:pPr>
        <w:rPr>
          <w:rFonts w:eastAsia="Times New Roman" w:cs="Arial"/>
          <w:color w:val="000000"/>
          <w:szCs w:val="20"/>
        </w:rPr>
      </w:pPr>
      <w:r>
        <w:rPr>
          <w:szCs w:val="20"/>
        </w:rPr>
        <w:br w:type="page"/>
      </w:r>
    </w:p>
    <w:p w14:paraId="13EE2A2C" w14:textId="6EA7A081" w:rsidR="00277C14" w:rsidRDefault="00277C14" w:rsidP="00277C14">
      <w:pPr>
        <w:pStyle w:val="Default"/>
        <w:rPr>
          <w:sz w:val="20"/>
          <w:szCs w:val="20"/>
        </w:rPr>
      </w:pPr>
      <w:r w:rsidRPr="00277C14">
        <w:rPr>
          <w:sz w:val="20"/>
          <w:szCs w:val="20"/>
        </w:rPr>
        <w:lastRenderedPageBreak/>
        <w:t xml:space="preserve">In </w:t>
      </w:r>
      <w:r w:rsidR="005D0792" w:rsidRPr="00277C14">
        <w:rPr>
          <w:sz w:val="20"/>
          <w:szCs w:val="20"/>
        </w:rPr>
        <w:t>202</w:t>
      </w:r>
      <w:r w:rsidR="005D0792">
        <w:rPr>
          <w:sz w:val="20"/>
          <w:szCs w:val="20"/>
        </w:rPr>
        <w:t>2</w:t>
      </w:r>
      <w:r w:rsidRPr="00277C14">
        <w:rPr>
          <w:sz w:val="20"/>
          <w:szCs w:val="20"/>
        </w:rPr>
        <w:t xml:space="preserve">, the MONEYVAL delegation attended </w:t>
      </w:r>
      <w:r w:rsidR="008F3910">
        <w:rPr>
          <w:sz w:val="20"/>
          <w:szCs w:val="20"/>
        </w:rPr>
        <w:t>three</w:t>
      </w:r>
      <w:r w:rsidRPr="00277C14">
        <w:rPr>
          <w:sz w:val="20"/>
          <w:szCs w:val="20"/>
        </w:rPr>
        <w:t xml:space="preserve"> FATF Plenaries, and </w:t>
      </w:r>
      <w:r w:rsidR="008F3910">
        <w:rPr>
          <w:sz w:val="20"/>
          <w:szCs w:val="20"/>
        </w:rPr>
        <w:t>numerous</w:t>
      </w:r>
      <w:r w:rsidRPr="00277C14">
        <w:rPr>
          <w:sz w:val="20"/>
          <w:szCs w:val="20"/>
        </w:rPr>
        <w:t xml:space="preserve"> other FATF working group and project meetings. MONEYVAL’s contribution had a significant impact on </w:t>
      </w:r>
      <w:r w:rsidR="008F3910">
        <w:rPr>
          <w:sz w:val="20"/>
          <w:szCs w:val="20"/>
        </w:rPr>
        <w:t>the on-going revision of</w:t>
      </w:r>
      <w:r w:rsidRPr="00277C14">
        <w:rPr>
          <w:sz w:val="20"/>
          <w:szCs w:val="20"/>
        </w:rPr>
        <w:t xml:space="preserve"> FATF Standard</w:t>
      </w:r>
      <w:r w:rsidR="008F3910">
        <w:rPr>
          <w:sz w:val="20"/>
          <w:szCs w:val="20"/>
        </w:rPr>
        <w:t>s</w:t>
      </w:r>
      <w:r w:rsidRPr="00277C14">
        <w:rPr>
          <w:sz w:val="20"/>
          <w:szCs w:val="20"/>
        </w:rPr>
        <w:t xml:space="preserve">, and </w:t>
      </w:r>
      <w:proofErr w:type="gramStart"/>
      <w:r w:rsidRPr="00277C14">
        <w:rPr>
          <w:sz w:val="20"/>
          <w:szCs w:val="20"/>
        </w:rPr>
        <w:t>a number of</w:t>
      </w:r>
      <w:proofErr w:type="gramEnd"/>
      <w:r w:rsidRPr="00277C14">
        <w:rPr>
          <w:sz w:val="20"/>
          <w:szCs w:val="20"/>
        </w:rPr>
        <w:t xml:space="preserve"> procedural issues in the FATF workstream. MONEYVAL is an active contributor to the on-going process of the FATF Strategic Review, which will determine the parameters of the next assessment round for the entire Global Network. </w:t>
      </w:r>
    </w:p>
    <w:p w14:paraId="7C78A382" w14:textId="3B25A325" w:rsidR="008F3910" w:rsidRDefault="008F3910" w:rsidP="00277C14">
      <w:pPr>
        <w:pStyle w:val="Default"/>
        <w:rPr>
          <w:sz w:val="20"/>
          <w:szCs w:val="20"/>
        </w:rPr>
      </w:pPr>
    </w:p>
    <w:p w14:paraId="579A2798" w14:textId="02B308B9" w:rsidR="00C43E5E" w:rsidRDefault="008F3910" w:rsidP="00277C14">
      <w:pPr>
        <w:pStyle w:val="Default"/>
        <w:rPr>
          <w:sz w:val="20"/>
          <w:szCs w:val="20"/>
        </w:rPr>
      </w:pPr>
      <w:r>
        <w:rPr>
          <w:sz w:val="20"/>
          <w:szCs w:val="20"/>
        </w:rPr>
        <w:t xml:space="preserve">An important subject of engagement </w:t>
      </w:r>
      <w:r w:rsidR="00C43E5E">
        <w:rPr>
          <w:sz w:val="20"/>
          <w:szCs w:val="20"/>
        </w:rPr>
        <w:t xml:space="preserve">between the FATF and MONEYVAL is the FATF International </w:t>
      </w:r>
      <w:r w:rsidR="00E73BD4">
        <w:rPr>
          <w:sz w:val="20"/>
          <w:szCs w:val="20"/>
        </w:rPr>
        <w:t>Co-op</w:t>
      </w:r>
      <w:r w:rsidR="00C43E5E">
        <w:rPr>
          <w:sz w:val="20"/>
          <w:szCs w:val="20"/>
        </w:rPr>
        <w:t xml:space="preserve">eration Review Group (ICRG), which works on the so-called “grey” and “blacklists” lists of jurisdictions. </w:t>
      </w:r>
      <w:r w:rsidR="005B3C93" w:rsidRPr="005B3C93">
        <w:rPr>
          <w:sz w:val="20"/>
          <w:szCs w:val="20"/>
        </w:rPr>
        <w:t xml:space="preserve">There are </w:t>
      </w:r>
      <w:r w:rsidR="005B3C93" w:rsidRPr="005844FD">
        <w:rPr>
          <w:sz w:val="20"/>
          <w:szCs w:val="20"/>
        </w:rPr>
        <w:t xml:space="preserve">currently </w:t>
      </w:r>
      <w:r w:rsidR="005D0792" w:rsidRPr="005844FD">
        <w:rPr>
          <w:sz w:val="20"/>
          <w:szCs w:val="20"/>
        </w:rPr>
        <w:t>five</w:t>
      </w:r>
      <w:r w:rsidR="005D0792" w:rsidRPr="005B3C93">
        <w:rPr>
          <w:sz w:val="20"/>
          <w:szCs w:val="20"/>
        </w:rPr>
        <w:t xml:space="preserve"> </w:t>
      </w:r>
      <w:r w:rsidR="005B3C93" w:rsidRPr="005B3C93">
        <w:rPr>
          <w:sz w:val="20"/>
          <w:szCs w:val="20"/>
        </w:rPr>
        <w:t xml:space="preserve">MONEYVAL jurisdictions at various phases of the ICRG process. In prior years during the 5th Round four other MONEYVAL jurisdictions were subject to the ICRG. </w:t>
      </w:r>
      <w:r w:rsidR="00C43E5E">
        <w:rPr>
          <w:sz w:val="20"/>
          <w:szCs w:val="20"/>
        </w:rPr>
        <w:t xml:space="preserve">Jurisdictions are reviewed by the ICRG, when their mutual evaluations (as carried out by MONEYVAL or other FATF-style regional bodies) contain </w:t>
      </w:r>
      <w:proofErr w:type="gramStart"/>
      <w:r w:rsidR="00C43E5E">
        <w:rPr>
          <w:sz w:val="20"/>
          <w:szCs w:val="20"/>
        </w:rPr>
        <w:t>a large number of</w:t>
      </w:r>
      <w:proofErr w:type="gramEnd"/>
      <w:r w:rsidR="00C43E5E">
        <w:rPr>
          <w:sz w:val="20"/>
          <w:szCs w:val="20"/>
        </w:rPr>
        <w:t xml:space="preserve"> low and moderate ratings. </w:t>
      </w:r>
    </w:p>
    <w:p w14:paraId="7A0B30EB" w14:textId="0818662C" w:rsidR="00503E8C" w:rsidRDefault="00503E8C">
      <w:pPr>
        <w:rPr>
          <w:rFonts w:eastAsia="Times New Roman" w:cs="Arial"/>
          <w:color w:val="000000"/>
          <w:szCs w:val="20"/>
        </w:rPr>
      </w:pPr>
    </w:p>
    <w:p w14:paraId="2B144EAC" w14:textId="0B79A0D3" w:rsidR="005D0792" w:rsidRDefault="005D0792">
      <w:pPr>
        <w:rPr>
          <w:rFonts w:eastAsia="Times New Roman" w:cs="Arial"/>
          <w:color w:val="000000"/>
          <w:szCs w:val="20"/>
        </w:rPr>
      </w:pPr>
      <w:r w:rsidRPr="005844FD">
        <w:rPr>
          <w:rFonts w:eastAsia="Times New Roman" w:cs="Arial"/>
          <w:color w:val="000000"/>
          <w:szCs w:val="20"/>
        </w:rPr>
        <w:t xml:space="preserve">Following a decision of the Committee of Ministers, the Council of Europe submitted an application for observer status to the </w:t>
      </w:r>
      <w:proofErr w:type="gramStart"/>
      <w:r w:rsidRPr="005844FD">
        <w:rPr>
          <w:rFonts w:eastAsia="Times New Roman" w:cs="Arial"/>
          <w:color w:val="000000"/>
          <w:szCs w:val="20"/>
        </w:rPr>
        <w:t>FATF, and</w:t>
      </w:r>
      <w:proofErr w:type="gramEnd"/>
      <w:r w:rsidRPr="005844FD">
        <w:rPr>
          <w:rFonts w:eastAsia="Times New Roman" w:cs="Arial"/>
          <w:color w:val="000000"/>
          <w:szCs w:val="20"/>
        </w:rPr>
        <w:t xml:space="preserve"> was granted a positive decision in February 2022. Council of Europe delegations representing a range of entities within the Organisation attended FATF Plenary meetings in June and October 2022. Direct engagement of the Council of Europe in the FATF facilitates synergies between the two organisations in </w:t>
      </w:r>
      <w:proofErr w:type="gramStart"/>
      <w:r w:rsidRPr="005844FD">
        <w:rPr>
          <w:rFonts w:eastAsia="Times New Roman" w:cs="Arial"/>
          <w:color w:val="000000"/>
          <w:szCs w:val="20"/>
        </w:rPr>
        <w:t>a number of</w:t>
      </w:r>
      <w:proofErr w:type="gramEnd"/>
      <w:r w:rsidRPr="005844FD">
        <w:rPr>
          <w:rFonts w:eastAsia="Times New Roman" w:cs="Arial"/>
          <w:color w:val="000000"/>
          <w:szCs w:val="20"/>
        </w:rPr>
        <w:t xml:space="preserve"> clusters, which lie beyond the mandate of MONEYVAL. This includes, </w:t>
      </w:r>
      <w:proofErr w:type="gramStart"/>
      <w:r w:rsidRPr="005844FD">
        <w:rPr>
          <w:rFonts w:eastAsia="Times New Roman" w:cs="Arial"/>
          <w:color w:val="000000"/>
          <w:szCs w:val="20"/>
        </w:rPr>
        <w:t>in particular the</w:t>
      </w:r>
      <w:proofErr w:type="gramEnd"/>
      <w:r w:rsidRPr="005844FD">
        <w:rPr>
          <w:rFonts w:eastAsia="Times New Roman" w:cs="Arial"/>
          <w:color w:val="000000"/>
          <w:szCs w:val="20"/>
        </w:rPr>
        <w:t xml:space="preserve"> Venice Commission, GRECO as well as entities of the Organisation dealing with cybercrime, data protection and counterterrorism issues.</w:t>
      </w:r>
      <w:r>
        <w:rPr>
          <w:rFonts w:eastAsia="Times New Roman" w:cs="Arial"/>
          <w:color w:val="000000"/>
          <w:szCs w:val="20"/>
        </w:rPr>
        <w:t xml:space="preserve"> </w:t>
      </w:r>
    </w:p>
    <w:p w14:paraId="30246E66" w14:textId="77777777" w:rsidR="005D0792" w:rsidRDefault="005D0792">
      <w:pPr>
        <w:rPr>
          <w:rFonts w:eastAsia="Times New Roman" w:cs="Arial"/>
          <w:color w:val="000000"/>
          <w:szCs w:val="20"/>
        </w:rPr>
      </w:pPr>
    </w:p>
    <w:p w14:paraId="32D4A690" w14:textId="38C78E23" w:rsidR="00277C14" w:rsidRPr="00793889" w:rsidRDefault="005745B6" w:rsidP="005745B6">
      <w:pPr>
        <w:pStyle w:val="Heading2"/>
        <w:keepLines w:val="0"/>
        <w:spacing w:before="0"/>
        <w:ind w:right="680"/>
        <w:jc w:val="both"/>
        <w:rPr>
          <w:rStyle w:val="Strong"/>
          <w:rFonts w:ascii="Arial" w:eastAsiaTheme="minorHAnsi" w:hAnsi="Arial" w:cs="Arial"/>
          <w:color w:val="auto"/>
          <w:sz w:val="20"/>
          <w:szCs w:val="20"/>
          <w:lang w:val="en-US"/>
        </w:rPr>
      </w:pPr>
      <w:bookmarkStart w:id="55" w:name="_Toc66712431"/>
      <w:bookmarkStart w:id="56" w:name="_Toc135409895"/>
      <w:r w:rsidRPr="00793889">
        <w:rPr>
          <w:rStyle w:val="Strong"/>
          <w:rFonts w:ascii="Arial" w:eastAsiaTheme="minorHAnsi" w:hAnsi="Arial" w:cs="Arial"/>
          <w:color w:val="auto"/>
          <w:sz w:val="20"/>
          <w:szCs w:val="20"/>
          <w:lang w:val="en-US"/>
        </w:rPr>
        <w:t>5.2.</w:t>
      </w:r>
      <w:r w:rsidRPr="00793889">
        <w:rPr>
          <w:rStyle w:val="Strong"/>
          <w:rFonts w:ascii="Arial" w:eastAsiaTheme="minorHAnsi" w:hAnsi="Arial" w:cs="Arial"/>
          <w:color w:val="auto"/>
          <w:sz w:val="20"/>
          <w:szCs w:val="20"/>
          <w:lang w:val="en-US"/>
        </w:rPr>
        <w:tab/>
      </w:r>
      <w:r w:rsidR="00277C14" w:rsidRPr="00793889">
        <w:rPr>
          <w:rStyle w:val="Strong"/>
          <w:rFonts w:ascii="Arial" w:eastAsiaTheme="minorHAnsi" w:hAnsi="Arial" w:cs="Arial"/>
          <w:color w:val="auto"/>
          <w:sz w:val="20"/>
          <w:szCs w:val="20"/>
          <w:lang w:val="en-US"/>
        </w:rPr>
        <w:t>FATF-style regional bodies</w:t>
      </w:r>
      <w:bookmarkEnd w:id="55"/>
      <w:bookmarkEnd w:id="56"/>
    </w:p>
    <w:p w14:paraId="3AA80644" w14:textId="77777777" w:rsidR="005745B6" w:rsidRPr="00793889" w:rsidRDefault="005745B6" w:rsidP="005745B6">
      <w:pPr>
        <w:rPr>
          <w:lang w:val="en-US"/>
        </w:rPr>
      </w:pPr>
    </w:p>
    <w:p w14:paraId="2306AE38" w14:textId="242E4E48" w:rsidR="00277C14" w:rsidRDefault="00277C14" w:rsidP="00277C14">
      <w:pPr>
        <w:pStyle w:val="Default"/>
        <w:rPr>
          <w:sz w:val="20"/>
          <w:szCs w:val="20"/>
        </w:rPr>
      </w:pPr>
      <w:r w:rsidRPr="00277C14">
        <w:rPr>
          <w:sz w:val="20"/>
          <w:szCs w:val="20"/>
        </w:rPr>
        <w:t xml:space="preserve">MONEYVAL has mutual observer status with other FATF-style regional bodies (FSRBs), </w:t>
      </w:r>
      <w:proofErr w:type="gramStart"/>
      <w:r w:rsidRPr="00277C14">
        <w:rPr>
          <w:sz w:val="20"/>
          <w:szCs w:val="20"/>
        </w:rPr>
        <w:t>in particular the</w:t>
      </w:r>
      <w:proofErr w:type="gramEnd"/>
      <w:r w:rsidRPr="00277C14">
        <w:rPr>
          <w:sz w:val="20"/>
          <w:szCs w:val="20"/>
        </w:rPr>
        <w:t xml:space="preserve"> Asia-Pacific Group on Money Laundering and the Eurasian Group on Combating Money Laundering (APG) and the Financing of Terrorism (EAG)</w:t>
      </w:r>
      <w:r w:rsidRPr="00277C14">
        <w:rPr>
          <w:sz w:val="20"/>
          <w:szCs w:val="20"/>
          <w:vertAlign w:val="superscript"/>
        </w:rPr>
        <w:footnoteReference w:id="4"/>
      </w:r>
      <w:r w:rsidRPr="00277C14">
        <w:rPr>
          <w:sz w:val="20"/>
          <w:szCs w:val="20"/>
        </w:rPr>
        <w:t xml:space="preserve">. MONEYVAL, EAG and APG actively participated in each other’s Plenary and working group meetings in the course of </w:t>
      </w:r>
      <w:r w:rsidR="00A82E51" w:rsidRPr="00277C14">
        <w:rPr>
          <w:sz w:val="20"/>
          <w:szCs w:val="20"/>
        </w:rPr>
        <w:t>202</w:t>
      </w:r>
      <w:r w:rsidR="00A82E51">
        <w:rPr>
          <w:sz w:val="20"/>
          <w:szCs w:val="20"/>
        </w:rPr>
        <w:t>2</w:t>
      </w:r>
      <w:r w:rsidRPr="00277C14">
        <w:rPr>
          <w:sz w:val="20"/>
          <w:szCs w:val="20"/>
        </w:rPr>
        <w:t>.</w:t>
      </w:r>
      <w:r w:rsidR="003F4509" w:rsidRPr="003F4509">
        <w:t xml:space="preserve"> </w:t>
      </w:r>
      <w:r w:rsidR="003F4509" w:rsidRPr="003F4509">
        <w:rPr>
          <w:sz w:val="20"/>
          <w:szCs w:val="20"/>
        </w:rPr>
        <w:t>MONEYVAL has also launched co</w:t>
      </w:r>
      <w:r w:rsidR="00E73BD4">
        <w:rPr>
          <w:sz w:val="20"/>
          <w:szCs w:val="20"/>
        </w:rPr>
        <w:t>-</w:t>
      </w:r>
      <w:r w:rsidR="003F4509" w:rsidRPr="003F4509">
        <w:rPr>
          <w:sz w:val="20"/>
          <w:szCs w:val="20"/>
        </w:rPr>
        <w:t>operation with the</w:t>
      </w:r>
      <w:r w:rsidR="003F4509">
        <w:t xml:space="preserve"> </w:t>
      </w:r>
      <w:r w:rsidR="003F4509" w:rsidRPr="003F4509">
        <w:rPr>
          <w:sz w:val="20"/>
          <w:szCs w:val="20"/>
        </w:rPr>
        <w:t>Financial Action Task Force on Money Laundering of Latin America (GAFILAT)</w:t>
      </w:r>
      <w:r w:rsidR="005D0792">
        <w:rPr>
          <w:sz w:val="20"/>
          <w:szCs w:val="20"/>
        </w:rPr>
        <w:t xml:space="preserve"> and the Caribbean Financial Action Task Force (CFATF)</w:t>
      </w:r>
      <w:r w:rsidR="003F4509">
        <w:rPr>
          <w:sz w:val="20"/>
          <w:szCs w:val="20"/>
        </w:rPr>
        <w:t>.</w:t>
      </w:r>
      <w:r w:rsidRPr="00277C14">
        <w:rPr>
          <w:sz w:val="20"/>
          <w:szCs w:val="20"/>
        </w:rPr>
        <w:t xml:space="preserve"> Furthermore</w:t>
      </w:r>
      <w:r w:rsidR="006E54F2">
        <w:rPr>
          <w:sz w:val="20"/>
          <w:szCs w:val="20"/>
        </w:rPr>
        <w:t>,</w:t>
      </w:r>
      <w:r w:rsidRPr="00277C14">
        <w:rPr>
          <w:sz w:val="20"/>
          <w:szCs w:val="20"/>
        </w:rPr>
        <w:t xml:space="preserve"> MONEYVAL successfully launched a joint initiative with the APG</w:t>
      </w:r>
      <w:r w:rsidR="00C43E5E">
        <w:rPr>
          <w:sz w:val="20"/>
          <w:szCs w:val="20"/>
        </w:rPr>
        <w:t xml:space="preserve">, </w:t>
      </w:r>
      <w:r w:rsidRPr="00277C14">
        <w:rPr>
          <w:sz w:val="20"/>
          <w:szCs w:val="20"/>
        </w:rPr>
        <w:t xml:space="preserve">EAG, </w:t>
      </w:r>
      <w:r w:rsidR="00C43E5E">
        <w:rPr>
          <w:sz w:val="20"/>
          <w:szCs w:val="20"/>
        </w:rPr>
        <w:t xml:space="preserve">and other FSRBs on the reform of the Global Network. </w:t>
      </w:r>
    </w:p>
    <w:p w14:paraId="7CF92E6D" w14:textId="77777777" w:rsidR="005745B6" w:rsidRPr="00277C14" w:rsidRDefault="005745B6" w:rsidP="00277C14">
      <w:pPr>
        <w:pStyle w:val="Default"/>
        <w:rPr>
          <w:sz w:val="20"/>
          <w:szCs w:val="20"/>
        </w:rPr>
      </w:pPr>
    </w:p>
    <w:p w14:paraId="52564DE5" w14:textId="22074D6B" w:rsidR="00277C14" w:rsidRPr="00793889" w:rsidRDefault="005745B6" w:rsidP="005745B6">
      <w:pPr>
        <w:pStyle w:val="Heading2"/>
        <w:keepLines w:val="0"/>
        <w:spacing w:before="0"/>
        <w:ind w:right="680"/>
        <w:jc w:val="both"/>
        <w:rPr>
          <w:rStyle w:val="Strong"/>
          <w:rFonts w:ascii="Arial" w:eastAsiaTheme="minorHAnsi" w:hAnsi="Arial" w:cs="Arial"/>
          <w:bCs/>
          <w:color w:val="auto"/>
          <w:sz w:val="20"/>
          <w:szCs w:val="20"/>
          <w:lang w:val="en-US"/>
        </w:rPr>
      </w:pPr>
      <w:bookmarkStart w:id="57" w:name="_Toc135409896"/>
      <w:r w:rsidRPr="00793889">
        <w:rPr>
          <w:rStyle w:val="Strong"/>
          <w:rFonts w:ascii="Arial" w:eastAsiaTheme="minorHAnsi" w:hAnsi="Arial" w:cs="Arial"/>
          <w:bCs/>
          <w:color w:val="auto"/>
          <w:sz w:val="20"/>
          <w:szCs w:val="20"/>
          <w:lang w:val="en-US"/>
        </w:rPr>
        <w:t>5.3.</w:t>
      </w:r>
      <w:r w:rsidRPr="00793889">
        <w:rPr>
          <w:rStyle w:val="Strong"/>
          <w:rFonts w:ascii="Arial" w:eastAsiaTheme="minorHAnsi" w:hAnsi="Arial" w:cs="Arial"/>
          <w:bCs/>
          <w:color w:val="auto"/>
          <w:sz w:val="20"/>
          <w:szCs w:val="20"/>
          <w:lang w:val="en-US"/>
        </w:rPr>
        <w:tab/>
      </w:r>
      <w:r w:rsidR="00277C14" w:rsidRPr="00793889">
        <w:rPr>
          <w:rStyle w:val="Strong"/>
          <w:rFonts w:ascii="Arial" w:eastAsiaTheme="minorHAnsi" w:hAnsi="Arial" w:cs="Arial"/>
          <w:bCs/>
          <w:color w:val="auto"/>
          <w:sz w:val="20"/>
          <w:szCs w:val="20"/>
          <w:lang w:val="en-US"/>
        </w:rPr>
        <w:t>Other partnerships</w:t>
      </w:r>
      <w:bookmarkEnd w:id="57"/>
    </w:p>
    <w:p w14:paraId="0D31C8C2" w14:textId="77777777" w:rsidR="005745B6" w:rsidRPr="00793889" w:rsidRDefault="005745B6" w:rsidP="005745B6">
      <w:pPr>
        <w:rPr>
          <w:lang w:val="en-US"/>
        </w:rPr>
      </w:pPr>
    </w:p>
    <w:p w14:paraId="53F722D5" w14:textId="1F7DF175" w:rsidR="00277C14" w:rsidRPr="00277C14" w:rsidRDefault="00277C14" w:rsidP="00277C14">
      <w:pPr>
        <w:pStyle w:val="Default"/>
        <w:rPr>
          <w:sz w:val="20"/>
          <w:szCs w:val="20"/>
        </w:rPr>
      </w:pPr>
      <w:r w:rsidRPr="00277C14">
        <w:rPr>
          <w:sz w:val="20"/>
          <w:szCs w:val="20"/>
        </w:rPr>
        <w:t xml:space="preserve">In </w:t>
      </w:r>
      <w:r w:rsidR="005D0792" w:rsidRPr="00277C14">
        <w:rPr>
          <w:sz w:val="20"/>
          <w:szCs w:val="20"/>
        </w:rPr>
        <w:t>202</w:t>
      </w:r>
      <w:r w:rsidR="005D0792">
        <w:rPr>
          <w:sz w:val="20"/>
          <w:szCs w:val="20"/>
        </w:rPr>
        <w:t>2</w:t>
      </w:r>
      <w:r w:rsidR="00A77BA6">
        <w:rPr>
          <w:sz w:val="20"/>
          <w:szCs w:val="20"/>
        </w:rPr>
        <w:t xml:space="preserve">, </w:t>
      </w:r>
      <w:r w:rsidRPr="00277C14">
        <w:rPr>
          <w:sz w:val="20"/>
          <w:szCs w:val="20"/>
        </w:rPr>
        <w:t xml:space="preserve">MONEYVAL continued to actively develop its partnership with the </w:t>
      </w:r>
      <w:r w:rsidRPr="00277C14">
        <w:rPr>
          <w:b/>
          <w:bCs/>
          <w:sz w:val="20"/>
          <w:szCs w:val="20"/>
        </w:rPr>
        <w:t>European Union</w:t>
      </w:r>
      <w:r w:rsidRPr="00277C14">
        <w:rPr>
          <w:sz w:val="20"/>
          <w:szCs w:val="20"/>
        </w:rPr>
        <w:t xml:space="preserve">, which has been actively involved in MONEYVAL since its inception. It is represented in MONEYVAL through the European Commission, which actively participated in MONEYVAL mutual evaluation discussions in the </w:t>
      </w:r>
      <w:proofErr w:type="gramStart"/>
      <w:r w:rsidRPr="00277C14">
        <w:rPr>
          <w:sz w:val="20"/>
          <w:szCs w:val="20"/>
        </w:rPr>
        <w:t xml:space="preserve">course of </w:t>
      </w:r>
      <w:r w:rsidR="00A82E51" w:rsidRPr="00277C14">
        <w:rPr>
          <w:sz w:val="20"/>
          <w:szCs w:val="20"/>
        </w:rPr>
        <w:t>202</w:t>
      </w:r>
      <w:r w:rsidR="00A82E51">
        <w:rPr>
          <w:sz w:val="20"/>
          <w:szCs w:val="20"/>
        </w:rPr>
        <w:t>2</w:t>
      </w:r>
      <w:r w:rsidRPr="00277C14">
        <w:rPr>
          <w:sz w:val="20"/>
          <w:szCs w:val="20"/>
        </w:rPr>
        <w:t>, and</w:t>
      </w:r>
      <w:proofErr w:type="gramEnd"/>
      <w:r w:rsidRPr="00277C14">
        <w:rPr>
          <w:sz w:val="20"/>
          <w:szCs w:val="20"/>
        </w:rPr>
        <w:t xml:space="preserve"> provided updates to MONEYVAL members on the developing legislative framework on AML/CFT in the EU.</w:t>
      </w:r>
    </w:p>
    <w:p w14:paraId="4B001AA6" w14:textId="77777777" w:rsidR="00277C14" w:rsidRPr="00277C14" w:rsidRDefault="00277C14" w:rsidP="00277C14">
      <w:pPr>
        <w:rPr>
          <w:rFonts w:cs="Arial"/>
          <w:szCs w:val="20"/>
        </w:rPr>
      </w:pPr>
      <w:bookmarkStart w:id="58" w:name="_Toc379211965"/>
      <w:bookmarkStart w:id="59" w:name="_Toc423609834"/>
    </w:p>
    <w:p w14:paraId="5E0B20E7" w14:textId="72F6E330" w:rsidR="00277C14" w:rsidRPr="00277C14" w:rsidRDefault="00277C14" w:rsidP="00277C14">
      <w:pPr>
        <w:rPr>
          <w:rFonts w:cs="Arial"/>
          <w:szCs w:val="20"/>
        </w:rPr>
      </w:pPr>
      <w:r w:rsidRPr="00277C14">
        <w:rPr>
          <w:rFonts w:cs="Arial"/>
          <w:szCs w:val="20"/>
        </w:rPr>
        <w:t xml:space="preserve">In the past two decades, the role of the international financial institutions (IFIs), including the </w:t>
      </w:r>
      <w:r w:rsidRPr="00277C14">
        <w:rPr>
          <w:rFonts w:cs="Arial"/>
          <w:b/>
          <w:bCs/>
          <w:szCs w:val="20"/>
        </w:rPr>
        <w:t>World Bank and the International Monetary Fund (IMF),</w:t>
      </w:r>
      <w:r w:rsidRPr="00277C14">
        <w:rPr>
          <w:rFonts w:cs="Arial"/>
          <w:szCs w:val="20"/>
        </w:rPr>
        <w:t xml:space="preserve"> in the AML/CFT-field has expanded. In </w:t>
      </w:r>
      <w:r w:rsidR="00A82E51" w:rsidRPr="00277C14">
        <w:rPr>
          <w:rFonts w:cs="Arial"/>
          <w:szCs w:val="20"/>
        </w:rPr>
        <w:t>202</w:t>
      </w:r>
      <w:r w:rsidR="00A82E51">
        <w:rPr>
          <w:rFonts w:cs="Arial"/>
          <w:szCs w:val="20"/>
        </w:rPr>
        <w:t>2</w:t>
      </w:r>
      <w:r w:rsidRPr="00277C14">
        <w:rPr>
          <w:rFonts w:cs="Arial"/>
          <w:szCs w:val="20"/>
        </w:rPr>
        <w:t xml:space="preserve">, representatives from both the World Bank and the IMF participated in MONEYVAL Plenary meeting, actively providing inputs to the MONEYVAL mutual evaluation reports. </w:t>
      </w:r>
    </w:p>
    <w:bookmarkEnd w:id="58"/>
    <w:bookmarkEnd w:id="59"/>
    <w:p w14:paraId="6BFA2C83" w14:textId="77777777" w:rsidR="00277C14" w:rsidRPr="00277C14" w:rsidRDefault="00277C14" w:rsidP="00277C14">
      <w:pPr>
        <w:rPr>
          <w:rFonts w:cs="Arial"/>
          <w:szCs w:val="20"/>
        </w:rPr>
      </w:pPr>
    </w:p>
    <w:p w14:paraId="778A7B52" w14:textId="286E1C7D" w:rsidR="00277C14" w:rsidRPr="00277C14" w:rsidRDefault="00277C14" w:rsidP="00277C14">
      <w:pPr>
        <w:rPr>
          <w:rFonts w:cs="Arial"/>
          <w:szCs w:val="20"/>
        </w:rPr>
      </w:pPr>
      <w:r w:rsidRPr="00277C14">
        <w:rPr>
          <w:rFonts w:cs="Arial"/>
          <w:szCs w:val="20"/>
        </w:rPr>
        <w:t xml:space="preserve">The </w:t>
      </w:r>
      <w:r w:rsidRPr="00277C14">
        <w:rPr>
          <w:rFonts w:cs="Arial"/>
          <w:b/>
          <w:bCs/>
          <w:szCs w:val="20"/>
        </w:rPr>
        <w:t>United Nations Office on Drugs and Crime (UNODC)</w:t>
      </w:r>
      <w:r w:rsidRPr="00277C14">
        <w:rPr>
          <w:rFonts w:cs="Arial"/>
          <w:szCs w:val="20"/>
        </w:rPr>
        <w:t xml:space="preserve"> regularly sends representatives to MONEYVAL Plenaries who inform its members of respective developments in the work of UNODC. </w:t>
      </w:r>
      <w:bookmarkStart w:id="60" w:name="_Toc379211966"/>
      <w:bookmarkStart w:id="61" w:name="_Toc423609835"/>
    </w:p>
    <w:bookmarkEnd w:id="60"/>
    <w:bookmarkEnd w:id="61"/>
    <w:p w14:paraId="16AA01FC" w14:textId="77777777" w:rsidR="00277C14" w:rsidRPr="00277C14" w:rsidRDefault="00277C14" w:rsidP="00277C14">
      <w:pPr>
        <w:rPr>
          <w:rFonts w:cs="Arial"/>
          <w:szCs w:val="20"/>
        </w:rPr>
      </w:pPr>
    </w:p>
    <w:p w14:paraId="131AEA81" w14:textId="20FE3E25" w:rsidR="00277C14" w:rsidRPr="00277C14" w:rsidRDefault="00277C14" w:rsidP="00277C14">
      <w:pPr>
        <w:rPr>
          <w:rFonts w:cs="Arial"/>
          <w:szCs w:val="20"/>
        </w:rPr>
      </w:pPr>
      <w:r w:rsidRPr="00277C14">
        <w:rPr>
          <w:rFonts w:cs="Arial"/>
          <w:szCs w:val="20"/>
        </w:rPr>
        <w:t xml:space="preserve">The </w:t>
      </w:r>
      <w:r w:rsidRPr="00277C14">
        <w:rPr>
          <w:rFonts w:cs="Arial"/>
          <w:b/>
          <w:bCs/>
          <w:szCs w:val="20"/>
        </w:rPr>
        <w:t xml:space="preserve">Organisation for Security and Co-operation in Europe (OSCE) </w:t>
      </w:r>
      <w:r w:rsidRPr="00277C14">
        <w:rPr>
          <w:rFonts w:cs="Arial"/>
          <w:szCs w:val="20"/>
        </w:rPr>
        <w:t xml:space="preserve">takes an interdisciplinary approach to AML/CFT mainly focused on issues of counterterrorism and security. </w:t>
      </w:r>
      <w:r w:rsidR="00A82E51">
        <w:rPr>
          <w:rFonts w:cs="Arial"/>
          <w:szCs w:val="20"/>
        </w:rPr>
        <w:t xml:space="preserve">OSCE is a permanent observer to MONEYVAL. </w:t>
      </w:r>
    </w:p>
    <w:p w14:paraId="0AA3150F" w14:textId="77777777" w:rsidR="00277C14" w:rsidRPr="00277C14" w:rsidRDefault="00277C14" w:rsidP="00277C14">
      <w:pPr>
        <w:rPr>
          <w:rFonts w:cs="Arial"/>
          <w:szCs w:val="20"/>
        </w:rPr>
      </w:pPr>
    </w:p>
    <w:p w14:paraId="2D6B8AC9" w14:textId="76F1E32F" w:rsidR="00277C14" w:rsidRPr="00277C14" w:rsidRDefault="00277C14" w:rsidP="00277C14">
      <w:pPr>
        <w:rPr>
          <w:rFonts w:cs="Arial"/>
          <w:szCs w:val="20"/>
        </w:rPr>
      </w:pPr>
      <w:r w:rsidRPr="00277C14">
        <w:rPr>
          <w:rFonts w:cs="Arial"/>
          <w:szCs w:val="20"/>
        </w:rPr>
        <w:t xml:space="preserve">The </w:t>
      </w:r>
      <w:r w:rsidRPr="00277C14">
        <w:rPr>
          <w:rFonts w:cs="Arial"/>
          <w:b/>
          <w:bCs/>
          <w:szCs w:val="20"/>
        </w:rPr>
        <w:t xml:space="preserve">Egmont Group of Financial Intelligence Units </w:t>
      </w:r>
      <w:r w:rsidRPr="00277C14">
        <w:rPr>
          <w:rFonts w:cs="Arial"/>
          <w:szCs w:val="20"/>
        </w:rPr>
        <w:t xml:space="preserve">(FIUs) was established in 1995 as an international forum bringing together FIUs </w:t>
      </w:r>
      <w:proofErr w:type="gramStart"/>
      <w:r w:rsidRPr="00277C14">
        <w:rPr>
          <w:rFonts w:cs="Arial"/>
          <w:szCs w:val="20"/>
        </w:rPr>
        <w:t>in order to</w:t>
      </w:r>
      <w:proofErr w:type="gramEnd"/>
      <w:r w:rsidRPr="00277C14">
        <w:rPr>
          <w:rFonts w:cs="Arial"/>
          <w:szCs w:val="20"/>
        </w:rPr>
        <w:t xml:space="preserve"> improve and systemise AML/CFT co-operation, particularly at intelligence level. The work of the FIUs is an integral part of the FATF standards and MONEYVAL evaluations. MONEYVAL has observer status and actively </w:t>
      </w:r>
      <w:r w:rsidR="00A82E51" w:rsidRPr="00277C14">
        <w:rPr>
          <w:rFonts w:cs="Arial"/>
          <w:szCs w:val="20"/>
        </w:rPr>
        <w:t>participate</w:t>
      </w:r>
      <w:r w:rsidR="00A82E51">
        <w:rPr>
          <w:rFonts w:cs="Arial"/>
          <w:szCs w:val="20"/>
        </w:rPr>
        <w:t xml:space="preserve">s </w:t>
      </w:r>
      <w:r w:rsidRPr="00277C14">
        <w:rPr>
          <w:rFonts w:cs="Arial"/>
          <w:szCs w:val="20"/>
        </w:rPr>
        <w:t xml:space="preserve">in Egmont Group meetings. </w:t>
      </w:r>
      <w:r w:rsidR="00C43E5E">
        <w:rPr>
          <w:rFonts w:cs="Arial"/>
          <w:szCs w:val="20"/>
        </w:rPr>
        <w:t xml:space="preserve">The </w:t>
      </w:r>
      <w:r w:rsidR="00A82E51">
        <w:rPr>
          <w:rFonts w:cs="Arial"/>
          <w:szCs w:val="20"/>
        </w:rPr>
        <w:t>64</w:t>
      </w:r>
      <w:r w:rsidR="00A82E51" w:rsidRPr="00A82E51">
        <w:rPr>
          <w:rFonts w:cs="Arial"/>
          <w:szCs w:val="20"/>
          <w:vertAlign w:val="superscript"/>
        </w:rPr>
        <w:t>th</w:t>
      </w:r>
      <w:r w:rsidR="003654E4">
        <w:rPr>
          <w:rFonts w:cs="Arial"/>
          <w:szCs w:val="20"/>
        </w:rPr>
        <w:t> </w:t>
      </w:r>
      <w:r w:rsidR="00C43E5E">
        <w:rPr>
          <w:rFonts w:cs="Arial"/>
          <w:szCs w:val="20"/>
        </w:rPr>
        <w:t xml:space="preserve">Plenary Meeting of MONEYVAL held a productive exchange of views with the Executive Secretary of the Egmont Group. </w:t>
      </w:r>
      <w:bookmarkStart w:id="62" w:name="_Toc346194303"/>
      <w:bookmarkStart w:id="63" w:name="_Toc379211969"/>
      <w:bookmarkStart w:id="64" w:name="_Toc423609838"/>
      <w:bookmarkStart w:id="65" w:name="_Toc446602132"/>
    </w:p>
    <w:p w14:paraId="157B1E48" w14:textId="77777777" w:rsidR="00E51C76" w:rsidRDefault="00E51C76">
      <w:pPr>
        <w:rPr>
          <w:rFonts w:cs="Arial"/>
          <w:szCs w:val="20"/>
        </w:rPr>
      </w:pPr>
      <w:r>
        <w:rPr>
          <w:rFonts w:cs="Arial"/>
          <w:szCs w:val="20"/>
        </w:rPr>
        <w:br w:type="page"/>
      </w:r>
    </w:p>
    <w:p w14:paraId="5CC6344B" w14:textId="3125E2D0" w:rsidR="00277C14" w:rsidRPr="00277C14" w:rsidRDefault="00277C14" w:rsidP="00277C14">
      <w:pPr>
        <w:rPr>
          <w:rFonts w:cs="Arial"/>
          <w:szCs w:val="20"/>
        </w:rPr>
      </w:pPr>
      <w:r w:rsidRPr="00277C14">
        <w:rPr>
          <w:rFonts w:cs="Arial"/>
          <w:szCs w:val="20"/>
        </w:rPr>
        <w:lastRenderedPageBreak/>
        <w:t xml:space="preserve">The </w:t>
      </w:r>
      <w:r w:rsidRPr="00277C14">
        <w:rPr>
          <w:rFonts w:cs="Arial"/>
          <w:b/>
          <w:bCs/>
          <w:szCs w:val="20"/>
        </w:rPr>
        <w:t xml:space="preserve">European Bank for Reconstruction and Development (EBRD) </w:t>
      </w:r>
      <w:r w:rsidRPr="00277C14">
        <w:rPr>
          <w:rFonts w:cs="Arial"/>
          <w:szCs w:val="20"/>
        </w:rPr>
        <w:t xml:space="preserve">is an </w:t>
      </w:r>
      <w:hyperlink r:id="rId10" w:tooltip="International financial institution" w:history="1">
        <w:r w:rsidRPr="00277C14">
          <w:rPr>
            <w:rFonts w:cs="Arial"/>
            <w:szCs w:val="20"/>
          </w:rPr>
          <w:t>international financial institution</w:t>
        </w:r>
      </w:hyperlink>
      <w:r w:rsidRPr="00277C14">
        <w:rPr>
          <w:rFonts w:cs="Arial"/>
          <w:szCs w:val="20"/>
        </w:rPr>
        <w:t xml:space="preserve"> founded in 1991. As a multilateral developmental </w:t>
      </w:r>
      <w:hyperlink r:id="rId11" w:tooltip="Investment bank" w:history="1">
        <w:r w:rsidRPr="00277C14">
          <w:rPr>
            <w:rFonts w:cs="Arial"/>
            <w:szCs w:val="20"/>
          </w:rPr>
          <w:t>investment bank</w:t>
        </w:r>
      </w:hyperlink>
      <w:r w:rsidRPr="00277C14">
        <w:rPr>
          <w:rFonts w:cs="Arial"/>
          <w:szCs w:val="20"/>
        </w:rPr>
        <w:t xml:space="preserve">, the EBRD uses </w:t>
      </w:r>
      <w:hyperlink r:id="rId12" w:tooltip="Investment" w:history="1">
        <w:r w:rsidRPr="00277C14">
          <w:rPr>
            <w:rFonts w:cs="Arial"/>
            <w:szCs w:val="20"/>
          </w:rPr>
          <w:t>investment</w:t>
        </w:r>
      </w:hyperlink>
      <w:r w:rsidRPr="00277C14">
        <w:rPr>
          <w:rFonts w:cs="Arial"/>
          <w:szCs w:val="20"/>
        </w:rPr>
        <w:t xml:space="preserve"> as a tool to build </w:t>
      </w:r>
      <w:hyperlink r:id="rId13" w:tooltip="Market economy" w:history="1">
        <w:r w:rsidRPr="00277C14">
          <w:rPr>
            <w:rFonts w:cs="Arial"/>
            <w:szCs w:val="20"/>
          </w:rPr>
          <w:t>market economies</w:t>
        </w:r>
      </w:hyperlink>
      <w:r w:rsidRPr="00277C14">
        <w:rPr>
          <w:rFonts w:cs="Arial"/>
          <w:szCs w:val="20"/>
        </w:rPr>
        <w:t xml:space="preserve">. Representatives of the EBRD attend MONEYVAL meetings on a regular basis and informed the Plenary about ongoing developments. </w:t>
      </w:r>
    </w:p>
    <w:p w14:paraId="3AD10E7E" w14:textId="77777777" w:rsidR="00277C14" w:rsidRPr="00277C14" w:rsidRDefault="00277C14" w:rsidP="00277C14">
      <w:pPr>
        <w:rPr>
          <w:rFonts w:cs="Arial"/>
          <w:szCs w:val="20"/>
        </w:rPr>
      </w:pPr>
    </w:p>
    <w:p w14:paraId="0125CB2C" w14:textId="77777777" w:rsidR="00277C14" w:rsidRPr="00277C14" w:rsidRDefault="00277C14" w:rsidP="00277C14">
      <w:pPr>
        <w:rPr>
          <w:rFonts w:cs="Arial"/>
          <w:szCs w:val="20"/>
        </w:rPr>
      </w:pPr>
      <w:r w:rsidRPr="00277C14">
        <w:rPr>
          <w:rFonts w:cs="Arial"/>
          <w:szCs w:val="20"/>
        </w:rPr>
        <w:t xml:space="preserve">The </w:t>
      </w:r>
      <w:r w:rsidRPr="00277C14">
        <w:rPr>
          <w:rFonts w:cs="Arial"/>
          <w:b/>
          <w:bCs/>
          <w:szCs w:val="20"/>
        </w:rPr>
        <w:t xml:space="preserve">Group of International Finance Centre Supervisors (GIFCS) </w:t>
      </w:r>
      <w:r w:rsidRPr="00277C14">
        <w:rPr>
          <w:rFonts w:cs="Arial"/>
          <w:szCs w:val="20"/>
        </w:rPr>
        <w:t xml:space="preserve">is a long-established group of financial services supervisors with a core interest of promoting the adoption of international regulatory standards especially in the banking, fiduciary and AML/CFT arena. Representatives of the GIFCS attended MONEYVAL meetings on a regular basis and contributed to </w:t>
      </w:r>
      <w:proofErr w:type="gramStart"/>
      <w:r w:rsidRPr="00277C14">
        <w:rPr>
          <w:rFonts w:cs="Arial"/>
          <w:szCs w:val="20"/>
        </w:rPr>
        <w:t>a number of</w:t>
      </w:r>
      <w:proofErr w:type="gramEnd"/>
      <w:r w:rsidRPr="00277C14">
        <w:rPr>
          <w:rFonts w:cs="Arial"/>
          <w:szCs w:val="20"/>
        </w:rPr>
        <w:t xml:space="preserve"> specialised discussions.</w:t>
      </w:r>
      <w:bookmarkStart w:id="66" w:name="_Toc346194305"/>
      <w:bookmarkStart w:id="67" w:name="_Toc379211977"/>
      <w:bookmarkEnd w:id="62"/>
      <w:bookmarkEnd w:id="63"/>
      <w:bookmarkEnd w:id="64"/>
      <w:bookmarkEnd w:id="65"/>
    </w:p>
    <w:bookmarkEnd w:id="66"/>
    <w:bookmarkEnd w:id="67"/>
    <w:p w14:paraId="052F9070" w14:textId="38BE7B12" w:rsidR="00503E8C" w:rsidRDefault="00503E8C">
      <w:pPr>
        <w:rPr>
          <w:rFonts w:cs="Arial"/>
          <w:b/>
          <w:bCs/>
          <w:szCs w:val="20"/>
        </w:rPr>
      </w:pPr>
    </w:p>
    <w:p w14:paraId="11C2778D" w14:textId="1A608DE0" w:rsidR="00277C14" w:rsidRPr="00277C14" w:rsidRDefault="00277C14" w:rsidP="00277C14">
      <w:pPr>
        <w:rPr>
          <w:rFonts w:cs="Arial"/>
          <w:szCs w:val="20"/>
        </w:rPr>
      </w:pPr>
      <w:r w:rsidRPr="00277C14">
        <w:rPr>
          <w:rFonts w:cs="Arial"/>
          <w:b/>
          <w:bCs/>
          <w:szCs w:val="20"/>
        </w:rPr>
        <w:t xml:space="preserve">The Conference of the Parties to CETS 198: </w:t>
      </w:r>
      <w:r w:rsidRPr="00277C14">
        <w:rPr>
          <w:rFonts w:cs="Arial"/>
          <w:szCs w:val="20"/>
        </w:rPr>
        <w:t xml:space="preserve">The 2005 Council of Europe Convention on Laundering, Search, Seizure and Confiscation of the Proceeds from Crime and on the Financing of Terrorism (or Warsaw Convention, CETS 198), which came into force on 1 May 2008, builds on the success of the 1990 Convention on Laundering, Search, Seizure and Confiscation of the Proceeds from Crime (or Strasbourg Convention, CETS 141). The Warsaw Convention is currently the only comprehensive </w:t>
      </w:r>
      <w:proofErr w:type="gramStart"/>
      <w:r w:rsidRPr="00277C14">
        <w:rPr>
          <w:rFonts w:cs="Arial"/>
          <w:szCs w:val="20"/>
        </w:rPr>
        <w:t>internationally-binding</w:t>
      </w:r>
      <w:proofErr w:type="gramEnd"/>
      <w:r w:rsidRPr="00277C14">
        <w:rPr>
          <w:rFonts w:cs="Arial"/>
          <w:szCs w:val="20"/>
        </w:rPr>
        <w:t xml:space="preserve"> treaty worldwide which is entirely devoted to AML/CFT. It covers prevention, </w:t>
      </w:r>
      <w:proofErr w:type="gramStart"/>
      <w:r w:rsidRPr="00277C14">
        <w:rPr>
          <w:rFonts w:cs="Arial"/>
          <w:szCs w:val="20"/>
        </w:rPr>
        <w:t>repression</w:t>
      </w:r>
      <w:proofErr w:type="gramEnd"/>
      <w:r w:rsidRPr="00277C14">
        <w:rPr>
          <w:rFonts w:cs="Arial"/>
          <w:szCs w:val="20"/>
        </w:rPr>
        <w:t xml:space="preserve"> and international co-operation as well as confiscation. More specifically, this instrument:</w:t>
      </w:r>
    </w:p>
    <w:p w14:paraId="6C7115BA" w14:textId="77777777" w:rsidR="00277C14" w:rsidRPr="00277C14" w:rsidRDefault="00277C14" w:rsidP="00277C14">
      <w:pPr>
        <w:rPr>
          <w:rFonts w:cs="Arial"/>
          <w:szCs w:val="20"/>
        </w:rPr>
      </w:pPr>
    </w:p>
    <w:p w14:paraId="495B7D4A" w14:textId="7FCD0C26" w:rsidR="00277C14" w:rsidRDefault="00277C14" w:rsidP="00E51C76">
      <w:pPr>
        <w:numPr>
          <w:ilvl w:val="0"/>
          <w:numId w:val="32"/>
        </w:numPr>
        <w:rPr>
          <w:rFonts w:cs="Arial"/>
          <w:szCs w:val="20"/>
        </w:rPr>
      </w:pPr>
      <w:r w:rsidRPr="00277C14">
        <w:rPr>
          <w:rFonts w:cs="Arial"/>
          <w:szCs w:val="20"/>
        </w:rPr>
        <w:t xml:space="preserve">provides States Parties with enhanced possibilities to prosecute money laundering and terrorist financing more </w:t>
      </w:r>
      <w:proofErr w:type="gramStart"/>
      <w:r w:rsidRPr="00277C14">
        <w:rPr>
          <w:rFonts w:cs="Arial"/>
          <w:szCs w:val="20"/>
        </w:rPr>
        <w:t>effectively;</w:t>
      </w:r>
      <w:proofErr w:type="gramEnd"/>
    </w:p>
    <w:p w14:paraId="785814F9" w14:textId="77777777" w:rsidR="00E51C76" w:rsidRPr="00277C14" w:rsidRDefault="00E51C76" w:rsidP="00E51C76">
      <w:pPr>
        <w:ind w:left="720"/>
        <w:rPr>
          <w:rFonts w:cs="Arial"/>
          <w:szCs w:val="20"/>
        </w:rPr>
      </w:pPr>
    </w:p>
    <w:p w14:paraId="55E253BA" w14:textId="5139145E" w:rsidR="00277C14" w:rsidRDefault="00277C14" w:rsidP="00E51C76">
      <w:pPr>
        <w:numPr>
          <w:ilvl w:val="0"/>
          <w:numId w:val="32"/>
        </w:numPr>
        <w:rPr>
          <w:rFonts w:cs="Arial"/>
          <w:szCs w:val="20"/>
        </w:rPr>
      </w:pPr>
      <w:r w:rsidRPr="00277C14">
        <w:rPr>
          <w:rFonts w:cs="Arial"/>
          <w:szCs w:val="20"/>
        </w:rPr>
        <w:t xml:space="preserve">equips States Parties with further confiscation tools to deprive offenders of criminal </w:t>
      </w:r>
      <w:proofErr w:type="gramStart"/>
      <w:r w:rsidRPr="00277C14">
        <w:rPr>
          <w:rFonts w:cs="Arial"/>
          <w:szCs w:val="20"/>
        </w:rPr>
        <w:t>proceeds;</w:t>
      </w:r>
      <w:proofErr w:type="gramEnd"/>
    </w:p>
    <w:p w14:paraId="15CF338A" w14:textId="77777777" w:rsidR="00E51C76" w:rsidRPr="00277C14" w:rsidRDefault="00E51C76" w:rsidP="00E51C76">
      <w:pPr>
        <w:rPr>
          <w:rFonts w:cs="Arial"/>
          <w:szCs w:val="20"/>
        </w:rPr>
      </w:pPr>
    </w:p>
    <w:p w14:paraId="66B2EA39" w14:textId="1402AC2D" w:rsidR="00277C14" w:rsidRDefault="00277C14" w:rsidP="00E51C76">
      <w:pPr>
        <w:numPr>
          <w:ilvl w:val="0"/>
          <w:numId w:val="32"/>
        </w:numPr>
        <w:rPr>
          <w:rFonts w:cs="Arial"/>
          <w:szCs w:val="20"/>
        </w:rPr>
      </w:pPr>
      <w:r w:rsidRPr="00277C14">
        <w:rPr>
          <w:rFonts w:cs="Arial"/>
          <w:szCs w:val="20"/>
        </w:rPr>
        <w:t xml:space="preserve">provides important investigative powers, including measures to access banking information for domestic investigations and for the purposes of international </w:t>
      </w:r>
      <w:proofErr w:type="gramStart"/>
      <w:r w:rsidRPr="00277C14">
        <w:rPr>
          <w:rFonts w:cs="Arial"/>
          <w:szCs w:val="20"/>
        </w:rPr>
        <w:t>co-operation;</w:t>
      </w:r>
      <w:proofErr w:type="gramEnd"/>
    </w:p>
    <w:p w14:paraId="45940653" w14:textId="77777777" w:rsidR="00E51C76" w:rsidRPr="00277C14" w:rsidRDefault="00E51C76" w:rsidP="00E51C76">
      <w:pPr>
        <w:rPr>
          <w:rFonts w:cs="Arial"/>
          <w:szCs w:val="20"/>
        </w:rPr>
      </w:pPr>
    </w:p>
    <w:p w14:paraId="78D07CDF" w14:textId="18ED50CB" w:rsidR="00277C14" w:rsidRDefault="00277C14" w:rsidP="00E51C76">
      <w:pPr>
        <w:numPr>
          <w:ilvl w:val="0"/>
          <w:numId w:val="32"/>
        </w:numPr>
        <w:rPr>
          <w:rFonts w:cs="Arial"/>
          <w:szCs w:val="20"/>
        </w:rPr>
      </w:pPr>
      <w:r w:rsidRPr="00277C14">
        <w:rPr>
          <w:rFonts w:cs="Arial"/>
          <w:szCs w:val="20"/>
        </w:rPr>
        <w:t xml:space="preserve">covers preventive measures, and the roles and responsibilities of financial intelligence units and the principles for international co-operation between financial intelligence </w:t>
      </w:r>
      <w:proofErr w:type="gramStart"/>
      <w:r w:rsidRPr="00277C14">
        <w:rPr>
          <w:rFonts w:cs="Arial"/>
          <w:szCs w:val="20"/>
        </w:rPr>
        <w:t>units;</w:t>
      </w:r>
      <w:proofErr w:type="gramEnd"/>
    </w:p>
    <w:p w14:paraId="63412B06" w14:textId="77777777" w:rsidR="00E51C76" w:rsidRPr="00277C14" w:rsidRDefault="00E51C76" w:rsidP="00E51C76">
      <w:pPr>
        <w:rPr>
          <w:rFonts w:cs="Arial"/>
          <w:szCs w:val="20"/>
        </w:rPr>
      </w:pPr>
    </w:p>
    <w:p w14:paraId="715373FD" w14:textId="77777777" w:rsidR="00277C14" w:rsidRPr="00277C14" w:rsidRDefault="00277C14" w:rsidP="00E51C76">
      <w:pPr>
        <w:numPr>
          <w:ilvl w:val="0"/>
          <w:numId w:val="32"/>
        </w:numPr>
        <w:rPr>
          <w:rFonts w:cs="Arial"/>
          <w:szCs w:val="20"/>
        </w:rPr>
      </w:pPr>
      <w:r w:rsidRPr="00277C14">
        <w:rPr>
          <w:rFonts w:cs="Arial"/>
          <w:szCs w:val="20"/>
        </w:rPr>
        <w:t>covers the principles on which judicial international co-operation should operate between States Parties.</w:t>
      </w:r>
    </w:p>
    <w:p w14:paraId="2995B037" w14:textId="77777777" w:rsidR="00277C14" w:rsidRPr="00277C14" w:rsidRDefault="00277C14" w:rsidP="00E51C76">
      <w:pPr>
        <w:ind w:left="720"/>
        <w:rPr>
          <w:rFonts w:cs="Arial"/>
          <w:szCs w:val="20"/>
        </w:rPr>
      </w:pPr>
    </w:p>
    <w:p w14:paraId="6E95F8D5" w14:textId="6272BB73" w:rsidR="00277C14" w:rsidRPr="00277C14" w:rsidRDefault="00277C14" w:rsidP="00277C14">
      <w:pPr>
        <w:rPr>
          <w:rFonts w:cs="Arial"/>
          <w:szCs w:val="20"/>
        </w:rPr>
      </w:pPr>
      <w:r w:rsidRPr="00277C14">
        <w:rPr>
          <w:rFonts w:cs="Arial"/>
          <w:szCs w:val="20"/>
        </w:rPr>
        <w:t xml:space="preserve">The Warsaw Convention counts to </w:t>
      </w:r>
      <w:r w:rsidRPr="00571998">
        <w:rPr>
          <w:rFonts w:cs="Arial"/>
          <w:szCs w:val="20"/>
        </w:rPr>
        <w:t>date 3</w:t>
      </w:r>
      <w:r w:rsidR="005844FD">
        <w:rPr>
          <w:rFonts w:cs="Arial"/>
          <w:szCs w:val="20"/>
        </w:rPr>
        <w:t>9</w:t>
      </w:r>
      <w:r w:rsidRPr="00571998">
        <w:rPr>
          <w:rFonts w:cs="Arial"/>
          <w:szCs w:val="20"/>
        </w:rPr>
        <w:t xml:space="preserve"> States Parties and </w:t>
      </w:r>
      <w:r w:rsidR="005844FD">
        <w:rPr>
          <w:rFonts w:cs="Arial"/>
          <w:szCs w:val="20"/>
        </w:rPr>
        <w:t>five</w:t>
      </w:r>
      <w:r w:rsidR="00205C94" w:rsidRPr="00571998">
        <w:rPr>
          <w:rFonts w:cs="Arial"/>
          <w:szCs w:val="20"/>
        </w:rPr>
        <w:t xml:space="preserve"> </w:t>
      </w:r>
      <w:r w:rsidRPr="00571998">
        <w:rPr>
          <w:rFonts w:cs="Arial"/>
          <w:szCs w:val="20"/>
        </w:rPr>
        <w:t>signatories (including the European Union).</w:t>
      </w:r>
      <w:r w:rsidRPr="00277C14">
        <w:rPr>
          <w:rFonts w:cs="Arial"/>
          <w:szCs w:val="20"/>
        </w:rPr>
        <w:t xml:space="preserve"> </w:t>
      </w:r>
    </w:p>
    <w:p w14:paraId="0A77EED4" w14:textId="77777777" w:rsidR="00277C14" w:rsidRPr="00277C14" w:rsidRDefault="00277C14" w:rsidP="00277C14">
      <w:pPr>
        <w:rPr>
          <w:rFonts w:cs="Arial"/>
          <w:szCs w:val="20"/>
        </w:rPr>
      </w:pPr>
    </w:p>
    <w:p w14:paraId="361200C6" w14:textId="77777777" w:rsidR="00277C14" w:rsidRPr="00277C14" w:rsidRDefault="00277C14" w:rsidP="00277C14">
      <w:pPr>
        <w:rPr>
          <w:rFonts w:cs="Arial"/>
          <w:szCs w:val="20"/>
        </w:rPr>
      </w:pPr>
      <w:r w:rsidRPr="00277C14">
        <w:rPr>
          <w:rFonts w:cs="Arial"/>
          <w:szCs w:val="20"/>
        </w:rPr>
        <w:t>The Warsaw Convention provides for a monitoring mechanism through a Conference of the Parties (COP) to ensure that its provisions are being effectively implemented. The monitoring procedure under the Convention is particularly careful not to duplicate the work of MONEYVAL or of the FATF. MONEYVAL’s Executive Secretary is also the Executive Secretary to the COP, due to the relevance and interconnection of the COP’s mandate to the work of MONEYVAL. Similarly, MONEYVAL’s Secretariat staff also provides full support to the COP.</w:t>
      </w:r>
    </w:p>
    <w:p w14:paraId="2B920F39" w14:textId="77777777" w:rsidR="00537726" w:rsidRDefault="00537726" w:rsidP="00277C14">
      <w:pPr>
        <w:rPr>
          <w:rFonts w:cs="Arial"/>
          <w:szCs w:val="20"/>
        </w:rPr>
      </w:pPr>
    </w:p>
    <w:p w14:paraId="72440FD4" w14:textId="7C0F0A25" w:rsidR="00537726" w:rsidRPr="00537726" w:rsidRDefault="00537726" w:rsidP="00537726">
      <w:pPr>
        <w:pStyle w:val="Heading1"/>
        <w:numPr>
          <w:ilvl w:val="0"/>
          <w:numId w:val="37"/>
        </w:numPr>
        <w:spacing w:before="0"/>
        <w:rPr>
          <w:rFonts w:ascii="Arial" w:eastAsiaTheme="minorHAnsi" w:hAnsi="Arial" w:cs="Times New Roman"/>
          <w:b/>
          <w:bCs/>
          <w:color w:val="auto"/>
          <w:kern w:val="28"/>
          <w:sz w:val="20"/>
          <w:szCs w:val="20"/>
        </w:rPr>
      </w:pPr>
      <w:bookmarkStart w:id="68" w:name="_Toc135409897"/>
      <w:r w:rsidRPr="00537726">
        <w:rPr>
          <w:rFonts w:ascii="Arial" w:eastAsiaTheme="minorHAnsi" w:hAnsi="Arial" w:cs="Times New Roman"/>
          <w:b/>
          <w:bCs/>
          <w:color w:val="auto"/>
          <w:kern w:val="28"/>
          <w:sz w:val="20"/>
          <w:szCs w:val="20"/>
        </w:rPr>
        <w:t>ENGAGEMENT WITHIN THE COUNCIL OF EUROPE</w:t>
      </w:r>
      <w:bookmarkEnd w:id="68"/>
    </w:p>
    <w:p w14:paraId="59182AB5" w14:textId="2287F586" w:rsidR="00C43E5E" w:rsidRDefault="00C43E5E" w:rsidP="00277C14">
      <w:pPr>
        <w:rPr>
          <w:rFonts w:cs="Arial"/>
          <w:szCs w:val="20"/>
        </w:rPr>
      </w:pPr>
    </w:p>
    <w:p w14:paraId="6E7A84D5" w14:textId="4C714768" w:rsidR="00537726" w:rsidRPr="00537726" w:rsidRDefault="00537726" w:rsidP="00537726">
      <w:pPr>
        <w:rPr>
          <w:rFonts w:cs="Arial"/>
          <w:szCs w:val="20"/>
        </w:rPr>
      </w:pPr>
      <w:r w:rsidRPr="00537726">
        <w:rPr>
          <w:rFonts w:cs="Arial"/>
          <w:szCs w:val="20"/>
        </w:rPr>
        <w:t xml:space="preserve">Engagement with </w:t>
      </w:r>
      <w:r>
        <w:rPr>
          <w:rFonts w:cs="Arial"/>
          <w:szCs w:val="20"/>
        </w:rPr>
        <w:t xml:space="preserve">the </w:t>
      </w:r>
      <w:r w:rsidRPr="00537726">
        <w:rPr>
          <w:rFonts w:cs="Arial"/>
          <w:szCs w:val="20"/>
        </w:rPr>
        <w:t>bodies of the Council of Europe is a key priority in the work of MONEYVAL. In the course of 202</w:t>
      </w:r>
      <w:r w:rsidR="005844FD">
        <w:rPr>
          <w:rFonts w:cs="Arial"/>
          <w:szCs w:val="20"/>
        </w:rPr>
        <w:t>2</w:t>
      </w:r>
      <w:r w:rsidR="009B70A0">
        <w:rPr>
          <w:rFonts w:cs="Arial"/>
          <w:szCs w:val="20"/>
        </w:rPr>
        <w:t>,</w:t>
      </w:r>
      <w:r w:rsidRPr="00537726">
        <w:rPr>
          <w:rFonts w:cs="Arial"/>
          <w:szCs w:val="20"/>
        </w:rPr>
        <w:t xml:space="preserve"> MONEYVAL engaged with the following bodies of the Council of Europe:</w:t>
      </w:r>
    </w:p>
    <w:p w14:paraId="6D46E114" w14:textId="77777777" w:rsidR="00537726" w:rsidRPr="00537726" w:rsidRDefault="00537726" w:rsidP="00537726">
      <w:pPr>
        <w:rPr>
          <w:rFonts w:cs="Arial"/>
          <w:szCs w:val="20"/>
        </w:rPr>
      </w:pPr>
    </w:p>
    <w:p w14:paraId="77F40526" w14:textId="77777777" w:rsidR="00537726" w:rsidRPr="00537726" w:rsidRDefault="00537726" w:rsidP="00537726">
      <w:pPr>
        <w:rPr>
          <w:rFonts w:cs="Arial"/>
          <w:i/>
          <w:iCs/>
          <w:szCs w:val="20"/>
        </w:rPr>
      </w:pPr>
      <w:bookmarkStart w:id="69" w:name="_Toc89769356"/>
      <w:r w:rsidRPr="00537726">
        <w:rPr>
          <w:rFonts w:cs="Arial"/>
          <w:i/>
          <w:iCs/>
          <w:szCs w:val="20"/>
        </w:rPr>
        <w:t>Parliamentary Assembly of the Council of Europe (PACE)</w:t>
      </w:r>
      <w:bookmarkEnd w:id="69"/>
    </w:p>
    <w:p w14:paraId="67767A2A" w14:textId="77777777" w:rsidR="00537726" w:rsidRPr="00537726" w:rsidRDefault="00537726" w:rsidP="00537726">
      <w:pPr>
        <w:rPr>
          <w:rFonts w:cs="Arial"/>
          <w:szCs w:val="20"/>
        </w:rPr>
      </w:pPr>
    </w:p>
    <w:p w14:paraId="473984BC" w14:textId="4F7A93E2" w:rsidR="00537726" w:rsidRPr="00537726" w:rsidRDefault="00537726" w:rsidP="00537726">
      <w:pPr>
        <w:rPr>
          <w:rFonts w:cs="Arial"/>
          <w:szCs w:val="20"/>
        </w:rPr>
      </w:pPr>
      <w:r w:rsidRPr="00537726">
        <w:rPr>
          <w:rFonts w:cs="Arial"/>
          <w:szCs w:val="20"/>
        </w:rPr>
        <w:t xml:space="preserve">PACE is an important partner to MONEYVAL due to the attention it pays to the topic of money laundering, and the public effect of the parliamentary discussions. </w:t>
      </w:r>
      <w:r w:rsidR="009B70A0">
        <w:rPr>
          <w:rFonts w:cs="Arial"/>
          <w:szCs w:val="20"/>
        </w:rPr>
        <w:t>The</w:t>
      </w:r>
      <w:r w:rsidRPr="00537726">
        <w:rPr>
          <w:rFonts w:cs="Arial"/>
          <w:szCs w:val="20"/>
        </w:rPr>
        <w:t xml:space="preserve"> dialogue with PACE adds to MONEYVAL’s institutional standing in </w:t>
      </w:r>
      <w:r w:rsidR="009B70A0">
        <w:rPr>
          <w:rFonts w:cs="Arial"/>
          <w:szCs w:val="20"/>
        </w:rPr>
        <w:t xml:space="preserve">and outside </w:t>
      </w:r>
      <w:r w:rsidRPr="00537726">
        <w:rPr>
          <w:rFonts w:cs="Arial"/>
          <w:szCs w:val="20"/>
        </w:rPr>
        <w:t xml:space="preserve">the </w:t>
      </w:r>
      <w:r w:rsidR="004356CC">
        <w:rPr>
          <w:rFonts w:cs="Arial"/>
          <w:szCs w:val="20"/>
        </w:rPr>
        <w:t>Council of Europe</w:t>
      </w:r>
      <w:r w:rsidRPr="00537726">
        <w:rPr>
          <w:rFonts w:cs="Arial"/>
          <w:szCs w:val="20"/>
        </w:rPr>
        <w:t xml:space="preserve">. </w:t>
      </w:r>
      <w:r w:rsidR="009B70A0">
        <w:rPr>
          <w:rFonts w:cs="Arial"/>
          <w:szCs w:val="20"/>
        </w:rPr>
        <w:t>E</w:t>
      </w:r>
      <w:r w:rsidRPr="00537726">
        <w:rPr>
          <w:rFonts w:cs="Arial"/>
          <w:szCs w:val="20"/>
        </w:rPr>
        <w:t>xchange</w:t>
      </w:r>
      <w:r w:rsidR="009B70A0">
        <w:rPr>
          <w:rFonts w:cs="Arial"/>
          <w:szCs w:val="20"/>
        </w:rPr>
        <w:t>s</w:t>
      </w:r>
      <w:r w:rsidRPr="00537726">
        <w:rPr>
          <w:rFonts w:cs="Arial"/>
          <w:szCs w:val="20"/>
        </w:rPr>
        <w:t xml:space="preserve"> on priorities and mutual referencing greatly facilitates the promotion of MONEYVAL</w:t>
      </w:r>
      <w:r w:rsidR="009B70A0">
        <w:rPr>
          <w:rFonts w:cs="Arial"/>
          <w:szCs w:val="20"/>
        </w:rPr>
        <w:t>’s</w:t>
      </w:r>
      <w:r w:rsidRPr="00537726">
        <w:rPr>
          <w:rFonts w:cs="Arial"/>
          <w:szCs w:val="20"/>
        </w:rPr>
        <w:t xml:space="preserve"> objectives, including at the level of the FATF, </w:t>
      </w:r>
      <w:r w:rsidR="009B70A0">
        <w:rPr>
          <w:rFonts w:cs="Arial"/>
          <w:szCs w:val="20"/>
        </w:rPr>
        <w:t xml:space="preserve">as well as </w:t>
      </w:r>
      <w:r w:rsidRPr="00537726">
        <w:rPr>
          <w:rFonts w:cs="Arial"/>
          <w:szCs w:val="20"/>
        </w:rPr>
        <w:t xml:space="preserve">in international media. </w:t>
      </w:r>
    </w:p>
    <w:p w14:paraId="04A5F438" w14:textId="77777777" w:rsidR="00537726" w:rsidRPr="00537726" w:rsidRDefault="00537726" w:rsidP="00537726">
      <w:pPr>
        <w:rPr>
          <w:rFonts w:cs="Arial"/>
          <w:szCs w:val="20"/>
        </w:rPr>
      </w:pPr>
    </w:p>
    <w:p w14:paraId="6D96CC9A" w14:textId="66A20C33" w:rsidR="00537726" w:rsidRPr="00537726" w:rsidRDefault="00537726" w:rsidP="00537726">
      <w:pPr>
        <w:rPr>
          <w:rFonts w:cs="Arial"/>
          <w:szCs w:val="20"/>
        </w:rPr>
      </w:pPr>
      <w:r w:rsidRPr="00537726">
        <w:rPr>
          <w:rFonts w:cs="Arial"/>
          <w:szCs w:val="20"/>
        </w:rPr>
        <w:t xml:space="preserve">In </w:t>
      </w:r>
      <w:r w:rsidR="00A82E51" w:rsidRPr="00537726">
        <w:rPr>
          <w:rFonts w:cs="Arial"/>
          <w:szCs w:val="20"/>
        </w:rPr>
        <w:t>202</w:t>
      </w:r>
      <w:r w:rsidR="00A82E51">
        <w:rPr>
          <w:rFonts w:cs="Arial"/>
          <w:szCs w:val="20"/>
        </w:rPr>
        <w:t>2</w:t>
      </w:r>
      <w:r w:rsidR="009B70A0">
        <w:rPr>
          <w:rFonts w:cs="Arial"/>
          <w:szCs w:val="20"/>
        </w:rPr>
        <w:t>, PACE</w:t>
      </w:r>
      <w:r w:rsidRPr="00537726">
        <w:rPr>
          <w:rFonts w:cs="Arial"/>
          <w:szCs w:val="20"/>
        </w:rPr>
        <w:t xml:space="preserve"> issued </w:t>
      </w:r>
      <w:r w:rsidR="00A82E51">
        <w:rPr>
          <w:rFonts w:cs="Arial"/>
          <w:szCs w:val="20"/>
        </w:rPr>
        <w:t>a</w:t>
      </w:r>
      <w:r w:rsidR="00A82E51" w:rsidRPr="00537726">
        <w:rPr>
          <w:rFonts w:cs="Arial"/>
          <w:szCs w:val="20"/>
        </w:rPr>
        <w:t xml:space="preserve"> </w:t>
      </w:r>
      <w:r w:rsidRPr="00537726">
        <w:rPr>
          <w:rFonts w:cs="Arial"/>
          <w:szCs w:val="20"/>
        </w:rPr>
        <w:t xml:space="preserve">dedicated resolution on </w:t>
      </w:r>
      <w:r w:rsidR="00A82E51">
        <w:rPr>
          <w:rFonts w:cs="Arial"/>
          <w:szCs w:val="20"/>
        </w:rPr>
        <w:t>the</w:t>
      </w:r>
      <w:r w:rsidR="00A82E51" w:rsidRPr="00537726">
        <w:rPr>
          <w:rFonts w:cs="Arial"/>
          <w:szCs w:val="20"/>
        </w:rPr>
        <w:t xml:space="preserve"> </w:t>
      </w:r>
      <w:r w:rsidRPr="00537726">
        <w:rPr>
          <w:rFonts w:cs="Arial"/>
          <w:szCs w:val="20"/>
        </w:rPr>
        <w:t>topic</w:t>
      </w:r>
      <w:r w:rsidR="00A82E51">
        <w:rPr>
          <w:rFonts w:cs="Arial"/>
          <w:szCs w:val="20"/>
        </w:rPr>
        <w:t xml:space="preserve"> of asset recovery and use of confiscated assets for social purposes, which is highly relevant in the AML/CFT context. </w:t>
      </w:r>
    </w:p>
    <w:p w14:paraId="4D341BFE" w14:textId="77777777" w:rsidR="00537726" w:rsidRPr="00537726" w:rsidRDefault="00537726" w:rsidP="00537726">
      <w:pPr>
        <w:rPr>
          <w:rFonts w:cs="Arial"/>
          <w:szCs w:val="20"/>
        </w:rPr>
      </w:pPr>
    </w:p>
    <w:p w14:paraId="3A28FC83" w14:textId="77777777" w:rsidR="00E51C76" w:rsidRDefault="00E51C76">
      <w:pPr>
        <w:rPr>
          <w:rFonts w:cs="Arial"/>
          <w:i/>
          <w:iCs/>
          <w:szCs w:val="20"/>
        </w:rPr>
      </w:pPr>
      <w:bookmarkStart w:id="70" w:name="_Toc89769358"/>
      <w:r>
        <w:rPr>
          <w:rFonts w:cs="Arial"/>
          <w:i/>
          <w:iCs/>
          <w:szCs w:val="20"/>
        </w:rPr>
        <w:br w:type="page"/>
      </w:r>
    </w:p>
    <w:p w14:paraId="041656F2" w14:textId="5C7CC89C" w:rsidR="00537726" w:rsidRPr="00537726" w:rsidRDefault="00537726" w:rsidP="00537726">
      <w:pPr>
        <w:rPr>
          <w:rFonts w:cs="Arial"/>
          <w:i/>
          <w:iCs/>
          <w:szCs w:val="20"/>
        </w:rPr>
      </w:pPr>
      <w:r w:rsidRPr="00537726">
        <w:rPr>
          <w:rFonts w:cs="Arial"/>
          <w:i/>
          <w:iCs/>
          <w:szCs w:val="20"/>
        </w:rPr>
        <w:lastRenderedPageBreak/>
        <w:t>Sectorial bodies</w:t>
      </w:r>
      <w:bookmarkEnd w:id="70"/>
    </w:p>
    <w:p w14:paraId="68122EB8" w14:textId="77777777" w:rsidR="00537726" w:rsidRPr="00537726" w:rsidRDefault="00537726" w:rsidP="00537726">
      <w:pPr>
        <w:rPr>
          <w:rFonts w:cs="Arial"/>
          <w:szCs w:val="20"/>
        </w:rPr>
      </w:pPr>
    </w:p>
    <w:p w14:paraId="1C973A83" w14:textId="7326D317" w:rsidR="00537726" w:rsidRPr="00537726" w:rsidRDefault="009B70A0" w:rsidP="00537726">
      <w:pPr>
        <w:rPr>
          <w:rFonts w:cs="Arial"/>
          <w:szCs w:val="20"/>
        </w:rPr>
      </w:pPr>
      <w:r>
        <w:rPr>
          <w:rFonts w:cs="Arial"/>
          <w:szCs w:val="20"/>
        </w:rPr>
        <w:t>Contacts</w:t>
      </w:r>
      <w:r w:rsidRPr="00537726">
        <w:rPr>
          <w:rFonts w:cs="Arial"/>
          <w:szCs w:val="20"/>
        </w:rPr>
        <w:t xml:space="preserve"> </w:t>
      </w:r>
      <w:r w:rsidR="00537726" w:rsidRPr="00537726">
        <w:rPr>
          <w:rFonts w:cs="Arial"/>
          <w:szCs w:val="20"/>
        </w:rPr>
        <w:t xml:space="preserve">with the various sectorial bodies of the </w:t>
      </w:r>
      <w:r w:rsidR="004356CC">
        <w:rPr>
          <w:rFonts w:cs="Arial"/>
          <w:szCs w:val="20"/>
        </w:rPr>
        <w:t>Council of Europe</w:t>
      </w:r>
      <w:r w:rsidR="00537726" w:rsidRPr="00537726">
        <w:rPr>
          <w:rFonts w:cs="Arial"/>
          <w:szCs w:val="20"/>
        </w:rPr>
        <w:t xml:space="preserve"> allows MONEYVAL to engage internal partners in the fight against ML/TF</w:t>
      </w:r>
      <w:r>
        <w:rPr>
          <w:rFonts w:cs="Arial"/>
          <w:szCs w:val="20"/>
        </w:rPr>
        <w:t xml:space="preserve"> and</w:t>
      </w:r>
      <w:r w:rsidR="00537726" w:rsidRPr="00537726">
        <w:rPr>
          <w:rFonts w:cs="Arial"/>
          <w:szCs w:val="20"/>
        </w:rPr>
        <w:t xml:space="preserve"> contribute its expertise on topics</w:t>
      </w:r>
      <w:r>
        <w:rPr>
          <w:rFonts w:cs="Arial"/>
          <w:szCs w:val="20"/>
        </w:rPr>
        <w:t xml:space="preserve"> of shared relevant</w:t>
      </w:r>
      <w:r w:rsidR="00537726" w:rsidRPr="00537726">
        <w:rPr>
          <w:rFonts w:cs="Arial"/>
          <w:szCs w:val="20"/>
        </w:rPr>
        <w:t xml:space="preserve">, and </w:t>
      </w:r>
      <w:r>
        <w:rPr>
          <w:rFonts w:cs="Arial"/>
          <w:szCs w:val="20"/>
        </w:rPr>
        <w:t xml:space="preserve">then </w:t>
      </w:r>
      <w:r w:rsidR="00537726" w:rsidRPr="00537726">
        <w:rPr>
          <w:rFonts w:cs="Arial"/>
          <w:szCs w:val="20"/>
        </w:rPr>
        <w:t xml:space="preserve">to leverage these internal partnerships in our engagements with the FATF and the broader Global Network. </w:t>
      </w:r>
    </w:p>
    <w:p w14:paraId="1A1398FE" w14:textId="643B418A" w:rsidR="00503E8C" w:rsidRDefault="00503E8C">
      <w:pPr>
        <w:rPr>
          <w:rFonts w:cs="Arial"/>
          <w:szCs w:val="20"/>
        </w:rPr>
      </w:pPr>
    </w:p>
    <w:p w14:paraId="24228482" w14:textId="09D558AE" w:rsidR="00537726" w:rsidRPr="00537726" w:rsidRDefault="00537726" w:rsidP="00537726">
      <w:pPr>
        <w:rPr>
          <w:rFonts w:cs="Arial"/>
          <w:szCs w:val="20"/>
        </w:rPr>
      </w:pPr>
      <w:r w:rsidRPr="00537726">
        <w:rPr>
          <w:rFonts w:cs="Arial"/>
          <w:szCs w:val="20"/>
        </w:rPr>
        <w:t xml:space="preserve">In </w:t>
      </w:r>
      <w:r w:rsidR="00A82E51" w:rsidRPr="00537726">
        <w:rPr>
          <w:rFonts w:cs="Arial"/>
          <w:szCs w:val="20"/>
        </w:rPr>
        <w:t>202</w:t>
      </w:r>
      <w:r w:rsidR="00A82E51">
        <w:rPr>
          <w:rFonts w:cs="Arial"/>
          <w:szCs w:val="20"/>
        </w:rPr>
        <w:t>2</w:t>
      </w:r>
      <w:r w:rsidR="009B70A0">
        <w:rPr>
          <w:rFonts w:cs="Arial"/>
          <w:szCs w:val="20"/>
        </w:rPr>
        <w:t>,</w:t>
      </w:r>
      <w:r w:rsidRPr="00537726">
        <w:rPr>
          <w:rFonts w:cs="Arial"/>
          <w:szCs w:val="20"/>
        </w:rPr>
        <w:t xml:space="preserve"> </w:t>
      </w:r>
      <w:r w:rsidR="009B70A0">
        <w:rPr>
          <w:rFonts w:cs="Arial"/>
          <w:szCs w:val="20"/>
        </w:rPr>
        <w:t xml:space="preserve">the </w:t>
      </w:r>
      <w:r w:rsidRPr="00537726">
        <w:rPr>
          <w:rFonts w:cs="Arial"/>
          <w:szCs w:val="20"/>
        </w:rPr>
        <w:t>MONEYVAL Secretariat engaged with the following sectorial bodies</w:t>
      </w:r>
      <w:r w:rsidR="005844FD">
        <w:rPr>
          <w:rFonts w:cs="Arial"/>
          <w:szCs w:val="20"/>
        </w:rPr>
        <w:t xml:space="preserve"> and institutions</w:t>
      </w:r>
      <w:r w:rsidRPr="00537726">
        <w:rPr>
          <w:rFonts w:cs="Arial"/>
          <w:szCs w:val="20"/>
        </w:rPr>
        <w:t xml:space="preserve"> of the Council of Europe:</w:t>
      </w:r>
    </w:p>
    <w:p w14:paraId="5B424192" w14:textId="77777777" w:rsidR="00537726" w:rsidRPr="00537726" w:rsidRDefault="00537726" w:rsidP="00537726">
      <w:pPr>
        <w:rPr>
          <w:rFonts w:cs="Arial"/>
          <w:szCs w:val="20"/>
        </w:rPr>
      </w:pPr>
    </w:p>
    <w:p w14:paraId="17DA6FC8" w14:textId="470134BD" w:rsidR="00537726" w:rsidRDefault="00537726" w:rsidP="00537726">
      <w:pPr>
        <w:numPr>
          <w:ilvl w:val="0"/>
          <w:numId w:val="43"/>
        </w:numPr>
        <w:rPr>
          <w:rFonts w:cs="Arial"/>
          <w:szCs w:val="20"/>
        </w:rPr>
      </w:pPr>
      <w:r w:rsidRPr="00537726">
        <w:rPr>
          <w:rFonts w:cs="Arial"/>
          <w:szCs w:val="20"/>
          <w:u w:val="single"/>
        </w:rPr>
        <w:t>Venice Commission and European Court of Human Rights (ECHR)</w:t>
      </w:r>
      <w:r w:rsidRPr="00537726">
        <w:rPr>
          <w:rFonts w:cs="Arial"/>
          <w:szCs w:val="20"/>
        </w:rPr>
        <w:t xml:space="preserve">: engagement on unintended consequences of the FATF Standards. MONEYVAL also facilitated dialogue between VC, ECHR and </w:t>
      </w:r>
      <w:proofErr w:type="gramStart"/>
      <w:r w:rsidRPr="00537726">
        <w:rPr>
          <w:rFonts w:cs="Arial"/>
          <w:szCs w:val="20"/>
        </w:rPr>
        <w:t>FATF;</w:t>
      </w:r>
      <w:proofErr w:type="gramEnd"/>
    </w:p>
    <w:p w14:paraId="3A129A97" w14:textId="77777777" w:rsidR="00E51C76" w:rsidRPr="00537726" w:rsidRDefault="00E51C76" w:rsidP="00E51C76">
      <w:pPr>
        <w:ind w:left="720"/>
        <w:rPr>
          <w:rFonts w:cs="Arial"/>
          <w:szCs w:val="20"/>
        </w:rPr>
      </w:pPr>
    </w:p>
    <w:p w14:paraId="31FF1B28" w14:textId="76C16293" w:rsidR="00537726" w:rsidRDefault="00537726" w:rsidP="00537726">
      <w:pPr>
        <w:numPr>
          <w:ilvl w:val="0"/>
          <w:numId w:val="43"/>
        </w:numPr>
        <w:rPr>
          <w:rFonts w:cs="Arial"/>
          <w:szCs w:val="20"/>
        </w:rPr>
      </w:pPr>
      <w:r w:rsidRPr="00537726">
        <w:rPr>
          <w:rFonts w:cs="Arial"/>
          <w:szCs w:val="20"/>
          <w:u w:val="single"/>
        </w:rPr>
        <w:t>Data Protection Consultative Committee to Convention 108</w:t>
      </w:r>
      <w:r w:rsidRPr="00537726">
        <w:rPr>
          <w:rFonts w:cs="Arial"/>
          <w:szCs w:val="20"/>
        </w:rPr>
        <w:t xml:space="preserve">: engagement on the draft AML/CFT Data Protection Guidelines under development by C108. MONEYVAL also facilitated a dialogue between C108 and </w:t>
      </w:r>
      <w:proofErr w:type="gramStart"/>
      <w:r w:rsidRPr="00537726">
        <w:rPr>
          <w:rFonts w:cs="Arial"/>
          <w:szCs w:val="20"/>
        </w:rPr>
        <w:t>FATF;</w:t>
      </w:r>
      <w:proofErr w:type="gramEnd"/>
    </w:p>
    <w:p w14:paraId="73EFABCB" w14:textId="77777777" w:rsidR="00E51C76" w:rsidRPr="00537726" w:rsidRDefault="00E51C76" w:rsidP="00E51C76">
      <w:pPr>
        <w:rPr>
          <w:rFonts w:cs="Arial"/>
          <w:szCs w:val="20"/>
        </w:rPr>
      </w:pPr>
    </w:p>
    <w:p w14:paraId="22C19CA8" w14:textId="7659FFA5" w:rsidR="00537726" w:rsidRDefault="00537726" w:rsidP="00537726">
      <w:pPr>
        <w:numPr>
          <w:ilvl w:val="0"/>
          <w:numId w:val="43"/>
        </w:numPr>
        <w:rPr>
          <w:rFonts w:cs="Arial"/>
          <w:szCs w:val="20"/>
        </w:rPr>
      </w:pPr>
      <w:r w:rsidRPr="00537726">
        <w:rPr>
          <w:rFonts w:cs="Arial"/>
          <w:szCs w:val="20"/>
          <w:u w:val="single"/>
        </w:rPr>
        <w:t>Cybercrime Convention Committee (TC-Y)</w:t>
      </w:r>
      <w:r w:rsidRPr="00537726">
        <w:rPr>
          <w:rFonts w:cs="Arial"/>
          <w:szCs w:val="20"/>
        </w:rPr>
        <w:t xml:space="preserve">: MONEYVAL engaged on cybercrime issues with the TC-Y Secretariat, which expressed an interest to join </w:t>
      </w:r>
      <w:r w:rsidR="004356CC">
        <w:rPr>
          <w:rFonts w:cs="Arial"/>
          <w:szCs w:val="20"/>
        </w:rPr>
        <w:t>Council of Europe</w:t>
      </w:r>
      <w:r w:rsidRPr="00537726">
        <w:rPr>
          <w:rFonts w:cs="Arial"/>
          <w:szCs w:val="20"/>
        </w:rPr>
        <w:t xml:space="preserve"> typologies work on cryptocurrencies. MONEYVAL also facilitated engagement between the FATF and TC-</w:t>
      </w:r>
      <w:proofErr w:type="gramStart"/>
      <w:r w:rsidRPr="00537726">
        <w:rPr>
          <w:rFonts w:cs="Arial"/>
          <w:szCs w:val="20"/>
        </w:rPr>
        <w:t>Y;</w:t>
      </w:r>
      <w:proofErr w:type="gramEnd"/>
    </w:p>
    <w:p w14:paraId="75B160F6" w14:textId="77777777" w:rsidR="00E51C76" w:rsidRPr="00537726" w:rsidRDefault="00E51C76" w:rsidP="00E51C76">
      <w:pPr>
        <w:rPr>
          <w:rFonts w:cs="Arial"/>
          <w:szCs w:val="20"/>
        </w:rPr>
      </w:pPr>
    </w:p>
    <w:p w14:paraId="78A3ABAD" w14:textId="5E1FB92A" w:rsidR="00537726" w:rsidRPr="00537726" w:rsidRDefault="00537726" w:rsidP="00537726">
      <w:pPr>
        <w:numPr>
          <w:ilvl w:val="0"/>
          <w:numId w:val="43"/>
        </w:numPr>
        <w:rPr>
          <w:rFonts w:cs="Arial"/>
          <w:szCs w:val="20"/>
        </w:rPr>
      </w:pPr>
      <w:r w:rsidRPr="00537726">
        <w:rPr>
          <w:rFonts w:cs="Arial"/>
          <w:szCs w:val="20"/>
          <w:u w:val="single"/>
        </w:rPr>
        <w:t>Committee on Counterterrorism (CDCT)</w:t>
      </w:r>
      <w:r w:rsidRPr="00537726">
        <w:rPr>
          <w:rFonts w:cs="Arial"/>
          <w:szCs w:val="20"/>
        </w:rPr>
        <w:t xml:space="preserve">: joint </w:t>
      </w:r>
      <w:proofErr w:type="gramStart"/>
      <w:r w:rsidRPr="00537726">
        <w:rPr>
          <w:rFonts w:cs="Arial"/>
          <w:szCs w:val="20"/>
        </w:rPr>
        <w:t>experts</w:t>
      </w:r>
      <w:proofErr w:type="gramEnd"/>
      <w:r w:rsidRPr="00537726">
        <w:rPr>
          <w:rFonts w:cs="Arial"/>
          <w:szCs w:val="20"/>
        </w:rPr>
        <w:t xml:space="preserve"> group with C198-COP and the CDCT has been set up to explore possible changes to </w:t>
      </w:r>
      <w:r w:rsidR="004356CC">
        <w:rPr>
          <w:rFonts w:cs="Arial"/>
          <w:szCs w:val="20"/>
        </w:rPr>
        <w:t>Council of Europe</w:t>
      </w:r>
      <w:r w:rsidRPr="00537726">
        <w:rPr>
          <w:rFonts w:cs="Arial"/>
          <w:szCs w:val="20"/>
        </w:rPr>
        <w:t xml:space="preserve"> CFT standards. </w:t>
      </w:r>
    </w:p>
    <w:p w14:paraId="39FDF319" w14:textId="77777777" w:rsidR="00537726" w:rsidRPr="00537726" w:rsidRDefault="00537726" w:rsidP="00537726">
      <w:pPr>
        <w:rPr>
          <w:rFonts w:cs="Arial"/>
          <w:szCs w:val="20"/>
        </w:rPr>
      </w:pPr>
    </w:p>
    <w:p w14:paraId="5E63EB9C" w14:textId="2F37C554" w:rsidR="00537726" w:rsidRPr="00537726" w:rsidRDefault="00537726" w:rsidP="00537726">
      <w:pPr>
        <w:rPr>
          <w:rFonts w:cs="Arial"/>
          <w:szCs w:val="20"/>
        </w:rPr>
      </w:pPr>
      <w:r w:rsidRPr="00537726">
        <w:rPr>
          <w:rFonts w:cs="Arial"/>
          <w:szCs w:val="20"/>
        </w:rPr>
        <w:t xml:space="preserve">Additionally, MONEYVAL is exploring further partnership with </w:t>
      </w:r>
      <w:r w:rsidR="009B70A0">
        <w:rPr>
          <w:rFonts w:cs="Arial"/>
          <w:szCs w:val="20"/>
        </w:rPr>
        <w:t xml:space="preserve">the </w:t>
      </w:r>
      <w:r w:rsidRPr="00537726">
        <w:rPr>
          <w:rFonts w:cs="Arial"/>
          <w:szCs w:val="20"/>
          <w:u w:val="single"/>
        </w:rPr>
        <w:t>PC-OC</w:t>
      </w:r>
      <w:r w:rsidRPr="00537726">
        <w:rPr>
          <w:rFonts w:cs="Arial"/>
          <w:szCs w:val="20"/>
        </w:rPr>
        <w:t xml:space="preserve"> (Committee of Experts on the Operation of European Conventions on Co-operation in Criminal Matters), and the </w:t>
      </w:r>
      <w:r w:rsidRPr="00537726">
        <w:rPr>
          <w:rFonts w:cs="Arial"/>
          <w:szCs w:val="20"/>
          <w:u w:val="single"/>
        </w:rPr>
        <w:t xml:space="preserve">Follow-up Committee to the </w:t>
      </w:r>
      <w:proofErr w:type="spellStart"/>
      <w:r w:rsidRPr="00537726">
        <w:rPr>
          <w:rFonts w:cs="Arial"/>
          <w:szCs w:val="20"/>
          <w:u w:val="single"/>
        </w:rPr>
        <w:t>Macolin</w:t>
      </w:r>
      <w:proofErr w:type="spellEnd"/>
      <w:r w:rsidRPr="00537726">
        <w:rPr>
          <w:rFonts w:cs="Arial"/>
          <w:szCs w:val="20"/>
          <w:u w:val="single"/>
        </w:rPr>
        <w:t xml:space="preserve"> Convention</w:t>
      </w:r>
      <w:r w:rsidRPr="00537726">
        <w:rPr>
          <w:rFonts w:cs="Arial"/>
          <w:szCs w:val="20"/>
        </w:rPr>
        <w:t xml:space="preserve"> on Manipulation of Sports Competitions</w:t>
      </w:r>
      <w:r w:rsidR="00205C94">
        <w:rPr>
          <w:rFonts w:cs="Arial"/>
          <w:szCs w:val="20"/>
        </w:rPr>
        <w:t xml:space="preserve"> (</w:t>
      </w:r>
      <w:r w:rsidR="00187F0A">
        <w:rPr>
          <w:rFonts w:cs="Arial"/>
          <w:szCs w:val="20"/>
        </w:rPr>
        <w:t xml:space="preserve">CETS </w:t>
      </w:r>
      <w:r w:rsidR="00205C94">
        <w:rPr>
          <w:rFonts w:cs="Arial"/>
          <w:szCs w:val="20"/>
        </w:rPr>
        <w:t>No. 215)</w:t>
      </w:r>
      <w:r w:rsidRPr="00537726">
        <w:rPr>
          <w:rFonts w:cs="Arial"/>
          <w:szCs w:val="20"/>
        </w:rPr>
        <w:t>.</w:t>
      </w:r>
      <w:r w:rsidR="009B70A0">
        <w:rPr>
          <w:rFonts w:cs="Arial"/>
          <w:szCs w:val="20"/>
        </w:rPr>
        <w:t xml:space="preserve"> The MONEYVAL Secretariat also maintains working level contacts with the Secretariat of </w:t>
      </w:r>
      <w:r w:rsidR="009B70A0" w:rsidRPr="005425DE">
        <w:rPr>
          <w:rFonts w:cs="Arial"/>
          <w:szCs w:val="20"/>
          <w:u w:val="single"/>
        </w:rPr>
        <w:t>GRECO</w:t>
      </w:r>
      <w:r w:rsidR="009B70A0">
        <w:rPr>
          <w:rFonts w:cs="Arial"/>
          <w:szCs w:val="20"/>
        </w:rPr>
        <w:t xml:space="preserve"> on any shared issues arising out of the bodies’ monitoring work. </w:t>
      </w:r>
      <w:r w:rsidRPr="00537726">
        <w:rPr>
          <w:rFonts w:cs="Arial"/>
          <w:szCs w:val="20"/>
        </w:rPr>
        <w:t xml:space="preserve"> </w:t>
      </w:r>
    </w:p>
    <w:p w14:paraId="433302F0" w14:textId="77777777" w:rsidR="00537726" w:rsidRPr="00277C14" w:rsidRDefault="00537726" w:rsidP="00277C14">
      <w:pPr>
        <w:rPr>
          <w:rFonts w:cs="Arial"/>
          <w:szCs w:val="20"/>
        </w:rPr>
      </w:pPr>
    </w:p>
    <w:p w14:paraId="056FC59D" w14:textId="06E421E7" w:rsidR="00277C14" w:rsidRPr="005745B6" w:rsidRDefault="00277C14" w:rsidP="005745B6">
      <w:pPr>
        <w:pStyle w:val="Heading1"/>
        <w:numPr>
          <w:ilvl w:val="0"/>
          <w:numId w:val="37"/>
        </w:numPr>
        <w:spacing w:before="0"/>
        <w:rPr>
          <w:rFonts w:ascii="Arial" w:eastAsiaTheme="minorHAnsi" w:hAnsi="Arial" w:cs="Times New Roman"/>
          <w:b/>
          <w:bCs/>
          <w:color w:val="auto"/>
          <w:kern w:val="28"/>
          <w:sz w:val="20"/>
          <w:szCs w:val="20"/>
        </w:rPr>
      </w:pPr>
      <w:bookmarkStart w:id="71" w:name="_Toc379211980"/>
      <w:bookmarkStart w:id="72" w:name="_Toc423609854"/>
      <w:bookmarkStart w:id="73" w:name="_Toc446602136"/>
      <w:bookmarkStart w:id="74" w:name="_Toc66712439"/>
      <w:bookmarkStart w:id="75" w:name="_Toc135409898"/>
      <w:r w:rsidRPr="005745B6">
        <w:rPr>
          <w:rFonts w:ascii="Arial" w:eastAsiaTheme="minorHAnsi" w:hAnsi="Arial" w:cs="Times New Roman"/>
          <w:b/>
          <w:bCs/>
          <w:color w:val="auto"/>
          <w:kern w:val="28"/>
          <w:sz w:val="20"/>
          <w:szCs w:val="20"/>
        </w:rPr>
        <w:t>HUMAN RESOURCES</w:t>
      </w:r>
      <w:bookmarkStart w:id="76" w:name="_Toc346194306"/>
      <w:bookmarkEnd w:id="71"/>
      <w:bookmarkEnd w:id="72"/>
      <w:bookmarkEnd w:id="73"/>
      <w:bookmarkEnd w:id="74"/>
      <w:bookmarkEnd w:id="75"/>
    </w:p>
    <w:p w14:paraId="78F54639" w14:textId="77777777" w:rsidR="005745B6" w:rsidRPr="005745B6" w:rsidRDefault="005745B6" w:rsidP="005745B6">
      <w:pPr>
        <w:rPr>
          <w:lang w:val="fr-FR"/>
        </w:rPr>
      </w:pPr>
    </w:p>
    <w:p w14:paraId="2BFCDB79" w14:textId="3B4C4D08" w:rsidR="00277C14" w:rsidRDefault="00C43E5E" w:rsidP="00277C14">
      <w:pPr>
        <w:rPr>
          <w:rFonts w:cs="Arial"/>
          <w:szCs w:val="20"/>
        </w:rPr>
      </w:pPr>
      <w:r w:rsidRPr="00C43E5E">
        <w:rPr>
          <w:rFonts w:cs="Arial"/>
          <w:szCs w:val="20"/>
        </w:rPr>
        <w:t>At</w:t>
      </w:r>
      <w:r>
        <w:rPr>
          <w:rFonts w:cs="Arial"/>
          <w:szCs w:val="20"/>
        </w:rPr>
        <w:t xml:space="preserve"> the end of</w:t>
      </w:r>
      <w:r w:rsidR="00277C14" w:rsidRPr="00277C14">
        <w:rPr>
          <w:rFonts w:cs="Arial"/>
          <w:szCs w:val="20"/>
        </w:rPr>
        <w:t xml:space="preserve"> </w:t>
      </w:r>
      <w:r w:rsidR="00A82E51" w:rsidRPr="00277C14">
        <w:rPr>
          <w:rFonts w:cs="Arial"/>
          <w:szCs w:val="20"/>
        </w:rPr>
        <w:t>202</w:t>
      </w:r>
      <w:r w:rsidR="00A82E51">
        <w:rPr>
          <w:rFonts w:cs="Arial"/>
          <w:szCs w:val="20"/>
        </w:rPr>
        <w:t>2</w:t>
      </w:r>
      <w:r w:rsidR="00277C14" w:rsidRPr="00277C14">
        <w:rPr>
          <w:rFonts w:cs="Arial"/>
          <w:szCs w:val="20"/>
        </w:rPr>
        <w:t xml:space="preserve">, the MONEYVAL Secretariat was comprised of the Executive Secretary, the Deputy Executive Secretary and </w:t>
      </w:r>
      <w:r w:rsidR="00C52F18">
        <w:rPr>
          <w:rFonts w:cs="Arial"/>
          <w:szCs w:val="20"/>
        </w:rPr>
        <w:t>eight</w:t>
      </w:r>
      <w:r w:rsidR="00C52F18" w:rsidRPr="00277C14">
        <w:rPr>
          <w:rFonts w:cs="Arial"/>
          <w:szCs w:val="20"/>
        </w:rPr>
        <w:t xml:space="preserve"> </w:t>
      </w:r>
      <w:r w:rsidR="00277C14" w:rsidRPr="00277C14">
        <w:rPr>
          <w:rFonts w:cs="Arial"/>
          <w:szCs w:val="20"/>
        </w:rPr>
        <w:t xml:space="preserve">Council of Europe administrators, </w:t>
      </w:r>
      <w:r w:rsidR="00205C94">
        <w:rPr>
          <w:rFonts w:cs="Arial"/>
          <w:szCs w:val="20"/>
        </w:rPr>
        <w:t xml:space="preserve">five </w:t>
      </w:r>
      <w:r w:rsidR="00277C14" w:rsidRPr="00277C14">
        <w:rPr>
          <w:rFonts w:cs="Arial"/>
          <w:szCs w:val="20"/>
        </w:rPr>
        <w:t xml:space="preserve">administrators on secondment from national administrations (from </w:t>
      </w:r>
      <w:r w:rsidR="00C52F18">
        <w:rPr>
          <w:rFonts w:cs="Arial"/>
          <w:szCs w:val="20"/>
        </w:rPr>
        <w:t xml:space="preserve">Andorra, </w:t>
      </w:r>
      <w:r w:rsidR="00277C14" w:rsidRPr="00277C14">
        <w:rPr>
          <w:rFonts w:cs="Arial"/>
          <w:szCs w:val="20"/>
        </w:rPr>
        <w:t xml:space="preserve">Armenia, </w:t>
      </w:r>
      <w:r w:rsidR="00C52F18">
        <w:rPr>
          <w:rFonts w:cs="Arial"/>
          <w:szCs w:val="20"/>
        </w:rPr>
        <w:t xml:space="preserve">Malta, </w:t>
      </w:r>
      <w:r>
        <w:rPr>
          <w:rFonts w:cs="Arial"/>
          <w:szCs w:val="20"/>
        </w:rPr>
        <w:t xml:space="preserve">Montenegro, </w:t>
      </w:r>
      <w:r w:rsidR="00277C14" w:rsidRPr="00277C14">
        <w:rPr>
          <w:rFonts w:cs="Arial"/>
          <w:szCs w:val="20"/>
        </w:rPr>
        <w:t xml:space="preserve">the Republic of Moldova), two project officers, and four administrative assistants. MONEYVAL would like to warmly thank the governments of the above countries </w:t>
      </w:r>
      <w:r w:rsidR="005844FD">
        <w:rPr>
          <w:rFonts w:cs="Arial"/>
          <w:szCs w:val="20"/>
        </w:rPr>
        <w:t xml:space="preserve">for their support </w:t>
      </w:r>
      <w:r w:rsidR="00277C14" w:rsidRPr="00277C14">
        <w:rPr>
          <w:rFonts w:cs="Arial"/>
          <w:szCs w:val="20"/>
        </w:rPr>
        <w:t>in 202</w:t>
      </w:r>
      <w:r w:rsidR="00C52F18">
        <w:rPr>
          <w:rFonts w:cs="Arial"/>
          <w:szCs w:val="20"/>
        </w:rPr>
        <w:t>2</w:t>
      </w:r>
      <w:r w:rsidR="00277C14" w:rsidRPr="00277C14">
        <w:rPr>
          <w:rFonts w:cs="Arial"/>
          <w:szCs w:val="20"/>
        </w:rPr>
        <w:t xml:space="preserve">. </w:t>
      </w:r>
    </w:p>
    <w:p w14:paraId="24EBDEC6" w14:textId="77777777" w:rsidR="005745B6" w:rsidRPr="00277C14" w:rsidRDefault="005745B6" w:rsidP="00277C14">
      <w:pPr>
        <w:rPr>
          <w:rFonts w:cs="Arial"/>
          <w:szCs w:val="20"/>
        </w:rPr>
      </w:pPr>
    </w:p>
    <w:p w14:paraId="1E7C76B8" w14:textId="76EAF0E6" w:rsidR="00277C14" w:rsidRPr="005745B6" w:rsidRDefault="00277C14" w:rsidP="005745B6">
      <w:pPr>
        <w:pStyle w:val="Heading1"/>
        <w:numPr>
          <w:ilvl w:val="0"/>
          <w:numId w:val="37"/>
        </w:numPr>
        <w:spacing w:before="0"/>
        <w:rPr>
          <w:rFonts w:ascii="Arial" w:eastAsiaTheme="minorHAnsi" w:hAnsi="Arial" w:cs="Times New Roman"/>
          <w:b/>
          <w:bCs/>
          <w:color w:val="auto"/>
          <w:kern w:val="28"/>
          <w:sz w:val="20"/>
          <w:szCs w:val="20"/>
        </w:rPr>
      </w:pPr>
      <w:bookmarkStart w:id="77" w:name="_Toc66712440"/>
      <w:bookmarkStart w:id="78" w:name="_Toc135409899"/>
      <w:r w:rsidRPr="005745B6">
        <w:rPr>
          <w:rFonts w:ascii="Arial" w:eastAsiaTheme="minorHAnsi" w:hAnsi="Arial" w:cs="Times New Roman"/>
          <w:b/>
          <w:bCs/>
          <w:color w:val="auto"/>
          <w:kern w:val="28"/>
          <w:sz w:val="20"/>
          <w:szCs w:val="20"/>
          <w:lang w:val="fr-FR"/>
        </w:rPr>
        <w:t>GOVERNANCE AND PROCEDURAL FRAMEWORK</w:t>
      </w:r>
      <w:bookmarkEnd w:id="77"/>
      <w:bookmarkEnd w:id="78"/>
    </w:p>
    <w:p w14:paraId="2E28A8BC" w14:textId="77777777" w:rsidR="005745B6" w:rsidRPr="005745B6" w:rsidRDefault="005745B6" w:rsidP="005745B6">
      <w:pPr>
        <w:rPr>
          <w:lang w:val="fr-FR"/>
        </w:rPr>
      </w:pPr>
    </w:p>
    <w:p w14:paraId="27E32871" w14:textId="77777777" w:rsidR="00277C14" w:rsidRPr="00277C14" w:rsidRDefault="00277C14" w:rsidP="00277C14">
      <w:pPr>
        <w:rPr>
          <w:rFonts w:cs="Arial"/>
          <w:szCs w:val="20"/>
        </w:rPr>
      </w:pPr>
      <w:r w:rsidRPr="00277C14">
        <w:rPr>
          <w:rFonts w:cs="Arial"/>
          <w:szCs w:val="20"/>
        </w:rPr>
        <w:t>The Council of Europe was the first international organisation to emphasise the importance of taking measures to combat the threats posed by money laundering for democracy and the rule of law. The Council’s efforts led to the creation in 1997 of the Select Committee of Experts on the Evaluation of Anti</w:t>
      </w:r>
      <w:r w:rsidRPr="00277C14">
        <w:rPr>
          <w:rFonts w:cs="Arial"/>
          <w:szCs w:val="20"/>
        </w:rPr>
        <w:noBreakHyphen/>
        <w:t>Money Laundering Measures (PC-R-EV), later renamed to Committee of Experts on the Evaluation of Anti-Money Laundering Measures and the Financing of Terrorism (MONEYVAL). After the terrorist attacks of 11 September 2001, the Committee also began applying international standards designed to combat terrorist financing.</w:t>
      </w:r>
    </w:p>
    <w:p w14:paraId="50934859" w14:textId="77777777" w:rsidR="00277C14" w:rsidRPr="00277C14" w:rsidRDefault="00277C14" w:rsidP="00277C14">
      <w:pPr>
        <w:rPr>
          <w:rFonts w:cs="Arial"/>
          <w:szCs w:val="20"/>
        </w:rPr>
      </w:pPr>
    </w:p>
    <w:p w14:paraId="3D4B5B3E" w14:textId="17FA1F6C" w:rsidR="00277C14" w:rsidRDefault="00277C14" w:rsidP="00277C14">
      <w:pPr>
        <w:rPr>
          <w:rFonts w:cs="Arial"/>
          <w:szCs w:val="20"/>
        </w:rPr>
      </w:pPr>
      <w:r w:rsidRPr="00277C14">
        <w:rPr>
          <w:rFonts w:cs="Arial"/>
          <w:szCs w:val="20"/>
        </w:rPr>
        <w:t xml:space="preserve">MONEYVAL is a permanent monitoring mechanism of the Council of Europe reporting directly to the Committee of Ministers. MONEYVAL is </w:t>
      </w:r>
      <w:r w:rsidR="00205C94">
        <w:rPr>
          <w:rFonts w:cs="Arial"/>
          <w:szCs w:val="20"/>
        </w:rPr>
        <w:t xml:space="preserve">a </w:t>
      </w:r>
      <w:r w:rsidRPr="00277C14">
        <w:rPr>
          <w:rFonts w:cs="Arial"/>
          <w:szCs w:val="20"/>
        </w:rPr>
        <w:t>monitoring body of the Council of Europe entrusted with the task of assessing compliance with the principal international standards to counter money laundering and the financing of terrorism and the effectiveness of their implementation, as well as with the task of making recommendations to national authorities in respect of necessary improvements to their systems.</w:t>
      </w:r>
    </w:p>
    <w:p w14:paraId="4118C0CD" w14:textId="77777777" w:rsidR="005745B6" w:rsidRPr="00277C14" w:rsidRDefault="005745B6" w:rsidP="00277C14">
      <w:pPr>
        <w:rPr>
          <w:rFonts w:cs="Arial"/>
          <w:szCs w:val="20"/>
        </w:rPr>
      </w:pPr>
    </w:p>
    <w:p w14:paraId="38492EC3" w14:textId="77777777" w:rsidR="00E51C76" w:rsidRDefault="00E51C76">
      <w:pPr>
        <w:rPr>
          <w:rStyle w:val="Strong"/>
          <w:rFonts w:eastAsiaTheme="minorHAnsi" w:cs="Arial"/>
          <w:szCs w:val="20"/>
          <w:lang w:val="en-US"/>
        </w:rPr>
      </w:pPr>
      <w:bookmarkStart w:id="79" w:name="_Toc379211901"/>
      <w:bookmarkStart w:id="80" w:name="_Toc446602095"/>
      <w:bookmarkStart w:id="81" w:name="_Toc66712441"/>
      <w:bookmarkStart w:id="82" w:name="_Toc135409900"/>
      <w:r>
        <w:rPr>
          <w:rStyle w:val="Strong"/>
          <w:rFonts w:eastAsiaTheme="minorHAnsi" w:cs="Arial"/>
          <w:szCs w:val="20"/>
          <w:lang w:val="en-US"/>
        </w:rPr>
        <w:br w:type="page"/>
      </w:r>
    </w:p>
    <w:p w14:paraId="0EF83C5B" w14:textId="0AA35D91" w:rsidR="00277C14" w:rsidRPr="00793889" w:rsidRDefault="00503E8C" w:rsidP="005745B6">
      <w:pPr>
        <w:pStyle w:val="Heading2"/>
        <w:keepLines w:val="0"/>
        <w:spacing w:before="0"/>
        <w:ind w:right="680"/>
        <w:jc w:val="both"/>
        <w:rPr>
          <w:rStyle w:val="Strong"/>
          <w:rFonts w:ascii="Arial" w:eastAsiaTheme="minorHAnsi" w:hAnsi="Arial" w:cs="Arial"/>
          <w:color w:val="auto"/>
          <w:sz w:val="20"/>
          <w:szCs w:val="20"/>
          <w:lang w:val="en-US"/>
        </w:rPr>
      </w:pPr>
      <w:r>
        <w:rPr>
          <w:rStyle w:val="Strong"/>
          <w:rFonts w:ascii="Arial" w:eastAsiaTheme="minorHAnsi" w:hAnsi="Arial" w:cs="Arial"/>
          <w:color w:val="auto"/>
          <w:sz w:val="20"/>
          <w:szCs w:val="20"/>
          <w:lang w:val="en-US"/>
        </w:rPr>
        <w:lastRenderedPageBreak/>
        <w:t>8</w:t>
      </w:r>
      <w:r w:rsidR="005745B6" w:rsidRPr="00793889">
        <w:rPr>
          <w:rStyle w:val="Strong"/>
          <w:rFonts w:ascii="Arial" w:eastAsiaTheme="minorHAnsi" w:hAnsi="Arial" w:cs="Arial"/>
          <w:color w:val="auto"/>
          <w:sz w:val="20"/>
          <w:szCs w:val="20"/>
          <w:lang w:val="en-US"/>
        </w:rPr>
        <w:t>.1.</w:t>
      </w:r>
      <w:r w:rsidR="005745B6" w:rsidRPr="00793889">
        <w:rPr>
          <w:rStyle w:val="Strong"/>
          <w:rFonts w:ascii="Arial" w:eastAsiaTheme="minorHAnsi" w:hAnsi="Arial" w:cs="Arial"/>
          <w:color w:val="auto"/>
          <w:sz w:val="20"/>
          <w:szCs w:val="20"/>
          <w:lang w:val="en-US"/>
        </w:rPr>
        <w:tab/>
      </w:r>
      <w:r w:rsidR="00277C14" w:rsidRPr="00793889">
        <w:rPr>
          <w:rStyle w:val="Strong"/>
          <w:rFonts w:ascii="Arial" w:eastAsiaTheme="minorHAnsi" w:hAnsi="Arial" w:cs="Arial"/>
          <w:color w:val="auto"/>
          <w:sz w:val="20"/>
          <w:szCs w:val="20"/>
          <w:lang w:val="en-US"/>
        </w:rPr>
        <w:t>Members and observers</w:t>
      </w:r>
      <w:bookmarkEnd w:id="79"/>
      <w:bookmarkEnd w:id="80"/>
      <w:bookmarkEnd w:id="81"/>
      <w:bookmarkEnd w:id="82"/>
    </w:p>
    <w:p w14:paraId="3A5718DA" w14:textId="77777777" w:rsidR="005745B6" w:rsidRPr="00793889" w:rsidRDefault="005745B6" w:rsidP="005745B6">
      <w:pPr>
        <w:rPr>
          <w:lang w:val="en-US"/>
        </w:rPr>
      </w:pPr>
    </w:p>
    <w:p w14:paraId="643038F0" w14:textId="06D4B89F" w:rsidR="00277C14" w:rsidRPr="00277C14" w:rsidRDefault="00277C14" w:rsidP="00277C14">
      <w:pPr>
        <w:rPr>
          <w:rFonts w:cs="Arial"/>
          <w:szCs w:val="20"/>
        </w:rPr>
      </w:pPr>
      <w:r w:rsidRPr="00277C14">
        <w:rPr>
          <w:rFonts w:cs="Arial"/>
          <w:szCs w:val="20"/>
        </w:rPr>
        <w:t>Evaluation by MONEYVAL currently covers, under Article 2 of the Statute of MONEYVAL</w:t>
      </w:r>
      <w:r w:rsidR="00D44387">
        <w:rPr>
          <w:rFonts w:cs="Arial"/>
          <w:szCs w:val="20"/>
        </w:rPr>
        <w:t>,</w:t>
      </w:r>
      <w:r w:rsidRPr="00277C14">
        <w:rPr>
          <w:rFonts w:cs="Arial"/>
          <w:szCs w:val="20"/>
        </w:rPr>
        <w:t xml:space="preserve"> the following jurisdictions:</w:t>
      </w:r>
    </w:p>
    <w:p w14:paraId="4CDA0F51" w14:textId="0492FB6E" w:rsidR="005745B6" w:rsidRDefault="005745B6">
      <w:pPr>
        <w:rPr>
          <w:rFonts w:cs="Arial"/>
          <w:szCs w:val="20"/>
        </w:rPr>
      </w:pPr>
    </w:p>
    <w:p w14:paraId="46937CC0" w14:textId="08FF7FE4" w:rsidR="00277C14" w:rsidRPr="00277C14" w:rsidRDefault="00277C14" w:rsidP="00C92E41">
      <w:pPr>
        <w:numPr>
          <w:ilvl w:val="0"/>
          <w:numId w:val="27"/>
        </w:numPr>
        <w:autoSpaceDE w:val="0"/>
        <w:autoSpaceDN w:val="0"/>
        <w:adjustRightInd w:val="0"/>
        <w:ind w:hanging="436"/>
        <w:jc w:val="both"/>
        <w:rPr>
          <w:rFonts w:cs="Arial"/>
          <w:szCs w:val="20"/>
        </w:rPr>
      </w:pPr>
      <w:r w:rsidRPr="00277C14">
        <w:rPr>
          <w:rFonts w:cs="Arial"/>
          <w:szCs w:val="20"/>
        </w:rPr>
        <w:t>member States of the Council of Europe that are not members of the FATF (Article 2.2a of the Statute) and member States of the Council of Europe that become members of the FATF and request to continue to be evaluated by MONEYVAL (Article 2.2b of the Statute), currently:</w:t>
      </w:r>
    </w:p>
    <w:p w14:paraId="23259CE8" w14:textId="77777777" w:rsidR="00277C14" w:rsidRPr="00277C14" w:rsidRDefault="00277C14" w:rsidP="00277C14">
      <w:pPr>
        <w:autoSpaceDE w:val="0"/>
        <w:autoSpaceDN w:val="0"/>
        <w:adjustRightInd w:val="0"/>
        <w:ind w:left="720"/>
        <w:rPr>
          <w:rFonts w:cs="Arial"/>
          <w:szCs w:val="20"/>
        </w:rPr>
      </w:pPr>
    </w:p>
    <w:tbl>
      <w:tblPr>
        <w:tblW w:w="6659" w:type="dxa"/>
        <w:jc w:val="center"/>
        <w:tblLook w:val="04A0" w:firstRow="1" w:lastRow="0" w:firstColumn="1" w:lastColumn="0" w:noHBand="0" w:noVBand="1"/>
      </w:tblPr>
      <w:tblGrid>
        <w:gridCol w:w="3544"/>
        <w:gridCol w:w="3115"/>
      </w:tblGrid>
      <w:tr w:rsidR="00277C14" w:rsidRPr="00277C14" w14:paraId="6EFF25E1" w14:textId="77777777" w:rsidTr="00277C14">
        <w:trPr>
          <w:jc w:val="center"/>
        </w:trPr>
        <w:tc>
          <w:tcPr>
            <w:tcW w:w="3544" w:type="dxa"/>
            <w:shd w:val="clear" w:color="auto" w:fill="auto"/>
          </w:tcPr>
          <w:p w14:paraId="75012ADF" w14:textId="77777777" w:rsidR="00277C14" w:rsidRPr="00277C14" w:rsidRDefault="00277C14" w:rsidP="00C92E41">
            <w:pPr>
              <w:numPr>
                <w:ilvl w:val="0"/>
                <w:numId w:val="28"/>
              </w:numPr>
              <w:tabs>
                <w:tab w:val="num" w:pos="317"/>
              </w:tabs>
              <w:autoSpaceDE w:val="0"/>
              <w:autoSpaceDN w:val="0"/>
              <w:adjustRightInd w:val="0"/>
              <w:ind w:left="317" w:hanging="284"/>
              <w:jc w:val="both"/>
              <w:rPr>
                <w:rFonts w:cs="Arial"/>
                <w:szCs w:val="20"/>
              </w:rPr>
            </w:pPr>
            <w:r w:rsidRPr="00277C14">
              <w:rPr>
                <w:rFonts w:cs="Arial"/>
                <w:szCs w:val="20"/>
              </w:rPr>
              <w:t>Albania</w:t>
            </w:r>
          </w:p>
        </w:tc>
        <w:tc>
          <w:tcPr>
            <w:tcW w:w="3115" w:type="dxa"/>
            <w:shd w:val="clear" w:color="auto" w:fill="auto"/>
          </w:tcPr>
          <w:p w14:paraId="48D6AEDD" w14:textId="77777777" w:rsidR="00277C14" w:rsidRPr="00277C14" w:rsidRDefault="00277C14" w:rsidP="00C92E41">
            <w:pPr>
              <w:numPr>
                <w:ilvl w:val="1"/>
                <w:numId w:val="27"/>
              </w:numPr>
              <w:tabs>
                <w:tab w:val="clear" w:pos="1440"/>
              </w:tabs>
              <w:autoSpaceDE w:val="0"/>
              <w:autoSpaceDN w:val="0"/>
              <w:adjustRightInd w:val="0"/>
              <w:ind w:left="67" w:hanging="67"/>
              <w:jc w:val="both"/>
              <w:rPr>
                <w:rFonts w:cs="Arial"/>
                <w:szCs w:val="20"/>
              </w:rPr>
            </w:pPr>
            <w:r w:rsidRPr="00277C14">
              <w:rPr>
                <w:rFonts w:cs="Arial"/>
                <w:szCs w:val="20"/>
              </w:rPr>
              <w:t xml:space="preserve"> Andorra</w:t>
            </w:r>
          </w:p>
        </w:tc>
      </w:tr>
      <w:tr w:rsidR="00277C14" w:rsidRPr="00277C14" w14:paraId="76C7ABEB" w14:textId="77777777" w:rsidTr="00277C14">
        <w:trPr>
          <w:jc w:val="center"/>
        </w:trPr>
        <w:tc>
          <w:tcPr>
            <w:tcW w:w="3544" w:type="dxa"/>
            <w:shd w:val="clear" w:color="auto" w:fill="auto"/>
          </w:tcPr>
          <w:p w14:paraId="4D5D2186" w14:textId="77777777" w:rsidR="00277C14" w:rsidRPr="00277C14" w:rsidRDefault="00277C14" w:rsidP="00C92E41">
            <w:pPr>
              <w:numPr>
                <w:ilvl w:val="0"/>
                <w:numId w:val="28"/>
              </w:numPr>
              <w:tabs>
                <w:tab w:val="num" w:pos="317"/>
              </w:tabs>
              <w:autoSpaceDE w:val="0"/>
              <w:autoSpaceDN w:val="0"/>
              <w:adjustRightInd w:val="0"/>
              <w:ind w:left="317" w:hanging="284"/>
              <w:jc w:val="both"/>
              <w:rPr>
                <w:rFonts w:cs="Arial"/>
                <w:szCs w:val="20"/>
              </w:rPr>
            </w:pPr>
            <w:r w:rsidRPr="00277C14">
              <w:rPr>
                <w:rFonts w:cs="Arial"/>
                <w:szCs w:val="20"/>
              </w:rPr>
              <w:t>Armenia</w:t>
            </w:r>
          </w:p>
        </w:tc>
        <w:tc>
          <w:tcPr>
            <w:tcW w:w="3115" w:type="dxa"/>
            <w:shd w:val="clear" w:color="auto" w:fill="auto"/>
          </w:tcPr>
          <w:p w14:paraId="08DBE408" w14:textId="77777777" w:rsidR="00277C14" w:rsidRPr="00277C14" w:rsidRDefault="00277C14" w:rsidP="00C92E41">
            <w:pPr>
              <w:numPr>
                <w:ilvl w:val="1"/>
                <w:numId w:val="27"/>
              </w:numPr>
              <w:tabs>
                <w:tab w:val="clear" w:pos="1440"/>
              </w:tabs>
              <w:autoSpaceDE w:val="0"/>
              <w:autoSpaceDN w:val="0"/>
              <w:adjustRightInd w:val="0"/>
              <w:ind w:left="67" w:hanging="67"/>
              <w:jc w:val="both"/>
              <w:rPr>
                <w:rFonts w:cs="Arial"/>
                <w:szCs w:val="20"/>
              </w:rPr>
            </w:pPr>
            <w:r w:rsidRPr="00277C14">
              <w:rPr>
                <w:rFonts w:cs="Arial"/>
                <w:szCs w:val="20"/>
              </w:rPr>
              <w:t xml:space="preserve"> Azerbaijan</w:t>
            </w:r>
          </w:p>
        </w:tc>
      </w:tr>
      <w:tr w:rsidR="00277C14" w:rsidRPr="00277C14" w14:paraId="6BF0D840" w14:textId="77777777" w:rsidTr="00277C14">
        <w:trPr>
          <w:trHeight w:val="173"/>
          <w:jc w:val="center"/>
        </w:trPr>
        <w:tc>
          <w:tcPr>
            <w:tcW w:w="3544" w:type="dxa"/>
            <w:shd w:val="clear" w:color="auto" w:fill="auto"/>
          </w:tcPr>
          <w:p w14:paraId="651B4C3B" w14:textId="77777777" w:rsidR="00277C14" w:rsidRPr="00277C14" w:rsidRDefault="00277C14" w:rsidP="00C92E41">
            <w:pPr>
              <w:numPr>
                <w:ilvl w:val="0"/>
                <w:numId w:val="28"/>
              </w:numPr>
              <w:tabs>
                <w:tab w:val="num" w:pos="317"/>
              </w:tabs>
              <w:autoSpaceDE w:val="0"/>
              <w:autoSpaceDN w:val="0"/>
              <w:adjustRightInd w:val="0"/>
              <w:ind w:left="317" w:hanging="284"/>
              <w:jc w:val="both"/>
              <w:rPr>
                <w:rFonts w:cs="Arial"/>
                <w:szCs w:val="20"/>
              </w:rPr>
            </w:pPr>
            <w:r w:rsidRPr="00277C14">
              <w:rPr>
                <w:rFonts w:cs="Arial"/>
                <w:szCs w:val="20"/>
              </w:rPr>
              <w:t>Bosnia and Herzegovina</w:t>
            </w:r>
          </w:p>
        </w:tc>
        <w:tc>
          <w:tcPr>
            <w:tcW w:w="3115" w:type="dxa"/>
            <w:shd w:val="clear" w:color="auto" w:fill="auto"/>
          </w:tcPr>
          <w:p w14:paraId="634868FF" w14:textId="77777777" w:rsidR="00277C14" w:rsidRPr="00277C14" w:rsidRDefault="00277C14" w:rsidP="00C92E41">
            <w:pPr>
              <w:numPr>
                <w:ilvl w:val="1"/>
                <w:numId w:val="27"/>
              </w:numPr>
              <w:tabs>
                <w:tab w:val="clear" w:pos="1440"/>
              </w:tabs>
              <w:autoSpaceDE w:val="0"/>
              <w:autoSpaceDN w:val="0"/>
              <w:adjustRightInd w:val="0"/>
              <w:ind w:left="67" w:hanging="67"/>
              <w:jc w:val="both"/>
              <w:rPr>
                <w:rFonts w:cs="Arial"/>
                <w:szCs w:val="20"/>
              </w:rPr>
            </w:pPr>
            <w:r w:rsidRPr="00277C14">
              <w:rPr>
                <w:rFonts w:cs="Arial"/>
                <w:szCs w:val="20"/>
              </w:rPr>
              <w:t xml:space="preserve"> Bulgaria</w:t>
            </w:r>
          </w:p>
        </w:tc>
      </w:tr>
      <w:tr w:rsidR="00277C14" w:rsidRPr="00277C14" w14:paraId="35ACB53F" w14:textId="77777777" w:rsidTr="00277C14">
        <w:trPr>
          <w:trHeight w:val="173"/>
          <w:jc w:val="center"/>
        </w:trPr>
        <w:tc>
          <w:tcPr>
            <w:tcW w:w="3544" w:type="dxa"/>
            <w:shd w:val="clear" w:color="auto" w:fill="auto"/>
          </w:tcPr>
          <w:p w14:paraId="11A4F262" w14:textId="77777777" w:rsidR="00277C14" w:rsidRPr="00277C14" w:rsidRDefault="00277C14" w:rsidP="00C92E41">
            <w:pPr>
              <w:numPr>
                <w:ilvl w:val="0"/>
                <w:numId w:val="28"/>
              </w:numPr>
              <w:tabs>
                <w:tab w:val="num" w:pos="317"/>
              </w:tabs>
              <w:autoSpaceDE w:val="0"/>
              <w:autoSpaceDN w:val="0"/>
              <w:adjustRightInd w:val="0"/>
              <w:ind w:left="317" w:hanging="284"/>
              <w:jc w:val="both"/>
              <w:rPr>
                <w:rFonts w:cs="Arial"/>
                <w:szCs w:val="20"/>
              </w:rPr>
            </w:pPr>
            <w:r w:rsidRPr="00277C14">
              <w:rPr>
                <w:rFonts w:cs="Arial"/>
                <w:szCs w:val="20"/>
              </w:rPr>
              <w:t xml:space="preserve">Croatia </w:t>
            </w:r>
          </w:p>
        </w:tc>
        <w:tc>
          <w:tcPr>
            <w:tcW w:w="3115" w:type="dxa"/>
            <w:shd w:val="clear" w:color="auto" w:fill="auto"/>
          </w:tcPr>
          <w:p w14:paraId="7FF35910" w14:textId="77777777" w:rsidR="00277C14" w:rsidRPr="00277C14" w:rsidRDefault="00277C14" w:rsidP="00C92E41">
            <w:pPr>
              <w:numPr>
                <w:ilvl w:val="1"/>
                <w:numId w:val="27"/>
              </w:numPr>
              <w:tabs>
                <w:tab w:val="clear" w:pos="1440"/>
              </w:tabs>
              <w:autoSpaceDE w:val="0"/>
              <w:autoSpaceDN w:val="0"/>
              <w:adjustRightInd w:val="0"/>
              <w:ind w:left="67" w:hanging="67"/>
              <w:jc w:val="both"/>
              <w:rPr>
                <w:rFonts w:cs="Arial"/>
                <w:szCs w:val="20"/>
              </w:rPr>
            </w:pPr>
            <w:r w:rsidRPr="00277C14">
              <w:rPr>
                <w:rFonts w:cs="Arial"/>
                <w:szCs w:val="20"/>
              </w:rPr>
              <w:t xml:space="preserve"> Cyprus</w:t>
            </w:r>
            <w:r w:rsidRPr="00277C14" w:rsidDel="006B010E">
              <w:rPr>
                <w:rFonts w:cs="Arial"/>
                <w:szCs w:val="20"/>
              </w:rPr>
              <w:t xml:space="preserve"> </w:t>
            </w:r>
          </w:p>
        </w:tc>
      </w:tr>
      <w:tr w:rsidR="00277C14" w:rsidRPr="00277C14" w14:paraId="078CB6DA" w14:textId="77777777" w:rsidTr="00277C14">
        <w:trPr>
          <w:jc w:val="center"/>
        </w:trPr>
        <w:tc>
          <w:tcPr>
            <w:tcW w:w="3544" w:type="dxa"/>
            <w:shd w:val="clear" w:color="auto" w:fill="auto"/>
          </w:tcPr>
          <w:p w14:paraId="3DB2043C" w14:textId="7CE10AF5" w:rsidR="00277C14" w:rsidRPr="00277C14" w:rsidRDefault="00277C14" w:rsidP="00C92E41">
            <w:pPr>
              <w:numPr>
                <w:ilvl w:val="0"/>
                <w:numId w:val="28"/>
              </w:numPr>
              <w:tabs>
                <w:tab w:val="num" w:pos="317"/>
              </w:tabs>
              <w:autoSpaceDE w:val="0"/>
              <w:autoSpaceDN w:val="0"/>
              <w:adjustRightInd w:val="0"/>
              <w:ind w:left="317" w:hanging="284"/>
              <w:jc w:val="both"/>
              <w:rPr>
                <w:rFonts w:cs="Arial"/>
                <w:szCs w:val="20"/>
              </w:rPr>
            </w:pPr>
            <w:r w:rsidRPr="00277C14">
              <w:rPr>
                <w:rFonts w:cs="Arial"/>
                <w:szCs w:val="20"/>
              </w:rPr>
              <w:t xml:space="preserve">Czech Republic </w:t>
            </w:r>
          </w:p>
        </w:tc>
        <w:tc>
          <w:tcPr>
            <w:tcW w:w="3115" w:type="dxa"/>
            <w:shd w:val="clear" w:color="auto" w:fill="auto"/>
          </w:tcPr>
          <w:p w14:paraId="71593D2C" w14:textId="77777777" w:rsidR="00277C14" w:rsidRPr="00277C14" w:rsidRDefault="00277C14" w:rsidP="00C92E41">
            <w:pPr>
              <w:numPr>
                <w:ilvl w:val="1"/>
                <w:numId w:val="27"/>
              </w:numPr>
              <w:tabs>
                <w:tab w:val="clear" w:pos="1440"/>
              </w:tabs>
              <w:autoSpaceDE w:val="0"/>
              <w:autoSpaceDN w:val="0"/>
              <w:adjustRightInd w:val="0"/>
              <w:ind w:left="67" w:hanging="67"/>
              <w:jc w:val="both"/>
              <w:rPr>
                <w:rFonts w:cs="Arial"/>
                <w:szCs w:val="20"/>
              </w:rPr>
            </w:pPr>
            <w:r w:rsidRPr="00277C14">
              <w:rPr>
                <w:rFonts w:cs="Arial"/>
                <w:szCs w:val="20"/>
              </w:rPr>
              <w:t xml:space="preserve"> Estonia</w:t>
            </w:r>
            <w:r w:rsidRPr="00277C14" w:rsidDel="006B010E">
              <w:rPr>
                <w:rFonts w:cs="Arial"/>
                <w:szCs w:val="20"/>
              </w:rPr>
              <w:t xml:space="preserve"> </w:t>
            </w:r>
          </w:p>
        </w:tc>
      </w:tr>
      <w:tr w:rsidR="00277C14" w:rsidRPr="00277C14" w14:paraId="148DAF73" w14:textId="77777777" w:rsidTr="00277C14">
        <w:trPr>
          <w:jc w:val="center"/>
        </w:trPr>
        <w:tc>
          <w:tcPr>
            <w:tcW w:w="3544" w:type="dxa"/>
            <w:shd w:val="clear" w:color="auto" w:fill="auto"/>
          </w:tcPr>
          <w:p w14:paraId="3C4F7208" w14:textId="77777777" w:rsidR="00277C14" w:rsidRPr="00277C14" w:rsidRDefault="00277C14" w:rsidP="00C92E41">
            <w:pPr>
              <w:numPr>
                <w:ilvl w:val="0"/>
                <w:numId w:val="28"/>
              </w:numPr>
              <w:tabs>
                <w:tab w:val="num" w:pos="317"/>
              </w:tabs>
              <w:autoSpaceDE w:val="0"/>
              <w:autoSpaceDN w:val="0"/>
              <w:adjustRightInd w:val="0"/>
              <w:ind w:left="317" w:hanging="284"/>
              <w:jc w:val="both"/>
              <w:rPr>
                <w:rFonts w:cs="Arial"/>
                <w:szCs w:val="20"/>
              </w:rPr>
            </w:pPr>
            <w:r w:rsidRPr="00277C14">
              <w:rPr>
                <w:rFonts w:cs="Arial"/>
                <w:szCs w:val="20"/>
              </w:rPr>
              <w:t xml:space="preserve">Georgia </w:t>
            </w:r>
          </w:p>
        </w:tc>
        <w:tc>
          <w:tcPr>
            <w:tcW w:w="3115" w:type="dxa"/>
            <w:shd w:val="clear" w:color="auto" w:fill="auto"/>
          </w:tcPr>
          <w:p w14:paraId="4ED67685" w14:textId="77777777" w:rsidR="00277C14" w:rsidRPr="00277C14" w:rsidRDefault="00277C14" w:rsidP="00C92E41">
            <w:pPr>
              <w:numPr>
                <w:ilvl w:val="1"/>
                <w:numId w:val="27"/>
              </w:numPr>
              <w:tabs>
                <w:tab w:val="clear" w:pos="1440"/>
              </w:tabs>
              <w:autoSpaceDE w:val="0"/>
              <w:autoSpaceDN w:val="0"/>
              <w:adjustRightInd w:val="0"/>
              <w:ind w:left="67" w:hanging="67"/>
              <w:jc w:val="both"/>
              <w:rPr>
                <w:rFonts w:cs="Arial"/>
                <w:szCs w:val="20"/>
              </w:rPr>
            </w:pPr>
            <w:r w:rsidRPr="00277C14">
              <w:rPr>
                <w:rFonts w:cs="Arial"/>
                <w:szCs w:val="20"/>
              </w:rPr>
              <w:t xml:space="preserve"> Hungary</w:t>
            </w:r>
          </w:p>
        </w:tc>
      </w:tr>
      <w:tr w:rsidR="00277C14" w:rsidRPr="00277C14" w14:paraId="52AF9386" w14:textId="77777777" w:rsidTr="00277C14">
        <w:trPr>
          <w:jc w:val="center"/>
        </w:trPr>
        <w:tc>
          <w:tcPr>
            <w:tcW w:w="3544" w:type="dxa"/>
            <w:shd w:val="clear" w:color="auto" w:fill="auto"/>
          </w:tcPr>
          <w:p w14:paraId="1A908E2B" w14:textId="77777777" w:rsidR="00277C14" w:rsidRPr="00277C14" w:rsidRDefault="00277C14" w:rsidP="00C92E41">
            <w:pPr>
              <w:numPr>
                <w:ilvl w:val="0"/>
                <w:numId w:val="28"/>
              </w:numPr>
              <w:tabs>
                <w:tab w:val="num" w:pos="317"/>
              </w:tabs>
              <w:autoSpaceDE w:val="0"/>
              <w:autoSpaceDN w:val="0"/>
              <w:adjustRightInd w:val="0"/>
              <w:ind w:left="317" w:hanging="284"/>
              <w:jc w:val="both"/>
              <w:rPr>
                <w:rFonts w:cs="Arial"/>
                <w:szCs w:val="20"/>
              </w:rPr>
            </w:pPr>
            <w:r w:rsidRPr="00277C14">
              <w:rPr>
                <w:rFonts w:cs="Arial"/>
                <w:szCs w:val="20"/>
              </w:rPr>
              <w:t xml:space="preserve">Latvia </w:t>
            </w:r>
          </w:p>
        </w:tc>
        <w:tc>
          <w:tcPr>
            <w:tcW w:w="3115" w:type="dxa"/>
            <w:shd w:val="clear" w:color="auto" w:fill="auto"/>
          </w:tcPr>
          <w:p w14:paraId="36AAD4B9" w14:textId="77777777" w:rsidR="00277C14" w:rsidRPr="00277C14" w:rsidRDefault="00277C14" w:rsidP="00C92E41">
            <w:pPr>
              <w:numPr>
                <w:ilvl w:val="1"/>
                <w:numId w:val="27"/>
              </w:numPr>
              <w:tabs>
                <w:tab w:val="clear" w:pos="1440"/>
              </w:tabs>
              <w:autoSpaceDE w:val="0"/>
              <w:autoSpaceDN w:val="0"/>
              <w:adjustRightInd w:val="0"/>
              <w:ind w:left="67" w:hanging="67"/>
              <w:jc w:val="both"/>
              <w:rPr>
                <w:rFonts w:cs="Arial"/>
                <w:szCs w:val="20"/>
              </w:rPr>
            </w:pPr>
            <w:r w:rsidRPr="00277C14">
              <w:rPr>
                <w:rFonts w:cs="Arial"/>
                <w:szCs w:val="20"/>
              </w:rPr>
              <w:t xml:space="preserve"> Liechtenstein</w:t>
            </w:r>
          </w:p>
        </w:tc>
      </w:tr>
      <w:tr w:rsidR="00277C14" w:rsidRPr="00277C14" w14:paraId="157DD54F" w14:textId="77777777" w:rsidTr="00277C14">
        <w:trPr>
          <w:jc w:val="center"/>
        </w:trPr>
        <w:tc>
          <w:tcPr>
            <w:tcW w:w="3544" w:type="dxa"/>
            <w:shd w:val="clear" w:color="auto" w:fill="auto"/>
          </w:tcPr>
          <w:p w14:paraId="34BB5F1C" w14:textId="77777777" w:rsidR="00277C14" w:rsidRPr="00277C14" w:rsidRDefault="00277C14" w:rsidP="00C92E41">
            <w:pPr>
              <w:numPr>
                <w:ilvl w:val="0"/>
                <w:numId w:val="28"/>
              </w:numPr>
              <w:tabs>
                <w:tab w:val="num" w:pos="317"/>
              </w:tabs>
              <w:autoSpaceDE w:val="0"/>
              <w:autoSpaceDN w:val="0"/>
              <w:adjustRightInd w:val="0"/>
              <w:ind w:left="317" w:hanging="284"/>
              <w:jc w:val="both"/>
              <w:rPr>
                <w:rFonts w:cs="Arial"/>
                <w:szCs w:val="20"/>
              </w:rPr>
            </w:pPr>
            <w:r w:rsidRPr="00277C14">
              <w:rPr>
                <w:rFonts w:cs="Arial"/>
                <w:szCs w:val="20"/>
              </w:rPr>
              <w:t xml:space="preserve">Lithuania </w:t>
            </w:r>
          </w:p>
        </w:tc>
        <w:tc>
          <w:tcPr>
            <w:tcW w:w="3115" w:type="dxa"/>
            <w:shd w:val="clear" w:color="auto" w:fill="auto"/>
          </w:tcPr>
          <w:p w14:paraId="133C9070" w14:textId="77777777" w:rsidR="00277C14" w:rsidRPr="00277C14" w:rsidRDefault="00277C14" w:rsidP="00C92E41">
            <w:pPr>
              <w:numPr>
                <w:ilvl w:val="1"/>
                <w:numId w:val="27"/>
              </w:numPr>
              <w:tabs>
                <w:tab w:val="clear" w:pos="1440"/>
              </w:tabs>
              <w:autoSpaceDE w:val="0"/>
              <w:autoSpaceDN w:val="0"/>
              <w:adjustRightInd w:val="0"/>
              <w:ind w:left="67" w:hanging="67"/>
              <w:jc w:val="both"/>
              <w:rPr>
                <w:rFonts w:cs="Arial"/>
                <w:szCs w:val="20"/>
              </w:rPr>
            </w:pPr>
            <w:r w:rsidRPr="00277C14">
              <w:rPr>
                <w:rFonts w:cs="Arial"/>
                <w:szCs w:val="20"/>
              </w:rPr>
              <w:t xml:space="preserve"> Malta</w:t>
            </w:r>
            <w:r w:rsidRPr="00277C14" w:rsidDel="00E849AB">
              <w:rPr>
                <w:rFonts w:cs="Arial"/>
                <w:szCs w:val="20"/>
              </w:rPr>
              <w:t xml:space="preserve"> </w:t>
            </w:r>
          </w:p>
        </w:tc>
      </w:tr>
      <w:tr w:rsidR="00277C14" w:rsidRPr="00277C14" w14:paraId="5A1F4128" w14:textId="77777777" w:rsidTr="00277C14">
        <w:trPr>
          <w:jc w:val="center"/>
        </w:trPr>
        <w:tc>
          <w:tcPr>
            <w:tcW w:w="3544" w:type="dxa"/>
            <w:shd w:val="clear" w:color="auto" w:fill="auto"/>
          </w:tcPr>
          <w:p w14:paraId="176CE928" w14:textId="77777777" w:rsidR="00277C14" w:rsidRPr="00277C14" w:rsidRDefault="00277C14" w:rsidP="00C92E41">
            <w:pPr>
              <w:numPr>
                <w:ilvl w:val="0"/>
                <w:numId w:val="28"/>
              </w:numPr>
              <w:tabs>
                <w:tab w:val="num" w:pos="317"/>
              </w:tabs>
              <w:autoSpaceDE w:val="0"/>
              <w:autoSpaceDN w:val="0"/>
              <w:adjustRightInd w:val="0"/>
              <w:ind w:left="317" w:hanging="284"/>
              <w:jc w:val="both"/>
              <w:rPr>
                <w:rFonts w:cs="Arial"/>
                <w:szCs w:val="20"/>
              </w:rPr>
            </w:pPr>
            <w:r w:rsidRPr="00277C14">
              <w:rPr>
                <w:rFonts w:cs="Arial"/>
                <w:szCs w:val="20"/>
              </w:rPr>
              <w:t>Republic of Moldova</w:t>
            </w:r>
          </w:p>
        </w:tc>
        <w:tc>
          <w:tcPr>
            <w:tcW w:w="3115" w:type="dxa"/>
            <w:shd w:val="clear" w:color="auto" w:fill="auto"/>
          </w:tcPr>
          <w:p w14:paraId="48395283" w14:textId="77777777" w:rsidR="00277C14" w:rsidRPr="00277C14" w:rsidRDefault="00277C14" w:rsidP="00C92E41">
            <w:pPr>
              <w:numPr>
                <w:ilvl w:val="1"/>
                <w:numId w:val="27"/>
              </w:numPr>
              <w:tabs>
                <w:tab w:val="clear" w:pos="1440"/>
              </w:tabs>
              <w:autoSpaceDE w:val="0"/>
              <w:autoSpaceDN w:val="0"/>
              <w:adjustRightInd w:val="0"/>
              <w:ind w:left="67" w:hanging="67"/>
              <w:jc w:val="both"/>
              <w:rPr>
                <w:rFonts w:cs="Arial"/>
                <w:szCs w:val="20"/>
              </w:rPr>
            </w:pPr>
            <w:r w:rsidRPr="00277C14">
              <w:rPr>
                <w:rFonts w:cs="Arial"/>
                <w:szCs w:val="20"/>
              </w:rPr>
              <w:t xml:space="preserve"> Monaco</w:t>
            </w:r>
            <w:r w:rsidRPr="00277C14" w:rsidDel="00E849AB">
              <w:rPr>
                <w:rFonts w:cs="Arial"/>
                <w:szCs w:val="20"/>
              </w:rPr>
              <w:t xml:space="preserve"> </w:t>
            </w:r>
          </w:p>
        </w:tc>
      </w:tr>
      <w:tr w:rsidR="00277C14" w:rsidRPr="00277C14" w14:paraId="2CB3AB31" w14:textId="77777777" w:rsidTr="00277C14">
        <w:trPr>
          <w:jc w:val="center"/>
        </w:trPr>
        <w:tc>
          <w:tcPr>
            <w:tcW w:w="3544" w:type="dxa"/>
            <w:shd w:val="clear" w:color="auto" w:fill="auto"/>
          </w:tcPr>
          <w:p w14:paraId="7C138600" w14:textId="77777777" w:rsidR="00277C14" w:rsidRPr="00277C14" w:rsidRDefault="00277C14" w:rsidP="00C92E41">
            <w:pPr>
              <w:numPr>
                <w:ilvl w:val="0"/>
                <w:numId w:val="28"/>
              </w:numPr>
              <w:tabs>
                <w:tab w:val="num" w:pos="317"/>
              </w:tabs>
              <w:autoSpaceDE w:val="0"/>
              <w:autoSpaceDN w:val="0"/>
              <w:adjustRightInd w:val="0"/>
              <w:ind w:left="317" w:hanging="284"/>
              <w:jc w:val="both"/>
              <w:rPr>
                <w:rFonts w:cs="Arial"/>
                <w:szCs w:val="20"/>
              </w:rPr>
            </w:pPr>
            <w:r w:rsidRPr="00277C14">
              <w:rPr>
                <w:rFonts w:cs="Arial"/>
                <w:szCs w:val="20"/>
              </w:rPr>
              <w:t xml:space="preserve">Montenegro </w:t>
            </w:r>
          </w:p>
        </w:tc>
        <w:tc>
          <w:tcPr>
            <w:tcW w:w="3115" w:type="dxa"/>
            <w:shd w:val="clear" w:color="auto" w:fill="auto"/>
          </w:tcPr>
          <w:p w14:paraId="1408B27A" w14:textId="77777777" w:rsidR="00277C14" w:rsidRPr="00277C14" w:rsidRDefault="00277C14" w:rsidP="00C92E41">
            <w:pPr>
              <w:numPr>
                <w:ilvl w:val="1"/>
                <w:numId w:val="27"/>
              </w:numPr>
              <w:tabs>
                <w:tab w:val="clear" w:pos="1440"/>
              </w:tabs>
              <w:autoSpaceDE w:val="0"/>
              <w:autoSpaceDN w:val="0"/>
              <w:adjustRightInd w:val="0"/>
              <w:ind w:left="67" w:hanging="67"/>
              <w:jc w:val="both"/>
              <w:rPr>
                <w:rFonts w:cs="Arial"/>
                <w:szCs w:val="20"/>
              </w:rPr>
            </w:pPr>
            <w:r w:rsidRPr="00277C14">
              <w:rPr>
                <w:rFonts w:cs="Arial"/>
                <w:szCs w:val="20"/>
              </w:rPr>
              <w:t xml:space="preserve"> North Macedonia</w:t>
            </w:r>
          </w:p>
        </w:tc>
      </w:tr>
      <w:tr w:rsidR="00277C14" w:rsidRPr="00277C14" w14:paraId="33D1672F" w14:textId="77777777" w:rsidTr="00277C14">
        <w:trPr>
          <w:jc w:val="center"/>
        </w:trPr>
        <w:tc>
          <w:tcPr>
            <w:tcW w:w="3544" w:type="dxa"/>
            <w:shd w:val="clear" w:color="auto" w:fill="auto"/>
          </w:tcPr>
          <w:p w14:paraId="03BB4B79" w14:textId="77777777" w:rsidR="00277C14" w:rsidRPr="00277C14" w:rsidRDefault="00277C14" w:rsidP="00C92E41">
            <w:pPr>
              <w:numPr>
                <w:ilvl w:val="0"/>
                <w:numId w:val="28"/>
              </w:numPr>
              <w:tabs>
                <w:tab w:val="num" w:pos="317"/>
              </w:tabs>
              <w:autoSpaceDE w:val="0"/>
              <w:autoSpaceDN w:val="0"/>
              <w:adjustRightInd w:val="0"/>
              <w:ind w:left="317" w:hanging="284"/>
              <w:jc w:val="both"/>
              <w:rPr>
                <w:rFonts w:cs="Arial"/>
                <w:szCs w:val="20"/>
              </w:rPr>
            </w:pPr>
            <w:r w:rsidRPr="00277C14">
              <w:rPr>
                <w:rFonts w:cs="Arial"/>
                <w:szCs w:val="20"/>
              </w:rPr>
              <w:t>Poland</w:t>
            </w:r>
          </w:p>
        </w:tc>
        <w:tc>
          <w:tcPr>
            <w:tcW w:w="3115" w:type="dxa"/>
            <w:shd w:val="clear" w:color="auto" w:fill="auto"/>
          </w:tcPr>
          <w:p w14:paraId="434B1E2C" w14:textId="77777777" w:rsidR="00277C14" w:rsidRPr="00277C14" w:rsidRDefault="00277C14" w:rsidP="00C92E41">
            <w:pPr>
              <w:numPr>
                <w:ilvl w:val="1"/>
                <w:numId w:val="27"/>
              </w:numPr>
              <w:tabs>
                <w:tab w:val="clear" w:pos="1440"/>
              </w:tabs>
              <w:autoSpaceDE w:val="0"/>
              <w:autoSpaceDN w:val="0"/>
              <w:adjustRightInd w:val="0"/>
              <w:ind w:left="67" w:hanging="67"/>
              <w:jc w:val="both"/>
              <w:rPr>
                <w:rFonts w:cs="Arial"/>
                <w:szCs w:val="20"/>
              </w:rPr>
            </w:pPr>
            <w:r w:rsidRPr="00277C14">
              <w:rPr>
                <w:rFonts w:cs="Arial"/>
                <w:szCs w:val="20"/>
              </w:rPr>
              <w:t xml:space="preserve"> Romania</w:t>
            </w:r>
          </w:p>
        </w:tc>
      </w:tr>
      <w:tr w:rsidR="00277C14" w:rsidRPr="00277C14" w14:paraId="50E6044A" w14:textId="77777777" w:rsidTr="00277C14">
        <w:trPr>
          <w:jc w:val="center"/>
        </w:trPr>
        <w:tc>
          <w:tcPr>
            <w:tcW w:w="3544" w:type="dxa"/>
            <w:shd w:val="clear" w:color="auto" w:fill="auto"/>
          </w:tcPr>
          <w:p w14:paraId="037050D1" w14:textId="3558A799" w:rsidR="00277C14" w:rsidRPr="005844FD" w:rsidRDefault="005844FD" w:rsidP="005844FD">
            <w:pPr>
              <w:pStyle w:val="ListParagraph"/>
              <w:numPr>
                <w:ilvl w:val="1"/>
                <w:numId w:val="27"/>
              </w:numPr>
              <w:tabs>
                <w:tab w:val="clear" w:pos="1440"/>
                <w:tab w:val="num" w:pos="316"/>
              </w:tabs>
              <w:autoSpaceDE w:val="0"/>
              <w:autoSpaceDN w:val="0"/>
              <w:adjustRightInd w:val="0"/>
              <w:ind w:hanging="1408"/>
              <w:jc w:val="both"/>
              <w:rPr>
                <w:rFonts w:cs="Arial"/>
                <w:szCs w:val="20"/>
              </w:rPr>
            </w:pPr>
            <w:r w:rsidRPr="005844FD">
              <w:rPr>
                <w:rFonts w:cs="Arial"/>
                <w:szCs w:val="20"/>
              </w:rPr>
              <w:t>Serbia</w:t>
            </w:r>
          </w:p>
        </w:tc>
        <w:tc>
          <w:tcPr>
            <w:tcW w:w="3115" w:type="dxa"/>
            <w:shd w:val="clear" w:color="auto" w:fill="auto"/>
          </w:tcPr>
          <w:p w14:paraId="06D91422" w14:textId="77777777" w:rsidR="00277C14" w:rsidRPr="00277C14" w:rsidRDefault="00277C14" w:rsidP="00C92E41">
            <w:pPr>
              <w:numPr>
                <w:ilvl w:val="1"/>
                <w:numId w:val="27"/>
              </w:numPr>
              <w:tabs>
                <w:tab w:val="clear" w:pos="1440"/>
              </w:tabs>
              <w:autoSpaceDE w:val="0"/>
              <w:autoSpaceDN w:val="0"/>
              <w:adjustRightInd w:val="0"/>
              <w:ind w:left="67" w:hanging="67"/>
              <w:jc w:val="both"/>
              <w:rPr>
                <w:rFonts w:cs="Arial"/>
                <w:szCs w:val="20"/>
              </w:rPr>
            </w:pPr>
            <w:r w:rsidRPr="00277C14">
              <w:rPr>
                <w:rFonts w:cs="Arial"/>
                <w:szCs w:val="20"/>
              </w:rPr>
              <w:t xml:space="preserve"> San Marino</w:t>
            </w:r>
          </w:p>
        </w:tc>
      </w:tr>
      <w:tr w:rsidR="00277C14" w:rsidRPr="00277C14" w14:paraId="26DCEB84" w14:textId="77777777" w:rsidTr="00277C14">
        <w:trPr>
          <w:jc w:val="center"/>
        </w:trPr>
        <w:tc>
          <w:tcPr>
            <w:tcW w:w="3544" w:type="dxa"/>
            <w:shd w:val="clear" w:color="auto" w:fill="auto"/>
          </w:tcPr>
          <w:p w14:paraId="233F5D9B" w14:textId="79F9E4FE" w:rsidR="00277C14" w:rsidRPr="005844FD" w:rsidRDefault="005844FD" w:rsidP="005844FD">
            <w:pPr>
              <w:pStyle w:val="ListParagraph"/>
              <w:numPr>
                <w:ilvl w:val="1"/>
                <w:numId w:val="27"/>
              </w:numPr>
              <w:tabs>
                <w:tab w:val="clear" w:pos="1440"/>
                <w:tab w:val="num" w:pos="316"/>
              </w:tabs>
              <w:autoSpaceDE w:val="0"/>
              <w:autoSpaceDN w:val="0"/>
              <w:adjustRightInd w:val="0"/>
              <w:ind w:hanging="1408"/>
              <w:jc w:val="both"/>
              <w:rPr>
                <w:rFonts w:cs="Arial"/>
                <w:szCs w:val="20"/>
              </w:rPr>
            </w:pPr>
            <w:r w:rsidRPr="005844FD">
              <w:rPr>
                <w:rFonts w:cs="Arial"/>
                <w:szCs w:val="20"/>
              </w:rPr>
              <w:t>Slovenia</w:t>
            </w:r>
          </w:p>
        </w:tc>
        <w:tc>
          <w:tcPr>
            <w:tcW w:w="3115" w:type="dxa"/>
            <w:shd w:val="clear" w:color="auto" w:fill="auto"/>
          </w:tcPr>
          <w:p w14:paraId="50F6CB2A" w14:textId="77777777" w:rsidR="00277C14" w:rsidRPr="00277C14" w:rsidRDefault="00277C14" w:rsidP="00C92E41">
            <w:pPr>
              <w:numPr>
                <w:ilvl w:val="1"/>
                <w:numId w:val="27"/>
              </w:numPr>
              <w:tabs>
                <w:tab w:val="clear" w:pos="1440"/>
              </w:tabs>
              <w:autoSpaceDE w:val="0"/>
              <w:autoSpaceDN w:val="0"/>
              <w:adjustRightInd w:val="0"/>
              <w:ind w:left="67" w:hanging="67"/>
              <w:jc w:val="both"/>
              <w:rPr>
                <w:rFonts w:cs="Arial"/>
                <w:szCs w:val="20"/>
              </w:rPr>
            </w:pPr>
            <w:r w:rsidRPr="00277C14">
              <w:rPr>
                <w:rFonts w:cs="Arial"/>
                <w:szCs w:val="20"/>
              </w:rPr>
              <w:t xml:space="preserve"> Slovak Republic</w:t>
            </w:r>
          </w:p>
        </w:tc>
      </w:tr>
      <w:tr w:rsidR="00277C14" w:rsidRPr="00277C14" w14:paraId="3243DFA4" w14:textId="77777777" w:rsidTr="00277C14">
        <w:trPr>
          <w:jc w:val="center"/>
        </w:trPr>
        <w:tc>
          <w:tcPr>
            <w:tcW w:w="3544" w:type="dxa"/>
            <w:shd w:val="clear" w:color="auto" w:fill="auto"/>
          </w:tcPr>
          <w:p w14:paraId="0443F7F4" w14:textId="33C0593B" w:rsidR="00277C14" w:rsidRPr="00277C14" w:rsidRDefault="00277C14" w:rsidP="005844FD">
            <w:pPr>
              <w:autoSpaceDE w:val="0"/>
              <w:autoSpaceDN w:val="0"/>
              <w:adjustRightInd w:val="0"/>
              <w:jc w:val="both"/>
              <w:rPr>
                <w:rFonts w:cs="Arial"/>
                <w:szCs w:val="20"/>
              </w:rPr>
            </w:pPr>
          </w:p>
        </w:tc>
        <w:tc>
          <w:tcPr>
            <w:tcW w:w="3115" w:type="dxa"/>
            <w:shd w:val="clear" w:color="auto" w:fill="auto"/>
          </w:tcPr>
          <w:p w14:paraId="3E8C0CAE" w14:textId="77777777" w:rsidR="00277C14" w:rsidRPr="00277C14" w:rsidRDefault="00277C14" w:rsidP="00C92E41">
            <w:pPr>
              <w:numPr>
                <w:ilvl w:val="1"/>
                <w:numId w:val="27"/>
              </w:numPr>
              <w:tabs>
                <w:tab w:val="clear" w:pos="1440"/>
              </w:tabs>
              <w:autoSpaceDE w:val="0"/>
              <w:autoSpaceDN w:val="0"/>
              <w:adjustRightInd w:val="0"/>
              <w:ind w:left="67" w:hanging="67"/>
              <w:jc w:val="both"/>
              <w:rPr>
                <w:rFonts w:cs="Arial"/>
                <w:szCs w:val="20"/>
              </w:rPr>
            </w:pPr>
            <w:r w:rsidRPr="00277C14">
              <w:rPr>
                <w:rFonts w:cs="Arial"/>
                <w:szCs w:val="20"/>
              </w:rPr>
              <w:t xml:space="preserve"> Ukraine</w:t>
            </w:r>
          </w:p>
          <w:p w14:paraId="1DCF3C2A" w14:textId="77777777" w:rsidR="00277C14" w:rsidRPr="00277C14" w:rsidRDefault="00277C14" w:rsidP="00277C14">
            <w:pPr>
              <w:autoSpaceDE w:val="0"/>
              <w:autoSpaceDN w:val="0"/>
              <w:adjustRightInd w:val="0"/>
              <w:ind w:left="67"/>
              <w:rPr>
                <w:rFonts w:cs="Arial"/>
                <w:szCs w:val="20"/>
              </w:rPr>
            </w:pPr>
          </w:p>
        </w:tc>
      </w:tr>
    </w:tbl>
    <w:p w14:paraId="70E75BE2" w14:textId="77777777" w:rsidR="00277C14" w:rsidRPr="00277C14" w:rsidRDefault="00277C14" w:rsidP="00C92E41">
      <w:pPr>
        <w:numPr>
          <w:ilvl w:val="0"/>
          <w:numId w:val="27"/>
        </w:numPr>
        <w:autoSpaceDE w:val="0"/>
        <w:autoSpaceDN w:val="0"/>
        <w:adjustRightInd w:val="0"/>
        <w:ind w:hanging="436"/>
        <w:jc w:val="both"/>
        <w:rPr>
          <w:rFonts w:cs="Arial"/>
          <w:szCs w:val="20"/>
        </w:rPr>
      </w:pPr>
      <w:r w:rsidRPr="00277C14">
        <w:rPr>
          <w:rFonts w:cs="Arial"/>
          <w:szCs w:val="20"/>
        </w:rPr>
        <w:t>Non-member States of the Council of Europe (Article 2.2e of the Statute):</w:t>
      </w:r>
    </w:p>
    <w:p w14:paraId="76BCEDFA" w14:textId="77777777" w:rsidR="00277C14" w:rsidRPr="00277C14" w:rsidRDefault="00277C14" w:rsidP="00277C14">
      <w:pPr>
        <w:autoSpaceDE w:val="0"/>
        <w:autoSpaceDN w:val="0"/>
        <w:adjustRightInd w:val="0"/>
        <w:ind w:left="720"/>
        <w:rPr>
          <w:rFonts w:cs="Arial"/>
          <w:szCs w:val="20"/>
        </w:rPr>
      </w:pPr>
    </w:p>
    <w:p w14:paraId="490279D8" w14:textId="24A9841B" w:rsidR="00277C14" w:rsidRPr="00277C14" w:rsidRDefault="00277C14" w:rsidP="00C92E41">
      <w:pPr>
        <w:numPr>
          <w:ilvl w:val="0"/>
          <w:numId w:val="35"/>
        </w:numPr>
        <w:autoSpaceDE w:val="0"/>
        <w:autoSpaceDN w:val="0"/>
        <w:adjustRightInd w:val="0"/>
        <w:ind w:left="1985"/>
        <w:jc w:val="both"/>
        <w:rPr>
          <w:rFonts w:cs="Arial"/>
          <w:szCs w:val="20"/>
        </w:rPr>
      </w:pPr>
      <w:r w:rsidRPr="00277C14">
        <w:rPr>
          <w:rFonts w:cs="Arial"/>
          <w:szCs w:val="20"/>
        </w:rPr>
        <w:t>Israel (a FATF member as of 2018</w:t>
      </w:r>
      <w:proofErr w:type="gramStart"/>
      <w:r w:rsidRPr="00277C14">
        <w:rPr>
          <w:rFonts w:cs="Arial"/>
          <w:szCs w:val="20"/>
        </w:rPr>
        <w:t>);</w:t>
      </w:r>
      <w:proofErr w:type="gramEnd"/>
    </w:p>
    <w:p w14:paraId="7F092E34" w14:textId="3CF48920" w:rsidR="00277C14" w:rsidRPr="00277C14" w:rsidRDefault="00277C14" w:rsidP="00C92E41">
      <w:pPr>
        <w:numPr>
          <w:ilvl w:val="0"/>
          <w:numId w:val="35"/>
        </w:numPr>
        <w:autoSpaceDE w:val="0"/>
        <w:autoSpaceDN w:val="0"/>
        <w:adjustRightInd w:val="0"/>
        <w:ind w:left="1985"/>
        <w:jc w:val="both"/>
        <w:rPr>
          <w:rFonts w:cs="Arial"/>
          <w:szCs w:val="20"/>
        </w:rPr>
      </w:pPr>
      <w:r w:rsidRPr="00277C14">
        <w:rPr>
          <w:rFonts w:cs="Arial"/>
          <w:szCs w:val="20"/>
        </w:rPr>
        <w:t xml:space="preserve">The Holy See/Vatican City State by virtue of Resolution </w:t>
      </w:r>
      <w:bookmarkStart w:id="83" w:name="_ML_000000000001_VALID"/>
      <w:r w:rsidR="00472E64" w:rsidRPr="00472E64">
        <w:rPr>
          <w:rFonts w:cs="Arial"/>
          <w:szCs w:val="20"/>
        </w:rPr>
        <w:fldChar w:fldCharType="begin"/>
      </w:r>
      <w:r w:rsidR="00472E64" w:rsidRPr="00472E64">
        <w:rPr>
          <w:rFonts w:cs="Arial"/>
          <w:szCs w:val="20"/>
        </w:rPr>
        <w:instrText xml:space="preserve"> HYPERLINK "https://search.coe.int/cm/Pages/result_details.aspx?Reference=CM/Res(2011)5" \o "Resolution on the participation of the Holy See (including the Vatican City State) in the mutual evaluation processes and procedures of the Committee of Experts on the Evaluation of Anti-Money Laundering Measures and the Financing of Terrorism (MONEYVAL) (Adopted by the Committee of Ministers on 6 April 2011 at the 1111th meeting of the Ministers' Deputies)" </w:instrText>
      </w:r>
      <w:r w:rsidR="00472E64" w:rsidRPr="00472E64">
        <w:rPr>
          <w:rFonts w:cs="Arial"/>
          <w:szCs w:val="20"/>
        </w:rPr>
        <w:fldChar w:fldCharType="separate"/>
      </w:r>
      <w:bookmarkEnd w:id="83"/>
      <w:r w:rsidR="00472E64" w:rsidRPr="00472E64">
        <w:rPr>
          <w:rStyle w:val="Hyperlink"/>
          <w:rFonts w:cs="Arial"/>
          <w:szCs w:val="20"/>
        </w:rPr>
        <w:t>CM/Res(2011)5</w:t>
      </w:r>
      <w:r w:rsidR="00472E64" w:rsidRPr="00472E64">
        <w:rPr>
          <w:rFonts w:cs="Arial"/>
          <w:szCs w:val="20"/>
        </w:rPr>
        <w:fldChar w:fldCharType="end"/>
      </w:r>
      <w:r w:rsidRPr="00277C14">
        <w:rPr>
          <w:rFonts w:cs="Arial"/>
          <w:szCs w:val="20"/>
        </w:rPr>
        <w:t>;</w:t>
      </w:r>
    </w:p>
    <w:p w14:paraId="1E3E7FD2" w14:textId="4C936CDB" w:rsidR="00277C14" w:rsidRPr="00277C14" w:rsidRDefault="00277C14" w:rsidP="00C92E41">
      <w:pPr>
        <w:numPr>
          <w:ilvl w:val="0"/>
          <w:numId w:val="35"/>
        </w:numPr>
        <w:autoSpaceDE w:val="0"/>
        <w:autoSpaceDN w:val="0"/>
        <w:adjustRightInd w:val="0"/>
        <w:ind w:left="1985"/>
        <w:jc w:val="both"/>
        <w:rPr>
          <w:rFonts w:cs="Arial"/>
          <w:szCs w:val="20"/>
        </w:rPr>
      </w:pPr>
      <w:r w:rsidRPr="00277C14">
        <w:rPr>
          <w:rFonts w:cs="Arial"/>
          <w:szCs w:val="20"/>
        </w:rPr>
        <w:t xml:space="preserve">The UK Crown Dependencies of Guernsey, Jersey and the Isle of Man by virtue of Resolution </w:t>
      </w:r>
      <w:bookmarkStart w:id="84" w:name="_ML_000000000002_VALID"/>
      <w:r w:rsidR="00472E64" w:rsidRPr="00472E64">
        <w:rPr>
          <w:rFonts w:cs="Arial"/>
          <w:szCs w:val="20"/>
        </w:rPr>
        <w:fldChar w:fldCharType="begin"/>
      </w:r>
      <w:r w:rsidR="00472E64" w:rsidRPr="00472E64">
        <w:rPr>
          <w:rFonts w:cs="Arial"/>
          <w:szCs w:val="20"/>
        </w:rPr>
        <w:instrText xml:space="preserve"> HYPERLINK "https://search.coe.int/cm/Pages/result_details.aspx?Reference=CM/Res(2012)6" \o "Resolution on the participation of the Crown Dependencies of Guernsey, Jersey and the Isle of Man in the mutual evaluation processes and procedures of the Committee of Experts on the Evaluation of Anti Money Laundering Measures and the Financing of Terrorism (MONEYVAL) (Adopted by the Committee of Ministers on 10 October 2012 at the 1152nd meeting of the Ministers' Deputies)" </w:instrText>
      </w:r>
      <w:r w:rsidR="00472E64" w:rsidRPr="00472E64">
        <w:rPr>
          <w:rFonts w:cs="Arial"/>
          <w:szCs w:val="20"/>
        </w:rPr>
        <w:fldChar w:fldCharType="separate"/>
      </w:r>
      <w:bookmarkEnd w:id="84"/>
      <w:r w:rsidR="00472E64" w:rsidRPr="00472E64">
        <w:rPr>
          <w:rStyle w:val="Hyperlink"/>
          <w:rFonts w:cs="Arial"/>
          <w:szCs w:val="20"/>
        </w:rPr>
        <w:t>CM/Res(2012)6</w:t>
      </w:r>
      <w:r w:rsidR="00472E64" w:rsidRPr="00472E64">
        <w:rPr>
          <w:rFonts w:cs="Arial"/>
          <w:szCs w:val="20"/>
        </w:rPr>
        <w:fldChar w:fldCharType="end"/>
      </w:r>
      <w:r w:rsidRPr="00277C14">
        <w:rPr>
          <w:rFonts w:cs="Arial"/>
          <w:szCs w:val="20"/>
        </w:rPr>
        <w:t>;</w:t>
      </w:r>
    </w:p>
    <w:p w14:paraId="5EBA69BD" w14:textId="2EEDF5F8" w:rsidR="00277C14" w:rsidRPr="00277C14" w:rsidRDefault="00277C14" w:rsidP="00C92E41">
      <w:pPr>
        <w:numPr>
          <w:ilvl w:val="0"/>
          <w:numId w:val="35"/>
        </w:numPr>
        <w:autoSpaceDE w:val="0"/>
        <w:autoSpaceDN w:val="0"/>
        <w:adjustRightInd w:val="0"/>
        <w:ind w:left="1985"/>
        <w:jc w:val="both"/>
        <w:rPr>
          <w:rFonts w:cs="Arial"/>
          <w:szCs w:val="20"/>
        </w:rPr>
      </w:pPr>
      <w:r w:rsidRPr="00277C14">
        <w:rPr>
          <w:rFonts w:cs="Arial"/>
          <w:szCs w:val="20"/>
        </w:rPr>
        <w:t xml:space="preserve">The UK Overseas Territory of Gibraltar by virtue of Resolution </w:t>
      </w:r>
      <w:bookmarkStart w:id="85" w:name="_ML_000000000003_VALID"/>
      <w:r w:rsidR="00472E64" w:rsidRPr="00472E64">
        <w:rPr>
          <w:rFonts w:cs="Arial"/>
          <w:szCs w:val="20"/>
        </w:rPr>
        <w:fldChar w:fldCharType="begin"/>
      </w:r>
      <w:r w:rsidR="00472E64" w:rsidRPr="00472E64">
        <w:rPr>
          <w:rFonts w:cs="Arial"/>
          <w:szCs w:val="20"/>
        </w:rPr>
        <w:instrText xml:space="preserve"> HYPERLINK "https://search.coe.int/cm/Pages/result_details.aspx?Reference=CM/Res(2015)26" \o "Resolution on the evaluation of the British Overseas Territory of Gibraltar by the Committee of Experts on the Evaluation of Anti-Money Laundering Measures and the Financing of Terrorism (MONEYVAL) (Adopted by the Committee of Ministers on 14 October 2015 at the 1238th meeting of the Ministers' Deputies)" </w:instrText>
      </w:r>
      <w:r w:rsidR="00472E64" w:rsidRPr="00472E64">
        <w:rPr>
          <w:rFonts w:cs="Arial"/>
          <w:szCs w:val="20"/>
        </w:rPr>
        <w:fldChar w:fldCharType="separate"/>
      </w:r>
      <w:bookmarkEnd w:id="85"/>
      <w:r w:rsidR="00472E64" w:rsidRPr="00472E64">
        <w:rPr>
          <w:rStyle w:val="Hyperlink"/>
          <w:rFonts w:cs="Arial"/>
          <w:szCs w:val="20"/>
        </w:rPr>
        <w:t>CM/Res(2015)26</w:t>
      </w:r>
      <w:r w:rsidR="00472E64" w:rsidRPr="00472E64">
        <w:rPr>
          <w:rFonts w:cs="Arial"/>
          <w:szCs w:val="20"/>
        </w:rPr>
        <w:fldChar w:fldCharType="end"/>
      </w:r>
      <w:r w:rsidRPr="00277C14">
        <w:rPr>
          <w:rFonts w:cs="Arial"/>
          <w:szCs w:val="20"/>
        </w:rPr>
        <w:t>.</w:t>
      </w:r>
    </w:p>
    <w:p w14:paraId="30775852" w14:textId="77777777" w:rsidR="00277C14" w:rsidRPr="00277C14" w:rsidRDefault="00277C14" w:rsidP="00277C14">
      <w:pPr>
        <w:autoSpaceDE w:val="0"/>
        <w:autoSpaceDN w:val="0"/>
        <w:adjustRightInd w:val="0"/>
        <w:rPr>
          <w:rFonts w:cs="Arial"/>
          <w:szCs w:val="20"/>
        </w:rPr>
      </w:pPr>
    </w:p>
    <w:p w14:paraId="6D840167" w14:textId="1C4B4C97" w:rsidR="00277C14" w:rsidRPr="00277C14" w:rsidRDefault="00277C14" w:rsidP="00277C14">
      <w:pPr>
        <w:autoSpaceDE w:val="0"/>
        <w:autoSpaceDN w:val="0"/>
        <w:adjustRightInd w:val="0"/>
        <w:rPr>
          <w:rFonts w:cs="Arial"/>
          <w:szCs w:val="20"/>
          <w:lang w:val="en-US"/>
        </w:rPr>
      </w:pPr>
      <w:r w:rsidRPr="00277C14">
        <w:rPr>
          <w:rFonts w:cs="Arial"/>
          <w:szCs w:val="20"/>
          <w:lang w:val="en-US"/>
        </w:rPr>
        <w:t xml:space="preserve">According to Article 3, paragraph 3 of MONEYVAL’s </w:t>
      </w:r>
      <w:r w:rsidR="00D44387">
        <w:rPr>
          <w:rFonts w:cs="Arial"/>
          <w:szCs w:val="20"/>
          <w:lang w:val="en-US"/>
        </w:rPr>
        <w:t>S</w:t>
      </w:r>
      <w:r w:rsidRPr="00277C14">
        <w:rPr>
          <w:rFonts w:cs="Arial"/>
          <w:szCs w:val="20"/>
          <w:lang w:val="en-US"/>
        </w:rPr>
        <w:t>tatute, the presidency of the FATF shall appoint to the meetings of MONEYVAL two members of the FATF, for a renewable term of office of two years. By letter of the FATF President, the current nominated FATF members are Italy and Germany.</w:t>
      </w:r>
    </w:p>
    <w:p w14:paraId="7C36AE6C" w14:textId="77777777" w:rsidR="00277C14" w:rsidRPr="00277C14" w:rsidRDefault="00277C14" w:rsidP="00277C14">
      <w:pPr>
        <w:autoSpaceDE w:val="0"/>
        <w:autoSpaceDN w:val="0"/>
        <w:adjustRightInd w:val="0"/>
        <w:rPr>
          <w:rFonts w:cs="Arial"/>
          <w:szCs w:val="20"/>
          <w:lang w:val="en-US"/>
        </w:rPr>
      </w:pPr>
    </w:p>
    <w:p w14:paraId="58CE558D" w14:textId="77777777" w:rsidR="00277C14" w:rsidRPr="00277C14" w:rsidRDefault="00277C14" w:rsidP="00277C14">
      <w:pPr>
        <w:autoSpaceDE w:val="0"/>
        <w:autoSpaceDN w:val="0"/>
        <w:adjustRightInd w:val="0"/>
        <w:rPr>
          <w:rFonts w:cs="Arial"/>
          <w:szCs w:val="20"/>
          <w:lang w:val="en-US"/>
        </w:rPr>
      </w:pPr>
      <w:r w:rsidRPr="00277C14">
        <w:rPr>
          <w:rFonts w:cs="Arial"/>
          <w:szCs w:val="20"/>
          <w:lang w:val="en-US"/>
        </w:rPr>
        <w:t xml:space="preserve">In addition, the following countries, bodies, </w:t>
      </w:r>
      <w:proofErr w:type="spellStart"/>
      <w:proofErr w:type="gramStart"/>
      <w:r w:rsidRPr="00277C14">
        <w:rPr>
          <w:rFonts w:cs="Arial"/>
          <w:szCs w:val="20"/>
          <w:lang w:val="en-US"/>
        </w:rPr>
        <w:t>organisations</w:t>
      </w:r>
      <w:proofErr w:type="spellEnd"/>
      <w:proofErr w:type="gramEnd"/>
      <w:r w:rsidRPr="00277C14">
        <w:rPr>
          <w:rFonts w:cs="Arial"/>
          <w:szCs w:val="20"/>
          <w:lang w:val="en-US"/>
        </w:rPr>
        <w:t xml:space="preserve"> and institutions have observer status with MONEYVAL and are entitled to send a representative to MONEYVAL meetings: </w:t>
      </w:r>
    </w:p>
    <w:p w14:paraId="7EB4E6D9" w14:textId="77777777" w:rsidR="00277C14" w:rsidRPr="00277C14" w:rsidRDefault="00277C14" w:rsidP="003654E4">
      <w:pPr>
        <w:autoSpaceDE w:val="0"/>
        <w:autoSpaceDN w:val="0"/>
        <w:adjustRightInd w:val="0"/>
        <w:rPr>
          <w:rFonts w:cs="Arial"/>
          <w:szCs w:val="20"/>
          <w:lang w:val="en-US"/>
        </w:rPr>
      </w:pPr>
    </w:p>
    <w:p w14:paraId="7D0910DC" w14:textId="77777777" w:rsidR="00277C14" w:rsidRPr="00277C14" w:rsidRDefault="00277C14" w:rsidP="003654E4">
      <w:pPr>
        <w:numPr>
          <w:ilvl w:val="0"/>
          <w:numId w:val="29"/>
        </w:numPr>
        <w:autoSpaceDE w:val="0"/>
        <w:autoSpaceDN w:val="0"/>
        <w:adjustRightInd w:val="0"/>
        <w:ind w:left="709" w:hanging="709"/>
        <w:rPr>
          <w:rFonts w:cs="Arial"/>
          <w:szCs w:val="20"/>
        </w:rPr>
      </w:pPr>
      <w:r w:rsidRPr="00277C14">
        <w:rPr>
          <w:rFonts w:cs="Arial"/>
          <w:szCs w:val="20"/>
        </w:rPr>
        <w:t>the Parliamentary Assembly of the Council of Europe (PACE</w:t>
      </w:r>
      <w:proofErr w:type="gramStart"/>
      <w:r w:rsidRPr="00277C14">
        <w:rPr>
          <w:rFonts w:cs="Arial"/>
          <w:szCs w:val="20"/>
        </w:rPr>
        <w:t>);</w:t>
      </w:r>
      <w:proofErr w:type="gramEnd"/>
    </w:p>
    <w:p w14:paraId="5FD8B5D7" w14:textId="77777777" w:rsidR="00277C14" w:rsidRPr="00277C14" w:rsidRDefault="00277C14" w:rsidP="003654E4">
      <w:pPr>
        <w:numPr>
          <w:ilvl w:val="0"/>
          <w:numId w:val="29"/>
        </w:numPr>
        <w:autoSpaceDE w:val="0"/>
        <w:autoSpaceDN w:val="0"/>
        <w:adjustRightInd w:val="0"/>
        <w:ind w:left="709" w:hanging="709"/>
        <w:rPr>
          <w:rFonts w:cs="Arial"/>
          <w:szCs w:val="20"/>
        </w:rPr>
      </w:pPr>
      <w:r w:rsidRPr="00277C14">
        <w:rPr>
          <w:rFonts w:cs="Arial"/>
          <w:szCs w:val="20"/>
        </w:rPr>
        <w:t>the Council of Europe Development Bank (CEB</w:t>
      </w:r>
      <w:proofErr w:type="gramStart"/>
      <w:r w:rsidRPr="00277C14">
        <w:rPr>
          <w:rFonts w:cs="Arial"/>
          <w:szCs w:val="20"/>
        </w:rPr>
        <w:t>);</w:t>
      </w:r>
      <w:proofErr w:type="gramEnd"/>
    </w:p>
    <w:p w14:paraId="17C4E4EE" w14:textId="77777777" w:rsidR="00277C14" w:rsidRPr="00277C14" w:rsidRDefault="00277C14" w:rsidP="003654E4">
      <w:pPr>
        <w:numPr>
          <w:ilvl w:val="0"/>
          <w:numId w:val="29"/>
        </w:numPr>
        <w:autoSpaceDE w:val="0"/>
        <w:autoSpaceDN w:val="0"/>
        <w:adjustRightInd w:val="0"/>
        <w:ind w:left="709" w:hanging="709"/>
        <w:rPr>
          <w:rFonts w:cs="Arial"/>
          <w:szCs w:val="20"/>
        </w:rPr>
      </w:pPr>
      <w:r w:rsidRPr="00277C14">
        <w:rPr>
          <w:rFonts w:cs="Arial"/>
          <w:szCs w:val="20"/>
        </w:rPr>
        <w:t>the European Committee on Crime Problems (CDPC</w:t>
      </w:r>
      <w:proofErr w:type="gramStart"/>
      <w:r w:rsidRPr="00277C14">
        <w:rPr>
          <w:rFonts w:cs="Arial"/>
          <w:szCs w:val="20"/>
        </w:rPr>
        <w:t>);</w:t>
      </w:r>
      <w:proofErr w:type="gramEnd"/>
    </w:p>
    <w:p w14:paraId="778F408B" w14:textId="77777777" w:rsidR="00277C14" w:rsidRPr="00277C14" w:rsidRDefault="00277C14" w:rsidP="003654E4">
      <w:pPr>
        <w:numPr>
          <w:ilvl w:val="0"/>
          <w:numId w:val="29"/>
        </w:numPr>
        <w:autoSpaceDE w:val="0"/>
        <w:autoSpaceDN w:val="0"/>
        <w:adjustRightInd w:val="0"/>
        <w:ind w:left="709" w:hanging="709"/>
        <w:rPr>
          <w:rFonts w:cs="Arial"/>
          <w:szCs w:val="20"/>
        </w:rPr>
      </w:pPr>
      <w:r w:rsidRPr="00277C14">
        <w:rPr>
          <w:rFonts w:cs="Arial"/>
          <w:szCs w:val="20"/>
        </w:rPr>
        <w:t>the Conference of the Parties of the Convention on Laundering, Search, Seizure and Confiscation of the Proceeds from Crime and on the Financing of Terrorism (COP</w:t>
      </w:r>
      <w:proofErr w:type="gramStart"/>
      <w:r w:rsidRPr="00277C14">
        <w:rPr>
          <w:rFonts w:cs="Arial"/>
          <w:szCs w:val="20"/>
        </w:rPr>
        <w:t>);</w:t>
      </w:r>
      <w:proofErr w:type="gramEnd"/>
    </w:p>
    <w:p w14:paraId="4DAC1CA4" w14:textId="77777777" w:rsidR="00277C14" w:rsidRPr="00277C14" w:rsidRDefault="00277C14" w:rsidP="003654E4">
      <w:pPr>
        <w:numPr>
          <w:ilvl w:val="0"/>
          <w:numId w:val="29"/>
        </w:numPr>
        <w:autoSpaceDE w:val="0"/>
        <w:autoSpaceDN w:val="0"/>
        <w:adjustRightInd w:val="0"/>
        <w:ind w:left="709" w:hanging="709"/>
        <w:rPr>
          <w:rFonts w:cs="Arial"/>
          <w:szCs w:val="20"/>
        </w:rPr>
      </w:pPr>
      <w:r w:rsidRPr="00277C14">
        <w:rPr>
          <w:rFonts w:cs="Arial"/>
          <w:szCs w:val="20"/>
        </w:rPr>
        <w:t xml:space="preserve">the European Commission and the Secretariat General of the Council of the European </w:t>
      </w:r>
      <w:proofErr w:type="gramStart"/>
      <w:r w:rsidRPr="00277C14">
        <w:rPr>
          <w:rFonts w:cs="Arial"/>
          <w:szCs w:val="20"/>
        </w:rPr>
        <w:t>Union;</w:t>
      </w:r>
      <w:proofErr w:type="gramEnd"/>
    </w:p>
    <w:p w14:paraId="5ED39B10" w14:textId="77777777" w:rsidR="00277C14" w:rsidRPr="00277C14" w:rsidRDefault="00277C14" w:rsidP="003654E4">
      <w:pPr>
        <w:numPr>
          <w:ilvl w:val="0"/>
          <w:numId w:val="29"/>
        </w:numPr>
        <w:autoSpaceDE w:val="0"/>
        <w:autoSpaceDN w:val="0"/>
        <w:adjustRightInd w:val="0"/>
        <w:ind w:left="709" w:hanging="709"/>
        <w:rPr>
          <w:rFonts w:cs="Arial"/>
          <w:szCs w:val="20"/>
        </w:rPr>
      </w:pPr>
      <w:r w:rsidRPr="00277C14">
        <w:rPr>
          <w:rFonts w:cs="Arial"/>
          <w:szCs w:val="20"/>
        </w:rPr>
        <w:t>States with observer status of the Council of Europe (Canada, Japan, Mexico and the United States of America</w:t>
      </w:r>
      <w:proofErr w:type="gramStart"/>
      <w:r w:rsidRPr="00277C14">
        <w:rPr>
          <w:rFonts w:cs="Arial"/>
          <w:szCs w:val="20"/>
        </w:rPr>
        <w:t>);</w:t>
      </w:r>
      <w:proofErr w:type="gramEnd"/>
    </w:p>
    <w:p w14:paraId="76F0ACB2" w14:textId="77777777" w:rsidR="00277C14" w:rsidRPr="00277C14" w:rsidRDefault="00277C14" w:rsidP="003654E4">
      <w:pPr>
        <w:numPr>
          <w:ilvl w:val="0"/>
          <w:numId w:val="29"/>
        </w:numPr>
        <w:autoSpaceDE w:val="0"/>
        <w:autoSpaceDN w:val="0"/>
        <w:adjustRightInd w:val="0"/>
        <w:ind w:left="709" w:hanging="709"/>
        <w:rPr>
          <w:rFonts w:cs="Arial"/>
          <w:szCs w:val="20"/>
        </w:rPr>
      </w:pPr>
      <w:r w:rsidRPr="00277C14">
        <w:rPr>
          <w:rFonts w:cs="Arial"/>
          <w:szCs w:val="20"/>
        </w:rPr>
        <w:t>the Secretariat of the Financial Action Task Force (FATF</w:t>
      </w:r>
      <w:proofErr w:type="gramStart"/>
      <w:r w:rsidRPr="00277C14">
        <w:rPr>
          <w:rFonts w:cs="Arial"/>
          <w:szCs w:val="20"/>
        </w:rPr>
        <w:t>);</w:t>
      </w:r>
      <w:proofErr w:type="gramEnd"/>
    </w:p>
    <w:p w14:paraId="0A1E1A7C" w14:textId="67388A91" w:rsidR="00277C14" w:rsidRDefault="00277C14" w:rsidP="003654E4">
      <w:pPr>
        <w:numPr>
          <w:ilvl w:val="0"/>
          <w:numId w:val="29"/>
        </w:numPr>
        <w:autoSpaceDE w:val="0"/>
        <w:autoSpaceDN w:val="0"/>
        <w:adjustRightInd w:val="0"/>
        <w:ind w:left="709" w:hanging="709"/>
        <w:rPr>
          <w:rFonts w:cs="Arial"/>
          <w:szCs w:val="20"/>
        </w:rPr>
      </w:pPr>
      <w:proofErr w:type="gramStart"/>
      <w:r w:rsidRPr="00277C14">
        <w:rPr>
          <w:rFonts w:cs="Arial"/>
          <w:szCs w:val="20"/>
        </w:rPr>
        <w:t>Interpol</w:t>
      </w:r>
      <w:bookmarkStart w:id="86" w:name="MONEYVAL_map"/>
      <w:bookmarkEnd w:id="86"/>
      <w:r w:rsidRPr="00277C14">
        <w:rPr>
          <w:rFonts w:cs="Arial"/>
          <w:szCs w:val="20"/>
        </w:rPr>
        <w:t>;</w:t>
      </w:r>
      <w:proofErr w:type="gramEnd"/>
    </w:p>
    <w:p w14:paraId="7F28DD8D" w14:textId="3D391F93" w:rsidR="003D0BC2" w:rsidRPr="00277C14" w:rsidRDefault="003D0BC2" w:rsidP="003654E4">
      <w:pPr>
        <w:numPr>
          <w:ilvl w:val="0"/>
          <w:numId w:val="29"/>
        </w:numPr>
        <w:autoSpaceDE w:val="0"/>
        <w:autoSpaceDN w:val="0"/>
        <w:adjustRightInd w:val="0"/>
        <w:ind w:left="709" w:hanging="709"/>
        <w:rPr>
          <w:rFonts w:cs="Arial"/>
          <w:szCs w:val="20"/>
        </w:rPr>
      </w:pPr>
      <w:r>
        <w:rPr>
          <w:rFonts w:cs="Arial"/>
          <w:szCs w:val="20"/>
        </w:rPr>
        <w:t xml:space="preserve">the Islamic Development </w:t>
      </w:r>
      <w:proofErr w:type="gramStart"/>
      <w:r>
        <w:rPr>
          <w:rFonts w:cs="Arial"/>
          <w:szCs w:val="20"/>
        </w:rPr>
        <w:t>Bank;</w:t>
      </w:r>
      <w:proofErr w:type="gramEnd"/>
    </w:p>
    <w:p w14:paraId="3FEAB73A" w14:textId="77777777" w:rsidR="00277C14" w:rsidRPr="00277C14" w:rsidRDefault="00277C14" w:rsidP="005745B6">
      <w:pPr>
        <w:numPr>
          <w:ilvl w:val="0"/>
          <w:numId w:val="29"/>
        </w:numPr>
        <w:autoSpaceDE w:val="0"/>
        <w:autoSpaceDN w:val="0"/>
        <w:adjustRightInd w:val="0"/>
        <w:ind w:left="709" w:hanging="709"/>
        <w:jc w:val="both"/>
        <w:rPr>
          <w:rFonts w:cs="Arial"/>
          <w:szCs w:val="20"/>
        </w:rPr>
      </w:pPr>
      <w:r w:rsidRPr="00277C14">
        <w:rPr>
          <w:rFonts w:cs="Arial"/>
          <w:szCs w:val="20"/>
        </w:rPr>
        <w:t>the International Monetary Fund (IMF</w:t>
      </w:r>
      <w:proofErr w:type="gramStart"/>
      <w:r w:rsidRPr="00277C14">
        <w:rPr>
          <w:rFonts w:cs="Arial"/>
          <w:szCs w:val="20"/>
        </w:rPr>
        <w:t>);</w:t>
      </w:r>
      <w:proofErr w:type="gramEnd"/>
    </w:p>
    <w:p w14:paraId="2A83FE0B" w14:textId="77777777" w:rsidR="00277C14" w:rsidRPr="00277C14" w:rsidRDefault="00277C14" w:rsidP="005745B6">
      <w:pPr>
        <w:numPr>
          <w:ilvl w:val="0"/>
          <w:numId w:val="29"/>
        </w:numPr>
        <w:autoSpaceDE w:val="0"/>
        <w:autoSpaceDN w:val="0"/>
        <w:adjustRightInd w:val="0"/>
        <w:ind w:left="709" w:hanging="709"/>
        <w:jc w:val="both"/>
        <w:rPr>
          <w:rFonts w:cs="Arial"/>
          <w:szCs w:val="20"/>
        </w:rPr>
      </w:pPr>
      <w:r w:rsidRPr="00277C14">
        <w:rPr>
          <w:rFonts w:cs="Arial"/>
          <w:szCs w:val="20"/>
        </w:rPr>
        <w:t>the United Nations Office on Drugs and Crimes (UNODC</w:t>
      </w:r>
      <w:proofErr w:type="gramStart"/>
      <w:r w:rsidRPr="00277C14">
        <w:rPr>
          <w:rFonts w:cs="Arial"/>
          <w:szCs w:val="20"/>
        </w:rPr>
        <w:t>);</w:t>
      </w:r>
      <w:proofErr w:type="gramEnd"/>
    </w:p>
    <w:p w14:paraId="24B5BAE6" w14:textId="77777777" w:rsidR="00277C14" w:rsidRPr="00277C14" w:rsidRDefault="00277C14" w:rsidP="005745B6">
      <w:pPr>
        <w:numPr>
          <w:ilvl w:val="0"/>
          <w:numId w:val="29"/>
        </w:numPr>
        <w:autoSpaceDE w:val="0"/>
        <w:autoSpaceDN w:val="0"/>
        <w:adjustRightInd w:val="0"/>
        <w:ind w:left="709" w:hanging="709"/>
        <w:jc w:val="both"/>
        <w:rPr>
          <w:rFonts w:cs="Arial"/>
          <w:szCs w:val="20"/>
        </w:rPr>
      </w:pPr>
      <w:r w:rsidRPr="00277C14">
        <w:rPr>
          <w:rFonts w:cs="Arial"/>
          <w:szCs w:val="20"/>
        </w:rPr>
        <w:t>the United Nations Counter-Terrorism Committee (CTC</w:t>
      </w:r>
      <w:proofErr w:type="gramStart"/>
      <w:r w:rsidRPr="00277C14">
        <w:rPr>
          <w:rFonts w:cs="Arial"/>
          <w:szCs w:val="20"/>
        </w:rPr>
        <w:t>);</w:t>
      </w:r>
      <w:proofErr w:type="gramEnd"/>
    </w:p>
    <w:p w14:paraId="6ACFC74B" w14:textId="77777777" w:rsidR="00277C14" w:rsidRPr="00277C14" w:rsidRDefault="00277C14" w:rsidP="005745B6">
      <w:pPr>
        <w:numPr>
          <w:ilvl w:val="0"/>
          <w:numId w:val="29"/>
        </w:numPr>
        <w:autoSpaceDE w:val="0"/>
        <w:autoSpaceDN w:val="0"/>
        <w:adjustRightInd w:val="0"/>
        <w:ind w:left="709" w:hanging="709"/>
        <w:jc w:val="both"/>
        <w:rPr>
          <w:rFonts w:cs="Arial"/>
          <w:szCs w:val="20"/>
        </w:rPr>
      </w:pPr>
      <w:r w:rsidRPr="00277C14">
        <w:rPr>
          <w:rFonts w:cs="Arial"/>
          <w:szCs w:val="20"/>
        </w:rPr>
        <w:t xml:space="preserve">the World </w:t>
      </w:r>
      <w:proofErr w:type="gramStart"/>
      <w:r w:rsidRPr="00277C14">
        <w:rPr>
          <w:rFonts w:cs="Arial"/>
          <w:szCs w:val="20"/>
        </w:rPr>
        <w:t>Bank;</w:t>
      </w:r>
      <w:proofErr w:type="gramEnd"/>
    </w:p>
    <w:p w14:paraId="401D7BDC" w14:textId="77777777" w:rsidR="00277C14" w:rsidRPr="00277C14" w:rsidRDefault="00277C14" w:rsidP="005745B6">
      <w:pPr>
        <w:numPr>
          <w:ilvl w:val="0"/>
          <w:numId w:val="29"/>
        </w:numPr>
        <w:autoSpaceDE w:val="0"/>
        <w:autoSpaceDN w:val="0"/>
        <w:adjustRightInd w:val="0"/>
        <w:ind w:left="709" w:hanging="709"/>
        <w:jc w:val="both"/>
        <w:rPr>
          <w:rFonts w:cs="Arial"/>
          <w:szCs w:val="20"/>
        </w:rPr>
      </w:pPr>
      <w:r w:rsidRPr="00277C14">
        <w:rPr>
          <w:rFonts w:cs="Arial"/>
          <w:szCs w:val="20"/>
        </w:rPr>
        <w:t xml:space="preserve">the Commonwealth </w:t>
      </w:r>
      <w:proofErr w:type="gramStart"/>
      <w:r w:rsidRPr="00277C14">
        <w:rPr>
          <w:rFonts w:cs="Arial"/>
          <w:szCs w:val="20"/>
        </w:rPr>
        <w:t>Secretariat;</w:t>
      </w:r>
      <w:proofErr w:type="gramEnd"/>
    </w:p>
    <w:p w14:paraId="46258B40" w14:textId="77777777" w:rsidR="00277C14" w:rsidRPr="00277C14" w:rsidRDefault="00277C14" w:rsidP="005745B6">
      <w:pPr>
        <w:numPr>
          <w:ilvl w:val="0"/>
          <w:numId w:val="29"/>
        </w:numPr>
        <w:autoSpaceDE w:val="0"/>
        <w:autoSpaceDN w:val="0"/>
        <w:adjustRightInd w:val="0"/>
        <w:ind w:left="709" w:hanging="709"/>
        <w:jc w:val="both"/>
        <w:rPr>
          <w:rFonts w:cs="Arial"/>
          <w:szCs w:val="20"/>
        </w:rPr>
      </w:pPr>
      <w:r w:rsidRPr="00277C14">
        <w:rPr>
          <w:rFonts w:cs="Arial"/>
          <w:szCs w:val="20"/>
        </w:rPr>
        <w:t>the European Bank of Reconstruction and Development (EBRD</w:t>
      </w:r>
      <w:proofErr w:type="gramStart"/>
      <w:r w:rsidRPr="00277C14">
        <w:rPr>
          <w:rFonts w:cs="Arial"/>
          <w:szCs w:val="20"/>
        </w:rPr>
        <w:t>);</w:t>
      </w:r>
      <w:proofErr w:type="gramEnd"/>
    </w:p>
    <w:p w14:paraId="295BF868" w14:textId="77777777" w:rsidR="00277C14" w:rsidRPr="00277C14" w:rsidRDefault="00277C14" w:rsidP="005745B6">
      <w:pPr>
        <w:numPr>
          <w:ilvl w:val="0"/>
          <w:numId w:val="29"/>
        </w:numPr>
        <w:autoSpaceDE w:val="0"/>
        <w:autoSpaceDN w:val="0"/>
        <w:adjustRightInd w:val="0"/>
        <w:ind w:left="709" w:hanging="709"/>
        <w:jc w:val="both"/>
        <w:rPr>
          <w:rFonts w:cs="Arial"/>
          <w:szCs w:val="20"/>
        </w:rPr>
      </w:pPr>
      <w:r w:rsidRPr="00277C14">
        <w:rPr>
          <w:rFonts w:eastAsia="Times New Roman" w:cs="Arial"/>
          <w:szCs w:val="20"/>
          <w:lang w:val="en-US" w:eastAsia="en-GB"/>
        </w:rPr>
        <w:t>Group of International Finance Centre Supervisors (GIFICS</w:t>
      </w:r>
      <w:proofErr w:type="gramStart"/>
      <w:r w:rsidRPr="00277C14">
        <w:rPr>
          <w:rFonts w:eastAsia="Times New Roman" w:cs="Arial"/>
          <w:szCs w:val="20"/>
          <w:lang w:val="en-US" w:eastAsia="en-GB"/>
        </w:rPr>
        <w:t>);</w:t>
      </w:r>
      <w:proofErr w:type="gramEnd"/>
    </w:p>
    <w:p w14:paraId="485585AC" w14:textId="77777777" w:rsidR="00277C14" w:rsidRPr="00277C14" w:rsidRDefault="00277C14" w:rsidP="005745B6">
      <w:pPr>
        <w:numPr>
          <w:ilvl w:val="0"/>
          <w:numId w:val="29"/>
        </w:numPr>
        <w:autoSpaceDE w:val="0"/>
        <w:autoSpaceDN w:val="0"/>
        <w:adjustRightInd w:val="0"/>
        <w:ind w:left="709" w:hanging="709"/>
        <w:jc w:val="both"/>
        <w:rPr>
          <w:rFonts w:cs="Arial"/>
          <w:szCs w:val="20"/>
        </w:rPr>
      </w:pPr>
      <w:r w:rsidRPr="00277C14">
        <w:rPr>
          <w:rFonts w:eastAsia="Times New Roman" w:cs="Arial"/>
          <w:szCs w:val="20"/>
          <w:lang w:eastAsia="en-GB"/>
        </w:rPr>
        <w:t xml:space="preserve">the </w:t>
      </w:r>
      <w:proofErr w:type="spellStart"/>
      <w:r w:rsidRPr="00277C14">
        <w:rPr>
          <w:rFonts w:eastAsia="Times New Roman" w:cs="Arial"/>
          <w:szCs w:val="20"/>
          <w:lang w:val="en-US" w:eastAsia="en-GB"/>
        </w:rPr>
        <w:t>Organisation</w:t>
      </w:r>
      <w:proofErr w:type="spellEnd"/>
      <w:r w:rsidRPr="00277C14">
        <w:rPr>
          <w:rFonts w:eastAsia="Times New Roman" w:cs="Arial"/>
          <w:szCs w:val="20"/>
          <w:lang w:val="en-US" w:eastAsia="en-GB"/>
        </w:rPr>
        <w:t xml:space="preserve"> for Security and Co-operation in Europe (OSCE</w:t>
      </w:r>
      <w:proofErr w:type="gramStart"/>
      <w:r w:rsidRPr="00277C14">
        <w:rPr>
          <w:rFonts w:eastAsia="Times New Roman" w:cs="Arial"/>
          <w:szCs w:val="20"/>
          <w:lang w:val="en-US" w:eastAsia="en-GB"/>
        </w:rPr>
        <w:t>);</w:t>
      </w:r>
      <w:proofErr w:type="gramEnd"/>
    </w:p>
    <w:p w14:paraId="13F5F3CD" w14:textId="77777777" w:rsidR="00277C14" w:rsidRPr="00277C14" w:rsidRDefault="00277C14" w:rsidP="005745B6">
      <w:pPr>
        <w:numPr>
          <w:ilvl w:val="0"/>
          <w:numId w:val="29"/>
        </w:numPr>
        <w:autoSpaceDE w:val="0"/>
        <w:autoSpaceDN w:val="0"/>
        <w:adjustRightInd w:val="0"/>
        <w:ind w:left="709" w:hanging="709"/>
        <w:jc w:val="both"/>
        <w:rPr>
          <w:rFonts w:cs="Arial"/>
          <w:szCs w:val="20"/>
        </w:rPr>
      </w:pPr>
      <w:r w:rsidRPr="00277C14">
        <w:rPr>
          <w:rFonts w:eastAsia="Times New Roman" w:cs="Arial"/>
          <w:szCs w:val="20"/>
          <w:lang w:eastAsia="en-GB"/>
        </w:rPr>
        <w:t xml:space="preserve">the </w:t>
      </w:r>
      <w:r w:rsidRPr="00277C14">
        <w:rPr>
          <w:rFonts w:eastAsia="Times New Roman" w:cs="Arial"/>
          <w:szCs w:val="20"/>
          <w:lang w:val="en-US" w:eastAsia="en-GB"/>
        </w:rPr>
        <w:t xml:space="preserve">Egmont Group of Financial Intelligence </w:t>
      </w:r>
      <w:proofErr w:type="gramStart"/>
      <w:r w:rsidRPr="00277C14">
        <w:rPr>
          <w:rFonts w:eastAsia="Times New Roman" w:cs="Arial"/>
          <w:szCs w:val="20"/>
          <w:lang w:val="en-US" w:eastAsia="en-GB"/>
        </w:rPr>
        <w:t>Units;</w:t>
      </w:r>
      <w:proofErr w:type="gramEnd"/>
    </w:p>
    <w:p w14:paraId="5D96AA8E" w14:textId="77777777" w:rsidR="00277C14" w:rsidRPr="00277C14" w:rsidRDefault="00277C14" w:rsidP="005745B6">
      <w:pPr>
        <w:numPr>
          <w:ilvl w:val="0"/>
          <w:numId w:val="29"/>
        </w:numPr>
        <w:autoSpaceDE w:val="0"/>
        <w:autoSpaceDN w:val="0"/>
        <w:adjustRightInd w:val="0"/>
        <w:ind w:left="709" w:hanging="709"/>
        <w:jc w:val="both"/>
        <w:rPr>
          <w:rFonts w:cs="Arial"/>
          <w:szCs w:val="20"/>
        </w:rPr>
      </w:pPr>
      <w:r w:rsidRPr="00277C14">
        <w:rPr>
          <w:rFonts w:eastAsia="Times New Roman" w:cs="Arial"/>
          <w:szCs w:val="20"/>
          <w:lang w:eastAsia="en-GB"/>
        </w:rPr>
        <w:t xml:space="preserve">the </w:t>
      </w:r>
      <w:r w:rsidRPr="00277C14">
        <w:rPr>
          <w:rFonts w:eastAsia="Times New Roman" w:cs="Arial"/>
          <w:szCs w:val="20"/>
          <w:lang w:val="en-US" w:eastAsia="en-GB"/>
        </w:rPr>
        <w:t>Eurasian Group on Combating Money Laundering and Financing of Terrorism (EAG</w:t>
      </w:r>
      <w:proofErr w:type="gramStart"/>
      <w:r w:rsidRPr="00277C14">
        <w:rPr>
          <w:rFonts w:eastAsia="Times New Roman" w:cs="Arial"/>
          <w:szCs w:val="20"/>
          <w:lang w:val="en-US" w:eastAsia="en-GB"/>
        </w:rPr>
        <w:t>);</w:t>
      </w:r>
      <w:proofErr w:type="gramEnd"/>
    </w:p>
    <w:p w14:paraId="3F5351BE" w14:textId="77777777" w:rsidR="00E51C76" w:rsidRDefault="00E51C76">
      <w:pPr>
        <w:rPr>
          <w:rFonts w:cs="Arial"/>
          <w:szCs w:val="20"/>
          <w:lang w:val="en-US"/>
        </w:rPr>
      </w:pPr>
      <w:r>
        <w:rPr>
          <w:rFonts w:cs="Arial"/>
          <w:szCs w:val="20"/>
          <w:lang w:val="en-US"/>
        </w:rPr>
        <w:br w:type="page"/>
      </w:r>
    </w:p>
    <w:p w14:paraId="7819F46E" w14:textId="6A93B352" w:rsidR="00277C14" w:rsidRPr="00277C14" w:rsidRDefault="00277C14" w:rsidP="005745B6">
      <w:pPr>
        <w:numPr>
          <w:ilvl w:val="0"/>
          <w:numId w:val="29"/>
        </w:numPr>
        <w:autoSpaceDE w:val="0"/>
        <w:autoSpaceDN w:val="0"/>
        <w:adjustRightInd w:val="0"/>
        <w:ind w:left="709" w:hanging="709"/>
        <w:jc w:val="both"/>
        <w:rPr>
          <w:rFonts w:cs="Arial"/>
          <w:szCs w:val="20"/>
        </w:rPr>
      </w:pPr>
      <w:r w:rsidRPr="00277C14">
        <w:rPr>
          <w:rFonts w:cs="Arial"/>
          <w:szCs w:val="20"/>
          <w:lang w:val="en-US"/>
        </w:rPr>
        <w:lastRenderedPageBreak/>
        <w:t xml:space="preserve">any other FATF style regional body (FSRB) which is or becomes an associate member of the FATF, on the basis of </w:t>
      </w:r>
      <w:proofErr w:type="gramStart"/>
      <w:r w:rsidRPr="00277C14">
        <w:rPr>
          <w:rFonts w:cs="Arial"/>
          <w:szCs w:val="20"/>
          <w:lang w:val="en-US"/>
        </w:rPr>
        <w:t>reciprocity;</w:t>
      </w:r>
      <w:proofErr w:type="gramEnd"/>
    </w:p>
    <w:p w14:paraId="16C320EA" w14:textId="77777777" w:rsidR="00277C14" w:rsidRPr="00277C14" w:rsidRDefault="00277C14" w:rsidP="005745B6">
      <w:pPr>
        <w:numPr>
          <w:ilvl w:val="0"/>
          <w:numId w:val="29"/>
        </w:numPr>
        <w:autoSpaceDE w:val="0"/>
        <w:autoSpaceDN w:val="0"/>
        <w:adjustRightInd w:val="0"/>
        <w:ind w:left="709" w:hanging="709"/>
        <w:jc w:val="both"/>
        <w:rPr>
          <w:rFonts w:cs="Arial"/>
          <w:szCs w:val="20"/>
        </w:rPr>
      </w:pPr>
      <w:r w:rsidRPr="00277C14">
        <w:rPr>
          <w:rFonts w:cs="Arial"/>
          <w:szCs w:val="20"/>
        </w:rPr>
        <w:t>a</w:t>
      </w:r>
      <w:proofErr w:type="spellStart"/>
      <w:r w:rsidRPr="00277C14">
        <w:rPr>
          <w:rFonts w:cs="Arial"/>
          <w:szCs w:val="20"/>
          <w:lang w:val="en-US"/>
        </w:rPr>
        <w:t>ny</w:t>
      </w:r>
      <w:proofErr w:type="spellEnd"/>
      <w:r w:rsidRPr="00277C14">
        <w:rPr>
          <w:rFonts w:cs="Arial"/>
          <w:szCs w:val="20"/>
          <w:lang w:val="en-US"/>
        </w:rPr>
        <w:t xml:space="preserve"> member of the FATF.</w:t>
      </w:r>
      <w:bookmarkStart w:id="87" w:name="_Toc379211902"/>
    </w:p>
    <w:p w14:paraId="2C9782AC" w14:textId="4134A281" w:rsidR="005745B6" w:rsidRDefault="005745B6">
      <w:pPr>
        <w:rPr>
          <w:rStyle w:val="Strong"/>
          <w:rFonts w:eastAsiaTheme="minorHAnsi" w:cs="Arial"/>
          <w:szCs w:val="20"/>
          <w:lang w:val="en-US"/>
        </w:rPr>
      </w:pPr>
      <w:bookmarkStart w:id="88" w:name="_Toc66712442"/>
    </w:p>
    <w:p w14:paraId="56D27BB6" w14:textId="528EBEAA" w:rsidR="00277C14" w:rsidRDefault="00503E8C" w:rsidP="00277C14">
      <w:pPr>
        <w:pStyle w:val="Heading2"/>
        <w:rPr>
          <w:rStyle w:val="Strong"/>
          <w:rFonts w:ascii="Arial" w:eastAsiaTheme="minorHAnsi" w:hAnsi="Arial" w:cs="Arial"/>
          <w:color w:val="auto"/>
          <w:sz w:val="20"/>
          <w:szCs w:val="20"/>
          <w:lang w:val="en-US"/>
        </w:rPr>
      </w:pPr>
      <w:bookmarkStart w:id="89" w:name="_Toc135409901"/>
      <w:r>
        <w:rPr>
          <w:rStyle w:val="Strong"/>
          <w:rFonts w:ascii="Arial" w:eastAsiaTheme="minorHAnsi" w:hAnsi="Arial" w:cs="Arial"/>
          <w:color w:val="auto"/>
          <w:sz w:val="20"/>
          <w:szCs w:val="20"/>
          <w:lang w:val="en-US"/>
        </w:rPr>
        <w:t>8</w:t>
      </w:r>
      <w:r w:rsidR="005745B6">
        <w:rPr>
          <w:rStyle w:val="Strong"/>
          <w:rFonts w:ascii="Arial" w:eastAsiaTheme="minorHAnsi" w:hAnsi="Arial" w:cs="Arial"/>
          <w:color w:val="auto"/>
          <w:sz w:val="20"/>
          <w:szCs w:val="20"/>
          <w:lang w:val="en-US"/>
        </w:rPr>
        <w:t>.2.</w:t>
      </w:r>
      <w:r w:rsidR="005745B6">
        <w:rPr>
          <w:rStyle w:val="Strong"/>
          <w:rFonts w:ascii="Arial" w:eastAsiaTheme="minorHAnsi" w:hAnsi="Arial" w:cs="Arial"/>
          <w:color w:val="auto"/>
          <w:sz w:val="20"/>
          <w:szCs w:val="20"/>
          <w:lang w:val="en-US"/>
        </w:rPr>
        <w:tab/>
      </w:r>
      <w:r w:rsidR="00277C14" w:rsidRPr="005745B6">
        <w:rPr>
          <w:rStyle w:val="Strong"/>
          <w:rFonts w:ascii="Arial" w:eastAsiaTheme="minorHAnsi" w:hAnsi="Arial" w:cs="Arial"/>
          <w:color w:val="auto"/>
          <w:sz w:val="20"/>
          <w:szCs w:val="20"/>
          <w:lang w:val="en-US"/>
        </w:rPr>
        <w:t>Bureau</w:t>
      </w:r>
      <w:bookmarkEnd w:id="88"/>
      <w:bookmarkEnd w:id="89"/>
    </w:p>
    <w:p w14:paraId="6A8AFC39" w14:textId="77777777" w:rsidR="005745B6" w:rsidRPr="005745B6" w:rsidRDefault="005745B6" w:rsidP="005745B6">
      <w:pPr>
        <w:rPr>
          <w:lang w:val="en-US"/>
        </w:rPr>
      </w:pPr>
    </w:p>
    <w:p w14:paraId="63E0D2A0" w14:textId="099A04E1" w:rsidR="00277C14" w:rsidRPr="00277C14" w:rsidRDefault="00277C14" w:rsidP="00277C14">
      <w:pPr>
        <w:rPr>
          <w:rFonts w:cs="Arial"/>
          <w:szCs w:val="20"/>
        </w:rPr>
      </w:pPr>
      <w:r w:rsidRPr="00277C14">
        <w:rPr>
          <w:rFonts w:cs="Arial"/>
          <w:szCs w:val="20"/>
        </w:rPr>
        <w:t xml:space="preserve">The MONEYVAL Bureau is the key governance body of MONEYVAL, carrying </w:t>
      </w:r>
      <w:proofErr w:type="gramStart"/>
      <w:r w:rsidRPr="00277C14">
        <w:rPr>
          <w:rFonts w:cs="Arial"/>
          <w:szCs w:val="20"/>
        </w:rPr>
        <w:t>a number of</w:t>
      </w:r>
      <w:proofErr w:type="gramEnd"/>
      <w:r w:rsidRPr="00277C14">
        <w:rPr>
          <w:rFonts w:cs="Arial"/>
          <w:szCs w:val="20"/>
        </w:rPr>
        <w:t xml:space="preserve"> tasks, including assisting the Chair, supervising the preparation of Plenary meetings and ensuring continuity between meetings. The MONEYVAL Bureau is composed of a Chair, two Vice-Chairs and two other Bureau members. The Bureau members </w:t>
      </w:r>
      <w:r w:rsidR="00C43E5E">
        <w:rPr>
          <w:rFonts w:cs="Arial"/>
          <w:szCs w:val="20"/>
        </w:rPr>
        <w:t xml:space="preserve">as at the end of </w:t>
      </w:r>
      <w:r w:rsidR="005A1594">
        <w:rPr>
          <w:rFonts w:cs="Arial"/>
          <w:szCs w:val="20"/>
        </w:rPr>
        <w:t xml:space="preserve">2022 </w:t>
      </w:r>
      <w:r w:rsidR="00C43E5E">
        <w:rPr>
          <w:rFonts w:cs="Arial"/>
          <w:szCs w:val="20"/>
        </w:rPr>
        <w:t>were</w:t>
      </w:r>
      <w:r w:rsidRPr="00277C14">
        <w:rPr>
          <w:rFonts w:cs="Arial"/>
          <w:szCs w:val="20"/>
        </w:rPr>
        <w:t>:</w:t>
      </w:r>
    </w:p>
    <w:p w14:paraId="42FD3857" w14:textId="77777777" w:rsidR="00277C14" w:rsidRPr="00277C14" w:rsidRDefault="00277C14" w:rsidP="00277C14">
      <w:pPr>
        <w:rPr>
          <w:rFonts w:cs="Arial"/>
          <w:b/>
          <w:bCs/>
          <w:w w:val="105"/>
          <w:kern w:val="28"/>
          <w:szCs w:val="20"/>
          <w:lang w:eastAsia="zh-CN"/>
        </w:rPr>
      </w:pPr>
      <w:bookmarkStart w:id="90" w:name="_Toc44660209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2"/>
        <w:gridCol w:w="7403"/>
      </w:tblGrid>
      <w:tr w:rsidR="00277C14" w:rsidRPr="00277C14" w14:paraId="1CCB0853" w14:textId="77777777" w:rsidTr="00277C14">
        <w:tc>
          <w:tcPr>
            <w:tcW w:w="5000" w:type="pct"/>
            <w:gridSpan w:val="2"/>
            <w:shd w:val="clear" w:color="auto" w:fill="808080"/>
          </w:tcPr>
          <w:p w14:paraId="076730E2" w14:textId="77777777" w:rsidR="00277C14" w:rsidRPr="00277C14" w:rsidRDefault="00277C14" w:rsidP="00277C14">
            <w:pPr>
              <w:rPr>
                <w:rFonts w:cs="Arial"/>
                <w:b/>
                <w:bCs/>
                <w:szCs w:val="20"/>
                <w:lang w:eastAsia="en-GB"/>
              </w:rPr>
            </w:pPr>
            <w:r w:rsidRPr="00277C14">
              <w:rPr>
                <w:rFonts w:cs="Arial"/>
                <w:b/>
                <w:bCs/>
                <w:szCs w:val="20"/>
                <w:lang w:eastAsia="en-GB"/>
              </w:rPr>
              <w:t>MONEYVAL Bureau elected for a term of two years in 2019</w:t>
            </w:r>
          </w:p>
        </w:tc>
      </w:tr>
      <w:tr w:rsidR="00277C14" w:rsidRPr="00277C14" w14:paraId="653015BD" w14:textId="77777777" w:rsidTr="00277C14">
        <w:tc>
          <w:tcPr>
            <w:tcW w:w="1122" w:type="pct"/>
            <w:tcBorders>
              <w:right w:val="nil"/>
            </w:tcBorders>
            <w:shd w:val="clear" w:color="auto" w:fill="auto"/>
          </w:tcPr>
          <w:p w14:paraId="340B10CD" w14:textId="77777777" w:rsidR="00277C14" w:rsidRPr="00277C14" w:rsidRDefault="00277C14" w:rsidP="00277C14">
            <w:pPr>
              <w:spacing w:before="120"/>
              <w:rPr>
                <w:rFonts w:eastAsia="Times New Roman" w:cs="Arial"/>
                <w:bCs/>
                <w:szCs w:val="20"/>
                <w:lang w:eastAsia="fr-FR"/>
              </w:rPr>
            </w:pPr>
            <w:r w:rsidRPr="00277C14">
              <w:rPr>
                <w:rFonts w:eastAsia="Times New Roman" w:cs="Arial"/>
                <w:bCs/>
                <w:szCs w:val="20"/>
                <w:lang w:eastAsia="fr-FR"/>
              </w:rPr>
              <w:t>Chair:</w:t>
            </w:r>
          </w:p>
        </w:tc>
        <w:tc>
          <w:tcPr>
            <w:tcW w:w="3878" w:type="pct"/>
            <w:tcBorders>
              <w:left w:val="nil"/>
            </w:tcBorders>
            <w:shd w:val="clear" w:color="auto" w:fill="auto"/>
          </w:tcPr>
          <w:p w14:paraId="2790483D" w14:textId="77777777" w:rsidR="00277C14" w:rsidRPr="00277C14" w:rsidRDefault="00277C14" w:rsidP="00277C14">
            <w:pPr>
              <w:spacing w:before="120"/>
              <w:rPr>
                <w:rFonts w:cs="Arial"/>
                <w:bCs/>
                <w:kern w:val="28"/>
                <w:szCs w:val="20"/>
                <w:lang w:eastAsia="zh-CN"/>
              </w:rPr>
            </w:pPr>
            <w:r w:rsidRPr="00277C14">
              <w:rPr>
                <w:rFonts w:cs="Arial"/>
                <w:bCs/>
                <w:kern w:val="28"/>
                <w:szCs w:val="20"/>
                <w:lang w:eastAsia="zh-CN"/>
              </w:rPr>
              <w:t xml:space="preserve">Ms </w:t>
            </w:r>
            <w:proofErr w:type="spellStart"/>
            <w:r w:rsidRPr="00277C14">
              <w:rPr>
                <w:rFonts w:cs="Arial"/>
                <w:bCs/>
                <w:kern w:val="28"/>
                <w:szCs w:val="20"/>
                <w:lang w:eastAsia="zh-CN"/>
              </w:rPr>
              <w:t>Elzbieta</w:t>
            </w:r>
            <w:proofErr w:type="spellEnd"/>
            <w:r w:rsidRPr="00277C14">
              <w:rPr>
                <w:rFonts w:cs="Arial"/>
                <w:bCs/>
                <w:kern w:val="28"/>
                <w:szCs w:val="20"/>
                <w:lang w:eastAsia="zh-CN"/>
              </w:rPr>
              <w:t xml:space="preserve"> </w:t>
            </w:r>
            <w:proofErr w:type="spellStart"/>
            <w:r w:rsidRPr="00277C14">
              <w:rPr>
                <w:rFonts w:cs="Arial"/>
                <w:bCs/>
                <w:kern w:val="28"/>
                <w:szCs w:val="20"/>
                <w:lang w:eastAsia="zh-CN"/>
              </w:rPr>
              <w:t>Frankow-Jaskiewicz</w:t>
            </w:r>
            <w:proofErr w:type="spellEnd"/>
            <w:r w:rsidRPr="00277C14">
              <w:rPr>
                <w:rFonts w:cs="Arial"/>
                <w:bCs/>
                <w:kern w:val="28"/>
                <w:szCs w:val="20"/>
                <w:lang w:eastAsia="zh-CN"/>
              </w:rPr>
              <w:t xml:space="preserve"> (Poland)</w:t>
            </w:r>
          </w:p>
        </w:tc>
      </w:tr>
      <w:tr w:rsidR="00277C14" w:rsidRPr="00277C14" w14:paraId="3D96D121" w14:textId="77777777" w:rsidTr="00277C14">
        <w:tc>
          <w:tcPr>
            <w:tcW w:w="1122" w:type="pct"/>
            <w:tcBorders>
              <w:right w:val="nil"/>
            </w:tcBorders>
            <w:shd w:val="clear" w:color="auto" w:fill="auto"/>
          </w:tcPr>
          <w:p w14:paraId="00BEDBBD" w14:textId="77777777" w:rsidR="00277C14" w:rsidRPr="00277C14" w:rsidRDefault="00277C14" w:rsidP="00277C14">
            <w:pPr>
              <w:spacing w:before="120"/>
              <w:rPr>
                <w:rFonts w:eastAsia="Times New Roman" w:cs="Arial"/>
                <w:bCs/>
                <w:szCs w:val="20"/>
                <w:lang w:eastAsia="fr-FR"/>
              </w:rPr>
            </w:pPr>
            <w:r w:rsidRPr="00277C14">
              <w:rPr>
                <w:rFonts w:eastAsia="Times New Roman" w:cs="Arial"/>
                <w:bCs/>
                <w:szCs w:val="20"/>
                <w:lang w:eastAsia="fr-FR"/>
              </w:rPr>
              <w:t>Vice-Chairs:</w:t>
            </w:r>
          </w:p>
        </w:tc>
        <w:tc>
          <w:tcPr>
            <w:tcW w:w="3878" w:type="pct"/>
            <w:tcBorders>
              <w:left w:val="nil"/>
              <w:bottom w:val="single" w:sz="4" w:space="0" w:color="auto"/>
            </w:tcBorders>
            <w:shd w:val="clear" w:color="auto" w:fill="auto"/>
          </w:tcPr>
          <w:p w14:paraId="3500A09A" w14:textId="7FF83454" w:rsidR="00277C14" w:rsidRPr="00277C14" w:rsidRDefault="00C43E5E" w:rsidP="00277C14">
            <w:pPr>
              <w:spacing w:before="120"/>
              <w:rPr>
                <w:rFonts w:cs="Arial"/>
                <w:szCs w:val="20"/>
                <w:lang w:eastAsia="zh-CN"/>
              </w:rPr>
            </w:pPr>
            <w:r>
              <w:rPr>
                <w:rFonts w:cs="Arial"/>
                <w:szCs w:val="20"/>
              </w:rPr>
              <w:t xml:space="preserve">Ms </w:t>
            </w:r>
            <w:proofErr w:type="spellStart"/>
            <w:r>
              <w:rPr>
                <w:rFonts w:cs="Arial"/>
                <w:szCs w:val="20"/>
              </w:rPr>
              <w:t>Astghik</w:t>
            </w:r>
            <w:proofErr w:type="spellEnd"/>
            <w:r>
              <w:rPr>
                <w:rFonts w:cs="Arial"/>
                <w:szCs w:val="20"/>
              </w:rPr>
              <w:t xml:space="preserve"> </w:t>
            </w:r>
            <w:proofErr w:type="spellStart"/>
            <w:r>
              <w:rPr>
                <w:rFonts w:cs="Arial"/>
                <w:szCs w:val="20"/>
              </w:rPr>
              <w:t>Karamanukyan</w:t>
            </w:r>
            <w:proofErr w:type="spellEnd"/>
            <w:r>
              <w:rPr>
                <w:rFonts w:cs="Arial"/>
                <w:szCs w:val="20"/>
              </w:rPr>
              <w:t xml:space="preserve"> (Armenia)</w:t>
            </w:r>
          </w:p>
          <w:p w14:paraId="741DFD99" w14:textId="77777777" w:rsidR="00277C14" w:rsidRPr="00277C14" w:rsidRDefault="00277C14" w:rsidP="00277C14">
            <w:pPr>
              <w:spacing w:before="120"/>
              <w:rPr>
                <w:rFonts w:cs="Arial"/>
                <w:bCs/>
                <w:kern w:val="28"/>
                <w:szCs w:val="20"/>
                <w:lang w:eastAsia="zh-CN"/>
              </w:rPr>
            </w:pPr>
            <w:r w:rsidRPr="00277C14">
              <w:rPr>
                <w:rFonts w:cs="Arial"/>
                <w:szCs w:val="20"/>
                <w:lang w:eastAsia="zh-CN"/>
              </w:rPr>
              <w:t>Mr Richard Walker (UK Crown Dependency of Guernsey</w:t>
            </w:r>
            <w:r w:rsidRPr="00277C14">
              <w:rPr>
                <w:rFonts w:cs="Arial"/>
                <w:bCs/>
                <w:kern w:val="28"/>
                <w:szCs w:val="20"/>
                <w:lang w:eastAsia="zh-CN"/>
              </w:rPr>
              <w:t>)</w:t>
            </w:r>
          </w:p>
        </w:tc>
      </w:tr>
      <w:tr w:rsidR="00277C14" w:rsidRPr="00277C14" w14:paraId="7BBB2B89" w14:textId="77777777" w:rsidTr="00277C14">
        <w:tc>
          <w:tcPr>
            <w:tcW w:w="1122" w:type="pct"/>
            <w:tcBorders>
              <w:right w:val="nil"/>
            </w:tcBorders>
            <w:shd w:val="clear" w:color="auto" w:fill="auto"/>
          </w:tcPr>
          <w:p w14:paraId="5DE1A87E" w14:textId="77777777" w:rsidR="00277C14" w:rsidRPr="00277C14" w:rsidRDefault="00277C14" w:rsidP="00277C14">
            <w:pPr>
              <w:spacing w:before="120"/>
              <w:rPr>
                <w:rFonts w:eastAsia="Times New Roman" w:cs="Arial"/>
                <w:bCs/>
                <w:szCs w:val="20"/>
                <w:lang w:eastAsia="fr-FR"/>
              </w:rPr>
            </w:pPr>
            <w:r w:rsidRPr="00277C14">
              <w:rPr>
                <w:rFonts w:eastAsia="Times New Roman" w:cs="Arial"/>
                <w:bCs/>
                <w:szCs w:val="20"/>
                <w:lang w:eastAsia="fr-FR"/>
              </w:rPr>
              <w:t>Members:</w:t>
            </w:r>
          </w:p>
        </w:tc>
        <w:tc>
          <w:tcPr>
            <w:tcW w:w="3878" w:type="pct"/>
            <w:tcBorders>
              <w:left w:val="nil"/>
              <w:bottom w:val="single" w:sz="4" w:space="0" w:color="auto"/>
            </w:tcBorders>
            <w:shd w:val="clear" w:color="auto" w:fill="auto"/>
          </w:tcPr>
          <w:p w14:paraId="3509CAE2" w14:textId="3BCB985F" w:rsidR="00277C14" w:rsidRPr="005844FD" w:rsidRDefault="00277C14" w:rsidP="005844FD">
            <w:pPr>
              <w:spacing w:before="120" w:after="120"/>
              <w:rPr>
                <w:rFonts w:eastAsia="Times New Roman" w:cs="Arial"/>
                <w:bCs/>
                <w:szCs w:val="20"/>
                <w:lang w:eastAsia="fr-FR"/>
              </w:rPr>
            </w:pPr>
            <w:r w:rsidRPr="005844FD">
              <w:rPr>
                <w:rFonts w:eastAsia="Times New Roman" w:cs="Arial"/>
                <w:bCs/>
                <w:szCs w:val="20"/>
                <w:lang w:eastAsia="fr-FR"/>
              </w:rPr>
              <w:t xml:space="preserve">Mr </w:t>
            </w:r>
            <w:proofErr w:type="spellStart"/>
            <w:r w:rsidRPr="005844FD">
              <w:rPr>
                <w:rFonts w:eastAsia="Times New Roman" w:cs="Arial"/>
                <w:bCs/>
                <w:szCs w:val="20"/>
                <w:lang w:eastAsia="fr-FR"/>
              </w:rPr>
              <w:t>Ladislav</w:t>
            </w:r>
            <w:proofErr w:type="spellEnd"/>
            <w:r w:rsidRPr="005844FD">
              <w:rPr>
                <w:rFonts w:eastAsia="Times New Roman" w:cs="Arial"/>
                <w:bCs/>
                <w:szCs w:val="20"/>
                <w:lang w:eastAsia="fr-FR"/>
              </w:rPr>
              <w:t xml:space="preserve"> </w:t>
            </w:r>
            <w:proofErr w:type="spellStart"/>
            <w:r w:rsidRPr="005844FD">
              <w:rPr>
                <w:rFonts w:eastAsia="Times New Roman" w:cs="Arial"/>
                <w:bCs/>
                <w:szCs w:val="20"/>
                <w:lang w:eastAsia="fr-FR"/>
              </w:rPr>
              <w:t>Majernik</w:t>
            </w:r>
            <w:proofErr w:type="spellEnd"/>
            <w:r w:rsidRPr="005844FD">
              <w:rPr>
                <w:rFonts w:eastAsia="Times New Roman" w:cs="Arial"/>
                <w:bCs/>
                <w:szCs w:val="20"/>
                <w:lang w:eastAsia="fr-FR"/>
              </w:rPr>
              <w:t xml:space="preserve"> (Slovak Republic)</w:t>
            </w:r>
          </w:p>
          <w:p w14:paraId="53B90329" w14:textId="77777777" w:rsidR="00277C14" w:rsidRPr="005844FD" w:rsidRDefault="00277C14" w:rsidP="00277C14">
            <w:pPr>
              <w:rPr>
                <w:rFonts w:eastAsia="Times New Roman" w:cs="Arial"/>
                <w:bCs/>
                <w:szCs w:val="20"/>
                <w:lang w:eastAsia="fr-FR"/>
              </w:rPr>
            </w:pPr>
            <w:r w:rsidRPr="005844FD">
              <w:rPr>
                <w:rFonts w:eastAsia="Times New Roman" w:cs="Arial"/>
                <w:bCs/>
                <w:szCs w:val="20"/>
                <w:lang w:eastAsia="fr-FR"/>
              </w:rPr>
              <w:t xml:space="preserve">Mr </w:t>
            </w:r>
            <w:proofErr w:type="spellStart"/>
            <w:r w:rsidRPr="005844FD">
              <w:rPr>
                <w:rFonts w:eastAsia="Times New Roman" w:cs="Arial"/>
                <w:bCs/>
                <w:szCs w:val="20"/>
                <w:lang w:eastAsia="fr-FR"/>
              </w:rPr>
              <w:t>Matis</w:t>
            </w:r>
            <w:proofErr w:type="spellEnd"/>
            <w:r w:rsidRPr="005844FD">
              <w:rPr>
                <w:rFonts w:eastAsia="Times New Roman" w:cs="Arial"/>
                <w:bCs/>
                <w:szCs w:val="20"/>
                <w:lang w:eastAsia="fr-FR"/>
              </w:rPr>
              <w:t xml:space="preserve"> </w:t>
            </w:r>
            <w:proofErr w:type="spellStart"/>
            <w:r w:rsidRPr="005844FD">
              <w:rPr>
                <w:rFonts w:eastAsia="Times New Roman" w:cs="Arial"/>
                <w:bCs/>
                <w:szCs w:val="20"/>
                <w:lang w:eastAsia="fr-FR"/>
              </w:rPr>
              <w:t>Mäeker</w:t>
            </w:r>
            <w:proofErr w:type="spellEnd"/>
            <w:r w:rsidRPr="005844FD">
              <w:rPr>
                <w:rFonts w:eastAsia="Times New Roman" w:cs="Arial"/>
                <w:bCs/>
                <w:szCs w:val="20"/>
                <w:lang w:eastAsia="fr-FR"/>
              </w:rPr>
              <w:t xml:space="preserve"> (Estonia)</w:t>
            </w:r>
          </w:p>
        </w:tc>
      </w:tr>
    </w:tbl>
    <w:p w14:paraId="371CDC1D" w14:textId="77777777" w:rsidR="005745B6" w:rsidRDefault="005745B6" w:rsidP="005745B6">
      <w:pPr>
        <w:pStyle w:val="Heading2"/>
        <w:keepLines w:val="0"/>
        <w:spacing w:before="0"/>
        <w:ind w:right="680"/>
        <w:rPr>
          <w:rStyle w:val="Strong"/>
          <w:rFonts w:ascii="Arial" w:eastAsiaTheme="minorHAnsi" w:hAnsi="Arial" w:cs="Arial"/>
          <w:color w:val="auto"/>
          <w:sz w:val="20"/>
          <w:szCs w:val="20"/>
          <w:lang w:val="en-US"/>
        </w:rPr>
      </w:pPr>
      <w:bookmarkStart w:id="91" w:name="_Toc66712443"/>
    </w:p>
    <w:p w14:paraId="56821955" w14:textId="5C78B4B0" w:rsidR="00277C14" w:rsidRDefault="00503E8C" w:rsidP="005745B6">
      <w:pPr>
        <w:pStyle w:val="Heading2"/>
        <w:keepLines w:val="0"/>
        <w:spacing w:before="0"/>
        <w:ind w:right="680"/>
        <w:rPr>
          <w:rStyle w:val="Strong"/>
          <w:rFonts w:ascii="Arial" w:eastAsiaTheme="minorHAnsi" w:hAnsi="Arial" w:cs="Arial"/>
          <w:color w:val="auto"/>
          <w:sz w:val="20"/>
          <w:szCs w:val="20"/>
          <w:lang w:val="en-US"/>
        </w:rPr>
      </w:pPr>
      <w:bookmarkStart w:id="92" w:name="_Toc135409902"/>
      <w:r>
        <w:rPr>
          <w:rStyle w:val="Strong"/>
          <w:rFonts w:ascii="Arial" w:eastAsiaTheme="minorHAnsi" w:hAnsi="Arial" w:cs="Arial"/>
          <w:color w:val="auto"/>
          <w:sz w:val="20"/>
          <w:szCs w:val="20"/>
          <w:lang w:val="en-US"/>
        </w:rPr>
        <w:t>8</w:t>
      </w:r>
      <w:r w:rsidR="005745B6">
        <w:rPr>
          <w:rStyle w:val="Strong"/>
          <w:rFonts w:ascii="Arial" w:eastAsiaTheme="minorHAnsi" w:hAnsi="Arial" w:cs="Arial"/>
          <w:color w:val="auto"/>
          <w:sz w:val="20"/>
          <w:szCs w:val="20"/>
          <w:lang w:val="en-US"/>
        </w:rPr>
        <w:t>.3.</w:t>
      </w:r>
      <w:r w:rsidR="005745B6">
        <w:rPr>
          <w:rStyle w:val="Strong"/>
          <w:rFonts w:ascii="Arial" w:eastAsiaTheme="minorHAnsi" w:hAnsi="Arial" w:cs="Arial"/>
          <w:color w:val="auto"/>
          <w:sz w:val="20"/>
          <w:szCs w:val="20"/>
          <w:lang w:val="en-US"/>
        </w:rPr>
        <w:tab/>
      </w:r>
      <w:r w:rsidR="00277C14" w:rsidRPr="005745B6">
        <w:rPr>
          <w:rStyle w:val="Strong"/>
          <w:rFonts w:ascii="Arial" w:eastAsiaTheme="minorHAnsi" w:hAnsi="Arial" w:cs="Arial"/>
          <w:color w:val="auto"/>
          <w:sz w:val="20"/>
          <w:szCs w:val="20"/>
          <w:lang w:val="en-US"/>
        </w:rPr>
        <w:t>Scientific Experts</w:t>
      </w:r>
      <w:bookmarkEnd w:id="90"/>
      <w:bookmarkEnd w:id="91"/>
      <w:bookmarkEnd w:id="92"/>
    </w:p>
    <w:p w14:paraId="5BA9425A" w14:textId="77777777" w:rsidR="005745B6" w:rsidRPr="005745B6" w:rsidRDefault="005745B6" w:rsidP="005745B6">
      <w:pPr>
        <w:rPr>
          <w:lang w:val="en-US"/>
        </w:rPr>
      </w:pPr>
    </w:p>
    <w:p w14:paraId="5812C7BD" w14:textId="36238E19" w:rsidR="00277C14" w:rsidRPr="00277C14" w:rsidRDefault="00277C14" w:rsidP="00277C14">
      <w:pPr>
        <w:rPr>
          <w:rFonts w:cs="Arial"/>
          <w:szCs w:val="20"/>
        </w:rPr>
      </w:pPr>
      <w:r w:rsidRPr="00277C14">
        <w:rPr>
          <w:rFonts w:cs="Arial"/>
          <w:szCs w:val="20"/>
        </w:rPr>
        <w:t xml:space="preserve">MONEYVAL work is supported by a panel of independent scientific experts. The role of a scientific expert is to provide neutral, experienced opinions and to assist the Chair and Secretariat in ensuring the consistency of MONEYVAL’s outputs. This includes, among others, fulfilling a quality control function for draft evaluation reports, attending all MONEYVAL Plenaries as well as enriching the debates with their experience and knowledge. </w:t>
      </w:r>
      <w:r w:rsidRPr="006E54F2">
        <w:rPr>
          <w:rFonts w:cs="Arial"/>
          <w:szCs w:val="20"/>
        </w:rPr>
        <w:t>In 202</w:t>
      </w:r>
      <w:r w:rsidR="005844FD" w:rsidRPr="006E54F2">
        <w:rPr>
          <w:rFonts w:cs="Arial"/>
          <w:szCs w:val="20"/>
        </w:rPr>
        <w:t>2</w:t>
      </w:r>
      <w:r w:rsidRPr="006E54F2">
        <w:rPr>
          <w:rFonts w:cs="Arial"/>
          <w:szCs w:val="20"/>
        </w:rPr>
        <w:t>, the scientific experts were:</w:t>
      </w:r>
      <w:r w:rsidRPr="00277C14">
        <w:rPr>
          <w:rFonts w:cs="Arial"/>
          <w:szCs w:val="20"/>
        </w:rPr>
        <w:t xml:space="preserve"> </w:t>
      </w:r>
    </w:p>
    <w:p w14:paraId="63859325" w14:textId="77777777" w:rsidR="00277C14" w:rsidRPr="00277C14" w:rsidRDefault="00277C14" w:rsidP="00277C14">
      <w:pPr>
        <w:rPr>
          <w:rFonts w:cs="Arial"/>
          <w:szCs w:val="20"/>
        </w:rPr>
      </w:pPr>
    </w:p>
    <w:tbl>
      <w:tblPr>
        <w:tblW w:w="0" w:type="auto"/>
        <w:jc w:val="center"/>
        <w:tblBorders>
          <w:top w:val="single" w:sz="12" w:space="0" w:color="000000"/>
          <w:left w:val="single" w:sz="12" w:space="0" w:color="000000"/>
          <w:bottom w:val="single" w:sz="12" w:space="0" w:color="000000"/>
          <w:right w:val="single" w:sz="12" w:space="0" w:color="000000"/>
        </w:tblBorders>
        <w:tblLook w:val="01E0" w:firstRow="1" w:lastRow="1" w:firstColumn="1" w:lastColumn="1" w:noHBand="0" w:noVBand="0"/>
      </w:tblPr>
      <w:tblGrid>
        <w:gridCol w:w="9525"/>
      </w:tblGrid>
      <w:tr w:rsidR="00277C14" w:rsidRPr="00277C14" w14:paraId="1ED78208" w14:textId="77777777" w:rsidTr="00277C14">
        <w:trPr>
          <w:cantSplit/>
          <w:jc w:val="center"/>
        </w:trPr>
        <w:tc>
          <w:tcPr>
            <w:tcW w:w="9886" w:type="dxa"/>
            <w:shd w:val="clear" w:color="auto" w:fill="808080"/>
          </w:tcPr>
          <w:p w14:paraId="166AEB74" w14:textId="77777777" w:rsidR="00277C14" w:rsidRPr="00277C14" w:rsidRDefault="00277C14" w:rsidP="00277C14">
            <w:pPr>
              <w:rPr>
                <w:rFonts w:cs="Arial"/>
                <w:b/>
                <w:bCs/>
                <w:szCs w:val="20"/>
                <w:lang w:eastAsia="en-GB"/>
              </w:rPr>
            </w:pPr>
            <w:r w:rsidRPr="00277C14">
              <w:rPr>
                <w:rFonts w:cs="Arial"/>
                <w:b/>
                <w:bCs/>
                <w:szCs w:val="20"/>
                <w:lang w:eastAsia="en-GB"/>
              </w:rPr>
              <w:t xml:space="preserve">MONEYVAL scientific experts </w:t>
            </w:r>
          </w:p>
        </w:tc>
      </w:tr>
      <w:tr w:rsidR="00277C14" w:rsidRPr="00277C14" w14:paraId="255BBB88" w14:textId="77777777" w:rsidTr="00277C14">
        <w:trPr>
          <w:cantSplit/>
          <w:jc w:val="center"/>
        </w:trPr>
        <w:tc>
          <w:tcPr>
            <w:tcW w:w="9886" w:type="dxa"/>
          </w:tcPr>
          <w:p w14:paraId="4CA42BEC" w14:textId="163DC798" w:rsidR="00277C14" w:rsidRPr="00277C14" w:rsidRDefault="00205C94" w:rsidP="00C92E41">
            <w:pPr>
              <w:numPr>
                <w:ilvl w:val="0"/>
                <w:numId w:val="30"/>
              </w:numPr>
              <w:spacing w:before="120" w:after="120"/>
              <w:jc w:val="both"/>
              <w:rPr>
                <w:rFonts w:cs="Arial"/>
                <w:szCs w:val="20"/>
                <w:lang w:eastAsia="en-GB"/>
              </w:rPr>
            </w:pPr>
            <w:r>
              <w:rPr>
                <w:rFonts w:cs="Arial"/>
                <w:szCs w:val="20"/>
                <w:shd w:val="clear" w:color="auto" w:fill="FFFFFF"/>
              </w:rPr>
              <w:t>M</w:t>
            </w:r>
            <w:r w:rsidR="00277C14" w:rsidRPr="00277C14">
              <w:rPr>
                <w:rFonts w:cs="Arial"/>
                <w:szCs w:val="20"/>
                <w:shd w:val="clear" w:color="auto" w:fill="FFFFFF"/>
              </w:rPr>
              <w:t>r Lajos Korona, Public Prosecutor in Hungary – Legal scientific expert</w:t>
            </w:r>
          </w:p>
          <w:p w14:paraId="5135CD5B" w14:textId="0FC6046A" w:rsidR="00277C14" w:rsidRPr="00277C14" w:rsidRDefault="00277C14" w:rsidP="00C92E41">
            <w:pPr>
              <w:numPr>
                <w:ilvl w:val="0"/>
                <w:numId w:val="30"/>
              </w:numPr>
              <w:spacing w:before="120" w:after="120"/>
              <w:jc w:val="both"/>
              <w:rPr>
                <w:rFonts w:cs="Arial"/>
                <w:szCs w:val="20"/>
                <w:lang w:eastAsia="en-GB"/>
              </w:rPr>
            </w:pPr>
            <w:r w:rsidRPr="00277C14">
              <w:rPr>
                <w:rFonts w:cs="Arial"/>
                <w:szCs w:val="20"/>
                <w:lang w:eastAsia="en-GB"/>
              </w:rPr>
              <w:t xml:space="preserve">Mr John </w:t>
            </w:r>
            <w:proofErr w:type="spellStart"/>
            <w:r w:rsidRPr="00277C14">
              <w:rPr>
                <w:rFonts w:cs="Arial"/>
                <w:szCs w:val="20"/>
                <w:lang w:eastAsia="en-GB"/>
              </w:rPr>
              <w:t>Ringguth</w:t>
            </w:r>
            <w:proofErr w:type="spellEnd"/>
            <w:r w:rsidRPr="00277C14">
              <w:rPr>
                <w:rFonts w:cs="Arial"/>
                <w:szCs w:val="20"/>
                <w:lang w:eastAsia="en-GB"/>
              </w:rPr>
              <w:t xml:space="preserve">, former Executive Secretary to MONEYVAL – Legal scientific expert </w:t>
            </w:r>
          </w:p>
          <w:p w14:paraId="181406FC" w14:textId="77777777" w:rsidR="00277C14" w:rsidRPr="00277C14" w:rsidRDefault="00277C14" w:rsidP="00C92E41">
            <w:pPr>
              <w:numPr>
                <w:ilvl w:val="0"/>
                <w:numId w:val="30"/>
              </w:numPr>
              <w:spacing w:before="120" w:after="120"/>
              <w:ind w:left="714" w:hanging="357"/>
              <w:jc w:val="both"/>
              <w:rPr>
                <w:rFonts w:cs="Arial"/>
                <w:szCs w:val="20"/>
                <w:lang w:eastAsia="en-GB"/>
              </w:rPr>
            </w:pPr>
            <w:r w:rsidRPr="00277C14">
              <w:rPr>
                <w:rFonts w:cs="Arial"/>
                <w:szCs w:val="20"/>
                <w:lang w:eastAsia="en-GB"/>
              </w:rPr>
              <w:t xml:space="preserve">Mr Andrew </w:t>
            </w:r>
            <w:proofErr w:type="spellStart"/>
            <w:r w:rsidRPr="00277C14">
              <w:rPr>
                <w:rFonts w:cs="Arial"/>
                <w:szCs w:val="20"/>
                <w:lang w:eastAsia="en-GB"/>
              </w:rPr>
              <w:t>Strijker</w:t>
            </w:r>
            <w:proofErr w:type="spellEnd"/>
            <w:r w:rsidRPr="00277C14">
              <w:rPr>
                <w:rFonts w:cs="Arial"/>
                <w:szCs w:val="20"/>
                <w:lang w:eastAsia="en-GB"/>
              </w:rPr>
              <w:t xml:space="preserve">, former Head of the Dutch delegation to FATF – Financial scientific expert </w:t>
            </w:r>
          </w:p>
          <w:p w14:paraId="10BE91AF" w14:textId="77777777" w:rsidR="00277C14" w:rsidRDefault="00277C14" w:rsidP="00C92E41">
            <w:pPr>
              <w:numPr>
                <w:ilvl w:val="0"/>
                <w:numId w:val="30"/>
              </w:numPr>
              <w:spacing w:before="120" w:after="120"/>
              <w:ind w:left="714" w:hanging="357"/>
              <w:jc w:val="both"/>
              <w:rPr>
                <w:rFonts w:cs="Arial"/>
                <w:szCs w:val="20"/>
                <w:lang w:eastAsia="en-GB"/>
              </w:rPr>
            </w:pPr>
            <w:r w:rsidRPr="00277C14">
              <w:rPr>
                <w:rFonts w:cs="Arial"/>
                <w:szCs w:val="20"/>
                <w:lang w:eastAsia="en-GB"/>
              </w:rPr>
              <w:t xml:space="preserve">Ms Lia </w:t>
            </w:r>
            <w:proofErr w:type="spellStart"/>
            <w:r w:rsidRPr="00277C14">
              <w:rPr>
                <w:rFonts w:cs="Arial"/>
                <w:szCs w:val="20"/>
                <w:lang w:eastAsia="en-GB"/>
              </w:rPr>
              <w:t>Umans</w:t>
            </w:r>
            <w:proofErr w:type="spellEnd"/>
            <w:r w:rsidRPr="00277C14">
              <w:rPr>
                <w:rFonts w:cs="Arial"/>
                <w:szCs w:val="20"/>
                <w:lang w:eastAsia="en-GB"/>
              </w:rPr>
              <w:t>, former member of the FATF Secretariat – Law enforcement scientific expert</w:t>
            </w:r>
          </w:p>
          <w:p w14:paraId="535CACBD" w14:textId="4FBE8502" w:rsidR="00C43E5E" w:rsidRPr="00277C14" w:rsidRDefault="00C43E5E" w:rsidP="00C92E41">
            <w:pPr>
              <w:numPr>
                <w:ilvl w:val="0"/>
                <w:numId w:val="30"/>
              </w:numPr>
              <w:spacing w:before="120" w:after="120"/>
              <w:ind w:left="714" w:hanging="357"/>
              <w:jc w:val="both"/>
              <w:rPr>
                <w:rFonts w:cs="Arial"/>
                <w:szCs w:val="20"/>
                <w:lang w:eastAsia="en-GB"/>
              </w:rPr>
            </w:pPr>
            <w:r>
              <w:rPr>
                <w:rFonts w:cs="Arial"/>
                <w:szCs w:val="20"/>
                <w:lang w:eastAsia="en-GB"/>
              </w:rPr>
              <w:t>Mr Ian Matthews, former supervisor in the UK, and former Co-chair of the FATF Evaluations and Compliance Group</w:t>
            </w:r>
            <w:r w:rsidR="00766613">
              <w:rPr>
                <w:rFonts w:cs="Arial"/>
                <w:szCs w:val="20"/>
                <w:lang w:eastAsia="en-GB"/>
              </w:rPr>
              <w:t xml:space="preserve"> - </w:t>
            </w:r>
            <w:r w:rsidR="00766613" w:rsidRPr="00277C14">
              <w:rPr>
                <w:rFonts w:cs="Arial"/>
                <w:szCs w:val="20"/>
                <w:lang w:eastAsia="en-GB"/>
              </w:rPr>
              <w:t>Financial scientific expert</w:t>
            </w:r>
          </w:p>
        </w:tc>
      </w:tr>
    </w:tbl>
    <w:p w14:paraId="6C53BA00" w14:textId="77777777" w:rsidR="005745B6" w:rsidRDefault="005745B6" w:rsidP="005745B6">
      <w:pPr>
        <w:pStyle w:val="Heading2"/>
        <w:keepLines w:val="0"/>
        <w:spacing w:before="0"/>
        <w:ind w:right="680"/>
        <w:rPr>
          <w:rStyle w:val="Strong"/>
          <w:rFonts w:ascii="Arial" w:eastAsiaTheme="minorHAnsi" w:hAnsi="Arial" w:cs="Arial"/>
          <w:color w:val="auto"/>
          <w:sz w:val="20"/>
          <w:szCs w:val="20"/>
          <w:lang w:val="en-US"/>
        </w:rPr>
      </w:pPr>
      <w:bookmarkStart w:id="93" w:name="_Toc366749258"/>
      <w:bookmarkStart w:id="94" w:name="_Toc366855509"/>
      <w:bookmarkStart w:id="95" w:name="_Toc377031080"/>
      <w:bookmarkStart w:id="96" w:name="_Toc377032379"/>
      <w:bookmarkStart w:id="97" w:name="_Toc377559676"/>
      <w:bookmarkStart w:id="98" w:name="_Toc377560103"/>
      <w:bookmarkStart w:id="99" w:name="_Toc377563768"/>
      <w:bookmarkStart w:id="100" w:name="_Toc377564053"/>
      <w:bookmarkStart w:id="101" w:name="_Toc377572011"/>
      <w:bookmarkStart w:id="102" w:name="_Toc377637336"/>
      <w:bookmarkStart w:id="103" w:name="_Toc377637639"/>
      <w:bookmarkStart w:id="104" w:name="_Toc377645264"/>
      <w:bookmarkStart w:id="105" w:name="_Toc377645567"/>
      <w:bookmarkStart w:id="106" w:name="_Toc377031081"/>
      <w:bookmarkStart w:id="107" w:name="_Toc377032380"/>
      <w:bookmarkStart w:id="108" w:name="_Toc377559677"/>
      <w:bookmarkStart w:id="109" w:name="_Toc377560104"/>
      <w:bookmarkStart w:id="110" w:name="_Toc377563769"/>
      <w:bookmarkStart w:id="111" w:name="_Toc377564054"/>
      <w:bookmarkStart w:id="112" w:name="_Toc377572012"/>
      <w:bookmarkStart w:id="113" w:name="_Toc377637337"/>
      <w:bookmarkStart w:id="114" w:name="_Toc377637640"/>
      <w:bookmarkStart w:id="115" w:name="_Toc377645265"/>
      <w:bookmarkStart w:id="116" w:name="_Toc377645568"/>
      <w:bookmarkStart w:id="117" w:name="_Toc377031083"/>
      <w:bookmarkStart w:id="118" w:name="_Toc377032382"/>
      <w:bookmarkStart w:id="119" w:name="_Toc377559679"/>
      <w:bookmarkStart w:id="120" w:name="_Toc377560106"/>
      <w:bookmarkStart w:id="121" w:name="_Toc377563771"/>
      <w:bookmarkStart w:id="122" w:name="_Toc377564056"/>
      <w:bookmarkStart w:id="123" w:name="_Toc377572014"/>
      <w:bookmarkStart w:id="124" w:name="_Toc377637339"/>
      <w:bookmarkStart w:id="125" w:name="_Toc377637642"/>
      <w:bookmarkStart w:id="126" w:name="_Toc377645267"/>
      <w:bookmarkStart w:id="127" w:name="_Toc377645570"/>
      <w:bookmarkStart w:id="128" w:name="_Toc377031091"/>
      <w:bookmarkStart w:id="129" w:name="_Toc377032390"/>
      <w:bookmarkStart w:id="130" w:name="_Toc377559687"/>
      <w:bookmarkStart w:id="131" w:name="_Toc377560114"/>
      <w:bookmarkStart w:id="132" w:name="_Toc377563779"/>
      <w:bookmarkStart w:id="133" w:name="_Toc377564064"/>
      <w:bookmarkStart w:id="134" w:name="_Toc377572022"/>
      <w:bookmarkStart w:id="135" w:name="_Toc377637347"/>
      <w:bookmarkStart w:id="136" w:name="_Toc377637650"/>
      <w:bookmarkStart w:id="137" w:name="_Toc377645275"/>
      <w:bookmarkStart w:id="138" w:name="_Toc377645578"/>
      <w:bookmarkStart w:id="139" w:name="_Toc377031093"/>
      <w:bookmarkStart w:id="140" w:name="_Toc377032392"/>
      <w:bookmarkStart w:id="141" w:name="_Toc377559689"/>
      <w:bookmarkStart w:id="142" w:name="_Toc377560116"/>
      <w:bookmarkStart w:id="143" w:name="_Toc377563781"/>
      <w:bookmarkStart w:id="144" w:name="_Toc377564066"/>
      <w:bookmarkStart w:id="145" w:name="_Toc377572024"/>
      <w:bookmarkStart w:id="146" w:name="_Toc377637349"/>
      <w:bookmarkStart w:id="147" w:name="_Toc377637652"/>
      <w:bookmarkStart w:id="148" w:name="_Toc377645277"/>
      <w:bookmarkStart w:id="149" w:name="_Toc377645580"/>
      <w:bookmarkStart w:id="150" w:name="_Toc377031094"/>
      <w:bookmarkStart w:id="151" w:name="_Toc377032393"/>
      <w:bookmarkStart w:id="152" w:name="_Toc377559690"/>
      <w:bookmarkStart w:id="153" w:name="_Toc377560117"/>
      <w:bookmarkStart w:id="154" w:name="_Toc377563782"/>
      <w:bookmarkStart w:id="155" w:name="_Toc377564067"/>
      <w:bookmarkStart w:id="156" w:name="_Toc377572025"/>
      <w:bookmarkStart w:id="157" w:name="_Toc377637350"/>
      <w:bookmarkStart w:id="158" w:name="_Toc377637653"/>
      <w:bookmarkStart w:id="159" w:name="_Toc377645278"/>
      <w:bookmarkStart w:id="160" w:name="_Toc377645581"/>
      <w:bookmarkStart w:id="161" w:name="_Toc377031095"/>
      <w:bookmarkStart w:id="162" w:name="_Toc377032394"/>
      <w:bookmarkStart w:id="163" w:name="_Toc377559691"/>
      <w:bookmarkStart w:id="164" w:name="_Toc377560118"/>
      <w:bookmarkStart w:id="165" w:name="_Toc377563783"/>
      <w:bookmarkStart w:id="166" w:name="_Toc377564068"/>
      <w:bookmarkStart w:id="167" w:name="_Toc377572026"/>
      <w:bookmarkStart w:id="168" w:name="_Toc377637351"/>
      <w:bookmarkStart w:id="169" w:name="_Toc377637654"/>
      <w:bookmarkStart w:id="170" w:name="_Toc377645279"/>
      <w:bookmarkStart w:id="171" w:name="_Toc377645582"/>
      <w:bookmarkStart w:id="172" w:name="_Toc377031097"/>
      <w:bookmarkStart w:id="173" w:name="_Toc377032396"/>
      <w:bookmarkStart w:id="174" w:name="_Toc377559693"/>
      <w:bookmarkStart w:id="175" w:name="_Toc377560120"/>
      <w:bookmarkStart w:id="176" w:name="_Toc377563785"/>
      <w:bookmarkStart w:id="177" w:name="_Toc377564070"/>
      <w:bookmarkStart w:id="178" w:name="_Toc377572028"/>
      <w:bookmarkStart w:id="179" w:name="_Toc377637353"/>
      <w:bookmarkStart w:id="180" w:name="_Toc377637656"/>
      <w:bookmarkStart w:id="181" w:name="_Toc377645281"/>
      <w:bookmarkStart w:id="182" w:name="_Toc377645584"/>
      <w:bookmarkStart w:id="183" w:name="_Toc377031099"/>
      <w:bookmarkStart w:id="184" w:name="_Toc377032398"/>
      <w:bookmarkStart w:id="185" w:name="_Toc377559695"/>
      <w:bookmarkStart w:id="186" w:name="_Toc377560122"/>
      <w:bookmarkStart w:id="187" w:name="_Toc377563787"/>
      <w:bookmarkStart w:id="188" w:name="_Toc377564072"/>
      <w:bookmarkStart w:id="189" w:name="_Toc377572030"/>
      <w:bookmarkStart w:id="190" w:name="_Toc377637355"/>
      <w:bookmarkStart w:id="191" w:name="_Toc377637658"/>
      <w:bookmarkStart w:id="192" w:name="_Toc377645283"/>
      <w:bookmarkStart w:id="193" w:name="_Toc377645586"/>
      <w:bookmarkStart w:id="194" w:name="_Toc377031101"/>
      <w:bookmarkStart w:id="195" w:name="_Toc377032400"/>
      <w:bookmarkStart w:id="196" w:name="_Toc377559697"/>
      <w:bookmarkStart w:id="197" w:name="_Toc377560124"/>
      <w:bookmarkStart w:id="198" w:name="_Toc377563789"/>
      <w:bookmarkStart w:id="199" w:name="_Toc377564074"/>
      <w:bookmarkStart w:id="200" w:name="_Toc377572032"/>
      <w:bookmarkStart w:id="201" w:name="_Toc377637357"/>
      <w:bookmarkStart w:id="202" w:name="_Toc377637660"/>
      <w:bookmarkStart w:id="203" w:name="_Toc377645285"/>
      <w:bookmarkStart w:id="204" w:name="_Toc377645588"/>
      <w:bookmarkStart w:id="205" w:name="_Toc377031102"/>
      <w:bookmarkStart w:id="206" w:name="_Toc377032401"/>
      <w:bookmarkStart w:id="207" w:name="_Toc377559698"/>
      <w:bookmarkStart w:id="208" w:name="_Toc377560125"/>
      <w:bookmarkStart w:id="209" w:name="_Toc377563790"/>
      <w:bookmarkStart w:id="210" w:name="_Toc377564075"/>
      <w:bookmarkStart w:id="211" w:name="_Toc377572033"/>
      <w:bookmarkStart w:id="212" w:name="_Toc377637358"/>
      <w:bookmarkStart w:id="213" w:name="_Toc377637661"/>
      <w:bookmarkStart w:id="214" w:name="_Toc377645286"/>
      <w:bookmarkStart w:id="215" w:name="_Toc377645589"/>
      <w:bookmarkStart w:id="216" w:name="_Toc377031103"/>
      <w:bookmarkStart w:id="217" w:name="_Toc377032402"/>
      <w:bookmarkStart w:id="218" w:name="_Toc377559699"/>
      <w:bookmarkStart w:id="219" w:name="_Toc377560126"/>
      <w:bookmarkStart w:id="220" w:name="_Toc377563791"/>
      <w:bookmarkStart w:id="221" w:name="_Toc377564076"/>
      <w:bookmarkStart w:id="222" w:name="_Toc377572034"/>
      <w:bookmarkStart w:id="223" w:name="_Toc377637359"/>
      <w:bookmarkStart w:id="224" w:name="_Toc377637662"/>
      <w:bookmarkStart w:id="225" w:name="_Toc377645287"/>
      <w:bookmarkStart w:id="226" w:name="_Toc377645590"/>
      <w:bookmarkStart w:id="227" w:name="_Toc377031105"/>
      <w:bookmarkStart w:id="228" w:name="_Toc377032404"/>
      <w:bookmarkStart w:id="229" w:name="_Toc377559701"/>
      <w:bookmarkStart w:id="230" w:name="_Toc377560128"/>
      <w:bookmarkStart w:id="231" w:name="_Toc377563793"/>
      <w:bookmarkStart w:id="232" w:name="_Toc377564078"/>
      <w:bookmarkStart w:id="233" w:name="_Toc377572036"/>
      <w:bookmarkStart w:id="234" w:name="_Toc377637361"/>
      <w:bookmarkStart w:id="235" w:name="_Toc377637664"/>
      <w:bookmarkStart w:id="236" w:name="_Toc377645289"/>
      <w:bookmarkStart w:id="237" w:name="_Toc377645592"/>
      <w:bookmarkStart w:id="238" w:name="_Toc377031107"/>
      <w:bookmarkStart w:id="239" w:name="_Toc377032406"/>
      <w:bookmarkStart w:id="240" w:name="_Toc377559703"/>
      <w:bookmarkStart w:id="241" w:name="_Toc377560130"/>
      <w:bookmarkStart w:id="242" w:name="_Toc377563795"/>
      <w:bookmarkStart w:id="243" w:name="_Toc377564080"/>
      <w:bookmarkStart w:id="244" w:name="_Toc377572038"/>
      <w:bookmarkStart w:id="245" w:name="_Toc377637363"/>
      <w:bookmarkStart w:id="246" w:name="_Toc377637666"/>
      <w:bookmarkStart w:id="247" w:name="_Toc377645291"/>
      <w:bookmarkStart w:id="248" w:name="_Toc377645594"/>
      <w:bookmarkStart w:id="249" w:name="_Toc377031109"/>
      <w:bookmarkStart w:id="250" w:name="_Toc377032408"/>
      <w:bookmarkStart w:id="251" w:name="_Toc377559705"/>
      <w:bookmarkStart w:id="252" w:name="_Toc377560132"/>
      <w:bookmarkStart w:id="253" w:name="_Toc377563797"/>
      <w:bookmarkStart w:id="254" w:name="_Toc377564082"/>
      <w:bookmarkStart w:id="255" w:name="_Toc377572040"/>
      <w:bookmarkStart w:id="256" w:name="_Toc377637365"/>
      <w:bookmarkStart w:id="257" w:name="_Toc377637668"/>
      <w:bookmarkStart w:id="258" w:name="_Toc377645293"/>
      <w:bookmarkStart w:id="259" w:name="_Toc377645596"/>
      <w:bookmarkStart w:id="260" w:name="_Toc377031111"/>
      <w:bookmarkStart w:id="261" w:name="_Toc377032410"/>
      <w:bookmarkStart w:id="262" w:name="_Toc377559707"/>
      <w:bookmarkStart w:id="263" w:name="_Toc377560134"/>
      <w:bookmarkStart w:id="264" w:name="_Toc377563799"/>
      <w:bookmarkStart w:id="265" w:name="_Toc377564084"/>
      <w:bookmarkStart w:id="266" w:name="_Toc377572042"/>
      <w:bookmarkStart w:id="267" w:name="_Toc377637367"/>
      <w:bookmarkStart w:id="268" w:name="_Toc377637670"/>
      <w:bookmarkStart w:id="269" w:name="_Toc377645295"/>
      <w:bookmarkStart w:id="270" w:name="_Toc377645598"/>
      <w:bookmarkStart w:id="271" w:name="_Toc377031112"/>
      <w:bookmarkStart w:id="272" w:name="_Toc377032411"/>
      <w:bookmarkStart w:id="273" w:name="_Toc377559708"/>
      <w:bookmarkStart w:id="274" w:name="_Toc377560135"/>
      <w:bookmarkStart w:id="275" w:name="_Toc377563800"/>
      <w:bookmarkStart w:id="276" w:name="_Toc377564085"/>
      <w:bookmarkStart w:id="277" w:name="_Toc377572043"/>
      <w:bookmarkStart w:id="278" w:name="_Toc377637368"/>
      <w:bookmarkStart w:id="279" w:name="_Toc377637671"/>
      <w:bookmarkStart w:id="280" w:name="_Toc377645296"/>
      <w:bookmarkStart w:id="281" w:name="_Toc377645599"/>
      <w:bookmarkStart w:id="282" w:name="_Toc377031114"/>
      <w:bookmarkStart w:id="283" w:name="_Toc377032413"/>
      <w:bookmarkStart w:id="284" w:name="_Toc377559710"/>
      <w:bookmarkStart w:id="285" w:name="_Toc377560137"/>
      <w:bookmarkStart w:id="286" w:name="_Toc377563802"/>
      <w:bookmarkStart w:id="287" w:name="_Toc377564087"/>
      <w:bookmarkStart w:id="288" w:name="_Toc377572045"/>
      <w:bookmarkStart w:id="289" w:name="_Toc377637370"/>
      <w:bookmarkStart w:id="290" w:name="_Toc377637673"/>
      <w:bookmarkStart w:id="291" w:name="_Toc377645298"/>
      <w:bookmarkStart w:id="292" w:name="_Toc377645601"/>
      <w:bookmarkStart w:id="293" w:name="_Toc377031116"/>
      <w:bookmarkStart w:id="294" w:name="_Toc377032415"/>
      <w:bookmarkStart w:id="295" w:name="_Toc377559712"/>
      <w:bookmarkStart w:id="296" w:name="_Toc377560139"/>
      <w:bookmarkStart w:id="297" w:name="_Toc377563804"/>
      <w:bookmarkStart w:id="298" w:name="_Toc377564089"/>
      <w:bookmarkStart w:id="299" w:name="_Toc377572047"/>
      <w:bookmarkStart w:id="300" w:name="_Toc377637372"/>
      <w:bookmarkStart w:id="301" w:name="_Toc377637675"/>
      <w:bookmarkStart w:id="302" w:name="_Toc377645300"/>
      <w:bookmarkStart w:id="303" w:name="_Toc377645603"/>
      <w:bookmarkStart w:id="304" w:name="_Toc377031118"/>
      <w:bookmarkStart w:id="305" w:name="_Toc377032417"/>
      <w:bookmarkStart w:id="306" w:name="_Toc377559714"/>
      <w:bookmarkStart w:id="307" w:name="_Toc377560141"/>
      <w:bookmarkStart w:id="308" w:name="_Toc377563806"/>
      <w:bookmarkStart w:id="309" w:name="_Toc377564091"/>
      <w:bookmarkStart w:id="310" w:name="_Toc377572049"/>
      <w:bookmarkStart w:id="311" w:name="_Toc377637374"/>
      <w:bookmarkStart w:id="312" w:name="_Toc377637677"/>
      <w:bookmarkStart w:id="313" w:name="_Toc377645302"/>
      <w:bookmarkStart w:id="314" w:name="_Toc377645605"/>
      <w:bookmarkStart w:id="315" w:name="_Toc377031120"/>
      <w:bookmarkStart w:id="316" w:name="_Toc377032419"/>
      <w:bookmarkStart w:id="317" w:name="_Toc377559716"/>
      <w:bookmarkStart w:id="318" w:name="_Toc377560143"/>
      <w:bookmarkStart w:id="319" w:name="_Toc377563808"/>
      <w:bookmarkStart w:id="320" w:name="_Toc377564093"/>
      <w:bookmarkStart w:id="321" w:name="_Toc377572051"/>
      <w:bookmarkStart w:id="322" w:name="_Toc377637376"/>
      <w:bookmarkStart w:id="323" w:name="_Toc377637679"/>
      <w:bookmarkStart w:id="324" w:name="_Toc377645304"/>
      <w:bookmarkStart w:id="325" w:name="_Toc377645607"/>
      <w:bookmarkStart w:id="326" w:name="_Toc377031123"/>
      <w:bookmarkStart w:id="327" w:name="_Toc377032422"/>
      <w:bookmarkStart w:id="328" w:name="_Toc377559719"/>
      <w:bookmarkStart w:id="329" w:name="_Toc377560146"/>
      <w:bookmarkStart w:id="330" w:name="_Toc377563811"/>
      <w:bookmarkStart w:id="331" w:name="_Toc377564096"/>
      <w:bookmarkStart w:id="332" w:name="_Toc377572054"/>
      <w:bookmarkStart w:id="333" w:name="_Toc377637379"/>
      <w:bookmarkStart w:id="334" w:name="_Toc377637682"/>
      <w:bookmarkStart w:id="335" w:name="_Toc377645307"/>
      <w:bookmarkStart w:id="336" w:name="_Toc377645610"/>
      <w:bookmarkStart w:id="337" w:name="_Toc377031125"/>
      <w:bookmarkStart w:id="338" w:name="_Toc377032424"/>
      <w:bookmarkStart w:id="339" w:name="_Toc377559721"/>
      <w:bookmarkStart w:id="340" w:name="_Toc377560148"/>
      <w:bookmarkStart w:id="341" w:name="_Toc377563813"/>
      <w:bookmarkStart w:id="342" w:name="_Toc377564098"/>
      <w:bookmarkStart w:id="343" w:name="_Toc377572056"/>
      <w:bookmarkStart w:id="344" w:name="_Toc377637381"/>
      <w:bookmarkStart w:id="345" w:name="_Toc377637684"/>
      <w:bookmarkStart w:id="346" w:name="_Toc377645309"/>
      <w:bookmarkStart w:id="347" w:name="_Toc377645612"/>
      <w:bookmarkStart w:id="348" w:name="_Toc377031127"/>
      <w:bookmarkStart w:id="349" w:name="_Toc377032426"/>
      <w:bookmarkStart w:id="350" w:name="_Toc377559723"/>
      <w:bookmarkStart w:id="351" w:name="_Toc377560150"/>
      <w:bookmarkStart w:id="352" w:name="_Toc377563815"/>
      <w:bookmarkStart w:id="353" w:name="_Toc377564100"/>
      <w:bookmarkStart w:id="354" w:name="_Toc377572058"/>
      <w:bookmarkStart w:id="355" w:name="_Toc377637383"/>
      <w:bookmarkStart w:id="356" w:name="_Toc377637686"/>
      <w:bookmarkStart w:id="357" w:name="_Toc377645311"/>
      <w:bookmarkStart w:id="358" w:name="_Toc377645614"/>
      <w:bookmarkStart w:id="359" w:name="_Toc377031128"/>
      <w:bookmarkStart w:id="360" w:name="_Toc377032427"/>
      <w:bookmarkStart w:id="361" w:name="_Toc377559724"/>
      <w:bookmarkStart w:id="362" w:name="_Toc377560151"/>
      <w:bookmarkStart w:id="363" w:name="_Toc377563816"/>
      <w:bookmarkStart w:id="364" w:name="_Toc377564101"/>
      <w:bookmarkStart w:id="365" w:name="_Toc377572059"/>
      <w:bookmarkStart w:id="366" w:name="_Toc377637384"/>
      <w:bookmarkStart w:id="367" w:name="_Toc377637687"/>
      <w:bookmarkStart w:id="368" w:name="_Toc377645312"/>
      <w:bookmarkStart w:id="369" w:name="_Toc377645615"/>
      <w:bookmarkStart w:id="370" w:name="_Toc377031129"/>
      <w:bookmarkStart w:id="371" w:name="_Toc377032428"/>
      <w:bookmarkStart w:id="372" w:name="_Toc377559725"/>
      <w:bookmarkStart w:id="373" w:name="_Toc377560152"/>
      <w:bookmarkStart w:id="374" w:name="_Toc377563817"/>
      <w:bookmarkStart w:id="375" w:name="_Toc377564102"/>
      <w:bookmarkStart w:id="376" w:name="_Toc377572060"/>
      <w:bookmarkStart w:id="377" w:name="_Toc377637385"/>
      <w:bookmarkStart w:id="378" w:name="_Toc377637688"/>
      <w:bookmarkStart w:id="379" w:name="_Toc377645313"/>
      <w:bookmarkStart w:id="380" w:name="_Toc377645616"/>
      <w:bookmarkStart w:id="381" w:name="_Toc377031131"/>
      <w:bookmarkStart w:id="382" w:name="_Toc377032430"/>
      <w:bookmarkStart w:id="383" w:name="_Toc377559727"/>
      <w:bookmarkStart w:id="384" w:name="_Toc377560154"/>
      <w:bookmarkStart w:id="385" w:name="_Toc377563819"/>
      <w:bookmarkStart w:id="386" w:name="_Toc377564104"/>
      <w:bookmarkStart w:id="387" w:name="_Toc377572062"/>
      <w:bookmarkStart w:id="388" w:name="_Toc377637387"/>
      <w:bookmarkStart w:id="389" w:name="_Toc377637690"/>
      <w:bookmarkStart w:id="390" w:name="_Toc377645315"/>
      <w:bookmarkStart w:id="391" w:name="_Toc377645618"/>
      <w:bookmarkStart w:id="392" w:name="_Toc377031133"/>
      <w:bookmarkStart w:id="393" w:name="_Toc377032432"/>
      <w:bookmarkStart w:id="394" w:name="_Toc377559729"/>
      <w:bookmarkStart w:id="395" w:name="_Toc377560156"/>
      <w:bookmarkStart w:id="396" w:name="_Toc377563821"/>
      <w:bookmarkStart w:id="397" w:name="_Toc377564106"/>
      <w:bookmarkStart w:id="398" w:name="_Toc377572064"/>
      <w:bookmarkStart w:id="399" w:name="_Toc377637389"/>
      <w:bookmarkStart w:id="400" w:name="_Toc377637692"/>
      <w:bookmarkStart w:id="401" w:name="_Toc377645317"/>
      <w:bookmarkStart w:id="402" w:name="_Toc377645620"/>
      <w:bookmarkStart w:id="403" w:name="_Toc377031135"/>
      <w:bookmarkStart w:id="404" w:name="_Toc377032434"/>
      <w:bookmarkStart w:id="405" w:name="_Toc377559731"/>
      <w:bookmarkStart w:id="406" w:name="_Toc377560158"/>
      <w:bookmarkStart w:id="407" w:name="_Toc377563823"/>
      <w:bookmarkStart w:id="408" w:name="_Toc377564108"/>
      <w:bookmarkStart w:id="409" w:name="_Toc377572066"/>
      <w:bookmarkStart w:id="410" w:name="_Toc377637391"/>
      <w:bookmarkStart w:id="411" w:name="_Toc377637694"/>
      <w:bookmarkStart w:id="412" w:name="_Toc377645319"/>
      <w:bookmarkStart w:id="413" w:name="_Toc377645622"/>
      <w:bookmarkStart w:id="414" w:name="_Toc377031137"/>
      <w:bookmarkStart w:id="415" w:name="_Toc377032436"/>
      <w:bookmarkStart w:id="416" w:name="_Toc377559733"/>
      <w:bookmarkStart w:id="417" w:name="_Toc377560160"/>
      <w:bookmarkStart w:id="418" w:name="_Toc377563825"/>
      <w:bookmarkStart w:id="419" w:name="_Toc377564110"/>
      <w:bookmarkStart w:id="420" w:name="_Toc377572068"/>
      <w:bookmarkStart w:id="421" w:name="_Toc377637393"/>
      <w:bookmarkStart w:id="422" w:name="_Toc377637696"/>
      <w:bookmarkStart w:id="423" w:name="_Toc377645321"/>
      <w:bookmarkStart w:id="424" w:name="_Toc377645624"/>
      <w:bookmarkStart w:id="425" w:name="_Toc377031139"/>
      <w:bookmarkStart w:id="426" w:name="_Toc377032438"/>
      <w:bookmarkStart w:id="427" w:name="_Toc377559735"/>
      <w:bookmarkStart w:id="428" w:name="_Toc377560162"/>
      <w:bookmarkStart w:id="429" w:name="_Toc377563827"/>
      <w:bookmarkStart w:id="430" w:name="_Toc377564112"/>
      <w:bookmarkStart w:id="431" w:name="_Toc377572070"/>
      <w:bookmarkStart w:id="432" w:name="_Toc377637395"/>
      <w:bookmarkStart w:id="433" w:name="_Toc377637698"/>
      <w:bookmarkStart w:id="434" w:name="_Toc377645323"/>
      <w:bookmarkStart w:id="435" w:name="_Toc377645626"/>
      <w:bookmarkStart w:id="436" w:name="_Toc377031141"/>
      <w:bookmarkStart w:id="437" w:name="_Toc377032440"/>
      <w:bookmarkStart w:id="438" w:name="_Toc377559737"/>
      <w:bookmarkStart w:id="439" w:name="_Toc377560164"/>
      <w:bookmarkStart w:id="440" w:name="_Toc377563829"/>
      <w:bookmarkStart w:id="441" w:name="_Toc377564114"/>
      <w:bookmarkStart w:id="442" w:name="_Toc377572072"/>
      <w:bookmarkStart w:id="443" w:name="_Toc377637397"/>
      <w:bookmarkStart w:id="444" w:name="_Toc377637700"/>
      <w:bookmarkStart w:id="445" w:name="_Toc377645325"/>
      <w:bookmarkStart w:id="446" w:name="_Toc377645628"/>
      <w:bookmarkStart w:id="447" w:name="_Toc377031143"/>
      <w:bookmarkStart w:id="448" w:name="_Toc377032442"/>
      <w:bookmarkStart w:id="449" w:name="_Toc377559739"/>
      <w:bookmarkStart w:id="450" w:name="_Toc377560166"/>
      <w:bookmarkStart w:id="451" w:name="_Toc377563831"/>
      <w:bookmarkStart w:id="452" w:name="_Toc377564116"/>
      <w:bookmarkStart w:id="453" w:name="_Toc377572074"/>
      <w:bookmarkStart w:id="454" w:name="_Toc377637399"/>
      <w:bookmarkStart w:id="455" w:name="_Toc377637702"/>
      <w:bookmarkStart w:id="456" w:name="_Toc377645327"/>
      <w:bookmarkStart w:id="457" w:name="_Toc377645630"/>
      <w:bookmarkStart w:id="458" w:name="_Toc377031145"/>
      <w:bookmarkStart w:id="459" w:name="_Toc377032444"/>
      <w:bookmarkStart w:id="460" w:name="_Toc377559741"/>
      <w:bookmarkStart w:id="461" w:name="_Toc377560168"/>
      <w:bookmarkStart w:id="462" w:name="_Toc377563833"/>
      <w:bookmarkStart w:id="463" w:name="_Toc377564118"/>
      <w:bookmarkStart w:id="464" w:name="_Toc377572076"/>
      <w:bookmarkStart w:id="465" w:name="_Toc377637401"/>
      <w:bookmarkStart w:id="466" w:name="_Toc377637704"/>
      <w:bookmarkStart w:id="467" w:name="_Toc377645329"/>
      <w:bookmarkStart w:id="468" w:name="_Toc377645632"/>
      <w:bookmarkStart w:id="469" w:name="_Toc377031146"/>
      <w:bookmarkStart w:id="470" w:name="_Toc377032445"/>
      <w:bookmarkStart w:id="471" w:name="_Toc377559742"/>
      <w:bookmarkStart w:id="472" w:name="_Toc377560169"/>
      <w:bookmarkStart w:id="473" w:name="_Toc377563834"/>
      <w:bookmarkStart w:id="474" w:name="_Toc377564119"/>
      <w:bookmarkStart w:id="475" w:name="_Toc377572077"/>
      <w:bookmarkStart w:id="476" w:name="_Toc377637402"/>
      <w:bookmarkStart w:id="477" w:name="_Toc377637705"/>
      <w:bookmarkStart w:id="478" w:name="_Toc377645330"/>
      <w:bookmarkStart w:id="479" w:name="_Toc377645633"/>
      <w:bookmarkStart w:id="480" w:name="_Toc377031148"/>
      <w:bookmarkStart w:id="481" w:name="_Toc377032447"/>
      <w:bookmarkStart w:id="482" w:name="_Toc377559744"/>
      <w:bookmarkStart w:id="483" w:name="_Toc377560171"/>
      <w:bookmarkStart w:id="484" w:name="_Toc377563836"/>
      <w:bookmarkStart w:id="485" w:name="_Toc377564121"/>
      <w:bookmarkStart w:id="486" w:name="_Toc377572079"/>
      <w:bookmarkStart w:id="487" w:name="_Toc377637404"/>
      <w:bookmarkStart w:id="488" w:name="_Toc377637707"/>
      <w:bookmarkStart w:id="489" w:name="_Toc377645332"/>
      <w:bookmarkStart w:id="490" w:name="_Toc377645635"/>
      <w:bookmarkStart w:id="491" w:name="_Toc377031150"/>
      <w:bookmarkStart w:id="492" w:name="_Toc377032449"/>
      <w:bookmarkStart w:id="493" w:name="_Toc377559746"/>
      <w:bookmarkStart w:id="494" w:name="_Toc377560173"/>
      <w:bookmarkStart w:id="495" w:name="_Toc377563838"/>
      <w:bookmarkStart w:id="496" w:name="_Toc377564123"/>
      <w:bookmarkStart w:id="497" w:name="_Toc377572081"/>
      <w:bookmarkStart w:id="498" w:name="_Toc377637406"/>
      <w:bookmarkStart w:id="499" w:name="_Toc377637709"/>
      <w:bookmarkStart w:id="500" w:name="_Toc377645334"/>
      <w:bookmarkStart w:id="501" w:name="_Toc377645637"/>
      <w:bookmarkStart w:id="502" w:name="_Toc377031151"/>
      <w:bookmarkStart w:id="503" w:name="_Toc377032450"/>
      <w:bookmarkStart w:id="504" w:name="_Toc377559747"/>
      <w:bookmarkStart w:id="505" w:name="_Toc377560174"/>
      <w:bookmarkStart w:id="506" w:name="_Toc377563839"/>
      <w:bookmarkStart w:id="507" w:name="_Toc377564124"/>
      <w:bookmarkStart w:id="508" w:name="_Toc377572082"/>
      <w:bookmarkStart w:id="509" w:name="_Toc377637407"/>
      <w:bookmarkStart w:id="510" w:name="_Toc377637710"/>
      <w:bookmarkStart w:id="511" w:name="_Toc377645335"/>
      <w:bookmarkStart w:id="512" w:name="_Toc377645638"/>
      <w:bookmarkStart w:id="513" w:name="_Toc377031152"/>
      <w:bookmarkStart w:id="514" w:name="_Toc377032451"/>
      <w:bookmarkStart w:id="515" w:name="_Toc377559748"/>
      <w:bookmarkStart w:id="516" w:name="_Toc377560175"/>
      <w:bookmarkStart w:id="517" w:name="_Toc377563840"/>
      <w:bookmarkStart w:id="518" w:name="_Toc377564125"/>
      <w:bookmarkStart w:id="519" w:name="_Toc377572083"/>
      <w:bookmarkStart w:id="520" w:name="_Toc377637408"/>
      <w:bookmarkStart w:id="521" w:name="_Toc377637711"/>
      <w:bookmarkStart w:id="522" w:name="_Toc377645336"/>
      <w:bookmarkStart w:id="523" w:name="_Toc377645639"/>
      <w:bookmarkStart w:id="524" w:name="_Toc377031153"/>
      <w:bookmarkStart w:id="525" w:name="_Toc377032452"/>
      <w:bookmarkStart w:id="526" w:name="_Toc377559749"/>
      <w:bookmarkStart w:id="527" w:name="_Toc377560176"/>
      <w:bookmarkStart w:id="528" w:name="_Toc377563841"/>
      <w:bookmarkStart w:id="529" w:name="_Toc377564126"/>
      <w:bookmarkStart w:id="530" w:name="_Toc377572084"/>
      <w:bookmarkStart w:id="531" w:name="_Toc377637409"/>
      <w:bookmarkStart w:id="532" w:name="_Toc377637712"/>
      <w:bookmarkStart w:id="533" w:name="_Toc377645337"/>
      <w:bookmarkStart w:id="534" w:name="_Toc377645640"/>
      <w:bookmarkStart w:id="535" w:name="_Toc377031154"/>
      <w:bookmarkStart w:id="536" w:name="_Toc377032453"/>
      <w:bookmarkStart w:id="537" w:name="_Toc377559750"/>
      <w:bookmarkStart w:id="538" w:name="_Toc377560177"/>
      <w:bookmarkStart w:id="539" w:name="_Toc377563842"/>
      <w:bookmarkStart w:id="540" w:name="_Toc377564127"/>
      <w:bookmarkStart w:id="541" w:name="_Toc377572085"/>
      <w:bookmarkStart w:id="542" w:name="_Toc377637410"/>
      <w:bookmarkStart w:id="543" w:name="_Toc377637713"/>
      <w:bookmarkStart w:id="544" w:name="_Toc377645338"/>
      <w:bookmarkStart w:id="545" w:name="_Toc377645641"/>
      <w:bookmarkStart w:id="546" w:name="_Toc377031156"/>
      <w:bookmarkStart w:id="547" w:name="_Toc377032455"/>
      <w:bookmarkStart w:id="548" w:name="_Toc377559752"/>
      <w:bookmarkStart w:id="549" w:name="_Toc377560179"/>
      <w:bookmarkStart w:id="550" w:name="_Toc377563844"/>
      <w:bookmarkStart w:id="551" w:name="_Toc377564129"/>
      <w:bookmarkStart w:id="552" w:name="_Toc377572087"/>
      <w:bookmarkStart w:id="553" w:name="_Toc377637412"/>
      <w:bookmarkStart w:id="554" w:name="_Toc377637715"/>
      <w:bookmarkStart w:id="555" w:name="_Toc377645340"/>
      <w:bookmarkStart w:id="556" w:name="_Toc377645643"/>
      <w:bookmarkStart w:id="557" w:name="_Toc377031158"/>
      <w:bookmarkStart w:id="558" w:name="_Toc377032457"/>
      <w:bookmarkStart w:id="559" w:name="_Toc377559754"/>
      <w:bookmarkStart w:id="560" w:name="_Toc377560181"/>
      <w:bookmarkStart w:id="561" w:name="_Toc377563846"/>
      <w:bookmarkStart w:id="562" w:name="_Toc377564131"/>
      <w:bookmarkStart w:id="563" w:name="_Toc377572089"/>
      <w:bookmarkStart w:id="564" w:name="_Toc377637414"/>
      <w:bookmarkStart w:id="565" w:name="_Toc377637717"/>
      <w:bookmarkStart w:id="566" w:name="_Toc377645342"/>
      <w:bookmarkStart w:id="567" w:name="_Toc377645645"/>
      <w:bookmarkStart w:id="568" w:name="_Toc377031160"/>
      <w:bookmarkStart w:id="569" w:name="_Toc377032459"/>
      <w:bookmarkStart w:id="570" w:name="_Toc377559756"/>
      <w:bookmarkStart w:id="571" w:name="_Toc377560183"/>
      <w:bookmarkStart w:id="572" w:name="_Toc377563848"/>
      <w:bookmarkStart w:id="573" w:name="_Toc377564133"/>
      <w:bookmarkStart w:id="574" w:name="_Toc377572091"/>
      <w:bookmarkStart w:id="575" w:name="_Toc377637416"/>
      <w:bookmarkStart w:id="576" w:name="_Toc377637719"/>
      <w:bookmarkStart w:id="577" w:name="_Toc377645344"/>
      <w:bookmarkStart w:id="578" w:name="_Toc377645647"/>
      <w:bookmarkStart w:id="579" w:name="_Toc377031162"/>
      <w:bookmarkStart w:id="580" w:name="_Toc377032461"/>
      <w:bookmarkStart w:id="581" w:name="_Toc377559758"/>
      <w:bookmarkStart w:id="582" w:name="_Toc377560185"/>
      <w:bookmarkStart w:id="583" w:name="_Toc377563850"/>
      <w:bookmarkStart w:id="584" w:name="_Toc377564135"/>
      <w:bookmarkStart w:id="585" w:name="_Toc377572093"/>
      <w:bookmarkStart w:id="586" w:name="_Toc377637418"/>
      <w:bookmarkStart w:id="587" w:name="_Toc377637721"/>
      <w:bookmarkStart w:id="588" w:name="_Toc377645346"/>
      <w:bookmarkStart w:id="589" w:name="_Toc377645649"/>
      <w:bookmarkStart w:id="590" w:name="_Toc377031164"/>
      <w:bookmarkStart w:id="591" w:name="_Toc377032463"/>
      <w:bookmarkStart w:id="592" w:name="_Toc377559760"/>
      <w:bookmarkStart w:id="593" w:name="_Toc377560187"/>
      <w:bookmarkStart w:id="594" w:name="_Toc377563852"/>
      <w:bookmarkStart w:id="595" w:name="_Toc377564137"/>
      <w:bookmarkStart w:id="596" w:name="_Toc377572095"/>
      <w:bookmarkStart w:id="597" w:name="_Toc377637420"/>
      <w:bookmarkStart w:id="598" w:name="_Toc377637723"/>
      <w:bookmarkStart w:id="599" w:name="_Toc377645348"/>
      <w:bookmarkStart w:id="600" w:name="_Toc377645651"/>
      <w:bookmarkStart w:id="601" w:name="_Toc377031165"/>
      <w:bookmarkStart w:id="602" w:name="_Toc377032464"/>
      <w:bookmarkStart w:id="603" w:name="_Toc377559761"/>
      <w:bookmarkStart w:id="604" w:name="_Toc377560188"/>
      <w:bookmarkStart w:id="605" w:name="_Toc377563853"/>
      <w:bookmarkStart w:id="606" w:name="_Toc377564138"/>
      <w:bookmarkStart w:id="607" w:name="_Toc377572096"/>
      <w:bookmarkStart w:id="608" w:name="_Toc377637421"/>
      <w:bookmarkStart w:id="609" w:name="_Toc377637724"/>
      <w:bookmarkStart w:id="610" w:name="_Toc377645349"/>
      <w:bookmarkStart w:id="611" w:name="_Toc377645652"/>
      <w:bookmarkStart w:id="612" w:name="_Toc377031166"/>
      <w:bookmarkStart w:id="613" w:name="_Toc377032465"/>
      <w:bookmarkStart w:id="614" w:name="_Toc377559762"/>
      <w:bookmarkStart w:id="615" w:name="_Toc377560189"/>
      <w:bookmarkStart w:id="616" w:name="_Toc377563854"/>
      <w:bookmarkStart w:id="617" w:name="_Toc377564139"/>
      <w:bookmarkStart w:id="618" w:name="_Toc377572097"/>
      <w:bookmarkStart w:id="619" w:name="_Toc377637422"/>
      <w:bookmarkStart w:id="620" w:name="_Toc377637725"/>
      <w:bookmarkStart w:id="621" w:name="_Toc377645350"/>
      <w:bookmarkStart w:id="622" w:name="_Toc377645653"/>
      <w:bookmarkStart w:id="623" w:name="_Toc377031169"/>
      <w:bookmarkStart w:id="624" w:name="_Toc377032468"/>
      <w:bookmarkStart w:id="625" w:name="_Toc377559765"/>
      <w:bookmarkStart w:id="626" w:name="_Toc377560192"/>
      <w:bookmarkStart w:id="627" w:name="_Toc377563857"/>
      <w:bookmarkStart w:id="628" w:name="_Toc377564142"/>
      <w:bookmarkStart w:id="629" w:name="_Toc377572100"/>
      <w:bookmarkStart w:id="630" w:name="_Toc377637425"/>
      <w:bookmarkStart w:id="631" w:name="_Toc377637728"/>
      <w:bookmarkStart w:id="632" w:name="_Toc377645353"/>
      <w:bookmarkStart w:id="633" w:name="_Toc377645656"/>
      <w:bookmarkStart w:id="634" w:name="_Toc377031171"/>
      <w:bookmarkStart w:id="635" w:name="_Toc377032470"/>
      <w:bookmarkStart w:id="636" w:name="_Toc377559767"/>
      <w:bookmarkStart w:id="637" w:name="_Toc377560194"/>
      <w:bookmarkStart w:id="638" w:name="_Toc377563859"/>
      <w:bookmarkStart w:id="639" w:name="_Toc377564144"/>
      <w:bookmarkStart w:id="640" w:name="_Toc377572102"/>
      <w:bookmarkStart w:id="641" w:name="_Toc377637427"/>
      <w:bookmarkStart w:id="642" w:name="_Toc377637730"/>
      <w:bookmarkStart w:id="643" w:name="_Toc377645355"/>
      <w:bookmarkStart w:id="644" w:name="_Toc377645658"/>
      <w:bookmarkStart w:id="645" w:name="_Toc377031173"/>
      <w:bookmarkStart w:id="646" w:name="_Toc377032472"/>
      <w:bookmarkStart w:id="647" w:name="_Toc377559769"/>
      <w:bookmarkStart w:id="648" w:name="_Toc377560196"/>
      <w:bookmarkStart w:id="649" w:name="_Toc377563861"/>
      <w:bookmarkStart w:id="650" w:name="_Toc377564146"/>
      <w:bookmarkStart w:id="651" w:name="_Toc377572104"/>
      <w:bookmarkStart w:id="652" w:name="_Toc377637429"/>
      <w:bookmarkStart w:id="653" w:name="_Toc377637732"/>
      <w:bookmarkStart w:id="654" w:name="_Toc377645357"/>
      <w:bookmarkStart w:id="655" w:name="_Toc377645660"/>
      <w:bookmarkStart w:id="656" w:name="_Toc377031175"/>
      <w:bookmarkStart w:id="657" w:name="_Toc377032474"/>
      <w:bookmarkStart w:id="658" w:name="_Toc377559771"/>
      <w:bookmarkStart w:id="659" w:name="_Toc377560198"/>
      <w:bookmarkStart w:id="660" w:name="_Toc377563863"/>
      <w:bookmarkStart w:id="661" w:name="_Toc377564148"/>
      <w:bookmarkStart w:id="662" w:name="_Toc377572106"/>
      <w:bookmarkStart w:id="663" w:name="_Toc377637431"/>
      <w:bookmarkStart w:id="664" w:name="_Toc377637734"/>
      <w:bookmarkStart w:id="665" w:name="_Toc377645359"/>
      <w:bookmarkStart w:id="666" w:name="_Toc377645662"/>
      <w:bookmarkStart w:id="667" w:name="_Toc377031177"/>
      <w:bookmarkStart w:id="668" w:name="_Toc377032476"/>
      <w:bookmarkStart w:id="669" w:name="_Toc377559773"/>
      <w:bookmarkStart w:id="670" w:name="_Toc377560200"/>
      <w:bookmarkStart w:id="671" w:name="_Toc377563865"/>
      <w:bookmarkStart w:id="672" w:name="_Toc377564150"/>
      <w:bookmarkStart w:id="673" w:name="_Toc377572108"/>
      <w:bookmarkStart w:id="674" w:name="_Toc377637433"/>
      <w:bookmarkStart w:id="675" w:name="_Toc377637736"/>
      <w:bookmarkStart w:id="676" w:name="_Toc377645361"/>
      <w:bookmarkStart w:id="677" w:name="_Toc377645664"/>
      <w:bookmarkStart w:id="678" w:name="_Toc377031179"/>
      <w:bookmarkStart w:id="679" w:name="_Toc377032478"/>
      <w:bookmarkStart w:id="680" w:name="_Toc377559775"/>
      <w:bookmarkStart w:id="681" w:name="_Toc377560202"/>
      <w:bookmarkStart w:id="682" w:name="_Toc377563867"/>
      <w:bookmarkStart w:id="683" w:name="_Toc377564152"/>
      <w:bookmarkStart w:id="684" w:name="_Toc377572110"/>
      <w:bookmarkStart w:id="685" w:name="_Toc377637435"/>
      <w:bookmarkStart w:id="686" w:name="_Toc377637738"/>
      <w:bookmarkStart w:id="687" w:name="_Toc377645363"/>
      <w:bookmarkStart w:id="688" w:name="_Toc377645666"/>
      <w:bookmarkStart w:id="689" w:name="_Toc377031181"/>
      <w:bookmarkStart w:id="690" w:name="_Toc377032480"/>
      <w:bookmarkStart w:id="691" w:name="_Toc377559777"/>
      <w:bookmarkStart w:id="692" w:name="_Toc377560204"/>
      <w:bookmarkStart w:id="693" w:name="_Toc377563869"/>
      <w:bookmarkStart w:id="694" w:name="_Toc377564154"/>
      <w:bookmarkStart w:id="695" w:name="_Toc377572112"/>
      <w:bookmarkStart w:id="696" w:name="_Toc377637437"/>
      <w:bookmarkStart w:id="697" w:name="_Toc377637740"/>
      <w:bookmarkStart w:id="698" w:name="_Toc377645365"/>
      <w:bookmarkStart w:id="699" w:name="_Toc377645668"/>
      <w:bookmarkStart w:id="700" w:name="_Toc377031182"/>
      <w:bookmarkStart w:id="701" w:name="_Toc377032481"/>
      <w:bookmarkStart w:id="702" w:name="_Toc377559778"/>
      <w:bookmarkStart w:id="703" w:name="_Toc377560205"/>
      <w:bookmarkStart w:id="704" w:name="_Toc377563870"/>
      <w:bookmarkStart w:id="705" w:name="_Toc377564155"/>
      <w:bookmarkStart w:id="706" w:name="_Toc377572113"/>
      <w:bookmarkStart w:id="707" w:name="_Toc377637438"/>
      <w:bookmarkStart w:id="708" w:name="_Toc377637741"/>
      <w:bookmarkStart w:id="709" w:name="_Toc377645366"/>
      <w:bookmarkStart w:id="710" w:name="_Toc377645669"/>
      <w:bookmarkStart w:id="711" w:name="_Toc377031184"/>
      <w:bookmarkStart w:id="712" w:name="_Toc377032483"/>
      <w:bookmarkStart w:id="713" w:name="_Toc377559780"/>
      <w:bookmarkStart w:id="714" w:name="_Toc377560207"/>
      <w:bookmarkStart w:id="715" w:name="_Toc377563872"/>
      <w:bookmarkStart w:id="716" w:name="_Toc377564157"/>
      <w:bookmarkStart w:id="717" w:name="_Toc377572115"/>
      <w:bookmarkStart w:id="718" w:name="_Toc377637440"/>
      <w:bookmarkStart w:id="719" w:name="_Toc377637743"/>
      <w:bookmarkStart w:id="720" w:name="_Toc377645368"/>
      <w:bookmarkStart w:id="721" w:name="_Toc377645671"/>
      <w:bookmarkStart w:id="722" w:name="_Toc377031186"/>
      <w:bookmarkStart w:id="723" w:name="_Toc377032485"/>
      <w:bookmarkStart w:id="724" w:name="_Toc377559782"/>
      <w:bookmarkStart w:id="725" w:name="_Toc377560209"/>
      <w:bookmarkStart w:id="726" w:name="_Toc377563874"/>
      <w:bookmarkStart w:id="727" w:name="_Toc377564159"/>
      <w:bookmarkStart w:id="728" w:name="_Toc377572117"/>
      <w:bookmarkStart w:id="729" w:name="_Toc377637442"/>
      <w:bookmarkStart w:id="730" w:name="_Toc377637745"/>
      <w:bookmarkStart w:id="731" w:name="_Toc377645370"/>
      <w:bookmarkStart w:id="732" w:name="_Toc377645673"/>
      <w:bookmarkStart w:id="733" w:name="_Toc377031188"/>
      <w:bookmarkStart w:id="734" w:name="_Toc377032487"/>
      <w:bookmarkStart w:id="735" w:name="_Toc377559784"/>
      <w:bookmarkStart w:id="736" w:name="_Toc377560211"/>
      <w:bookmarkStart w:id="737" w:name="_Toc377563876"/>
      <w:bookmarkStart w:id="738" w:name="_Toc377564161"/>
      <w:bookmarkStart w:id="739" w:name="_Toc377572119"/>
      <w:bookmarkStart w:id="740" w:name="_Toc377637444"/>
      <w:bookmarkStart w:id="741" w:name="_Toc377637747"/>
      <w:bookmarkStart w:id="742" w:name="_Toc377645372"/>
      <w:bookmarkStart w:id="743" w:name="_Toc377645675"/>
      <w:bookmarkStart w:id="744" w:name="_Toc377031190"/>
      <w:bookmarkStart w:id="745" w:name="_Toc377032489"/>
      <w:bookmarkStart w:id="746" w:name="_Toc377559786"/>
      <w:bookmarkStart w:id="747" w:name="_Toc377560213"/>
      <w:bookmarkStart w:id="748" w:name="_Toc377563878"/>
      <w:bookmarkStart w:id="749" w:name="_Toc377564163"/>
      <w:bookmarkStart w:id="750" w:name="_Toc377572121"/>
      <w:bookmarkStart w:id="751" w:name="_Toc377637446"/>
      <w:bookmarkStart w:id="752" w:name="_Toc377637749"/>
      <w:bookmarkStart w:id="753" w:name="_Toc377645374"/>
      <w:bookmarkStart w:id="754" w:name="_Toc377645677"/>
      <w:bookmarkStart w:id="755" w:name="_Toc377031192"/>
      <w:bookmarkStart w:id="756" w:name="_Toc377032491"/>
      <w:bookmarkStart w:id="757" w:name="_Toc377559788"/>
      <w:bookmarkStart w:id="758" w:name="_Toc377560215"/>
      <w:bookmarkStart w:id="759" w:name="_Toc377563880"/>
      <w:bookmarkStart w:id="760" w:name="_Toc377564165"/>
      <w:bookmarkStart w:id="761" w:name="_Toc377572123"/>
      <w:bookmarkStart w:id="762" w:name="_Toc377637448"/>
      <w:bookmarkStart w:id="763" w:name="_Toc377637751"/>
      <w:bookmarkStart w:id="764" w:name="_Toc377645376"/>
      <w:bookmarkStart w:id="765" w:name="_Toc377645679"/>
      <w:bookmarkStart w:id="766" w:name="_Toc377031193"/>
      <w:bookmarkStart w:id="767" w:name="_Toc377032492"/>
      <w:bookmarkStart w:id="768" w:name="_Toc377559789"/>
      <w:bookmarkStart w:id="769" w:name="_Toc377560216"/>
      <w:bookmarkStart w:id="770" w:name="_Toc377563881"/>
      <w:bookmarkStart w:id="771" w:name="_Toc377564166"/>
      <w:bookmarkStart w:id="772" w:name="_Toc377572124"/>
      <w:bookmarkStart w:id="773" w:name="_Toc377637449"/>
      <w:bookmarkStart w:id="774" w:name="_Toc377637752"/>
      <w:bookmarkStart w:id="775" w:name="_Toc377645377"/>
      <w:bookmarkStart w:id="776" w:name="_Toc377645680"/>
      <w:bookmarkStart w:id="777" w:name="_Toc377031194"/>
      <w:bookmarkStart w:id="778" w:name="_Toc377032493"/>
      <w:bookmarkStart w:id="779" w:name="_Toc377559790"/>
      <w:bookmarkStart w:id="780" w:name="_Toc377560217"/>
      <w:bookmarkStart w:id="781" w:name="_Toc377563882"/>
      <w:bookmarkStart w:id="782" w:name="_Toc377564167"/>
      <w:bookmarkStart w:id="783" w:name="_Toc377572125"/>
      <w:bookmarkStart w:id="784" w:name="_Toc377637450"/>
      <w:bookmarkStart w:id="785" w:name="_Toc377637753"/>
      <w:bookmarkStart w:id="786" w:name="_Toc377645378"/>
      <w:bookmarkStart w:id="787" w:name="_Toc377645681"/>
      <w:bookmarkStart w:id="788" w:name="_Toc377031196"/>
      <w:bookmarkStart w:id="789" w:name="_Toc377032495"/>
      <w:bookmarkStart w:id="790" w:name="_Toc377559792"/>
      <w:bookmarkStart w:id="791" w:name="_Toc377560219"/>
      <w:bookmarkStart w:id="792" w:name="_Toc377563884"/>
      <w:bookmarkStart w:id="793" w:name="_Toc377564169"/>
      <w:bookmarkStart w:id="794" w:name="_Toc377572127"/>
      <w:bookmarkStart w:id="795" w:name="_Toc377637452"/>
      <w:bookmarkStart w:id="796" w:name="_Toc377637755"/>
      <w:bookmarkStart w:id="797" w:name="_Toc377645380"/>
      <w:bookmarkStart w:id="798" w:name="_Toc377645683"/>
      <w:bookmarkStart w:id="799" w:name="_Toc377031198"/>
      <w:bookmarkStart w:id="800" w:name="_Toc377032497"/>
      <w:bookmarkStart w:id="801" w:name="_Toc377559794"/>
      <w:bookmarkStart w:id="802" w:name="_Toc377560221"/>
      <w:bookmarkStart w:id="803" w:name="_Toc377563886"/>
      <w:bookmarkStart w:id="804" w:name="_Toc377564171"/>
      <w:bookmarkStart w:id="805" w:name="_Toc377572129"/>
      <w:bookmarkStart w:id="806" w:name="_Toc377637454"/>
      <w:bookmarkStart w:id="807" w:name="_Toc377637757"/>
      <w:bookmarkStart w:id="808" w:name="_Toc377645382"/>
      <w:bookmarkStart w:id="809" w:name="_Toc377645685"/>
      <w:bookmarkStart w:id="810" w:name="_Toc377031200"/>
      <w:bookmarkStart w:id="811" w:name="_Toc377032499"/>
      <w:bookmarkStart w:id="812" w:name="_Toc377559796"/>
      <w:bookmarkStart w:id="813" w:name="_Toc377560223"/>
      <w:bookmarkStart w:id="814" w:name="_Toc377563888"/>
      <w:bookmarkStart w:id="815" w:name="_Toc377564173"/>
      <w:bookmarkStart w:id="816" w:name="_Toc377572131"/>
      <w:bookmarkStart w:id="817" w:name="_Toc377637456"/>
      <w:bookmarkStart w:id="818" w:name="_Toc377637759"/>
      <w:bookmarkStart w:id="819" w:name="_Toc377645384"/>
      <w:bookmarkStart w:id="820" w:name="_Toc377645687"/>
      <w:bookmarkStart w:id="821" w:name="_Toc377031201"/>
      <w:bookmarkStart w:id="822" w:name="_Toc377032500"/>
      <w:bookmarkStart w:id="823" w:name="_Toc377559797"/>
      <w:bookmarkStart w:id="824" w:name="_Toc377560224"/>
      <w:bookmarkStart w:id="825" w:name="_Toc377563889"/>
      <w:bookmarkStart w:id="826" w:name="_Toc377564174"/>
      <w:bookmarkStart w:id="827" w:name="_Toc377572132"/>
      <w:bookmarkStart w:id="828" w:name="_Toc377637457"/>
      <w:bookmarkStart w:id="829" w:name="_Toc377637760"/>
      <w:bookmarkStart w:id="830" w:name="_Toc377645385"/>
      <w:bookmarkStart w:id="831" w:name="_Toc377645688"/>
      <w:bookmarkStart w:id="832" w:name="_Toc377031202"/>
      <w:bookmarkStart w:id="833" w:name="_Toc377032501"/>
      <w:bookmarkStart w:id="834" w:name="_Toc377559798"/>
      <w:bookmarkStart w:id="835" w:name="_Toc377560225"/>
      <w:bookmarkStart w:id="836" w:name="_Toc377563890"/>
      <w:bookmarkStart w:id="837" w:name="_Toc377564175"/>
      <w:bookmarkStart w:id="838" w:name="_Toc377572133"/>
      <w:bookmarkStart w:id="839" w:name="_Toc377637458"/>
      <w:bookmarkStart w:id="840" w:name="_Toc377637761"/>
      <w:bookmarkStart w:id="841" w:name="_Toc377645386"/>
      <w:bookmarkStart w:id="842" w:name="_Toc377645689"/>
      <w:bookmarkStart w:id="843" w:name="_Toc377031204"/>
      <w:bookmarkStart w:id="844" w:name="_Toc377032503"/>
      <w:bookmarkStart w:id="845" w:name="_Toc377559800"/>
      <w:bookmarkStart w:id="846" w:name="_Toc377560227"/>
      <w:bookmarkStart w:id="847" w:name="_Toc377563892"/>
      <w:bookmarkStart w:id="848" w:name="_Toc377564177"/>
      <w:bookmarkStart w:id="849" w:name="_Toc377572135"/>
      <w:bookmarkStart w:id="850" w:name="_Toc377637460"/>
      <w:bookmarkStart w:id="851" w:name="_Toc377637763"/>
      <w:bookmarkStart w:id="852" w:name="_Toc377645388"/>
      <w:bookmarkStart w:id="853" w:name="_Toc377645691"/>
      <w:bookmarkStart w:id="854" w:name="_Toc377031206"/>
      <w:bookmarkStart w:id="855" w:name="_Toc377032505"/>
      <w:bookmarkStart w:id="856" w:name="_Toc377559802"/>
      <w:bookmarkStart w:id="857" w:name="_Toc377560229"/>
      <w:bookmarkStart w:id="858" w:name="_Toc377563894"/>
      <w:bookmarkStart w:id="859" w:name="_Toc377564179"/>
      <w:bookmarkStart w:id="860" w:name="_Toc377572137"/>
      <w:bookmarkStart w:id="861" w:name="_Toc377637462"/>
      <w:bookmarkStart w:id="862" w:name="_Toc377637765"/>
      <w:bookmarkStart w:id="863" w:name="_Toc377645390"/>
      <w:bookmarkStart w:id="864" w:name="_Toc377645693"/>
      <w:bookmarkStart w:id="865" w:name="_Toc377031208"/>
      <w:bookmarkStart w:id="866" w:name="_Toc377032507"/>
      <w:bookmarkStart w:id="867" w:name="_Toc377559804"/>
      <w:bookmarkStart w:id="868" w:name="_Toc377560231"/>
      <w:bookmarkStart w:id="869" w:name="_Toc377563896"/>
      <w:bookmarkStart w:id="870" w:name="_Toc377564181"/>
      <w:bookmarkStart w:id="871" w:name="_Toc377572139"/>
      <w:bookmarkStart w:id="872" w:name="_Toc377637464"/>
      <w:bookmarkStart w:id="873" w:name="_Toc377637767"/>
      <w:bookmarkStart w:id="874" w:name="_Toc377645392"/>
      <w:bookmarkStart w:id="875" w:name="_Toc377645695"/>
      <w:bookmarkStart w:id="876" w:name="_Toc377031210"/>
      <w:bookmarkStart w:id="877" w:name="_Toc377032509"/>
      <w:bookmarkStart w:id="878" w:name="_Toc377559806"/>
      <w:bookmarkStart w:id="879" w:name="_Toc377560233"/>
      <w:bookmarkStart w:id="880" w:name="_Toc377563898"/>
      <w:bookmarkStart w:id="881" w:name="_Toc377564183"/>
      <w:bookmarkStart w:id="882" w:name="_Toc377572141"/>
      <w:bookmarkStart w:id="883" w:name="_Toc377637466"/>
      <w:bookmarkStart w:id="884" w:name="_Toc377637769"/>
      <w:bookmarkStart w:id="885" w:name="_Toc377645394"/>
      <w:bookmarkStart w:id="886" w:name="_Toc377645697"/>
      <w:bookmarkStart w:id="887" w:name="_Toc377031211"/>
      <w:bookmarkStart w:id="888" w:name="_Toc377032510"/>
      <w:bookmarkStart w:id="889" w:name="_Toc377559807"/>
      <w:bookmarkStart w:id="890" w:name="_Toc377560234"/>
      <w:bookmarkStart w:id="891" w:name="_Toc377563899"/>
      <w:bookmarkStart w:id="892" w:name="_Toc377564184"/>
      <w:bookmarkStart w:id="893" w:name="_Toc377572142"/>
      <w:bookmarkStart w:id="894" w:name="_Toc377637467"/>
      <w:bookmarkStart w:id="895" w:name="_Toc377637770"/>
      <w:bookmarkStart w:id="896" w:name="_Toc377645395"/>
      <w:bookmarkStart w:id="897" w:name="_Toc377645698"/>
      <w:bookmarkStart w:id="898" w:name="_Toc377031212"/>
      <w:bookmarkStart w:id="899" w:name="_Toc377032511"/>
      <w:bookmarkStart w:id="900" w:name="_Toc377559808"/>
      <w:bookmarkStart w:id="901" w:name="_Toc377560235"/>
      <w:bookmarkStart w:id="902" w:name="_Toc377563900"/>
      <w:bookmarkStart w:id="903" w:name="_Toc377564185"/>
      <w:bookmarkStart w:id="904" w:name="_Toc377572143"/>
      <w:bookmarkStart w:id="905" w:name="_Toc377637468"/>
      <w:bookmarkStart w:id="906" w:name="_Toc377637771"/>
      <w:bookmarkStart w:id="907" w:name="_Toc377645396"/>
      <w:bookmarkStart w:id="908" w:name="_Toc377645699"/>
      <w:bookmarkStart w:id="909" w:name="_Toc377031214"/>
      <w:bookmarkStart w:id="910" w:name="_Toc377032513"/>
      <w:bookmarkStart w:id="911" w:name="_Toc377559810"/>
      <w:bookmarkStart w:id="912" w:name="_Toc377560237"/>
      <w:bookmarkStart w:id="913" w:name="_Toc377563902"/>
      <w:bookmarkStart w:id="914" w:name="_Toc377564187"/>
      <w:bookmarkStart w:id="915" w:name="_Toc377572145"/>
      <w:bookmarkStart w:id="916" w:name="_Toc377637470"/>
      <w:bookmarkStart w:id="917" w:name="_Toc377637773"/>
      <w:bookmarkStart w:id="918" w:name="_Toc377645398"/>
      <w:bookmarkStart w:id="919" w:name="_Toc377645701"/>
      <w:bookmarkStart w:id="920" w:name="_Toc377031216"/>
      <w:bookmarkStart w:id="921" w:name="_Toc377032515"/>
      <w:bookmarkStart w:id="922" w:name="_Toc377559812"/>
      <w:bookmarkStart w:id="923" w:name="_Toc377560239"/>
      <w:bookmarkStart w:id="924" w:name="_Toc377563904"/>
      <w:bookmarkStart w:id="925" w:name="_Toc377564189"/>
      <w:bookmarkStart w:id="926" w:name="_Toc377572147"/>
      <w:bookmarkStart w:id="927" w:name="_Toc377637472"/>
      <w:bookmarkStart w:id="928" w:name="_Toc377637775"/>
      <w:bookmarkStart w:id="929" w:name="_Toc377645400"/>
      <w:bookmarkStart w:id="930" w:name="_Toc377645703"/>
      <w:bookmarkStart w:id="931" w:name="_Toc377031218"/>
      <w:bookmarkStart w:id="932" w:name="_Toc377032517"/>
      <w:bookmarkStart w:id="933" w:name="_Toc377559814"/>
      <w:bookmarkStart w:id="934" w:name="_Toc377560241"/>
      <w:bookmarkStart w:id="935" w:name="_Toc377563906"/>
      <w:bookmarkStart w:id="936" w:name="_Toc377564191"/>
      <w:bookmarkStart w:id="937" w:name="_Toc377572149"/>
      <w:bookmarkStart w:id="938" w:name="_Toc377637474"/>
      <w:bookmarkStart w:id="939" w:name="_Toc377637777"/>
      <w:bookmarkStart w:id="940" w:name="_Toc377645402"/>
      <w:bookmarkStart w:id="941" w:name="_Toc377645705"/>
      <w:bookmarkStart w:id="942" w:name="_Toc377031220"/>
      <w:bookmarkStart w:id="943" w:name="_Toc377032519"/>
      <w:bookmarkStart w:id="944" w:name="_Toc377559816"/>
      <w:bookmarkStart w:id="945" w:name="_Toc377560243"/>
      <w:bookmarkStart w:id="946" w:name="_Toc377563908"/>
      <w:bookmarkStart w:id="947" w:name="_Toc377564193"/>
      <w:bookmarkStart w:id="948" w:name="_Toc377572151"/>
      <w:bookmarkStart w:id="949" w:name="_Toc377637476"/>
      <w:bookmarkStart w:id="950" w:name="_Toc377637779"/>
      <w:bookmarkStart w:id="951" w:name="_Toc377645404"/>
      <w:bookmarkStart w:id="952" w:name="_Toc377645707"/>
      <w:bookmarkStart w:id="953" w:name="_Toc377031222"/>
      <w:bookmarkStart w:id="954" w:name="_Toc377032521"/>
      <w:bookmarkStart w:id="955" w:name="_Toc377559818"/>
      <w:bookmarkStart w:id="956" w:name="_Toc377560245"/>
      <w:bookmarkStart w:id="957" w:name="_Toc377563910"/>
      <w:bookmarkStart w:id="958" w:name="_Toc377564195"/>
      <w:bookmarkStart w:id="959" w:name="_Toc377572153"/>
      <w:bookmarkStart w:id="960" w:name="_Toc377637478"/>
      <w:bookmarkStart w:id="961" w:name="_Toc377637781"/>
      <w:bookmarkStart w:id="962" w:name="_Toc377645406"/>
      <w:bookmarkStart w:id="963" w:name="_Toc377645709"/>
      <w:bookmarkStart w:id="964" w:name="_Toc377031224"/>
      <w:bookmarkStart w:id="965" w:name="_Toc377032523"/>
      <w:bookmarkStart w:id="966" w:name="_Toc377559820"/>
      <w:bookmarkStart w:id="967" w:name="_Toc377560247"/>
      <w:bookmarkStart w:id="968" w:name="_Toc377563912"/>
      <w:bookmarkStart w:id="969" w:name="_Toc377564197"/>
      <w:bookmarkStart w:id="970" w:name="_Toc377572155"/>
      <w:bookmarkStart w:id="971" w:name="_Toc377637480"/>
      <w:bookmarkStart w:id="972" w:name="_Toc377637783"/>
      <w:bookmarkStart w:id="973" w:name="_Toc377645408"/>
      <w:bookmarkStart w:id="974" w:name="_Toc377645711"/>
      <w:bookmarkStart w:id="975" w:name="_Toc377031226"/>
      <w:bookmarkStart w:id="976" w:name="_Toc377032525"/>
      <w:bookmarkStart w:id="977" w:name="_Toc377559822"/>
      <w:bookmarkStart w:id="978" w:name="_Toc377560249"/>
      <w:bookmarkStart w:id="979" w:name="_Toc377563914"/>
      <w:bookmarkStart w:id="980" w:name="_Toc377564199"/>
      <w:bookmarkStart w:id="981" w:name="_Toc377572157"/>
      <w:bookmarkStart w:id="982" w:name="_Toc377637482"/>
      <w:bookmarkStart w:id="983" w:name="_Toc377637785"/>
      <w:bookmarkStart w:id="984" w:name="_Toc377645410"/>
      <w:bookmarkStart w:id="985" w:name="_Toc377645713"/>
      <w:bookmarkStart w:id="986" w:name="_Toc377031227"/>
      <w:bookmarkStart w:id="987" w:name="_Toc377032526"/>
      <w:bookmarkStart w:id="988" w:name="_Toc377559823"/>
      <w:bookmarkStart w:id="989" w:name="_Toc377560250"/>
      <w:bookmarkStart w:id="990" w:name="_Toc377563915"/>
      <w:bookmarkStart w:id="991" w:name="_Toc377564200"/>
      <w:bookmarkStart w:id="992" w:name="_Toc377572158"/>
      <w:bookmarkStart w:id="993" w:name="_Toc377637483"/>
      <w:bookmarkStart w:id="994" w:name="_Toc377637786"/>
      <w:bookmarkStart w:id="995" w:name="_Toc377645411"/>
      <w:bookmarkStart w:id="996" w:name="_Toc377645714"/>
      <w:bookmarkStart w:id="997" w:name="_Toc377031231"/>
      <w:bookmarkStart w:id="998" w:name="_Toc377032530"/>
      <w:bookmarkStart w:id="999" w:name="_Toc377559827"/>
      <w:bookmarkStart w:id="1000" w:name="_Toc377560254"/>
      <w:bookmarkStart w:id="1001" w:name="_Toc377563919"/>
      <w:bookmarkStart w:id="1002" w:name="_Toc377564204"/>
      <w:bookmarkStart w:id="1003" w:name="_Toc377572162"/>
      <w:bookmarkStart w:id="1004" w:name="_Toc377637487"/>
      <w:bookmarkStart w:id="1005" w:name="_Toc377637790"/>
      <w:bookmarkStart w:id="1006" w:name="_Toc377645415"/>
      <w:bookmarkStart w:id="1007" w:name="_Toc377645718"/>
      <w:bookmarkStart w:id="1008" w:name="_Toc377031233"/>
      <w:bookmarkStart w:id="1009" w:name="_Toc377032532"/>
      <w:bookmarkStart w:id="1010" w:name="_Toc377559829"/>
      <w:bookmarkStart w:id="1011" w:name="_Toc377560256"/>
      <w:bookmarkStart w:id="1012" w:name="_Toc377563921"/>
      <w:bookmarkStart w:id="1013" w:name="_Toc377564206"/>
      <w:bookmarkStart w:id="1014" w:name="_Toc377572164"/>
      <w:bookmarkStart w:id="1015" w:name="_Toc377637489"/>
      <w:bookmarkStart w:id="1016" w:name="_Toc377637792"/>
      <w:bookmarkStart w:id="1017" w:name="_Toc377645417"/>
      <w:bookmarkStart w:id="1018" w:name="_Toc377645720"/>
      <w:bookmarkStart w:id="1019" w:name="_Toc377031235"/>
      <w:bookmarkStart w:id="1020" w:name="_Toc377032534"/>
      <w:bookmarkStart w:id="1021" w:name="_Toc377559831"/>
      <w:bookmarkStart w:id="1022" w:name="_Toc377560258"/>
      <w:bookmarkStart w:id="1023" w:name="_Toc377563923"/>
      <w:bookmarkStart w:id="1024" w:name="_Toc377564208"/>
      <w:bookmarkStart w:id="1025" w:name="_Toc377572166"/>
      <w:bookmarkStart w:id="1026" w:name="_Toc377637491"/>
      <w:bookmarkStart w:id="1027" w:name="_Toc377637794"/>
      <w:bookmarkStart w:id="1028" w:name="_Toc377645419"/>
      <w:bookmarkStart w:id="1029" w:name="_Toc377645722"/>
      <w:bookmarkStart w:id="1030" w:name="_Toc377031237"/>
      <w:bookmarkStart w:id="1031" w:name="_Toc377032536"/>
      <w:bookmarkStart w:id="1032" w:name="_Toc377559833"/>
      <w:bookmarkStart w:id="1033" w:name="_Toc377560260"/>
      <w:bookmarkStart w:id="1034" w:name="_Toc377563925"/>
      <w:bookmarkStart w:id="1035" w:name="_Toc377564210"/>
      <w:bookmarkStart w:id="1036" w:name="_Toc377572168"/>
      <w:bookmarkStart w:id="1037" w:name="_Toc377637493"/>
      <w:bookmarkStart w:id="1038" w:name="_Toc377637796"/>
      <w:bookmarkStart w:id="1039" w:name="_Toc377645421"/>
      <w:bookmarkStart w:id="1040" w:name="_Toc377645724"/>
      <w:bookmarkStart w:id="1041" w:name="_Toc377031239"/>
      <w:bookmarkStart w:id="1042" w:name="_Toc377032538"/>
      <w:bookmarkStart w:id="1043" w:name="_Toc377559835"/>
      <w:bookmarkStart w:id="1044" w:name="_Toc377560262"/>
      <w:bookmarkStart w:id="1045" w:name="_Toc377563927"/>
      <w:bookmarkStart w:id="1046" w:name="_Toc377564212"/>
      <w:bookmarkStart w:id="1047" w:name="_Toc377572170"/>
      <w:bookmarkStart w:id="1048" w:name="_Toc377637495"/>
      <w:bookmarkStart w:id="1049" w:name="_Toc377637798"/>
      <w:bookmarkStart w:id="1050" w:name="_Toc377645423"/>
      <w:bookmarkStart w:id="1051" w:name="_Toc377645726"/>
      <w:bookmarkStart w:id="1052" w:name="_Toc377031241"/>
      <w:bookmarkStart w:id="1053" w:name="_Toc377032540"/>
      <w:bookmarkStart w:id="1054" w:name="_Toc377559837"/>
      <w:bookmarkStart w:id="1055" w:name="_Toc377560264"/>
      <w:bookmarkStart w:id="1056" w:name="_Toc377563929"/>
      <w:bookmarkStart w:id="1057" w:name="_Toc377564214"/>
      <w:bookmarkStart w:id="1058" w:name="_Toc377572172"/>
      <w:bookmarkStart w:id="1059" w:name="_Toc377637497"/>
      <w:bookmarkStart w:id="1060" w:name="_Toc377637800"/>
      <w:bookmarkStart w:id="1061" w:name="_Toc377645425"/>
      <w:bookmarkStart w:id="1062" w:name="_Toc377645728"/>
      <w:bookmarkStart w:id="1063" w:name="_Toc377031243"/>
      <w:bookmarkStart w:id="1064" w:name="_Toc377032542"/>
      <w:bookmarkStart w:id="1065" w:name="_Toc377559839"/>
      <w:bookmarkStart w:id="1066" w:name="_Toc377560266"/>
      <w:bookmarkStart w:id="1067" w:name="_Toc377563931"/>
      <w:bookmarkStart w:id="1068" w:name="_Toc377564216"/>
      <w:bookmarkStart w:id="1069" w:name="_Toc377572174"/>
      <w:bookmarkStart w:id="1070" w:name="_Toc377637499"/>
      <w:bookmarkStart w:id="1071" w:name="_Toc377637802"/>
      <w:bookmarkStart w:id="1072" w:name="_Toc377645427"/>
      <w:bookmarkStart w:id="1073" w:name="_Toc377645730"/>
      <w:bookmarkStart w:id="1074" w:name="_Toc377031245"/>
      <w:bookmarkStart w:id="1075" w:name="_Toc377032544"/>
      <w:bookmarkStart w:id="1076" w:name="_Toc377559841"/>
      <w:bookmarkStart w:id="1077" w:name="_Toc377560268"/>
      <w:bookmarkStart w:id="1078" w:name="_Toc377563933"/>
      <w:bookmarkStart w:id="1079" w:name="_Toc377564218"/>
      <w:bookmarkStart w:id="1080" w:name="_Toc377572176"/>
      <w:bookmarkStart w:id="1081" w:name="_Toc377637501"/>
      <w:bookmarkStart w:id="1082" w:name="_Toc377637804"/>
      <w:bookmarkStart w:id="1083" w:name="_Toc377645429"/>
      <w:bookmarkStart w:id="1084" w:name="_Toc377645732"/>
      <w:bookmarkStart w:id="1085" w:name="_Toc377031247"/>
      <w:bookmarkStart w:id="1086" w:name="_Toc377032546"/>
      <w:bookmarkStart w:id="1087" w:name="_Toc377559843"/>
      <w:bookmarkStart w:id="1088" w:name="_Toc377560270"/>
      <w:bookmarkStart w:id="1089" w:name="_Toc377563935"/>
      <w:bookmarkStart w:id="1090" w:name="_Toc377564220"/>
      <w:bookmarkStart w:id="1091" w:name="_Toc377572178"/>
      <w:bookmarkStart w:id="1092" w:name="_Toc377637503"/>
      <w:bookmarkStart w:id="1093" w:name="_Toc377637806"/>
      <w:bookmarkStart w:id="1094" w:name="_Toc377645431"/>
      <w:bookmarkStart w:id="1095" w:name="_Toc377645734"/>
      <w:bookmarkStart w:id="1096" w:name="_Toc377031249"/>
      <w:bookmarkStart w:id="1097" w:name="_Toc377032548"/>
      <w:bookmarkStart w:id="1098" w:name="_Toc377559845"/>
      <w:bookmarkStart w:id="1099" w:name="_Toc377560272"/>
      <w:bookmarkStart w:id="1100" w:name="_Toc377563937"/>
      <w:bookmarkStart w:id="1101" w:name="_Toc377564222"/>
      <w:bookmarkStart w:id="1102" w:name="_Toc377572180"/>
      <w:bookmarkStart w:id="1103" w:name="_Toc377637505"/>
      <w:bookmarkStart w:id="1104" w:name="_Toc377637808"/>
      <w:bookmarkStart w:id="1105" w:name="_Toc377645433"/>
      <w:bookmarkStart w:id="1106" w:name="_Toc377645736"/>
      <w:bookmarkStart w:id="1107" w:name="_Toc377031251"/>
      <w:bookmarkStart w:id="1108" w:name="_Toc377032550"/>
      <w:bookmarkStart w:id="1109" w:name="_Toc377559847"/>
      <w:bookmarkStart w:id="1110" w:name="_Toc377560274"/>
      <w:bookmarkStart w:id="1111" w:name="_Toc377563939"/>
      <w:bookmarkStart w:id="1112" w:name="_Toc377564224"/>
      <w:bookmarkStart w:id="1113" w:name="_Toc377572182"/>
      <w:bookmarkStart w:id="1114" w:name="_Toc377637507"/>
      <w:bookmarkStart w:id="1115" w:name="_Toc377637810"/>
      <w:bookmarkStart w:id="1116" w:name="_Toc377645435"/>
      <w:bookmarkStart w:id="1117" w:name="_Toc377645738"/>
      <w:bookmarkStart w:id="1118" w:name="_Toc377031253"/>
      <w:bookmarkStart w:id="1119" w:name="_Toc377032552"/>
      <w:bookmarkStart w:id="1120" w:name="_Toc377559849"/>
      <w:bookmarkStart w:id="1121" w:name="_Toc377560276"/>
      <w:bookmarkStart w:id="1122" w:name="_Toc377563941"/>
      <w:bookmarkStart w:id="1123" w:name="_Toc377564226"/>
      <w:bookmarkStart w:id="1124" w:name="_Toc377572184"/>
      <w:bookmarkStart w:id="1125" w:name="_Toc377637509"/>
      <w:bookmarkStart w:id="1126" w:name="_Toc377637812"/>
      <w:bookmarkStart w:id="1127" w:name="_Toc377645437"/>
      <w:bookmarkStart w:id="1128" w:name="_Toc377645740"/>
      <w:bookmarkStart w:id="1129" w:name="_Toc377031255"/>
      <w:bookmarkStart w:id="1130" w:name="_Toc377032554"/>
      <w:bookmarkStart w:id="1131" w:name="_Toc377559851"/>
      <w:bookmarkStart w:id="1132" w:name="_Toc377560278"/>
      <w:bookmarkStart w:id="1133" w:name="_Toc377563943"/>
      <w:bookmarkStart w:id="1134" w:name="_Toc377564228"/>
      <w:bookmarkStart w:id="1135" w:name="_Toc377572186"/>
      <w:bookmarkStart w:id="1136" w:name="_Toc377637511"/>
      <w:bookmarkStart w:id="1137" w:name="_Toc377637814"/>
      <w:bookmarkStart w:id="1138" w:name="_Toc377645439"/>
      <w:bookmarkStart w:id="1139" w:name="_Toc377645742"/>
      <w:bookmarkStart w:id="1140" w:name="_Toc377031257"/>
      <w:bookmarkStart w:id="1141" w:name="_Toc377032556"/>
      <w:bookmarkStart w:id="1142" w:name="_Toc377559853"/>
      <w:bookmarkStart w:id="1143" w:name="_Toc377560280"/>
      <w:bookmarkStart w:id="1144" w:name="_Toc377563945"/>
      <w:bookmarkStart w:id="1145" w:name="_Toc377564230"/>
      <w:bookmarkStart w:id="1146" w:name="_Toc377572188"/>
      <w:bookmarkStart w:id="1147" w:name="_Toc377637513"/>
      <w:bookmarkStart w:id="1148" w:name="_Toc377637816"/>
      <w:bookmarkStart w:id="1149" w:name="_Toc377645441"/>
      <w:bookmarkStart w:id="1150" w:name="_Toc377645744"/>
      <w:bookmarkStart w:id="1151" w:name="_Toc379211903"/>
      <w:bookmarkStart w:id="1152" w:name="_Toc66712444"/>
      <w:bookmarkEnd w:id="87"/>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p>
    <w:p w14:paraId="4B362753" w14:textId="12E90B40" w:rsidR="00277C14" w:rsidRDefault="00503E8C" w:rsidP="005745B6">
      <w:pPr>
        <w:pStyle w:val="Heading2"/>
        <w:keepLines w:val="0"/>
        <w:spacing w:before="0"/>
        <w:ind w:right="680"/>
        <w:rPr>
          <w:rStyle w:val="Strong"/>
          <w:rFonts w:ascii="Arial" w:eastAsiaTheme="minorHAnsi" w:hAnsi="Arial" w:cs="Arial"/>
          <w:color w:val="auto"/>
          <w:sz w:val="20"/>
          <w:szCs w:val="20"/>
          <w:lang w:val="en-US"/>
        </w:rPr>
      </w:pPr>
      <w:bookmarkStart w:id="1153" w:name="_Toc135409903"/>
      <w:r>
        <w:rPr>
          <w:rStyle w:val="Strong"/>
          <w:rFonts w:ascii="Arial" w:eastAsiaTheme="minorHAnsi" w:hAnsi="Arial" w:cs="Arial"/>
          <w:color w:val="auto"/>
          <w:sz w:val="20"/>
          <w:szCs w:val="20"/>
          <w:lang w:val="en-US"/>
        </w:rPr>
        <w:t>8</w:t>
      </w:r>
      <w:r w:rsidR="005745B6">
        <w:rPr>
          <w:rStyle w:val="Strong"/>
          <w:rFonts w:ascii="Arial" w:eastAsiaTheme="minorHAnsi" w:hAnsi="Arial" w:cs="Arial"/>
          <w:color w:val="auto"/>
          <w:sz w:val="20"/>
          <w:szCs w:val="20"/>
          <w:lang w:val="en-US"/>
        </w:rPr>
        <w:t>.4.</w:t>
      </w:r>
      <w:r w:rsidR="005745B6">
        <w:rPr>
          <w:rStyle w:val="Strong"/>
          <w:rFonts w:ascii="Arial" w:eastAsiaTheme="minorHAnsi" w:hAnsi="Arial" w:cs="Arial"/>
          <w:color w:val="auto"/>
          <w:sz w:val="20"/>
          <w:szCs w:val="20"/>
          <w:lang w:val="en-US"/>
        </w:rPr>
        <w:tab/>
      </w:r>
      <w:r w:rsidR="00277C14" w:rsidRPr="005745B6">
        <w:rPr>
          <w:rStyle w:val="Strong"/>
          <w:rFonts w:ascii="Arial" w:eastAsiaTheme="minorHAnsi" w:hAnsi="Arial" w:cs="Arial"/>
          <w:color w:val="auto"/>
          <w:sz w:val="20"/>
          <w:szCs w:val="20"/>
          <w:lang w:val="en-US"/>
        </w:rPr>
        <w:t>Objectives</w:t>
      </w:r>
      <w:bookmarkEnd w:id="1151"/>
      <w:bookmarkEnd w:id="1152"/>
      <w:bookmarkEnd w:id="1153"/>
    </w:p>
    <w:p w14:paraId="71AE5814" w14:textId="77777777" w:rsidR="005745B6" w:rsidRPr="005745B6" w:rsidRDefault="005745B6" w:rsidP="005745B6">
      <w:pPr>
        <w:rPr>
          <w:lang w:val="en-US"/>
        </w:rPr>
      </w:pPr>
    </w:p>
    <w:p w14:paraId="778F6999" w14:textId="77777777" w:rsidR="00277C14" w:rsidRPr="00277C14" w:rsidRDefault="00277C14" w:rsidP="00277C14">
      <w:pPr>
        <w:rPr>
          <w:rFonts w:cs="Arial"/>
          <w:szCs w:val="20"/>
        </w:rPr>
      </w:pPr>
      <w:r w:rsidRPr="00277C14">
        <w:rPr>
          <w:rFonts w:cs="Arial"/>
          <w:szCs w:val="20"/>
        </w:rPr>
        <w:t>The objective of MONEYVAL is to ensure that its evaluated jurisdictions have in place effective systems to counter money laundering and terrorist financing and comply with the relevant international standards in these fields. MONEYVAL endeavours to achieve this through the following methodological tools:</w:t>
      </w:r>
    </w:p>
    <w:p w14:paraId="53D3199A" w14:textId="77777777" w:rsidR="00277C14" w:rsidRPr="00277C14" w:rsidRDefault="00277C14" w:rsidP="00277C14">
      <w:pPr>
        <w:rPr>
          <w:rFonts w:cs="Arial"/>
          <w:szCs w:val="20"/>
        </w:rPr>
      </w:pPr>
    </w:p>
    <w:tbl>
      <w:tblPr>
        <w:tblW w:w="9639" w:type="dxa"/>
        <w:jc w:val="center"/>
        <w:tblBorders>
          <w:top w:val="single" w:sz="12" w:space="0" w:color="000000"/>
          <w:left w:val="single" w:sz="12" w:space="0" w:color="000000"/>
          <w:bottom w:val="single" w:sz="12" w:space="0" w:color="000000"/>
          <w:right w:val="single" w:sz="12" w:space="0" w:color="000000"/>
        </w:tblBorders>
        <w:tblLook w:val="01E0" w:firstRow="1" w:lastRow="1" w:firstColumn="1" w:lastColumn="1" w:noHBand="0" w:noVBand="0"/>
      </w:tblPr>
      <w:tblGrid>
        <w:gridCol w:w="9639"/>
      </w:tblGrid>
      <w:tr w:rsidR="00277C14" w:rsidRPr="00277C14" w14:paraId="1F71157C" w14:textId="77777777" w:rsidTr="00277C14">
        <w:trPr>
          <w:jc w:val="center"/>
        </w:trPr>
        <w:tc>
          <w:tcPr>
            <w:tcW w:w="9639" w:type="dxa"/>
            <w:shd w:val="clear" w:color="auto" w:fill="808080"/>
          </w:tcPr>
          <w:p w14:paraId="648A0F12" w14:textId="77777777" w:rsidR="00277C14" w:rsidRPr="00277C14" w:rsidRDefault="00277C14" w:rsidP="00277C14">
            <w:pPr>
              <w:rPr>
                <w:rFonts w:cs="Arial"/>
                <w:b/>
                <w:bCs/>
                <w:szCs w:val="20"/>
                <w:lang w:eastAsia="en-GB"/>
              </w:rPr>
            </w:pPr>
            <w:r w:rsidRPr="00277C14">
              <w:rPr>
                <w:rFonts w:cs="Arial"/>
                <w:b/>
                <w:bCs/>
                <w:szCs w:val="20"/>
                <w:lang w:eastAsia="en-GB"/>
              </w:rPr>
              <w:t>Methodology</w:t>
            </w:r>
          </w:p>
        </w:tc>
      </w:tr>
      <w:tr w:rsidR="00277C14" w:rsidRPr="00277C14" w14:paraId="2CFBDE28" w14:textId="77777777" w:rsidTr="00277C14">
        <w:trPr>
          <w:trHeight w:val="280"/>
          <w:jc w:val="center"/>
        </w:trPr>
        <w:tc>
          <w:tcPr>
            <w:tcW w:w="9639" w:type="dxa"/>
          </w:tcPr>
          <w:p w14:paraId="5051F7C2" w14:textId="77777777" w:rsidR="00277C14" w:rsidRPr="00277C14" w:rsidRDefault="00277C14" w:rsidP="00C92E41">
            <w:pPr>
              <w:numPr>
                <w:ilvl w:val="1"/>
                <w:numId w:val="4"/>
              </w:numPr>
              <w:spacing w:before="120"/>
              <w:ind w:left="425" w:hanging="425"/>
              <w:rPr>
                <w:rFonts w:cs="Arial"/>
                <w:szCs w:val="20"/>
                <w:lang w:eastAsia="en-GB"/>
              </w:rPr>
            </w:pPr>
            <w:r w:rsidRPr="00277C14">
              <w:rPr>
                <w:rFonts w:cs="Arial"/>
                <w:szCs w:val="20"/>
                <w:lang w:eastAsia="en-GB"/>
              </w:rPr>
              <w:t xml:space="preserve">Assessing compliance with all relevant international standards in the legal, financial and law enforcement sectors through a peer review process of mutual </w:t>
            </w:r>
            <w:proofErr w:type="gramStart"/>
            <w:r w:rsidRPr="00277C14">
              <w:rPr>
                <w:rFonts w:cs="Arial"/>
                <w:szCs w:val="20"/>
                <w:lang w:eastAsia="en-GB"/>
              </w:rPr>
              <w:t>evaluations;</w:t>
            </w:r>
            <w:proofErr w:type="gramEnd"/>
          </w:p>
          <w:p w14:paraId="739AB2C7" w14:textId="77777777" w:rsidR="00277C14" w:rsidRPr="00277C14" w:rsidRDefault="00277C14" w:rsidP="00277C14">
            <w:pPr>
              <w:tabs>
                <w:tab w:val="num" w:pos="1440"/>
              </w:tabs>
              <w:ind w:left="425"/>
              <w:rPr>
                <w:rFonts w:cs="Arial"/>
                <w:szCs w:val="20"/>
                <w:lang w:eastAsia="en-GB"/>
              </w:rPr>
            </w:pPr>
          </w:p>
          <w:p w14:paraId="10C96C50" w14:textId="77777777" w:rsidR="00277C14" w:rsidRPr="00277C14" w:rsidRDefault="00277C14" w:rsidP="00C92E41">
            <w:pPr>
              <w:numPr>
                <w:ilvl w:val="1"/>
                <w:numId w:val="4"/>
              </w:numPr>
              <w:ind w:left="426" w:hanging="426"/>
              <w:rPr>
                <w:rFonts w:cs="Arial"/>
                <w:szCs w:val="20"/>
                <w:lang w:eastAsia="en-GB"/>
              </w:rPr>
            </w:pPr>
            <w:r w:rsidRPr="00277C14">
              <w:rPr>
                <w:rFonts w:cs="Arial"/>
                <w:szCs w:val="20"/>
                <w:lang w:eastAsia="en-GB"/>
              </w:rPr>
              <w:t>Issuing reports which provide tailored and concise recommendations on ways to improve the effectiveness of domestic regimes to combat money laundering and terrorist financing and States’ capacities to co</w:t>
            </w:r>
            <w:r w:rsidRPr="00277C14">
              <w:rPr>
                <w:rFonts w:cs="Arial"/>
                <w:szCs w:val="20"/>
                <w:lang w:eastAsia="en-GB"/>
              </w:rPr>
              <w:noBreakHyphen/>
              <w:t xml:space="preserve">operate internationally in these </w:t>
            </w:r>
            <w:proofErr w:type="gramStart"/>
            <w:r w:rsidRPr="00277C14">
              <w:rPr>
                <w:rFonts w:cs="Arial"/>
                <w:szCs w:val="20"/>
                <w:lang w:eastAsia="en-GB"/>
              </w:rPr>
              <w:t>areas;</w:t>
            </w:r>
            <w:proofErr w:type="gramEnd"/>
          </w:p>
          <w:p w14:paraId="1A4D01D2" w14:textId="77777777" w:rsidR="00277C14" w:rsidRPr="00277C14" w:rsidRDefault="00277C14" w:rsidP="00277C14">
            <w:pPr>
              <w:tabs>
                <w:tab w:val="num" w:pos="1440"/>
              </w:tabs>
              <w:rPr>
                <w:rFonts w:cs="Arial"/>
                <w:szCs w:val="20"/>
                <w:lang w:eastAsia="en-GB"/>
              </w:rPr>
            </w:pPr>
          </w:p>
          <w:p w14:paraId="174B9714" w14:textId="77777777" w:rsidR="00277C14" w:rsidRPr="00277C14" w:rsidRDefault="00277C14" w:rsidP="00C92E41">
            <w:pPr>
              <w:numPr>
                <w:ilvl w:val="1"/>
                <w:numId w:val="4"/>
              </w:numPr>
              <w:ind w:left="426" w:hanging="426"/>
              <w:rPr>
                <w:rFonts w:cs="Arial"/>
                <w:szCs w:val="20"/>
                <w:lang w:eastAsia="en-GB"/>
              </w:rPr>
            </w:pPr>
            <w:r w:rsidRPr="00277C14">
              <w:rPr>
                <w:rFonts w:cs="Arial"/>
                <w:szCs w:val="20"/>
                <w:lang w:eastAsia="en-GB"/>
              </w:rPr>
              <w:t xml:space="preserve">Ensuring an effective follow-up of evaluation reports, including Compliance Enhancing Procedures (CEPs), to improve levels of compliance with international AML/CFT standards by the States and territories which participate in MONEYVAL’s evaluation </w:t>
            </w:r>
            <w:proofErr w:type="gramStart"/>
            <w:r w:rsidRPr="00277C14">
              <w:rPr>
                <w:rFonts w:cs="Arial"/>
                <w:szCs w:val="20"/>
                <w:lang w:eastAsia="en-GB"/>
              </w:rPr>
              <w:t>processes;</w:t>
            </w:r>
            <w:proofErr w:type="gramEnd"/>
          </w:p>
          <w:p w14:paraId="49EFA02C" w14:textId="77777777" w:rsidR="00277C14" w:rsidRPr="00277C14" w:rsidRDefault="00277C14" w:rsidP="00277C14">
            <w:pPr>
              <w:tabs>
                <w:tab w:val="num" w:pos="1440"/>
              </w:tabs>
              <w:rPr>
                <w:rFonts w:cs="Arial"/>
                <w:szCs w:val="20"/>
                <w:lang w:eastAsia="en-GB"/>
              </w:rPr>
            </w:pPr>
          </w:p>
          <w:p w14:paraId="08E0A3E3" w14:textId="667C8D5A" w:rsidR="00277C14" w:rsidRPr="00277C14" w:rsidRDefault="00277C14" w:rsidP="00C92E41">
            <w:pPr>
              <w:numPr>
                <w:ilvl w:val="1"/>
                <w:numId w:val="4"/>
              </w:numPr>
              <w:ind w:left="352" w:hanging="284"/>
              <w:rPr>
                <w:rFonts w:cs="Arial"/>
                <w:szCs w:val="20"/>
                <w:lang w:eastAsia="en-GB"/>
              </w:rPr>
            </w:pPr>
            <w:r w:rsidRPr="00277C14">
              <w:rPr>
                <w:rFonts w:cs="Arial"/>
                <w:szCs w:val="20"/>
                <w:lang w:eastAsia="en-GB"/>
              </w:rPr>
              <w:t xml:space="preserve"> Conducting typologies studies of money laundering and terrorist financing methods, trends and techniques and issue reports thereabout.</w:t>
            </w:r>
          </w:p>
        </w:tc>
      </w:tr>
    </w:tbl>
    <w:p w14:paraId="0D131362" w14:textId="758CA50F" w:rsidR="005745B6" w:rsidRDefault="005745B6">
      <w:pPr>
        <w:rPr>
          <w:rStyle w:val="Strong"/>
          <w:rFonts w:eastAsiaTheme="minorHAnsi" w:cs="Arial"/>
          <w:szCs w:val="20"/>
          <w:lang w:val="en-US"/>
        </w:rPr>
      </w:pPr>
      <w:bookmarkStart w:id="1154" w:name="_Toc379211905"/>
      <w:bookmarkStart w:id="1155" w:name="_Toc66712445"/>
    </w:p>
    <w:p w14:paraId="38355A70" w14:textId="77777777" w:rsidR="00E51C76" w:rsidRDefault="00E51C76">
      <w:pPr>
        <w:rPr>
          <w:rStyle w:val="Strong"/>
          <w:rFonts w:eastAsiaTheme="minorHAnsi" w:cs="Arial"/>
          <w:szCs w:val="20"/>
          <w:lang w:val="en-US"/>
        </w:rPr>
      </w:pPr>
      <w:bookmarkStart w:id="1156" w:name="_Toc135409904"/>
      <w:r>
        <w:rPr>
          <w:rStyle w:val="Strong"/>
          <w:rFonts w:eastAsiaTheme="minorHAnsi" w:cs="Arial"/>
          <w:szCs w:val="20"/>
          <w:lang w:val="en-US"/>
        </w:rPr>
        <w:br w:type="page"/>
      </w:r>
    </w:p>
    <w:p w14:paraId="55868231" w14:textId="467CAE3E" w:rsidR="00277C14" w:rsidRDefault="00503E8C" w:rsidP="005745B6">
      <w:pPr>
        <w:pStyle w:val="Heading2"/>
        <w:keepLines w:val="0"/>
        <w:spacing w:before="0"/>
        <w:ind w:right="680"/>
        <w:rPr>
          <w:rStyle w:val="Strong"/>
          <w:rFonts w:ascii="Arial" w:eastAsiaTheme="minorHAnsi" w:hAnsi="Arial" w:cs="Arial"/>
          <w:color w:val="auto"/>
          <w:sz w:val="20"/>
          <w:szCs w:val="20"/>
          <w:lang w:val="en-US"/>
        </w:rPr>
      </w:pPr>
      <w:r>
        <w:rPr>
          <w:rStyle w:val="Strong"/>
          <w:rFonts w:ascii="Arial" w:eastAsiaTheme="minorHAnsi" w:hAnsi="Arial" w:cs="Arial"/>
          <w:color w:val="auto"/>
          <w:sz w:val="20"/>
          <w:szCs w:val="20"/>
          <w:lang w:val="en-US"/>
        </w:rPr>
        <w:lastRenderedPageBreak/>
        <w:t>8</w:t>
      </w:r>
      <w:r w:rsidR="005745B6" w:rsidRPr="005745B6">
        <w:rPr>
          <w:rStyle w:val="Strong"/>
          <w:rFonts w:ascii="Arial" w:eastAsiaTheme="minorHAnsi" w:hAnsi="Arial" w:cs="Arial"/>
          <w:color w:val="auto"/>
          <w:sz w:val="20"/>
          <w:szCs w:val="20"/>
          <w:lang w:val="en-US"/>
        </w:rPr>
        <w:t>.5.</w:t>
      </w:r>
      <w:r w:rsidR="005745B6" w:rsidRPr="005745B6">
        <w:rPr>
          <w:rStyle w:val="Strong"/>
          <w:rFonts w:ascii="Arial" w:eastAsiaTheme="minorHAnsi" w:hAnsi="Arial" w:cs="Arial"/>
          <w:color w:val="auto"/>
          <w:sz w:val="20"/>
          <w:szCs w:val="20"/>
          <w:lang w:val="en-US"/>
        </w:rPr>
        <w:tab/>
      </w:r>
      <w:r w:rsidR="00277C14" w:rsidRPr="005745B6">
        <w:rPr>
          <w:rStyle w:val="Strong"/>
          <w:rFonts w:ascii="Arial" w:eastAsiaTheme="minorHAnsi" w:hAnsi="Arial" w:cs="Arial"/>
          <w:color w:val="auto"/>
          <w:sz w:val="20"/>
          <w:szCs w:val="20"/>
          <w:lang w:val="en-US"/>
        </w:rPr>
        <w:t xml:space="preserve">Mutual evaluation rounds and follow-up </w:t>
      </w:r>
      <w:bookmarkEnd w:id="1154"/>
      <w:r w:rsidR="00277C14" w:rsidRPr="005745B6">
        <w:rPr>
          <w:rStyle w:val="Strong"/>
          <w:rFonts w:ascii="Arial" w:eastAsiaTheme="minorHAnsi" w:hAnsi="Arial" w:cs="Arial"/>
          <w:color w:val="auto"/>
          <w:sz w:val="20"/>
          <w:szCs w:val="20"/>
          <w:lang w:val="en-US"/>
        </w:rPr>
        <w:t>procedures</w:t>
      </w:r>
      <w:bookmarkEnd w:id="1155"/>
      <w:bookmarkEnd w:id="1156"/>
    </w:p>
    <w:p w14:paraId="4B23424B" w14:textId="77777777" w:rsidR="005745B6" w:rsidRPr="005745B6" w:rsidRDefault="005745B6" w:rsidP="005745B6">
      <w:pPr>
        <w:rPr>
          <w:lang w:val="en-US"/>
        </w:rPr>
      </w:pPr>
    </w:p>
    <w:p w14:paraId="243D6D97" w14:textId="77777777" w:rsidR="00277C14" w:rsidRPr="00277C14" w:rsidRDefault="00277C14" w:rsidP="00277C14">
      <w:pPr>
        <w:rPr>
          <w:rFonts w:cs="Arial"/>
          <w:szCs w:val="20"/>
        </w:rPr>
      </w:pPr>
      <w:r w:rsidRPr="00277C14">
        <w:rPr>
          <w:rFonts w:cs="Arial"/>
          <w:szCs w:val="20"/>
        </w:rPr>
        <w:t>MONEYVAL has completed four rounds of mutual evaluations. In 2015, it commenced its 5th round of mutual evaluations, which is based on the FATF 2012 Recommendations and the 2013 Methodology for assessing technical compliance with the FATF Recommendations and the effectiveness of AML/CFT systems. For each round, evaluations of MONEYVAL States and territories give rise to mutual evaluation reports.</w:t>
      </w:r>
    </w:p>
    <w:p w14:paraId="63A200E3" w14:textId="77777777" w:rsidR="00277C14" w:rsidRPr="00277C14" w:rsidRDefault="00277C14" w:rsidP="00277C14">
      <w:pPr>
        <w:rPr>
          <w:rFonts w:cs="Arial"/>
          <w:szCs w:val="20"/>
        </w:rPr>
      </w:pPr>
    </w:p>
    <w:tbl>
      <w:tblPr>
        <w:tblW w:w="0" w:type="auto"/>
        <w:jc w:val="center"/>
        <w:tblBorders>
          <w:top w:val="single" w:sz="12" w:space="0" w:color="000000"/>
          <w:left w:val="single" w:sz="12" w:space="0" w:color="000000"/>
          <w:bottom w:val="single" w:sz="12" w:space="0" w:color="000000"/>
          <w:right w:val="single" w:sz="12" w:space="0" w:color="000000"/>
        </w:tblBorders>
        <w:tblLook w:val="01E0" w:firstRow="1" w:lastRow="1" w:firstColumn="1" w:lastColumn="1" w:noHBand="0" w:noVBand="0"/>
      </w:tblPr>
      <w:tblGrid>
        <w:gridCol w:w="9525"/>
      </w:tblGrid>
      <w:tr w:rsidR="00277C14" w:rsidRPr="00277C14" w14:paraId="45649B13" w14:textId="77777777" w:rsidTr="00277C14">
        <w:trPr>
          <w:jc w:val="center"/>
        </w:trPr>
        <w:tc>
          <w:tcPr>
            <w:tcW w:w="9525" w:type="dxa"/>
            <w:shd w:val="clear" w:color="auto" w:fill="808080"/>
          </w:tcPr>
          <w:p w14:paraId="5908E5CC" w14:textId="77777777" w:rsidR="00277C14" w:rsidRPr="00277C14" w:rsidRDefault="00277C14" w:rsidP="00277C14">
            <w:pPr>
              <w:rPr>
                <w:rFonts w:cs="Arial"/>
                <w:b/>
                <w:bCs/>
                <w:szCs w:val="20"/>
                <w:lang w:eastAsia="en-GB"/>
              </w:rPr>
            </w:pPr>
            <w:r w:rsidRPr="00277C14">
              <w:rPr>
                <w:rFonts w:cs="Arial"/>
                <w:b/>
                <w:bCs/>
                <w:szCs w:val="20"/>
                <w:lang w:eastAsia="en-GB"/>
              </w:rPr>
              <w:t>Mutual evaluation rounds</w:t>
            </w:r>
          </w:p>
        </w:tc>
      </w:tr>
      <w:tr w:rsidR="00277C14" w:rsidRPr="00277C14" w14:paraId="5B640830" w14:textId="77777777" w:rsidTr="00277C14">
        <w:trPr>
          <w:jc w:val="center"/>
        </w:trPr>
        <w:tc>
          <w:tcPr>
            <w:tcW w:w="9525" w:type="dxa"/>
          </w:tcPr>
          <w:p w14:paraId="3F9E0B2F" w14:textId="77777777" w:rsidR="00277C14" w:rsidRPr="00277C14" w:rsidRDefault="00277C14" w:rsidP="00277C14">
            <w:pPr>
              <w:spacing w:before="120"/>
              <w:rPr>
                <w:rFonts w:cs="Arial"/>
                <w:b/>
                <w:szCs w:val="20"/>
                <w:lang w:eastAsia="en-GB"/>
              </w:rPr>
            </w:pPr>
            <w:r w:rsidRPr="00277C14">
              <w:rPr>
                <w:rFonts w:cs="Arial"/>
                <w:b/>
                <w:szCs w:val="20"/>
                <w:lang w:eastAsia="en-GB"/>
              </w:rPr>
              <w:t>First evaluation round (1998-2000)</w:t>
            </w:r>
          </w:p>
          <w:p w14:paraId="2D1FD767" w14:textId="77777777" w:rsidR="00277C14" w:rsidRPr="00277C14" w:rsidRDefault="00277C14" w:rsidP="00277C14">
            <w:pPr>
              <w:rPr>
                <w:rFonts w:cs="Arial"/>
                <w:szCs w:val="20"/>
                <w:lang w:eastAsia="en-GB"/>
              </w:rPr>
            </w:pPr>
            <w:r w:rsidRPr="00277C14">
              <w:rPr>
                <w:rFonts w:cs="Arial"/>
                <w:szCs w:val="20"/>
                <w:lang w:eastAsia="en-GB"/>
              </w:rPr>
              <w:t>The first round of mutual evaluations, based on the 1996 FATF Recommendations, was initiated in 1998 and onsite visits were concluded in 2000. 22 Council of Europe member States were evaluated in the first evaluation round.</w:t>
            </w:r>
          </w:p>
          <w:p w14:paraId="39974F47" w14:textId="77777777" w:rsidR="00277C14" w:rsidRPr="00277C14" w:rsidRDefault="00277C14" w:rsidP="00277C14">
            <w:pPr>
              <w:rPr>
                <w:rFonts w:cs="Arial"/>
                <w:szCs w:val="20"/>
                <w:lang w:eastAsia="en-GB"/>
              </w:rPr>
            </w:pPr>
          </w:p>
          <w:p w14:paraId="7CC92DDB" w14:textId="77777777" w:rsidR="00277C14" w:rsidRPr="00277C14" w:rsidRDefault="00277C14" w:rsidP="00277C14">
            <w:pPr>
              <w:rPr>
                <w:rFonts w:cs="Arial"/>
                <w:b/>
                <w:szCs w:val="20"/>
                <w:lang w:eastAsia="en-GB"/>
              </w:rPr>
            </w:pPr>
            <w:r w:rsidRPr="00277C14">
              <w:rPr>
                <w:rFonts w:cs="Arial"/>
                <w:b/>
                <w:szCs w:val="20"/>
                <w:lang w:eastAsia="en-GB"/>
              </w:rPr>
              <w:t>Second evaluation round (2001-2004)</w:t>
            </w:r>
          </w:p>
          <w:p w14:paraId="4CF12D4F" w14:textId="77777777" w:rsidR="00277C14" w:rsidRPr="00277C14" w:rsidRDefault="00277C14" w:rsidP="00277C14">
            <w:pPr>
              <w:rPr>
                <w:rFonts w:cs="Arial"/>
                <w:szCs w:val="20"/>
                <w:lang w:eastAsia="en-GB"/>
              </w:rPr>
            </w:pPr>
            <w:r w:rsidRPr="00277C14">
              <w:rPr>
                <w:rFonts w:cs="Arial"/>
                <w:szCs w:val="20"/>
                <w:lang w:eastAsia="en-GB"/>
              </w:rPr>
              <w:t>This second round was also based largely on the 1996 FATF Recommendations and included evaluation against the FATF’s Criteria for non-co-operative States and territories. MONEYVAL concluded its second round of onsite visits until 2003. 27 Council of Europe member States were evaluated.</w:t>
            </w:r>
          </w:p>
        </w:tc>
      </w:tr>
      <w:tr w:rsidR="00277C14" w:rsidRPr="00277C14" w14:paraId="6BC779B8" w14:textId="77777777" w:rsidTr="00277C14">
        <w:trPr>
          <w:jc w:val="center"/>
        </w:trPr>
        <w:tc>
          <w:tcPr>
            <w:tcW w:w="9525" w:type="dxa"/>
          </w:tcPr>
          <w:p w14:paraId="279B0722" w14:textId="77777777" w:rsidR="00277C14" w:rsidRPr="00277C14" w:rsidRDefault="00277C14" w:rsidP="00277C14">
            <w:pPr>
              <w:widowControl w:val="0"/>
              <w:rPr>
                <w:rFonts w:cs="Arial"/>
                <w:b/>
                <w:szCs w:val="20"/>
                <w:lang w:eastAsia="en-GB"/>
              </w:rPr>
            </w:pPr>
          </w:p>
          <w:p w14:paraId="016D7A33" w14:textId="77777777" w:rsidR="00277C14" w:rsidRPr="00277C14" w:rsidRDefault="00277C14" w:rsidP="00277C14">
            <w:pPr>
              <w:widowControl w:val="0"/>
              <w:rPr>
                <w:rFonts w:cs="Arial"/>
                <w:b/>
                <w:szCs w:val="20"/>
                <w:lang w:eastAsia="en-GB"/>
              </w:rPr>
            </w:pPr>
            <w:r w:rsidRPr="00277C14">
              <w:rPr>
                <w:rFonts w:cs="Arial"/>
                <w:b/>
                <w:szCs w:val="20"/>
                <w:lang w:eastAsia="en-GB"/>
              </w:rPr>
              <w:t>Third evaluation round (2005-2009)</w:t>
            </w:r>
            <w:r w:rsidRPr="00277C14">
              <w:rPr>
                <w:rFonts w:cs="Arial"/>
                <w:szCs w:val="20"/>
                <w:vertAlign w:val="superscript"/>
                <w:lang w:eastAsia="en-GB"/>
              </w:rPr>
              <w:footnoteReference w:id="5"/>
            </w:r>
          </w:p>
          <w:p w14:paraId="5FF597A5" w14:textId="77777777" w:rsidR="00277C14" w:rsidRPr="00277C14" w:rsidRDefault="00277C14" w:rsidP="00277C14">
            <w:pPr>
              <w:rPr>
                <w:rFonts w:cs="Arial"/>
                <w:b/>
                <w:szCs w:val="20"/>
                <w:lang w:eastAsia="en-GB"/>
              </w:rPr>
            </w:pPr>
            <w:r w:rsidRPr="00277C14">
              <w:rPr>
                <w:rFonts w:cs="Arial"/>
                <w:szCs w:val="20"/>
                <w:lang w:eastAsia="en-GB"/>
              </w:rPr>
              <w:t>The third round of mutual evaluations was based on the 2003 revised FATF Recommendations. In addition, the evaluations reviewed aspects of compliance with the European Union’s Third Anti-Money Laundering Directive, which came into force in 2007.</w:t>
            </w:r>
            <w:r w:rsidRPr="00277C14">
              <w:rPr>
                <w:rFonts w:cs="Arial"/>
                <w:szCs w:val="20"/>
              </w:rPr>
              <w:t xml:space="preserve"> </w:t>
            </w:r>
            <w:r w:rsidRPr="00277C14">
              <w:rPr>
                <w:rFonts w:cs="Arial"/>
                <w:szCs w:val="20"/>
                <w:lang w:eastAsia="en-GB"/>
              </w:rPr>
              <w:t>28 Council of Europe member States together with the Holy See/Vatican City State and Israel have been evaluated in the third evaluation round.</w:t>
            </w:r>
          </w:p>
        </w:tc>
      </w:tr>
      <w:tr w:rsidR="00277C14" w:rsidRPr="00277C14" w14:paraId="4F39B533" w14:textId="77777777" w:rsidTr="00277C14">
        <w:trPr>
          <w:jc w:val="center"/>
        </w:trPr>
        <w:tc>
          <w:tcPr>
            <w:tcW w:w="9525" w:type="dxa"/>
          </w:tcPr>
          <w:p w14:paraId="5E9578E9" w14:textId="77777777" w:rsidR="00277C14" w:rsidRPr="00277C14" w:rsidRDefault="00277C14" w:rsidP="00277C14">
            <w:pPr>
              <w:rPr>
                <w:rFonts w:cs="Arial"/>
                <w:b/>
                <w:szCs w:val="20"/>
                <w:lang w:eastAsia="en-GB"/>
              </w:rPr>
            </w:pPr>
          </w:p>
          <w:p w14:paraId="274C603B" w14:textId="77777777" w:rsidR="00277C14" w:rsidRPr="00277C14" w:rsidRDefault="00277C14" w:rsidP="00277C14">
            <w:pPr>
              <w:rPr>
                <w:rFonts w:cs="Arial"/>
                <w:b/>
                <w:szCs w:val="20"/>
                <w:lang w:eastAsia="en-GB"/>
              </w:rPr>
            </w:pPr>
            <w:r w:rsidRPr="00277C14">
              <w:rPr>
                <w:rFonts w:cs="Arial"/>
                <w:b/>
                <w:szCs w:val="20"/>
                <w:lang w:eastAsia="en-GB"/>
              </w:rPr>
              <w:t>Follow-up evaluation round or “MONEYVAL’s Fourth Round” (2009-2014)</w:t>
            </w:r>
          </w:p>
          <w:p w14:paraId="38148C41" w14:textId="1FABBA81" w:rsidR="00277C14" w:rsidRPr="00277C14" w:rsidRDefault="00277C14" w:rsidP="00277C14">
            <w:pPr>
              <w:rPr>
                <w:rFonts w:cs="Arial"/>
                <w:szCs w:val="20"/>
                <w:lang w:eastAsia="en-GB"/>
              </w:rPr>
            </w:pPr>
            <w:r w:rsidRPr="00277C14">
              <w:rPr>
                <w:rFonts w:cs="Arial"/>
                <w:szCs w:val="20"/>
                <w:lang w:eastAsia="en-GB"/>
              </w:rPr>
              <w:t xml:space="preserve">MONEYVAL commenced a follow-up round of onsite visits in 2009. For each country, these evaluations focused on the effectiveness of implementation of a number of </w:t>
            </w:r>
            <w:proofErr w:type="gramStart"/>
            <w:r w:rsidRPr="00277C14">
              <w:rPr>
                <w:rFonts w:cs="Arial"/>
                <w:szCs w:val="20"/>
                <w:lang w:eastAsia="en-GB"/>
              </w:rPr>
              <w:t>priorit</w:t>
            </w:r>
            <w:r w:rsidR="00D44387">
              <w:rPr>
                <w:rFonts w:cs="Arial"/>
                <w:szCs w:val="20"/>
                <w:lang w:eastAsia="en-GB"/>
              </w:rPr>
              <w:t>y</w:t>
            </w:r>
            <w:proofErr w:type="gramEnd"/>
            <w:r w:rsidRPr="00277C14">
              <w:rPr>
                <w:rFonts w:cs="Arial"/>
                <w:szCs w:val="20"/>
                <w:lang w:eastAsia="en-GB"/>
              </w:rPr>
              <w:t xml:space="preserve"> FATF recommendations, together with any recommendations for which the country received either a non-compliant or partially compliant rating in the third round. In addition, the evaluation also reviewed aspects of compliance with the </w:t>
            </w:r>
            <w:r w:rsidRPr="00277C14">
              <w:rPr>
                <w:rFonts w:cs="Arial"/>
                <w:szCs w:val="20"/>
              </w:rPr>
              <w:t>EU’s 3</w:t>
            </w:r>
            <w:r w:rsidRPr="00277C14">
              <w:rPr>
                <w:rFonts w:cs="Arial"/>
                <w:szCs w:val="20"/>
                <w:vertAlign w:val="superscript"/>
              </w:rPr>
              <w:t>rd</w:t>
            </w:r>
            <w:r w:rsidR="003654E4">
              <w:rPr>
                <w:rFonts w:cs="Arial"/>
                <w:szCs w:val="20"/>
                <w:vertAlign w:val="superscript"/>
              </w:rPr>
              <w:t> </w:t>
            </w:r>
            <w:r w:rsidRPr="00277C14">
              <w:rPr>
                <w:rFonts w:cs="Arial"/>
                <w:szCs w:val="20"/>
              </w:rPr>
              <w:t xml:space="preserve">Anti-Money Laundering and Counter-Terrorist Financing Directive </w:t>
            </w:r>
            <w:r w:rsidRPr="00277C14">
              <w:rPr>
                <w:rFonts w:cs="Arial"/>
                <w:szCs w:val="20"/>
                <w:lang w:val="en-US"/>
              </w:rPr>
              <w:t>(Directive 2005/60/EC)</w:t>
            </w:r>
            <w:r w:rsidRPr="00277C14">
              <w:rPr>
                <w:rFonts w:cs="Arial"/>
                <w:szCs w:val="20"/>
                <w:lang w:eastAsia="en-GB"/>
              </w:rPr>
              <w:t>.</w:t>
            </w:r>
          </w:p>
          <w:p w14:paraId="075564C5" w14:textId="77777777" w:rsidR="00277C14" w:rsidRPr="00277C14" w:rsidRDefault="00277C14" w:rsidP="00277C14">
            <w:pPr>
              <w:rPr>
                <w:rFonts w:cs="Arial"/>
                <w:b/>
                <w:szCs w:val="20"/>
                <w:lang w:eastAsia="en-GB"/>
              </w:rPr>
            </w:pPr>
          </w:p>
          <w:p w14:paraId="72079428" w14:textId="0A46397F" w:rsidR="00277C14" w:rsidRPr="00277C14" w:rsidRDefault="00277C14" w:rsidP="00277C14">
            <w:pPr>
              <w:rPr>
                <w:rFonts w:cs="Arial"/>
                <w:szCs w:val="20"/>
                <w:lang w:eastAsia="en-GB"/>
              </w:rPr>
            </w:pPr>
            <w:bookmarkStart w:id="1158" w:name="_Hlk135136264"/>
            <w:r w:rsidRPr="00277C14">
              <w:rPr>
                <w:rFonts w:cs="Arial"/>
                <w:b/>
                <w:szCs w:val="20"/>
                <w:lang w:eastAsia="en-GB"/>
              </w:rPr>
              <w:t>Fifth evaluation round (</w:t>
            </w:r>
            <w:r w:rsidRPr="005844FD">
              <w:rPr>
                <w:rFonts w:cs="Arial"/>
                <w:b/>
                <w:szCs w:val="20"/>
                <w:lang w:eastAsia="en-GB"/>
              </w:rPr>
              <w:t>2015</w:t>
            </w:r>
            <w:r w:rsidR="00A77BA6" w:rsidRPr="005844FD">
              <w:rPr>
                <w:rFonts w:cs="Arial"/>
                <w:b/>
                <w:szCs w:val="20"/>
                <w:lang w:eastAsia="en-GB"/>
              </w:rPr>
              <w:t xml:space="preserve"> -2024</w:t>
            </w:r>
            <w:r w:rsidRPr="005844FD">
              <w:rPr>
                <w:rFonts w:cs="Arial"/>
                <w:b/>
                <w:szCs w:val="20"/>
                <w:lang w:eastAsia="en-GB"/>
              </w:rPr>
              <w:t>)</w:t>
            </w:r>
          </w:p>
          <w:p w14:paraId="27CBC462" w14:textId="34BBFDD3" w:rsidR="00277C14" w:rsidRPr="00277C14" w:rsidRDefault="00277C14" w:rsidP="00277C14">
            <w:pPr>
              <w:rPr>
                <w:rFonts w:cs="Arial"/>
                <w:b/>
                <w:szCs w:val="20"/>
                <w:lang w:eastAsia="en-GB"/>
              </w:rPr>
            </w:pPr>
            <w:r w:rsidRPr="00277C14">
              <w:rPr>
                <w:rFonts w:cs="Arial"/>
                <w:szCs w:val="20"/>
                <w:lang w:eastAsia="en-GB"/>
              </w:rPr>
              <w:t xml:space="preserve">The FATF 2012 Recommendations and the 2013 </w:t>
            </w:r>
            <w:r w:rsidRPr="00277C14">
              <w:rPr>
                <w:rFonts w:cs="Arial"/>
                <w:szCs w:val="20"/>
              </w:rPr>
              <w:t>“</w:t>
            </w:r>
            <w:r w:rsidRPr="00277C14">
              <w:rPr>
                <w:rFonts w:cs="Arial"/>
                <w:iCs/>
                <w:szCs w:val="20"/>
              </w:rPr>
              <w:t>Methodology for Assessing Compliance with the FATF Recommendations and the Effectiveness of AML/CFT Systems”</w:t>
            </w:r>
            <w:r w:rsidRPr="00277C14">
              <w:rPr>
                <w:rFonts w:cs="Arial"/>
                <w:szCs w:val="20"/>
              </w:rPr>
              <w:t xml:space="preserve"> </w:t>
            </w:r>
            <w:r w:rsidRPr="00277C14">
              <w:rPr>
                <w:rFonts w:cs="Arial"/>
                <w:szCs w:val="20"/>
                <w:lang w:eastAsia="en-GB"/>
              </w:rPr>
              <w:t>constitute the basis of the 5</w:t>
            </w:r>
            <w:r w:rsidRPr="00277C14">
              <w:rPr>
                <w:rFonts w:cs="Arial"/>
                <w:szCs w:val="20"/>
                <w:vertAlign w:val="superscript"/>
                <w:lang w:eastAsia="en-GB"/>
              </w:rPr>
              <w:t>th </w:t>
            </w:r>
            <w:r w:rsidRPr="00277C14">
              <w:rPr>
                <w:rFonts w:cs="Arial"/>
                <w:szCs w:val="20"/>
                <w:lang w:eastAsia="en-GB"/>
              </w:rPr>
              <w:t xml:space="preserve">MONEYVAL round of evaluations. In this new round which commenced in 2015, the main emphasis is on the effective implementation of the FATF Recommendations by States and territories, with each onsite visit lasting between 10 </w:t>
            </w:r>
            <w:r w:rsidRPr="005844FD">
              <w:rPr>
                <w:rFonts w:cs="Arial"/>
                <w:szCs w:val="20"/>
                <w:lang w:eastAsia="en-GB"/>
              </w:rPr>
              <w:t xml:space="preserve">and 14 days, or longer as appropriate. The first MER report under this new round was adopted in December 2015. </w:t>
            </w:r>
            <w:bookmarkStart w:id="1159" w:name="_Hlk135220050"/>
            <w:r w:rsidR="00781657">
              <w:rPr>
                <w:rFonts w:cs="Arial"/>
                <w:szCs w:val="20"/>
                <w:lang w:eastAsia="en-GB"/>
              </w:rPr>
              <w:t xml:space="preserve">By the end of 2021, </w:t>
            </w:r>
            <w:r w:rsidR="001D6686">
              <w:rPr>
                <w:rFonts w:cs="Arial"/>
                <w:szCs w:val="20"/>
                <w:lang w:eastAsia="en-GB"/>
              </w:rPr>
              <w:t>twenty-one m</w:t>
            </w:r>
            <w:r w:rsidR="00781657" w:rsidRPr="005844FD">
              <w:rPr>
                <w:rFonts w:cs="Arial"/>
                <w:szCs w:val="20"/>
                <w:lang w:eastAsia="en-GB"/>
              </w:rPr>
              <w:t xml:space="preserve">utual evaluation reports were adopted, </w:t>
            </w:r>
            <w:r w:rsidR="00781657">
              <w:rPr>
                <w:rFonts w:cs="Arial"/>
                <w:szCs w:val="20"/>
                <w:lang w:eastAsia="en-GB"/>
              </w:rPr>
              <w:t>and two other countries received onsite visits.</w:t>
            </w:r>
            <w:r w:rsidR="00781657" w:rsidRPr="005844FD">
              <w:rPr>
                <w:rFonts w:cs="Arial"/>
                <w:szCs w:val="20"/>
                <w:lang w:eastAsia="en-GB"/>
              </w:rPr>
              <w:t xml:space="preserve"> </w:t>
            </w:r>
            <w:r w:rsidRPr="005844FD">
              <w:rPr>
                <w:rFonts w:cs="Arial"/>
                <w:szCs w:val="20"/>
                <w:lang w:eastAsia="en-GB"/>
              </w:rPr>
              <w:t>By the end of 202</w:t>
            </w:r>
            <w:r w:rsidR="00A77BA6" w:rsidRPr="005844FD">
              <w:rPr>
                <w:rFonts w:cs="Arial"/>
                <w:szCs w:val="20"/>
                <w:lang w:eastAsia="en-GB"/>
              </w:rPr>
              <w:t>2</w:t>
            </w:r>
            <w:r w:rsidRPr="005844FD">
              <w:rPr>
                <w:rFonts w:cs="Arial"/>
                <w:szCs w:val="20"/>
                <w:lang w:eastAsia="en-GB"/>
              </w:rPr>
              <w:t xml:space="preserve">, </w:t>
            </w:r>
            <w:r w:rsidR="001D6686">
              <w:rPr>
                <w:rFonts w:cs="Arial"/>
                <w:szCs w:val="20"/>
                <w:lang w:eastAsia="en-GB"/>
              </w:rPr>
              <w:t xml:space="preserve">twenty-six </w:t>
            </w:r>
            <w:r w:rsidRPr="005844FD">
              <w:rPr>
                <w:rFonts w:cs="Arial"/>
                <w:szCs w:val="20"/>
                <w:lang w:eastAsia="en-GB"/>
              </w:rPr>
              <w:t>mutual evaluation reports were adopted, and two additional countries</w:t>
            </w:r>
            <w:r w:rsidR="005A1594" w:rsidRPr="005844FD">
              <w:rPr>
                <w:rFonts w:cs="Arial"/>
                <w:szCs w:val="20"/>
                <w:lang w:eastAsia="en-GB"/>
              </w:rPr>
              <w:t xml:space="preserve"> (North Macedonia and Romania)</w:t>
            </w:r>
            <w:r w:rsidRPr="005844FD">
              <w:rPr>
                <w:rFonts w:cs="Arial"/>
                <w:szCs w:val="20"/>
                <w:lang w:eastAsia="en-GB"/>
              </w:rPr>
              <w:t xml:space="preserve"> received onsite visits in the current round.</w:t>
            </w:r>
            <w:bookmarkEnd w:id="1158"/>
            <w:bookmarkEnd w:id="1159"/>
          </w:p>
        </w:tc>
      </w:tr>
    </w:tbl>
    <w:p w14:paraId="01B6C639" w14:textId="77777777" w:rsidR="005745B6" w:rsidRPr="00793889" w:rsidRDefault="005745B6" w:rsidP="005745B6">
      <w:pPr>
        <w:pStyle w:val="Heading2"/>
        <w:keepLines w:val="0"/>
        <w:spacing w:before="0"/>
        <w:ind w:right="680"/>
        <w:rPr>
          <w:rStyle w:val="Strong"/>
          <w:rFonts w:ascii="Arial" w:eastAsiaTheme="minorHAnsi" w:hAnsi="Arial" w:cs="Arial"/>
          <w:color w:val="auto"/>
          <w:sz w:val="20"/>
          <w:szCs w:val="20"/>
          <w:lang w:val="en-US"/>
        </w:rPr>
      </w:pPr>
      <w:bookmarkStart w:id="1160" w:name="_Toc66712446"/>
    </w:p>
    <w:p w14:paraId="73E937F2" w14:textId="211D9BB2" w:rsidR="00277C14" w:rsidRPr="00793889" w:rsidRDefault="00503E8C" w:rsidP="005745B6">
      <w:pPr>
        <w:pStyle w:val="Heading2"/>
        <w:keepLines w:val="0"/>
        <w:spacing w:before="0"/>
        <w:ind w:right="680"/>
        <w:rPr>
          <w:rStyle w:val="Strong"/>
          <w:rFonts w:ascii="Arial" w:eastAsiaTheme="minorHAnsi" w:hAnsi="Arial" w:cs="Arial"/>
          <w:color w:val="auto"/>
          <w:sz w:val="20"/>
          <w:szCs w:val="20"/>
          <w:lang w:val="en-US"/>
        </w:rPr>
      </w:pPr>
      <w:bookmarkStart w:id="1161" w:name="_Toc135409905"/>
      <w:r>
        <w:rPr>
          <w:rStyle w:val="Strong"/>
          <w:rFonts w:ascii="Arial" w:eastAsiaTheme="minorHAnsi" w:hAnsi="Arial" w:cs="Arial"/>
          <w:color w:val="auto"/>
          <w:sz w:val="20"/>
          <w:szCs w:val="20"/>
          <w:lang w:val="en-US"/>
        </w:rPr>
        <w:t>8</w:t>
      </w:r>
      <w:r w:rsidR="005745B6" w:rsidRPr="00793889">
        <w:rPr>
          <w:rStyle w:val="Strong"/>
          <w:rFonts w:ascii="Arial" w:eastAsiaTheme="minorHAnsi" w:hAnsi="Arial" w:cs="Arial"/>
          <w:color w:val="auto"/>
          <w:sz w:val="20"/>
          <w:szCs w:val="20"/>
          <w:lang w:val="en-US"/>
        </w:rPr>
        <w:t>.6.</w:t>
      </w:r>
      <w:r w:rsidR="005745B6" w:rsidRPr="00793889">
        <w:rPr>
          <w:rStyle w:val="Strong"/>
          <w:rFonts w:ascii="Arial" w:eastAsiaTheme="minorHAnsi" w:hAnsi="Arial" w:cs="Arial"/>
          <w:color w:val="auto"/>
          <w:sz w:val="20"/>
          <w:szCs w:val="20"/>
          <w:lang w:val="en-US"/>
        </w:rPr>
        <w:tab/>
      </w:r>
      <w:r w:rsidR="00277C14" w:rsidRPr="00793889">
        <w:rPr>
          <w:rStyle w:val="Strong"/>
          <w:rFonts w:ascii="Arial" w:eastAsiaTheme="minorHAnsi" w:hAnsi="Arial" w:cs="Arial"/>
          <w:color w:val="auto"/>
          <w:sz w:val="20"/>
          <w:szCs w:val="20"/>
          <w:lang w:val="en-US"/>
        </w:rPr>
        <w:t>Compliance enhancing procedures</w:t>
      </w:r>
      <w:bookmarkEnd w:id="1160"/>
      <w:bookmarkEnd w:id="1161"/>
    </w:p>
    <w:p w14:paraId="1A502887" w14:textId="77777777" w:rsidR="005745B6" w:rsidRPr="00793889" w:rsidRDefault="005745B6" w:rsidP="005745B6">
      <w:pPr>
        <w:rPr>
          <w:lang w:val="en-US"/>
        </w:rPr>
      </w:pPr>
    </w:p>
    <w:p w14:paraId="5514379F" w14:textId="4D0EC168" w:rsidR="00277C14" w:rsidRDefault="00277C14" w:rsidP="00277C14">
      <w:pPr>
        <w:rPr>
          <w:rFonts w:cs="Arial"/>
          <w:szCs w:val="20"/>
        </w:rPr>
      </w:pPr>
      <w:r w:rsidRPr="00277C14">
        <w:rPr>
          <w:rFonts w:cs="Arial"/>
          <w:szCs w:val="20"/>
        </w:rPr>
        <w:t>MONEYVAL’s Compliance Enhancing Procedures (CEPs) ensure that countries take steps to meet the international standards and follow MONEYVAL recommendations within an appropriate timeframe. For both the fourth and the fifth round of mutual evaluations, the process is as follows:</w:t>
      </w:r>
    </w:p>
    <w:p w14:paraId="4A1EA07A" w14:textId="77777777" w:rsidR="005745B6" w:rsidRPr="00277C14" w:rsidRDefault="005745B6" w:rsidP="00277C14">
      <w:pPr>
        <w:rPr>
          <w:rFonts w:cs="Arial"/>
          <w:szCs w:val="20"/>
        </w:rPr>
      </w:pPr>
    </w:p>
    <w:tbl>
      <w:tblPr>
        <w:tblW w:w="9676" w:type="dxa"/>
        <w:jc w:val="center"/>
        <w:tblBorders>
          <w:top w:val="single" w:sz="12" w:space="0" w:color="000000"/>
          <w:left w:val="single" w:sz="12" w:space="0" w:color="000000"/>
          <w:bottom w:val="single" w:sz="12" w:space="0" w:color="000000"/>
          <w:right w:val="single" w:sz="12" w:space="0" w:color="000000"/>
        </w:tblBorders>
        <w:tblLook w:val="01E0" w:firstRow="1" w:lastRow="1" w:firstColumn="1" w:lastColumn="1" w:noHBand="0" w:noVBand="0"/>
      </w:tblPr>
      <w:tblGrid>
        <w:gridCol w:w="9676"/>
      </w:tblGrid>
      <w:tr w:rsidR="00277C14" w:rsidRPr="00277C14" w14:paraId="2F36C43C" w14:textId="77777777" w:rsidTr="00277C14">
        <w:trPr>
          <w:jc w:val="center"/>
        </w:trPr>
        <w:tc>
          <w:tcPr>
            <w:tcW w:w="9676" w:type="dxa"/>
            <w:shd w:val="clear" w:color="auto" w:fill="808080"/>
          </w:tcPr>
          <w:p w14:paraId="03A6C095" w14:textId="77777777" w:rsidR="00277C14" w:rsidRPr="00277C14" w:rsidRDefault="00277C14" w:rsidP="00277C14">
            <w:pPr>
              <w:rPr>
                <w:rFonts w:cs="Arial"/>
                <w:b/>
                <w:bCs/>
                <w:szCs w:val="20"/>
                <w:lang w:eastAsia="en-GB"/>
              </w:rPr>
            </w:pPr>
            <w:r w:rsidRPr="00277C14">
              <w:rPr>
                <w:rFonts w:cs="Arial"/>
                <w:b/>
                <w:bCs/>
                <w:szCs w:val="20"/>
                <w:lang w:eastAsia="en-GB"/>
              </w:rPr>
              <w:t>Steps in CEPs process</w:t>
            </w:r>
          </w:p>
        </w:tc>
      </w:tr>
      <w:tr w:rsidR="00277C14" w:rsidRPr="00277C14" w14:paraId="1A08D0B7" w14:textId="77777777" w:rsidTr="00277C14">
        <w:trPr>
          <w:jc w:val="center"/>
        </w:trPr>
        <w:tc>
          <w:tcPr>
            <w:tcW w:w="9676" w:type="dxa"/>
          </w:tcPr>
          <w:p w14:paraId="6312FCCC" w14:textId="77777777" w:rsidR="00277C14" w:rsidRPr="00277C14" w:rsidRDefault="00277C14" w:rsidP="00277C14">
            <w:pPr>
              <w:rPr>
                <w:rFonts w:cs="Arial"/>
                <w:szCs w:val="20"/>
              </w:rPr>
            </w:pPr>
            <w:r w:rsidRPr="00277C14">
              <w:rPr>
                <w:rFonts w:cs="Arial"/>
                <w:b/>
                <w:bCs/>
                <w:szCs w:val="20"/>
              </w:rPr>
              <w:t xml:space="preserve">Step 1: </w:t>
            </w:r>
            <w:r w:rsidRPr="00277C14">
              <w:rPr>
                <w:rFonts w:cs="Arial"/>
                <w:szCs w:val="20"/>
              </w:rPr>
              <w:t>MONEYVAL inviting the Secretary General of the Council of Europe to send a letter to the relevant Minister(s) of the State or territory concerned, drawing his/her/their attention to non-compliance with the reference documents and the necessary corrective measures to be taken.</w:t>
            </w:r>
          </w:p>
          <w:p w14:paraId="54F6C5A3" w14:textId="2CC13B2A" w:rsidR="00277C14" w:rsidRPr="00277C14" w:rsidRDefault="00277C14" w:rsidP="00277C14">
            <w:pPr>
              <w:rPr>
                <w:rFonts w:cs="Arial"/>
                <w:szCs w:val="20"/>
              </w:rPr>
            </w:pPr>
            <w:r w:rsidRPr="00277C14">
              <w:rPr>
                <w:rFonts w:cs="Arial"/>
                <w:b/>
                <w:bCs/>
                <w:szCs w:val="20"/>
              </w:rPr>
              <w:t xml:space="preserve">Step 2: </w:t>
            </w:r>
            <w:r w:rsidRPr="00277C14">
              <w:rPr>
                <w:rFonts w:cs="Arial"/>
                <w:szCs w:val="20"/>
              </w:rPr>
              <w:t>Arranging a high-level mission to the non-complying State or territory to meet relevant Ministers and senior officials to reinforce this message.</w:t>
            </w:r>
          </w:p>
        </w:tc>
      </w:tr>
    </w:tbl>
    <w:p w14:paraId="28FB12E3" w14:textId="77777777" w:rsidR="00E51C76" w:rsidRDefault="00E51C76">
      <w:r>
        <w:br w:type="page"/>
      </w:r>
    </w:p>
    <w:tbl>
      <w:tblPr>
        <w:tblW w:w="9676" w:type="dxa"/>
        <w:jc w:val="center"/>
        <w:tblBorders>
          <w:top w:val="single" w:sz="12" w:space="0" w:color="000000"/>
          <w:left w:val="single" w:sz="12" w:space="0" w:color="000000"/>
          <w:bottom w:val="single" w:sz="12" w:space="0" w:color="000000"/>
          <w:right w:val="single" w:sz="12" w:space="0" w:color="000000"/>
        </w:tblBorders>
        <w:tblLook w:val="01E0" w:firstRow="1" w:lastRow="1" w:firstColumn="1" w:lastColumn="1" w:noHBand="0" w:noVBand="0"/>
      </w:tblPr>
      <w:tblGrid>
        <w:gridCol w:w="9676"/>
      </w:tblGrid>
      <w:tr w:rsidR="00E51C76" w:rsidRPr="00277C14" w14:paraId="52526EEF" w14:textId="77777777" w:rsidTr="00277C14">
        <w:trPr>
          <w:jc w:val="center"/>
        </w:trPr>
        <w:tc>
          <w:tcPr>
            <w:tcW w:w="9676" w:type="dxa"/>
          </w:tcPr>
          <w:p w14:paraId="0D5C4E0B" w14:textId="77777777" w:rsidR="00E51C76" w:rsidRPr="00277C14" w:rsidRDefault="00E51C76" w:rsidP="00E51C76">
            <w:pPr>
              <w:rPr>
                <w:rFonts w:cs="Arial"/>
                <w:szCs w:val="20"/>
              </w:rPr>
            </w:pPr>
            <w:r w:rsidRPr="00277C14">
              <w:rPr>
                <w:rFonts w:cs="Arial"/>
                <w:b/>
                <w:bCs/>
                <w:szCs w:val="20"/>
              </w:rPr>
              <w:lastRenderedPageBreak/>
              <w:t xml:space="preserve">Step 3: </w:t>
            </w:r>
            <w:r w:rsidRPr="00277C14">
              <w:rPr>
                <w:rFonts w:cs="Arial"/>
                <w:szCs w:val="20"/>
              </w:rPr>
              <w:t xml:space="preserve">In the context of the application of the 2012 FATF Recommendation 19 by MONEYVAL States and territories, issuing a formal public statement to the effect that a State or territory insufficiently complies with the reference documents and inviting the members of the global AML/CFT network to </w:t>
            </w:r>
            <w:proofErr w:type="gramStart"/>
            <w:r w:rsidRPr="00277C14">
              <w:rPr>
                <w:rFonts w:cs="Arial"/>
                <w:szCs w:val="20"/>
              </w:rPr>
              <w:t>take into account</w:t>
            </w:r>
            <w:proofErr w:type="gramEnd"/>
            <w:r w:rsidRPr="00277C14">
              <w:rPr>
                <w:rFonts w:cs="Arial"/>
                <w:szCs w:val="20"/>
              </w:rPr>
              <w:t xml:space="preserve"> the risks posed by the non-complying State or territory. </w:t>
            </w:r>
          </w:p>
          <w:p w14:paraId="735656F2" w14:textId="292ABDDC" w:rsidR="00E51C76" w:rsidRPr="00277C14" w:rsidRDefault="00E51C76" w:rsidP="00E51C76">
            <w:pPr>
              <w:rPr>
                <w:rFonts w:cs="Arial"/>
                <w:b/>
                <w:bCs/>
                <w:szCs w:val="20"/>
              </w:rPr>
            </w:pPr>
            <w:r w:rsidRPr="00277C14">
              <w:rPr>
                <w:rFonts w:cs="Arial"/>
                <w:b/>
                <w:bCs/>
                <w:szCs w:val="20"/>
              </w:rPr>
              <w:t xml:space="preserve">Step 4: </w:t>
            </w:r>
            <w:r w:rsidRPr="00277C14">
              <w:rPr>
                <w:rFonts w:cs="Arial"/>
                <w:szCs w:val="20"/>
              </w:rPr>
              <w:t>Referring the matter for possible consideration under the FATF’s International Co-operation Review Group (ICRG) process, if this meets the nomination criteria set out under the ICRG procedures.</w:t>
            </w:r>
          </w:p>
        </w:tc>
      </w:tr>
    </w:tbl>
    <w:p w14:paraId="1CAD7210" w14:textId="77777777" w:rsidR="00E51C76" w:rsidRDefault="00E51C76" w:rsidP="007F48A9">
      <w:pPr>
        <w:pStyle w:val="Title1"/>
        <w:spacing w:before="0" w:after="0"/>
      </w:pPr>
      <w:bookmarkStart w:id="1162" w:name="_Toc446602138"/>
      <w:bookmarkStart w:id="1163" w:name="_Toc66712447"/>
      <w:bookmarkStart w:id="1164" w:name="_Toc135409906"/>
      <w:bookmarkEnd w:id="76"/>
    </w:p>
    <w:p w14:paraId="4FD89A91" w14:textId="77777777" w:rsidR="00E51C76" w:rsidRDefault="00E51C76">
      <w:pPr>
        <w:rPr>
          <w:rFonts w:eastAsia="Times New Roman" w:cs="Arial"/>
          <w:b/>
          <w:bCs/>
          <w:color w:val="000000"/>
          <w:w w:val="105"/>
          <w:kern w:val="28"/>
          <w:szCs w:val="20"/>
          <w:lang w:eastAsia="zh-CN"/>
        </w:rPr>
      </w:pPr>
      <w:r>
        <w:br w:type="page"/>
      </w:r>
    </w:p>
    <w:p w14:paraId="0FC5FC96" w14:textId="44FD98B8" w:rsidR="00277C14" w:rsidRDefault="00277C14" w:rsidP="007F48A9">
      <w:pPr>
        <w:pStyle w:val="Title1"/>
        <w:spacing w:before="0" w:after="0"/>
      </w:pPr>
      <w:r w:rsidRPr="00277C14">
        <w:lastRenderedPageBreak/>
        <w:t>APPENDICES</w:t>
      </w:r>
      <w:bookmarkEnd w:id="1162"/>
      <w:bookmarkEnd w:id="1163"/>
      <w:bookmarkEnd w:id="1164"/>
    </w:p>
    <w:p w14:paraId="26776FB0" w14:textId="77777777" w:rsidR="007F48A9" w:rsidRPr="00277C14" w:rsidRDefault="007F48A9" w:rsidP="007F48A9">
      <w:pPr>
        <w:pStyle w:val="Title1"/>
        <w:spacing w:before="0" w:after="0"/>
      </w:pPr>
    </w:p>
    <w:p w14:paraId="3977B001" w14:textId="77777777" w:rsidR="00277C14" w:rsidRPr="00277C14" w:rsidRDefault="00277C14" w:rsidP="007F48A9">
      <w:pPr>
        <w:rPr>
          <w:rFonts w:cs="Arial"/>
          <w:b/>
          <w:szCs w:val="20"/>
        </w:rPr>
      </w:pPr>
      <w:bookmarkStart w:id="1165" w:name="_Toc423609857"/>
      <w:r w:rsidRPr="00277C14">
        <w:rPr>
          <w:rFonts w:cs="Arial"/>
          <w:b/>
          <w:szCs w:val="20"/>
        </w:rPr>
        <w:t>Appendix I</w:t>
      </w:r>
      <w:bookmarkEnd w:id="1165"/>
    </w:p>
    <w:p w14:paraId="3FA7E1F7" w14:textId="77777777" w:rsidR="00277C14" w:rsidRPr="00277C14" w:rsidRDefault="00277C14" w:rsidP="007F48A9">
      <w:pPr>
        <w:rPr>
          <w:rFonts w:cs="Arial"/>
          <w:szCs w:val="20"/>
        </w:rPr>
      </w:pPr>
    </w:p>
    <w:tbl>
      <w:tblPr>
        <w:tblW w:w="0" w:type="auto"/>
        <w:jc w:val="center"/>
        <w:tblBorders>
          <w:top w:val="single" w:sz="4" w:space="0" w:color="000000"/>
          <w:left w:val="single" w:sz="4" w:space="0" w:color="000000"/>
          <w:bottom w:val="single" w:sz="4" w:space="0" w:color="000000"/>
          <w:right w:val="single" w:sz="4" w:space="0" w:color="000000"/>
          <w:insideV w:val="single" w:sz="4" w:space="0" w:color="8DB3E2"/>
        </w:tblBorders>
        <w:tblLook w:val="04A0" w:firstRow="1" w:lastRow="0" w:firstColumn="1" w:lastColumn="0" w:noHBand="0" w:noVBand="1"/>
      </w:tblPr>
      <w:tblGrid>
        <w:gridCol w:w="1972"/>
        <w:gridCol w:w="7573"/>
      </w:tblGrid>
      <w:tr w:rsidR="00277C14" w:rsidRPr="00277C14" w14:paraId="2F8FF27A" w14:textId="77777777" w:rsidTr="007F48A9">
        <w:trPr>
          <w:trHeight w:val="255"/>
          <w:jc w:val="center"/>
        </w:trPr>
        <w:tc>
          <w:tcPr>
            <w:tcW w:w="9545" w:type="dxa"/>
            <w:gridSpan w:val="2"/>
            <w:shd w:val="clear" w:color="auto" w:fill="F2F2F2" w:themeFill="background1" w:themeFillShade="F2"/>
            <w:vAlign w:val="center"/>
          </w:tcPr>
          <w:p w14:paraId="2694A523" w14:textId="77777777" w:rsidR="00277C14" w:rsidRPr="007F48A9" w:rsidRDefault="00277C14" w:rsidP="00277C14">
            <w:pPr>
              <w:rPr>
                <w:rFonts w:cs="Arial"/>
                <w:b/>
                <w:szCs w:val="20"/>
              </w:rPr>
            </w:pPr>
            <w:r w:rsidRPr="007F48A9">
              <w:rPr>
                <w:rFonts w:cs="Arial"/>
                <w:b/>
                <w:szCs w:val="20"/>
              </w:rPr>
              <w:t>List of the 2012 FATF Recommendations and the 11 Immediate Outcomes in the FATF Methodology of 2013</w:t>
            </w:r>
          </w:p>
        </w:tc>
      </w:tr>
      <w:tr w:rsidR="00277C14" w:rsidRPr="00277C14" w14:paraId="5BADDCEC" w14:textId="77777777" w:rsidTr="007F48A9">
        <w:trPr>
          <w:trHeight w:val="255"/>
          <w:jc w:val="center"/>
        </w:trPr>
        <w:tc>
          <w:tcPr>
            <w:tcW w:w="9545" w:type="dxa"/>
            <w:gridSpan w:val="2"/>
            <w:shd w:val="clear" w:color="auto" w:fill="F2F2F2" w:themeFill="background1" w:themeFillShade="F2"/>
            <w:vAlign w:val="center"/>
          </w:tcPr>
          <w:p w14:paraId="40560617" w14:textId="77777777" w:rsidR="00277C14" w:rsidRPr="007F48A9" w:rsidRDefault="00277C14" w:rsidP="00277C14">
            <w:pPr>
              <w:rPr>
                <w:rFonts w:cs="Arial"/>
                <w:b/>
                <w:szCs w:val="20"/>
              </w:rPr>
            </w:pPr>
          </w:p>
          <w:p w14:paraId="3F347D0B" w14:textId="77777777" w:rsidR="00277C14" w:rsidRPr="007F48A9" w:rsidRDefault="00277C14" w:rsidP="00277C14">
            <w:pPr>
              <w:rPr>
                <w:rFonts w:cs="Arial"/>
                <w:b/>
                <w:szCs w:val="20"/>
              </w:rPr>
            </w:pPr>
            <w:r w:rsidRPr="007F48A9">
              <w:rPr>
                <w:rFonts w:cs="Arial"/>
                <w:b/>
                <w:szCs w:val="20"/>
              </w:rPr>
              <w:t xml:space="preserve">A. 2012 FATF Recommendations </w:t>
            </w:r>
          </w:p>
        </w:tc>
      </w:tr>
      <w:tr w:rsidR="00277C14" w:rsidRPr="00277C14" w14:paraId="6276278A" w14:textId="77777777" w:rsidTr="00277C14">
        <w:trPr>
          <w:trHeight w:val="255"/>
          <w:jc w:val="center"/>
        </w:trPr>
        <w:tc>
          <w:tcPr>
            <w:tcW w:w="1972" w:type="dxa"/>
            <w:tcBorders>
              <w:top w:val="nil"/>
              <w:bottom w:val="nil"/>
              <w:right w:val="single" w:sz="4" w:space="0" w:color="000000"/>
            </w:tcBorders>
            <w:shd w:val="clear" w:color="auto" w:fill="auto"/>
          </w:tcPr>
          <w:p w14:paraId="38011FFA" w14:textId="77777777" w:rsidR="00277C14" w:rsidRPr="00277C14" w:rsidRDefault="00277C14" w:rsidP="00277C14">
            <w:pPr>
              <w:rPr>
                <w:rFonts w:cs="Arial"/>
                <w:szCs w:val="20"/>
              </w:rPr>
            </w:pPr>
            <w:r w:rsidRPr="00277C14">
              <w:rPr>
                <w:rFonts w:cs="Arial"/>
                <w:szCs w:val="20"/>
              </w:rPr>
              <w:t>R.1</w:t>
            </w:r>
          </w:p>
        </w:tc>
        <w:tc>
          <w:tcPr>
            <w:tcW w:w="7573" w:type="dxa"/>
            <w:tcBorders>
              <w:left w:val="single" w:sz="4" w:space="0" w:color="000000"/>
            </w:tcBorders>
            <w:shd w:val="clear" w:color="auto" w:fill="auto"/>
            <w:vAlign w:val="center"/>
          </w:tcPr>
          <w:p w14:paraId="1E349649" w14:textId="77777777" w:rsidR="00277C14" w:rsidRPr="00277C14" w:rsidRDefault="00277C14" w:rsidP="00277C14">
            <w:pPr>
              <w:rPr>
                <w:rFonts w:cs="Arial"/>
                <w:szCs w:val="20"/>
              </w:rPr>
            </w:pPr>
            <w:r w:rsidRPr="00277C14">
              <w:rPr>
                <w:rFonts w:cs="Arial"/>
                <w:szCs w:val="20"/>
                <w:lang w:eastAsia="en-GB"/>
              </w:rPr>
              <w:t>Assessing Risks and applying a Risk-Based Approach</w:t>
            </w:r>
          </w:p>
        </w:tc>
      </w:tr>
      <w:tr w:rsidR="00277C14" w:rsidRPr="00277C14" w14:paraId="7A474C95" w14:textId="77777777" w:rsidTr="00277C14">
        <w:trPr>
          <w:trHeight w:val="255"/>
          <w:jc w:val="center"/>
        </w:trPr>
        <w:tc>
          <w:tcPr>
            <w:tcW w:w="1972" w:type="dxa"/>
            <w:tcBorders>
              <w:top w:val="nil"/>
              <w:bottom w:val="nil"/>
              <w:right w:val="single" w:sz="4" w:space="0" w:color="000000"/>
            </w:tcBorders>
            <w:shd w:val="clear" w:color="auto" w:fill="auto"/>
          </w:tcPr>
          <w:p w14:paraId="69D7BBBC" w14:textId="77777777" w:rsidR="00277C14" w:rsidRPr="00277C14" w:rsidRDefault="00277C14" w:rsidP="00277C14">
            <w:pPr>
              <w:rPr>
                <w:rFonts w:cs="Arial"/>
                <w:szCs w:val="20"/>
              </w:rPr>
            </w:pPr>
            <w:r w:rsidRPr="00277C14">
              <w:rPr>
                <w:rFonts w:cs="Arial"/>
                <w:szCs w:val="20"/>
              </w:rPr>
              <w:t>R.2</w:t>
            </w:r>
          </w:p>
        </w:tc>
        <w:tc>
          <w:tcPr>
            <w:tcW w:w="7573" w:type="dxa"/>
            <w:tcBorders>
              <w:left w:val="single" w:sz="4" w:space="0" w:color="000000"/>
            </w:tcBorders>
            <w:shd w:val="clear" w:color="auto" w:fill="auto"/>
            <w:vAlign w:val="center"/>
          </w:tcPr>
          <w:p w14:paraId="144A1D00" w14:textId="6901E27B" w:rsidR="00277C14" w:rsidRPr="00277C14" w:rsidRDefault="00277C14" w:rsidP="00277C14">
            <w:pPr>
              <w:rPr>
                <w:rFonts w:cs="Arial"/>
                <w:szCs w:val="20"/>
              </w:rPr>
            </w:pPr>
            <w:r w:rsidRPr="00277C14">
              <w:rPr>
                <w:rFonts w:cs="Arial"/>
                <w:szCs w:val="20"/>
              </w:rPr>
              <w:t>National Co</w:t>
            </w:r>
            <w:r w:rsidR="002F5F50">
              <w:rPr>
                <w:rFonts w:cs="Arial"/>
                <w:szCs w:val="20"/>
              </w:rPr>
              <w:t>-</w:t>
            </w:r>
            <w:r w:rsidRPr="00277C14">
              <w:rPr>
                <w:rFonts w:cs="Arial"/>
                <w:szCs w:val="20"/>
              </w:rPr>
              <w:t xml:space="preserve">operation and </w:t>
            </w:r>
            <w:r w:rsidR="003654E4">
              <w:rPr>
                <w:rFonts w:cs="Arial"/>
                <w:szCs w:val="20"/>
              </w:rPr>
              <w:t>Co-or</w:t>
            </w:r>
            <w:r w:rsidRPr="00277C14">
              <w:rPr>
                <w:rFonts w:cs="Arial"/>
                <w:szCs w:val="20"/>
              </w:rPr>
              <w:t>dination</w:t>
            </w:r>
          </w:p>
        </w:tc>
      </w:tr>
      <w:tr w:rsidR="00277C14" w:rsidRPr="00277C14" w14:paraId="3678F573" w14:textId="77777777" w:rsidTr="00277C14">
        <w:trPr>
          <w:trHeight w:val="255"/>
          <w:jc w:val="center"/>
        </w:trPr>
        <w:tc>
          <w:tcPr>
            <w:tcW w:w="1972" w:type="dxa"/>
            <w:tcBorders>
              <w:top w:val="nil"/>
              <w:bottom w:val="nil"/>
              <w:right w:val="single" w:sz="4" w:space="0" w:color="000000"/>
            </w:tcBorders>
            <w:shd w:val="clear" w:color="auto" w:fill="auto"/>
          </w:tcPr>
          <w:p w14:paraId="1C51EA31" w14:textId="77777777" w:rsidR="00277C14" w:rsidRPr="00277C14" w:rsidRDefault="00277C14" w:rsidP="00277C14">
            <w:pPr>
              <w:rPr>
                <w:rFonts w:cs="Arial"/>
                <w:szCs w:val="20"/>
              </w:rPr>
            </w:pPr>
            <w:r w:rsidRPr="00277C14">
              <w:rPr>
                <w:rFonts w:cs="Arial"/>
                <w:szCs w:val="20"/>
              </w:rPr>
              <w:t>R.3</w:t>
            </w:r>
          </w:p>
        </w:tc>
        <w:tc>
          <w:tcPr>
            <w:tcW w:w="7573" w:type="dxa"/>
            <w:tcBorders>
              <w:left w:val="single" w:sz="4" w:space="0" w:color="000000"/>
            </w:tcBorders>
            <w:shd w:val="clear" w:color="auto" w:fill="auto"/>
            <w:vAlign w:val="center"/>
          </w:tcPr>
          <w:p w14:paraId="0D92093C" w14:textId="77777777" w:rsidR="00277C14" w:rsidRPr="00277C14" w:rsidRDefault="00277C14" w:rsidP="00277C14">
            <w:pPr>
              <w:rPr>
                <w:rFonts w:cs="Arial"/>
                <w:szCs w:val="20"/>
              </w:rPr>
            </w:pPr>
            <w:r w:rsidRPr="00277C14">
              <w:rPr>
                <w:rFonts w:cs="Arial"/>
                <w:szCs w:val="20"/>
              </w:rPr>
              <w:t>Money laundering offence</w:t>
            </w:r>
          </w:p>
        </w:tc>
      </w:tr>
      <w:tr w:rsidR="00277C14" w:rsidRPr="00277C14" w14:paraId="065B48BE" w14:textId="77777777" w:rsidTr="00277C14">
        <w:trPr>
          <w:trHeight w:val="255"/>
          <w:jc w:val="center"/>
        </w:trPr>
        <w:tc>
          <w:tcPr>
            <w:tcW w:w="1972" w:type="dxa"/>
            <w:tcBorders>
              <w:top w:val="nil"/>
              <w:bottom w:val="nil"/>
              <w:right w:val="single" w:sz="4" w:space="0" w:color="000000"/>
            </w:tcBorders>
            <w:shd w:val="clear" w:color="auto" w:fill="auto"/>
          </w:tcPr>
          <w:p w14:paraId="596D0E86" w14:textId="77777777" w:rsidR="00277C14" w:rsidRPr="00277C14" w:rsidRDefault="00277C14" w:rsidP="00277C14">
            <w:pPr>
              <w:rPr>
                <w:rFonts w:cs="Arial"/>
                <w:szCs w:val="20"/>
              </w:rPr>
            </w:pPr>
            <w:r w:rsidRPr="00277C14">
              <w:rPr>
                <w:rFonts w:cs="Arial"/>
                <w:szCs w:val="20"/>
              </w:rPr>
              <w:t>R.4</w:t>
            </w:r>
          </w:p>
        </w:tc>
        <w:tc>
          <w:tcPr>
            <w:tcW w:w="7573" w:type="dxa"/>
            <w:tcBorders>
              <w:left w:val="single" w:sz="4" w:space="0" w:color="000000"/>
            </w:tcBorders>
            <w:shd w:val="clear" w:color="auto" w:fill="auto"/>
            <w:vAlign w:val="center"/>
          </w:tcPr>
          <w:p w14:paraId="47D30B0A" w14:textId="77777777" w:rsidR="00277C14" w:rsidRPr="00277C14" w:rsidRDefault="00277C14" w:rsidP="00277C14">
            <w:pPr>
              <w:rPr>
                <w:rFonts w:cs="Arial"/>
                <w:szCs w:val="20"/>
              </w:rPr>
            </w:pPr>
            <w:r w:rsidRPr="00277C14">
              <w:rPr>
                <w:rFonts w:cs="Arial"/>
                <w:szCs w:val="20"/>
              </w:rPr>
              <w:t>Confiscation and provisional measures</w:t>
            </w:r>
          </w:p>
        </w:tc>
      </w:tr>
      <w:tr w:rsidR="00277C14" w:rsidRPr="00277C14" w14:paraId="3635B375" w14:textId="77777777" w:rsidTr="00277C14">
        <w:trPr>
          <w:trHeight w:val="255"/>
          <w:jc w:val="center"/>
        </w:trPr>
        <w:tc>
          <w:tcPr>
            <w:tcW w:w="1972" w:type="dxa"/>
            <w:tcBorders>
              <w:top w:val="nil"/>
              <w:bottom w:val="nil"/>
              <w:right w:val="single" w:sz="4" w:space="0" w:color="000000"/>
            </w:tcBorders>
            <w:shd w:val="clear" w:color="auto" w:fill="auto"/>
          </w:tcPr>
          <w:p w14:paraId="770246C9" w14:textId="77777777" w:rsidR="00277C14" w:rsidRPr="00277C14" w:rsidRDefault="00277C14" w:rsidP="00277C14">
            <w:pPr>
              <w:rPr>
                <w:rFonts w:cs="Arial"/>
                <w:szCs w:val="20"/>
              </w:rPr>
            </w:pPr>
            <w:r w:rsidRPr="00277C14">
              <w:rPr>
                <w:rFonts w:cs="Arial"/>
                <w:szCs w:val="20"/>
              </w:rPr>
              <w:t>R.5</w:t>
            </w:r>
          </w:p>
        </w:tc>
        <w:tc>
          <w:tcPr>
            <w:tcW w:w="7573" w:type="dxa"/>
            <w:tcBorders>
              <w:left w:val="single" w:sz="4" w:space="0" w:color="000000"/>
            </w:tcBorders>
            <w:shd w:val="clear" w:color="auto" w:fill="auto"/>
            <w:vAlign w:val="center"/>
          </w:tcPr>
          <w:p w14:paraId="2D627BD7" w14:textId="77777777" w:rsidR="00277C14" w:rsidRPr="00277C14" w:rsidRDefault="00277C14" w:rsidP="00277C14">
            <w:pPr>
              <w:rPr>
                <w:rFonts w:cs="Arial"/>
                <w:szCs w:val="20"/>
              </w:rPr>
            </w:pPr>
            <w:r w:rsidRPr="00277C14">
              <w:rPr>
                <w:rFonts w:cs="Arial"/>
                <w:szCs w:val="20"/>
              </w:rPr>
              <w:t>Terrorist financing offence</w:t>
            </w:r>
          </w:p>
        </w:tc>
      </w:tr>
      <w:tr w:rsidR="00277C14" w:rsidRPr="00277C14" w14:paraId="71C4ABD3" w14:textId="77777777" w:rsidTr="00277C14">
        <w:trPr>
          <w:trHeight w:val="255"/>
          <w:jc w:val="center"/>
        </w:trPr>
        <w:tc>
          <w:tcPr>
            <w:tcW w:w="1972" w:type="dxa"/>
            <w:tcBorders>
              <w:top w:val="nil"/>
              <w:bottom w:val="nil"/>
              <w:right w:val="single" w:sz="4" w:space="0" w:color="000000"/>
            </w:tcBorders>
            <w:shd w:val="clear" w:color="auto" w:fill="auto"/>
          </w:tcPr>
          <w:p w14:paraId="45326CDD" w14:textId="77777777" w:rsidR="00277C14" w:rsidRPr="00277C14" w:rsidRDefault="00277C14" w:rsidP="00277C14">
            <w:pPr>
              <w:rPr>
                <w:rFonts w:cs="Arial"/>
                <w:szCs w:val="20"/>
              </w:rPr>
            </w:pPr>
            <w:r w:rsidRPr="00277C14">
              <w:rPr>
                <w:rFonts w:cs="Arial"/>
                <w:szCs w:val="20"/>
              </w:rPr>
              <w:t>R.6</w:t>
            </w:r>
          </w:p>
        </w:tc>
        <w:tc>
          <w:tcPr>
            <w:tcW w:w="7573" w:type="dxa"/>
            <w:tcBorders>
              <w:left w:val="single" w:sz="4" w:space="0" w:color="000000"/>
            </w:tcBorders>
            <w:shd w:val="clear" w:color="auto" w:fill="auto"/>
            <w:vAlign w:val="center"/>
          </w:tcPr>
          <w:p w14:paraId="3A874090" w14:textId="77777777" w:rsidR="00277C14" w:rsidRPr="00277C14" w:rsidRDefault="00277C14" w:rsidP="00277C14">
            <w:pPr>
              <w:rPr>
                <w:rFonts w:cs="Arial"/>
                <w:szCs w:val="20"/>
              </w:rPr>
            </w:pPr>
            <w:r w:rsidRPr="00277C14">
              <w:rPr>
                <w:rFonts w:cs="Arial"/>
                <w:szCs w:val="20"/>
              </w:rPr>
              <w:t>Targeted financial sanctions related to terrorism and terrorist financing</w:t>
            </w:r>
          </w:p>
        </w:tc>
      </w:tr>
      <w:tr w:rsidR="00277C14" w:rsidRPr="00277C14" w14:paraId="2EFD43F3" w14:textId="77777777" w:rsidTr="00277C14">
        <w:trPr>
          <w:trHeight w:val="255"/>
          <w:jc w:val="center"/>
        </w:trPr>
        <w:tc>
          <w:tcPr>
            <w:tcW w:w="1972" w:type="dxa"/>
            <w:tcBorders>
              <w:top w:val="nil"/>
              <w:bottom w:val="nil"/>
              <w:right w:val="single" w:sz="4" w:space="0" w:color="000000"/>
            </w:tcBorders>
            <w:shd w:val="clear" w:color="auto" w:fill="auto"/>
          </w:tcPr>
          <w:p w14:paraId="2100C3DA" w14:textId="77777777" w:rsidR="00277C14" w:rsidRPr="00277C14" w:rsidRDefault="00277C14" w:rsidP="00277C14">
            <w:pPr>
              <w:rPr>
                <w:rFonts w:cs="Arial"/>
                <w:szCs w:val="20"/>
              </w:rPr>
            </w:pPr>
            <w:r w:rsidRPr="00277C14">
              <w:rPr>
                <w:rFonts w:cs="Arial"/>
                <w:szCs w:val="20"/>
              </w:rPr>
              <w:t>R.7</w:t>
            </w:r>
          </w:p>
        </w:tc>
        <w:tc>
          <w:tcPr>
            <w:tcW w:w="7573" w:type="dxa"/>
            <w:tcBorders>
              <w:left w:val="single" w:sz="4" w:space="0" w:color="000000"/>
            </w:tcBorders>
            <w:shd w:val="clear" w:color="auto" w:fill="auto"/>
            <w:vAlign w:val="center"/>
          </w:tcPr>
          <w:p w14:paraId="356641F6" w14:textId="77777777" w:rsidR="00277C14" w:rsidRPr="00277C14" w:rsidRDefault="00277C14" w:rsidP="00277C14">
            <w:pPr>
              <w:rPr>
                <w:rFonts w:cs="Arial"/>
                <w:szCs w:val="20"/>
              </w:rPr>
            </w:pPr>
            <w:r w:rsidRPr="00277C14">
              <w:rPr>
                <w:rFonts w:cs="Arial"/>
                <w:szCs w:val="20"/>
              </w:rPr>
              <w:t>Targeted financial sanctions related to proliferation</w:t>
            </w:r>
          </w:p>
        </w:tc>
      </w:tr>
      <w:tr w:rsidR="00277C14" w:rsidRPr="00277C14" w14:paraId="42E84CA3" w14:textId="77777777" w:rsidTr="00277C14">
        <w:trPr>
          <w:trHeight w:val="255"/>
          <w:jc w:val="center"/>
        </w:trPr>
        <w:tc>
          <w:tcPr>
            <w:tcW w:w="1972" w:type="dxa"/>
            <w:tcBorders>
              <w:top w:val="nil"/>
              <w:bottom w:val="nil"/>
              <w:right w:val="single" w:sz="4" w:space="0" w:color="000000"/>
            </w:tcBorders>
            <w:shd w:val="clear" w:color="auto" w:fill="auto"/>
          </w:tcPr>
          <w:p w14:paraId="452482FD" w14:textId="77777777" w:rsidR="00277C14" w:rsidRPr="00277C14" w:rsidRDefault="00277C14" w:rsidP="00277C14">
            <w:pPr>
              <w:rPr>
                <w:rFonts w:cs="Arial"/>
                <w:szCs w:val="20"/>
              </w:rPr>
            </w:pPr>
            <w:r w:rsidRPr="00277C14">
              <w:rPr>
                <w:rFonts w:cs="Arial"/>
                <w:szCs w:val="20"/>
              </w:rPr>
              <w:t>R.8</w:t>
            </w:r>
          </w:p>
        </w:tc>
        <w:tc>
          <w:tcPr>
            <w:tcW w:w="7573" w:type="dxa"/>
            <w:tcBorders>
              <w:left w:val="single" w:sz="4" w:space="0" w:color="000000"/>
            </w:tcBorders>
            <w:shd w:val="clear" w:color="auto" w:fill="auto"/>
            <w:vAlign w:val="center"/>
          </w:tcPr>
          <w:p w14:paraId="24C20937" w14:textId="77777777" w:rsidR="00277C14" w:rsidRPr="00277C14" w:rsidRDefault="00277C14" w:rsidP="00277C14">
            <w:pPr>
              <w:rPr>
                <w:rFonts w:cs="Arial"/>
                <w:szCs w:val="20"/>
              </w:rPr>
            </w:pPr>
            <w:r w:rsidRPr="00277C14">
              <w:rPr>
                <w:rFonts w:cs="Arial"/>
                <w:szCs w:val="20"/>
              </w:rPr>
              <w:t>Non-profit organisations</w:t>
            </w:r>
          </w:p>
        </w:tc>
      </w:tr>
      <w:tr w:rsidR="00277C14" w:rsidRPr="00277C14" w14:paraId="3DED6FE8" w14:textId="77777777" w:rsidTr="00277C14">
        <w:trPr>
          <w:trHeight w:val="255"/>
          <w:jc w:val="center"/>
        </w:trPr>
        <w:tc>
          <w:tcPr>
            <w:tcW w:w="1972" w:type="dxa"/>
            <w:tcBorders>
              <w:top w:val="nil"/>
              <w:bottom w:val="nil"/>
              <w:right w:val="single" w:sz="4" w:space="0" w:color="000000"/>
            </w:tcBorders>
            <w:shd w:val="clear" w:color="auto" w:fill="auto"/>
          </w:tcPr>
          <w:p w14:paraId="64D0D1E5" w14:textId="77777777" w:rsidR="00277C14" w:rsidRPr="00277C14" w:rsidRDefault="00277C14" w:rsidP="00277C14">
            <w:pPr>
              <w:rPr>
                <w:rFonts w:cs="Arial"/>
                <w:szCs w:val="20"/>
              </w:rPr>
            </w:pPr>
            <w:r w:rsidRPr="00277C14">
              <w:rPr>
                <w:rFonts w:cs="Arial"/>
                <w:szCs w:val="20"/>
              </w:rPr>
              <w:t>R.9</w:t>
            </w:r>
          </w:p>
        </w:tc>
        <w:tc>
          <w:tcPr>
            <w:tcW w:w="7573" w:type="dxa"/>
            <w:tcBorders>
              <w:left w:val="single" w:sz="4" w:space="0" w:color="000000"/>
            </w:tcBorders>
            <w:shd w:val="clear" w:color="auto" w:fill="auto"/>
            <w:vAlign w:val="center"/>
          </w:tcPr>
          <w:p w14:paraId="3A111F60" w14:textId="77777777" w:rsidR="00277C14" w:rsidRPr="00277C14" w:rsidRDefault="00277C14" w:rsidP="00277C14">
            <w:pPr>
              <w:rPr>
                <w:rFonts w:cs="Arial"/>
                <w:szCs w:val="20"/>
              </w:rPr>
            </w:pPr>
            <w:r w:rsidRPr="00277C14">
              <w:rPr>
                <w:rFonts w:cs="Arial"/>
                <w:szCs w:val="20"/>
              </w:rPr>
              <w:t>Financial institution secrecy laws</w:t>
            </w:r>
          </w:p>
        </w:tc>
      </w:tr>
      <w:tr w:rsidR="00277C14" w:rsidRPr="00277C14" w14:paraId="37869764" w14:textId="77777777" w:rsidTr="00277C14">
        <w:trPr>
          <w:trHeight w:val="255"/>
          <w:jc w:val="center"/>
        </w:trPr>
        <w:tc>
          <w:tcPr>
            <w:tcW w:w="1972" w:type="dxa"/>
            <w:tcBorders>
              <w:top w:val="nil"/>
              <w:bottom w:val="nil"/>
              <w:right w:val="single" w:sz="4" w:space="0" w:color="000000"/>
            </w:tcBorders>
            <w:shd w:val="clear" w:color="auto" w:fill="auto"/>
          </w:tcPr>
          <w:p w14:paraId="58EADC70" w14:textId="77777777" w:rsidR="00277C14" w:rsidRPr="00277C14" w:rsidRDefault="00277C14" w:rsidP="00277C14">
            <w:pPr>
              <w:rPr>
                <w:rFonts w:cs="Arial"/>
                <w:szCs w:val="20"/>
              </w:rPr>
            </w:pPr>
            <w:r w:rsidRPr="00277C14">
              <w:rPr>
                <w:rFonts w:cs="Arial"/>
                <w:szCs w:val="20"/>
              </w:rPr>
              <w:t>R.10</w:t>
            </w:r>
          </w:p>
        </w:tc>
        <w:tc>
          <w:tcPr>
            <w:tcW w:w="7573" w:type="dxa"/>
            <w:tcBorders>
              <w:left w:val="single" w:sz="4" w:space="0" w:color="000000"/>
            </w:tcBorders>
            <w:shd w:val="clear" w:color="auto" w:fill="auto"/>
            <w:vAlign w:val="center"/>
          </w:tcPr>
          <w:p w14:paraId="4517A7A1" w14:textId="77777777" w:rsidR="00277C14" w:rsidRPr="00277C14" w:rsidRDefault="00277C14" w:rsidP="00277C14">
            <w:pPr>
              <w:rPr>
                <w:rFonts w:cs="Arial"/>
                <w:szCs w:val="20"/>
              </w:rPr>
            </w:pPr>
            <w:r w:rsidRPr="00277C14">
              <w:rPr>
                <w:rFonts w:cs="Arial"/>
                <w:szCs w:val="20"/>
              </w:rPr>
              <w:t>Customer due diligence</w:t>
            </w:r>
          </w:p>
        </w:tc>
      </w:tr>
      <w:tr w:rsidR="00277C14" w:rsidRPr="00277C14" w14:paraId="6BC1D086" w14:textId="77777777" w:rsidTr="00277C14">
        <w:trPr>
          <w:trHeight w:val="255"/>
          <w:jc w:val="center"/>
        </w:trPr>
        <w:tc>
          <w:tcPr>
            <w:tcW w:w="1972" w:type="dxa"/>
            <w:tcBorders>
              <w:top w:val="nil"/>
              <w:bottom w:val="nil"/>
              <w:right w:val="single" w:sz="4" w:space="0" w:color="000000"/>
            </w:tcBorders>
            <w:shd w:val="clear" w:color="auto" w:fill="auto"/>
          </w:tcPr>
          <w:p w14:paraId="416AB13E" w14:textId="77777777" w:rsidR="00277C14" w:rsidRPr="00277C14" w:rsidRDefault="00277C14" w:rsidP="00277C14">
            <w:pPr>
              <w:rPr>
                <w:rFonts w:cs="Arial"/>
                <w:szCs w:val="20"/>
              </w:rPr>
            </w:pPr>
            <w:r w:rsidRPr="00277C14">
              <w:rPr>
                <w:rFonts w:cs="Arial"/>
                <w:szCs w:val="20"/>
              </w:rPr>
              <w:t>R.11</w:t>
            </w:r>
          </w:p>
        </w:tc>
        <w:tc>
          <w:tcPr>
            <w:tcW w:w="7573" w:type="dxa"/>
            <w:tcBorders>
              <w:left w:val="single" w:sz="4" w:space="0" w:color="000000"/>
            </w:tcBorders>
            <w:shd w:val="clear" w:color="auto" w:fill="auto"/>
            <w:vAlign w:val="center"/>
          </w:tcPr>
          <w:p w14:paraId="351E702A" w14:textId="77777777" w:rsidR="00277C14" w:rsidRPr="00277C14" w:rsidRDefault="00277C14" w:rsidP="00277C14">
            <w:pPr>
              <w:rPr>
                <w:rFonts w:cs="Arial"/>
                <w:szCs w:val="20"/>
              </w:rPr>
            </w:pPr>
            <w:r w:rsidRPr="00277C14">
              <w:rPr>
                <w:rFonts w:cs="Arial"/>
                <w:szCs w:val="20"/>
              </w:rPr>
              <w:t xml:space="preserve">Record-keeping </w:t>
            </w:r>
          </w:p>
        </w:tc>
      </w:tr>
      <w:tr w:rsidR="00277C14" w:rsidRPr="00277C14" w14:paraId="65E0B097" w14:textId="77777777" w:rsidTr="00277C14">
        <w:trPr>
          <w:trHeight w:val="255"/>
          <w:jc w:val="center"/>
        </w:trPr>
        <w:tc>
          <w:tcPr>
            <w:tcW w:w="1972" w:type="dxa"/>
            <w:tcBorders>
              <w:top w:val="nil"/>
              <w:bottom w:val="nil"/>
              <w:right w:val="single" w:sz="4" w:space="0" w:color="000000"/>
            </w:tcBorders>
            <w:shd w:val="clear" w:color="auto" w:fill="auto"/>
          </w:tcPr>
          <w:p w14:paraId="056999A6" w14:textId="77777777" w:rsidR="00277C14" w:rsidRPr="00277C14" w:rsidRDefault="00277C14" w:rsidP="00277C14">
            <w:pPr>
              <w:rPr>
                <w:rFonts w:cs="Arial"/>
                <w:szCs w:val="20"/>
              </w:rPr>
            </w:pPr>
            <w:r w:rsidRPr="00277C14">
              <w:rPr>
                <w:rFonts w:cs="Arial"/>
                <w:szCs w:val="20"/>
              </w:rPr>
              <w:t>R.12</w:t>
            </w:r>
          </w:p>
        </w:tc>
        <w:tc>
          <w:tcPr>
            <w:tcW w:w="7573" w:type="dxa"/>
            <w:tcBorders>
              <w:left w:val="single" w:sz="4" w:space="0" w:color="000000"/>
            </w:tcBorders>
            <w:shd w:val="clear" w:color="auto" w:fill="auto"/>
            <w:vAlign w:val="center"/>
          </w:tcPr>
          <w:p w14:paraId="3F38173F" w14:textId="77777777" w:rsidR="00277C14" w:rsidRPr="00277C14" w:rsidRDefault="00277C14" w:rsidP="00277C14">
            <w:pPr>
              <w:rPr>
                <w:rFonts w:cs="Arial"/>
                <w:szCs w:val="20"/>
              </w:rPr>
            </w:pPr>
            <w:r w:rsidRPr="00277C14">
              <w:rPr>
                <w:rFonts w:cs="Arial"/>
                <w:szCs w:val="20"/>
              </w:rPr>
              <w:t>Politically exposed persons</w:t>
            </w:r>
          </w:p>
        </w:tc>
      </w:tr>
      <w:tr w:rsidR="00277C14" w:rsidRPr="00277C14" w14:paraId="039135CA" w14:textId="77777777" w:rsidTr="00277C14">
        <w:trPr>
          <w:trHeight w:val="255"/>
          <w:jc w:val="center"/>
        </w:trPr>
        <w:tc>
          <w:tcPr>
            <w:tcW w:w="1972" w:type="dxa"/>
            <w:tcBorders>
              <w:top w:val="nil"/>
              <w:bottom w:val="nil"/>
              <w:right w:val="single" w:sz="4" w:space="0" w:color="000000"/>
            </w:tcBorders>
            <w:shd w:val="clear" w:color="auto" w:fill="auto"/>
          </w:tcPr>
          <w:p w14:paraId="77E36F7D" w14:textId="77777777" w:rsidR="00277C14" w:rsidRPr="00277C14" w:rsidRDefault="00277C14" w:rsidP="00277C14">
            <w:pPr>
              <w:rPr>
                <w:rFonts w:cs="Arial"/>
                <w:szCs w:val="20"/>
              </w:rPr>
            </w:pPr>
            <w:r w:rsidRPr="00277C14">
              <w:rPr>
                <w:rFonts w:cs="Arial"/>
                <w:szCs w:val="20"/>
              </w:rPr>
              <w:t>R.13</w:t>
            </w:r>
          </w:p>
        </w:tc>
        <w:tc>
          <w:tcPr>
            <w:tcW w:w="7573" w:type="dxa"/>
            <w:tcBorders>
              <w:left w:val="single" w:sz="4" w:space="0" w:color="000000"/>
            </w:tcBorders>
            <w:shd w:val="clear" w:color="auto" w:fill="auto"/>
            <w:vAlign w:val="center"/>
          </w:tcPr>
          <w:p w14:paraId="6B38F80F" w14:textId="77777777" w:rsidR="00277C14" w:rsidRPr="00277C14" w:rsidRDefault="00277C14" w:rsidP="00277C14">
            <w:pPr>
              <w:rPr>
                <w:rFonts w:cs="Arial"/>
                <w:szCs w:val="20"/>
              </w:rPr>
            </w:pPr>
            <w:r w:rsidRPr="00277C14">
              <w:rPr>
                <w:rFonts w:cs="Arial"/>
                <w:szCs w:val="20"/>
              </w:rPr>
              <w:t>Correspondent banking</w:t>
            </w:r>
          </w:p>
        </w:tc>
      </w:tr>
      <w:tr w:rsidR="00277C14" w:rsidRPr="00277C14" w14:paraId="22AC3841" w14:textId="77777777" w:rsidTr="00277C14">
        <w:trPr>
          <w:trHeight w:val="255"/>
          <w:jc w:val="center"/>
        </w:trPr>
        <w:tc>
          <w:tcPr>
            <w:tcW w:w="1972" w:type="dxa"/>
            <w:tcBorders>
              <w:top w:val="nil"/>
              <w:bottom w:val="nil"/>
              <w:right w:val="single" w:sz="4" w:space="0" w:color="000000"/>
            </w:tcBorders>
            <w:shd w:val="clear" w:color="auto" w:fill="auto"/>
          </w:tcPr>
          <w:p w14:paraId="74C92DDE" w14:textId="77777777" w:rsidR="00277C14" w:rsidRPr="00277C14" w:rsidRDefault="00277C14" w:rsidP="00277C14">
            <w:pPr>
              <w:rPr>
                <w:rFonts w:cs="Arial"/>
                <w:szCs w:val="20"/>
              </w:rPr>
            </w:pPr>
            <w:r w:rsidRPr="00277C14">
              <w:rPr>
                <w:rFonts w:cs="Arial"/>
                <w:szCs w:val="20"/>
              </w:rPr>
              <w:t>R.14</w:t>
            </w:r>
          </w:p>
        </w:tc>
        <w:tc>
          <w:tcPr>
            <w:tcW w:w="7573" w:type="dxa"/>
            <w:tcBorders>
              <w:left w:val="single" w:sz="4" w:space="0" w:color="000000"/>
            </w:tcBorders>
            <w:shd w:val="clear" w:color="auto" w:fill="auto"/>
            <w:vAlign w:val="center"/>
          </w:tcPr>
          <w:p w14:paraId="64F19349" w14:textId="77777777" w:rsidR="00277C14" w:rsidRPr="00277C14" w:rsidRDefault="00277C14" w:rsidP="00277C14">
            <w:pPr>
              <w:rPr>
                <w:rFonts w:cs="Arial"/>
                <w:szCs w:val="20"/>
              </w:rPr>
            </w:pPr>
            <w:r w:rsidRPr="00277C14">
              <w:rPr>
                <w:rFonts w:cs="Arial"/>
                <w:szCs w:val="20"/>
              </w:rPr>
              <w:t>Money or value transfer services</w:t>
            </w:r>
          </w:p>
        </w:tc>
      </w:tr>
      <w:tr w:rsidR="00277C14" w:rsidRPr="00277C14" w14:paraId="385AE50D" w14:textId="77777777" w:rsidTr="00277C14">
        <w:trPr>
          <w:trHeight w:val="255"/>
          <w:jc w:val="center"/>
        </w:trPr>
        <w:tc>
          <w:tcPr>
            <w:tcW w:w="1972" w:type="dxa"/>
            <w:tcBorders>
              <w:top w:val="nil"/>
              <w:bottom w:val="nil"/>
              <w:right w:val="single" w:sz="4" w:space="0" w:color="000000"/>
            </w:tcBorders>
            <w:shd w:val="clear" w:color="auto" w:fill="auto"/>
          </w:tcPr>
          <w:p w14:paraId="43F6DC32" w14:textId="77777777" w:rsidR="00277C14" w:rsidRPr="00277C14" w:rsidRDefault="00277C14" w:rsidP="00277C14">
            <w:pPr>
              <w:rPr>
                <w:rFonts w:cs="Arial"/>
                <w:szCs w:val="20"/>
              </w:rPr>
            </w:pPr>
            <w:r w:rsidRPr="00277C14">
              <w:rPr>
                <w:rFonts w:cs="Arial"/>
                <w:szCs w:val="20"/>
              </w:rPr>
              <w:t>R.15</w:t>
            </w:r>
          </w:p>
        </w:tc>
        <w:tc>
          <w:tcPr>
            <w:tcW w:w="7573" w:type="dxa"/>
            <w:tcBorders>
              <w:left w:val="single" w:sz="4" w:space="0" w:color="000000"/>
            </w:tcBorders>
            <w:shd w:val="clear" w:color="auto" w:fill="auto"/>
            <w:vAlign w:val="center"/>
          </w:tcPr>
          <w:p w14:paraId="706A480C" w14:textId="77777777" w:rsidR="00277C14" w:rsidRPr="00277C14" w:rsidRDefault="00277C14" w:rsidP="00277C14">
            <w:pPr>
              <w:rPr>
                <w:rFonts w:cs="Arial"/>
                <w:szCs w:val="20"/>
              </w:rPr>
            </w:pPr>
            <w:r w:rsidRPr="00277C14">
              <w:rPr>
                <w:rFonts w:cs="Arial"/>
                <w:szCs w:val="20"/>
              </w:rPr>
              <w:t>New technologies</w:t>
            </w:r>
          </w:p>
        </w:tc>
      </w:tr>
      <w:tr w:rsidR="00277C14" w:rsidRPr="00277C14" w14:paraId="26FFA871" w14:textId="77777777" w:rsidTr="00277C14">
        <w:trPr>
          <w:trHeight w:val="255"/>
          <w:jc w:val="center"/>
        </w:trPr>
        <w:tc>
          <w:tcPr>
            <w:tcW w:w="1972" w:type="dxa"/>
            <w:tcBorders>
              <w:top w:val="nil"/>
              <w:bottom w:val="nil"/>
              <w:right w:val="single" w:sz="4" w:space="0" w:color="000000"/>
            </w:tcBorders>
            <w:shd w:val="clear" w:color="auto" w:fill="auto"/>
          </w:tcPr>
          <w:p w14:paraId="121204C2" w14:textId="77777777" w:rsidR="00277C14" w:rsidRPr="00277C14" w:rsidRDefault="00277C14" w:rsidP="00277C14">
            <w:pPr>
              <w:rPr>
                <w:rFonts w:cs="Arial"/>
                <w:szCs w:val="20"/>
              </w:rPr>
            </w:pPr>
            <w:r w:rsidRPr="00277C14">
              <w:rPr>
                <w:rFonts w:cs="Arial"/>
                <w:szCs w:val="20"/>
              </w:rPr>
              <w:t>R.16</w:t>
            </w:r>
          </w:p>
        </w:tc>
        <w:tc>
          <w:tcPr>
            <w:tcW w:w="7573" w:type="dxa"/>
            <w:tcBorders>
              <w:left w:val="single" w:sz="4" w:space="0" w:color="000000"/>
            </w:tcBorders>
            <w:shd w:val="clear" w:color="auto" w:fill="auto"/>
            <w:vAlign w:val="center"/>
          </w:tcPr>
          <w:p w14:paraId="584D4291" w14:textId="77777777" w:rsidR="00277C14" w:rsidRPr="00277C14" w:rsidRDefault="00277C14" w:rsidP="00277C14">
            <w:pPr>
              <w:rPr>
                <w:rFonts w:cs="Arial"/>
                <w:szCs w:val="20"/>
              </w:rPr>
            </w:pPr>
            <w:r w:rsidRPr="00277C14">
              <w:rPr>
                <w:rFonts w:cs="Arial"/>
                <w:szCs w:val="20"/>
              </w:rPr>
              <w:t>Wire transfers</w:t>
            </w:r>
          </w:p>
        </w:tc>
      </w:tr>
      <w:tr w:rsidR="00277C14" w:rsidRPr="00277C14" w14:paraId="5C728A56" w14:textId="77777777" w:rsidTr="00277C14">
        <w:trPr>
          <w:trHeight w:val="255"/>
          <w:jc w:val="center"/>
        </w:trPr>
        <w:tc>
          <w:tcPr>
            <w:tcW w:w="1972" w:type="dxa"/>
            <w:tcBorders>
              <w:top w:val="nil"/>
              <w:bottom w:val="nil"/>
              <w:right w:val="single" w:sz="4" w:space="0" w:color="000000"/>
            </w:tcBorders>
            <w:shd w:val="clear" w:color="auto" w:fill="auto"/>
          </w:tcPr>
          <w:p w14:paraId="38EDC2E1" w14:textId="77777777" w:rsidR="00277C14" w:rsidRPr="00277C14" w:rsidRDefault="00277C14" w:rsidP="00277C14">
            <w:pPr>
              <w:rPr>
                <w:rFonts w:cs="Arial"/>
                <w:szCs w:val="20"/>
              </w:rPr>
            </w:pPr>
            <w:r w:rsidRPr="00277C14">
              <w:rPr>
                <w:rFonts w:cs="Arial"/>
                <w:szCs w:val="20"/>
              </w:rPr>
              <w:t>R.17</w:t>
            </w:r>
          </w:p>
        </w:tc>
        <w:tc>
          <w:tcPr>
            <w:tcW w:w="7573" w:type="dxa"/>
            <w:tcBorders>
              <w:left w:val="single" w:sz="4" w:space="0" w:color="000000"/>
            </w:tcBorders>
            <w:shd w:val="clear" w:color="auto" w:fill="auto"/>
            <w:vAlign w:val="center"/>
          </w:tcPr>
          <w:p w14:paraId="145A04B0" w14:textId="77777777" w:rsidR="00277C14" w:rsidRPr="00277C14" w:rsidRDefault="00277C14" w:rsidP="00277C14">
            <w:pPr>
              <w:rPr>
                <w:rFonts w:cs="Arial"/>
                <w:szCs w:val="20"/>
              </w:rPr>
            </w:pPr>
            <w:r w:rsidRPr="00277C14">
              <w:rPr>
                <w:rFonts w:cs="Arial"/>
                <w:szCs w:val="20"/>
              </w:rPr>
              <w:t>Reliance on third parties</w:t>
            </w:r>
          </w:p>
        </w:tc>
      </w:tr>
      <w:tr w:rsidR="00277C14" w:rsidRPr="00277C14" w14:paraId="3332E894" w14:textId="77777777" w:rsidTr="00277C14">
        <w:trPr>
          <w:trHeight w:val="255"/>
          <w:jc w:val="center"/>
        </w:trPr>
        <w:tc>
          <w:tcPr>
            <w:tcW w:w="1972" w:type="dxa"/>
            <w:tcBorders>
              <w:top w:val="nil"/>
              <w:bottom w:val="nil"/>
              <w:right w:val="single" w:sz="4" w:space="0" w:color="000000"/>
            </w:tcBorders>
            <w:shd w:val="clear" w:color="auto" w:fill="auto"/>
          </w:tcPr>
          <w:p w14:paraId="3131DA23" w14:textId="77777777" w:rsidR="00277C14" w:rsidRPr="00277C14" w:rsidRDefault="00277C14" w:rsidP="00277C14">
            <w:pPr>
              <w:rPr>
                <w:rFonts w:cs="Arial"/>
                <w:szCs w:val="20"/>
              </w:rPr>
            </w:pPr>
            <w:r w:rsidRPr="00277C14">
              <w:rPr>
                <w:rFonts w:cs="Arial"/>
                <w:szCs w:val="20"/>
              </w:rPr>
              <w:t>R.18</w:t>
            </w:r>
          </w:p>
        </w:tc>
        <w:tc>
          <w:tcPr>
            <w:tcW w:w="7573" w:type="dxa"/>
            <w:tcBorders>
              <w:left w:val="single" w:sz="4" w:space="0" w:color="000000"/>
            </w:tcBorders>
            <w:shd w:val="clear" w:color="auto" w:fill="auto"/>
            <w:vAlign w:val="center"/>
          </w:tcPr>
          <w:p w14:paraId="608A42D6" w14:textId="77777777" w:rsidR="00277C14" w:rsidRPr="00277C14" w:rsidRDefault="00277C14" w:rsidP="00277C14">
            <w:pPr>
              <w:rPr>
                <w:rFonts w:cs="Arial"/>
                <w:szCs w:val="20"/>
              </w:rPr>
            </w:pPr>
            <w:r w:rsidRPr="00277C14">
              <w:rPr>
                <w:rFonts w:cs="Arial"/>
                <w:szCs w:val="20"/>
              </w:rPr>
              <w:t>Internal controls and foreign branches and subsidiaries</w:t>
            </w:r>
          </w:p>
        </w:tc>
      </w:tr>
      <w:tr w:rsidR="00277C14" w:rsidRPr="00277C14" w14:paraId="5343A79F" w14:textId="77777777" w:rsidTr="00277C14">
        <w:trPr>
          <w:trHeight w:val="255"/>
          <w:jc w:val="center"/>
        </w:trPr>
        <w:tc>
          <w:tcPr>
            <w:tcW w:w="1972" w:type="dxa"/>
            <w:tcBorders>
              <w:top w:val="nil"/>
              <w:bottom w:val="nil"/>
              <w:right w:val="single" w:sz="4" w:space="0" w:color="000000"/>
            </w:tcBorders>
            <w:shd w:val="clear" w:color="auto" w:fill="auto"/>
          </w:tcPr>
          <w:p w14:paraId="431151A1" w14:textId="77777777" w:rsidR="00277C14" w:rsidRPr="00277C14" w:rsidRDefault="00277C14" w:rsidP="00277C14">
            <w:pPr>
              <w:rPr>
                <w:rFonts w:cs="Arial"/>
                <w:szCs w:val="20"/>
              </w:rPr>
            </w:pPr>
            <w:r w:rsidRPr="00277C14">
              <w:rPr>
                <w:rFonts w:cs="Arial"/>
                <w:szCs w:val="20"/>
              </w:rPr>
              <w:t>R.19</w:t>
            </w:r>
          </w:p>
        </w:tc>
        <w:tc>
          <w:tcPr>
            <w:tcW w:w="7573" w:type="dxa"/>
            <w:tcBorders>
              <w:left w:val="single" w:sz="4" w:space="0" w:color="000000"/>
            </w:tcBorders>
            <w:shd w:val="clear" w:color="auto" w:fill="auto"/>
            <w:vAlign w:val="center"/>
          </w:tcPr>
          <w:p w14:paraId="0A755B7E" w14:textId="77777777" w:rsidR="00277C14" w:rsidRPr="00277C14" w:rsidRDefault="00277C14" w:rsidP="00277C14">
            <w:pPr>
              <w:rPr>
                <w:rFonts w:cs="Arial"/>
                <w:szCs w:val="20"/>
              </w:rPr>
            </w:pPr>
            <w:r w:rsidRPr="00277C14">
              <w:rPr>
                <w:rFonts w:cs="Arial"/>
                <w:szCs w:val="20"/>
              </w:rPr>
              <w:t>Higher-risk countries</w:t>
            </w:r>
          </w:p>
        </w:tc>
      </w:tr>
      <w:tr w:rsidR="00277C14" w:rsidRPr="00277C14" w14:paraId="43FB89FA" w14:textId="77777777" w:rsidTr="00277C14">
        <w:trPr>
          <w:trHeight w:val="255"/>
          <w:jc w:val="center"/>
        </w:trPr>
        <w:tc>
          <w:tcPr>
            <w:tcW w:w="1972" w:type="dxa"/>
            <w:tcBorders>
              <w:top w:val="nil"/>
              <w:bottom w:val="nil"/>
              <w:right w:val="single" w:sz="4" w:space="0" w:color="000000"/>
            </w:tcBorders>
            <w:shd w:val="clear" w:color="auto" w:fill="auto"/>
          </w:tcPr>
          <w:p w14:paraId="6582571A" w14:textId="77777777" w:rsidR="00277C14" w:rsidRPr="00277C14" w:rsidRDefault="00277C14" w:rsidP="00277C14">
            <w:pPr>
              <w:rPr>
                <w:rFonts w:cs="Arial"/>
                <w:szCs w:val="20"/>
              </w:rPr>
            </w:pPr>
            <w:r w:rsidRPr="00277C14">
              <w:rPr>
                <w:rFonts w:cs="Arial"/>
                <w:szCs w:val="20"/>
              </w:rPr>
              <w:t>R.20</w:t>
            </w:r>
          </w:p>
        </w:tc>
        <w:tc>
          <w:tcPr>
            <w:tcW w:w="7573" w:type="dxa"/>
            <w:tcBorders>
              <w:left w:val="single" w:sz="4" w:space="0" w:color="000000"/>
            </w:tcBorders>
            <w:shd w:val="clear" w:color="auto" w:fill="auto"/>
            <w:vAlign w:val="center"/>
          </w:tcPr>
          <w:p w14:paraId="54546034" w14:textId="77777777" w:rsidR="00277C14" w:rsidRPr="00277C14" w:rsidRDefault="00277C14" w:rsidP="00277C14">
            <w:pPr>
              <w:rPr>
                <w:rFonts w:cs="Arial"/>
                <w:szCs w:val="20"/>
              </w:rPr>
            </w:pPr>
            <w:r w:rsidRPr="00277C14">
              <w:rPr>
                <w:rFonts w:cs="Arial"/>
                <w:szCs w:val="20"/>
              </w:rPr>
              <w:t>Reporting of suspicious transactions</w:t>
            </w:r>
          </w:p>
        </w:tc>
      </w:tr>
      <w:tr w:rsidR="00277C14" w:rsidRPr="00277C14" w14:paraId="3AC7D972" w14:textId="77777777" w:rsidTr="00277C14">
        <w:trPr>
          <w:trHeight w:val="255"/>
          <w:jc w:val="center"/>
        </w:trPr>
        <w:tc>
          <w:tcPr>
            <w:tcW w:w="1972" w:type="dxa"/>
            <w:tcBorders>
              <w:top w:val="nil"/>
              <w:bottom w:val="nil"/>
              <w:right w:val="single" w:sz="4" w:space="0" w:color="000000"/>
            </w:tcBorders>
            <w:shd w:val="clear" w:color="auto" w:fill="auto"/>
          </w:tcPr>
          <w:p w14:paraId="23E9028E" w14:textId="77777777" w:rsidR="00277C14" w:rsidRPr="00277C14" w:rsidRDefault="00277C14" w:rsidP="00277C14">
            <w:pPr>
              <w:rPr>
                <w:rFonts w:cs="Arial"/>
                <w:szCs w:val="20"/>
              </w:rPr>
            </w:pPr>
            <w:r w:rsidRPr="00277C14">
              <w:rPr>
                <w:rFonts w:cs="Arial"/>
                <w:szCs w:val="20"/>
              </w:rPr>
              <w:t>R.21</w:t>
            </w:r>
          </w:p>
        </w:tc>
        <w:tc>
          <w:tcPr>
            <w:tcW w:w="7573" w:type="dxa"/>
            <w:tcBorders>
              <w:left w:val="single" w:sz="4" w:space="0" w:color="000000"/>
            </w:tcBorders>
            <w:shd w:val="clear" w:color="auto" w:fill="auto"/>
            <w:vAlign w:val="center"/>
          </w:tcPr>
          <w:p w14:paraId="3D13C70C" w14:textId="77777777" w:rsidR="00277C14" w:rsidRPr="00277C14" w:rsidRDefault="00277C14" w:rsidP="00277C14">
            <w:pPr>
              <w:rPr>
                <w:rFonts w:cs="Arial"/>
                <w:szCs w:val="20"/>
              </w:rPr>
            </w:pPr>
            <w:r w:rsidRPr="00277C14">
              <w:rPr>
                <w:rFonts w:cs="Arial"/>
                <w:szCs w:val="20"/>
              </w:rPr>
              <w:t>Tipping-off and confidentiality</w:t>
            </w:r>
          </w:p>
        </w:tc>
      </w:tr>
      <w:tr w:rsidR="00277C14" w:rsidRPr="00277C14" w14:paraId="4C0E7952" w14:textId="77777777" w:rsidTr="00277C14">
        <w:trPr>
          <w:trHeight w:val="255"/>
          <w:jc w:val="center"/>
        </w:trPr>
        <w:tc>
          <w:tcPr>
            <w:tcW w:w="1972" w:type="dxa"/>
            <w:tcBorders>
              <w:top w:val="nil"/>
              <w:bottom w:val="nil"/>
              <w:right w:val="single" w:sz="4" w:space="0" w:color="000000"/>
            </w:tcBorders>
            <w:shd w:val="clear" w:color="auto" w:fill="auto"/>
          </w:tcPr>
          <w:p w14:paraId="1FEDCC33" w14:textId="77777777" w:rsidR="00277C14" w:rsidRPr="00277C14" w:rsidRDefault="00277C14" w:rsidP="00277C14">
            <w:pPr>
              <w:rPr>
                <w:rFonts w:cs="Arial"/>
                <w:szCs w:val="20"/>
              </w:rPr>
            </w:pPr>
            <w:r w:rsidRPr="00277C14">
              <w:rPr>
                <w:rFonts w:cs="Arial"/>
                <w:szCs w:val="20"/>
              </w:rPr>
              <w:t>R.22</w:t>
            </w:r>
          </w:p>
        </w:tc>
        <w:tc>
          <w:tcPr>
            <w:tcW w:w="7573" w:type="dxa"/>
            <w:tcBorders>
              <w:left w:val="single" w:sz="4" w:space="0" w:color="000000"/>
            </w:tcBorders>
            <w:shd w:val="clear" w:color="auto" w:fill="auto"/>
            <w:vAlign w:val="center"/>
          </w:tcPr>
          <w:p w14:paraId="00BF7595" w14:textId="77777777" w:rsidR="00277C14" w:rsidRPr="00277C14" w:rsidRDefault="00277C14" w:rsidP="00277C14">
            <w:pPr>
              <w:rPr>
                <w:rFonts w:cs="Arial"/>
                <w:szCs w:val="20"/>
              </w:rPr>
            </w:pPr>
            <w:r w:rsidRPr="00277C14">
              <w:rPr>
                <w:rFonts w:cs="Arial"/>
                <w:szCs w:val="20"/>
              </w:rPr>
              <w:t>DNFBPs: Customer due diligence</w:t>
            </w:r>
          </w:p>
        </w:tc>
      </w:tr>
      <w:tr w:rsidR="00277C14" w:rsidRPr="00277C14" w14:paraId="69D7E179" w14:textId="77777777" w:rsidTr="00277C14">
        <w:trPr>
          <w:trHeight w:val="255"/>
          <w:jc w:val="center"/>
        </w:trPr>
        <w:tc>
          <w:tcPr>
            <w:tcW w:w="1972" w:type="dxa"/>
            <w:tcBorders>
              <w:top w:val="nil"/>
              <w:bottom w:val="nil"/>
              <w:right w:val="single" w:sz="4" w:space="0" w:color="000000"/>
            </w:tcBorders>
            <w:shd w:val="clear" w:color="auto" w:fill="auto"/>
          </w:tcPr>
          <w:p w14:paraId="62510E5D" w14:textId="77777777" w:rsidR="00277C14" w:rsidRPr="00277C14" w:rsidRDefault="00277C14" w:rsidP="00277C14">
            <w:pPr>
              <w:rPr>
                <w:rFonts w:cs="Arial"/>
                <w:szCs w:val="20"/>
              </w:rPr>
            </w:pPr>
            <w:r w:rsidRPr="00277C14">
              <w:rPr>
                <w:rFonts w:cs="Arial"/>
                <w:szCs w:val="20"/>
              </w:rPr>
              <w:t>R.23</w:t>
            </w:r>
          </w:p>
        </w:tc>
        <w:tc>
          <w:tcPr>
            <w:tcW w:w="7573" w:type="dxa"/>
            <w:tcBorders>
              <w:left w:val="single" w:sz="4" w:space="0" w:color="000000"/>
            </w:tcBorders>
            <w:shd w:val="clear" w:color="auto" w:fill="auto"/>
            <w:vAlign w:val="center"/>
          </w:tcPr>
          <w:p w14:paraId="5AA0E757" w14:textId="77777777" w:rsidR="00277C14" w:rsidRPr="00277C14" w:rsidRDefault="00277C14" w:rsidP="00277C14">
            <w:pPr>
              <w:rPr>
                <w:rFonts w:cs="Arial"/>
                <w:szCs w:val="20"/>
              </w:rPr>
            </w:pPr>
            <w:r w:rsidRPr="00277C14">
              <w:rPr>
                <w:rFonts w:cs="Arial"/>
                <w:szCs w:val="20"/>
              </w:rPr>
              <w:t>DNFBPs: Other measures</w:t>
            </w:r>
          </w:p>
        </w:tc>
      </w:tr>
      <w:tr w:rsidR="00277C14" w:rsidRPr="00277C14" w14:paraId="465AE754" w14:textId="77777777" w:rsidTr="00277C14">
        <w:trPr>
          <w:trHeight w:val="255"/>
          <w:jc w:val="center"/>
        </w:trPr>
        <w:tc>
          <w:tcPr>
            <w:tcW w:w="1972" w:type="dxa"/>
            <w:tcBorders>
              <w:top w:val="nil"/>
              <w:bottom w:val="nil"/>
              <w:right w:val="single" w:sz="4" w:space="0" w:color="000000"/>
            </w:tcBorders>
            <w:shd w:val="clear" w:color="auto" w:fill="auto"/>
          </w:tcPr>
          <w:p w14:paraId="19F1DC3D" w14:textId="77777777" w:rsidR="00277C14" w:rsidRPr="00277C14" w:rsidRDefault="00277C14" w:rsidP="00277C14">
            <w:pPr>
              <w:rPr>
                <w:rFonts w:cs="Arial"/>
                <w:szCs w:val="20"/>
              </w:rPr>
            </w:pPr>
            <w:r w:rsidRPr="00277C14">
              <w:rPr>
                <w:rFonts w:cs="Arial"/>
                <w:szCs w:val="20"/>
              </w:rPr>
              <w:t>R.24</w:t>
            </w:r>
          </w:p>
        </w:tc>
        <w:tc>
          <w:tcPr>
            <w:tcW w:w="7573" w:type="dxa"/>
            <w:tcBorders>
              <w:left w:val="single" w:sz="4" w:space="0" w:color="000000"/>
            </w:tcBorders>
            <w:shd w:val="clear" w:color="auto" w:fill="auto"/>
            <w:vAlign w:val="center"/>
          </w:tcPr>
          <w:p w14:paraId="6E9ADE9C" w14:textId="77777777" w:rsidR="00277C14" w:rsidRPr="00277C14" w:rsidRDefault="00277C14" w:rsidP="00277C14">
            <w:pPr>
              <w:rPr>
                <w:rFonts w:cs="Arial"/>
                <w:szCs w:val="20"/>
              </w:rPr>
            </w:pPr>
            <w:r w:rsidRPr="00277C14">
              <w:rPr>
                <w:rFonts w:cs="Arial"/>
                <w:szCs w:val="20"/>
              </w:rPr>
              <w:t>Transparency and beneficial ownership of legal persons</w:t>
            </w:r>
          </w:p>
        </w:tc>
      </w:tr>
      <w:tr w:rsidR="00277C14" w:rsidRPr="00277C14" w14:paraId="6E004C64" w14:textId="77777777" w:rsidTr="00277C14">
        <w:trPr>
          <w:trHeight w:val="255"/>
          <w:jc w:val="center"/>
        </w:trPr>
        <w:tc>
          <w:tcPr>
            <w:tcW w:w="1972" w:type="dxa"/>
            <w:tcBorders>
              <w:top w:val="nil"/>
              <w:bottom w:val="nil"/>
              <w:right w:val="single" w:sz="4" w:space="0" w:color="000000"/>
            </w:tcBorders>
            <w:shd w:val="clear" w:color="auto" w:fill="auto"/>
          </w:tcPr>
          <w:p w14:paraId="286967A5" w14:textId="77777777" w:rsidR="00277C14" w:rsidRPr="00277C14" w:rsidRDefault="00277C14" w:rsidP="00277C14">
            <w:pPr>
              <w:rPr>
                <w:rFonts w:cs="Arial"/>
                <w:szCs w:val="20"/>
              </w:rPr>
            </w:pPr>
            <w:r w:rsidRPr="00277C14">
              <w:rPr>
                <w:rFonts w:cs="Arial"/>
                <w:szCs w:val="20"/>
              </w:rPr>
              <w:t>R.25</w:t>
            </w:r>
          </w:p>
        </w:tc>
        <w:tc>
          <w:tcPr>
            <w:tcW w:w="7573" w:type="dxa"/>
            <w:tcBorders>
              <w:left w:val="single" w:sz="4" w:space="0" w:color="000000"/>
            </w:tcBorders>
            <w:shd w:val="clear" w:color="auto" w:fill="auto"/>
            <w:vAlign w:val="center"/>
          </w:tcPr>
          <w:p w14:paraId="6EB9EE85" w14:textId="77777777" w:rsidR="00277C14" w:rsidRPr="00277C14" w:rsidRDefault="00277C14" w:rsidP="00277C14">
            <w:pPr>
              <w:rPr>
                <w:rFonts w:cs="Arial"/>
                <w:szCs w:val="20"/>
              </w:rPr>
            </w:pPr>
            <w:r w:rsidRPr="00277C14">
              <w:rPr>
                <w:rFonts w:cs="Arial"/>
                <w:szCs w:val="20"/>
              </w:rPr>
              <w:t>Transparency and beneficial ownership of legal arrangements</w:t>
            </w:r>
          </w:p>
        </w:tc>
      </w:tr>
      <w:tr w:rsidR="00277C14" w:rsidRPr="00277C14" w14:paraId="28A282AC" w14:textId="77777777" w:rsidTr="00277C14">
        <w:trPr>
          <w:trHeight w:val="255"/>
          <w:jc w:val="center"/>
        </w:trPr>
        <w:tc>
          <w:tcPr>
            <w:tcW w:w="1972" w:type="dxa"/>
            <w:tcBorders>
              <w:top w:val="nil"/>
              <w:bottom w:val="nil"/>
              <w:right w:val="single" w:sz="4" w:space="0" w:color="000000"/>
            </w:tcBorders>
            <w:shd w:val="clear" w:color="auto" w:fill="auto"/>
          </w:tcPr>
          <w:p w14:paraId="1C7F7DB5" w14:textId="77777777" w:rsidR="00277C14" w:rsidRPr="00277C14" w:rsidRDefault="00277C14" w:rsidP="00277C14">
            <w:pPr>
              <w:rPr>
                <w:rFonts w:cs="Arial"/>
                <w:szCs w:val="20"/>
              </w:rPr>
            </w:pPr>
            <w:r w:rsidRPr="00277C14">
              <w:rPr>
                <w:rFonts w:cs="Arial"/>
                <w:szCs w:val="20"/>
              </w:rPr>
              <w:t>R.26</w:t>
            </w:r>
          </w:p>
        </w:tc>
        <w:tc>
          <w:tcPr>
            <w:tcW w:w="7573" w:type="dxa"/>
            <w:tcBorders>
              <w:left w:val="single" w:sz="4" w:space="0" w:color="000000"/>
            </w:tcBorders>
            <w:shd w:val="clear" w:color="auto" w:fill="auto"/>
            <w:vAlign w:val="center"/>
          </w:tcPr>
          <w:p w14:paraId="62065973" w14:textId="77777777" w:rsidR="00277C14" w:rsidRPr="00277C14" w:rsidRDefault="00277C14" w:rsidP="00277C14">
            <w:pPr>
              <w:rPr>
                <w:rFonts w:cs="Arial"/>
                <w:szCs w:val="20"/>
              </w:rPr>
            </w:pPr>
            <w:r w:rsidRPr="00277C14">
              <w:rPr>
                <w:rFonts w:cs="Arial"/>
                <w:szCs w:val="20"/>
              </w:rPr>
              <w:t>Regulation and supervision of financial institutions</w:t>
            </w:r>
          </w:p>
        </w:tc>
      </w:tr>
      <w:tr w:rsidR="00277C14" w:rsidRPr="00277C14" w14:paraId="6F8F51EC" w14:textId="77777777" w:rsidTr="00277C14">
        <w:trPr>
          <w:trHeight w:val="255"/>
          <w:jc w:val="center"/>
        </w:trPr>
        <w:tc>
          <w:tcPr>
            <w:tcW w:w="1972" w:type="dxa"/>
            <w:tcBorders>
              <w:top w:val="nil"/>
              <w:bottom w:val="nil"/>
              <w:right w:val="single" w:sz="4" w:space="0" w:color="000000"/>
            </w:tcBorders>
            <w:shd w:val="clear" w:color="auto" w:fill="auto"/>
          </w:tcPr>
          <w:p w14:paraId="7D7BB78E" w14:textId="77777777" w:rsidR="00277C14" w:rsidRPr="00277C14" w:rsidRDefault="00277C14" w:rsidP="00277C14">
            <w:pPr>
              <w:rPr>
                <w:rFonts w:cs="Arial"/>
                <w:szCs w:val="20"/>
              </w:rPr>
            </w:pPr>
            <w:r w:rsidRPr="00277C14">
              <w:rPr>
                <w:rFonts w:cs="Arial"/>
                <w:szCs w:val="20"/>
              </w:rPr>
              <w:t>R.27</w:t>
            </w:r>
          </w:p>
        </w:tc>
        <w:tc>
          <w:tcPr>
            <w:tcW w:w="7573" w:type="dxa"/>
            <w:tcBorders>
              <w:left w:val="single" w:sz="4" w:space="0" w:color="000000"/>
            </w:tcBorders>
            <w:shd w:val="clear" w:color="auto" w:fill="auto"/>
            <w:vAlign w:val="center"/>
          </w:tcPr>
          <w:p w14:paraId="0E3DAFD6" w14:textId="77777777" w:rsidR="00277C14" w:rsidRPr="00277C14" w:rsidRDefault="00277C14" w:rsidP="00277C14">
            <w:pPr>
              <w:rPr>
                <w:rFonts w:cs="Arial"/>
                <w:szCs w:val="20"/>
              </w:rPr>
            </w:pPr>
            <w:r w:rsidRPr="00277C14">
              <w:rPr>
                <w:rFonts w:cs="Arial"/>
                <w:szCs w:val="20"/>
              </w:rPr>
              <w:t>Powers of supervisors</w:t>
            </w:r>
          </w:p>
        </w:tc>
      </w:tr>
      <w:tr w:rsidR="00277C14" w:rsidRPr="00277C14" w14:paraId="42092367" w14:textId="77777777" w:rsidTr="00277C14">
        <w:trPr>
          <w:trHeight w:val="255"/>
          <w:jc w:val="center"/>
        </w:trPr>
        <w:tc>
          <w:tcPr>
            <w:tcW w:w="1972" w:type="dxa"/>
            <w:tcBorders>
              <w:top w:val="nil"/>
              <w:bottom w:val="nil"/>
              <w:right w:val="single" w:sz="4" w:space="0" w:color="000000"/>
            </w:tcBorders>
            <w:shd w:val="clear" w:color="auto" w:fill="auto"/>
          </w:tcPr>
          <w:p w14:paraId="6846B8E0" w14:textId="77777777" w:rsidR="00277C14" w:rsidRPr="00277C14" w:rsidRDefault="00277C14" w:rsidP="00277C14">
            <w:pPr>
              <w:rPr>
                <w:rFonts w:cs="Arial"/>
                <w:szCs w:val="20"/>
              </w:rPr>
            </w:pPr>
            <w:r w:rsidRPr="00277C14">
              <w:rPr>
                <w:rFonts w:cs="Arial"/>
                <w:szCs w:val="20"/>
              </w:rPr>
              <w:t>R.28</w:t>
            </w:r>
          </w:p>
        </w:tc>
        <w:tc>
          <w:tcPr>
            <w:tcW w:w="7573" w:type="dxa"/>
            <w:tcBorders>
              <w:left w:val="single" w:sz="4" w:space="0" w:color="000000"/>
            </w:tcBorders>
            <w:shd w:val="clear" w:color="auto" w:fill="auto"/>
            <w:vAlign w:val="center"/>
          </w:tcPr>
          <w:p w14:paraId="7C2F6A2C" w14:textId="77777777" w:rsidR="00277C14" w:rsidRPr="00277C14" w:rsidRDefault="00277C14" w:rsidP="00277C14">
            <w:pPr>
              <w:rPr>
                <w:rFonts w:cs="Arial"/>
                <w:szCs w:val="20"/>
              </w:rPr>
            </w:pPr>
            <w:r w:rsidRPr="00277C14">
              <w:rPr>
                <w:rFonts w:cs="Arial"/>
                <w:szCs w:val="20"/>
              </w:rPr>
              <w:t>Regulation and supervision of DNFBPs</w:t>
            </w:r>
          </w:p>
        </w:tc>
      </w:tr>
      <w:tr w:rsidR="00277C14" w:rsidRPr="00277C14" w14:paraId="04979B6A" w14:textId="77777777" w:rsidTr="00277C14">
        <w:trPr>
          <w:trHeight w:val="255"/>
          <w:jc w:val="center"/>
        </w:trPr>
        <w:tc>
          <w:tcPr>
            <w:tcW w:w="1972" w:type="dxa"/>
            <w:tcBorders>
              <w:top w:val="nil"/>
              <w:bottom w:val="nil"/>
              <w:right w:val="single" w:sz="4" w:space="0" w:color="000000"/>
            </w:tcBorders>
            <w:shd w:val="clear" w:color="auto" w:fill="auto"/>
          </w:tcPr>
          <w:p w14:paraId="73A00559" w14:textId="77777777" w:rsidR="00277C14" w:rsidRPr="00277C14" w:rsidRDefault="00277C14" w:rsidP="00277C14">
            <w:pPr>
              <w:rPr>
                <w:rFonts w:cs="Arial"/>
                <w:szCs w:val="20"/>
              </w:rPr>
            </w:pPr>
            <w:r w:rsidRPr="00277C14">
              <w:rPr>
                <w:rFonts w:cs="Arial"/>
                <w:szCs w:val="20"/>
              </w:rPr>
              <w:t>R.29</w:t>
            </w:r>
          </w:p>
        </w:tc>
        <w:tc>
          <w:tcPr>
            <w:tcW w:w="7573" w:type="dxa"/>
            <w:tcBorders>
              <w:left w:val="single" w:sz="4" w:space="0" w:color="000000"/>
            </w:tcBorders>
            <w:shd w:val="clear" w:color="auto" w:fill="auto"/>
            <w:vAlign w:val="center"/>
          </w:tcPr>
          <w:p w14:paraId="5CFA2CDA" w14:textId="77777777" w:rsidR="00277C14" w:rsidRPr="00277C14" w:rsidRDefault="00277C14" w:rsidP="00277C14">
            <w:pPr>
              <w:rPr>
                <w:rFonts w:cs="Arial"/>
                <w:szCs w:val="20"/>
              </w:rPr>
            </w:pPr>
            <w:r w:rsidRPr="00277C14">
              <w:rPr>
                <w:rFonts w:cs="Arial"/>
                <w:szCs w:val="20"/>
              </w:rPr>
              <w:t>Financial intelligence units</w:t>
            </w:r>
          </w:p>
        </w:tc>
      </w:tr>
      <w:tr w:rsidR="00277C14" w:rsidRPr="00277C14" w14:paraId="194B1027" w14:textId="77777777" w:rsidTr="00277C14">
        <w:trPr>
          <w:trHeight w:val="255"/>
          <w:jc w:val="center"/>
        </w:trPr>
        <w:tc>
          <w:tcPr>
            <w:tcW w:w="1972" w:type="dxa"/>
            <w:tcBorders>
              <w:top w:val="nil"/>
              <w:bottom w:val="nil"/>
              <w:right w:val="single" w:sz="4" w:space="0" w:color="000000"/>
            </w:tcBorders>
            <w:shd w:val="clear" w:color="auto" w:fill="auto"/>
          </w:tcPr>
          <w:p w14:paraId="4731DA6B" w14:textId="77777777" w:rsidR="00277C14" w:rsidRPr="00277C14" w:rsidRDefault="00277C14" w:rsidP="00277C14">
            <w:pPr>
              <w:rPr>
                <w:rFonts w:cs="Arial"/>
                <w:szCs w:val="20"/>
              </w:rPr>
            </w:pPr>
            <w:r w:rsidRPr="00277C14">
              <w:rPr>
                <w:rFonts w:cs="Arial"/>
                <w:szCs w:val="20"/>
              </w:rPr>
              <w:t>R.30</w:t>
            </w:r>
          </w:p>
        </w:tc>
        <w:tc>
          <w:tcPr>
            <w:tcW w:w="7573" w:type="dxa"/>
            <w:tcBorders>
              <w:left w:val="single" w:sz="4" w:space="0" w:color="000000"/>
            </w:tcBorders>
            <w:shd w:val="clear" w:color="auto" w:fill="auto"/>
            <w:vAlign w:val="center"/>
          </w:tcPr>
          <w:p w14:paraId="5E951B74" w14:textId="77777777" w:rsidR="00277C14" w:rsidRPr="00277C14" w:rsidRDefault="00277C14" w:rsidP="00277C14">
            <w:pPr>
              <w:rPr>
                <w:rFonts w:cs="Arial"/>
                <w:szCs w:val="20"/>
              </w:rPr>
            </w:pPr>
            <w:r w:rsidRPr="00277C14">
              <w:rPr>
                <w:rFonts w:cs="Arial"/>
                <w:szCs w:val="20"/>
              </w:rPr>
              <w:t>Responsibilities of law enforcement and investigative authorities</w:t>
            </w:r>
          </w:p>
        </w:tc>
      </w:tr>
      <w:tr w:rsidR="00277C14" w:rsidRPr="00277C14" w14:paraId="29AB28A5" w14:textId="77777777" w:rsidTr="00277C14">
        <w:trPr>
          <w:trHeight w:val="255"/>
          <w:jc w:val="center"/>
        </w:trPr>
        <w:tc>
          <w:tcPr>
            <w:tcW w:w="1972" w:type="dxa"/>
            <w:tcBorders>
              <w:top w:val="nil"/>
              <w:bottom w:val="nil"/>
              <w:right w:val="single" w:sz="4" w:space="0" w:color="000000"/>
            </w:tcBorders>
            <w:shd w:val="clear" w:color="auto" w:fill="auto"/>
          </w:tcPr>
          <w:p w14:paraId="6FB767EE" w14:textId="77777777" w:rsidR="00277C14" w:rsidRPr="00277C14" w:rsidRDefault="00277C14" w:rsidP="00277C14">
            <w:pPr>
              <w:rPr>
                <w:rFonts w:cs="Arial"/>
                <w:szCs w:val="20"/>
              </w:rPr>
            </w:pPr>
            <w:r w:rsidRPr="00277C14">
              <w:rPr>
                <w:rFonts w:cs="Arial"/>
                <w:szCs w:val="20"/>
              </w:rPr>
              <w:t>R.31</w:t>
            </w:r>
          </w:p>
        </w:tc>
        <w:tc>
          <w:tcPr>
            <w:tcW w:w="7573" w:type="dxa"/>
            <w:tcBorders>
              <w:left w:val="single" w:sz="4" w:space="0" w:color="000000"/>
            </w:tcBorders>
            <w:shd w:val="clear" w:color="auto" w:fill="auto"/>
            <w:vAlign w:val="center"/>
          </w:tcPr>
          <w:p w14:paraId="6A1B0567" w14:textId="77777777" w:rsidR="00277C14" w:rsidRPr="00277C14" w:rsidRDefault="00277C14" w:rsidP="00277C14">
            <w:pPr>
              <w:rPr>
                <w:rFonts w:cs="Arial"/>
                <w:szCs w:val="20"/>
              </w:rPr>
            </w:pPr>
            <w:r w:rsidRPr="00277C14">
              <w:rPr>
                <w:rFonts w:cs="Arial"/>
                <w:szCs w:val="20"/>
              </w:rPr>
              <w:t>Powers of law enforcement and investigative authorities</w:t>
            </w:r>
          </w:p>
        </w:tc>
      </w:tr>
      <w:tr w:rsidR="00277C14" w:rsidRPr="00277C14" w14:paraId="08AA75D3" w14:textId="77777777" w:rsidTr="00277C14">
        <w:trPr>
          <w:trHeight w:val="255"/>
          <w:jc w:val="center"/>
        </w:trPr>
        <w:tc>
          <w:tcPr>
            <w:tcW w:w="1972" w:type="dxa"/>
            <w:tcBorders>
              <w:top w:val="nil"/>
              <w:bottom w:val="nil"/>
              <w:right w:val="single" w:sz="4" w:space="0" w:color="000000"/>
            </w:tcBorders>
            <w:shd w:val="clear" w:color="auto" w:fill="auto"/>
          </w:tcPr>
          <w:p w14:paraId="26430ED2" w14:textId="77777777" w:rsidR="00277C14" w:rsidRPr="00277C14" w:rsidRDefault="00277C14" w:rsidP="00277C14">
            <w:pPr>
              <w:rPr>
                <w:rFonts w:cs="Arial"/>
                <w:szCs w:val="20"/>
              </w:rPr>
            </w:pPr>
            <w:r w:rsidRPr="00277C14">
              <w:rPr>
                <w:rFonts w:cs="Arial"/>
                <w:szCs w:val="20"/>
              </w:rPr>
              <w:t>R.32</w:t>
            </w:r>
          </w:p>
        </w:tc>
        <w:tc>
          <w:tcPr>
            <w:tcW w:w="7573" w:type="dxa"/>
            <w:tcBorders>
              <w:left w:val="single" w:sz="4" w:space="0" w:color="000000"/>
            </w:tcBorders>
            <w:shd w:val="clear" w:color="auto" w:fill="auto"/>
            <w:vAlign w:val="center"/>
          </w:tcPr>
          <w:p w14:paraId="759C4FB3" w14:textId="77777777" w:rsidR="00277C14" w:rsidRPr="00277C14" w:rsidRDefault="00277C14" w:rsidP="00277C14">
            <w:pPr>
              <w:rPr>
                <w:rFonts w:cs="Arial"/>
                <w:szCs w:val="20"/>
              </w:rPr>
            </w:pPr>
            <w:r w:rsidRPr="00277C14">
              <w:rPr>
                <w:rFonts w:cs="Arial"/>
                <w:szCs w:val="20"/>
              </w:rPr>
              <w:t>Cash Couriers</w:t>
            </w:r>
          </w:p>
        </w:tc>
      </w:tr>
      <w:tr w:rsidR="00277C14" w:rsidRPr="00277C14" w14:paraId="4EB85659" w14:textId="77777777" w:rsidTr="00277C14">
        <w:trPr>
          <w:trHeight w:val="255"/>
          <w:jc w:val="center"/>
        </w:trPr>
        <w:tc>
          <w:tcPr>
            <w:tcW w:w="1972" w:type="dxa"/>
            <w:tcBorders>
              <w:top w:val="nil"/>
              <w:bottom w:val="nil"/>
              <w:right w:val="single" w:sz="4" w:space="0" w:color="000000"/>
            </w:tcBorders>
            <w:shd w:val="clear" w:color="auto" w:fill="auto"/>
          </w:tcPr>
          <w:p w14:paraId="0E76D36E" w14:textId="77777777" w:rsidR="00277C14" w:rsidRPr="00277C14" w:rsidRDefault="00277C14" w:rsidP="00277C14">
            <w:pPr>
              <w:rPr>
                <w:rFonts w:cs="Arial"/>
                <w:szCs w:val="20"/>
              </w:rPr>
            </w:pPr>
            <w:r w:rsidRPr="00277C14">
              <w:rPr>
                <w:rFonts w:cs="Arial"/>
                <w:szCs w:val="20"/>
              </w:rPr>
              <w:t>R.33</w:t>
            </w:r>
          </w:p>
        </w:tc>
        <w:tc>
          <w:tcPr>
            <w:tcW w:w="7573" w:type="dxa"/>
            <w:tcBorders>
              <w:left w:val="single" w:sz="4" w:space="0" w:color="000000"/>
            </w:tcBorders>
            <w:shd w:val="clear" w:color="auto" w:fill="auto"/>
            <w:vAlign w:val="center"/>
          </w:tcPr>
          <w:p w14:paraId="7F99EA24" w14:textId="77777777" w:rsidR="00277C14" w:rsidRPr="00277C14" w:rsidRDefault="00277C14" w:rsidP="00277C14">
            <w:pPr>
              <w:rPr>
                <w:rFonts w:cs="Arial"/>
                <w:szCs w:val="20"/>
              </w:rPr>
            </w:pPr>
            <w:r w:rsidRPr="00277C14">
              <w:rPr>
                <w:rFonts w:cs="Arial"/>
                <w:szCs w:val="20"/>
              </w:rPr>
              <w:t>Statistics</w:t>
            </w:r>
          </w:p>
        </w:tc>
      </w:tr>
      <w:tr w:rsidR="00277C14" w:rsidRPr="00277C14" w14:paraId="75B71C12" w14:textId="77777777" w:rsidTr="00277C14">
        <w:trPr>
          <w:trHeight w:val="255"/>
          <w:jc w:val="center"/>
        </w:trPr>
        <w:tc>
          <w:tcPr>
            <w:tcW w:w="1972" w:type="dxa"/>
            <w:tcBorders>
              <w:top w:val="nil"/>
              <w:bottom w:val="nil"/>
              <w:right w:val="single" w:sz="4" w:space="0" w:color="000000"/>
            </w:tcBorders>
            <w:shd w:val="clear" w:color="auto" w:fill="auto"/>
          </w:tcPr>
          <w:p w14:paraId="10D56422" w14:textId="77777777" w:rsidR="00277C14" w:rsidRPr="00277C14" w:rsidRDefault="00277C14" w:rsidP="00277C14">
            <w:pPr>
              <w:rPr>
                <w:rFonts w:cs="Arial"/>
                <w:szCs w:val="20"/>
              </w:rPr>
            </w:pPr>
            <w:r w:rsidRPr="00277C14">
              <w:rPr>
                <w:rFonts w:cs="Arial"/>
                <w:szCs w:val="20"/>
              </w:rPr>
              <w:t>R.34</w:t>
            </w:r>
          </w:p>
        </w:tc>
        <w:tc>
          <w:tcPr>
            <w:tcW w:w="7573" w:type="dxa"/>
            <w:tcBorders>
              <w:left w:val="single" w:sz="4" w:space="0" w:color="000000"/>
            </w:tcBorders>
            <w:shd w:val="clear" w:color="auto" w:fill="auto"/>
            <w:vAlign w:val="center"/>
          </w:tcPr>
          <w:p w14:paraId="656F30FC" w14:textId="77777777" w:rsidR="00277C14" w:rsidRPr="00277C14" w:rsidRDefault="00277C14" w:rsidP="00277C14">
            <w:pPr>
              <w:rPr>
                <w:rFonts w:cs="Arial"/>
                <w:szCs w:val="20"/>
              </w:rPr>
            </w:pPr>
            <w:r w:rsidRPr="00277C14">
              <w:rPr>
                <w:rFonts w:cs="Arial"/>
                <w:szCs w:val="20"/>
              </w:rPr>
              <w:t>Guidance and feedback</w:t>
            </w:r>
          </w:p>
        </w:tc>
      </w:tr>
      <w:tr w:rsidR="00277C14" w:rsidRPr="00277C14" w14:paraId="5841FE04" w14:textId="77777777" w:rsidTr="00277C14">
        <w:trPr>
          <w:trHeight w:val="255"/>
          <w:jc w:val="center"/>
        </w:trPr>
        <w:tc>
          <w:tcPr>
            <w:tcW w:w="1972" w:type="dxa"/>
            <w:tcBorders>
              <w:top w:val="nil"/>
              <w:bottom w:val="nil"/>
              <w:right w:val="single" w:sz="4" w:space="0" w:color="000000"/>
            </w:tcBorders>
            <w:shd w:val="clear" w:color="auto" w:fill="auto"/>
          </w:tcPr>
          <w:p w14:paraId="0CBCC74B" w14:textId="77777777" w:rsidR="00277C14" w:rsidRPr="00277C14" w:rsidRDefault="00277C14" w:rsidP="00277C14">
            <w:pPr>
              <w:rPr>
                <w:rFonts w:cs="Arial"/>
                <w:szCs w:val="20"/>
              </w:rPr>
            </w:pPr>
            <w:r w:rsidRPr="00277C14">
              <w:rPr>
                <w:rFonts w:cs="Arial"/>
                <w:szCs w:val="20"/>
              </w:rPr>
              <w:t>R.35</w:t>
            </w:r>
          </w:p>
        </w:tc>
        <w:tc>
          <w:tcPr>
            <w:tcW w:w="7573" w:type="dxa"/>
            <w:tcBorders>
              <w:left w:val="single" w:sz="4" w:space="0" w:color="000000"/>
            </w:tcBorders>
            <w:shd w:val="clear" w:color="auto" w:fill="auto"/>
            <w:vAlign w:val="center"/>
          </w:tcPr>
          <w:p w14:paraId="41363953" w14:textId="77777777" w:rsidR="00277C14" w:rsidRPr="00277C14" w:rsidRDefault="00277C14" w:rsidP="00277C14">
            <w:pPr>
              <w:rPr>
                <w:rFonts w:cs="Arial"/>
                <w:szCs w:val="20"/>
              </w:rPr>
            </w:pPr>
            <w:r w:rsidRPr="00277C14">
              <w:rPr>
                <w:rFonts w:cs="Arial"/>
                <w:szCs w:val="20"/>
              </w:rPr>
              <w:t>Sanctions</w:t>
            </w:r>
          </w:p>
        </w:tc>
      </w:tr>
      <w:tr w:rsidR="00277C14" w:rsidRPr="00277C14" w14:paraId="072793EE" w14:textId="77777777" w:rsidTr="00277C14">
        <w:trPr>
          <w:trHeight w:val="255"/>
          <w:jc w:val="center"/>
        </w:trPr>
        <w:tc>
          <w:tcPr>
            <w:tcW w:w="1972" w:type="dxa"/>
            <w:tcBorders>
              <w:top w:val="nil"/>
              <w:bottom w:val="nil"/>
              <w:right w:val="single" w:sz="4" w:space="0" w:color="000000"/>
            </w:tcBorders>
            <w:shd w:val="clear" w:color="auto" w:fill="auto"/>
          </w:tcPr>
          <w:p w14:paraId="76BAC9A0" w14:textId="77777777" w:rsidR="00277C14" w:rsidRPr="00277C14" w:rsidRDefault="00277C14" w:rsidP="00277C14">
            <w:pPr>
              <w:rPr>
                <w:rFonts w:cs="Arial"/>
                <w:szCs w:val="20"/>
              </w:rPr>
            </w:pPr>
            <w:r w:rsidRPr="00277C14">
              <w:rPr>
                <w:rFonts w:cs="Arial"/>
                <w:szCs w:val="20"/>
              </w:rPr>
              <w:t>R.36</w:t>
            </w:r>
          </w:p>
        </w:tc>
        <w:tc>
          <w:tcPr>
            <w:tcW w:w="7573" w:type="dxa"/>
            <w:tcBorders>
              <w:left w:val="single" w:sz="4" w:space="0" w:color="000000"/>
            </w:tcBorders>
            <w:shd w:val="clear" w:color="auto" w:fill="auto"/>
            <w:vAlign w:val="center"/>
          </w:tcPr>
          <w:p w14:paraId="76D5E7B9" w14:textId="77777777" w:rsidR="00277C14" w:rsidRPr="00277C14" w:rsidRDefault="00277C14" w:rsidP="00277C14">
            <w:pPr>
              <w:rPr>
                <w:rFonts w:cs="Arial"/>
                <w:szCs w:val="20"/>
              </w:rPr>
            </w:pPr>
            <w:r w:rsidRPr="00277C14">
              <w:rPr>
                <w:rFonts w:cs="Arial"/>
                <w:szCs w:val="20"/>
              </w:rPr>
              <w:t>International instruments</w:t>
            </w:r>
          </w:p>
        </w:tc>
      </w:tr>
      <w:tr w:rsidR="00277C14" w:rsidRPr="00277C14" w14:paraId="79A1F6EE" w14:textId="77777777" w:rsidTr="00277C14">
        <w:trPr>
          <w:trHeight w:val="255"/>
          <w:jc w:val="center"/>
        </w:trPr>
        <w:tc>
          <w:tcPr>
            <w:tcW w:w="1972" w:type="dxa"/>
            <w:tcBorders>
              <w:top w:val="nil"/>
              <w:bottom w:val="nil"/>
              <w:right w:val="single" w:sz="4" w:space="0" w:color="000000"/>
            </w:tcBorders>
            <w:shd w:val="clear" w:color="auto" w:fill="auto"/>
          </w:tcPr>
          <w:p w14:paraId="1462BE59" w14:textId="77777777" w:rsidR="00277C14" w:rsidRPr="00277C14" w:rsidRDefault="00277C14" w:rsidP="00277C14">
            <w:pPr>
              <w:rPr>
                <w:rFonts w:cs="Arial"/>
                <w:szCs w:val="20"/>
              </w:rPr>
            </w:pPr>
            <w:r w:rsidRPr="00277C14">
              <w:rPr>
                <w:rFonts w:cs="Arial"/>
                <w:szCs w:val="20"/>
              </w:rPr>
              <w:t>R.37</w:t>
            </w:r>
          </w:p>
        </w:tc>
        <w:tc>
          <w:tcPr>
            <w:tcW w:w="7573" w:type="dxa"/>
            <w:tcBorders>
              <w:left w:val="single" w:sz="4" w:space="0" w:color="000000"/>
            </w:tcBorders>
            <w:shd w:val="clear" w:color="auto" w:fill="auto"/>
            <w:vAlign w:val="center"/>
          </w:tcPr>
          <w:p w14:paraId="2B2D083E" w14:textId="77777777" w:rsidR="00277C14" w:rsidRPr="00277C14" w:rsidRDefault="00277C14" w:rsidP="00277C14">
            <w:pPr>
              <w:rPr>
                <w:rFonts w:cs="Arial"/>
                <w:szCs w:val="20"/>
              </w:rPr>
            </w:pPr>
            <w:r w:rsidRPr="00277C14">
              <w:rPr>
                <w:rFonts w:cs="Arial"/>
                <w:szCs w:val="20"/>
              </w:rPr>
              <w:t>Mutual legal assistance</w:t>
            </w:r>
          </w:p>
        </w:tc>
      </w:tr>
      <w:tr w:rsidR="00277C14" w:rsidRPr="00277C14" w14:paraId="2D65876D" w14:textId="77777777" w:rsidTr="00277C14">
        <w:trPr>
          <w:trHeight w:val="255"/>
          <w:jc w:val="center"/>
        </w:trPr>
        <w:tc>
          <w:tcPr>
            <w:tcW w:w="1972" w:type="dxa"/>
            <w:tcBorders>
              <w:top w:val="nil"/>
              <w:bottom w:val="nil"/>
              <w:right w:val="single" w:sz="4" w:space="0" w:color="000000"/>
            </w:tcBorders>
            <w:shd w:val="clear" w:color="auto" w:fill="auto"/>
          </w:tcPr>
          <w:p w14:paraId="558B0271" w14:textId="77777777" w:rsidR="00277C14" w:rsidRPr="00277C14" w:rsidRDefault="00277C14" w:rsidP="00277C14">
            <w:pPr>
              <w:rPr>
                <w:rFonts w:cs="Arial"/>
                <w:szCs w:val="20"/>
              </w:rPr>
            </w:pPr>
            <w:r w:rsidRPr="00277C14">
              <w:rPr>
                <w:rFonts w:cs="Arial"/>
                <w:szCs w:val="20"/>
              </w:rPr>
              <w:t>R.38</w:t>
            </w:r>
          </w:p>
        </w:tc>
        <w:tc>
          <w:tcPr>
            <w:tcW w:w="7573" w:type="dxa"/>
            <w:tcBorders>
              <w:left w:val="single" w:sz="4" w:space="0" w:color="000000"/>
            </w:tcBorders>
            <w:shd w:val="clear" w:color="auto" w:fill="auto"/>
            <w:vAlign w:val="center"/>
          </w:tcPr>
          <w:p w14:paraId="50E99E2A" w14:textId="77777777" w:rsidR="00277C14" w:rsidRPr="00277C14" w:rsidRDefault="00277C14" w:rsidP="00277C14">
            <w:pPr>
              <w:rPr>
                <w:rFonts w:cs="Arial"/>
                <w:szCs w:val="20"/>
              </w:rPr>
            </w:pPr>
            <w:r w:rsidRPr="00277C14">
              <w:rPr>
                <w:rFonts w:cs="Arial"/>
                <w:szCs w:val="20"/>
              </w:rPr>
              <w:t>Mutual legal assistance: freezing and confiscation</w:t>
            </w:r>
          </w:p>
        </w:tc>
      </w:tr>
      <w:tr w:rsidR="00277C14" w:rsidRPr="00277C14" w14:paraId="3DD42127" w14:textId="77777777" w:rsidTr="00277C14">
        <w:trPr>
          <w:trHeight w:val="255"/>
          <w:jc w:val="center"/>
        </w:trPr>
        <w:tc>
          <w:tcPr>
            <w:tcW w:w="1972" w:type="dxa"/>
            <w:tcBorders>
              <w:top w:val="nil"/>
              <w:bottom w:val="nil"/>
              <w:right w:val="single" w:sz="4" w:space="0" w:color="000000"/>
            </w:tcBorders>
            <w:shd w:val="clear" w:color="auto" w:fill="auto"/>
          </w:tcPr>
          <w:p w14:paraId="2B093618" w14:textId="77777777" w:rsidR="00277C14" w:rsidRPr="00277C14" w:rsidRDefault="00277C14" w:rsidP="00277C14">
            <w:pPr>
              <w:rPr>
                <w:rFonts w:cs="Arial"/>
                <w:szCs w:val="20"/>
              </w:rPr>
            </w:pPr>
            <w:r w:rsidRPr="00277C14">
              <w:rPr>
                <w:rFonts w:cs="Arial"/>
                <w:szCs w:val="20"/>
              </w:rPr>
              <w:t>R.39</w:t>
            </w:r>
          </w:p>
        </w:tc>
        <w:tc>
          <w:tcPr>
            <w:tcW w:w="7573" w:type="dxa"/>
            <w:tcBorders>
              <w:left w:val="single" w:sz="4" w:space="0" w:color="000000"/>
            </w:tcBorders>
            <w:shd w:val="clear" w:color="auto" w:fill="auto"/>
            <w:vAlign w:val="center"/>
          </w:tcPr>
          <w:p w14:paraId="1B6CF3DD" w14:textId="77777777" w:rsidR="00277C14" w:rsidRPr="00277C14" w:rsidRDefault="00277C14" w:rsidP="00277C14">
            <w:pPr>
              <w:rPr>
                <w:rFonts w:cs="Arial"/>
                <w:szCs w:val="20"/>
              </w:rPr>
            </w:pPr>
            <w:r w:rsidRPr="00277C14">
              <w:rPr>
                <w:rFonts w:cs="Arial"/>
                <w:szCs w:val="20"/>
              </w:rPr>
              <w:t>Extradition</w:t>
            </w:r>
          </w:p>
        </w:tc>
      </w:tr>
      <w:tr w:rsidR="00277C14" w:rsidRPr="00277C14" w14:paraId="3CC6261E" w14:textId="77777777" w:rsidTr="00277C14">
        <w:trPr>
          <w:trHeight w:val="255"/>
          <w:jc w:val="center"/>
        </w:trPr>
        <w:tc>
          <w:tcPr>
            <w:tcW w:w="1972" w:type="dxa"/>
            <w:tcBorders>
              <w:top w:val="nil"/>
              <w:bottom w:val="nil"/>
              <w:right w:val="single" w:sz="4" w:space="0" w:color="000000"/>
            </w:tcBorders>
            <w:shd w:val="clear" w:color="auto" w:fill="auto"/>
          </w:tcPr>
          <w:p w14:paraId="0E08B408" w14:textId="77777777" w:rsidR="00277C14" w:rsidRPr="00277C14" w:rsidRDefault="00277C14" w:rsidP="00277C14">
            <w:pPr>
              <w:rPr>
                <w:rFonts w:cs="Arial"/>
                <w:szCs w:val="20"/>
              </w:rPr>
            </w:pPr>
            <w:r w:rsidRPr="00277C14">
              <w:rPr>
                <w:rFonts w:cs="Arial"/>
                <w:szCs w:val="20"/>
              </w:rPr>
              <w:t>R.40</w:t>
            </w:r>
          </w:p>
        </w:tc>
        <w:tc>
          <w:tcPr>
            <w:tcW w:w="7573" w:type="dxa"/>
            <w:tcBorders>
              <w:left w:val="single" w:sz="4" w:space="0" w:color="000000"/>
            </w:tcBorders>
            <w:shd w:val="clear" w:color="auto" w:fill="auto"/>
            <w:vAlign w:val="center"/>
          </w:tcPr>
          <w:p w14:paraId="7EEF48BB" w14:textId="77777777" w:rsidR="00277C14" w:rsidRPr="00277C14" w:rsidRDefault="00277C14" w:rsidP="00277C14">
            <w:pPr>
              <w:rPr>
                <w:rFonts w:cs="Arial"/>
                <w:szCs w:val="20"/>
              </w:rPr>
            </w:pPr>
            <w:r w:rsidRPr="00277C14">
              <w:rPr>
                <w:rFonts w:cs="Arial"/>
                <w:szCs w:val="20"/>
              </w:rPr>
              <w:t>Other forms of international co-operation</w:t>
            </w:r>
          </w:p>
        </w:tc>
      </w:tr>
      <w:tr w:rsidR="00277C14" w:rsidRPr="00277C14" w14:paraId="240AF497" w14:textId="77777777" w:rsidTr="00277C14">
        <w:trPr>
          <w:trHeight w:val="255"/>
          <w:jc w:val="center"/>
        </w:trPr>
        <w:tc>
          <w:tcPr>
            <w:tcW w:w="1972" w:type="dxa"/>
            <w:tcBorders>
              <w:top w:val="nil"/>
              <w:bottom w:val="single" w:sz="4" w:space="0" w:color="000000"/>
              <w:right w:val="single" w:sz="4" w:space="0" w:color="000000"/>
            </w:tcBorders>
            <w:shd w:val="clear" w:color="auto" w:fill="auto"/>
          </w:tcPr>
          <w:p w14:paraId="18B1343A" w14:textId="77777777" w:rsidR="00277C14" w:rsidRPr="00277C14" w:rsidRDefault="00277C14" w:rsidP="00277C14">
            <w:pPr>
              <w:rPr>
                <w:rFonts w:cs="Arial"/>
                <w:szCs w:val="20"/>
              </w:rPr>
            </w:pPr>
          </w:p>
        </w:tc>
        <w:tc>
          <w:tcPr>
            <w:tcW w:w="7573" w:type="dxa"/>
            <w:tcBorders>
              <w:left w:val="single" w:sz="4" w:space="0" w:color="000000"/>
            </w:tcBorders>
            <w:shd w:val="clear" w:color="auto" w:fill="auto"/>
            <w:vAlign w:val="center"/>
          </w:tcPr>
          <w:p w14:paraId="612D5B0D" w14:textId="77777777" w:rsidR="00277C14" w:rsidRPr="00277C14" w:rsidRDefault="00277C14" w:rsidP="00277C14">
            <w:pPr>
              <w:rPr>
                <w:rFonts w:cs="Arial"/>
                <w:szCs w:val="20"/>
              </w:rPr>
            </w:pPr>
          </w:p>
        </w:tc>
      </w:tr>
    </w:tbl>
    <w:p w14:paraId="535609CA" w14:textId="77777777" w:rsidR="00277C14" w:rsidRPr="00277C14" w:rsidRDefault="00277C14" w:rsidP="00277C14">
      <w:pPr>
        <w:rPr>
          <w:rFonts w:cs="Arial"/>
          <w:szCs w:val="20"/>
        </w:rPr>
      </w:pPr>
    </w:p>
    <w:p w14:paraId="26C2686B" w14:textId="77777777" w:rsidR="00277C14" w:rsidRPr="00277C14" w:rsidRDefault="00277C14" w:rsidP="00277C14">
      <w:pPr>
        <w:rPr>
          <w:rFonts w:cs="Arial"/>
          <w:szCs w:val="20"/>
        </w:rPr>
      </w:pPr>
      <w:r w:rsidRPr="00277C14">
        <w:rPr>
          <w:rFonts w:cs="Arial"/>
          <w:szCs w:val="20"/>
        </w:rPr>
        <w:br w:type="page"/>
      </w:r>
    </w:p>
    <w:tbl>
      <w:tblPr>
        <w:tblW w:w="0" w:type="auto"/>
        <w:jc w:val="center"/>
        <w:tblBorders>
          <w:top w:val="single" w:sz="4" w:space="0" w:color="000000"/>
          <w:left w:val="single" w:sz="4" w:space="0" w:color="000000"/>
          <w:bottom w:val="single" w:sz="4" w:space="0" w:color="000000"/>
          <w:right w:val="single" w:sz="4" w:space="0" w:color="000000"/>
          <w:insideV w:val="single" w:sz="4" w:space="0" w:color="000000"/>
        </w:tblBorders>
        <w:tblLook w:val="04A0" w:firstRow="1" w:lastRow="0" w:firstColumn="1" w:lastColumn="0" w:noHBand="0" w:noVBand="1"/>
      </w:tblPr>
      <w:tblGrid>
        <w:gridCol w:w="1973"/>
        <w:gridCol w:w="7572"/>
      </w:tblGrid>
      <w:tr w:rsidR="00277C14" w:rsidRPr="00277C14" w14:paraId="4B617C81" w14:textId="77777777" w:rsidTr="007F48A9">
        <w:trPr>
          <w:trHeight w:val="255"/>
          <w:jc w:val="center"/>
        </w:trPr>
        <w:tc>
          <w:tcPr>
            <w:tcW w:w="9652" w:type="dxa"/>
            <w:gridSpan w:val="2"/>
            <w:shd w:val="clear" w:color="auto" w:fill="F2F2F2" w:themeFill="background1" w:themeFillShade="F2"/>
            <w:vAlign w:val="center"/>
          </w:tcPr>
          <w:p w14:paraId="0B2CA924" w14:textId="77777777" w:rsidR="00277C14" w:rsidRPr="00277C14" w:rsidRDefault="00277C14" w:rsidP="00277C14">
            <w:pPr>
              <w:rPr>
                <w:rFonts w:cs="Arial"/>
                <w:b/>
                <w:szCs w:val="20"/>
              </w:rPr>
            </w:pPr>
            <w:r w:rsidRPr="007F48A9">
              <w:rPr>
                <w:rFonts w:cs="Arial"/>
                <w:b/>
                <w:szCs w:val="20"/>
              </w:rPr>
              <w:lastRenderedPageBreak/>
              <w:t>B. Immediate Outcomes</w:t>
            </w:r>
            <w:r w:rsidRPr="00277C14">
              <w:rPr>
                <w:rFonts w:cs="Arial"/>
                <w:b/>
                <w:color w:val="FFFFFF" w:themeColor="background1"/>
                <w:szCs w:val="20"/>
              </w:rPr>
              <w:t xml:space="preserve"> </w:t>
            </w:r>
          </w:p>
        </w:tc>
      </w:tr>
      <w:tr w:rsidR="00277C14" w:rsidRPr="00277C14" w14:paraId="50670A55" w14:textId="77777777" w:rsidTr="00277C14">
        <w:trPr>
          <w:trHeight w:val="255"/>
          <w:jc w:val="center"/>
        </w:trPr>
        <w:tc>
          <w:tcPr>
            <w:tcW w:w="1992" w:type="dxa"/>
            <w:shd w:val="clear" w:color="auto" w:fill="auto"/>
          </w:tcPr>
          <w:p w14:paraId="75F24411" w14:textId="77777777" w:rsidR="00277C14" w:rsidRPr="00277C14" w:rsidRDefault="00277C14" w:rsidP="00277C14">
            <w:pPr>
              <w:rPr>
                <w:rFonts w:cs="Arial"/>
                <w:szCs w:val="20"/>
              </w:rPr>
            </w:pPr>
            <w:r w:rsidRPr="00277C14">
              <w:rPr>
                <w:rFonts w:cs="Arial"/>
                <w:szCs w:val="20"/>
              </w:rPr>
              <w:t>IO.1</w:t>
            </w:r>
          </w:p>
        </w:tc>
        <w:tc>
          <w:tcPr>
            <w:tcW w:w="7660" w:type="dxa"/>
            <w:shd w:val="clear" w:color="auto" w:fill="auto"/>
            <w:vAlign w:val="center"/>
          </w:tcPr>
          <w:p w14:paraId="6A2A2CE5" w14:textId="1724BF2B" w:rsidR="00277C14" w:rsidRPr="00277C14" w:rsidRDefault="00277C14" w:rsidP="00277C14">
            <w:pPr>
              <w:rPr>
                <w:rFonts w:cs="Arial"/>
                <w:szCs w:val="20"/>
              </w:rPr>
            </w:pPr>
            <w:r w:rsidRPr="00277C14">
              <w:rPr>
                <w:rFonts w:cs="Arial"/>
                <w:szCs w:val="20"/>
              </w:rPr>
              <w:t xml:space="preserve">Money laundering and terrorist financing risks are understood and, where appropriate, actions </w:t>
            </w:r>
            <w:r w:rsidR="003654E4">
              <w:rPr>
                <w:rFonts w:cs="Arial"/>
                <w:szCs w:val="20"/>
              </w:rPr>
              <w:t>co-or</w:t>
            </w:r>
            <w:r w:rsidRPr="00277C14">
              <w:rPr>
                <w:rFonts w:cs="Arial"/>
                <w:szCs w:val="20"/>
              </w:rPr>
              <w:t>dinated domestically to combat money laundering and the financing of terrorism and proliferation.</w:t>
            </w:r>
          </w:p>
          <w:p w14:paraId="6F093C9B" w14:textId="77777777" w:rsidR="00277C14" w:rsidRPr="00277C14" w:rsidRDefault="00277C14" w:rsidP="00277C14">
            <w:pPr>
              <w:rPr>
                <w:rFonts w:cs="Arial"/>
                <w:szCs w:val="20"/>
              </w:rPr>
            </w:pPr>
          </w:p>
        </w:tc>
      </w:tr>
      <w:tr w:rsidR="00277C14" w:rsidRPr="00277C14" w14:paraId="6A92DCDE" w14:textId="77777777" w:rsidTr="00277C14">
        <w:trPr>
          <w:trHeight w:val="255"/>
          <w:jc w:val="center"/>
        </w:trPr>
        <w:tc>
          <w:tcPr>
            <w:tcW w:w="1992" w:type="dxa"/>
            <w:shd w:val="clear" w:color="auto" w:fill="auto"/>
          </w:tcPr>
          <w:p w14:paraId="1C043AD2" w14:textId="77777777" w:rsidR="00277C14" w:rsidRPr="00277C14" w:rsidRDefault="00277C14" w:rsidP="00277C14">
            <w:pPr>
              <w:rPr>
                <w:rFonts w:cs="Arial"/>
                <w:szCs w:val="20"/>
              </w:rPr>
            </w:pPr>
            <w:r w:rsidRPr="00277C14">
              <w:rPr>
                <w:rFonts w:cs="Arial"/>
                <w:szCs w:val="20"/>
              </w:rPr>
              <w:t>IO.2</w:t>
            </w:r>
          </w:p>
        </w:tc>
        <w:tc>
          <w:tcPr>
            <w:tcW w:w="7660" w:type="dxa"/>
            <w:shd w:val="clear" w:color="auto" w:fill="auto"/>
            <w:vAlign w:val="center"/>
          </w:tcPr>
          <w:p w14:paraId="695138E4" w14:textId="77777777" w:rsidR="00277C14" w:rsidRPr="00277C14" w:rsidRDefault="00277C14" w:rsidP="00277C14">
            <w:pPr>
              <w:rPr>
                <w:rFonts w:cs="Arial"/>
                <w:szCs w:val="20"/>
              </w:rPr>
            </w:pPr>
            <w:r w:rsidRPr="00277C14">
              <w:rPr>
                <w:rFonts w:cs="Arial"/>
                <w:szCs w:val="20"/>
              </w:rPr>
              <w:t>International co-operation delivers appropriate information, financial intelligence, and evidence, and facilitates action against criminals and their assets.</w:t>
            </w:r>
          </w:p>
          <w:p w14:paraId="6C008247" w14:textId="77777777" w:rsidR="00277C14" w:rsidRPr="00277C14" w:rsidRDefault="00277C14" w:rsidP="00277C14">
            <w:pPr>
              <w:rPr>
                <w:rFonts w:cs="Arial"/>
                <w:szCs w:val="20"/>
              </w:rPr>
            </w:pPr>
          </w:p>
        </w:tc>
      </w:tr>
      <w:tr w:rsidR="00277C14" w:rsidRPr="00277C14" w14:paraId="642F168A" w14:textId="77777777" w:rsidTr="00277C14">
        <w:trPr>
          <w:trHeight w:val="255"/>
          <w:jc w:val="center"/>
        </w:trPr>
        <w:tc>
          <w:tcPr>
            <w:tcW w:w="1992" w:type="dxa"/>
            <w:shd w:val="clear" w:color="auto" w:fill="auto"/>
          </w:tcPr>
          <w:p w14:paraId="1F303340" w14:textId="77777777" w:rsidR="00277C14" w:rsidRPr="00277C14" w:rsidRDefault="00277C14" w:rsidP="00277C14">
            <w:pPr>
              <w:rPr>
                <w:rFonts w:cs="Arial"/>
                <w:szCs w:val="20"/>
              </w:rPr>
            </w:pPr>
            <w:r w:rsidRPr="00277C14">
              <w:rPr>
                <w:rFonts w:cs="Arial"/>
                <w:szCs w:val="20"/>
              </w:rPr>
              <w:t>IO.3</w:t>
            </w:r>
          </w:p>
        </w:tc>
        <w:tc>
          <w:tcPr>
            <w:tcW w:w="7660" w:type="dxa"/>
            <w:shd w:val="clear" w:color="auto" w:fill="auto"/>
            <w:vAlign w:val="center"/>
          </w:tcPr>
          <w:p w14:paraId="172AE8BB" w14:textId="77777777" w:rsidR="00277C14" w:rsidRPr="00277C14" w:rsidRDefault="00277C14" w:rsidP="00277C14">
            <w:pPr>
              <w:rPr>
                <w:rFonts w:cs="Arial"/>
                <w:szCs w:val="20"/>
              </w:rPr>
            </w:pPr>
            <w:r w:rsidRPr="00277C14">
              <w:rPr>
                <w:rFonts w:cs="Arial"/>
                <w:szCs w:val="20"/>
              </w:rPr>
              <w:t xml:space="preserve">Supervisors appropriately supervise, </w:t>
            </w:r>
            <w:proofErr w:type="gramStart"/>
            <w:r w:rsidRPr="00277C14">
              <w:rPr>
                <w:rFonts w:cs="Arial"/>
                <w:szCs w:val="20"/>
              </w:rPr>
              <w:t>monitor</w:t>
            </w:r>
            <w:proofErr w:type="gramEnd"/>
            <w:r w:rsidRPr="00277C14">
              <w:rPr>
                <w:rFonts w:cs="Arial"/>
                <w:szCs w:val="20"/>
              </w:rPr>
              <w:t xml:space="preserve"> and regulate financial institutions, DNFBPs and VASPs for compliance with AML/CFT requirements commensurate with their risks.</w:t>
            </w:r>
          </w:p>
        </w:tc>
      </w:tr>
      <w:tr w:rsidR="00277C14" w:rsidRPr="00277C14" w14:paraId="6F337CB7" w14:textId="77777777" w:rsidTr="00277C14">
        <w:trPr>
          <w:trHeight w:val="255"/>
          <w:jc w:val="center"/>
        </w:trPr>
        <w:tc>
          <w:tcPr>
            <w:tcW w:w="1992" w:type="dxa"/>
            <w:shd w:val="clear" w:color="auto" w:fill="auto"/>
          </w:tcPr>
          <w:p w14:paraId="7D808658" w14:textId="77777777" w:rsidR="00277C14" w:rsidRPr="00277C14" w:rsidRDefault="00277C14" w:rsidP="00277C14">
            <w:pPr>
              <w:rPr>
                <w:rFonts w:cs="Arial"/>
                <w:szCs w:val="20"/>
              </w:rPr>
            </w:pPr>
          </w:p>
          <w:p w14:paraId="46AED27B" w14:textId="77777777" w:rsidR="00277C14" w:rsidRPr="00277C14" w:rsidRDefault="00277C14" w:rsidP="00277C14">
            <w:pPr>
              <w:rPr>
                <w:rFonts w:cs="Arial"/>
                <w:szCs w:val="20"/>
              </w:rPr>
            </w:pPr>
            <w:r w:rsidRPr="00277C14">
              <w:rPr>
                <w:rFonts w:cs="Arial"/>
                <w:szCs w:val="20"/>
              </w:rPr>
              <w:t>IO.4</w:t>
            </w:r>
          </w:p>
        </w:tc>
        <w:tc>
          <w:tcPr>
            <w:tcW w:w="7660" w:type="dxa"/>
            <w:shd w:val="clear" w:color="auto" w:fill="auto"/>
            <w:vAlign w:val="center"/>
          </w:tcPr>
          <w:p w14:paraId="3BCDA3E8" w14:textId="77777777" w:rsidR="00277C14" w:rsidRPr="00277C14" w:rsidRDefault="00277C14" w:rsidP="00277C14">
            <w:pPr>
              <w:rPr>
                <w:rFonts w:cs="Arial"/>
                <w:szCs w:val="20"/>
              </w:rPr>
            </w:pPr>
          </w:p>
          <w:p w14:paraId="5B15D259" w14:textId="77777777" w:rsidR="00277C14" w:rsidRPr="00277C14" w:rsidRDefault="00277C14" w:rsidP="00277C14">
            <w:pPr>
              <w:rPr>
                <w:rFonts w:cs="Arial"/>
                <w:szCs w:val="20"/>
              </w:rPr>
            </w:pPr>
            <w:r w:rsidRPr="00277C14">
              <w:rPr>
                <w:rFonts w:cs="Arial"/>
                <w:szCs w:val="20"/>
              </w:rPr>
              <w:t>Financial institutions, DNFBPs and VASPs adequately apply AML/CFT preventive measures commensurate with their risks, and report suspicious transactions.</w:t>
            </w:r>
          </w:p>
        </w:tc>
      </w:tr>
      <w:tr w:rsidR="00277C14" w:rsidRPr="00277C14" w14:paraId="713942A1" w14:textId="77777777" w:rsidTr="00277C14">
        <w:trPr>
          <w:trHeight w:val="255"/>
          <w:jc w:val="center"/>
        </w:trPr>
        <w:tc>
          <w:tcPr>
            <w:tcW w:w="1992" w:type="dxa"/>
            <w:shd w:val="clear" w:color="auto" w:fill="auto"/>
          </w:tcPr>
          <w:p w14:paraId="25447743" w14:textId="77777777" w:rsidR="00277C14" w:rsidRPr="00277C14" w:rsidRDefault="00277C14" w:rsidP="00277C14">
            <w:pPr>
              <w:rPr>
                <w:rFonts w:cs="Arial"/>
                <w:szCs w:val="20"/>
              </w:rPr>
            </w:pPr>
          </w:p>
          <w:p w14:paraId="4EA005B4" w14:textId="77777777" w:rsidR="00277C14" w:rsidRPr="00277C14" w:rsidRDefault="00277C14" w:rsidP="00277C14">
            <w:pPr>
              <w:rPr>
                <w:rFonts w:cs="Arial"/>
                <w:szCs w:val="20"/>
              </w:rPr>
            </w:pPr>
            <w:r w:rsidRPr="00277C14">
              <w:rPr>
                <w:rFonts w:cs="Arial"/>
                <w:szCs w:val="20"/>
              </w:rPr>
              <w:t>IO.5</w:t>
            </w:r>
          </w:p>
        </w:tc>
        <w:tc>
          <w:tcPr>
            <w:tcW w:w="7660" w:type="dxa"/>
            <w:shd w:val="clear" w:color="auto" w:fill="auto"/>
            <w:vAlign w:val="center"/>
          </w:tcPr>
          <w:p w14:paraId="6C07A55A" w14:textId="77777777" w:rsidR="00277C14" w:rsidRPr="00277C14" w:rsidRDefault="00277C14" w:rsidP="00277C14">
            <w:pPr>
              <w:rPr>
                <w:rFonts w:cs="Arial"/>
                <w:szCs w:val="20"/>
              </w:rPr>
            </w:pPr>
          </w:p>
          <w:p w14:paraId="7C5F5B2A" w14:textId="77777777" w:rsidR="00277C14" w:rsidRPr="00277C14" w:rsidRDefault="00277C14" w:rsidP="00277C14">
            <w:pPr>
              <w:rPr>
                <w:rFonts w:cs="Arial"/>
                <w:szCs w:val="20"/>
              </w:rPr>
            </w:pPr>
            <w:r w:rsidRPr="00277C14">
              <w:rPr>
                <w:rFonts w:cs="Arial"/>
                <w:szCs w:val="20"/>
              </w:rPr>
              <w:t>Legal persons and arrangements are prevented from misuse for money laundering or terrorist financing, and information on their beneficial ownership is available to competent authorities without impediments.</w:t>
            </w:r>
          </w:p>
        </w:tc>
      </w:tr>
      <w:tr w:rsidR="00277C14" w:rsidRPr="00277C14" w14:paraId="5AFD6792" w14:textId="77777777" w:rsidTr="00277C14">
        <w:trPr>
          <w:trHeight w:val="255"/>
          <w:jc w:val="center"/>
        </w:trPr>
        <w:tc>
          <w:tcPr>
            <w:tcW w:w="1992" w:type="dxa"/>
            <w:shd w:val="clear" w:color="auto" w:fill="auto"/>
          </w:tcPr>
          <w:p w14:paraId="3CBE1BBD" w14:textId="77777777" w:rsidR="00277C14" w:rsidRPr="00277C14" w:rsidRDefault="00277C14" w:rsidP="00277C14">
            <w:pPr>
              <w:rPr>
                <w:rFonts w:cs="Arial"/>
                <w:szCs w:val="20"/>
              </w:rPr>
            </w:pPr>
          </w:p>
          <w:p w14:paraId="643B083C" w14:textId="77777777" w:rsidR="00277C14" w:rsidRPr="00277C14" w:rsidRDefault="00277C14" w:rsidP="00277C14">
            <w:pPr>
              <w:rPr>
                <w:rFonts w:cs="Arial"/>
                <w:szCs w:val="20"/>
              </w:rPr>
            </w:pPr>
            <w:r w:rsidRPr="00277C14">
              <w:rPr>
                <w:rFonts w:cs="Arial"/>
                <w:szCs w:val="20"/>
              </w:rPr>
              <w:t>IO.6</w:t>
            </w:r>
          </w:p>
        </w:tc>
        <w:tc>
          <w:tcPr>
            <w:tcW w:w="7660" w:type="dxa"/>
            <w:shd w:val="clear" w:color="auto" w:fill="auto"/>
            <w:vAlign w:val="center"/>
          </w:tcPr>
          <w:p w14:paraId="47B7D930" w14:textId="77777777" w:rsidR="00277C14" w:rsidRPr="00277C14" w:rsidRDefault="00277C14" w:rsidP="00277C14">
            <w:pPr>
              <w:rPr>
                <w:rFonts w:cs="Arial"/>
                <w:szCs w:val="20"/>
              </w:rPr>
            </w:pPr>
          </w:p>
          <w:p w14:paraId="7313D5C9" w14:textId="77777777" w:rsidR="00277C14" w:rsidRPr="00277C14" w:rsidRDefault="00277C14" w:rsidP="00277C14">
            <w:pPr>
              <w:rPr>
                <w:rFonts w:cs="Arial"/>
                <w:szCs w:val="20"/>
              </w:rPr>
            </w:pPr>
            <w:r w:rsidRPr="00277C14">
              <w:rPr>
                <w:rFonts w:cs="Arial"/>
                <w:szCs w:val="20"/>
              </w:rPr>
              <w:t>Financial intelligence and all other relevant information are appropriately used by competent authorities for money laundering and terrorist financing investigations.</w:t>
            </w:r>
          </w:p>
        </w:tc>
      </w:tr>
      <w:tr w:rsidR="00277C14" w:rsidRPr="00277C14" w14:paraId="65CC1829" w14:textId="77777777" w:rsidTr="00277C14">
        <w:trPr>
          <w:trHeight w:val="255"/>
          <w:jc w:val="center"/>
        </w:trPr>
        <w:tc>
          <w:tcPr>
            <w:tcW w:w="1992" w:type="dxa"/>
            <w:shd w:val="clear" w:color="auto" w:fill="auto"/>
          </w:tcPr>
          <w:p w14:paraId="467B2714" w14:textId="77777777" w:rsidR="00277C14" w:rsidRPr="00277C14" w:rsidRDefault="00277C14" w:rsidP="00277C14">
            <w:pPr>
              <w:rPr>
                <w:rFonts w:cs="Arial"/>
                <w:szCs w:val="20"/>
              </w:rPr>
            </w:pPr>
          </w:p>
          <w:p w14:paraId="7D96F856" w14:textId="77777777" w:rsidR="00277C14" w:rsidRPr="00277C14" w:rsidRDefault="00277C14" w:rsidP="00277C14">
            <w:pPr>
              <w:rPr>
                <w:rFonts w:cs="Arial"/>
                <w:szCs w:val="20"/>
              </w:rPr>
            </w:pPr>
            <w:r w:rsidRPr="00277C14">
              <w:rPr>
                <w:rFonts w:cs="Arial"/>
                <w:szCs w:val="20"/>
              </w:rPr>
              <w:t>IO.7</w:t>
            </w:r>
          </w:p>
        </w:tc>
        <w:tc>
          <w:tcPr>
            <w:tcW w:w="7660" w:type="dxa"/>
            <w:shd w:val="clear" w:color="auto" w:fill="auto"/>
            <w:vAlign w:val="center"/>
          </w:tcPr>
          <w:p w14:paraId="23C205C9" w14:textId="77777777" w:rsidR="00277C14" w:rsidRPr="00277C14" w:rsidRDefault="00277C14" w:rsidP="00277C14">
            <w:pPr>
              <w:rPr>
                <w:rFonts w:cs="Arial"/>
                <w:szCs w:val="20"/>
              </w:rPr>
            </w:pPr>
          </w:p>
          <w:p w14:paraId="6564C450" w14:textId="77777777" w:rsidR="00277C14" w:rsidRPr="00277C14" w:rsidRDefault="00277C14" w:rsidP="00277C14">
            <w:pPr>
              <w:rPr>
                <w:rFonts w:cs="Arial"/>
                <w:szCs w:val="20"/>
              </w:rPr>
            </w:pPr>
            <w:r w:rsidRPr="00277C14">
              <w:rPr>
                <w:rFonts w:cs="Arial"/>
                <w:szCs w:val="20"/>
              </w:rPr>
              <w:t xml:space="preserve">Money laundering offences and activities are </w:t>
            </w:r>
            <w:proofErr w:type="gramStart"/>
            <w:r w:rsidRPr="00277C14">
              <w:rPr>
                <w:rFonts w:cs="Arial"/>
                <w:szCs w:val="20"/>
              </w:rPr>
              <w:t>investigated</w:t>
            </w:r>
            <w:proofErr w:type="gramEnd"/>
            <w:r w:rsidRPr="00277C14">
              <w:rPr>
                <w:rFonts w:cs="Arial"/>
                <w:szCs w:val="20"/>
              </w:rPr>
              <w:t xml:space="preserve"> and offenders are prosecuted and subject to effective, proportionate and dissuasive sanctions.</w:t>
            </w:r>
          </w:p>
        </w:tc>
      </w:tr>
      <w:tr w:rsidR="00277C14" w:rsidRPr="00277C14" w14:paraId="11F9F34E" w14:textId="77777777" w:rsidTr="00277C14">
        <w:trPr>
          <w:trHeight w:val="255"/>
          <w:jc w:val="center"/>
        </w:trPr>
        <w:tc>
          <w:tcPr>
            <w:tcW w:w="1992" w:type="dxa"/>
            <w:shd w:val="clear" w:color="auto" w:fill="auto"/>
          </w:tcPr>
          <w:p w14:paraId="61C7DAB3" w14:textId="77777777" w:rsidR="00277C14" w:rsidRPr="00277C14" w:rsidRDefault="00277C14" w:rsidP="00277C14">
            <w:pPr>
              <w:rPr>
                <w:rFonts w:cs="Arial"/>
                <w:szCs w:val="20"/>
              </w:rPr>
            </w:pPr>
          </w:p>
          <w:p w14:paraId="4B1DDDE4" w14:textId="77777777" w:rsidR="00277C14" w:rsidRPr="00277C14" w:rsidRDefault="00277C14" w:rsidP="00277C14">
            <w:pPr>
              <w:rPr>
                <w:rFonts w:cs="Arial"/>
                <w:szCs w:val="20"/>
              </w:rPr>
            </w:pPr>
            <w:r w:rsidRPr="00277C14">
              <w:rPr>
                <w:rFonts w:cs="Arial"/>
                <w:szCs w:val="20"/>
              </w:rPr>
              <w:t>IO.8</w:t>
            </w:r>
          </w:p>
        </w:tc>
        <w:tc>
          <w:tcPr>
            <w:tcW w:w="7660" w:type="dxa"/>
            <w:shd w:val="clear" w:color="auto" w:fill="auto"/>
            <w:vAlign w:val="center"/>
          </w:tcPr>
          <w:p w14:paraId="53D65E00" w14:textId="77777777" w:rsidR="00277C14" w:rsidRPr="00277C14" w:rsidRDefault="00277C14" w:rsidP="00277C14">
            <w:pPr>
              <w:rPr>
                <w:rFonts w:cs="Arial"/>
                <w:szCs w:val="20"/>
              </w:rPr>
            </w:pPr>
          </w:p>
          <w:p w14:paraId="61E10E99" w14:textId="77777777" w:rsidR="00277C14" w:rsidRPr="00277C14" w:rsidRDefault="00277C14" w:rsidP="00277C14">
            <w:pPr>
              <w:rPr>
                <w:rFonts w:cs="Arial"/>
                <w:szCs w:val="20"/>
              </w:rPr>
            </w:pPr>
            <w:r w:rsidRPr="00277C14">
              <w:rPr>
                <w:rFonts w:cs="Arial"/>
                <w:szCs w:val="20"/>
              </w:rPr>
              <w:t>Proceeds and instrumentalities of crime are confiscated.</w:t>
            </w:r>
          </w:p>
        </w:tc>
      </w:tr>
      <w:tr w:rsidR="00277C14" w:rsidRPr="00277C14" w14:paraId="005592AD" w14:textId="77777777" w:rsidTr="00277C14">
        <w:trPr>
          <w:trHeight w:val="255"/>
          <w:jc w:val="center"/>
        </w:trPr>
        <w:tc>
          <w:tcPr>
            <w:tcW w:w="1992" w:type="dxa"/>
            <w:shd w:val="clear" w:color="auto" w:fill="auto"/>
          </w:tcPr>
          <w:p w14:paraId="3CF7A425" w14:textId="77777777" w:rsidR="00277C14" w:rsidRPr="00277C14" w:rsidRDefault="00277C14" w:rsidP="00277C14">
            <w:pPr>
              <w:rPr>
                <w:rFonts w:cs="Arial"/>
                <w:szCs w:val="20"/>
              </w:rPr>
            </w:pPr>
          </w:p>
          <w:p w14:paraId="0360EAC0" w14:textId="77777777" w:rsidR="00277C14" w:rsidRPr="00277C14" w:rsidRDefault="00277C14" w:rsidP="00277C14">
            <w:pPr>
              <w:rPr>
                <w:rFonts w:cs="Arial"/>
                <w:szCs w:val="20"/>
              </w:rPr>
            </w:pPr>
            <w:r w:rsidRPr="00277C14">
              <w:rPr>
                <w:rFonts w:cs="Arial"/>
                <w:szCs w:val="20"/>
              </w:rPr>
              <w:t>IO.9</w:t>
            </w:r>
          </w:p>
        </w:tc>
        <w:tc>
          <w:tcPr>
            <w:tcW w:w="7660" w:type="dxa"/>
            <w:shd w:val="clear" w:color="auto" w:fill="auto"/>
            <w:vAlign w:val="center"/>
          </w:tcPr>
          <w:p w14:paraId="381A69EB" w14:textId="77777777" w:rsidR="00277C14" w:rsidRPr="00277C14" w:rsidRDefault="00277C14" w:rsidP="00277C14">
            <w:pPr>
              <w:rPr>
                <w:rFonts w:cs="Arial"/>
                <w:szCs w:val="20"/>
              </w:rPr>
            </w:pPr>
          </w:p>
          <w:p w14:paraId="685E2F9D" w14:textId="77777777" w:rsidR="00277C14" w:rsidRPr="00277C14" w:rsidRDefault="00277C14" w:rsidP="00277C14">
            <w:pPr>
              <w:rPr>
                <w:rFonts w:cs="Arial"/>
                <w:szCs w:val="20"/>
              </w:rPr>
            </w:pPr>
            <w:r w:rsidRPr="00277C14">
              <w:rPr>
                <w:rFonts w:cs="Arial"/>
                <w:szCs w:val="20"/>
              </w:rPr>
              <w:t xml:space="preserve">Terrorist financing offences and activities are investigated and persons who finance terrorism are prosecuted and subject to effective, </w:t>
            </w:r>
            <w:proofErr w:type="gramStart"/>
            <w:r w:rsidRPr="00277C14">
              <w:rPr>
                <w:rFonts w:cs="Arial"/>
                <w:szCs w:val="20"/>
              </w:rPr>
              <w:t>proportionate</w:t>
            </w:r>
            <w:proofErr w:type="gramEnd"/>
            <w:r w:rsidRPr="00277C14">
              <w:rPr>
                <w:rFonts w:cs="Arial"/>
                <w:szCs w:val="20"/>
              </w:rPr>
              <w:t xml:space="preserve"> and dissuasive sanctions.</w:t>
            </w:r>
          </w:p>
        </w:tc>
      </w:tr>
      <w:tr w:rsidR="00277C14" w:rsidRPr="00277C14" w14:paraId="00CD90F0" w14:textId="77777777" w:rsidTr="00277C14">
        <w:trPr>
          <w:trHeight w:val="255"/>
          <w:jc w:val="center"/>
        </w:trPr>
        <w:tc>
          <w:tcPr>
            <w:tcW w:w="1992" w:type="dxa"/>
            <w:shd w:val="clear" w:color="auto" w:fill="auto"/>
          </w:tcPr>
          <w:p w14:paraId="6DE894E4" w14:textId="77777777" w:rsidR="00277C14" w:rsidRPr="00277C14" w:rsidRDefault="00277C14" w:rsidP="00277C14">
            <w:pPr>
              <w:rPr>
                <w:rFonts w:cs="Arial"/>
                <w:szCs w:val="20"/>
              </w:rPr>
            </w:pPr>
          </w:p>
          <w:p w14:paraId="0EA4E8D1" w14:textId="77777777" w:rsidR="00277C14" w:rsidRPr="00277C14" w:rsidRDefault="00277C14" w:rsidP="00277C14">
            <w:pPr>
              <w:rPr>
                <w:rFonts w:cs="Arial"/>
                <w:szCs w:val="20"/>
              </w:rPr>
            </w:pPr>
            <w:r w:rsidRPr="00277C14">
              <w:rPr>
                <w:rFonts w:cs="Arial"/>
                <w:szCs w:val="20"/>
              </w:rPr>
              <w:t>IO.10</w:t>
            </w:r>
          </w:p>
        </w:tc>
        <w:tc>
          <w:tcPr>
            <w:tcW w:w="7660" w:type="dxa"/>
            <w:shd w:val="clear" w:color="auto" w:fill="auto"/>
            <w:vAlign w:val="center"/>
          </w:tcPr>
          <w:p w14:paraId="678450B2" w14:textId="77777777" w:rsidR="00277C14" w:rsidRPr="00277C14" w:rsidRDefault="00277C14" w:rsidP="00277C14">
            <w:pPr>
              <w:rPr>
                <w:rFonts w:cs="Arial"/>
                <w:szCs w:val="20"/>
              </w:rPr>
            </w:pPr>
          </w:p>
          <w:p w14:paraId="5A18B466" w14:textId="77777777" w:rsidR="00277C14" w:rsidRPr="00277C14" w:rsidRDefault="00277C14" w:rsidP="00277C14">
            <w:pPr>
              <w:rPr>
                <w:rFonts w:cs="Arial"/>
                <w:szCs w:val="20"/>
              </w:rPr>
            </w:pPr>
            <w:r w:rsidRPr="00277C14">
              <w:rPr>
                <w:rFonts w:cs="Arial"/>
                <w:szCs w:val="20"/>
              </w:rPr>
              <w:t xml:space="preserve">Terrorists, terrorist organisations and terrorist financiers are prevented from raising, </w:t>
            </w:r>
            <w:proofErr w:type="gramStart"/>
            <w:r w:rsidRPr="00277C14">
              <w:rPr>
                <w:rFonts w:cs="Arial"/>
                <w:szCs w:val="20"/>
              </w:rPr>
              <w:t>moving</w:t>
            </w:r>
            <w:proofErr w:type="gramEnd"/>
            <w:r w:rsidRPr="00277C14">
              <w:rPr>
                <w:rFonts w:cs="Arial"/>
                <w:szCs w:val="20"/>
              </w:rPr>
              <w:t xml:space="preserve"> and using funds, and from abusing the NPO sector.</w:t>
            </w:r>
          </w:p>
        </w:tc>
      </w:tr>
      <w:tr w:rsidR="00277C14" w:rsidRPr="00277C14" w14:paraId="2CF451BF" w14:textId="77777777" w:rsidTr="00277C14">
        <w:trPr>
          <w:trHeight w:val="255"/>
          <w:jc w:val="center"/>
        </w:trPr>
        <w:tc>
          <w:tcPr>
            <w:tcW w:w="1992" w:type="dxa"/>
            <w:shd w:val="clear" w:color="auto" w:fill="auto"/>
          </w:tcPr>
          <w:p w14:paraId="693DFF88" w14:textId="77777777" w:rsidR="00277C14" w:rsidRPr="00277C14" w:rsidRDefault="00277C14" w:rsidP="00277C14">
            <w:pPr>
              <w:rPr>
                <w:rFonts w:cs="Arial"/>
                <w:szCs w:val="20"/>
              </w:rPr>
            </w:pPr>
          </w:p>
          <w:p w14:paraId="0A80F507" w14:textId="77777777" w:rsidR="00277C14" w:rsidRPr="00277C14" w:rsidRDefault="00277C14" w:rsidP="00277C14">
            <w:pPr>
              <w:rPr>
                <w:rFonts w:cs="Arial"/>
                <w:szCs w:val="20"/>
              </w:rPr>
            </w:pPr>
            <w:r w:rsidRPr="00277C14">
              <w:rPr>
                <w:rFonts w:cs="Arial"/>
                <w:szCs w:val="20"/>
              </w:rPr>
              <w:t>IO.11</w:t>
            </w:r>
          </w:p>
        </w:tc>
        <w:tc>
          <w:tcPr>
            <w:tcW w:w="7660" w:type="dxa"/>
            <w:shd w:val="clear" w:color="auto" w:fill="auto"/>
            <w:vAlign w:val="center"/>
          </w:tcPr>
          <w:p w14:paraId="1044CCB6" w14:textId="77777777" w:rsidR="00277C14" w:rsidRPr="00277C14" w:rsidRDefault="00277C14" w:rsidP="00277C14">
            <w:pPr>
              <w:rPr>
                <w:rFonts w:cs="Arial"/>
                <w:szCs w:val="20"/>
              </w:rPr>
            </w:pPr>
          </w:p>
          <w:p w14:paraId="3A6E1A50" w14:textId="77777777" w:rsidR="00277C14" w:rsidRPr="00277C14" w:rsidRDefault="00277C14" w:rsidP="00277C14">
            <w:pPr>
              <w:rPr>
                <w:rFonts w:cs="Arial"/>
                <w:szCs w:val="20"/>
              </w:rPr>
            </w:pPr>
            <w:r w:rsidRPr="00277C14">
              <w:rPr>
                <w:rFonts w:cs="Arial"/>
                <w:szCs w:val="20"/>
              </w:rPr>
              <w:t xml:space="preserve">Persons and entities involved in the proliferation of weapons of mass destruction are prevented from raising, </w:t>
            </w:r>
            <w:proofErr w:type="gramStart"/>
            <w:r w:rsidRPr="00277C14">
              <w:rPr>
                <w:rFonts w:cs="Arial"/>
                <w:szCs w:val="20"/>
              </w:rPr>
              <w:t>moving</w:t>
            </w:r>
            <w:proofErr w:type="gramEnd"/>
            <w:r w:rsidRPr="00277C14">
              <w:rPr>
                <w:rFonts w:cs="Arial"/>
                <w:szCs w:val="20"/>
              </w:rPr>
              <w:t xml:space="preserve"> and using funds, consistent with the relevant resolutions of the UN Security Council.</w:t>
            </w:r>
          </w:p>
        </w:tc>
      </w:tr>
    </w:tbl>
    <w:p w14:paraId="33F0C855" w14:textId="77777777" w:rsidR="00277C14" w:rsidRPr="00277C14" w:rsidRDefault="00277C14" w:rsidP="00277C14">
      <w:pPr>
        <w:rPr>
          <w:rFonts w:cs="Arial"/>
          <w:szCs w:val="20"/>
        </w:rPr>
      </w:pPr>
    </w:p>
    <w:p w14:paraId="37422458" w14:textId="77777777" w:rsidR="00277C14" w:rsidRPr="00277C14" w:rsidRDefault="00277C14" w:rsidP="00277C14">
      <w:pPr>
        <w:rPr>
          <w:rFonts w:cs="Arial"/>
          <w:b/>
          <w:bCs/>
          <w:szCs w:val="20"/>
        </w:rPr>
      </w:pPr>
    </w:p>
    <w:p w14:paraId="1531E0DC" w14:textId="13FF3F2A" w:rsidR="005745B6" w:rsidRDefault="005745B6">
      <w:pPr>
        <w:rPr>
          <w:rFonts w:cs="Arial"/>
          <w:b/>
          <w:bCs/>
          <w:szCs w:val="20"/>
        </w:rPr>
      </w:pPr>
      <w:r>
        <w:rPr>
          <w:rFonts w:cs="Arial"/>
          <w:b/>
          <w:bCs/>
          <w:szCs w:val="20"/>
        </w:rPr>
        <w:br w:type="page"/>
      </w:r>
    </w:p>
    <w:p w14:paraId="7F791809" w14:textId="479E0BA7" w:rsidR="00277C14" w:rsidRPr="00277C14" w:rsidRDefault="00277C14" w:rsidP="00277C14">
      <w:pPr>
        <w:rPr>
          <w:rFonts w:cs="Arial"/>
          <w:b/>
          <w:bCs/>
          <w:szCs w:val="20"/>
        </w:rPr>
      </w:pPr>
      <w:r w:rsidRPr="00277C14">
        <w:rPr>
          <w:rFonts w:cs="Arial"/>
          <w:b/>
          <w:bCs/>
          <w:szCs w:val="20"/>
        </w:rPr>
        <w:lastRenderedPageBreak/>
        <w:t>Appendix II</w:t>
      </w:r>
    </w:p>
    <w:p w14:paraId="639C09D4" w14:textId="77777777" w:rsidR="00277C14" w:rsidRPr="00277C14" w:rsidRDefault="00277C14" w:rsidP="00277C14">
      <w:pPr>
        <w:rPr>
          <w:rFonts w:cs="Arial"/>
          <w:szCs w:val="20"/>
        </w:rPr>
      </w:pPr>
    </w:p>
    <w:tbl>
      <w:tblPr>
        <w:tblW w:w="9564" w:type="dxa"/>
        <w:jc w:val="center"/>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ook w:val="04A0" w:firstRow="1" w:lastRow="0" w:firstColumn="1" w:lastColumn="0" w:noHBand="0" w:noVBand="1"/>
      </w:tblPr>
      <w:tblGrid>
        <w:gridCol w:w="8578"/>
        <w:gridCol w:w="986"/>
      </w:tblGrid>
      <w:tr w:rsidR="00277C14" w:rsidRPr="00277C14" w14:paraId="3A8048E7" w14:textId="77777777" w:rsidTr="007F48A9">
        <w:trPr>
          <w:jc w:val="center"/>
        </w:trPr>
        <w:tc>
          <w:tcPr>
            <w:tcW w:w="956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431EDE4" w14:textId="77777777" w:rsidR="00277C14" w:rsidRPr="00277C14" w:rsidRDefault="00277C14" w:rsidP="00277C14">
            <w:pPr>
              <w:rPr>
                <w:rFonts w:cs="Arial"/>
                <w:b/>
                <w:i/>
                <w:iCs/>
                <w:szCs w:val="20"/>
              </w:rPr>
            </w:pPr>
            <w:r w:rsidRPr="007F48A9">
              <w:rPr>
                <w:rFonts w:cs="Arial"/>
                <w:b/>
                <w:szCs w:val="20"/>
              </w:rPr>
              <w:t>List of FATF-style regional bodies</w:t>
            </w:r>
          </w:p>
        </w:tc>
      </w:tr>
      <w:tr w:rsidR="00277C14" w:rsidRPr="00277C14" w14:paraId="78CD2CEF" w14:textId="77777777" w:rsidTr="00277C14">
        <w:trPr>
          <w:jc w:val="center"/>
        </w:trPr>
        <w:tc>
          <w:tcPr>
            <w:tcW w:w="8578" w:type="dxa"/>
            <w:tcBorders>
              <w:top w:val="single" w:sz="4" w:space="0" w:color="000000"/>
              <w:left w:val="single" w:sz="4" w:space="0" w:color="000000"/>
              <w:bottom w:val="single" w:sz="4" w:space="0" w:color="000000"/>
              <w:right w:val="nil"/>
            </w:tcBorders>
            <w:shd w:val="clear" w:color="auto" w:fill="auto"/>
            <w:vAlign w:val="center"/>
          </w:tcPr>
          <w:p w14:paraId="6679902B" w14:textId="77777777" w:rsidR="00277C14" w:rsidRPr="00277C14" w:rsidRDefault="00277C14" w:rsidP="00277C14">
            <w:pPr>
              <w:rPr>
                <w:rFonts w:cs="Arial"/>
                <w:szCs w:val="20"/>
              </w:rPr>
            </w:pPr>
            <w:r w:rsidRPr="00277C14">
              <w:rPr>
                <w:rFonts w:cs="Arial"/>
                <w:szCs w:val="20"/>
              </w:rPr>
              <w:t>Asia/Pacific Group on Money Laundering (APG)</w:t>
            </w:r>
            <w:r w:rsidRPr="00277C14">
              <w:rPr>
                <w:rFonts w:cs="Arial"/>
                <w:i/>
                <w:iCs/>
                <w:szCs w:val="20"/>
              </w:rPr>
              <w:t xml:space="preserve"> </w:t>
            </w:r>
          </w:p>
        </w:tc>
        <w:tc>
          <w:tcPr>
            <w:tcW w:w="986" w:type="dxa"/>
            <w:tcBorders>
              <w:top w:val="single" w:sz="4" w:space="0" w:color="000000"/>
              <w:left w:val="nil"/>
              <w:bottom w:val="single" w:sz="4" w:space="0" w:color="000000"/>
              <w:right w:val="single" w:sz="4" w:space="0" w:color="000000"/>
            </w:tcBorders>
            <w:shd w:val="clear" w:color="auto" w:fill="auto"/>
            <w:vAlign w:val="center"/>
          </w:tcPr>
          <w:p w14:paraId="609CC20C" w14:textId="77777777" w:rsidR="00277C14" w:rsidRPr="00277C14" w:rsidRDefault="00277C14" w:rsidP="00277C14">
            <w:pPr>
              <w:rPr>
                <w:rFonts w:cs="Arial"/>
                <w:szCs w:val="20"/>
              </w:rPr>
            </w:pPr>
            <w:r w:rsidRPr="00277C14">
              <w:rPr>
                <w:rFonts w:cs="Arial"/>
                <w:noProof/>
                <w:szCs w:val="20"/>
                <w:lang w:val="pl-PL" w:eastAsia="pl-PL"/>
              </w:rPr>
              <w:drawing>
                <wp:inline distT="0" distB="0" distL="0" distR="0" wp14:anchorId="75042C16" wp14:editId="3C1C47E5">
                  <wp:extent cx="298450" cy="298450"/>
                  <wp:effectExtent l="0" t="0" r="6350" b="6350"/>
                  <wp:docPr id="10" name="Picture 10" descr="Link_icon v2">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k_icon v2"/>
                          <pic:cNvPicPr>
                            <a:picLocks noChangeAspect="1" noChangeArrowheads="1"/>
                          </pic:cNvPicPr>
                        </pic:nvPicPr>
                        <pic:blipFill>
                          <a:blip r:embed="rId15">
                            <a:grayscl/>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a:ln>
                            <a:noFill/>
                          </a:ln>
                        </pic:spPr>
                      </pic:pic>
                    </a:graphicData>
                  </a:graphic>
                </wp:inline>
              </w:drawing>
            </w:r>
          </w:p>
        </w:tc>
      </w:tr>
      <w:tr w:rsidR="00277C14" w:rsidRPr="00277C14" w14:paraId="120CF725" w14:textId="77777777" w:rsidTr="00277C14">
        <w:trPr>
          <w:jc w:val="center"/>
        </w:trPr>
        <w:tc>
          <w:tcPr>
            <w:tcW w:w="8578" w:type="dxa"/>
            <w:tcBorders>
              <w:top w:val="single" w:sz="4" w:space="0" w:color="000000"/>
              <w:left w:val="single" w:sz="4" w:space="0" w:color="000000"/>
              <w:bottom w:val="single" w:sz="4" w:space="0" w:color="000000"/>
              <w:right w:val="nil"/>
            </w:tcBorders>
            <w:shd w:val="clear" w:color="auto" w:fill="auto"/>
            <w:vAlign w:val="center"/>
          </w:tcPr>
          <w:p w14:paraId="7241C036" w14:textId="77777777" w:rsidR="00277C14" w:rsidRPr="00277C14" w:rsidRDefault="00277C14" w:rsidP="00277C14">
            <w:pPr>
              <w:rPr>
                <w:rFonts w:cs="Arial"/>
                <w:szCs w:val="20"/>
              </w:rPr>
            </w:pPr>
            <w:r w:rsidRPr="00277C14">
              <w:rPr>
                <w:rFonts w:cs="Arial"/>
                <w:szCs w:val="20"/>
              </w:rPr>
              <w:t xml:space="preserve">Caribbean Financial Action Task Force (CFATF) </w:t>
            </w:r>
          </w:p>
        </w:tc>
        <w:tc>
          <w:tcPr>
            <w:tcW w:w="986" w:type="dxa"/>
            <w:tcBorders>
              <w:top w:val="single" w:sz="4" w:space="0" w:color="000000"/>
              <w:left w:val="nil"/>
              <w:bottom w:val="single" w:sz="4" w:space="0" w:color="000000"/>
              <w:right w:val="single" w:sz="4" w:space="0" w:color="000000"/>
            </w:tcBorders>
            <w:shd w:val="clear" w:color="auto" w:fill="auto"/>
            <w:vAlign w:val="center"/>
          </w:tcPr>
          <w:p w14:paraId="5F77CD54" w14:textId="77777777" w:rsidR="00277C14" w:rsidRPr="00277C14" w:rsidRDefault="00277C14" w:rsidP="00277C14">
            <w:pPr>
              <w:rPr>
                <w:rFonts w:cs="Arial"/>
                <w:szCs w:val="20"/>
              </w:rPr>
            </w:pPr>
            <w:r w:rsidRPr="00277C14">
              <w:rPr>
                <w:rFonts w:cs="Arial"/>
                <w:noProof/>
                <w:szCs w:val="20"/>
                <w:lang w:val="pl-PL" w:eastAsia="pl-PL"/>
              </w:rPr>
              <w:drawing>
                <wp:inline distT="0" distB="0" distL="0" distR="0" wp14:anchorId="23FEF86E" wp14:editId="078D5E72">
                  <wp:extent cx="298450" cy="298450"/>
                  <wp:effectExtent l="0" t="0" r="6350" b="6350"/>
                  <wp:docPr id="9" name="Picture 9" descr="Link_icon v2">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nk_icon v2"/>
                          <pic:cNvPicPr>
                            <a:picLocks noChangeAspect="1" noChangeArrowheads="1"/>
                          </pic:cNvPicPr>
                        </pic:nvPicPr>
                        <pic:blipFill>
                          <a:blip r:embed="rId15">
                            <a:grayscl/>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a:ln>
                            <a:noFill/>
                          </a:ln>
                        </pic:spPr>
                      </pic:pic>
                    </a:graphicData>
                  </a:graphic>
                </wp:inline>
              </w:drawing>
            </w:r>
          </w:p>
        </w:tc>
      </w:tr>
      <w:tr w:rsidR="00277C14" w:rsidRPr="00277C14" w14:paraId="3F9787B0" w14:textId="77777777" w:rsidTr="00277C14">
        <w:trPr>
          <w:jc w:val="center"/>
        </w:trPr>
        <w:tc>
          <w:tcPr>
            <w:tcW w:w="8578" w:type="dxa"/>
            <w:tcBorders>
              <w:top w:val="single" w:sz="4" w:space="0" w:color="000000"/>
              <w:left w:val="single" w:sz="4" w:space="0" w:color="000000"/>
              <w:bottom w:val="single" w:sz="4" w:space="0" w:color="000000"/>
              <w:right w:val="nil"/>
            </w:tcBorders>
            <w:shd w:val="clear" w:color="auto" w:fill="auto"/>
            <w:vAlign w:val="center"/>
          </w:tcPr>
          <w:p w14:paraId="167201F0" w14:textId="77777777" w:rsidR="00277C14" w:rsidRPr="00277C14" w:rsidRDefault="00277C14" w:rsidP="00277C14">
            <w:pPr>
              <w:rPr>
                <w:rFonts w:cs="Arial"/>
                <w:szCs w:val="20"/>
              </w:rPr>
            </w:pPr>
            <w:r w:rsidRPr="00277C14">
              <w:rPr>
                <w:rFonts w:cs="Arial"/>
                <w:szCs w:val="20"/>
              </w:rPr>
              <w:t>Council of Europe Committee of Experts on the Evaluation of Anti-Money Laundering Measures and the Financing of Terrorism (MONEYVAL)</w:t>
            </w:r>
            <w:r w:rsidRPr="00277C14">
              <w:rPr>
                <w:rFonts w:cs="Arial"/>
                <w:i/>
                <w:iCs/>
                <w:szCs w:val="20"/>
              </w:rPr>
              <w:t> </w:t>
            </w:r>
          </w:p>
        </w:tc>
        <w:tc>
          <w:tcPr>
            <w:tcW w:w="986" w:type="dxa"/>
            <w:tcBorders>
              <w:top w:val="single" w:sz="4" w:space="0" w:color="000000"/>
              <w:left w:val="nil"/>
              <w:bottom w:val="single" w:sz="4" w:space="0" w:color="000000"/>
              <w:right w:val="single" w:sz="4" w:space="0" w:color="000000"/>
            </w:tcBorders>
            <w:shd w:val="clear" w:color="auto" w:fill="auto"/>
            <w:vAlign w:val="center"/>
          </w:tcPr>
          <w:p w14:paraId="2EC11035" w14:textId="77777777" w:rsidR="00277C14" w:rsidRPr="00277C14" w:rsidRDefault="00277C14" w:rsidP="00277C14">
            <w:pPr>
              <w:rPr>
                <w:rFonts w:cs="Arial"/>
                <w:szCs w:val="20"/>
              </w:rPr>
            </w:pPr>
            <w:r w:rsidRPr="00277C14">
              <w:rPr>
                <w:rFonts w:cs="Arial"/>
                <w:noProof/>
                <w:szCs w:val="20"/>
                <w:lang w:val="pl-PL" w:eastAsia="pl-PL"/>
              </w:rPr>
              <w:drawing>
                <wp:inline distT="0" distB="0" distL="0" distR="0" wp14:anchorId="556CDDA8" wp14:editId="4C80503F">
                  <wp:extent cx="298450" cy="298450"/>
                  <wp:effectExtent l="0" t="0" r="6350" b="6350"/>
                  <wp:docPr id="8" name="Picture 8" descr="Link_icon v2">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nk_icon v2"/>
                          <pic:cNvPicPr>
                            <a:picLocks noChangeAspect="1" noChangeArrowheads="1"/>
                          </pic:cNvPicPr>
                        </pic:nvPicPr>
                        <pic:blipFill>
                          <a:blip r:embed="rId15">
                            <a:grayscl/>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a:ln>
                            <a:noFill/>
                          </a:ln>
                        </pic:spPr>
                      </pic:pic>
                    </a:graphicData>
                  </a:graphic>
                </wp:inline>
              </w:drawing>
            </w:r>
          </w:p>
        </w:tc>
      </w:tr>
      <w:tr w:rsidR="00277C14" w:rsidRPr="00277C14" w14:paraId="23E0DE8E" w14:textId="77777777" w:rsidTr="00277C14">
        <w:trPr>
          <w:jc w:val="center"/>
        </w:trPr>
        <w:tc>
          <w:tcPr>
            <w:tcW w:w="8578" w:type="dxa"/>
            <w:tcBorders>
              <w:top w:val="single" w:sz="4" w:space="0" w:color="000000"/>
              <w:left w:val="single" w:sz="4" w:space="0" w:color="000000"/>
              <w:bottom w:val="single" w:sz="4" w:space="0" w:color="000000"/>
              <w:right w:val="nil"/>
            </w:tcBorders>
            <w:shd w:val="clear" w:color="auto" w:fill="auto"/>
            <w:vAlign w:val="center"/>
          </w:tcPr>
          <w:p w14:paraId="333D3AE3" w14:textId="77777777" w:rsidR="00277C14" w:rsidRPr="00277C14" w:rsidRDefault="00277C14" w:rsidP="00277C14">
            <w:pPr>
              <w:rPr>
                <w:rFonts w:cs="Arial"/>
                <w:szCs w:val="20"/>
              </w:rPr>
            </w:pPr>
            <w:r w:rsidRPr="00277C14">
              <w:rPr>
                <w:rFonts w:cs="Arial"/>
                <w:szCs w:val="20"/>
              </w:rPr>
              <w:t xml:space="preserve">Eurasian Group on Combating Money Laundering and Financing of Terrorism (EAG) </w:t>
            </w:r>
          </w:p>
        </w:tc>
        <w:tc>
          <w:tcPr>
            <w:tcW w:w="986" w:type="dxa"/>
            <w:tcBorders>
              <w:top w:val="single" w:sz="4" w:space="0" w:color="000000"/>
              <w:left w:val="nil"/>
              <w:bottom w:val="single" w:sz="4" w:space="0" w:color="000000"/>
              <w:right w:val="single" w:sz="4" w:space="0" w:color="000000"/>
            </w:tcBorders>
            <w:shd w:val="clear" w:color="auto" w:fill="auto"/>
            <w:vAlign w:val="center"/>
          </w:tcPr>
          <w:p w14:paraId="4F08E909" w14:textId="77777777" w:rsidR="00277C14" w:rsidRPr="00277C14" w:rsidRDefault="00277C14" w:rsidP="00277C14">
            <w:pPr>
              <w:rPr>
                <w:rFonts w:cs="Arial"/>
                <w:szCs w:val="20"/>
              </w:rPr>
            </w:pPr>
            <w:r w:rsidRPr="00277C14">
              <w:rPr>
                <w:rFonts w:cs="Arial"/>
                <w:noProof/>
                <w:szCs w:val="20"/>
                <w:lang w:val="pl-PL" w:eastAsia="pl-PL"/>
              </w:rPr>
              <w:drawing>
                <wp:inline distT="0" distB="0" distL="0" distR="0" wp14:anchorId="71934F09" wp14:editId="3B4BF76B">
                  <wp:extent cx="298450" cy="298450"/>
                  <wp:effectExtent l="0" t="0" r="6350" b="6350"/>
                  <wp:docPr id="7" name="Picture 7" descr="Link_icon v2">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ink_icon v2"/>
                          <pic:cNvPicPr>
                            <a:picLocks noChangeAspect="1" noChangeArrowheads="1"/>
                          </pic:cNvPicPr>
                        </pic:nvPicPr>
                        <pic:blipFill>
                          <a:blip r:embed="rId15">
                            <a:grayscl/>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a:ln>
                            <a:noFill/>
                          </a:ln>
                        </pic:spPr>
                      </pic:pic>
                    </a:graphicData>
                  </a:graphic>
                </wp:inline>
              </w:drawing>
            </w:r>
          </w:p>
        </w:tc>
      </w:tr>
      <w:tr w:rsidR="00277C14" w:rsidRPr="00277C14" w14:paraId="3D1E4596" w14:textId="77777777" w:rsidTr="00277C14">
        <w:trPr>
          <w:jc w:val="center"/>
        </w:trPr>
        <w:tc>
          <w:tcPr>
            <w:tcW w:w="8578" w:type="dxa"/>
            <w:tcBorders>
              <w:top w:val="single" w:sz="4" w:space="0" w:color="000000"/>
              <w:left w:val="single" w:sz="4" w:space="0" w:color="000000"/>
              <w:bottom w:val="single" w:sz="4" w:space="0" w:color="000000"/>
              <w:right w:val="nil"/>
            </w:tcBorders>
            <w:shd w:val="clear" w:color="auto" w:fill="auto"/>
            <w:vAlign w:val="center"/>
          </w:tcPr>
          <w:p w14:paraId="04C6B0BA" w14:textId="77777777" w:rsidR="00277C14" w:rsidRPr="00277C14" w:rsidRDefault="00277C14" w:rsidP="00277C14">
            <w:pPr>
              <w:rPr>
                <w:rFonts w:cs="Arial"/>
                <w:szCs w:val="20"/>
              </w:rPr>
            </w:pPr>
            <w:r w:rsidRPr="00277C14">
              <w:rPr>
                <w:rFonts w:cs="Arial"/>
                <w:szCs w:val="20"/>
              </w:rPr>
              <w:t>Eastern and Southern Africa Anti-Money Laundering Group (ESAAMLG)</w:t>
            </w:r>
          </w:p>
        </w:tc>
        <w:tc>
          <w:tcPr>
            <w:tcW w:w="986" w:type="dxa"/>
            <w:tcBorders>
              <w:top w:val="single" w:sz="4" w:space="0" w:color="000000"/>
              <w:left w:val="nil"/>
              <w:bottom w:val="single" w:sz="4" w:space="0" w:color="000000"/>
              <w:right w:val="single" w:sz="4" w:space="0" w:color="000000"/>
            </w:tcBorders>
            <w:shd w:val="clear" w:color="auto" w:fill="auto"/>
            <w:vAlign w:val="center"/>
          </w:tcPr>
          <w:p w14:paraId="55767974" w14:textId="77777777" w:rsidR="00277C14" w:rsidRPr="00277C14" w:rsidRDefault="00277C14" w:rsidP="00277C14">
            <w:pPr>
              <w:rPr>
                <w:rFonts w:cs="Arial"/>
                <w:szCs w:val="20"/>
              </w:rPr>
            </w:pPr>
            <w:r w:rsidRPr="00277C14">
              <w:rPr>
                <w:rFonts w:cs="Arial"/>
                <w:noProof/>
                <w:szCs w:val="20"/>
                <w:lang w:val="pl-PL" w:eastAsia="pl-PL"/>
              </w:rPr>
              <w:drawing>
                <wp:inline distT="0" distB="0" distL="0" distR="0" wp14:anchorId="6C5F941E" wp14:editId="29C23158">
                  <wp:extent cx="298450" cy="298450"/>
                  <wp:effectExtent l="0" t="0" r="6350" b="6350"/>
                  <wp:docPr id="6" name="Picture 6" descr="Link_icon v2">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k_icon v2"/>
                          <pic:cNvPicPr>
                            <a:picLocks noChangeAspect="1" noChangeArrowheads="1"/>
                          </pic:cNvPicPr>
                        </pic:nvPicPr>
                        <pic:blipFill>
                          <a:blip r:embed="rId15">
                            <a:grayscl/>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a:ln>
                            <a:noFill/>
                          </a:ln>
                        </pic:spPr>
                      </pic:pic>
                    </a:graphicData>
                  </a:graphic>
                </wp:inline>
              </w:drawing>
            </w:r>
          </w:p>
        </w:tc>
      </w:tr>
      <w:tr w:rsidR="00277C14" w:rsidRPr="00277C14" w14:paraId="4BE37043" w14:textId="77777777" w:rsidTr="00277C14">
        <w:trPr>
          <w:jc w:val="center"/>
        </w:trPr>
        <w:tc>
          <w:tcPr>
            <w:tcW w:w="8578" w:type="dxa"/>
            <w:tcBorders>
              <w:top w:val="single" w:sz="4" w:space="0" w:color="000000"/>
              <w:left w:val="single" w:sz="4" w:space="0" w:color="000000"/>
              <w:bottom w:val="single" w:sz="4" w:space="0" w:color="000000"/>
              <w:right w:val="nil"/>
            </w:tcBorders>
            <w:shd w:val="clear" w:color="auto" w:fill="auto"/>
            <w:vAlign w:val="center"/>
          </w:tcPr>
          <w:p w14:paraId="4D605B4A" w14:textId="77777777" w:rsidR="00277C14" w:rsidRPr="00277C14" w:rsidRDefault="00277C14" w:rsidP="00277C14">
            <w:pPr>
              <w:rPr>
                <w:rFonts w:cs="Arial"/>
                <w:szCs w:val="20"/>
              </w:rPr>
            </w:pPr>
            <w:r w:rsidRPr="00277C14">
              <w:rPr>
                <w:rFonts w:cs="Arial"/>
                <w:szCs w:val="20"/>
              </w:rPr>
              <w:t xml:space="preserve">Financial Action Task Force on Money Laundering of Latin America (GAFILAT) </w:t>
            </w:r>
          </w:p>
        </w:tc>
        <w:tc>
          <w:tcPr>
            <w:tcW w:w="986" w:type="dxa"/>
            <w:tcBorders>
              <w:top w:val="single" w:sz="4" w:space="0" w:color="000000"/>
              <w:left w:val="nil"/>
              <w:bottom w:val="single" w:sz="4" w:space="0" w:color="000000"/>
              <w:right w:val="single" w:sz="4" w:space="0" w:color="000000"/>
            </w:tcBorders>
            <w:shd w:val="clear" w:color="auto" w:fill="auto"/>
            <w:vAlign w:val="center"/>
          </w:tcPr>
          <w:p w14:paraId="049B10E2" w14:textId="77777777" w:rsidR="00277C14" w:rsidRPr="00277C14" w:rsidRDefault="00277C14" w:rsidP="00277C14">
            <w:pPr>
              <w:rPr>
                <w:rFonts w:cs="Arial"/>
                <w:szCs w:val="20"/>
              </w:rPr>
            </w:pPr>
            <w:r w:rsidRPr="00277C14">
              <w:rPr>
                <w:rFonts w:cs="Arial"/>
                <w:noProof/>
                <w:szCs w:val="20"/>
                <w:lang w:val="pl-PL" w:eastAsia="pl-PL"/>
              </w:rPr>
              <w:drawing>
                <wp:inline distT="0" distB="0" distL="0" distR="0" wp14:anchorId="19EBCCEB" wp14:editId="062125F2">
                  <wp:extent cx="298450" cy="298450"/>
                  <wp:effectExtent l="0" t="0" r="6350" b="6350"/>
                  <wp:docPr id="5" name="Picture 5" descr="Link_icon v2">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nk_icon v2"/>
                          <pic:cNvPicPr>
                            <a:picLocks noChangeAspect="1" noChangeArrowheads="1"/>
                          </pic:cNvPicPr>
                        </pic:nvPicPr>
                        <pic:blipFill>
                          <a:blip r:embed="rId15">
                            <a:grayscl/>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a:ln>
                            <a:noFill/>
                          </a:ln>
                        </pic:spPr>
                      </pic:pic>
                    </a:graphicData>
                  </a:graphic>
                </wp:inline>
              </w:drawing>
            </w:r>
          </w:p>
        </w:tc>
      </w:tr>
      <w:tr w:rsidR="00277C14" w:rsidRPr="00277C14" w14:paraId="59432B4F" w14:textId="77777777" w:rsidTr="00277C14">
        <w:trPr>
          <w:jc w:val="center"/>
        </w:trPr>
        <w:tc>
          <w:tcPr>
            <w:tcW w:w="8578" w:type="dxa"/>
            <w:tcBorders>
              <w:top w:val="single" w:sz="4" w:space="0" w:color="000000"/>
              <w:left w:val="single" w:sz="4" w:space="0" w:color="000000"/>
              <w:bottom w:val="single" w:sz="4" w:space="0" w:color="000000"/>
              <w:right w:val="nil"/>
            </w:tcBorders>
            <w:shd w:val="clear" w:color="auto" w:fill="auto"/>
            <w:vAlign w:val="center"/>
          </w:tcPr>
          <w:p w14:paraId="6F56A316" w14:textId="77777777" w:rsidR="00277C14" w:rsidRPr="00277C14" w:rsidRDefault="00277C14" w:rsidP="00277C14">
            <w:pPr>
              <w:rPr>
                <w:rFonts w:cs="Arial"/>
                <w:szCs w:val="20"/>
              </w:rPr>
            </w:pPr>
            <w:r w:rsidRPr="00277C14">
              <w:rPr>
                <w:rFonts w:cs="Arial"/>
                <w:szCs w:val="20"/>
              </w:rPr>
              <w:t xml:space="preserve">Inter-Governmental Action Group against Money Laundering in West Africa (GIABA) </w:t>
            </w:r>
          </w:p>
        </w:tc>
        <w:tc>
          <w:tcPr>
            <w:tcW w:w="986" w:type="dxa"/>
            <w:tcBorders>
              <w:top w:val="single" w:sz="4" w:space="0" w:color="000000"/>
              <w:left w:val="nil"/>
              <w:bottom w:val="single" w:sz="4" w:space="0" w:color="000000"/>
              <w:right w:val="single" w:sz="4" w:space="0" w:color="000000"/>
            </w:tcBorders>
            <w:shd w:val="clear" w:color="auto" w:fill="auto"/>
            <w:vAlign w:val="center"/>
          </w:tcPr>
          <w:p w14:paraId="69BB80A5" w14:textId="77777777" w:rsidR="00277C14" w:rsidRPr="00277C14" w:rsidRDefault="00277C14" w:rsidP="00277C14">
            <w:pPr>
              <w:rPr>
                <w:rFonts w:cs="Arial"/>
                <w:szCs w:val="20"/>
              </w:rPr>
            </w:pPr>
            <w:r w:rsidRPr="00277C14">
              <w:rPr>
                <w:rFonts w:cs="Arial"/>
                <w:noProof/>
                <w:szCs w:val="20"/>
                <w:lang w:val="pl-PL" w:eastAsia="pl-PL"/>
              </w:rPr>
              <w:drawing>
                <wp:inline distT="0" distB="0" distL="0" distR="0" wp14:anchorId="40B96ED5" wp14:editId="24DDCAE1">
                  <wp:extent cx="298450" cy="298450"/>
                  <wp:effectExtent l="0" t="0" r="6350" b="6350"/>
                  <wp:docPr id="4" name="Picture 4" descr="Link_icon v2">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nk_icon v2"/>
                          <pic:cNvPicPr>
                            <a:picLocks noChangeAspect="1" noChangeArrowheads="1"/>
                          </pic:cNvPicPr>
                        </pic:nvPicPr>
                        <pic:blipFill>
                          <a:blip r:embed="rId15">
                            <a:grayscl/>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a:ln>
                            <a:noFill/>
                          </a:ln>
                        </pic:spPr>
                      </pic:pic>
                    </a:graphicData>
                  </a:graphic>
                </wp:inline>
              </w:drawing>
            </w:r>
          </w:p>
        </w:tc>
      </w:tr>
      <w:tr w:rsidR="00277C14" w:rsidRPr="00277C14" w14:paraId="35633E2D" w14:textId="77777777" w:rsidTr="00277C14">
        <w:trPr>
          <w:jc w:val="center"/>
        </w:trPr>
        <w:tc>
          <w:tcPr>
            <w:tcW w:w="8578" w:type="dxa"/>
            <w:tcBorders>
              <w:top w:val="single" w:sz="4" w:space="0" w:color="000000"/>
              <w:left w:val="single" w:sz="4" w:space="0" w:color="000000"/>
              <w:bottom w:val="single" w:sz="4" w:space="0" w:color="000000"/>
              <w:right w:val="nil"/>
            </w:tcBorders>
            <w:shd w:val="clear" w:color="auto" w:fill="auto"/>
            <w:vAlign w:val="center"/>
          </w:tcPr>
          <w:p w14:paraId="00E148B9" w14:textId="77777777" w:rsidR="00277C14" w:rsidRPr="00277C14" w:rsidRDefault="00277C14" w:rsidP="00277C14">
            <w:pPr>
              <w:rPr>
                <w:rFonts w:cs="Arial"/>
                <w:szCs w:val="20"/>
              </w:rPr>
            </w:pPr>
            <w:r w:rsidRPr="00277C14">
              <w:rPr>
                <w:rFonts w:cs="Arial"/>
                <w:szCs w:val="20"/>
              </w:rPr>
              <w:t xml:space="preserve">Middle East and North Africa Financial Action Task Force (MENAFATF) </w:t>
            </w:r>
          </w:p>
        </w:tc>
        <w:tc>
          <w:tcPr>
            <w:tcW w:w="986" w:type="dxa"/>
            <w:tcBorders>
              <w:top w:val="single" w:sz="4" w:space="0" w:color="000000"/>
              <w:left w:val="nil"/>
              <w:bottom w:val="single" w:sz="4" w:space="0" w:color="000000"/>
              <w:right w:val="single" w:sz="4" w:space="0" w:color="000000"/>
            </w:tcBorders>
            <w:shd w:val="clear" w:color="auto" w:fill="auto"/>
            <w:vAlign w:val="center"/>
          </w:tcPr>
          <w:p w14:paraId="5DAF9E92" w14:textId="77777777" w:rsidR="00277C14" w:rsidRPr="00277C14" w:rsidRDefault="00277C14" w:rsidP="00277C14">
            <w:pPr>
              <w:rPr>
                <w:rFonts w:cs="Arial"/>
                <w:szCs w:val="20"/>
              </w:rPr>
            </w:pPr>
            <w:r w:rsidRPr="00277C14">
              <w:rPr>
                <w:rFonts w:cs="Arial"/>
                <w:noProof/>
                <w:szCs w:val="20"/>
                <w:lang w:val="pl-PL" w:eastAsia="pl-PL"/>
              </w:rPr>
              <w:drawing>
                <wp:inline distT="0" distB="0" distL="0" distR="0" wp14:anchorId="6BBCE9FC" wp14:editId="496956FE">
                  <wp:extent cx="298450" cy="298450"/>
                  <wp:effectExtent l="0" t="0" r="6350" b="6350"/>
                  <wp:docPr id="3" name="Picture 3" descr="Link_icon v2">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ink_icon v2"/>
                          <pic:cNvPicPr>
                            <a:picLocks noChangeAspect="1" noChangeArrowheads="1"/>
                          </pic:cNvPicPr>
                        </pic:nvPicPr>
                        <pic:blipFill>
                          <a:blip r:embed="rId15">
                            <a:grayscl/>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a:ln>
                            <a:noFill/>
                          </a:ln>
                        </pic:spPr>
                      </pic:pic>
                    </a:graphicData>
                  </a:graphic>
                </wp:inline>
              </w:drawing>
            </w:r>
          </w:p>
        </w:tc>
      </w:tr>
      <w:tr w:rsidR="00277C14" w:rsidRPr="00277C14" w14:paraId="69E3708C" w14:textId="77777777" w:rsidTr="00277C14">
        <w:trPr>
          <w:jc w:val="center"/>
        </w:trPr>
        <w:tc>
          <w:tcPr>
            <w:tcW w:w="8578" w:type="dxa"/>
            <w:tcBorders>
              <w:top w:val="single" w:sz="4" w:space="0" w:color="000000"/>
              <w:left w:val="single" w:sz="4" w:space="0" w:color="000000"/>
              <w:bottom w:val="single" w:sz="4" w:space="0" w:color="000000"/>
              <w:right w:val="nil"/>
            </w:tcBorders>
            <w:shd w:val="clear" w:color="auto" w:fill="auto"/>
            <w:vAlign w:val="center"/>
          </w:tcPr>
          <w:p w14:paraId="3B55224F" w14:textId="77777777" w:rsidR="00277C14" w:rsidRPr="00277C14" w:rsidRDefault="00277C14" w:rsidP="00277C14">
            <w:pPr>
              <w:rPr>
                <w:rFonts w:cs="Arial"/>
                <w:szCs w:val="20"/>
              </w:rPr>
            </w:pPr>
            <w:r w:rsidRPr="00277C14">
              <w:rPr>
                <w:rFonts w:cs="Arial"/>
                <w:iCs/>
                <w:szCs w:val="20"/>
                <w:lang w:val="en-US"/>
              </w:rPr>
              <w:t>Task Force on Money Laundering in Central Africa (GABAC)</w:t>
            </w:r>
          </w:p>
        </w:tc>
        <w:tc>
          <w:tcPr>
            <w:tcW w:w="986" w:type="dxa"/>
            <w:tcBorders>
              <w:top w:val="single" w:sz="4" w:space="0" w:color="000000"/>
              <w:left w:val="nil"/>
              <w:bottom w:val="single" w:sz="4" w:space="0" w:color="000000"/>
              <w:right w:val="single" w:sz="4" w:space="0" w:color="000000"/>
            </w:tcBorders>
            <w:shd w:val="clear" w:color="auto" w:fill="auto"/>
            <w:vAlign w:val="center"/>
          </w:tcPr>
          <w:p w14:paraId="4C1201FF" w14:textId="77777777" w:rsidR="00277C14" w:rsidRPr="00277C14" w:rsidRDefault="00277C14" w:rsidP="00277C14">
            <w:pPr>
              <w:rPr>
                <w:rFonts w:cs="Arial"/>
                <w:szCs w:val="20"/>
              </w:rPr>
            </w:pPr>
            <w:r w:rsidRPr="00277C14">
              <w:rPr>
                <w:rFonts w:cs="Arial"/>
                <w:noProof/>
                <w:szCs w:val="20"/>
                <w:lang w:val="pl-PL" w:eastAsia="pl-PL"/>
              </w:rPr>
              <w:drawing>
                <wp:inline distT="0" distB="0" distL="0" distR="0" wp14:anchorId="693B1E38" wp14:editId="1C034348">
                  <wp:extent cx="298450" cy="298450"/>
                  <wp:effectExtent l="0" t="0" r="6350" b="6350"/>
                  <wp:docPr id="1" name="Picture 1" descr="Link_icon v2">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ink_icon v2"/>
                          <pic:cNvPicPr>
                            <a:picLocks noChangeAspect="1" noChangeArrowheads="1"/>
                          </pic:cNvPicPr>
                        </pic:nvPicPr>
                        <pic:blipFill>
                          <a:blip r:embed="rId15">
                            <a:grayscl/>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a:ln>
                            <a:noFill/>
                          </a:ln>
                        </pic:spPr>
                      </pic:pic>
                    </a:graphicData>
                  </a:graphic>
                </wp:inline>
              </w:drawing>
            </w:r>
            <w:r w:rsidRPr="00277C14">
              <w:rPr>
                <w:rFonts w:cs="Arial"/>
                <w:szCs w:val="20"/>
              </w:rPr>
              <w:t xml:space="preserve"> </w:t>
            </w:r>
          </w:p>
        </w:tc>
      </w:tr>
    </w:tbl>
    <w:p w14:paraId="55618DB0" w14:textId="77777777" w:rsidR="00277C14" w:rsidRPr="00277C14" w:rsidRDefault="00277C14" w:rsidP="00277C14">
      <w:pPr>
        <w:rPr>
          <w:rFonts w:cs="Arial"/>
          <w:b/>
          <w:bCs/>
          <w:szCs w:val="20"/>
        </w:rPr>
      </w:pPr>
    </w:p>
    <w:p w14:paraId="55D11A82" w14:textId="3B4DB0AA" w:rsidR="00277C14" w:rsidRPr="00277C14" w:rsidRDefault="00277C14" w:rsidP="00277C14">
      <w:pPr>
        <w:rPr>
          <w:rFonts w:eastAsia="Times New Roman" w:cs="Arial"/>
          <w:szCs w:val="20"/>
        </w:rPr>
      </w:pPr>
    </w:p>
    <w:sectPr w:rsidR="00277C14" w:rsidRPr="00277C14" w:rsidSect="00D462CE">
      <w:headerReference w:type="even" r:id="rId24"/>
      <w:headerReference w:type="default" r:id="rId25"/>
      <w:footerReference w:type="default" r:id="rId26"/>
      <w:headerReference w:type="first" r:id="rId27"/>
      <w:footerReference w:type="first" r:id="rId28"/>
      <w:type w:val="continuous"/>
      <w:pgSz w:w="11907" w:h="16840" w:code="9"/>
      <w:pgMar w:top="992" w:right="1162" w:bottom="709" w:left="1077" w:header="454" w:footer="340" w:gutter="113"/>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16731" w14:textId="77777777" w:rsidR="006F5883" w:rsidRDefault="006F5883" w:rsidP="00FD6043">
      <w:r>
        <w:separator/>
      </w:r>
    </w:p>
  </w:endnote>
  <w:endnote w:type="continuationSeparator" w:id="0">
    <w:p w14:paraId="351F4E59" w14:textId="77777777" w:rsidR="006F5883" w:rsidRDefault="006F5883"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inion Pro">
    <w:altName w:val="Times New Roman"/>
    <w:charset w:val="00"/>
    <w:family w:val="auto"/>
    <w:pitch w:val="variable"/>
    <w:sig w:usb0="E00002AF" w:usb1="5000607B"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DepCentury Old Style">
    <w:altName w:val="Times New Roman"/>
    <w:charset w:val="00"/>
    <w:family w:val="roman"/>
    <w:pitch w:val="variable"/>
    <w:sig w:usb0="00000003" w:usb1="00000000" w:usb2="00000000" w:usb3="00000000" w:csb0="00000001" w:csb1="00000000"/>
  </w:font>
  <w:font w:name="Myriad Pro">
    <w:altName w:val="Corbel"/>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ernini Sans Light">
    <w:altName w:val="Arial"/>
    <w:panose1 w:val="00000000000000000000"/>
    <w:charset w:val="00"/>
    <w:family w:val="modern"/>
    <w:notTrueType/>
    <w:pitch w:val="variable"/>
    <w:sig w:usb0="00000001" w:usb1="0000007B" w:usb2="00000000" w:usb3="00000000" w:csb0="00000093" w:csb1="00000000"/>
  </w:font>
  <w:font w:name="Caecilia LT Std Roman">
    <w:panose1 w:val="00000000000000000000"/>
    <w:charset w:val="00"/>
    <w:family w:val="modern"/>
    <w:notTrueType/>
    <w:pitch w:val="variable"/>
    <w:sig w:usb0="800000AF" w:usb1="5000204A"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Bernini Sans">
    <w:altName w:val="Arial"/>
    <w:panose1 w:val="00000000000000000000"/>
    <w:charset w:val="00"/>
    <w:family w:val="modern"/>
    <w:notTrueType/>
    <w:pitch w:val="variable"/>
    <w:sig w:usb0="A00000FF" w:usb1="0000007B" w:usb2="00000000" w:usb3="00000000" w:csb0="00000093" w:csb1="00000000"/>
  </w:font>
  <w:font w:name="StatLink">
    <w:charset w:val="00"/>
    <w:family w:val="auto"/>
    <w:pitch w:val="variable"/>
    <w:sig w:usb0="80000003" w:usb1="00000000" w:usb2="00000000" w:usb3="00000000" w:csb0="00000001" w:csb1="00000000"/>
  </w:font>
  <w:font w:name="Caecilia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E0CFD" w14:textId="77777777" w:rsidR="009E6BB1" w:rsidRPr="002F3006" w:rsidRDefault="009E6BB1"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62328" w14:textId="77777777" w:rsidR="009E6BB1" w:rsidRPr="00113EB0" w:rsidRDefault="009E6BB1" w:rsidP="00E15639">
    <w:pPr>
      <w:pStyle w:val="Footer"/>
      <w:rPr>
        <w:sz w:val="16"/>
        <w:szCs w:val="16"/>
      </w:rPr>
    </w:pPr>
    <w:r>
      <w:rPr>
        <w:sz w:val="16"/>
        <w:szCs w:val="16"/>
      </w:rPr>
      <w:t>W</w:t>
    </w:r>
    <w:r w:rsidRPr="00113EB0">
      <w:rPr>
        <w:sz w:val="16"/>
        <w:szCs w:val="16"/>
      </w:rPr>
      <w:t>eb</w:t>
    </w:r>
    <w:r>
      <w:rPr>
        <w:sz w:val="16"/>
        <w:szCs w:val="16"/>
      </w:rPr>
      <w:t>site</w:t>
    </w:r>
    <w:r w:rsidRPr="00113EB0">
      <w:rPr>
        <w:sz w:val="16"/>
        <w:szCs w:val="16"/>
      </w:rPr>
      <w:t xml:space="preserve">: </w:t>
    </w:r>
    <w:hyperlink r:id="rId1" w:history="1">
      <w:r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74BC6" w14:textId="77777777" w:rsidR="006F5883" w:rsidRDefault="006F5883" w:rsidP="00FD6043">
      <w:r>
        <w:separator/>
      </w:r>
    </w:p>
  </w:footnote>
  <w:footnote w:type="continuationSeparator" w:id="0">
    <w:p w14:paraId="18372DF5" w14:textId="77777777" w:rsidR="006F5883" w:rsidRDefault="006F5883" w:rsidP="00FD6043">
      <w:r>
        <w:continuationSeparator/>
      </w:r>
    </w:p>
  </w:footnote>
  <w:footnote w:id="1">
    <w:p w14:paraId="26977DCB" w14:textId="77777777" w:rsidR="009E6BB1" w:rsidRPr="00A12DEC" w:rsidRDefault="009E6BB1" w:rsidP="003D6AC2">
      <w:pPr>
        <w:pStyle w:val="FootnoteText"/>
      </w:pPr>
      <w:r>
        <w:rPr>
          <w:rStyle w:val="FootnoteReference"/>
        </w:rPr>
        <w:footnoteRef/>
      </w:r>
      <w:r w:rsidRPr="00A12DEC">
        <w:t xml:space="preserve"> </w:t>
      </w:r>
      <w:r w:rsidRPr="00D41C91">
        <w:rPr>
          <w:szCs w:val="16"/>
        </w:rPr>
        <w:t>This document has been classified restricted until examination by the Committee of Ministers.</w:t>
      </w:r>
    </w:p>
  </w:footnote>
  <w:footnote w:id="2">
    <w:p w14:paraId="4438DB13" w14:textId="5BD41FA7" w:rsidR="009E6BB1" w:rsidRPr="00B209A2" w:rsidRDefault="009E6BB1" w:rsidP="00277C14">
      <w:pPr>
        <w:pStyle w:val="FootnoteText"/>
        <w:rPr>
          <w:rFonts w:cs="Arial"/>
          <w:szCs w:val="16"/>
        </w:rPr>
      </w:pPr>
      <w:r w:rsidRPr="00B209A2">
        <w:rPr>
          <w:rStyle w:val="FootnoteReference"/>
          <w:rFonts w:cs="Arial"/>
          <w:szCs w:val="16"/>
        </w:rPr>
        <w:footnoteRef/>
      </w:r>
      <w:r w:rsidRPr="00B209A2">
        <w:rPr>
          <w:rFonts w:cs="Arial"/>
          <w:szCs w:val="16"/>
        </w:rPr>
        <w:t xml:space="preserve"> </w:t>
      </w:r>
      <w:r>
        <w:rPr>
          <w:rFonts w:cs="Arial"/>
          <w:szCs w:val="16"/>
        </w:rPr>
        <w:t xml:space="preserve">In the sequence of assessments carried out since 2016: </w:t>
      </w:r>
      <w:r w:rsidRPr="00B209A2">
        <w:rPr>
          <w:rFonts w:cs="Arial"/>
          <w:szCs w:val="16"/>
        </w:rPr>
        <w:t xml:space="preserve">Armenia, Serbia, Hungary, Slovenia, Isle of Man, Andorra, Ukraine, Albania, Latvia, Czech Republic, Lithuania, Israel, </w:t>
      </w:r>
      <w:r w:rsidR="001F36B5">
        <w:rPr>
          <w:rFonts w:cs="Arial"/>
          <w:szCs w:val="16"/>
        </w:rPr>
        <w:t xml:space="preserve">Republic of </w:t>
      </w:r>
      <w:r w:rsidRPr="00B209A2">
        <w:rPr>
          <w:rFonts w:cs="Arial"/>
          <w:szCs w:val="16"/>
        </w:rPr>
        <w:t>Moldova, Malta, Russian Federation, Gibraltar, Cyprus, Slovak Republic, Georgia</w:t>
      </w:r>
      <w:r>
        <w:rPr>
          <w:rFonts w:cs="Arial"/>
          <w:szCs w:val="16"/>
        </w:rPr>
        <w:t>, Holy See/Vatican City State, San Marino, Poland</w:t>
      </w:r>
      <w:r w:rsidR="00AF6E2B">
        <w:rPr>
          <w:rFonts w:cs="Arial"/>
          <w:szCs w:val="16"/>
        </w:rPr>
        <w:t>,</w:t>
      </w:r>
      <w:r>
        <w:rPr>
          <w:rFonts w:cs="Arial"/>
          <w:szCs w:val="16"/>
        </w:rPr>
        <w:t xml:space="preserve"> Croatia</w:t>
      </w:r>
      <w:r w:rsidR="00AF6E2B">
        <w:rPr>
          <w:rFonts w:cs="Arial"/>
          <w:szCs w:val="16"/>
        </w:rPr>
        <w:t xml:space="preserve">, Bulgaria, Liechtenstein, </w:t>
      </w:r>
      <w:proofErr w:type="gramStart"/>
      <w:r w:rsidR="00AF6E2B">
        <w:rPr>
          <w:rFonts w:cs="Arial"/>
          <w:szCs w:val="16"/>
        </w:rPr>
        <w:t>Estonia</w:t>
      </w:r>
      <w:proofErr w:type="gramEnd"/>
      <w:r w:rsidR="00AF6E2B">
        <w:rPr>
          <w:rFonts w:cs="Arial"/>
          <w:szCs w:val="16"/>
        </w:rPr>
        <w:t xml:space="preserve"> and Monaco</w:t>
      </w:r>
      <w:r w:rsidRPr="00B209A2">
        <w:rPr>
          <w:rFonts w:cs="Arial"/>
          <w:szCs w:val="16"/>
        </w:rPr>
        <w:t>.</w:t>
      </w:r>
    </w:p>
  </w:footnote>
  <w:footnote w:id="3">
    <w:p w14:paraId="567062A8" w14:textId="5CDFD370" w:rsidR="00FC2E59" w:rsidRPr="00FC2E59" w:rsidRDefault="00FC2E59">
      <w:pPr>
        <w:pStyle w:val="FootnoteText"/>
      </w:pPr>
      <w:r>
        <w:rPr>
          <w:rStyle w:val="FootnoteReference"/>
        </w:rPr>
        <w:footnoteRef/>
      </w:r>
      <w:r>
        <w:t xml:space="preserve"> </w:t>
      </w:r>
      <w:r w:rsidRPr="00FC2E59">
        <w:rPr>
          <w:szCs w:val="16"/>
        </w:rPr>
        <w:t xml:space="preserve">See </w:t>
      </w:r>
      <w:hyperlink r:id="rId1" w:history="1">
        <w:r w:rsidRPr="00FC2E59">
          <w:rPr>
            <w:color w:val="0000FF"/>
            <w:szCs w:val="16"/>
            <w:u w:val="single"/>
          </w:rPr>
          <w:t>MONEYVAL Strategy - Committee of Experts on the Evaluation of Anti-Money Laundering Measures and the Financing of Terrorism (coe.int)</w:t>
        </w:r>
      </w:hyperlink>
      <w:r>
        <w:rPr>
          <w:szCs w:val="16"/>
        </w:rPr>
        <w:t>.</w:t>
      </w:r>
    </w:p>
  </w:footnote>
  <w:footnote w:id="4">
    <w:p w14:paraId="35F4ACAB" w14:textId="7FB25BD9" w:rsidR="009E6BB1" w:rsidRPr="00777800" w:rsidRDefault="009E6BB1" w:rsidP="00277C14">
      <w:pPr>
        <w:pStyle w:val="FootnoteText"/>
        <w:rPr>
          <w:rFonts w:cs="Arial"/>
          <w:szCs w:val="16"/>
        </w:rPr>
      </w:pPr>
      <w:r w:rsidRPr="00777800">
        <w:rPr>
          <w:rStyle w:val="FootnoteReference"/>
          <w:rFonts w:cs="Arial"/>
          <w:szCs w:val="16"/>
        </w:rPr>
        <w:footnoteRef/>
      </w:r>
      <w:r w:rsidRPr="00777800">
        <w:rPr>
          <w:rFonts w:cs="Arial"/>
          <w:szCs w:val="16"/>
        </w:rPr>
        <w:t xml:space="preserve"> The full list of associate members appears in Appendix I</w:t>
      </w:r>
      <w:r w:rsidR="00622CE0">
        <w:rPr>
          <w:rFonts w:cs="Arial"/>
          <w:szCs w:val="16"/>
        </w:rPr>
        <w:t>I</w:t>
      </w:r>
      <w:r w:rsidRPr="00777800">
        <w:rPr>
          <w:rFonts w:cs="Arial"/>
          <w:szCs w:val="16"/>
        </w:rPr>
        <w:t xml:space="preserve"> to this report.</w:t>
      </w:r>
    </w:p>
  </w:footnote>
  <w:footnote w:id="5">
    <w:p w14:paraId="7F8F6EB0" w14:textId="1F1BA8F0" w:rsidR="009E6BB1" w:rsidRPr="001E0059" w:rsidRDefault="009E6BB1" w:rsidP="00277C14">
      <w:pPr>
        <w:pStyle w:val="FootnoteText"/>
        <w:rPr>
          <w:rFonts w:cs="Arial"/>
          <w:szCs w:val="16"/>
          <w:lang w:val="en-US"/>
        </w:rPr>
      </w:pPr>
      <w:r w:rsidRPr="001E0059">
        <w:rPr>
          <w:rStyle w:val="FootnoteReference"/>
          <w:rFonts w:cs="Arial"/>
          <w:szCs w:val="16"/>
        </w:rPr>
        <w:footnoteRef/>
      </w:r>
      <w:r w:rsidRPr="001E0059">
        <w:rPr>
          <w:rFonts w:cs="Arial"/>
          <w:szCs w:val="16"/>
          <w:lang w:val="en-US"/>
        </w:rPr>
        <w:t xml:space="preserve"> Although the third round of evaluations concluded in 2009, the Holy See (including Vatican City State) was subsequently evaluated in 2011, with the report being adopted in 2012 following the adoption by the Committee of Ministers on 6 April 2011 of Resolution </w:t>
      </w:r>
      <w:bookmarkStart w:id="1157" w:name="_ML_000000000004_VALID"/>
      <w:r w:rsidR="00472E64" w:rsidRPr="00472E64">
        <w:rPr>
          <w:rFonts w:cs="Arial"/>
          <w:szCs w:val="16"/>
          <w:lang w:val="en-US"/>
        </w:rPr>
        <w:fldChar w:fldCharType="begin"/>
      </w:r>
      <w:r w:rsidR="00472E64" w:rsidRPr="00472E64">
        <w:rPr>
          <w:rFonts w:cs="Arial"/>
          <w:szCs w:val="16"/>
          <w:lang w:val="en-US"/>
        </w:rPr>
        <w:instrText xml:space="preserve"> HYPERLINK "https://search.coe.int/cm/Pages/result_details.aspx?Reference=CM/Res(2011)5" \o "Resolution on the participation of the Holy See (including the Vatican City State) in the mutual evaluation processes and procedures of the Committee of Experts on the Evaluation of Anti-Money Laundering Measures and the Financing of Terrorism (MONEYVAL) (Adopted by the Committee of Ministers on 6 April 2011 at the 1111th meeting of the Ministers' Deputies)" </w:instrText>
      </w:r>
      <w:r w:rsidR="00472E64" w:rsidRPr="00472E64">
        <w:rPr>
          <w:rFonts w:cs="Arial"/>
          <w:szCs w:val="16"/>
          <w:lang w:val="en-US"/>
        </w:rPr>
        <w:fldChar w:fldCharType="separate"/>
      </w:r>
      <w:bookmarkEnd w:id="1157"/>
      <w:r w:rsidR="00472E64" w:rsidRPr="00472E64">
        <w:rPr>
          <w:rStyle w:val="Hyperlink"/>
          <w:rFonts w:cs="Arial"/>
          <w:szCs w:val="16"/>
          <w:lang w:val="en-US"/>
        </w:rPr>
        <w:t>CM/Res(2011)5</w:t>
      </w:r>
      <w:r w:rsidR="00472E64" w:rsidRPr="00472E64">
        <w:rPr>
          <w:rFonts w:cs="Arial"/>
          <w:szCs w:val="16"/>
          <w:lang w:val="en-US"/>
        </w:rPr>
        <w:fldChar w:fldCharType="end"/>
      </w:r>
      <w:r w:rsidRPr="001E0059">
        <w:rPr>
          <w:rFonts w:cs="Arial"/>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4BFD0" w14:textId="331091F1" w:rsidR="009E6BB1" w:rsidRPr="00E54322" w:rsidRDefault="009E6BB1" w:rsidP="00E54322">
    <w:pPr>
      <w:pStyle w:val="Header"/>
    </w:pPr>
    <w:proofErr w:type="gramStart"/>
    <w:r w:rsidRPr="00E54322">
      <w:t>CM(</w:t>
    </w:r>
    <w:proofErr w:type="gramEnd"/>
    <w:r>
      <w:t>202</w:t>
    </w:r>
    <w:r w:rsidR="00EA7B7F">
      <w:t>3</w:t>
    </w:r>
    <w:r w:rsidR="000A1889">
      <w:t>)85</w:t>
    </w:r>
    <w:r w:rsidRPr="00E54322">
      <w:tab/>
    </w:r>
    <w:r w:rsidRPr="00E54322">
      <w:fldChar w:fldCharType="begin"/>
    </w:r>
    <w:r w:rsidRPr="00E54322">
      <w:instrText xml:space="preserve"> PAGE  \* Arabic  \* MERGEFORMAT </w:instrText>
    </w:r>
    <w:r w:rsidRPr="00E54322">
      <w:fldChar w:fldCharType="separate"/>
    </w:r>
    <w:r>
      <w:rPr>
        <w:noProof/>
      </w:rPr>
      <w:t>2</w:t>
    </w:r>
    <w:r w:rsidRPr="00E5432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953B2" w14:textId="11BE5194" w:rsidR="009E6BB1" w:rsidRPr="00E54322" w:rsidRDefault="009E6BB1" w:rsidP="00E54322">
    <w:pPr>
      <w:pStyle w:val="Header"/>
    </w:pPr>
    <w:r w:rsidRPr="00E54322">
      <w:tab/>
    </w:r>
    <w:r w:rsidRPr="00E54322">
      <w:fldChar w:fldCharType="begin"/>
    </w:r>
    <w:r w:rsidRPr="00E54322">
      <w:instrText xml:space="preserve"> PAGE  \* Arabic  \* MERGEFORMAT </w:instrText>
    </w:r>
    <w:r w:rsidRPr="00E54322">
      <w:fldChar w:fldCharType="separate"/>
    </w:r>
    <w:r>
      <w:rPr>
        <w:noProof/>
      </w:rPr>
      <w:t>3</w:t>
    </w:r>
    <w:r w:rsidRPr="00E54322">
      <w:fldChar w:fldCharType="end"/>
    </w:r>
    <w:r w:rsidRPr="00E54322">
      <w:tab/>
    </w:r>
    <w:proofErr w:type="gramStart"/>
    <w:r w:rsidRPr="00E54322">
      <w:t>CM(</w:t>
    </w:r>
    <w:proofErr w:type="gramEnd"/>
    <w:r>
      <w:t>202</w:t>
    </w:r>
    <w:r w:rsidR="00EA7B7F">
      <w:t>3</w:t>
    </w:r>
    <w:r w:rsidRPr="00E54322">
      <w:t>)</w:t>
    </w:r>
    <w:r w:rsidR="004D5F3C">
      <w:t>85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BD209" w14:textId="77777777" w:rsidR="009E6BB1" w:rsidRDefault="009E6BB1" w:rsidP="00123CDD">
    <w:pPr>
      <w:pStyle w:val="Header"/>
      <w:spacing w:after="2280"/>
    </w:pPr>
    <w:r>
      <w:rPr>
        <w:noProof/>
      </w:rPr>
      <w:drawing>
        <wp:anchor distT="0" distB="0" distL="114300" distR="114300" simplePos="0" relativeHeight="251658240" behindDoc="1" locked="0" layoutInCell="1" allowOverlap="0" wp14:anchorId="66D4133B" wp14:editId="70F29DAA">
          <wp:simplePos x="0" y="0"/>
          <wp:positionH relativeFrom="page">
            <wp:posOffset>491</wp:posOffset>
          </wp:positionH>
          <wp:positionV relativeFrom="page">
            <wp:posOffset>0</wp:posOffset>
          </wp:positionV>
          <wp:extent cx="7584218" cy="10728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ColourLogo.png"/>
                  <pic:cNvPicPr/>
                </pic:nvPicPr>
                <pic:blipFill>
                  <a:blip r:embed="rId1">
                    <a:extLst>
                      <a:ext uri="{28A0092B-C50C-407E-A947-70E740481C1C}">
                        <a14:useLocalDpi xmlns:a14="http://schemas.microsoft.com/office/drawing/2010/main" val="0"/>
                      </a:ext>
                    </a:extLst>
                  </a:blip>
                  <a:stretch>
                    <a:fillRect/>
                  </a:stretch>
                </pic:blipFill>
                <pic:spPr>
                  <a:xfrm>
                    <a:off x="0" y="0"/>
                    <a:ext cx="7584218"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2.85pt;height:12.85pt" o:bullet="t">
        <v:imagedata r:id="rId1" o:title=""/>
      </v:shape>
    </w:pict>
  </w:numPicBullet>
  <w:abstractNum w:abstractNumId="0" w15:restartNumberingAfterBreak="0">
    <w:nsid w:val="FFFFFF83"/>
    <w:multiLevelType w:val="singleLevel"/>
    <w:tmpl w:val="DA768E3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E96EDF54"/>
    <w:lvl w:ilvl="0">
      <w:start w:val="1"/>
      <w:numFmt w:val="decimal"/>
      <w:pStyle w:val="ListNumber"/>
      <w:lvlText w:val="%1."/>
      <w:lvlJc w:val="left"/>
      <w:pPr>
        <w:tabs>
          <w:tab w:val="num" w:pos="360"/>
        </w:tabs>
        <w:ind w:left="360" w:hanging="360"/>
      </w:pPr>
    </w:lvl>
  </w:abstractNum>
  <w:abstractNum w:abstractNumId="2" w15:restartNumberingAfterBreak="0">
    <w:nsid w:val="04A54CC0"/>
    <w:multiLevelType w:val="hybridMultilevel"/>
    <w:tmpl w:val="53CE962A"/>
    <w:lvl w:ilvl="0" w:tplc="E1B215FE">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F90F62"/>
    <w:multiLevelType w:val="singleLevel"/>
    <w:tmpl w:val="CE5058AE"/>
    <w:lvl w:ilvl="0">
      <w:start w:val="1"/>
      <w:numFmt w:val="bullet"/>
      <w:pStyle w:val="ListBullet"/>
      <w:lvlText w:val="·"/>
      <w:lvlJc w:val="left"/>
      <w:pPr>
        <w:tabs>
          <w:tab w:val="num" w:pos="850"/>
        </w:tabs>
        <w:ind w:left="850" w:hanging="408"/>
      </w:pPr>
      <w:rPr>
        <w:rFonts w:ascii="Symbol" w:hAnsi="Symbol" w:cs="Times New Roman" w:hint="default"/>
        <w:b w:val="0"/>
        <w:i w:val="0"/>
        <w:sz w:val="22"/>
      </w:rPr>
    </w:lvl>
  </w:abstractNum>
  <w:abstractNum w:abstractNumId="4" w15:restartNumberingAfterBreak="0">
    <w:nsid w:val="08247D6C"/>
    <w:multiLevelType w:val="hybridMultilevel"/>
    <w:tmpl w:val="F2007C38"/>
    <w:lvl w:ilvl="0" w:tplc="04090017">
      <w:start w:val="1"/>
      <w:numFmt w:val="lowerLetter"/>
      <w:lvlText w:val="%1)"/>
      <w:lvlJc w:val="left"/>
      <w:pPr>
        <w:ind w:left="720" w:hanging="360"/>
      </w:p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8595EA3"/>
    <w:multiLevelType w:val="hybridMultilevel"/>
    <w:tmpl w:val="DB8AF31C"/>
    <w:lvl w:ilvl="0" w:tplc="679C4CE2">
      <w:numFmt w:val="bullet"/>
      <w:lvlText w:val="-"/>
      <w:lvlJc w:val="left"/>
      <w:pPr>
        <w:ind w:left="1429" w:hanging="360"/>
      </w:pPr>
      <w:rPr>
        <w:rFonts w:ascii="Arial" w:eastAsia="Calibri" w:hAnsi="Arial" w:cs="Aria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6" w15:restartNumberingAfterBreak="0">
    <w:nsid w:val="09117C93"/>
    <w:multiLevelType w:val="multilevel"/>
    <w:tmpl w:val="5E9296AE"/>
    <w:lvl w:ilvl="0">
      <w:start w:val="1"/>
      <w:numFmt w:val="none"/>
      <w:lvlText w:val="(a)"/>
      <w:lvlJc w:val="left"/>
      <w:pPr>
        <w:ind w:left="510" w:hanging="150"/>
      </w:pPr>
      <w:rPr>
        <w:rFonts w:ascii="Cambria" w:hAnsi="Cambria" w:hint="default"/>
        <w:sz w:val="22"/>
      </w:rPr>
    </w:lvl>
    <w:lvl w:ilvl="1">
      <w:start w:val="1"/>
      <w:numFmt w:val="lowerLetter"/>
      <w:pStyle w:val="NumberedList1"/>
      <w:lvlText w:val="(%2)"/>
      <w:lvlJc w:val="left"/>
      <w:pPr>
        <w:ind w:left="397" w:firstLine="0"/>
      </w:pPr>
      <w:rPr>
        <w:rFonts w:hint="default"/>
        <w:color w:val="auto"/>
      </w:rPr>
    </w:lvl>
    <w:lvl w:ilvl="2">
      <w:start w:val="1"/>
      <w:numFmt w:val="lowerLetter"/>
      <w:lvlText w:val="%3)"/>
      <w:lvlJc w:val="left"/>
      <w:pPr>
        <w:ind w:left="2685" w:hanging="705"/>
      </w:pPr>
      <w:rPr>
        <w:rFonts w:hint="default"/>
      </w:rPr>
    </w:lvl>
    <w:lvl w:ilvl="3">
      <w:start w:val="15"/>
      <w:numFmt w:val="bullet"/>
      <w:lvlText w:val="•"/>
      <w:lvlJc w:val="left"/>
      <w:pPr>
        <w:ind w:left="3090" w:hanging="570"/>
      </w:pPr>
      <w:rPr>
        <w:rFonts w:ascii="Cambria" w:eastAsiaTheme="minorHAnsi" w:hAnsi="Cambria" w:cstheme="minorHAnsi" w:hint="default"/>
      </w:rPr>
    </w:lvl>
    <w:lvl w:ilvl="4">
      <w:start w:val="1"/>
      <w:numFmt w:val="lowerLetter"/>
      <w:lvlText w:val="%5."/>
      <w:lvlJc w:val="left"/>
      <w:pPr>
        <w:ind w:left="3810" w:hanging="57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C5E238D"/>
    <w:multiLevelType w:val="hybridMultilevel"/>
    <w:tmpl w:val="061A96DA"/>
    <w:lvl w:ilvl="0" w:tplc="040C0001">
      <w:start w:val="1"/>
      <w:numFmt w:val="bullet"/>
      <w:lvlText w:val=""/>
      <w:lvlJc w:val="left"/>
      <w:pPr>
        <w:ind w:left="3600" w:hanging="360"/>
      </w:pPr>
      <w:rPr>
        <w:rFonts w:ascii="Symbol" w:hAnsi="Symbol"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8" w15:restartNumberingAfterBreak="0">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9" w15:restartNumberingAfterBreak="0">
    <w:nsid w:val="0DEA6B1D"/>
    <w:multiLevelType w:val="singleLevel"/>
    <w:tmpl w:val="D5A6E36A"/>
    <w:styleLink w:val="NumericNote"/>
    <w:lvl w:ilvl="0">
      <w:start w:val="1"/>
      <w:numFmt w:val="decimal"/>
      <w:lvlText w:val="%1."/>
      <w:lvlJc w:val="left"/>
      <w:pPr>
        <w:tabs>
          <w:tab w:val="num" w:pos="408"/>
        </w:tabs>
        <w:ind w:left="408" w:hanging="408"/>
      </w:pPr>
    </w:lvl>
  </w:abstractNum>
  <w:abstractNum w:abstractNumId="10" w15:restartNumberingAfterBreak="0">
    <w:nsid w:val="10FA7F52"/>
    <w:multiLevelType w:val="hybridMultilevel"/>
    <w:tmpl w:val="7D2ED8F8"/>
    <w:lvl w:ilvl="0" w:tplc="3752D4D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2127231"/>
    <w:multiLevelType w:val="multilevel"/>
    <w:tmpl w:val="00FC1E90"/>
    <w:lvl w:ilvl="0">
      <w:start w:val="1"/>
      <w:numFmt w:val="upperRoman"/>
      <w:pStyle w:val="COEParagraphn"/>
      <w:lvlText w:val="%1."/>
      <w:lvlJc w:val="left"/>
      <w:pPr>
        <w:tabs>
          <w:tab w:val="num" w:pos="360"/>
        </w:tabs>
        <w:ind w:left="0" w:firstLine="0"/>
      </w:pPr>
      <w:rPr>
        <w:rFonts w:hint="default"/>
      </w:rPr>
    </w:lvl>
    <w:lvl w:ilvl="1">
      <w:start w:val="1"/>
      <w:numFmt w:val="decimal"/>
      <w:lvlText w:val="%1.%2."/>
      <w:lvlJc w:val="left"/>
      <w:pPr>
        <w:tabs>
          <w:tab w:val="num" w:pos="1080"/>
        </w:tabs>
        <w:ind w:left="720" w:firstLine="0"/>
      </w:pPr>
      <w:rPr>
        <w:rFonts w:hint="default"/>
      </w:rPr>
    </w:lvl>
    <w:lvl w:ilvl="2">
      <w:start w:val="1"/>
      <w:numFmt w:val="decimal"/>
      <w:lvlText w:val="%1.%2.%3."/>
      <w:lvlJc w:val="left"/>
      <w:pPr>
        <w:tabs>
          <w:tab w:val="num" w:pos="1800"/>
        </w:tabs>
        <w:ind w:left="1440" w:firstLine="0"/>
      </w:pPr>
      <w:rPr>
        <w:rFonts w:hint="default"/>
      </w:rPr>
    </w:lvl>
    <w:lvl w:ilvl="3">
      <w:start w:val="1"/>
      <w:numFmt w:val="decimal"/>
      <w:pStyle w:val="COEHeading4"/>
      <w:lvlText w:val="%1.%2.%3.%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13" w15:restartNumberingAfterBreak="0">
    <w:nsid w:val="17DD2C32"/>
    <w:multiLevelType w:val="hybridMultilevel"/>
    <w:tmpl w:val="4DB21C3E"/>
    <w:lvl w:ilvl="0" w:tplc="E1B215FE">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8924D42"/>
    <w:multiLevelType w:val="singleLevel"/>
    <w:tmpl w:val="665EC318"/>
    <w:lvl w:ilvl="0">
      <w:start w:val="1"/>
      <w:numFmt w:val="decimal"/>
      <w:pStyle w:val="Para"/>
      <w:lvlText w:val="%1."/>
      <w:lvlJc w:val="left"/>
      <w:pPr>
        <w:tabs>
          <w:tab w:val="num" w:pos="0"/>
        </w:tabs>
        <w:ind w:left="0" w:firstLine="0"/>
      </w:pPr>
      <w:rPr>
        <w:rFonts w:ascii="Cambria" w:hAnsi="Cambria" w:hint="default"/>
        <w:b w:val="0"/>
        <w:i w:val="0"/>
        <w:color w:val="auto"/>
        <w:sz w:val="22"/>
        <w:lang w:val="en-GB"/>
      </w:rPr>
    </w:lvl>
  </w:abstractNum>
  <w:abstractNum w:abstractNumId="15" w15:restartNumberingAfterBreak="0">
    <w:nsid w:val="203835AD"/>
    <w:multiLevelType w:val="multilevel"/>
    <w:tmpl w:val="4FDC21F6"/>
    <w:styleLink w:val="1Paragraphlist"/>
    <w:lvl w:ilvl="0">
      <w:start w:val="1"/>
      <w:numFmt w:val="decimal"/>
      <w:lvlText w:val="%1."/>
      <w:lvlJc w:val="left"/>
      <w:pPr>
        <w:ind w:left="0" w:firstLine="0"/>
      </w:pPr>
      <w:rPr>
        <w:rFonts w:ascii="Georgia" w:eastAsiaTheme="minorHAnsi" w:hAnsi="Georgia" w:cstheme="minorBidi"/>
        <w:b w:val="0"/>
        <w:i w:val="0"/>
        <w:color w:val="auto"/>
        <w:sz w:val="20"/>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6" w15:restartNumberingAfterBreak="0">
    <w:nsid w:val="2A5112A4"/>
    <w:multiLevelType w:val="hybridMultilevel"/>
    <w:tmpl w:val="A3E4EBF8"/>
    <w:lvl w:ilvl="0" w:tplc="12E88FD4">
      <w:start w:val="1"/>
      <w:numFmt w:val="decimal"/>
      <w:pStyle w:val="COEHeading5"/>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ACF6F84"/>
    <w:multiLevelType w:val="singleLevel"/>
    <w:tmpl w:val="D51E568A"/>
    <w:name w:val="templateBullet2"/>
    <w:lvl w:ilvl="0">
      <w:start w:val="1"/>
      <w:numFmt w:val="bullet"/>
      <w:lvlText w:val="-"/>
      <w:lvlJc w:val="left"/>
      <w:pPr>
        <w:tabs>
          <w:tab w:val="num" w:pos="1190"/>
        </w:tabs>
        <w:ind w:left="1190" w:hanging="340"/>
      </w:pPr>
      <w:rPr>
        <w:rFonts w:ascii="Symbol" w:hAnsi="Symbol" w:cs="Times New Roman" w:hint="default"/>
        <w:b w:val="0"/>
        <w:i w:val="0"/>
        <w:sz w:val="22"/>
      </w:rPr>
    </w:lvl>
  </w:abstractNum>
  <w:abstractNum w:abstractNumId="18" w15:restartNumberingAfterBreak="0">
    <w:nsid w:val="3030521A"/>
    <w:multiLevelType w:val="hybridMultilevel"/>
    <w:tmpl w:val="8D36E51A"/>
    <w:lvl w:ilvl="0" w:tplc="04090001">
      <w:start w:val="1"/>
      <w:numFmt w:val="bullet"/>
      <w:lvlText w:val=""/>
      <w:lvlJc w:val="left"/>
      <w:pPr>
        <w:tabs>
          <w:tab w:val="num" w:pos="720"/>
        </w:tabs>
        <w:ind w:left="720" w:hanging="360"/>
      </w:pPr>
      <w:rPr>
        <w:rFonts w:ascii="Symbol" w:hAnsi="Symbol" w:hint="default"/>
      </w:rPr>
    </w:lvl>
    <w:lvl w:ilvl="1" w:tplc="92F68026">
      <w:numFmt w:val="bullet"/>
      <w:lvlText w:val="-"/>
      <w:lvlJc w:val="left"/>
      <w:pPr>
        <w:tabs>
          <w:tab w:val="num" w:pos="1440"/>
        </w:tabs>
        <w:ind w:left="1440" w:hanging="360"/>
      </w:pPr>
      <w:rPr>
        <w:rFonts w:ascii="Arial" w:eastAsia="Times New Roman" w:hAnsi="Arial" w:cs="Arial" w:hint="default"/>
      </w:rPr>
    </w:lvl>
    <w:lvl w:ilvl="2" w:tplc="92F68026">
      <w:numFmt w:val="bullet"/>
      <w:lvlText w:val="-"/>
      <w:lvlJc w:val="left"/>
      <w:pPr>
        <w:ind w:left="2340" w:hanging="360"/>
      </w:pPr>
      <w:rPr>
        <w:rFonts w:ascii="Arial" w:eastAsia="Times New Roman" w:hAnsi="Arial" w:cs="Arial"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15:restartNumberingAfterBreak="0">
    <w:nsid w:val="31041341"/>
    <w:multiLevelType w:val="hybridMultilevel"/>
    <w:tmpl w:val="CB761550"/>
    <w:lvl w:ilvl="0" w:tplc="92F68026">
      <w:numFmt w:val="bullet"/>
      <w:lvlText w:val="-"/>
      <w:lvlJc w:val="left"/>
      <w:pPr>
        <w:tabs>
          <w:tab w:val="num" w:pos="720"/>
        </w:tabs>
        <w:ind w:left="720" w:hanging="360"/>
      </w:pPr>
      <w:rPr>
        <w:rFonts w:ascii="Arial" w:eastAsia="Times New Roman" w:hAnsi="Arial" w:cs="Arial" w:hint="default"/>
      </w:rPr>
    </w:lvl>
    <w:lvl w:ilvl="1" w:tplc="92F68026">
      <w:numFmt w:val="bullet"/>
      <w:lvlText w:val="-"/>
      <w:lvlJc w:val="left"/>
      <w:pPr>
        <w:tabs>
          <w:tab w:val="num" w:pos="1440"/>
        </w:tabs>
        <w:ind w:left="1440" w:hanging="360"/>
      </w:pPr>
      <w:rPr>
        <w:rFonts w:ascii="Arial" w:eastAsia="Times New Roman" w:hAnsi="Arial" w:cs="Arial" w:hint="default"/>
      </w:rPr>
    </w:lvl>
    <w:lvl w:ilvl="2" w:tplc="92F68026">
      <w:numFmt w:val="bullet"/>
      <w:lvlText w:val="-"/>
      <w:lvlJc w:val="left"/>
      <w:pPr>
        <w:ind w:left="2340" w:hanging="360"/>
      </w:pPr>
      <w:rPr>
        <w:rFonts w:ascii="Arial" w:eastAsia="Times New Roman" w:hAnsi="Arial" w:cs="Arial"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15:restartNumberingAfterBreak="0">
    <w:nsid w:val="381A767A"/>
    <w:multiLevelType w:val="multilevel"/>
    <w:tmpl w:val="1D9EBA40"/>
    <w:lvl w:ilvl="0">
      <w:start w:val="1"/>
      <w:numFmt w:val="decimal"/>
      <w:lvlText w:val="%1."/>
      <w:lvlJc w:val="left"/>
      <w:pPr>
        <w:ind w:left="0" w:firstLine="0"/>
      </w:pPr>
      <w:rPr>
        <w:rFonts w:hint="default"/>
      </w:rPr>
    </w:lvl>
    <w:lvl w:ilvl="1">
      <w:start w:val="1"/>
      <w:numFmt w:val="none"/>
      <w:lvlText w:val="1.1."/>
      <w:lvlJc w:val="left"/>
      <w:pPr>
        <w:ind w:left="0" w:firstLine="360"/>
      </w:pPr>
      <w:rPr>
        <w:rFonts w:ascii="Arial Bold" w:hAnsi="Arial Bold" w:hint="default"/>
        <w:b/>
        <w:i w:val="0"/>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85D0A84"/>
    <w:multiLevelType w:val="multilevel"/>
    <w:tmpl w:val="7F148E5C"/>
    <w:name w:val="templateNumberBox"/>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8518"/>
        </w:tabs>
        <w:ind w:left="8518" w:hanging="360"/>
      </w:pPr>
    </w:lvl>
    <w:lvl w:ilvl="4">
      <w:start w:val="1"/>
      <w:numFmt w:val="lowerLetter"/>
      <w:lvlText w:val="(%5)"/>
      <w:lvlJc w:val="left"/>
      <w:pPr>
        <w:tabs>
          <w:tab w:val="num" w:pos="8878"/>
        </w:tabs>
        <w:ind w:left="8878" w:hanging="360"/>
      </w:pPr>
    </w:lvl>
    <w:lvl w:ilvl="5">
      <w:start w:val="1"/>
      <w:numFmt w:val="lowerRoman"/>
      <w:lvlText w:val="(%6)"/>
      <w:lvlJc w:val="left"/>
      <w:pPr>
        <w:tabs>
          <w:tab w:val="num" w:pos="9238"/>
        </w:tabs>
        <w:ind w:left="9238" w:hanging="360"/>
      </w:pPr>
    </w:lvl>
    <w:lvl w:ilvl="6">
      <w:start w:val="1"/>
      <w:numFmt w:val="decimal"/>
      <w:lvlText w:val="%7."/>
      <w:lvlJc w:val="left"/>
      <w:pPr>
        <w:tabs>
          <w:tab w:val="num" w:pos="9598"/>
        </w:tabs>
        <w:ind w:left="9598" w:hanging="360"/>
      </w:pPr>
    </w:lvl>
    <w:lvl w:ilvl="7">
      <w:start w:val="1"/>
      <w:numFmt w:val="lowerLetter"/>
      <w:lvlText w:val="%8."/>
      <w:lvlJc w:val="left"/>
      <w:pPr>
        <w:tabs>
          <w:tab w:val="num" w:pos="9958"/>
        </w:tabs>
        <w:ind w:left="9958" w:hanging="360"/>
      </w:pPr>
    </w:lvl>
    <w:lvl w:ilvl="8">
      <w:start w:val="1"/>
      <w:numFmt w:val="lowerRoman"/>
      <w:lvlText w:val="%9."/>
      <w:lvlJc w:val="left"/>
      <w:pPr>
        <w:tabs>
          <w:tab w:val="num" w:pos="10318"/>
        </w:tabs>
        <w:ind w:left="10318" w:hanging="360"/>
      </w:pPr>
    </w:lvl>
  </w:abstractNum>
  <w:abstractNum w:abstractNumId="22" w15:restartNumberingAfterBreak="0">
    <w:nsid w:val="39C2745C"/>
    <w:multiLevelType w:val="hybridMultilevel"/>
    <w:tmpl w:val="52EE09A8"/>
    <w:lvl w:ilvl="0" w:tplc="FFFFFFFF">
      <w:start w:val="4"/>
      <w:numFmt w:val="decimal"/>
      <w:pStyle w:val="ParagraphNumberingChar"/>
      <w:lvlText w:val="%1.     "/>
      <w:lvlJc w:val="left"/>
      <w:pPr>
        <w:tabs>
          <w:tab w:val="num" w:pos="851"/>
        </w:tabs>
        <w:ind w:left="0" w:firstLine="0"/>
      </w:pPr>
      <w:rPr>
        <w:rFonts w:ascii="Times New Roman" w:hAnsi="Times New Roman" w:hint="default"/>
        <w:b w:val="0"/>
        <w:i w:val="0"/>
        <w:color w:val="auto"/>
        <w:sz w:val="22"/>
        <w:szCs w:val="22"/>
      </w:rPr>
    </w:lvl>
    <w:lvl w:ilvl="1" w:tplc="FFFFFFFF" w:tentative="1">
      <w:start w:val="1"/>
      <w:numFmt w:val="lowerLetter"/>
      <w:lvlText w:val="%2."/>
      <w:lvlJc w:val="left"/>
      <w:pPr>
        <w:tabs>
          <w:tab w:val="num" w:pos="1233"/>
        </w:tabs>
        <w:ind w:left="1233" w:hanging="360"/>
      </w:pPr>
    </w:lvl>
    <w:lvl w:ilvl="2" w:tplc="FFFFFFFF" w:tentative="1">
      <w:start w:val="1"/>
      <w:numFmt w:val="lowerRoman"/>
      <w:lvlText w:val="%3."/>
      <w:lvlJc w:val="right"/>
      <w:pPr>
        <w:tabs>
          <w:tab w:val="num" w:pos="1953"/>
        </w:tabs>
        <w:ind w:left="1953" w:hanging="180"/>
      </w:pPr>
    </w:lvl>
    <w:lvl w:ilvl="3" w:tplc="FFFFFFFF" w:tentative="1">
      <w:start w:val="1"/>
      <w:numFmt w:val="decimal"/>
      <w:lvlText w:val="%4."/>
      <w:lvlJc w:val="left"/>
      <w:pPr>
        <w:tabs>
          <w:tab w:val="num" w:pos="2673"/>
        </w:tabs>
        <w:ind w:left="2673" w:hanging="360"/>
      </w:pPr>
    </w:lvl>
    <w:lvl w:ilvl="4" w:tplc="FFFFFFFF" w:tentative="1">
      <w:start w:val="1"/>
      <w:numFmt w:val="lowerLetter"/>
      <w:lvlText w:val="%5."/>
      <w:lvlJc w:val="left"/>
      <w:pPr>
        <w:tabs>
          <w:tab w:val="num" w:pos="3393"/>
        </w:tabs>
        <w:ind w:left="3393" w:hanging="360"/>
      </w:pPr>
    </w:lvl>
    <w:lvl w:ilvl="5" w:tplc="FFFFFFFF" w:tentative="1">
      <w:start w:val="1"/>
      <w:numFmt w:val="lowerRoman"/>
      <w:lvlText w:val="%6."/>
      <w:lvlJc w:val="right"/>
      <w:pPr>
        <w:tabs>
          <w:tab w:val="num" w:pos="4113"/>
        </w:tabs>
        <w:ind w:left="4113" w:hanging="180"/>
      </w:pPr>
    </w:lvl>
    <w:lvl w:ilvl="6" w:tplc="FFFFFFFF" w:tentative="1">
      <w:start w:val="1"/>
      <w:numFmt w:val="decimal"/>
      <w:lvlText w:val="%7."/>
      <w:lvlJc w:val="left"/>
      <w:pPr>
        <w:tabs>
          <w:tab w:val="num" w:pos="4833"/>
        </w:tabs>
        <w:ind w:left="4833" w:hanging="360"/>
      </w:pPr>
    </w:lvl>
    <w:lvl w:ilvl="7" w:tplc="FFFFFFFF" w:tentative="1">
      <w:start w:val="1"/>
      <w:numFmt w:val="lowerLetter"/>
      <w:lvlText w:val="%8."/>
      <w:lvlJc w:val="left"/>
      <w:pPr>
        <w:tabs>
          <w:tab w:val="num" w:pos="5553"/>
        </w:tabs>
        <w:ind w:left="5553" w:hanging="360"/>
      </w:pPr>
    </w:lvl>
    <w:lvl w:ilvl="8" w:tplc="FFFFFFFF" w:tentative="1">
      <w:start w:val="1"/>
      <w:numFmt w:val="lowerRoman"/>
      <w:lvlText w:val="%9."/>
      <w:lvlJc w:val="right"/>
      <w:pPr>
        <w:tabs>
          <w:tab w:val="num" w:pos="6273"/>
        </w:tabs>
        <w:ind w:left="6273" w:hanging="180"/>
      </w:pPr>
    </w:lvl>
  </w:abstractNum>
  <w:abstractNum w:abstractNumId="23" w15:restartNumberingAfterBreak="0">
    <w:nsid w:val="3B334FF1"/>
    <w:multiLevelType w:val="hybridMultilevel"/>
    <w:tmpl w:val="2D243D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BC230DE"/>
    <w:multiLevelType w:val="multilevel"/>
    <w:tmpl w:val="F99EB0E0"/>
    <w:name w:val="templateNumber"/>
    <w:lvl w:ilvl="0">
      <w:start w:val="1"/>
      <w:numFmt w:val="decimal"/>
      <w:lvlText w:val="%1."/>
      <w:lvlJc w:val="left"/>
      <w:pPr>
        <w:tabs>
          <w:tab w:val="num" w:pos="850"/>
        </w:tabs>
        <w:ind w:left="850" w:hanging="408"/>
      </w:pPr>
    </w:lvl>
    <w:lvl w:ilvl="1">
      <w:start w:val="1"/>
      <w:numFmt w:val="decimal"/>
      <w:lvlText w:val="%2."/>
      <w:lvlJc w:val="left"/>
      <w:pPr>
        <w:tabs>
          <w:tab w:val="num" w:pos="1191"/>
        </w:tabs>
        <w:ind w:left="1191" w:hanging="341"/>
      </w:pPr>
    </w:lvl>
    <w:lvl w:ilvl="2">
      <w:start w:val="1"/>
      <w:numFmt w:val="decimal"/>
      <w:lvlText w:val="%3."/>
      <w:lvlJc w:val="left"/>
      <w:pPr>
        <w:tabs>
          <w:tab w:val="num" w:pos="1474"/>
        </w:tabs>
        <w:ind w:left="1474" w:hanging="340"/>
      </w:pPr>
    </w:lvl>
    <w:lvl w:ilvl="3">
      <w:start w:val="1"/>
      <w:numFmt w:val="decimal"/>
      <w:lvlText w:val="%4."/>
      <w:lvlJc w:val="left"/>
      <w:pPr>
        <w:tabs>
          <w:tab w:val="num" w:pos="1757"/>
        </w:tabs>
        <w:ind w:left="1757" w:hanging="340"/>
      </w:pPr>
    </w:lvl>
    <w:lvl w:ilvl="4">
      <w:start w:val="1"/>
      <w:numFmt w:val="decimal"/>
      <w:lvlText w:val="%5."/>
      <w:lvlJc w:val="left"/>
      <w:pPr>
        <w:tabs>
          <w:tab w:val="num" w:pos="2041"/>
        </w:tabs>
        <w:ind w:left="2041"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E337798"/>
    <w:multiLevelType w:val="multilevel"/>
    <w:tmpl w:val="9774C276"/>
    <w:lvl w:ilvl="0">
      <w:start w:val="1"/>
      <w:numFmt w:val="decimal"/>
      <w:suff w:val="space"/>
      <w:lvlText w:val="Chapter %1. "/>
      <w:lvlJc w:val="left"/>
      <w:pPr>
        <w:ind w:left="0" w:firstLine="0"/>
      </w:pPr>
      <w:rPr>
        <w:rFonts w:hint="default"/>
      </w:rPr>
    </w:lvl>
    <w:lvl w:ilvl="1">
      <w:start w:val="1"/>
      <w:numFmt w:val="decimal"/>
      <w:pStyle w:val="Para0"/>
      <w:lvlText w:val="%1.%2"/>
      <w:lvlJc w:val="left"/>
      <w:pPr>
        <w:tabs>
          <w:tab w:val="num" w:pos="454"/>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3FB7034F"/>
    <w:multiLevelType w:val="hybridMultilevel"/>
    <w:tmpl w:val="F4C84346"/>
    <w:lvl w:ilvl="0" w:tplc="D2D24FF2">
      <w:start w:val="1"/>
      <w:numFmt w:val="bullet"/>
      <w:pStyle w:val="COE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12F6BF5"/>
    <w:multiLevelType w:val="multilevel"/>
    <w:tmpl w:val="0A8AB72C"/>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2BC63D3"/>
    <w:multiLevelType w:val="hybridMultilevel"/>
    <w:tmpl w:val="BBBEF048"/>
    <w:lvl w:ilvl="0" w:tplc="EB9A1C5E">
      <w:start w:val="1"/>
      <w:numFmt w:val="decimal"/>
      <w:pStyle w:val="LD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A07041"/>
    <w:multiLevelType w:val="hybridMultilevel"/>
    <w:tmpl w:val="9C76CA90"/>
    <w:lvl w:ilvl="0" w:tplc="0409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8BB7503"/>
    <w:multiLevelType w:val="singleLevel"/>
    <w:tmpl w:val="60A0508A"/>
    <w:styleLink w:val="AlphaNote"/>
    <w:lvl w:ilvl="0">
      <w:start w:val="1"/>
      <w:numFmt w:val="lowerLetter"/>
      <w:lvlText w:val="%1."/>
      <w:lvlJc w:val="left"/>
      <w:pPr>
        <w:tabs>
          <w:tab w:val="num" w:pos="408"/>
        </w:tabs>
        <w:ind w:left="408" w:hanging="408"/>
      </w:pPr>
    </w:lvl>
  </w:abstractNum>
  <w:abstractNum w:abstractNumId="31" w15:restartNumberingAfterBreak="0">
    <w:nsid w:val="48EC55A8"/>
    <w:multiLevelType w:val="singleLevel"/>
    <w:tmpl w:val="EBBACA14"/>
    <w:name w:val="templateBullet3"/>
    <w:lvl w:ilvl="0">
      <w:start w:val="1"/>
      <w:numFmt w:val="bullet"/>
      <w:pStyle w:val="ListBullet3"/>
      <w:lvlText w:val="-"/>
      <w:lvlJc w:val="left"/>
      <w:pPr>
        <w:tabs>
          <w:tab w:val="num" w:pos="1474"/>
        </w:tabs>
        <w:ind w:left="1474" w:hanging="340"/>
      </w:pPr>
      <w:rPr>
        <w:rFonts w:ascii="Symbol" w:hAnsi="Symbol" w:cs="Times New Roman" w:hint="default"/>
        <w:b w:val="0"/>
        <w:i w:val="0"/>
        <w:sz w:val="22"/>
      </w:rPr>
    </w:lvl>
  </w:abstractNum>
  <w:abstractNum w:abstractNumId="32" w15:restartNumberingAfterBreak="0">
    <w:nsid w:val="4B827949"/>
    <w:multiLevelType w:val="hybridMultilevel"/>
    <w:tmpl w:val="1D28DC30"/>
    <w:lvl w:ilvl="0" w:tplc="D2D24FF2">
      <w:start w:val="1"/>
      <w:numFmt w:val="bullet"/>
      <w:pStyle w:val="StyleBefore3ptAfter3pt"/>
      <w:lvlText w:val=""/>
      <w:lvlJc w:val="left"/>
      <w:pPr>
        <w:tabs>
          <w:tab w:val="num" w:pos="454"/>
        </w:tabs>
        <w:ind w:left="454" w:hanging="454"/>
      </w:pPr>
      <w:rPr>
        <w:rFonts w:ascii="Symbol" w:hAnsi="Symbol" w:hint="default"/>
      </w:rPr>
    </w:lvl>
    <w:lvl w:ilvl="1" w:tplc="04090003">
      <w:start w:val="1"/>
      <w:numFmt w:val="bullet"/>
      <w:lvlText w:val=""/>
      <w:lvlPicBulletId w:val="0"/>
      <w:lvlJc w:val="left"/>
      <w:pPr>
        <w:tabs>
          <w:tab w:val="num" w:pos="1440"/>
        </w:tabs>
        <w:ind w:left="1440" w:hanging="360"/>
      </w:pPr>
      <w:rPr>
        <w:rFonts w:ascii="Symbol" w:hAnsi="Symbol" w:hint="default"/>
        <w:color w:val="auto"/>
      </w:rPr>
    </w:lvl>
    <w:lvl w:ilvl="2" w:tplc="04090001"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922BCB"/>
    <w:multiLevelType w:val="hybridMultilevel"/>
    <w:tmpl w:val="69600D9C"/>
    <w:lvl w:ilvl="0" w:tplc="CBE6F292">
      <w:start w:val="1"/>
      <w:numFmt w:val="decimal"/>
      <w:pStyle w:val="LDbody"/>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4FC165AF"/>
    <w:multiLevelType w:val="hybridMultilevel"/>
    <w:tmpl w:val="996E8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76726A"/>
    <w:multiLevelType w:val="hybridMultilevel"/>
    <w:tmpl w:val="80140844"/>
    <w:lvl w:ilvl="0" w:tplc="4DD6949A">
      <w:start w:val="1"/>
      <w:numFmt w:val="bullet"/>
      <w:pStyle w:val="BulletedList"/>
      <w:lvlText w:val=""/>
      <w:lvlJc w:val="left"/>
      <w:pPr>
        <w:tabs>
          <w:tab w:val="num" w:pos="340"/>
        </w:tabs>
        <w:ind w:left="1361" w:hanging="340"/>
      </w:pPr>
      <w:rPr>
        <w:rFonts w:ascii="Symbol" w:hAnsi="Symbol" w:hint="default"/>
      </w:rPr>
    </w:lvl>
    <w:lvl w:ilvl="1" w:tplc="0254B86C">
      <w:start w:val="1"/>
      <w:numFmt w:val="bullet"/>
      <w:lvlText w:val="o"/>
      <w:lvlJc w:val="left"/>
      <w:pPr>
        <w:tabs>
          <w:tab w:val="num" w:pos="340"/>
        </w:tabs>
        <w:ind w:left="1701" w:hanging="340"/>
      </w:pPr>
      <w:rPr>
        <w:rFonts w:ascii="Courier New" w:hAnsi="Courier New" w:hint="default"/>
      </w:rPr>
    </w:lvl>
    <w:lvl w:ilvl="2" w:tplc="3FCCEC2E">
      <w:start w:val="1"/>
      <w:numFmt w:val="bullet"/>
      <w:lvlText w:val="‒"/>
      <w:lvlJc w:val="left"/>
      <w:pPr>
        <w:tabs>
          <w:tab w:val="num" w:pos="340"/>
        </w:tabs>
        <w:ind w:left="2041" w:hanging="340"/>
      </w:pPr>
      <w:rPr>
        <w:rFonts w:ascii="Calibri" w:hAnsi="Calibri" w:hint="default"/>
      </w:rPr>
    </w:lvl>
    <w:lvl w:ilvl="3" w:tplc="1B2CDE76">
      <w:start w:val="1"/>
      <w:numFmt w:val="bullet"/>
      <w:lvlText w:val="‒"/>
      <w:lvlJc w:val="left"/>
      <w:pPr>
        <w:tabs>
          <w:tab w:val="num" w:pos="340"/>
        </w:tabs>
        <w:ind w:left="2381" w:hanging="340"/>
      </w:pPr>
      <w:rPr>
        <w:rFonts w:ascii="Calibri" w:hAnsi="Calibri" w:hint="default"/>
      </w:rPr>
    </w:lvl>
    <w:lvl w:ilvl="4" w:tplc="EB20ACEC">
      <w:start w:val="1"/>
      <w:numFmt w:val="bullet"/>
      <w:lvlText w:val="‒"/>
      <w:lvlJc w:val="left"/>
      <w:pPr>
        <w:tabs>
          <w:tab w:val="num" w:pos="340"/>
        </w:tabs>
        <w:ind w:left="2722" w:hanging="341"/>
      </w:pPr>
      <w:rPr>
        <w:rFonts w:ascii="Calibri" w:hAnsi="Calibri"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6" w15:restartNumberingAfterBreak="0">
    <w:nsid w:val="56BE6F79"/>
    <w:multiLevelType w:val="singleLevel"/>
    <w:tmpl w:val="F258D16A"/>
    <w:name w:val="templateBullet4"/>
    <w:lvl w:ilvl="0">
      <w:start w:val="1"/>
      <w:numFmt w:val="bullet"/>
      <w:pStyle w:val="ListBullet4"/>
      <w:lvlText w:val="-"/>
      <w:lvlJc w:val="left"/>
      <w:pPr>
        <w:tabs>
          <w:tab w:val="num" w:pos="1757"/>
        </w:tabs>
        <w:ind w:left="1757" w:hanging="340"/>
      </w:pPr>
      <w:rPr>
        <w:rFonts w:ascii="Symbol" w:hAnsi="Symbol" w:cs="Times New Roman" w:hint="default"/>
        <w:b w:val="0"/>
        <w:i w:val="0"/>
        <w:sz w:val="22"/>
      </w:rPr>
    </w:lvl>
  </w:abstractNum>
  <w:abstractNum w:abstractNumId="37" w15:restartNumberingAfterBreak="0">
    <w:nsid w:val="5BD419CC"/>
    <w:multiLevelType w:val="hybridMultilevel"/>
    <w:tmpl w:val="BD564242"/>
    <w:lvl w:ilvl="0" w:tplc="04090003">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8E0CA3"/>
    <w:multiLevelType w:val="singleLevel"/>
    <w:tmpl w:val="BCFCA2DE"/>
    <w:name w:val="templateBullet5"/>
    <w:lvl w:ilvl="0">
      <w:start w:val="1"/>
      <w:numFmt w:val="bullet"/>
      <w:pStyle w:val="ListBullet5"/>
      <w:lvlText w:val="-"/>
      <w:lvlJc w:val="left"/>
      <w:pPr>
        <w:tabs>
          <w:tab w:val="num" w:pos="2041"/>
        </w:tabs>
        <w:ind w:left="2041" w:hanging="340"/>
      </w:pPr>
      <w:rPr>
        <w:rFonts w:ascii="Symbol" w:hAnsi="Symbol" w:cs="Times New Roman" w:hint="default"/>
        <w:b w:val="0"/>
        <w:i w:val="0"/>
        <w:sz w:val="22"/>
      </w:rPr>
    </w:lvl>
  </w:abstractNum>
  <w:abstractNum w:abstractNumId="39" w15:restartNumberingAfterBreak="0">
    <w:nsid w:val="5D0B2605"/>
    <w:multiLevelType w:val="hybridMultilevel"/>
    <w:tmpl w:val="9CF290EA"/>
    <w:lvl w:ilvl="0" w:tplc="0A628F6E">
      <w:start w:val="1"/>
      <w:numFmt w:val="bullet"/>
      <w:pStyle w:val="Puce1"/>
      <w:lvlText w:val=""/>
      <w:lvlJc w:val="left"/>
      <w:pPr>
        <w:ind w:left="2764" w:hanging="360"/>
      </w:pPr>
      <w:rPr>
        <w:rFonts w:ascii="Wingdings" w:hAnsi="Wingdings" w:hint="default"/>
        <w:color w:val="348093"/>
      </w:rPr>
    </w:lvl>
    <w:lvl w:ilvl="1" w:tplc="040C0003">
      <w:start w:val="1"/>
      <w:numFmt w:val="bullet"/>
      <w:lvlText w:val="o"/>
      <w:lvlJc w:val="left"/>
      <w:pPr>
        <w:ind w:left="3484" w:hanging="360"/>
      </w:pPr>
      <w:rPr>
        <w:rFonts w:ascii="Courier New" w:hAnsi="Courier New" w:cs="Courier New" w:hint="default"/>
      </w:rPr>
    </w:lvl>
    <w:lvl w:ilvl="2" w:tplc="040C0005">
      <w:start w:val="1"/>
      <w:numFmt w:val="bullet"/>
      <w:lvlText w:val=""/>
      <w:lvlJc w:val="left"/>
      <w:pPr>
        <w:ind w:left="4204" w:hanging="360"/>
      </w:pPr>
      <w:rPr>
        <w:rFonts w:ascii="Wingdings" w:hAnsi="Wingdings" w:hint="default"/>
      </w:rPr>
    </w:lvl>
    <w:lvl w:ilvl="3" w:tplc="040C0001">
      <w:start w:val="1"/>
      <w:numFmt w:val="bullet"/>
      <w:lvlText w:val=""/>
      <w:lvlJc w:val="left"/>
      <w:pPr>
        <w:ind w:left="4924" w:hanging="360"/>
      </w:pPr>
      <w:rPr>
        <w:rFonts w:ascii="Symbol" w:hAnsi="Symbol" w:hint="default"/>
      </w:rPr>
    </w:lvl>
    <w:lvl w:ilvl="4" w:tplc="040C0003">
      <w:start w:val="1"/>
      <w:numFmt w:val="bullet"/>
      <w:lvlText w:val="o"/>
      <w:lvlJc w:val="left"/>
      <w:pPr>
        <w:ind w:left="5644" w:hanging="360"/>
      </w:pPr>
      <w:rPr>
        <w:rFonts w:ascii="Courier New" w:hAnsi="Courier New" w:cs="Courier New" w:hint="default"/>
      </w:rPr>
    </w:lvl>
    <w:lvl w:ilvl="5" w:tplc="040C0005">
      <w:start w:val="1"/>
      <w:numFmt w:val="bullet"/>
      <w:lvlText w:val=""/>
      <w:lvlJc w:val="left"/>
      <w:pPr>
        <w:ind w:left="6364" w:hanging="360"/>
      </w:pPr>
      <w:rPr>
        <w:rFonts w:ascii="Wingdings" w:hAnsi="Wingdings" w:hint="default"/>
      </w:rPr>
    </w:lvl>
    <w:lvl w:ilvl="6" w:tplc="040C0001">
      <w:start w:val="1"/>
      <w:numFmt w:val="bullet"/>
      <w:lvlText w:val=""/>
      <w:lvlJc w:val="left"/>
      <w:pPr>
        <w:ind w:left="7084" w:hanging="360"/>
      </w:pPr>
      <w:rPr>
        <w:rFonts w:ascii="Symbol" w:hAnsi="Symbol" w:hint="default"/>
      </w:rPr>
    </w:lvl>
    <w:lvl w:ilvl="7" w:tplc="040C0003">
      <w:start w:val="1"/>
      <w:numFmt w:val="bullet"/>
      <w:lvlText w:val="o"/>
      <w:lvlJc w:val="left"/>
      <w:pPr>
        <w:ind w:left="7804" w:hanging="360"/>
      </w:pPr>
      <w:rPr>
        <w:rFonts w:ascii="Courier New" w:hAnsi="Courier New" w:cs="Courier New" w:hint="default"/>
      </w:rPr>
    </w:lvl>
    <w:lvl w:ilvl="8" w:tplc="040C0005">
      <w:start w:val="1"/>
      <w:numFmt w:val="bullet"/>
      <w:lvlText w:val=""/>
      <w:lvlJc w:val="left"/>
      <w:pPr>
        <w:ind w:left="8524" w:hanging="360"/>
      </w:pPr>
      <w:rPr>
        <w:rFonts w:ascii="Wingdings" w:hAnsi="Wingdings" w:hint="default"/>
      </w:rPr>
    </w:lvl>
  </w:abstractNum>
  <w:abstractNum w:abstractNumId="40" w15:restartNumberingAfterBreak="0">
    <w:nsid w:val="63B73AAB"/>
    <w:multiLevelType w:val="hybridMultilevel"/>
    <w:tmpl w:val="143A3B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7E33770"/>
    <w:multiLevelType w:val="hybridMultilevel"/>
    <w:tmpl w:val="DEF266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E411348"/>
    <w:multiLevelType w:val="hybridMultilevel"/>
    <w:tmpl w:val="C6205944"/>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3" w15:restartNumberingAfterBreak="0">
    <w:nsid w:val="6F3472A2"/>
    <w:multiLevelType w:val="multilevel"/>
    <w:tmpl w:val="90488F38"/>
    <w:lvl w:ilvl="0">
      <w:start w:val="1"/>
      <w:numFmt w:val="decimal"/>
      <w:pStyle w:val="LD-Para"/>
      <w:lvlText w:val="%1."/>
      <w:lvlJc w:val="left"/>
      <w:pPr>
        <w:ind w:left="360" w:hanging="360"/>
      </w:pPr>
      <w:rPr>
        <w:b w:val="0"/>
        <w:i w:val="0"/>
        <w:color w:val="auto"/>
      </w:rPr>
    </w:lvl>
    <w:lvl w:ilvl="1">
      <w:start w:val="3"/>
      <w:numFmt w:val="decimal"/>
      <w:lvlText w:val="%1.%2"/>
      <w:lvlJc w:val="left"/>
      <w:pPr>
        <w:ind w:left="1095" w:hanging="375"/>
      </w:pPr>
      <w:rPr>
        <w:b/>
        <w:i w:val="0"/>
      </w:rPr>
    </w:lvl>
    <w:lvl w:ilvl="2">
      <w:start w:val="1"/>
      <w:numFmt w:val="decimal"/>
      <w:lvlText w:val="%1.%2.%3"/>
      <w:lvlJc w:val="left"/>
      <w:pPr>
        <w:ind w:left="2160" w:hanging="720"/>
      </w:pPr>
      <w:rPr>
        <w:b/>
        <w:i w:val="0"/>
      </w:rPr>
    </w:lvl>
    <w:lvl w:ilvl="3">
      <w:start w:val="1"/>
      <w:numFmt w:val="decimal"/>
      <w:lvlText w:val="%1.%2.%3.%4"/>
      <w:lvlJc w:val="left"/>
      <w:pPr>
        <w:ind w:left="2880" w:hanging="720"/>
      </w:pPr>
      <w:rPr>
        <w:b/>
        <w:i w:val="0"/>
      </w:rPr>
    </w:lvl>
    <w:lvl w:ilvl="4">
      <w:start w:val="1"/>
      <w:numFmt w:val="decimal"/>
      <w:lvlText w:val="%1.%2.%3.%4.%5"/>
      <w:lvlJc w:val="left"/>
      <w:pPr>
        <w:ind w:left="3960" w:hanging="1080"/>
      </w:pPr>
      <w:rPr>
        <w:b/>
        <w:i w:val="0"/>
      </w:rPr>
    </w:lvl>
    <w:lvl w:ilvl="5">
      <w:start w:val="1"/>
      <w:numFmt w:val="decimal"/>
      <w:lvlText w:val="%1.%2.%3.%4.%5.%6"/>
      <w:lvlJc w:val="left"/>
      <w:pPr>
        <w:ind w:left="4680" w:hanging="1080"/>
      </w:pPr>
      <w:rPr>
        <w:b/>
        <w:i w:val="0"/>
      </w:rPr>
    </w:lvl>
    <w:lvl w:ilvl="6">
      <w:start w:val="1"/>
      <w:numFmt w:val="decimal"/>
      <w:lvlText w:val="%1.%2.%3.%4.%5.%6.%7"/>
      <w:lvlJc w:val="left"/>
      <w:pPr>
        <w:ind w:left="5760" w:hanging="1440"/>
      </w:pPr>
      <w:rPr>
        <w:b/>
        <w:i w:val="0"/>
      </w:rPr>
    </w:lvl>
    <w:lvl w:ilvl="7">
      <w:start w:val="1"/>
      <w:numFmt w:val="decimal"/>
      <w:lvlText w:val="%1.%2.%3.%4.%5.%6.%7.%8"/>
      <w:lvlJc w:val="left"/>
      <w:pPr>
        <w:ind w:left="6480" w:hanging="1440"/>
      </w:pPr>
      <w:rPr>
        <w:b/>
        <w:i w:val="0"/>
      </w:rPr>
    </w:lvl>
    <w:lvl w:ilvl="8">
      <w:start w:val="1"/>
      <w:numFmt w:val="decimal"/>
      <w:lvlText w:val="%1.%2.%3.%4.%5.%6.%7.%8.%9"/>
      <w:lvlJc w:val="left"/>
      <w:pPr>
        <w:ind w:left="7560" w:hanging="1800"/>
      </w:pPr>
      <w:rPr>
        <w:b/>
        <w:i w:val="0"/>
      </w:rPr>
    </w:lvl>
  </w:abstractNum>
  <w:abstractNum w:abstractNumId="44" w15:restartNumberingAfterBreak="0">
    <w:nsid w:val="75D666C8"/>
    <w:multiLevelType w:val="hybridMultilevel"/>
    <w:tmpl w:val="0D7817F0"/>
    <w:lvl w:ilvl="0" w:tplc="628287D2">
      <w:start w:val="1"/>
      <w:numFmt w:val="bullet"/>
      <w:pStyle w:val="GroupHeading"/>
      <w:lvlText w:val="►"/>
      <w:lvlJc w:val="left"/>
      <w:pPr>
        <w:ind w:left="357" w:hanging="357"/>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6A5377"/>
    <w:multiLevelType w:val="hybridMultilevel"/>
    <w:tmpl w:val="9086C7B4"/>
    <w:lvl w:ilvl="0" w:tplc="92F6802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0E4682"/>
    <w:multiLevelType w:val="hybridMultilevel"/>
    <w:tmpl w:val="E62A8F60"/>
    <w:lvl w:ilvl="0" w:tplc="B712C256">
      <w:start w:val="1"/>
      <w:numFmt w:val="decimal"/>
      <w:pStyle w:val="Paragraphedeliste1"/>
      <w:lvlText w:val="%1."/>
      <w:lvlJc w:val="left"/>
      <w:pPr>
        <w:ind w:left="1287" w:hanging="360"/>
      </w:pPr>
      <w:rPr>
        <w:i w:val="0"/>
      </w:rPr>
    </w:lvl>
    <w:lvl w:ilvl="1" w:tplc="08090019" w:tentative="1">
      <w:start w:val="1"/>
      <w:numFmt w:val="lowerLetter"/>
      <w:lvlText w:val="%2."/>
      <w:lvlJc w:val="left"/>
      <w:pPr>
        <w:ind w:left="2007" w:hanging="360"/>
      </w:pPr>
    </w:lvl>
    <w:lvl w:ilvl="2" w:tplc="0809001B">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354624701">
    <w:abstractNumId w:val="26"/>
  </w:num>
  <w:num w:numId="2" w16cid:durableId="1445422190">
    <w:abstractNumId w:val="11"/>
  </w:num>
  <w:num w:numId="3" w16cid:durableId="1215119243">
    <w:abstractNumId w:val="16"/>
  </w:num>
  <w:num w:numId="4" w16cid:durableId="1197432326">
    <w:abstractNumId w:val="32"/>
  </w:num>
  <w:num w:numId="5" w16cid:durableId="1896234225">
    <w:abstractNumId w:val="1"/>
  </w:num>
  <w:num w:numId="6" w16cid:durableId="1649170749">
    <w:abstractNumId w:val="0"/>
  </w:num>
  <w:num w:numId="7" w16cid:durableId="138311023">
    <w:abstractNumId w:val="22"/>
  </w:num>
  <w:num w:numId="8" w16cid:durableId="771976151">
    <w:abstractNumId w:val="33"/>
  </w:num>
  <w:num w:numId="9" w16cid:durableId="1309554525">
    <w:abstractNumId w:val="28"/>
  </w:num>
  <w:num w:numId="10" w16cid:durableId="2139832580">
    <w:abstractNumId w:val="46"/>
  </w:num>
  <w:num w:numId="11" w16cid:durableId="1129280771">
    <w:abstractNumId w:val="12"/>
  </w:num>
  <w:num w:numId="12" w16cid:durableId="193810665">
    <w:abstractNumId w:val="8"/>
  </w:num>
  <w:num w:numId="13" w16cid:durableId="905382205">
    <w:abstractNumId w:val="9"/>
  </w:num>
  <w:num w:numId="14" w16cid:durableId="2074041110">
    <w:abstractNumId w:val="30"/>
  </w:num>
  <w:num w:numId="15" w16cid:durableId="2041709082">
    <w:abstractNumId w:val="3"/>
  </w:num>
  <w:num w:numId="16" w16cid:durableId="2024088422">
    <w:abstractNumId w:val="31"/>
  </w:num>
  <w:num w:numId="17" w16cid:durableId="1997611061">
    <w:abstractNumId w:val="36"/>
  </w:num>
  <w:num w:numId="18" w16cid:durableId="2069571116">
    <w:abstractNumId w:val="38"/>
  </w:num>
  <w:num w:numId="19" w16cid:durableId="1385832656">
    <w:abstractNumId w:val="15"/>
  </w:num>
  <w:num w:numId="20" w16cid:durableId="420611100">
    <w:abstractNumId w:val="14"/>
  </w:num>
  <w:num w:numId="21" w16cid:durableId="2126195129">
    <w:abstractNumId w:val="25"/>
  </w:num>
  <w:num w:numId="22" w16cid:durableId="274872403">
    <w:abstractNumId w:val="44"/>
  </w:num>
  <w:num w:numId="23" w16cid:durableId="1907836049">
    <w:abstractNumId w:val="35"/>
  </w:num>
  <w:num w:numId="24" w16cid:durableId="1228808049">
    <w:abstractNumId w:val="39"/>
  </w:num>
  <w:num w:numId="25" w16cid:durableId="15612844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24922447">
    <w:abstractNumId w:val="6"/>
  </w:num>
  <w:num w:numId="27" w16cid:durableId="2081712500">
    <w:abstractNumId w:val="18"/>
  </w:num>
  <w:num w:numId="28" w16cid:durableId="898974654">
    <w:abstractNumId w:val="19"/>
  </w:num>
  <w:num w:numId="29" w16cid:durableId="908081514">
    <w:abstractNumId w:val="42"/>
  </w:num>
  <w:num w:numId="30" w16cid:durableId="1326592203">
    <w:abstractNumId w:val="37"/>
  </w:num>
  <w:num w:numId="31" w16cid:durableId="224415650">
    <w:abstractNumId w:val="4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2634418">
    <w:abstractNumId w:val="45"/>
  </w:num>
  <w:num w:numId="33" w16cid:durableId="31149003">
    <w:abstractNumId w:val="34"/>
  </w:num>
  <w:num w:numId="34" w16cid:durableId="1375690296">
    <w:abstractNumId w:val="4"/>
    <w:lvlOverride w:ilvl="0">
      <w:startOverride w:val="1"/>
    </w:lvlOverride>
    <w:lvlOverride w:ilvl="1"/>
    <w:lvlOverride w:ilvl="2"/>
    <w:lvlOverride w:ilvl="3"/>
    <w:lvlOverride w:ilvl="4"/>
    <w:lvlOverride w:ilvl="5"/>
    <w:lvlOverride w:ilvl="6"/>
    <w:lvlOverride w:ilvl="7"/>
    <w:lvlOverride w:ilvl="8"/>
  </w:num>
  <w:num w:numId="35" w16cid:durableId="1689477494">
    <w:abstractNumId w:val="5"/>
  </w:num>
  <w:num w:numId="36" w16cid:durableId="95448718">
    <w:abstractNumId w:val="23"/>
  </w:num>
  <w:num w:numId="37" w16cid:durableId="1027873969">
    <w:abstractNumId w:val="27"/>
  </w:num>
  <w:num w:numId="38" w16cid:durableId="36663708">
    <w:abstractNumId w:val="20"/>
  </w:num>
  <w:num w:numId="39" w16cid:durableId="155464715">
    <w:abstractNumId w:val="4"/>
  </w:num>
  <w:num w:numId="40" w16cid:durableId="728384033">
    <w:abstractNumId w:val="41"/>
  </w:num>
  <w:num w:numId="41" w16cid:durableId="1124033281">
    <w:abstractNumId w:val="7"/>
  </w:num>
  <w:num w:numId="42" w16cid:durableId="104275396">
    <w:abstractNumId w:val="40"/>
  </w:num>
  <w:num w:numId="43" w16cid:durableId="512063627">
    <w:abstractNumId w:val="13"/>
  </w:num>
  <w:num w:numId="44" w16cid:durableId="1861580831">
    <w:abstractNumId w:val="10"/>
  </w:num>
  <w:num w:numId="45" w16cid:durableId="454834089">
    <w:abstractNumId w:val="2"/>
  </w:num>
  <w:num w:numId="46" w16cid:durableId="1251041147">
    <w:abstractNumId w:val="2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evenAndOddHeaders/>
  <w:drawingGridHorizontalSpacing w:val="90"/>
  <w:drawingGridVerticalSpacing w:val="245"/>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BA7"/>
    <w:rsid w:val="0000717A"/>
    <w:rsid w:val="0001238D"/>
    <w:rsid w:val="0001496F"/>
    <w:rsid w:val="00022501"/>
    <w:rsid w:val="000307E9"/>
    <w:rsid w:val="00030995"/>
    <w:rsid w:val="00031F42"/>
    <w:rsid w:val="00035FDF"/>
    <w:rsid w:val="00071EA7"/>
    <w:rsid w:val="00072CBD"/>
    <w:rsid w:val="0008234F"/>
    <w:rsid w:val="00082CEE"/>
    <w:rsid w:val="000913C2"/>
    <w:rsid w:val="00092C06"/>
    <w:rsid w:val="000A1889"/>
    <w:rsid w:val="000A307B"/>
    <w:rsid w:val="000A330F"/>
    <w:rsid w:val="000B3C38"/>
    <w:rsid w:val="000B601D"/>
    <w:rsid w:val="000C26ED"/>
    <w:rsid w:val="000C489B"/>
    <w:rsid w:val="000C52A6"/>
    <w:rsid w:val="000C5B9D"/>
    <w:rsid w:val="000D4785"/>
    <w:rsid w:val="000E50A4"/>
    <w:rsid w:val="000F4CF2"/>
    <w:rsid w:val="000F58C3"/>
    <w:rsid w:val="000F5ADA"/>
    <w:rsid w:val="000F74EB"/>
    <w:rsid w:val="00106141"/>
    <w:rsid w:val="00107B58"/>
    <w:rsid w:val="00110729"/>
    <w:rsid w:val="00113EB0"/>
    <w:rsid w:val="00123CDD"/>
    <w:rsid w:val="00125781"/>
    <w:rsid w:val="00134D9A"/>
    <w:rsid w:val="00135BDB"/>
    <w:rsid w:val="00136FD9"/>
    <w:rsid w:val="00137BCE"/>
    <w:rsid w:val="001407AD"/>
    <w:rsid w:val="00140FC8"/>
    <w:rsid w:val="0014266D"/>
    <w:rsid w:val="0014565D"/>
    <w:rsid w:val="00147EF4"/>
    <w:rsid w:val="00153BB3"/>
    <w:rsid w:val="00154234"/>
    <w:rsid w:val="00156DC1"/>
    <w:rsid w:val="00157DE1"/>
    <w:rsid w:val="00160B03"/>
    <w:rsid w:val="00163947"/>
    <w:rsid w:val="00171115"/>
    <w:rsid w:val="00181414"/>
    <w:rsid w:val="00181ED9"/>
    <w:rsid w:val="0018309A"/>
    <w:rsid w:val="00186095"/>
    <w:rsid w:val="0018757E"/>
    <w:rsid w:val="00187F0A"/>
    <w:rsid w:val="001A6076"/>
    <w:rsid w:val="001B19B8"/>
    <w:rsid w:val="001B2FAB"/>
    <w:rsid w:val="001B3156"/>
    <w:rsid w:val="001B5936"/>
    <w:rsid w:val="001B7E0B"/>
    <w:rsid w:val="001C0ECC"/>
    <w:rsid w:val="001D011D"/>
    <w:rsid w:val="001D6686"/>
    <w:rsid w:val="001D6B4B"/>
    <w:rsid w:val="001D7B68"/>
    <w:rsid w:val="001E2D7E"/>
    <w:rsid w:val="001E7C29"/>
    <w:rsid w:val="001E7D1F"/>
    <w:rsid w:val="001F297D"/>
    <w:rsid w:val="001F36B5"/>
    <w:rsid w:val="001F473F"/>
    <w:rsid w:val="001F4F04"/>
    <w:rsid w:val="001F65FF"/>
    <w:rsid w:val="00201940"/>
    <w:rsid w:val="00205C94"/>
    <w:rsid w:val="00214121"/>
    <w:rsid w:val="00214299"/>
    <w:rsid w:val="002250DD"/>
    <w:rsid w:val="00227EB4"/>
    <w:rsid w:val="00230F99"/>
    <w:rsid w:val="00233725"/>
    <w:rsid w:val="0023437D"/>
    <w:rsid w:val="00234771"/>
    <w:rsid w:val="00241965"/>
    <w:rsid w:val="00242284"/>
    <w:rsid w:val="00242ABB"/>
    <w:rsid w:val="00247D4A"/>
    <w:rsid w:val="00251353"/>
    <w:rsid w:val="00252447"/>
    <w:rsid w:val="00262B36"/>
    <w:rsid w:val="00262FE9"/>
    <w:rsid w:val="00265917"/>
    <w:rsid w:val="002660DB"/>
    <w:rsid w:val="002739D0"/>
    <w:rsid w:val="00277C14"/>
    <w:rsid w:val="00280CFA"/>
    <w:rsid w:val="002861FB"/>
    <w:rsid w:val="00293EE6"/>
    <w:rsid w:val="00295C81"/>
    <w:rsid w:val="002A1591"/>
    <w:rsid w:val="002A6779"/>
    <w:rsid w:val="002B475B"/>
    <w:rsid w:val="002B4E7D"/>
    <w:rsid w:val="002C0872"/>
    <w:rsid w:val="002C20BA"/>
    <w:rsid w:val="002C43B5"/>
    <w:rsid w:val="002C4704"/>
    <w:rsid w:val="002C70F0"/>
    <w:rsid w:val="002D04AA"/>
    <w:rsid w:val="002D0655"/>
    <w:rsid w:val="002D11B8"/>
    <w:rsid w:val="002E2F90"/>
    <w:rsid w:val="002E4089"/>
    <w:rsid w:val="002E4455"/>
    <w:rsid w:val="002F3006"/>
    <w:rsid w:val="002F3359"/>
    <w:rsid w:val="002F405C"/>
    <w:rsid w:val="002F5F50"/>
    <w:rsid w:val="002F6BB7"/>
    <w:rsid w:val="00303712"/>
    <w:rsid w:val="0031373B"/>
    <w:rsid w:val="00316207"/>
    <w:rsid w:val="00322994"/>
    <w:rsid w:val="0032620A"/>
    <w:rsid w:val="00326E4E"/>
    <w:rsid w:val="00330786"/>
    <w:rsid w:val="003354C4"/>
    <w:rsid w:val="00335CAF"/>
    <w:rsid w:val="003364D1"/>
    <w:rsid w:val="00344B93"/>
    <w:rsid w:val="0035129B"/>
    <w:rsid w:val="003524AE"/>
    <w:rsid w:val="0036280B"/>
    <w:rsid w:val="003654E4"/>
    <w:rsid w:val="0037200F"/>
    <w:rsid w:val="00373957"/>
    <w:rsid w:val="00381C50"/>
    <w:rsid w:val="00383A20"/>
    <w:rsid w:val="00385587"/>
    <w:rsid w:val="00391766"/>
    <w:rsid w:val="00392D1D"/>
    <w:rsid w:val="00394957"/>
    <w:rsid w:val="0039661D"/>
    <w:rsid w:val="003A120C"/>
    <w:rsid w:val="003A5046"/>
    <w:rsid w:val="003A5509"/>
    <w:rsid w:val="003A55B5"/>
    <w:rsid w:val="003B2C8C"/>
    <w:rsid w:val="003B345B"/>
    <w:rsid w:val="003B54A6"/>
    <w:rsid w:val="003C2584"/>
    <w:rsid w:val="003C36C8"/>
    <w:rsid w:val="003C5B8F"/>
    <w:rsid w:val="003D0BC2"/>
    <w:rsid w:val="003D3038"/>
    <w:rsid w:val="003D3B17"/>
    <w:rsid w:val="003D48AE"/>
    <w:rsid w:val="003D6AC2"/>
    <w:rsid w:val="003E1A44"/>
    <w:rsid w:val="003F2B88"/>
    <w:rsid w:val="003F3A70"/>
    <w:rsid w:val="003F3D4B"/>
    <w:rsid w:val="003F4509"/>
    <w:rsid w:val="0040027C"/>
    <w:rsid w:val="00400868"/>
    <w:rsid w:val="004256CB"/>
    <w:rsid w:val="004329B7"/>
    <w:rsid w:val="004356CC"/>
    <w:rsid w:val="00440DE9"/>
    <w:rsid w:val="00443709"/>
    <w:rsid w:val="004471E8"/>
    <w:rsid w:val="00447D22"/>
    <w:rsid w:val="004553F6"/>
    <w:rsid w:val="00467CDD"/>
    <w:rsid w:val="00471DBC"/>
    <w:rsid w:val="00472E64"/>
    <w:rsid w:val="00474020"/>
    <w:rsid w:val="00480D8B"/>
    <w:rsid w:val="0048755B"/>
    <w:rsid w:val="0048758A"/>
    <w:rsid w:val="004A37E1"/>
    <w:rsid w:val="004A56BF"/>
    <w:rsid w:val="004A63D4"/>
    <w:rsid w:val="004B25BB"/>
    <w:rsid w:val="004C0C2F"/>
    <w:rsid w:val="004C11B3"/>
    <w:rsid w:val="004C7EF8"/>
    <w:rsid w:val="004D20DD"/>
    <w:rsid w:val="004D5F3C"/>
    <w:rsid w:val="004D663C"/>
    <w:rsid w:val="004E01B0"/>
    <w:rsid w:val="004E7C4F"/>
    <w:rsid w:val="004E7DB7"/>
    <w:rsid w:val="004F6FC2"/>
    <w:rsid w:val="0050115D"/>
    <w:rsid w:val="00501A17"/>
    <w:rsid w:val="005037AC"/>
    <w:rsid w:val="00503E8C"/>
    <w:rsid w:val="0051595F"/>
    <w:rsid w:val="005166D5"/>
    <w:rsid w:val="00537726"/>
    <w:rsid w:val="0054041B"/>
    <w:rsid w:val="005425DE"/>
    <w:rsid w:val="0054637D"/>
    <w:rsid w:val="00550B6C"/>
    <w:rsid w:val="005579BB"/>
    <w:rsid w:val="00560DF0"/>
    <w:rsid w:val="00565570"/>
    <w:rsid w:val="00571998"/>
    <w:rsid w:val="005745B6"/>
    <w:rsid w:val="00574663"/>
    <w:rsid w:val="005821FB"/>
    <w:rsid w:val="005844FD"/>
    <w:rsid w:val="005A142F"/>
    <w:rsid w:val="005A1594"/>
    <w:rsid w:val="005B1FA1"/>
    <w:rsid w:val="005B3604"/>
    <w:rsid w:val="005B3C93"/>
    <w:rsid w:val="005C2F97"/>
    <w:rsid w:val="005C3C4A"/>
    <w:rsid w:val="005C73BB"/>
    <w:rsid w:val="005D0792"/>
    <w:rsid w:val="005D084D"/>
    <w:rsid w:val="005D7CDF"/>
    <w:rsid w:val="005E47E5"/>
    <w:rsid w:val="005F093B"/>
    <w:rsid w:val="005F3DC6"/>
    <w:rsid w:val="006008BE"/>
    <w:rsid w:val="006040B2"/>
    <w:rsid w:val="006065A4"/>
    <w:rsid w:val="00614982"/>
    <w:rsid w:val="00620799"/>
    <w:rsid w:val="00622CE0"/>
    <w:rsid w:val="006240AD"/>
    <w:rsid w:val="00626030"/>
    <w:rsid w:val="00626277"/>
    <w:rsid w:val="00631491"/>
    <w:rsid w:val="0063723C"/>
    <w:rsid w:val="00641CCF"/>
    <w:rsid w:val="00643231"/>
    <w:rsid w:val="00643C3F"/>
    <w:rsid w:val="00644AD3"/>
    <w:rsid w:val="006455FA"/>
    <w:rsid w:val="00660638"/>
    <w:rsid w:val="0066578D"/>
    <w:rsid w:val="00671684"/>
    <w:rsid w:val="00671EA2"/>
    <w:rsid w:val="00675DE7"/>
    <w:rsid w:val="006827E4"/>
    <w:rsid w:val="00684E25"/>
    <w:rsid w:val="00686F5D"/>
    <w:rsid w:val="006908C5"/>
    <w:rsid w:val="006970A4"/>
    <w:rsid w:val="006B2486"/>
    <w:rsid w:val="006B2E26"/>
    <w:rsid w:val="006B4EC8"/>
    <w:rsid w:val="006B7501"/>
    <w:rsid w:val="006C364A"/>
    <w:rsid w:val="006D14F9"/>
    <w:rsid w:val="006E54F2"/>
    <w:rsid w:val="006E7463"/>
    <w:rsid w:val="006F0318"/>
    <w:rsid w:val="006F2C77"/>
    <w:rsid w:val="006F5883"/>
    <w:rsid w:val="006F6B48"/>
    <w:rsid w:val="00702309"/>
    <w:rsid w:val="007102DE"/>
    <w:rsid w:val="00712E65"/>
    <w:rsid w:val="007150DE"/>
    <w:rsid w:val="0072141F"/>
    <w:rsid w:val="00721866"/>
    <w:rsid w:val="00727044"/>
    <w:rsid w:val="00735569"/>
    <w:rsid w:val="0073561D"/>
    <w:rsid w:val="0074051E"/>
    <w:rsid w:val="00744408"/>
    <w:rsid w:val="007541C7"/>
    <w:rsid w:val="00761627"/>
    <w:rsid w:val="00766613"/>
    <w:rsid w:val="00773CFE"/>
    <w:rsid w:val="007802B2"/>
    <w:rsid w:val="00781657"/>
    <w:rsid w:val="00792EEF"/>
    <w:rsid w:val="00793889"/>
    <w:rsid w:val="00795A34"/>
    <w:rsid w:val="007A08B3"/>
    <w:rsid w:val="007A15BB"/>
    <w:rsid w:val="007A543D"/>
    <w:rsid w:val="007B3DD0"/>
    <w:rsid w:val="007C0AD1"/>
    <w:rsid w:val="007D5162"/>
    <w:rsid w:val="007D7A2B"/>
    <w:rsid w:val="007D7B20"/>
    <w:rsid w:val="007E168C"/>
    <w:rsid w:val="007E49E1"/>
    <w:rsid w:val="007F3283"/>
    <w:rsid w:val="007F48A9"/>
    <w:rsid w:val="007F7059"/>
    <w:rsid w:val="007F7C76"/>
    <w:rsid w:val="00800A19"/>
    <w:rsid w:val="0080188F"/>
    <w:rsid w:val="008042E6"/>
    <w:rsid w:val="00805F04"/>
    <w:rsid w:val="00806D9D"/>
    <w:rsid w:val="00810D5A"/>
    <w:rsid w:val="00814AA2"/>
    <w:rsid w:val="00816B16"/>
    <w:rsid w:val="00822AC9"/>
    <w:rsid w:val="0082394F"/>
    <w:rsid w:val="00830172"/>
    <w:rsid w:val="00835A01"/>
    <w:rsid w:val="00836B02"/>
    <w:rsid w:val="00845321"/>
    <w:rsid w:val="00845451"/>
    <w:rsid w:val="00851CE4"/>
    <w:rsid w:val="008523BC"/>
    <w:rsid w:val="00853C90"/>
    <w:rsid w:val="008541D4"/>
    <w:rsid w:val="00855571"/>
    <w:rsid w:val="008565D0"/>
    <w:rsid w:val="008575F2"/>
    <w:rsid w:val="00857F73"/>
    <w:rsid w:val="0087380A"/>
    <w:rsid w:val="008756A7"/>
    <w:rsid w:val="00877B33"/>
    <w:rsid w:val="00877E5C"/>
    <w:rsid w:val="008852F2"/>
    <w:rsid w:val="008B07D4"/>
    <w:rsid w:val="008B7D7A"/>
    <w:rsid w:val="008C12CC"/>
    <w:rsid w:val="008D469C"/>
    <w:rsid w:val="008F0371"/>
    <w:rsid w:val="008F3910"/>
    <w:rsid w:val="0091293A"/>
    <w:rsid w:val="00916BF5"/>
    <w:rsid w:val="009215B8"/>
    <w:rsid w:val="00923554"/>
    <w:rsid w:val="009270C4"/>
    <w:rsid w:val="00933DF9"/>
    <w:rsid w:val="00940F14"/>
    <w:rsid w:val="009432D0"/>
    <w:rsid w:val="009501D9"/>
    <w:rsid w:val="0095038C"/>
    <w:rsid w:val="00950D67"/>
    <w:rsid w:val="009527D7"/>
    <w:rsid w:val="00955512"/>
    <w:rsid w:val="00963962"/>
    <w:rsid w:val="009679C3"/>
    <w:rsid w:val="0097349F"/>
    <w:rsid w:val="00974C41"/>
    <w:rsid w:val="009772AC"/>
    <w:rsid w:val="00977380"/>
    <w:rsid w:val="00991FD2"/>
    <w:rsid w:val="00993B4E"/>
    <w:rsid w:val="009A1F9A"/>
    <w:rsid w:val="009B3AB7"/>
    <w:rsid w:val="009B58DD"/>
    <w:rsid w:val="009B70A0"/>
    <w:rsid w:val="009C5258"/>
    <w:rsid w:val="009C759A"/>
    <w:rsid w:val="009D28F3"/>
    <w:rsid w:val="009D72C0"/>
    <w:rsid w:val="009E3C3C"/>
    <w:rsid w:val="009E42AA"/>
    <w:rsid w:val="009E6142"/>
    <w:rsid w:val="009E6BB1"/>
    <w:rsid w:val="009F2071"/>
    <w:rsid w:val="009F3F6B"/>
    <w:rsid w:val="00A02F00"/>
    <w:rsid w:val="00A12DEC"/>
    <w:rsid w:val="00A22D53"/>
    <w:rsid w:val="00A26D01"/>
    <w:rsid w:val="00A272F6"/>
    <w:rsid w:val="00A35D65"/>
    <w:rsid w:val="00A37214"/>
    <w:rsid w:val="00A4625A"/>
    <w:rsid w:val="00A474E5"/>
    <w:rsid w:val="00A50AF6"/>
    <w:rsid w:val="00A65B8B"/>
    <w:rsid w:val="00A74E02"/>
    <w:rsid w:val="00A77BA6"/>
    <w:rsid w:val="00A77EB8"/>
    <w:rsid w:val="00A823C1"/>
    <w:rsid w:val="00A82E51"/>
    <w:rsid w:val="00A840ED"/>
    <w:rsid w:val="00A842D4"/>
    <w:rsid w:val="00A93736"/>
    <w:rsid w:val="00A93CA3"/>
    <w:rsid w:val="00A9755B"/>
    <w:rsid w:val="00AA260B"/>
    <w:rsid w:val="00AA56A7"/>
    <w:rsid w:val="00AB25B8"/>
    <w:rsid w:val="00AB2726"/>
    <w:rsid w:val="00AB6552"/>
    <w:rsid w:val="00AB67F8"/>
    <w:rsid w:val="00AB7727"/>
    <w:rsid w:val="00AC415D"/>
    <w:rsid w:val="00AC4BA7"/>
    <w:rsid w:val="00AC73AA"/>
    <w:rsid w:val="00AE76B8"/>
    <w:rsid w:val="00AF0CB6"/>
    <w:rsid w:val="00AF6E2B"/>
    <w:rsid w:val="00AF7023"/>
    <w:rsid w:val="00B055EE"/>
    <w:rsid w:val="00B06133"/>
    <w:rsid w:val="00B069FB"/>
    <w:rsid w:val="00B07005"/>
    <w:rsid w:val="00B129D8"/>
    <w:rsid w:val="00B227AE"/>
    <w:rsid w:val="00B303E8"/>
    <w:rsid w:val="00B33588"/>
    <w:rsid w:val="00B37BCF"/>
    <w:rsid w:val="00B41B03"/>
    <w:rsid w:val="00B41EC3"/>
    <w:rsid w:val="00B45AD2"/>
    <w:rsid w:val="00B54D8E"/>
    <w:rsid w:val="00B57AF1"/>
    <w:rsid w:val="00B60D77"/>
    <w:rsid w:val="00B63F08"/>
    <w:rsid w:val="00B64AE2"/>
    <w:rsid w:val="00B76132"/>
    <w:rsid w:val="00B81966"/>
    <w:rsid w:val="00B81BAC"/>
    <w:rsid w:val="00B849E0"/>
    <w:rsid w:val="00B90246"/>
    <w:rsid w:val="00B920E4"/>
    <w:rsid w:val="00BA071E"/>
    <w:rsid w:val="00BA79A3"/>
    <w:rsid w:val="00BB0C33"/>
    <w:rsid w:val="00BB3335"/>
    <w:rsid w:val="00BB7DCE"/>
    <w:rsid w:val="00BC0773"/>
    <w:rsid w:val="00BC25F6"/>
    <w:rsid w:val="00BC6FCB"/>
    <w:rsid w:val="00BD25C0"/>
    <w:rsid w:val="00BD7C2A"/>
    <w:rsid w:val="00C049EE"/>
    <w:rsid w:val="00C109FD"/>
    <w:rsid w:val="00C118DA"/>
    <w:rsid w:val="00C12668"/>
    <w:rsid w:val="00C1364B"/>
    <w:rsid w:val="00C14C2C"/>
    <w:rsid w:val="00C21BE0"/>
    <w:rsid w:val="00C36CF5"/>
    <w:rsid w:val="00C409C2"/>
    <w:rsid w:val="00C43E5E"/>
    <w:rsid w:val="00C52F18"/>
    <w:rsid w:val="00C53A5E"/>
    <w:rsid w:val="00C54F8C"/>
    <w:rsid w:val="00C56DEA"/>
    <w:rsid w:val="00C71F19"/>
    <w:rsid w:val="00C732F6"/>
    <w:rsid w:val="00C74775"/>
    <w:rsid w:val="00C74E6F"/>
    <w:rsid w:val="00C76476"/>
    <w:rsid w:val="00C8348A"/>
    <w:rsid w:val="00C92E41"/>
    <w:rsid w:val="00C92F89"/>
    <w:rsid w:val="00C92FCA"/>
    <w:rsid w:val="00C9598D"/>
    <w:rsid w:val="00CA70F6"/>
    <w:rsid w:val="00CA7DC8"/>
    <w:rsid w:val="00CB1566"/>
    <w:rsid w:val="00CB3465"/>
    <w:rsid w:val="00CC39DC"/>
    <w:rsid w:val="00CD346B"/>
    <w:rsid w:val="00CE1FF8"/>
    <w:rsid w:val="00CE4890"/>
    <w:rsid w:val="00CE6CBE"/>
    <w:rsid w:val="00CE6FD2"/>
    <w:rsid w:val="00CF3F92"/>
    <w:rsid w:val="00D0182E"/>
    <w:rsid w:val="00D0265B"/>
    <w:rsid w:val="00D17BFF"/>
    <w:rsid w:val="00D2467F"/>
    <w:rsid w:val="00D24A57"/>
    <w:rsid w:val="00D3049F"/>
    <w:rsid w:val="00D325A8"/>
    <w:rsid w:val="00D407BC"/>
    <w:rsid w:val="00D41C91"/>
    <w:rsid w:val="00D44387"/>
    <w:rsid w:val="00D462CE"/>
    <w:rsid w:val="00D5058B"/>
    <w:rsid w:val="00D53526"/>
    <w:rsid w:val="00D53843"/>
    <w:rsid w:val="00D53C66"/>
    <w:rsid w:val="00D554E6"/>
    <w:rsid w:val="00D579D4"/>
    <w:rsid w:val="00D70628"/>
    <w:rsid w:val="00D75961"/>
    <w:rsid w:val="00D8086F"/>
    <w:rsid w:val="00D8728E"/>
    <w:rsid w:val="00DA309F"/>
    <w:rsid w:val="00DA7643"/>
    <w:rsid w:val="00DB029C"/>
    <w:rsid w:val="00DB13AA"/>
    <w:rsid w:val="00DB50CE"/>
    <w:rsid w:val="00DB6526"/>
    <w:rsid w:val="00DC162E"/>
    <w:rsid w:val="00DC4774"/>
    <w:rsid w:val="00DC4A39"/>
    <w:rsid w:val="00DC64B3"/>
    <w:rsid w:val="00DD0B75"/>
    <w:rsid w:val="00DD3150"/>
    <w:rsid w:val="00DD3D76"/>
    <w:rsid w:val="00DE0A21"/>
    <w:rsid w:val="00DE2AC8"/>
    <w:rsid w:val="00DE401A"/>
    <w:rsid w:val="00DE4586"/>
    <w:rsid w:val="00DE6370"/>
    <w:rsid w:val="00DE6B0B"/>
    <w:rsid w:val="00DF5CD6"/>
    <w:rsid w:val="00DF6796"/>
    <w:rsid w:val="00E0341E"/>
    <w:rsid w:val="00E125C6"/>
    <w:rsid w:val="00E150B3"/>
    <w:rsid w:val="00E15639"/>
    <w:rsid w:val="00E173B5"/>
    <w:rsid w:val="00E174B8"/>
    <w:rsid w:val="00E24C57"/>
    <w:rsid w:val="00E31A3E"/>
    <w:rsid w:val="00E34DE0"/>
    <w:rsid w:val="00E368E0"/>
    <w:rsid w:val="00E457C3"/>
    <w:rsid w:val="00E45CFD"/>
    <w:rsid w:val="00E475F9"/>
    <w:rsid w:val="00E50881"/>
    <w:rsid w:val="00E50974"/>
    <w:rsid w:val="00E51C76"/>
    <w:rsid w:val="00E534FB"/>
    <w:rsid w:val="00E54322"/>
    <w:rsid w:val="00E549C3"/>
    <w:rsid w:val="00E572BA"/>
    <w:rsid w:val="00E635A1"/>
    <w:rsid w:val="00E73BD4"/>
    <w:rsid w:val="00E82063"/>
    <w:rsid w:val="00E86611"/>
    <w:rsid w:val="00E9408D"/>
    <w:rsid w:val="00E940BF"/>
    <w:rsid w:val="00EA643A"/>
    <w:rsid w:val="00EA7B7F"/>
    <w:rsid w:val="00EB0A8F"/>
    <w:rsid w:val="00EB1C7F"/>
    <w:rsid w:val="00EC2F9A"/>
    <w:rsid w:val="00ED6452"/>
    <w:rsid w:val="00EE34E3"/>
    <w:rsid w:val="00EE5C37"/>
    <w:rsid w:val="00EE6EA5"/>
    <w:rsid w:val="00F01885"/>
    <w:rsid w:val="00F14837"/>
    <w:rsid w:val="00F168A4"/>
    <w:rsid w:val="00F22A10"/>
    <w:rsid w:val="00F2380B"/>
    <w:rsid w:val="00F2440B"/>
    <w:rsid w:val="00F24713"/>
    <w:rsid w:val="00F27948"/>
    <w:rsid w:val="00F27D87"/>
    <w:rsid w:val="00F35690"/>
    <w:rsid w:val="00F40699"/>
    <w:rsid w:val="00F40B21"/>
    <w:rsid w:val="00F40EC3"/>
    <w:rsid w:val="00F412EA"/>
    <w:rsid w:val="00F433D6"/>
    <w:rsid w:val="00F439D8"/>
    <w:rsid w:val="00F61D34"/>
    <w:rsid w:val="00F76BBD"/>
    <w:rsid w:val="00F96689"/>
    <w:rsid w:val="00FA5D5D"/>
    <w:rsid w:val="00FA5DA8"/>
    <w:rsid w:val="00FB4EAB"/>
    <w:rsid w:val="00FB6C23"/>
    <w:rsid w:val="00FC2E59"/>
    <w:rsid w:val="00FD5260"/>
    <w:rsid w:val="00FD6043"/>
    <w:rsid w:val="00FE0529"/>
    <w:rsid w:val="00FE6BC3"/>
    <w:rsid w:val="00FF04EF"/>
    <w:rsid w:val="00FF2641"/>
    <w:rsid w:val="00FF274C"/>
    <w:rsid w:val="00FF3BAB"/>
    <w:rsid w:val="00FF662D"/>
    <w:rsid w:val="00FF6E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03031"/>
  <w15:docId w15:val="{437A14A0-C2E9-4646-8B40-20AA57C65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nhideWhenUsed="1"/>
    <w:lsdException w:name="Table Classic 3" w:semiHidden="1"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1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F58C3"/>
    <w:rPr>
      <w:rFonts w:ascii="Arial" w:hAnsi="Arial"/>
      <w:szCs w:val="22"/>
      <w:lang w:eastAsia="en-US"/>
    </w:rPr>
  </w:style>
  <w:style w:type="paragraph" w:styleId="Heading1">
    <w:name w:val="heading 1"/>
    <w:aliases w:val="Main Section"/>
    <w:basedOn w:val="Normal"/>
    <w:next w:val="Normal"/>
    <w:link w:val="Heading1Char"/>
    <w:qFormat/>
    <w:rsid w:val="00A9755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A9755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Heading 3 Char1,Heading 3 Char Char"/>
    <w:basedOn w:val="Normal"/>
    <w:next w:val="Normal"/>
    <w:link w:val="Heading3Char"/>
    <w:unhideWhenUsed/>
    <w:qFormat/>
    <w:rsid w:val="00A9755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A9755B"/>
    <w:pPr>
      <w:keepNext/>
      <w:spacing w:before="240" w:after="60"/>
      <w:outlineLvl w:val="3"/>
    </w:pPr>
    <w:rPr>
      <w:rFonts w:ascii="Times New Roman" w:eastAsia="Times New Roman" w:hAnsi="Times New Roman"/>
      <w:b/>
      <w:bCs/>
      <w:sz w:val="28"/>
      <w:szCs w:val="28"/>
      <w:lang w:val="fr-FR" w:eastAsia="fr-FR"/>
    </w:rPr>
  </w:style>
  <w:style w:type="paragraph" w:styleId="Heading5">
    <w:name w:val="heading 5"/>
    <w:basedOn w:val="Normal"/>
    <w:link w:val="Heading5Char"/>
    <w:qFormat/>
    <w:rsid w:val="00A9755B"/>
    <w:pPr>
      <w:spacing w:before="100" w:beforeAutospacing="1" w:after="100" w:afterAutospacing="1"/>
      <w:outlineLvl w:val="4"/>
    </w:pPr>
    <w:rPr>
      <w:rFonts w:eastAsia="Times New Roman"/>
      <w:szCs w:val="20"/>
      <w:lang w:val="en-US"/>
    </w:rPr>
  </w:style>
  <w:style w:type="paragraph" w:styleId="Heading6">
    <w:name w:val="heading 6"/>
    <w:aliases w:val="Part"/>
    <w:basedOn w:val="Normal"/>
    <w:next w:val="Normal"/>
    <w:link w:val="Heading6Char"/>
    <w:qFormat/>
    <w:rsid w:val="00A9755B"/>
    <w:pPr>
      <w:spacing w:before="240" w:after="60"/>
      <w:outlineLvl w:val="5"/>
    </w:pPr>
    <w:rPr>
      <w:rFonts w:ascii="Times New Roman" w:eastAsia="Times New Roman" w:hAnsi="Times New Roman"/>
      <w:b/>
      <w:bCs/>
      <w:sz w:val="22"/>
      <w:lang w:val="fr-FR" w:eastAsia="fr-FR"/>
    </w:rPr>
  </w:style>
  <w:style w:type="paragraph" w:styleId="Heading7">
    <w:name w:val="heading 7"/>
    <w:aliases w:val="Doc AnnX"/>
    <w:basedOn w:val="Normal"/>
    <w:next w:val="Normal"/>
    <w:link w:val="Heading7Char"/>
    <w:qFormat/>
    <w:rsid w:val="00A9755B"/>
    <w:pPr>
      <w:spacing w:before="240" w:after="60"/>
      <w:outlineLvl w:val="6"/>
    </w:pPr>
    <w:rPr>
      <w:rFonts w:ascii="Times New Roman" w:eastAsia="Times New Roman" w:hAnsi="Times New Roman"/>
      <w:sz w:val="24"/>
      <w:szCs w:val="24"/>
      <w:lang w:val="fr-FR" w:eastAsia="fr-FR"/>
    </w:rPr>
  </w:style>
  <w:style w:type="paragraph" w:styleId="Heading8">
    <w:name w:val="heading 8"/>
    <w:aliases w:val="Part AnnX"/>
    <w:basedOn w:val="Normal"/>
    <w:next w:val="Normal"/>
    <w:link w:val="Heading8Char"/>
    <w:qFormat/>
    <w:rsid w:val="00A9755B"/>
    <w:pPr>
      <w:spacing w:before="240" w:after="60"/>
      <w:outlineLvl w:val="7"/>
    </w:pPr>
    <w:rPr>
      <w:rFonts w:ascii="Times New Roman" w:eastAsia="Times New Roman" w:hAnsi="Times New Roman"/>
      <w:i/>
      <w:iCs/>
      <w:sz w:val="24"/>
      <w:szCs w:val="24"/>
      <w:lang w:val="fr-FR" w:eastAsia="fr-FR"/>
    </w:rPr>
  </w:style>
  <w:style w:type="paragraph" w:styleId="Heading9">
    <w:name w:val="heading 9"/>
    <w:aliases w:val="Chap AnnX"/>
    <w:basedOn w:val="Normal"/>
    <w:next w:val="Normal"/>
    <w:link w:val="Heading9Char"/>
    <w:qFormat/>
    <w:rsid w:val="00A9755B"/>
    <w:pPr>
      <w:spacing w:before="240" w:after="60"/>
      <w:outlineLvl w:val="8"/>
    </w:pPr>
    <w:rPr>
      <w:rFonts w:eastAsia="Times New Roman" w:cs="Arial"/>
      <w:sz w:val="22"/>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31491"/>
    <w:pPr>
      <w:tabs>
        <w:tab w:val="center" w:pos="4820"/>
        <w:tab w:val="right" w:pos="9639"/>
      </w:tabs>
    </w:pPr>
    <w:rPr>
      <w:sz w:val="18"/>
    </w:rPr>
  </w:style>
  <w:style w:type="character" w:customStyle="1" w:styleId="HeaderChar">
    <w:name w:val="Header Char"/>
    <w:link w:val="Header"/>
    <w:rsid w:val="00631491"/>
    <w:rPr>
      <w:rFonts w:ascii="Arial" w:hAnsi="Arial"/>
      <w:sz w:val="18"/>
      <w:szCs w:val="22"/>
      <w:lang w:eastAsia="en-US"/>
    </w:rPr>
  </w:style>
  <w:style w:type="paragraph" w:styleId="Footer">
    <w:name w:val="footer"/>
    <w:basedOn w:val="Normal"/>
    <w:link w:val="FooterChar"/>
    <w:unhideWhenUsed/>
    <w:rsid w:val="00FD6043"/>
    <w:pPr>
      <w:tabs>
        <w:tab w:val="center" w:pos="4513"/>
        <w:tab w:val="right" w:pos="9026"/>
      </w:tabs>
    </w:pPr>
  </w:style>
  <w:style w:type="character" w:customStyle="1" w:styleId="FooterChar">
    <w:name w:val="Footer Char"/>
    <w:basedOn w:val="DefaultParagraphFont"/>
    <w:link w:val="Footer"/>
    <w:rsid w:val="00FD6043"/>
  </w:style>
  <w:style w:type="paragraph" w:styleId="BalloonText">
    <w:name w:val="Balloon Text"/>
    <w:basedOn w:val="Normal"/>
    <w:link w:val="BalloonTextChar"/>
    <w:unhideWhenUsed/>
    <w:rsid w:val="00FD6043"/>
    <w:rPr>
      <w:rFonts w:ascii="Tahoma" w:hAnsi="Tahoma" w:cs="Tahoma"/>
      <w:sz w:val="16"/>
      <w:szCs w:val="16"/>
    </w:rPr>
  </w:style>
  <w:style w:type="character" w:customStyle="1" w:styleId="BalloonTextChar">
    <w:name w:val="Balloon Text Char"/>
    <w:link w:val="BalloonText"/>
    <w:rsid w:val="00FD6043"/>
    <w:rPr>
      <w:rFonts w:ascii="Tahoma" w:hAnsi="Tahoma" w:cs="Tahoma"/>
      <w:sz w:val="16"/>
      <w:szCs w:val="16"/>
    </w:rPr>
  </w:style>
  <w:style w:type="table" w:styleId="TableGrid">
    <w:name w:val="Table Grid"/>
    <w:aliases w:val="Szegély nélküli"/>
    <w:basedOn w:val="TableNormal"/>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nhideWhenUsed/>
    <w:rsid w:val="00E24C57"/>
  </w:style>
  <w:style w:type="character" w:styleId="CommentReference">
    <w:name w:val="annotation reference"/>
    <w:unhideWhenUsed/>
    <w:rsid w:val="002250DD"/>
    <w:rPr>
      <w:sz w:val="18"/>
      <w:szCs w:val="18"/>
    </w:rPr>
  </w:style>
  <w:style w:type="paragraph" w:styleId="CommentText">
    <w:name w:val="annotation text"/>
    <w:basedOn w:val="Normal"/>
    <w:link w:val="CommentTextChar"/>
    <w:unhideWhenUsed/>
    <w:rsid w:val="002250DD"/>
    <w:rPr>
      <w:sz w:val="24"/>
      <w:szCs w:val="24"/>
    </w:rPr>
  </w:style>
  <w:style w:type="character" w:customStyle="1" w:styleId="CommentTextChar">
    <w:name w:val="Comment Text Char"/>
    <w:link w:val="CommentText"/>
    <w:rsid w:val="002250DD"/>
    <w:rPr>
      <w:sz w:val="24"/>
      <w:szCs w:val="24"/>
    </w:rPr>
  </w:style>
  <w:style w:type="paragraph" w:styleId="CommentSubject">
    <w:name w:val="annotation subject"/>
    <w:basedOn w:val="CommentText"/>
    <w:next w:val="CommentText"/>
    <w:link w:val="CommentSubjectChar"/>
    <w:unhideWhenUsed/>
    <w:rsid w:val="002250DD"/>
    <w:rPr>
      <w:b/>
      <w:bCs/>
      <w:sz w:val="20"/>
      <w:szCs w:val="20"/>
    </w:rPr>
  </w:style>
  <w:style w:type="character" w:customStyle="1" w:styleId="CommentSubjectChar">
    <w:name w:val="Comment Subject Char"/>
    <w:link w:val="CommentSubject"/>
    <w:rsid w:val="002250DD"/>
    <w:rPr>
      <w:b/>
      <w:bCs/>
      <w:sz w:val="20"/>
      <w:szCs w:val="20"/>
    </w:rPr>
  </w:style>
  <w:style w:type="paragraph" w:styleId="FootnoteText">
    <w:name w:val="footnote text"/>
    <w:aliases w:val="Footnote Text Char1,Footnote Text Char Char,Footnote Text Char1 Char Char,Footnote Text Char Char Char Char,Footnote Text Char2 Char Char Char Char Char,Footnote Text Char1 Char Char Char Char Char Char,n,Footnote Text Char2,ft,fn,f,Footno"/>
    <w:basedOn w:val="Normal"/>
    <w:link w:val="FootnoteTextChar"/>
    <w:unhideWhenUsed/>
    <w:qFormat/>
    <w:rsid w:val="009C5258"/>
    <w:rPr>
      <w:sz w:val="16"/>
      <w:szCs w:val="20"/>
    </w:rPr>
  </w:style>
  <w:style w:type="character" w:customStyle="1" w:styleId="FootnoteTextChar">
    <w:name w:val="Footnote Text Char"/>
    <w:aliases w:val="Footnote Text Char1 Char,Footnote Text Char Char Char,Footnote Text Char1 Char Char Char,Footnote Text Char Char Char Char Char,Footnote Text Char2 Char Char Char Char Char Char,Footnote Text Char1 Char Char Char Char Char Char Char"/>
    <w:link w:val="FootnoteText"/>
    <w:qFormat/>
    <w:rsid w:val="009C5258"/>
    <w:rPr>
      <w:rFonts w:ascii="Arial" w:hAnsi="Arial"/>
      <w:sz w:val="16"/>
      <w:lang w:val="fr-FR" w:eastAsia="en-US"/>
    </w:rPr>
  </w:style>
  <w:style w:type="character" w:styleId="FootnoteReference">
    <w:name w:val="footnote reference"/>
    <w:aliases w:val="Footnote Reference Char Car Char Char Car Char Car Char Car Char Car Char Char Car Car Char Char Char Char Char Car Char,fr,stylish,BVI fnr,ftref,Footnote Reference-BSA-AML,Ref. de nota al pie,Footnote Reference Number,o"/>
    <w:link w:val="FootnoteReferenceCharCarCharCharCarCharCarCharCarCharCarCharCharCarCarCharCharCharCharCharCar"/>
    <w:unhideWhenUsed/>
    <w:qFormat/>
    <w:rsid w:val="00853C90"/>
    <w:rPr>
      <w:vertAlign w:val="superscript"/>
    </w:rPr>
  </w:style>
  <w:style w:type="paragraph" w:styleId="ListParagraph">
    <w:name w:val="List Paragraph"/>
    <w:aliases w:val="TOC style,lp1,Bullet OSM,Proposal Bullet List,Dot pt,No Spacing1,List Paragraph Char Char Char,Indicator Text,Numbered Para 1,List Paragraph à moi,Welt L Char,Welt L,Bullet List,FooterText,numbered,列出段落,列出段落1,lista_2"/>
    <w:basedOn w:val="Normal"/>
    <w:link w:val="ListParagraphChar"/>
    <w:uiPriority w:val="34"/>
    <w:qFormat/>
    <w:rsid w:val="00792EEF"/>
    <w:pPr>
      <w:ind w:left="720"/>
      <w:contextualSpacing/>
    </w:pPr>
  </w:style>
  <w:style w:type="character" w:styleId="UnresolvedMention">
    <w:name w:val="Unresolved Mention"/>
    <w:basedOn w:val="DefaultParagraphFont"/>
    <w:uiPriority w:val="99"/>
    <w:semiHidden/>
    <w:unhideWhenUsed/>
    <w:rsid w:val="00C1364B"/>
    <w:rPr>
      <w:color w:val="605E5C"/>
      <w:shd w:val="clear" w:color="auto" w:fill="E1DFDD"/>
    </w:rPr>
  </w:style>
  <w:style w:type="paragraph" w:customStyle="1" w:styleId="CMSpace">
    <w:name w:val="CM_Space"/>
    <w:basedOn w:val="Normal"/>
    <w:qFormat/>
    <w:rsid w:val="00A9755B"/>
    <w:rPr>
      <w:rFonts w:eastAsia="Times New Roman"/>
      <w:szCs w:val="24"/>
      <w:lang w:eastAsia="fr-FR"/>
    </w:rPr>
  </w:style>
  <w:style w:type="paragraph" w:styleId="TOC2">
    <w:name w:val="toc 2"/>
    <w:basedOn w:val="Normal"/>
    <w:next w:val="Normal"/>
    <w:autoRedefine/>
    <w:uiPriority w:val="39"/>
    <w:qFormat/>
    <w:rsid w:val="006E54F2"/>
    <w:pPr>
      <w:tabs>
        <w:tab w:val="left" w:pos="400"/>
        <w:tab w:val="right" w:pos="9628"/>
      </w:tabs>
    </w:pPr>
    <w:rPr>
      <w:rFonts w:asciiTheme="minorHAnsi" w:eastAsia="Times New Roman" w:hAnsiTheme="minorHAnsi"/>
      <w:b/>
      <w:bCs/>
      <w:noProof/>
      <w:szCs w:val="20"/>
      <w:lang w:val="fr-FR" w:eastAsia="fr-FR"/>
    </w:rPr>
  </w:style>
  <w:style w:type="paragraph" w:styleId="TOC3">
    <w:name w:val="toc 3"/>
    <w:basedOn w:val="Normal"/>
    <w:next w:val="Normal"/>
    <w:autoRedefine/>
    <w:uiPriority w:val="39"/>
    <w:qFormat/>
    <w:rsid w:val="00A9755B"/>
    <w:pPr>
      <w:ind w:left="200"/>
    </w:pPr>
    <w:rPr>
      <w:rFonts w:asciiTheme="minorHAnsi" w:eastAsia="Times New Roman" w:hAnsiTheme="minorHAnsi"/>
      <w:szCs w:val="20"/>
      <w:lang w:val="fr-FR" w:eastAsia="fr-FR"/>
    </w:rPr>
  </w:style>
  <w:style w:type="paragraph" w:customStyle="1" w:styleId="Default">
    <w:name w:val="Default"/>
    <w:link w:val="DefaultChar"/>
    <w:rsid w:val="00A9755B"/>
    <w:pPr>
      <w:autoSpaceDE w:val="0"/>
      <w:autoSpaceDN w:val="0"/>
      <w:adjustRightInd w:val="0"/>
    </w:pPr>
    <w:rPr>
      <w:rFonts w:ascii="Arial" w:eastAsia="Times New Roman" w:hAnsi="Arial" w:cs="Arial"/>
      <w:color w:val="000000"/>
      <w:sz w:val="24"/>
      <w:szCs w:val="24"/>
      <w:lang w:eastAsia="en-US"/>
    </w:rPr>
  </w:style>
  <w:style w:type="paragraph" w:customStyle="1" w:styleId="Heading10">
    <w:name w:val="Heading1"/>
    <w:basedOn w:val="Normal"/>
    <w:link w:val="Heading1Char0"/>
    <w:qFormat/>
    <w:rsid w:val="00A9755B"/>
    <w:pPr>
      <w:keepNext/>
      <w:widowControl w:val="0"/>
      <w:spacing w:after="120"/>
      <w:ind w:right="284"/>
      <w:jc w:val="both"/>
      <w:outlineLvl w:val="1"/>
    </w:pPr>
    <w:rPr>
      <w:rFonts w:eastAsia="Times New Roman" w:cs="Arial"/>
      <w:b/>
      <w:bCs/>
      <w:caps/>
      <w:color w:val="17365D"/>
      <w:w w:val="105"/>
      <w:kern w:val="28"/>
      <w:sz w:val="24"/>
      <w:szCs w:val="20"/>
      <w:lang w:eastAsia="zh-CN"/>
    </w:rPr>
  </w:style>
  <w:style w:type="character" w:customStyle="1" w:styleId="Heading1Char0">
    <w:name w:val="Heading1 Char"/>
    <w:link w:val="Heading10"/>
    <w:rsid w:val="00A9755B"/>
    <w:rPr>
      <w:rFonts w:ascii="Arial" w:eastAsia="Times New Roman" w:hAnsi="Arial" w:cs="Arial"/>
      <w:b/>
      <w:bCs/>
      <w:caps/>
      <w:color w:val="17365D"/>
      <w:w w:val="105"/>
      <w:kern w:val="28"/>
      <w:sz w:val="24"/>
      <w:lang w:eastAsia="zh-CN"/>
    </w:rPr>
  </w:style>
  <w:style w:type="character" w:customStyle="1" w:styleId="Heading1Char">
    <w:name w:val="Heading 1 Char"/>
    <w:aliases w:val="Main Section Char"/>
    <w:basedOn w:val="DefaultParagraphFont"/>
    <w:link w:val="Heading1"/>
    <w:rsid w:val="00A9755B"/>
    <w:rPr>
      <w:rFonts w:asciiTheme="majorHAnsi" w:eastAsiaTheme="majorEastAsia" w:hAnsiTheme="majorHAnsi" w:cstheme="majorBidi"/>
      <w:color w:val="365F91" w:themeColor="accent1" w:themeShade="BF"/>
      <w:sz w:val="32"/>
      <w:szCs w:val="32"/>
      <w:lang w:eastAsia="en-US"/>
    </w:rPr>
  </w:style>
  <w:style w:type="paragraph" w:styleId="TOCHeading">
    <w:name w:val="TOC Heading"/>
    <w:basedOn w:val="Heading1"/>
    <w:next w:val="Normal"/>
    <w:uiPriority w:val="39"/>
    <w:unhideWhenUsed/>
    <w:qFormat/>
    <w:rsid w:val="00A9755B"/>
    <w:pPr>
      <w:spacing w:before="480" w:line="276" w:lineRule="auto"/>
      <w:outlineLvl w:val="9"/>
    </w:pPr>
    <w:rPr>
      <w:b/>
      <w:bCs/>
      <w:sz w:val="28"/>
      <w:szCs w:val="28"/>
      <w:lang w:val="en-US" w:eastAsia="ja-JP"/>
    </w:rPr>
  </w:style>
  <w:style w:type="table" w:styleId="TableGrid2">
    <w:name w:val="Table Grid 2"/>
    <w:basedOn w:val="TableNormal"/>
    <w:rsid w:val="00A9755B"/>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Heading2Char">
    <w:name w:val="Heading 2 Char"/>
    <w:basedOn w:val="DefaultParagraphFont"/>
    <w:link w:val="Heading2"/>
    <w:rsid w:val="00A9755B"/>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aliases w:val="Heading 3 Char1 Char,Heading 3 Char Char Char"/>
    <w:basedOn w:val="DefaultParagraphFont"/>
    <w:link w:val="Heading3"/>
    <w:rsid w:val="00A9755B"/>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rsid w:val="00A9755B"/>
    <w:rPr>
      <w:rFonts w:ascii="Times New Roman" w:eastAsia="Times New Roman" w:hAnsi="Times New Roman"/>
      <w:b/>
      <w:bCs/>
      <w:sz w:val="28"/>
      <w:szCs w:val="28"/>
      <w:lang w:val="fr-FR" w:eastAsia="fr-FR"/>
    </w:rPr>
  </w:style>
  <w:style w:type="character" w:customStyle="1" w:styleId="Heading5Char">
    <w:name w:val="Heading 5 Char"/>
    <w:basedOn w:val="DefaultParagraphFont"/>
    <w:link w:val="Heading5"/>
    <w:rsid w:val="00A9755B"/>
    <w:rPr>
      <w:rFonts w:ascii="Arial" w:eastAsia="Times New Roman" w:hAnsi="Arial"/>
      <w:lang w:val="en-US" w:eastAsia="en-US"/>
    </w:rPr>
  </w:style>
  <w:style w:type="character" w:customStyle="1" w:styleId="Heading6Char">
    <w:name w:val="Heading 6 Char"/>
    <w:aliases w:val="Part Char"/>
    <w:basedOn w:val="DefaultParagraphFont"/>
    <w:link w:val="Heading6"/>
    <w:rsid w:val="00A9755B"/>
    <w:rPr>
      <w:rFonts w:ascii="Times New Roman" w:eastAsia="Times New Roman" w:hAnsi="Times New Roman"/>
      <w:b/>
      <w:bCs/>
      <w:sz w:val="22"/>
      <w:szCs w:val="22"/>
      <w:lang w:val="fr-FR" w:eastAsia="fr-FR"/>
    </w:rPr>
  </w:style>
  <w:style w:type="character" w:customStyle="1" w:styleId="Heading7Char">
    <w:name w:val="Heading 7 Char"/>
    <w:aliases w:val="Doc AnnX Char"/>
    <w:basedOn w:val="DefaultParagraphFont"/>
    <w:link w:val="Heading7"/>
    <w:rsid w:val="00A9755B"/>
    <w:rPr>
      <w:rFonts w:ascii="Times New Roman" w:eastAsia="Times New Roman" w:hAnsi="Times New Roman"/>
      <w:sz w:val="24"/>
      <w:szCs w:val="24"/>
      <w:lang w:val="fr-FR" w:eastAsia="fr-FR"/>
    </w:rPr>
  </w:style>
  <w:style w:type="character" w:customStyle="1" w:styleId="Heading8Char">
    <w:name w:val="Heading 8 Char"/>
    <w:aliases w:val="Part AnnX Char"/>
    <w:basedOn w:val="DefaultParagraphFont"/>
    <w:link w:val="Heading8"/>
    <w:rsid w:val="00A9755B"/>
    <w:rPr>
      <w:rFonts w:ascii="Times New Roman" w:eastAsia="Times New Roman" w:hAnsi="Times New Roman"/>
      <w:i/>
      <w:iCs/>
      <w:sz w:val="24"/>
      <w:szCs w:val="24"/>
      <w:lang w:val="fr-FR" w:eastAsia="fr-FR"/>
    </w:rPr>
  </w:style>
  <w:style w:type="character" w:customStyle="1" w:styleId="Heading9Char">
    <w:name w:val="Heading 9 Char"/>
    <w:aliases w:val="Chap AnnX Char"/>
    <w:basedOn w:val="DefaultParagraphFont"/>
    <w:link w:val="Heading9"/>
    <w:rsid w:val="00A9755B"/>
    <w:rPr>
      <w:rFonts w:ascii="Arial" w:eastAsia="Times New Roman" w:hAnsi="Arial" w:cs="Arial"/>
      <w:sz w:val="22"/>
      <w:szCs w:val="22"/>
      <w:lang w:val="fr-FR" w:eastAsia="fr-FR"/>
    </w:rPr>
  </w:style>
  <w:style w:type="paragraph" w:customStyle="1" w:styleId="COECote">
    <w:name w:val="COE_Cote"/>
    <w:basedOn w:val="Normal"/>
    <w:rsid w:val="00A9755B"/>
    <w:pPr>
      <w:spacing w:before="240"/>
    </w:pPr>
    <w:rPr>
      <w:rFonts w:eastAsia="Times New Roman"/>
      <w:b/>
      <w:sz w:val="22"/>
      <w:lang w:val="fr-FR" w:eastAsia="fr-FR"/>
    </w:rPr>
  </w:style>
  <w:style w:type="paragraph" w:customStyle="1" w:styleId="COEEnceinte">
    <w:name w:val="COE_Enceinte"/>
    <w:basedOn w:val="COECote"/>
    <w:rsid w:val="00A9755B"/>
    <w:rPr>
      <w:b w:val="0"/>
      <w:i/>
      <w:color w:val="808080"/>
      <w:sz w:val="28"/>
      <w:szCs w:val="28"/>
    </w:rPr>
  </w:style>
  <w:style w:type="paragraph" w:customStyle="1" w:styleId="COEHeading1">
    <w:name w:val="COE_Heading1"/>
    <w:basedOn w:val="Normal"/>
    <w:link w:val="COEHeading1Char"/>
    <w:autoRedefine/>
    <w:rsid w:val="00A9755B"/>
    <w:rPr>
      <w:rFonts w:eastAsia="Times New Roman"/>
      <w:b/>
      <w:sz w:val="24"/>
      <w:szCs w:val="32"/>
    </w:rPr>
  </w:style>
  <w:style w:type="character" w:customStyle="1" w:styleId="COEHeading1Char">
    <w:name w:val="COE_Heading1 Char"/>
    <w:link w:val="COEHeading1"/>
    <w:rsid w:val="00A9755B"/>
    <w:rPr>
      <w:rFonts w:ascii="Arial" w:eastAsia="Times New Roman" w:hAnsi="Arial"/>
      <w:b/>
      <w:sz w:val="24"/>
      <w:szCs w:val="32"/>
      <w:lang w:eastAsia="en-US"/>
    </w:rPr>
  </w:style>
  <w:style w:type="paragraph" w:customStyle="1" w:styleId="COEHeading2">
    <w:name w:val="COE_Heading2"/>
    <w:basedOn w:val="Normal"/>
    <w:link w:val="COEHeading2Char"/>
    <w:autoRedefine/>
    <w:rsid w:val="00A9755B"/>
    <w:rPr>
      <w:rFonts w:ascii="Verdana" w:eastAsia="Times New Roman" w:hAnsi="Verdana"/>
      <w:b/>
      <w:szCs w:val="28"/>
    </w:rPr>
  </w:style>
  <w:style w:type="paragraph" w:customStyle="1" w:styleId="COEHeading3">
    <w:name w:val="COE_Heading3"/>
    <w:basedOn w:val="Normal"/>
    <w:autoRedefine/>
    <w:rsid w:val="00A9755B"/>
    <w:pPr>
      <w:outlineLvl w:val="2"/>
    </w:pPr>
    <w:rPr>
      <w:rFonts w:ascii="Helvetica" w:eastAsia="Times New Roman" w:hAnsi="Helvetica"/>
      <w:i/>
      <w:szCs w:val="24"/>
      <w:lang w:eastAsia="fr-FR"/>
    </w:rPr>
  </w:style>
  <w:style w:type="paragraph" w:customStyle="1" w:styleId="COENoLignes">
    <w:name w:val="COE_NoLignes"/>
    <w:link w:val="COENoLignesChar"/>
    <w:rsid w:val="00A9755B"/>
    <w:rPr>
      <w:rFonts w:ascii="Arial" w:eastAsia="Times New Roman" w:hAnsi="Arial"/>
      <w:lang w:val="en-US" w:eastAsia="en-US"/>
    </w:rPr>
  </w:style>
  <w:style w:type="character" w:customStyle="1" w:styleId="COENoLignesChar">
    <w:name w:val="COE_NoLignes Char"/>
    <w:link w:val="COENoLignes"/>
    <w:rsid w:val="00A9755B"/>
    <w:rPr>
      <w:rFonts w:ascii="Arial" w:eastAsia="Times New Roman" w:hAnsi="Arial"/>
      <w:lang w:val="en-US" w:eastAsia="en-US"/>
    </w:rPr>
  </w:style>
  <w:style w:type="paragraph" w:customStyle="1" w:styleId="COETitre">
    <w:name w:val="COE_Titre"/>
    <w:basedOn w:val="Normal"/>
    <w:link w:val="COETitreChar"/>
    <w:rsid w:val="00A9755B"/>
    <w:pPr>
      <w:spacing w:before="360" w:after="240"/>
    </w:pPr>
    <w:rPr>
      <w:rFonts w:eastAsia="Times New Roman"/>
      <w:sz w:val="36"/>
      <w:szCs w:val="36"/>
      <w:lang w:val="fr-FR" w:eastAsia="fr-FR"/>
    </w:rPr>
  </w:style>
  <w:style w:type="character" w:customStyle="1" w:styleId="COETitreChar">
    <w:name w:val="COE_Titre Char"/>
    <w:link w:val="COETitre"/>
    <w:rsid w:val="00A9755B"/>
    <w:rPr>
      <w:rFonts w:ascii="Arial" w:eastAsia="Times New Roman" w:hAnsi="Arial"/>
      <w:sz w:val="36"/>
      <w:szCs w:val="36"/>
      <w:lang w:val="fr-FR" w:eastAsia="fr-FR"/>
    </w:rPr>
  </w:style>
  <w:style w:type="paragraph" w:customStyle="1" w:styleId="COEType">
    <w:name w:val="COE_Type"/>
    <w:basedOn w:val="Normal"/>
    <w:rsid w:val="00A9755B"/>
    <w:pPr>
      <w:spacing w:before="240"/>
    </w:pPr>
    <w:rPr>
      <w:rFonts w:eastAsia="Times New Roman"/>
      <w:b/>
      <w:sz w:val="28"/>
      <w:szCs w:val="28"/>
      <w:lang w:val="fr-FR" w:eastAsia="fr-FR"/>
    </w:rPr>
  </w:style>
  <w:style w:type="character" w:styleId="Strong">
    <w:name w:val="Strong"/>
    <w:qFormat/>
    <w:rsid w:val="00A9755B"/>
    <w:rPr>
      <w:b/>
    </w:rPr>
  </w:style>
  <w:style w:type="paragraph" w:styleId="NormalWeb">
    <w:name w:val="Normal (Web)"/>
    <w:aliases w:val=" webb"/>
    <w:basedOn w:val="Normal"/>
    <w:uiPriority w:val="99"/>
    <w:rsid w:val="00A9755B"/>
    <w:pPr>
      <w:spacing w:before="100" w:beforeAutospacing="1" w:after="100" w:afterAutospacing="1"/>
    </w:pPr>
    <w:rPr>
      <w:rFonts w:eastAsia="Times New Roman"/>
      <w:sz w:val="17"/>
      <w:szCs w:val="17"/>
      <w:lang w:val="en-US"/>
    </w:rPr>
  </w:style>
  <w:style w:type="paragraph" w:customStyle="1" w:styleId="COEWord">
    <w:name w:val="COE_Word"/>
    <w:basedOn w:val="Normal"/>
    <w:rsid w:val="00A9755B"/>
    <w:pPr>
      <w:jc w:val="right"/>
    </w:pPr>
    <w:rPr>
      <w:rFonts w:eastAsia="Times New Roman"/>
      <w:i/>
      <w:iCs/>
      <w:szCs w:val="24"/>
      <w:lang w:val="fr-FR" w:eastAsia="fr-FR"/>
    </w:rPr>
  </w:style>
  <w:style w:type="character" w:styleId="FollowedHyperlink">
    <w:name w:val="FollowedHyperlink"/>
    <w:rsid w:val="00A9755B"/>
    <w:rPr>
      <w:color w:val="606420"/>
      <w:u w:val="single"/>
    </w:rPr>
  </w:style>
  <w:style w:type="paragraph" w:customStyle="1" w:styleId="COESource">
    <w:name w:val="COE_Source"/>
    <w:basedOn w:val="Normal"/>
    <w:link w:val="COESourceChar"/>
    <w:autoRedefine/>
    <w:rsid w:val="00A9755B"/>
    <w:rPr>
      <w:rFonts w:eastAsia="Times New Roman"/>
      <w:sz w:val="16"/>
      <w:szCs w:val="18"/>
      <w:lang w:val="fr-FR" w:eastAsia="fr-FR"/>
    </w:rPr>
  </w:style>
  <w:style w:type="character" w:customStyle="1" w:styleId="COESourceChar">
    <w:name w:val="COE_Source Char"/>
    <w:link w:val="COESource"/>
    <w:rsid w:val="00A9755B"/>
    <w:rPr>
      <w:rFonts w:ascii="Arial" w:eastAsia="Times New Roman" w:hAnsi="Arial"/>
      <w:sz w:val="16"/>
      <w:szCs w:val="18"/>
      <w:lang w:val="fr-FR" w:eastAsia="fr-FR"/>
    </w:rPr>
  </w:style>
  <w:style w:type="paragraph" w:customStyle="1" w:styleId="CMAuthor">
    <w:name w:val="CM_Author"/>
    <w:basedOn w:val="COEEnceinte"/>
    <w:qFormat/>
    <w:rsid w:val="00A9755B"/>
    <w:pPr>
      <w:suppressLineNumbers/>
      <w:tabs>
        <w:tab w:val="center" w:pos="4513"/>
        <w:tab w:val="right" w:pos="9027"/>
      </w:tabs>
      <w:suppressAutoHyphens/>
      <w:spacing w:before="0"/>
    </w:pPr>
    <w:rPr>
      <w:rFonts w:ascii="Times New Roman" w:hAnsi="Times New Roman"/>
      <w:b/>
      <w:szCs w:val="24"/>
      <w:lang w:val="en-GB"/>
    </w:rPr>
  </w:style>
  <w:style w:type="paragraph" w:customStyle="1" w:styleId="CMCote">
    <w:name w:val="CM_Cote"/>
    <w:basedOn w:val="Normal"/>
    <w:qFormat/>
    <w:rsid w:val="00A9755B"/>
    <w:pPr>
      <w:spacing w:before="120"/>
    </w:pPr>
    <w:rPr>
      <w:rFonts w:eastAsia="Times New Roman"/>
      <w:b/>
      <w:sz w:val="22"/>
      <w:lang w:eastAsia="fr-FR"/>
    </w:rPr>
  </w:style>
  <w:style w:type="paragraph" w:customStyle="1" w:styleId="CMTitle">
    <w:name w:val="CM_Title"/>
    <w:basedOn w:val="COETitre"/>
    <w:link w:val="CMTitleChar"/>
    <w:autoRedefine/>
    <w:qFormat/>
    <w:rsid w:val="00A9755B"/>
    <w:pPr>
      <w:spacing w:before="0" w:after="0"/>
    </w:pPr>
    <w:rPr>
      <w:b/>
      <w:szCs w:val="32"/>
      <w:lang w:val="en-GB"/>
    </w:rPr>
  </w:style>
  <w:style w:type="character" w:customStyle="1" w:styleId="CMTitleChar">
    <w:name w:val="CM_Title Char"/>
    <w:link w:val="CMTitle"/>
    <w:rsid w:val="00A9755B"/>
    <w:rPr>
      <w:rFonts w:ascii="Arial" w:eastAsia="Times New Roman" w:hAnsi="Arial"/>
      <w:b/>
      <w:sz w:val="36"/>
      <w:szCs w:val="32"/>
      <w:lang w:eastAsia="fr-FR"/>
    </w:rPr>
  </w:style>
  <w:style w:type="paragraph" w:customStyle="1" w:styleId="CMDocType">
    <w:name w:val="CM_DocType"/>
    <w:basedOn w:val="CMTitle"/>
    <w:autoRedefine/>
    <w:qFormat/>
    <w:rsid w:val="00A9755B"/>
    <w:rPr>
      <w:rFonts w:ascii="Verdana" w:hAnsi="Verdana"/>
      <w:sz w:val="32"/>
    </w:rPr>
  </w:style>
  <w:style w:type="paragraph" w:customStyle="1" w:styleId="CMEnceinte">
    <w:name w:val="CM_Enceinte"/>
    <w:basedOn w:val="COEEnceinte"/>
    <w:qFormat/>
    <w:rsid w:val="00A9755B"/>
    <w:pPr>
      <w:suppressLineNumbers/>
      <w:tabs>
        <w:tab w:val="center" w:pos="4513"/>
        <w:tab w:val="right" w:pos="9027"/>
      </w:tabs>
      <w:suppressAutoHyphens/>
      <w:spacing w:before="0"/>
    </w:pPr>
    <w:rPr>
      <w:rFonts w:ascii="Times New Roman" w:hAnsi="Times New Roman"/>
      <w:b/>
      <w:szCs w:val="24"/>
      <w:lang w:val="en-GB"/>
    </w:rPr>
  </w:style>
  <w:style w:type="paragraph" w:customStyle="1" w:styleId="CMhLine">
    <w:name w:val="CM_hLine"/>
    <w:basedOn w:val="CMTitle"/>
    <w:qFormat/>
    <w:rsid w:val="00A9755B"/>
    <w:pPr>
      <w:pBdr>
        <w:bottom w:val="single" w:sz="18" w:space="1" w:color="auto"/>
      </w:pBdr>
      <w:spacing w:after="240"/>
      <w:ind w:right="5243"/>
    </w:pPr>
    <w:rPr>
      <w:sz w:val="22"/>
    </w:rPr>
  </w:style>
  <w:style w:type="paragraph" w:customStyle="1" w:styleId="CMLinkedDocs">
    <w:name w:val="CM_LinkedDocs"/>
    <w:basedOn w:val="Normal"/>
    <w:rsid w:val="00A9755B"/>
    <w:rPr>
      <w:rFonts w:eastAsia="Times New Roman"/>
      <w:sz w:val="16"/>
      <w:szCs w:val="24"/>
      <w:lang w:eastAsia="fr-FR"/>
    </w:rPr>
  </w:style>
  <w:style w:type="paragraph" w:customStyle="1" w:styleId="CMMainSubTitle">
    <w:name w:val="CM_MainSubTitle"/>
    <w:basedOn w:val="Normal"/>
    <w:autoRedefine/>
    <w:rsid w:val="00A9755B"/>
    <w:rPr>
      <w:rFonts w:eastAsia="Times New Roman"/>
      <w:sz w:val="32"/>
      <w:szCs w:val="24"/>
      <w:lang w:eastAsia="fr-FR"/>
    </w:rPr>
  </w:style>
  <w:style w:type="paragraph" w:customStyle="1" w:styleId="CMRevision">
    <w:name w:val="CM_Revision"/>
    <w:basedOn w:val="Normal"/>
    <w:link w:val="CMRevisionChar"/>
    <w:rsid w:val="00A9755B"/>
    <w:rPr>
      <w:rFonts w:eastAsia="Times New Roman" w:cs="Arial"/>
      <w:color w:val="FF0000"/>
      <w:szCs w:val="20"/>
      <w:shd w:val="clear" w:color="auto" w:fill="D9D9D9"/>
    </w:rPr>
  </w:style>
  <w:style w:type="character" w:customStyle="1" w:styleId="CMRevisionChar">
    <w:name w:val="CM_Revision Char"/>
    <w:link w:val="CMRevision"/>
    <w:rsid w:val="00A9755B"/>
    <w:rPr>
      <w:rFonts w:ascii="Arial" w:eastAsia="Times New Roman" w:hAnsi="Arial" w:cs="Arial"/>
      <w:color w:val="FF0000"/>
      <w:lang w:eastAsia="en-US"/>
    </w:rPr>
  </w:style>
  <w:style w:type="paragraph" w:customStyle="1" w:styleId="CMRevisionInside">
    <w:name w:val="CM_RevisionInside"/>
    <w:basedOn w:val="Normal"/>
    <w:link w:val="CMRevisionInsideCharChar"/>
    <w:rsid w:val="00A9755B"/>
    <w:rPr>
      <w:rFonts w:eastAsia="Times New Roman"/>
      <w:color w:val="FF0000"/>
      <w:szCs w:val="24"/>
      <w:shd w:val="clear" w:color="auto" w:fill="D9D9D9"/>
      <w:lang w:eastAsia="fr-FR"/>
    </w:rPr>
  </w:style>
  <w:style w:type="character" w:customStyle="1" w:styleId="CMRevisionInsideCharChar">
    <w:name w:val="CM_RevisionInside Char Char"/>
    <w:link w:val="CMRevisionInside"/>
    <w:rsid w:val="00A9755B"/>
    <w:rPr>
      <w:rFonts w:ascii="Arial" w:eastAsia="Times New Roman" w:hAnsi="Arial"/>
      <w:color w:val="FF0000"/>
      <w:szCs w:val="24"/>
      <w:lang w:eastAsia="fr-FR"/>
    </w:rPr>
  </w:style>
  <w:style w:type="paragraph" w:customStyle="1" w:styleId="CMSubTitle">
    <w:name w:val="CM_SubTitle"/>
    <w:basedOn w:val="Normal"/>
    <w:link w:val="CMSubTitleChar"/>
    <w:qFormat/>
    <w:rsid w:val="00A9755B"/>
    <w:rPr>
      <w:rFonts w:eastAsia="Times New Roman"/>
      <w:sz w:val="22"/>
      <w:lang w:eastAsia="fr-FR"/>
    </w:rPr>
  </w:style>
  <w:style w:type="character" w:customStyle="1" w:styleId="CMSubTitleChar">
    <w:name w:val="CM_SubTitle Char"/>
    <w:link w:val="CMSubTitle"/>
    <w:rsid w:val="00A9755B"/>
    <w:rPr>
      <w:rFonts w:ascii="Arial" w:eastAsia="Times New Roman" w:hAnsi="Arial"/>
      <w:sz w:val="22"/>
      <w:szCs w:val="22"/>
      <w:lang w:eastAsia="fr-FR"/>
    </w:rPr>
  </w:style>
  <w:style w:type="paragraph" w:customStyle="1" w:styleId="COEAbstract">
    <w:name w:val="COE_Abstract"/>
    <w:link w:val="COEAbstractChar"/>
    <w:rsid w:val="00A9755B"/>
    <w:pPr>
      <w:spacing w:before="120" w:after="120"/>
    </w:pPr>
    <w:rPr>
      <w:rFonts w:ascii="Verdana" w:eastAsia="Times New Roman" w:hAnsi="Verdana"/>
      <w:lang w:val="fr-FR" w:eastAsia="en-US"/>
    </w:rPr>
  </w:style>
  <w:style w:type="character" w:customStyle="1" w:styleId="COEAbstractChar">
    <w:name w:val="COE_Abstract Char"/>
    <w:link w:val="COEAbstract"/>
    <w:rsid w:val="00A9755B"/>
    <w:rPr>
      <w:rFonts w:ascii="Verdana" w:eastAsia="Times New Roman" w:hAnsi="Verdana"/>
      <w:lang w:val="fr-FR" w:eastAsia="en-US"/>
    </w:rPr>
  </w:style>
  <w:style w:type="paragraph" w:customStyle="1" w:styleId="COEBullet">
    <w:name w:val="COE_Bullet"/>
    <w:basedOn w:val="Normal"/>
    <w:rsid w:val="00A9755B"/>
    <w:pPr>
      <w:numPr>
        <w:numId w:val="1"/>
      </w:numPr>
      <w:spacing w:after="60"/>
    </w:pPr>
    <w:rPr>
      <w:rFonts w:eastAsia="Times New Roman"/>
      <w:szCs w:val="24"/>
      <w:lang w:val="fr-FR" w:eastAsia="fr-FR"/>
    </w:rPr>
  </w:style>
  <w:style w:type="paragraph" w:customStyle="1" w:styleId="COEDate">
    <w:name w:val="COE_Date"/>
    <w:next w:val="Normal"/>
    <w:rsid w:val="00A9755B"/>
    <w:pPr>
      <w:spacing w:before="120" w:after="120"/>
    </w:pPr>
    <w:rPr>
      <w:rFonts w:ascii="Verdana" w:eastAsia="Times New Roman" w:hAnsi="Verdana"/>
      <w:b/>
      <w:color w:val="808080"/>
      <w:szCs w:val="22"/>
      <w:lang w:val="en-US" w:eastAsia="fr-FR"/>
    </w:rPr>
  </w:style>
  <w:style w:type="paragraph" w:customStyle="1" w:styleId="COEFootnote">
    <w:name w:val="COE_Footnote"/>
    <w:basedOn w:val="Normal"/>
    <w:next w:val="Normal"/>
    <w:rsid w:val="00A9755B"/>
    <w:pPr>
      <w:spacing w:before="60" w:after="60"/>
    </w:pPr>
    <w:rPr>
      <w:rFonts w:eastAsia="Times New Roman"/>
      <w:i/>
      <w:szCs w:val="24"/>
      <w:lang w:val="fr-FR" w:eastAsia="fr-FR"/>
    </w:rPr>
  </w:style>
  <w:style w:type="paragraph" w:customStyle="1" w:styleId="COEHeading4">
    <w:name w:val="COE_Heading4"/>
    <w:basedOn w:val="Normal"/>
    <w:next w:val="Normal"/>
    <w:rsid w:val="00A9755B"/>
    <w:pPr>
      <w:numPr>
        <w:ilvl w:val="3"/>
        <w:numId w:val="2"/>
      </w:numPr>
    </w:pPr>
    <w:rPr>
      <w:rFonts w:eastAsia="Times New Roman"/>
      <w:szCs w:val="24"/>
      <w:lang w:val="fr-FR" w:eastAsia="fr-FR"/>
    </w:rPr>
  </w:style>
  <w:style w:type="paragraph" w:customStyle="1" w:styleId="COEIMGPROTECTED">
    <w:name w:val="COE_IMG_PROTECTED"/>
    <w:basedOn w:val="Normal"/>
    <w:rsid w:val="00A9755B"/>
    <w:pPr>
      <w:jc w:val="center"/>
    </w:pPr>
    <w:rPr>
      <w:rFonts w:eastAsia="Times New Roman"/>
      <w:szCs w:val="24"/>
      <w:lang w:val="fr-FR" w:eastAsia="fr-FR"/>
    </w:rPr>
  </w:style>
  <w:style w:type="paragraph" w:customStyle="1" w:styleId="COEInconnu">
    <w:name w:val="COE_Inconnu"/>
    <w:basedOn w:val="COEType"/>
    <w:rsid w:val="00A9755B"/>
    <w:pPr>
      <w:spacing w:before="120"/>
    </w:pPr>
    <w:rPr>
      <w:i/>
      <w:color w:val="99CC00"/>
      <w:sz w:val="24"/>
    </w:rPr>
  </w:style>
  <w:style w:type="paragraph" w:customStyle="1" w:styleId="COELegende">
    <w:name w:val="COE_Legende"/>
    <w:basedOn w:val="Normal"/>
    <w:rsid w:val="00A9755B"/>
    <w:rPr>
      <w:rFonts w:eastAsia="Times New Roman"/>
      <w:i/>
      <w:color w:val="999999"/>
      <w:szCs w:val="24"/>
      <w:lang w:val="fr-FR" w:eastAsia="fr-FR"/>
    </w:rPr>
  </w:style>
  <w:style w:type="paragraph" w:customStyle="1" w:styleId="COELignes">
    <w:name w:val="COE_Lignes"/>
    <w:basedOn w:val="Normal"/>
    <w:rsid w:val="00A9755B"/>
    <w:rPr>
      <w:rFonts w:eastAsia="Times New Roman"/>
      <w:szCs w:val="24"/>
      <w:lang w:val="en-US"/>
    </w:rPr>
  </w:style>
  <w:style w:type="paragraph" w:customStyle="1" w:styleId="COEList">
    <w:name w:val="COE_List"/>
    <w:basedOn w:val="Normal"/>
    <w:rsid w:val="00A9755B"/>
    <w:pPr>
      <w:spacing w:after="60"/>
    </w:pPr>
    <w:rPr>
      <w:rFonts w:eastAsia="Times New Roman"/>
      <w:szCs w:val="24"/>
      <w:lang w:val="fr-FR" w:eastAsia="fr-FR"/>
    </w:rPr>
  </w:style>
  <w:style w:type="paragraph" w:customStyle="1" w:styleId="COEMedium">
    <w:name w:val="COE_Medium"/>
    <w:rsid w:val="00A9755B"/>
    <w:pPr>
      <w:spacing w:before="120" w:after="60"/>
      <w:jc w:val="both"/>
    </w:pPr>
    <w:rPr>
      <w:rFonts w:ascii="Verdana" w:eastAsia="Times New Roman" w:hAnsi="Verdana"/>
      <w:b/>
      <w:sz w:val="24"/>
      <w:szCs w:val="24"/>
      <w:lang w:val="fr-FR" w:eastAsia="fr-FR"/>
    </w:rPr>
  </w:style>
  <w:style w:type="paragraph" w:customStyle="1" w:styleId="COESousTitre">
    <w:name w:val="COE_SousTitre"/>
    <w:next w:val="Normal"/>
    <w:link w:val="COESousTitreChar"/>
    <w:rsid w:val="00A9755B"/>
    <w:pPr>
      <w:spacing w:before="240" w:after="120"/>
    </w:pPr>
    <w:rPr>
      <w:rFonts w:ascii="Verdana" w:eastAsia="Times New Roman" w:hAnsi="Verdana"/>
      <w:sz w:val="28"/>
      <w:szCs w:val="28"/>
      <w:lang w:val="fr-FR" w:eastAsia="fr-FR"/>
    </w:rPr>
  </w:style>
  <w:style w:type="character" w:customStyle="1" w:styleId="COESousTitreChar">
    <w:name w:val="COE_SousTitre Char"/>
    <w:link w:val="COESousTitre"/>
    <w:rsid w:val="00A9755B"/>
    <w:rPr>
      <w:rFonts w:ascii="Verdana" w:eastAsia="Times New Roman" w:hAnsi="Verdana"/>
      <w:sz w:val="28"/>
      <w:szCs w:val="28"/>
      <w:lang w:val="fr-FR" w:eastAsia="fr-FR"/>
    </w:rPr>
  </w:style>
  <w:style w:type="paragraph" w:styleId="TOC1">
    <w:name w:val="toc 1"/>
    <w:basedOn w:val="Normal"/>
    <w:next w:val="Normal"/>
    <w:link w:val="TOC1Char"/>
    <w:autoRedefine/>
    <w:uiPriority w:val="39"/>
    <w:qFormat/>
    <w:rsid w:val="000A1889"/>
    <w:pPr>
      <w:tabs>
        <w:tab w:val="left" w:pos="709"/>
        <w:tab w:val="right" w:leader="dot" w:pos="9639"/>
      </w:tabs>
      <w:spacing w:before="120"/>
    </w:pPr>
    <w:rPr>
      <w:rFonts w:asciiTheme="majorHAnsi" w:eastAsia="Times New Roman" w:hAnsiTheme="majorHAnsi"/>
      <w:b/>
      <w:bCs/>
      <w:caps/>
      <w:sz w:val="24"/>
      <w:szCs w:val="24"/>
      <w:lang w:val="fr-FR" w:eastAsia="fr-FR"/>
    </w:rPr>
  </w:style>
  <w:style w:type="paragraph" w:styleId="TOC4">
    <w:name w:val="toc 4"/>
    <w:basedOn w:val="Normal"/>
    <w:next w:val="Normal"/>
    <w:autoRedefine/>
    <w:uiPriority w:val="39"/>
    <w:rsid w:val="00A9755B"/>
    <w:pPr>
      <w:ind w:left="400"/>
    </w:pPr>
    <w:rPr>
      <w:rFonts w:asciiTheme="minorHAnsi" w:eastAsia="Times New Roman" w:hAnsiTheme="minorHAnsi"/>
      <w:szCs w:val="20"/>
      <w:lang w:val="fr-FR" w:eastAsia="fr-FR"/>
    </w:rPr>
  </w:style>
  <w:style w:type="paragraph" w:customStyle="1" w:styleId="Style1">
    <w:name w:val="Style1"/>
    <w:basedOn w:val="COEHeading1"/>
    <w:link w:val="Style1Char"/>
    <w:autoRedefine/>
    <w:qFormat/>
    <w:rsid w:val="00A9755B"/>
    <w:rPr>
      <w:sz w:val="28"/>
    </w:rPr>
  </w:style>
  <w:style w:type="paragraph" w:customStyle="1" w:styleId="StyleCMAuthorGray-50">
    <w:name w:val="Style CM_Author + Gray-50%"/>
    <w:basedOn w:val="CMAuthor"/>
    <w:autoRedefine/>
    <w:rsid w:val="00A9755B"/>
    <w:rPr>
      <w:bCs/>
      <w:iCs/>
    </w:rPr>
  </w:style>
  <w:style w:type="paragraph" w:customStyle="1" w:styleId="CMNormal">
    <w:name w:val="CM_Normal"/>
    <w:basedOn w:val="Normal"/>
    <w:rsid w:val="00A9755B"/>
    <w:rPr>
      <w:rFonts w:eastAsia="Times New Roman" w:cs="Arial"/>
      <w:color w:val="000000"/>
      <w:szCs w:val="20"/>
      <w:lang w:eastAsia="fr-FR"/>
    </w:rPr>
  </w:style>
  <w:style w:type="paragraph" w:customStyle="1" w:styleId="CMRightAlign">
    <w:name w:val="CM_RightAlign"/>
    <w:basedOn w:val="Normal"/>
    <w:rsid w:val="00A9755B"/>
    <w:pPr>
      <w:jc w:val="right"/>
    </w:pPr>
    <w:rPr>
      <w:rFonts w:eastAsia="Times New Roman" w:cs="Arial"/>
      <w:color w:val="000000"/>
      <w:szCs w:val="20"/>
      <w:lang w:eastAsia="fr-FR"/>
    </w:rPr>
  </w:style>
  <w:style w:type="paragraph" w:customStyle="1" w:styleId="COETitleSystem">
    <w:name w:val="COE_Title(System)"/>
    <w:basedOn w:val="Normal"/>
    <w:next w:val="Normal"/>
    <w:rsid w:val="00A9755B"/>
    <w:rPr>
      <w:rFonts w:ascii="Verdana" w:eastAsia="Times New Roman" w:hAnsi="Verdana"/>
      <w:bCs/>
      <w:color w:val="808080"/>
      <w:sz w:val="26"/>
      <w:szCs w:val="24"/>
      <w:lang w:val="fr-FR" w:eastAsia="fr-FR"/>
    </w:rPr>
  </w:style>
  <w:style w:type="paragraph" w:customStyle="1" w:styleId="COETitleBrowser">
    <w:name w:val="COE_Title(Browser)"/>
    <w:basedOn w:val="COETitleSystem"/>
    <w:next w:val="Normal"/>
    <w:rsid w:val="00A9755B"/>
    <w:rPr>
      <w:color w:val="C0C0C0"/>
      <w:sz w:val="16"/>
    </w:rPr>
  </w:style>
  <w:style w:type="paragraph" w:customStyle="1" w:styleId="COEWCDSearchParams">
    <w:name w:val="COE_WCD_SearchParams"/>
    <w:basedOn w:val="Normal"/>
    <w:autoRedefine/>
    <w:rsid w:val="00A9755B"/>
    <w:rPr>
      <w:rFonts w:ascii="Verdana" w:eastAsia="Times New Roman" w:hAnsi="Verdana"/>
      <w:szCs w:val="24"/>
    </w:rPr>
  </w:style>
  <w:style w:type="paragraph" w:customStyle="1" w:styleId="Style2">
    <w:name w:val="Style2"/>
    <w:basedOn w:val="COEHeading2"/>
    <w:link w:val="Style2Char"/>
    <w:qFormat/>
    <w:rsid w:val="00A9755B"/>
    <w:rPr>
      <w:rFonts w:ascii="Arial" w:hAnsi="Arial"/>
    </w:rPr>
  </w:style>
  <w:style w:type="character" w:styleId="LineNumber">
    <w:name w:val="line number"/>
    <w:basedOn w:val="DefaultParagraphFont"/>
    <w:rsid w:val="00A9755B"/>
  </w:style>
  <w:style w:type="character" w:customStyle="1" w:styleId="txtterm1">
    <w:name w:val="txtterm1"/>
    <w:rsid w:val="00A9755B"/>
    <w:rPr>
      <w:rFonts w:ascii="Times New Roman" w:hAnsi="Times New Roman" w:cs="Times New Roman" w:hint="default"/>
      <w:b/>
      <w:bCs/>
      <w:color w:val="000000"/>
      <w:sz w:val="22"/>
      <w:szCs w:val="22"/>
    </w:rPr>
  </w:style>
  <w:style w:type="paragraph" w:customStyle="1" w:styleId="cmsubtitle0">
    <w:name w:val="cm_subtitle"/>
    <w:basedOn w:val="Normal"/>
    <w:rsid w:val="00A9755B"/>
    <w:rPr>
      <w:rFonts w:ascii="Verdana" w:eastAsia="Times New Roman" w:hAnsi="Verdana"/>
      <w:color w:val="013870"/>
      <w:szCs w:val="20"/>
      <w:lang w:val="en-US"/>
    </w:rPr>
  </w:style>
  <w:style w:type="paragraph" w:customStyle="1" w:styleId="Listeafsnit">
    <w:name w:val="Listeafsnit"/>
    <w:basedOn w:val="Normal"/>
    <w:uiPriority w:val="34"/>
    <w:qFormat/>
    <w:rsid w:val="00A9755B"/>
    <w:pPr>
      <w:ind w:left="1304"/>
    </w:pPr>
    <w:rPr>
      <w:rFonts w:ascii="Times New Roman" w:eastAsia="Times New Roman" w:hAnsi="Times New Roman"/>
      <w:sz w:val="24"/>
      <w:szCs w:val="24"/>
      <w:lang w:val="en-US"/>
    </w:rPr>
  </w:style>
  <w:style w:type="paragraph" w:styleId="PlainText">
    <w:name w:val="Plain Text"/>
    <w:basedOn w:val="Normal"/>
    <w:link w:val="PlainTextChar"/>
    <w:unhideWhenUsed/>
    <w:rsid w:val="00A9755B"/>
    <w:rPr>
      <w:rFonts w:ascii="Calibri" w:hAnsi="Calibri"/>
      <w:sz w:val="22"/>
      <w:szCs w:val="21"/>
    </w:rPr>
  </w:style>
  <w:style w:type="character" w:customStyle="1" w:styleId="PlainTextChar">
    <w:name w:val="Plain Text Char"/>
    <w:basedOn w:val="DefaultParagraphFont"/>
    <w:link w:val="PlainText"/>
    <w:rsid w:val="00A9755B"/>
    <w:rPr>
      <w:sz w:val="22"/>
      <w:szCs w:val="21"/>
      <w:lang w:eastAsia="en-US"/>
    </w:rPr>
  </w:style>
  <w:style w:type="paragraph" w:customStyle="1" w:styleId="NormalWeb1">
    <w:name w:val="Normal (Web)1"/>
    <w:rsid w:val="00A9755B"/>
    <w:pPr>
      <w:spacing w:before="150" w:after="150"/>
    </w:pPr>
    <w:rPr>
      <w:rFonts w:ascii="Times New Roman" w:eastAsia="ヒラギノ角ゴ Pro W3" w:hAnsi="Times New Roman"/>
      <w:color w:val="000000"/>
      <w:sz w:val="24"/>
      <w:lang w:val="en-US"/>
    </w:rPr>
  </w:style>
  <w:style w:type="paragraph" w:styleId="BodyText">
    <w:name w:val="Body Text"/>
    <w:aliases w:val="FATF-text"/>
    <w:basedOn w:val="Normal"/>
    <w:link w:val="BodyTextChar"/>
    <w:rsid w:val="00A9755B"/>
    <w:pPr>
      <w:jc w:val="center"/>
    </w:pPr>
    <w:rPr>
      <w:rFonts w:ascii="Times New Roman" w:eastAsia="MS Mincho" w:hAnsi="Times New Roman"/>
      <w:b/>
      <w:sz w:val="24"/>
      <w:szCs w:val="20"/>
      <w:u w:val="single"/>
    </w:rPr>
  </w:style>
  <w:style w:type="character" w:customStyle="1" w:styleId="BodyTextChar">
    <w:name w:val="Body Text Char"/>
    <w:aliases w:val="FATF-text Char"/>
    <w:basedOn w:val="DefaultParagraphFont"/>
    <w:link w:val="BodyText"/>
    <w:rsid w:val="00A9755B"/>
    <w:rPr>
      <w:rFonts w:ascii="Times New Roman" w:eastAsia="MS Mincho" w:hAnsi="Times New Roman"/>
      <w:b/>
      <w:sz w:val="24"/>
      <w:u w:val="single"/>
      <w:lang w:eastAsia="en-US"/>
    </w:rPr>
  </w:style>
  <w:style w:type="paragraph" w:customStyle="1" w:styleId="Car">
    <w:name w:val="Car"/>
    <w:basedOn w:val="Normal"/>
    <w:rsid w:val="00A9755B"/>
    <w:rPr>
      <w:rFonts w:ascii="Times New Roman" w:eastAsia="Times New Roman" w:hAnsi="Times New Roman"/>
      <w:szCs w:val="24"/>
      <w:lang w:val="pl-PL" w:eastAsia="pl-PL"/>
    </w:rPr>
  </w:style>
  <w:style w:type="paragraph" w:styleId="BodyText3">
    <w:name w:val="Body Text 3"/>
    <w:basedOn w:val="Normal"/>
    <w:link w:val="BodyText3Char"/>
    <w:rsid w:val="00A9755B"/>
    <w:pPr>
      <w:tabs>
        <w:tab w:val="left" w:pos="-1440"/>
        <w:tab w:val="left" w:pos="-864"/>
        <w:tab w:val="left" w:pos="-432"/>
        <w:tab w:val="left" w:pos="1296"/>
        <w:tab w:val="left" w:pos="1728"/>
        <w:tab w:val="left" w:pos="2160"/>
      </w:tabs>
      <w:suppressAutoHyphens/>
      <w:jc w:val="both"/>
    </w:pPr>
    <w:rPr>
      <w:rFonts w:eastAsia="Times New Roman" w:cs="Arial"/>
      <w:szCs w:val="24"/>
      <w:lang w:eastAsia="fr-FR"/>
    </w:rPr>
  </w:style>
  <w:style w:type="character" w:customStyle="1" w:styleId="BodyText3Char">
    <w:name w:val="Body Text 3 Char"/>
    <w:basedOn w:val="DefaultParagraphFont"/>
    <w:link w:val="BodyText3"/>
    <w:rsid w:val="00A9755B"/>
    <w:rPr>
      <w:rFonts w:ascii="Arial" w:eastAsia="Times New Roman" w:hAnsi="Arial" w:cs="Arial"/>
      <w:szCs w:val="24"/>
      <w:lang w:eastAsia="fr-FR"/>
    </w:rPr>
  </w:style>
  <w:style w:type="paragraph" w:styleId="Title">
    <w:name w:val="Title"/>
    <w:basedOn w:val="Normal"/>
    <w:link w:val="TitleChar"/>
    <w:qFormat/>
    <w:rsid w:val="00A9755B"/>
    <w:pPr>
      <w:autoSpaceDE w:val="0"/>
      <w:autoSpaceDN w:val="0"/>
      <w:adjustRightInd w:val="0"/>
      <w:jc w:val="center"/>
    </w:pPr>
    <w:rPr>
      <w:rFonts w:eastAsia="Times New Roman"/>
      <w:b/>
      <w:sz w:val="28"/>
      <w:szCs w:val="20"/>
      <w:u w:val="single"/>
      <w:lang w:val="fr-FR"/>
    </w:rPr>
  </w:style>
  <w:style w:type="character" w:customStyle="1" w:styleId="TitleChar">
    <w:name w:val="Title Char"/>
    <w:basedOn w:val="DefaultParagraphFont"/>
    <w:link w:val="Title"/>
    <w:rsid w:val="00A9755B"/>
    <w:rPr>
      <w:rFonts w:ascii="Arial" w:eastAsia="Times New Roman" w:hAnsi="Arial"/>
      <w:b/>
      <w:sz w:val="28"/>
      <w:u w:val="single"/>
      <w:lang w:val="fr-FR" w:eastAsia="en-US"/>
    </w:rPr>
  </w:style>
  <w:style w:type="paragraph" w:customStyle="1" w:styleId="BalloonText1">
    <w:name w:val="Balloon Text1"/>
    <w:basedOn w:val="Normal"/>
    <w:semiHidden/>
    <w:rsid w:val="00A9755B"/>
    <w:rPr>
      <w:rFonts w:ascii="Tahoma" w:eastAsia="Times New Roman" w:hAnsi="Tahoma" w:cs="Tahoma"/>
      <w:sz w:val="16"/>
      <w:szCs w:val="16"/>
      <w:lang w:eastAsia="fr-FR"/>
    </w:rPr>
  </w:style>
  <w:style w:type="paragraph" w:styleId="BodyText2">
    <w:name w:val="Body Text 2"/>
    <w:basedOn w:val="Normal"/>
    <w:link w:val="BodyText2Char"/>
    <w:rsid w:val="00A9755B"/>
    <w:pPr>
      <w:spacing w:after="120" w:line="480" w:lineRule="auto"/>
    </w:pPr>
    <w:rPr>
      <w:rFonts w:eastAsia="Times"/>
      <w:szCs w:val="20"/>
    </w:rPr>
  </w:style>
  <w:style w:type="character" w:customStyle="1" w:styleId="BodyText2Char">
    <w:name w:val="Body Text 2 Char"/>
    <w:basedOn w:val="DefaultParagraphFont"/>
    <w:link w:val="BodyText2"/>
    <w:rsid w:val="00A9755B"/>
    <w:rPr>
      <w:rFonts w:ascii="Arial" w:eastAsia="Times" w:hAnsi="Arial"/>
      <w:lang w:eastAsia="en-US"/>
    </w:rPr>
  </w:style>
  <w:style w:type="paragraph" w:customStyle="1" w:styleId="Adressedelexpditeur">
    <w:name w:val="Adresse de l'expéditeur"/>
    <w:basedOn w:val="Normal"/>
    <w:rsid w:val="00A9755B"/>
    <w:rPr>
      <w:rFonts w:ascii="Times New Roman" w:eastAsia="Times New Roman" w:hAnsi="Times New Roman"/>
      <w:szCs w:val="20"/>
      <w:lang w:val="fr-FR"/>
    </w:rPr>
  </w:style>
  <w:style w:type="paragraph" w:customStyle="1" w:styleId="COEParagraphn">
    <w:name w:val="COE_Paragraph_n"/>
    <w:basedOn w:val="Normal"/>
    <w:rsid w:val="00A9755B"/>
    <w:pPr>
      <w:numPr>
        <w:numId w:val="2"/>
      </w:numPr>
      <w:spacing w:before="240" w:after="120"/>
      <w:jc w:val="both"/>
    </w:pPr>
    <w:rPr>
      <w:rFonts w:ascii="Times New Roman" w:eastAsia="Times New Roman" w:hAnsi="Times New Roman"/>
      <w:szCs w:val="24"/>
      <w:lang w:eastAsia="fr-FR"/>
    </w:rPr>
  </w:style>
  <w:style w:type="paragraph" w:customStyle="1" w:styleId="COEHeading5">
    <w:name w:val="COE_Heading5"/>
    <w:basedOn w:val="Normal"/>
    <w:next w:val="Normal"/>
    <w:rsid w:val="00A9755B"/>
    <w:pPr>
      <w:numPr>
        <w:numId w:val="3"/>
      </w:numPr>
      <w:tabs>
        <w:tab w:val="clear" w:pos="1440"/>
        <w:tab w:val="num" w:pos="360"/>
      </w:tabs>
      <w:ind w:left="360" w:right="-750" w:hanging="360"/>
      <w:jc w:val="both"/>
    </w:pPr>
    <w:rPr>
      <w:rFonts w:ascii="Times New Roman" w:eastAsia="Times New Roman" w:hAnsi="Times New Roman"/>
      <w:szCs w:val="24"/>
      <w:lang w:val="en-US" w:eastAsia="fr-FR"/>
    </w:rPr>
  </w:style>
  <w:style w:type="paragraph" w:customStyle="1" w:styleId="CommentSubject1">
    <w:name w:val="Comment Subject1"/>
    <w:basedOn w:val="CommentText"/>
    <w:next w:val="CommentText"/>
    <w:semiHidden/>
    <w:rsid w:val="00A9755B"/>
    <w:rPr>
      <w:rFonts w:ascii="Times" w:eastAsia="Times" w:hAnsi="Times"/>
      <w:b/>
      <w:bCs/>
      <w:sz w:val="20"/>
      <w:szCs w:val="20"/>
    </w:rPr>
  </w:style>
  <w:style w:type="paragraph" w:customStyle="1" w:styleId="Heading3-drugi">
    <w:name w:val="Heading 3 - drugi"/>
    <w:basedOn w:val="Heading3"/>
    <w:rsid w:val="00A9755B"/>
    <w:pPr>
      <w:keepLines w:val="0"/>
      <w:numPr>
        <w:ilvl w:val="1"/>
      </w:numPr>
      <w:adjustRightInd w:val="0"/>
      <w:spacing w:before="0" w:line="360" w:lineRule="atLeast"/>
      <w:ind w:left="1080" w:hanging="720"/>
      <w:jc w:val="both"/>
      <w:textAlignment w:val="baseline"/>
    </w:pPr>
    <w:rPr>
      <w:rFonts w:ascii="Times New Roman" w:eastAsia="Times New Roman" w:hAnsi="Times New Roman" w:cs="Times New Roman"/>
      <w:b/>
      <w:bCs/>
      <w:iCs/>
      <w:color w:val="auto"/>
      <w:sz w:val="28"/>
      <w:szCs w:val="20"/>
      <w:lang w:val="en-US"/>
    </w:rPr>
  </w:style>
  <w:style w:type="paragraph" w:customStyle="1" w:styleId="CarCarChar">
    <w:name w:val="Car Car Char"/>
    <w:basedOn w:val="Normal"/>
    <w:rsid w:val="00A9755B"/>
    <w:pPr>
      <w:spacing w:after="160" w:line="240" w:lineRule="exact"/>
    </w:pPr>
    <w:rPr>
      <w:rFonts w:eastAsia="Times New Roman" w:cs="Arial"/>
      <w:szCs w:val="20"/>
      <w:lang w:val="en-US"/>
    </w:rPr>
  </w:style>
  <w:style w:type="character" w:customStyle="1" w:styleId="mw-headline">
    <w:name w:val="mw-headline"/>
    <w:rsid w:val="00A9755B"/>
  </w:style>
  <w:style w:type="character" w:customStyle="1" w:styleId="unicode">
    <w:name w:val="unicode"/>
    <w:rsid w:val="00A9755B"/>
  </w:style>
  <w:style w:type="paragraph" w:customStyle="1" w:styleId="Listeavsnitt">
    <w:name w:val="Listeavsnitt"/>
    <w:basedOn w:val="Normal"/>
    <w:qFormat/>
    <w:rsid w:val="00A9755B"/>
    <w:pPr>
      <w:ind w:left="708"/>
    </w:pPr>
    <w:rPr>
      <w:rFonts w:eastAsia="Times"/>
      <w:szCs w:val="20"/>
    </w:rPr>
  </w:style>
  <w:style w:type="paragraph" w:customStyle="1" w:styleId="Brevoverskrift">
    <w:name w:val="Brevoverskrift"/>
    <w:basedOn w:val="Normal"/>
    <w:next w:val="Normal"/>
    <w:rsid w:val="00A9755B"/>
    <w:pPr>
      <w:spacing w:after="300"/>
    </w:pPr>
    <w:rPr>
      <w:rFonts w:ascii="DepCentury Old Style" w:eastAsia="Times New Roman" w:hAnsi="DepCentury Old Style"/>
      <w:b/>
      <w:sz w:val="28"/>
      <w:szCs w:val="20"/>
      <w:lang w:val="nb-NO"/>
    </w:rPr>
  </w:style>
  <w:style w:type="character" w:customStyle="1" w:styleId="A4">
    <w:name w:val="A4"/>
    <w:rsid w:val="00A9755B"/>
    <w:rPr>
      <w:rFonts w:ascii="Myriad Pro" w:hAnsi="Myriad Pro" w:hint="default"/>
      <w:color w:val="000000"/>
      <w:lang w:val="en-GB"/>
    </w:rPr>
  </w:style>
  <w:style w:type="paragraph" w:customStyle="1" w:styleId="Listenabsatz1">
    <w:name w:val="Listenabsatz1"/>
    <w:basedOn w:val="Normal"/>
    <w:uiPriority w:val="34"/>
    <w:qFormat/>
    <w:rsid w:val="00A9755B"/>
    <w:pPr>
      <w:ind w:left="708"/>
    </w:pPr>
    <w:rPr>
      <w:rFonts w:eastAsia="Times"/>
      <w:szCs w:val="20"/>
    </w:rPr>
  </w:style>
  <w:style w:type="character" w:customStyle="1" w:styleId="TextChar">
    <w:name w:val="Text Char"/>
    <w:link w:val="Text"/>
    <w:rsid w:val="00A9755B"/>
    <w:rPr>
      <w:sz w:val="24"/>
      <w:szCs w:val="24"/>
      <w:lang w:val="cs-CZ" w:eastAsia="cs-CZ"/>
    </w:rPr>
  </w:style>
  <w:style w:type="paragraph" w:customStyle="1" w:styleId="Text">
    <w:name w:val="Text"/>
    <w:basedOn w:val="Normal"/>
    <w:link w:val="TextChar"/>
    <w:rsid w:val="00A9755B"/>
    <w:pPr>
      <w:spacing w:before="120"/>
      <w:ind w:firstLine="851"/>
    </w:pPr>
    <w:rPr>
      <w:rFonts w:ascii="Calibri" w:hAnsi="Calibri"/>
      <w:sz w:val="24"/>
      <w:szCs w:val="24"/>
      <w:lang w:val="cs-CZ" w:eastAsia="cs-CZ"/>
    </w:rPr>
  </w:style>
  <w:style w:type="character" w:customStyle="1" w:styleId="COEHeading2Char">
    <w:name w:val="COE_Heading2 Char"/>
    <w:link w:val="COEHeading2"/>
    <w:rsid w:val="00A9755B"/>
    <w:rPr>
      <w:rFonts w:ascii="Verdana" w:eastAsia="Times New Roman" w:hAnsi="Verdana"/>
      <w:b/>
      <w:szCs w:val="28"/>
      <w:lang w:eastAsia="en-US"/>
    </w:rPr>
  </w:style>
  <w:style w:type="paragraph" w:styleId="NoSpacing">
    <w:name w:val="No Spacing"/>
    <w:link w:val="NoSpacingChar"/>
    <w:uiPriority w:val="1"/>
    <w:qFormat/>
    <w:rsid w:val="00A9755B"/>
    <w:rPr>
      <w:rFonts w:ascii="Arial" w:eastAsia="Times" w:hAnsi="Arial"/>
      <w:lang w:eastAsia="en-US"/>
    </w:rPr>
  </w:style>
  <w:style w:type="character" w:styleId="Emphasis">
    <w:name w:val="Emphasis"/>
    <w:uiPriority w:val="20"/>
    <w:qFormat/>
    <w:rsid w:val="00A9755B"/>
    <w:rPr>
      <w:i/>
      <w:iCs/>
    </w:rPr>
  </w:style>
  <w:style w:type="paragraph" w:styleId="Revision">
    <w:name w:val="Revision"/>
    <w:hidden/>
    <w:uiPriority w:val="99"/>
    <w:semiHidden/>
    <w:rsid w:val="00A9755B"/>
    <w:rPr>
      <w:rFonts w:ascii="Arial" w:eastAsia="Times" w:hAnsi="Arial"/>
      <w:lang w:eastAsia="en-US"/>
    </w:rPr>
  </w:style>
  <w:style w:type="character" w:customStyle="1" w:styleId="underskriftChar">
    <w:name w:val="underskrift Char"/>
    <w:link w:val="underskrift"/>
    <w:locked/>
    <w:rsid w:val="00A9755B"/>
    <w:rPr>
      <w:noProof/>
      <w:sz w:val="24"/>
      <w:lang w:eastAsia="en-US"/>
    </w:rPr>
  </w:style>
  <w:style w:type="paragraph" w:customStyle="1" w:styleId="underskrift">
    <w:name w:val="underskrift"/>
    <w:next w:val="Normal"/>
    <w:link w:val="underskriftChar"/>
    <w:rsid w:val="00A9755B"/>
    <w:pPr>
      <w:spacing w:line="300" w:lineRule="exact"/>
      <w:ind w:left="5387"/>
    </w:pPr>
    <w:rPr>
      <w:noProof/>
      <w:sz w:val="24"/>
      <w:lang w:eastAsia="en-US"/>
    </w:rPr>
  </w:style>
  <w:style w:type="character" w:customStyle="1" w:styleId="Style1Char">
    <w:name w:val="Style1 Char"/>
    <w:link w:val="Style1"/>
    <w:locked/>
    <w:rsid w:val="00A9755B"/>
    <w:rPr>
      <w:rFonts w:ascii="Arial" w:eastAsia="Times New Roman" w:hAnsi="Arial"/>
      <w:b/>
      <w:sz w:val="28"/>
      <w:szCs w:val="32"/>
      <w:lang w:eastAsia="en-US"/>
    </w:rPr>
  </w:style>
  <w:style w:type="character" w:customStyle="1" w:styleId="Style2Char">
    <w:name w:val="Style2 Char"/>
    <w:link w:val="Style2"/>
    <w:locked/>
    <w:rsid w:val="00A9755B"/>
    <w:rPr>
      <w:rFonts w:ascii="Arial" w:eastAsia="Times New Roman" w:hAnsi="Arial"/>
      <w:b/>
      <w:szCs w:val="28"/>
      <w:lang w:eastAsia="en-US"/>
    </w:rPr>
  </w:style>
  <w:style w:type="paragraph" w:customStyle="1" w:styleId="FootnoteReferenceCharCarCharCharCarCharCarCharCarCharCarCharCharCarCarCharCharCharCharCharCar">
    <w:name w:val="Footnote Reference Char Car Char Char Car Char Car Char Car Char Car Char Char Car Car Char Char Char Char Char Car"/>
    <w:aliases w:val="Footnote Reference Char Car Char Char Car Char Car Char Car Char Car Char Char Car Car Char Char Car Car"/>
    <w:basedOn w:val="Normal"/>
    <w:link w:val="FootnoteReference"/>
    <w:rsid w:val="00A9755B"/>
    <w:pPr>
      <w:spacing w:after="160" w:line="240" w:lineRule="exact"/>
    </w:pPr>
    <w:rPr>
      <w:rFonts w:ascii="Calibri" w:hAnsi="Calibri"/>
      <w:szCs w:val="20"/>
      <w:vertAlign w:val="superscript"/>
      <w:lang w:eastAsia="en-GB"/>
    </w:rPr>
  </w:style>
  <w:style w:type="paragraph" w:customStyle="1" w:styleId="StyleBefore3ptAfter3pt">
    <w:name w:val="Style Before:  3 pt After:  3 pt"/>
    <w:basedOn w:val="Normal"/>
    <w:rsid w:val="00A9755B"/>
    <w:pPr>
      <w:numPr>
        <w:numId w:val="4"/>
      </w:numPr>
      <w:spacing w:after="120"/>
      <w:jc w:val="both"/>
    </w:pPr>
    <w:rPr>
      <w:rFonts w:ascii="Times New Roman" w:hAnsi="Times New Roman"/>
      <w:sz w:val="22"/>
      <w:szCs w:val="24"/>
    </w:rPr>
  </w:style>
  <w:style w:type="paragraph" w:customStyle="1" w:styleId="CharCharCharCharCharCharCharCharCharCharCharCharCharChar">
    <w:name w:val="Char Char Char Char Char Char Char Char Char Char Char Char Char Char"/>
    <w:basedOn w:val="Normal"/>
    <w:rsid w:val="00A9755B"/>
    <w:pPr>
      <w:spacing w:after="160" w:line="240" w:lineRule="exact"/>
      <w:jc w:val="both"/>
    </w:pPr>
    <w:rPr>
      <w:rFonts w:eastAsia="Times New Roman" w:cs="Arial"/>
      <w:sz w:val="22"/>
      <w:szCs w:val="20"/>
      <w:lang w:val="en-US"/>
    </w:rPr>
  </w:style>
  <w:style w:type="character" w:customStyle="1" w:styleId="docheader1">
    <w:name w:val="doc_header1"/>
    <w:rsid w:val="00A9755B"/>
    <w:rPr>
      <w:rFonts w:ascii="Times New Roman" w:hAnsi="Times New Roman" w:cs="Times New Roman" w:hint="default"/>
      <w:b/>
      <w:bCs/>
      <w:color w:val="000000"/>
      <w:sz w:val="24"/>
      <w:szCs w:val="24"/>
    </w:rPr>
  </w:style>
  <w:style w:type="paragraph" w:customStyle="1" w:styleId="Prrafodelista">
    <w:name w:val="Párrafo de lista"/>
    <w:basedOn w:val="Normal"/>
    <w:qFormat/>
    <w:rsid w:val="00A9755B"/>
    <w:pPr>
      <w:spacing w:after="200"/>
      <w:ind w:left="720"/>
      <w:contextualSpacing/>
      <w:jc w:val="both"/>
    </w:pPr>
    <w:rPr>
      <w:rFonts w:ascii="Cambria" w:eastAsia="Cambria" w:hAnsi="Cambria"/>
      <w:sz w:val="24"/>
      <w:szCs w:val="24"/>
    </w:rPr>
  </w:style>
  <w:style w:type="paragraph" w:customStyle="1" w:styleId="Paragraphedeliste1">
    <w:name w:val="Paragraphe de liste1"/>
    <w:basedOn w:val="Normal"/>
    <w:qFormat/>
    <w:rsid w:val="00A9755B"/>
    <w:pPr>
      <w:numPr>
        <w:numId w:val="10"/>
      </w:numPr>
      <w:suppressAutoHyphens/>
      <w:ind w:left="0" w:firstLine="0"/>
      <w:jc w:val="both"/>
    </w:pPr>
    <w:rPr>
      <w:rFonts w:eastAsia="MS Mincho"/>
      <w:sz w:val="22"/>
      <w:szCs w:val="24"/>
      <w:lang w:eastAsia="ar-SA"/>
    </w:rPr>
  </w:style>
  <w:style w:type="paragraph" w:styleId="ListNumber">
    <w:name w:val="List Number"/>
    <w:basedOn w:val="Normal"/>
    <w:rsid w:val="00A9755B"/>
    <w:pPr>
      <w:numPr>
        <w:numId w:val="5"/>
      </w:numPr>
      <w:suppressAutoHyphens/>
      <w:spacing w:after="120"/>
      <w:jc w:val="both"/>
    </w:pPr>
    <w:rPr>
      <w:rFonts w:eastAsia="Times New Roman"/>
      <w:sz w:val="22"/>
      <w:szCs w:val="24"/>
      <w:lang w:val="en-US" w:eastAsia="ar-SA"/>
    </w:rPr>
  </w:style>
  <w:style w:type="paragraph" w:styleId="Caption">
    <w:name w:val="caption"/>
    <w:basedOn w:val="Normal"/>
    <w:next w:val="Normal"/>
    <w:qFormat/>
    <w:rsid w:val="00A9755B"/>
    <w:pPr>
      <w:spacing w:after="120"/>
      <w:jc w:val="both"/>
    </w:pPr>
    <w:rPr>
      <w:rFonts w:eastAsia="Times New Roman"/>
      <w:b/>
      <w:bCs/>
      <w:sz w:val="22"/>
      <w:szCs w:val="20"/>
      <w:lang w:eastAsia="fr-FR"/>
    </w:rPr>
  </w:style>
  <w:style w:type="paragraph" w:customStyle="1" w:styleId="TOCHeading1">
    <w:name w:val="TOC Heading1"/>
    <w:basedOn w:val="Heading1"/>
    <w:next w:val="Normal"/>
    <w:uiPriority w:val="39"/>
    <w:unhideWhenUsed/>
    <w:qFormat/>
    <w:rsid w:val="00A9755B"/>
    <w:pPr>
      <w:spacing w:before="480" w:line="276" w:lineRule="auto"/>
      <w:jc w:val="both"/>
      <w:outlineLvl w:val="9"/>
    </w:pPr>
    <w:rPr>
      <w:rFonts w:ascii="Cambria" w:eastAsia="MS Gothic" w:hAnsi="Cambria" w:cs="Times New Roman"/>
      <w:bCs/>
      <w:color w:val="365F91"/>
      <w:w w:val="105"/>
      <w:sz w:val="28"/>
      <w:szCs w:val="28"/>
      <w:lang w:val="en-US" w:eastAsia="ja-JP"/>
    </w:rPr>
  </w:style>
  <w:style w:type="paragraph" w:customStyle="1" w:styleId="LDHeading1">
    <w:name w:val="LDHeading1"/>
    <w:basedOn w:val="Heading10"/>
    <w:link w:val="LDHeading1Char"/>
    <w:qFormat/>
    <w:rsid w:val="00A9755B"/>
    <w:pPr>
      <w:jc w:val="left"/>
    </w:pPr>
    <w:rPr>
      <w:smallCaps/>
    </w:rPr>
  </w:style>
  <w:style w:type="character" w:customStyle="1" w:styleId="LDHeading1Char">
    <w:name w:val="LDHeading1 Char"/>
    <w:link w:val="LDHeading1"/>
    <w:rsid w:val="00A9755B"/>
    <w:rPr>
      <w:rFonts w:ascii="Arial" w:eastAsia="Times New Roman" w:hAnsi="Arial" w:cs="Arial"/>
      <w:b/>
      <w:bCs/>
      <w:caps/>
      <w:smallCaps/>
      <w:color w:val="17365D"/>
      <w:w w:val="105"/>
      <w:kern w:val="28"/>
      <w:sz w:val="24"/>
      <w:lang w:eastAsia="zh-CN"/>
    </w:rPr>
  </w:style>
  <w:style w:type="paragraph" w:customStyle="1" w:styleId="LDHeading3">
    <w:name w:val="LDHeading3"/>
    <w:basedOn w:val="Normal"/>
    <w:link w:val="LDHeading3Char"/>
    <w:qFormat/>
    <w:rsid w:val="00A9755B"/>
    <w:pPr>
      <w:keepNext/>
      <w:widowControl w:val="0"/>
      <w:numPr>
        <w:numId w:val="9"/>
      </w:numPr>
      <w:tabs>
        <w:tab w:val="left" w:pos="-1134"/>
      </w:tabs>
      <w:spacing w:after="120"/>
      <w:ind w:right="284"/>
      <w:jc w:val="both"/>
      <w:outlineLvl w:val="1"/>
    </w:pPr>
    <w:rPr>
      <w:rFonts w:eastAsia="Times New Roman" w:cs="Arial"/>
      <w:b/>
      <w:color w:val="000000"/>
      <w:sz w:val="22"/>
      <w:szCs w:val="20"/>
      <w:lang w:eastAsia="fr-FR"/>
    </w:rPr>
  </w:style>
  <w:style w:type="character" w:customStyle="1" w:styleId="LDHeading3Char">
    <w:name w:val="LDHeading3 Char"/>
    <w:link w:val="LDHeading3"/>
    <w:rsid w:val="00A9755B"/>
    <w:rPr>
      <w:rFonts w:ascii="Arial" w:eastAsia="Times New Roman" w:hAnsi="Arial" w:cs="Arial"/>
      <w:b/>
      <w:color w:val="000000"/>
      <w:sz w:val="22"/>
      <w:lang w:eastAsia="fr-FR"/>
    </w:rPr>
  </w:style>
  <w:style w:type="paragraph" w:customStyle="1" w:styleId="DefaultParagraphFontCharCharCharCharChar">
    <w:name w:val="Default Paragraph Font Char Char Char Char Char"/>
    <w:aliases w:val="Default Paragraph Font Para Char Char Char Char Char Char Char,Default Paragraph Font Char Char11 Char Char Char,Default Paragraph Font Char Char1 Char Char Char Char"/>
    <w:basedOn w:val="Normal"/>
    <w:rsid w:val="00A9755B"/>
    <w:pPr>
      <w:spacing w:after="160" w:line="240" w:lineRule="exact"/>
      <w:jc w:val="both"/>
    </w:pPr>
    <w:rPr>
      <w:rFonts w:eastAsia="Times New Roman" w:cs="Arial"/>
      <w:sz w:val="22"/>
      <w:szCs w:val="20"/>
      <w:lang w:val="en-US"/>
    </w:rPr>
  </w:style>
  <w:style w:type="paragraph" w:styleId="TOC5">
    <w:name w:val="toc 5"/>
    <w:aliases w:val="Annotated Item"/>
    <w:basedOn w:val="Normal"/>
    <w:next w:val="Normal"/>
    <w:autoRedefine/>
    <w:uiPriority w:val="39"/>
    <w:unhideWhenUsed/>
    <w:rsid w:val="00A9755B"/>
    <w:pPr>
      <w:ind w:left="600"/>
    </w:pPr>
    <w:rPr>
      <w:rFonts w:asciiTheme="minorHAnsi" w:eastAsia="Times New Roman" w:hAnsiTheme="minorHAnsi"/>
      <w:szCs w:val="20"/>
      <w:lang w:val="fr-FR" w:eastAsia="fr-FR"/>
    </w:rPr>
  </w:style>
  <w:style w:type="paragraph" w:styleId="TOC6">
    <w:name w:val="toc 6"/>
    <w:basedOn w:val="Normal"/>
    <w:next w:val="Normal"/>
    <w:autoRedefine/>
    <w:uiPriority w:val="39"/>
    <w:unhideWhenUsed/>
    <w:rsid w:val="00A9755B"/>
    <w:pPr>
      <w:ind w:left="800"/>
    </w:pPr>
    <w:rPr>
      <w:rFonts w:asciiTheme="minorHAnsi" w:eastAsia="Times New Roman" w:hAnsiTheme="minorHAnsi"/>
      <w:szCs w:val="20"/>
      <w:lang w:val="fr-FR" w:eastAsia="fr-FR"/>
    </w:rPr>
  </w:style>
  <w:style w:type="paragraph" w:styleId="TOC7">
    <w:name w:val="toc 7"/>
    <w:basedOn w:val="Normal"/>
    <w:next w:val="Normal"/>
    <w:autoRedefine/>
    <w:uiPriority w:val="39"/>
    <w:unhideWhenUsed/>
    <w:rsid w:val="00A9755B"/>
    <w:pPr>
      <w:ind w:left="1000"/>
    </w:pPr>
    <w:rPr>
      <w:rFonts w:asciiTheme="minorHAnsi" w:eastAsia="Times New Roman" w:hAnsiTheme="minorHAnsi"/>
      <w:szCs w:val="20"/>
      <w:lang w:val="fr-FR" w:eastAsia="fr-FR"/>
    </w:rPr>
  </w:style>
  <w:style w:type="paragraph" w:styleId="TOC8">
    <w:name w:val="toc 8"/>
    <w:basedOn w:val="Normal"/>
    <w:next w:val="Normal"/>
    <w:autoRedefine/>
    <w:uiPriority w:val="39"/>
    <w:unhideWhenUsed/>
    <w:rsid w:val="00A9755B"/>
    <w:pPr>
      <w:ind w:left="1200"/>
    </w:pPr>
    <w:rPr>
      <w:rFonts w:asciiTheme="minorHAnsi" w:eastAsia="Times New Roman" w:hAnsiTheme="minorHAnsi"/>
      <w:szCs w:val="20"/>
      <w:lang w:val="fr-FR" w:eastAsia="fr-FR"/>
    </w:rPr>
  </w:style>
  <w:style w:type="paragraph" w:styleId="TOC9">
    <w:name w:val="toc 9"/>
    <w:basedOn w:val="Normal"/>
    <w:next w:val="Normal"/>
    <w:autoRedefine/>
    <w:uiPriority w:val="39"/>
    <w:unhideWhenUsed/>
    <w:rsid w:val="00A9755B"/>
    <w:pPr>
      <w:ind w:left="1400"/>
    </w:pPr>
    <w:rPr>
      <w:rFonts w:asciiTheme="minorHAnsi" w:eastAsia="Times New Roman" w:hAnsiTheme="minorHAnsi"/>
      <w:szCs w:val="20"/>
      <w:lang w:val="fr-FR" w:eastAsia="fr-FR"/>
    </w:rPr>
  </w:style>
  <w:style w:type="paragraph" w:customStyle="1" w:styleId="LDFakeHeading3">
    <w:name w:val="LDFakeHeading3"/>
    <w:basedOn w:val="LDHeading3"/>
    <w:link w:val="LDFakeHeading3Char"/>
    <w:qFormat/>
    <w:rsid w:val="00A9755B"/>
    <w:pPr>
      <w:outlineLvl w:val="9"/>
    </w:pPr>
  </w:style>
  <w:style w:type="paragraph" w:customStyle="1" w:styleId="LDFakeHeading2">
    <w:name w:val="LDFakeHeading2"/>
    <w:basedOn w:val="Heading10"/>
    <w:link w:val="LDFakeHeading2Char"/>
    <w:qFormat/>
    <w:rsid w:val="00A9755B"/>
    <w:pPr>
      <w:tabs>
        <w:tab w:val="num" w:pos="851"/>
      </w:tabs>
    </w:pPr>
  </w:style>
  <w:style w:type="character" w:customStyle="1" w:styleId="LDFakeHeading3Char">
    <w:name w:val="LDFakeHeading3 Char"/>
    <w:link w:val="LDFakeHeading3"/>
    <w:rsid w:val="00A9755B"/>
    <w:rPr>
      <w:rFonts w:ascii="Arial" w:eastAsia="Times New Roman" w:hAnsi="Arial" w:cs="Arial"/>
      <w:b/>
      <w:color w:val="000000"/>
      <w:sz w:val="22"/>
      <w:lang w:eastAsia="fr-FR"/>
    </w:rPr>
  </w:style>
  <w:style w:type="paragraph" w:styleId="List2">
    <w:name w:val="List 2"/>
    <w:basedOn w:val="Normal"/>
    <w:rsid w:val="00A9755B"/>
    <w:pPr>
      <w:spacing w:after="120"/>
      <w:ind w:left="566" w:hanging="283"/>
      <w:contextualSpacing/>
      <w:jc w:val="both"/>
    </w:pPr>
    <w:rPr>
      <w:rFonts w:eastAsia="Times New Roman"/>
      <w:sz w:val="22"/>
      <w:szCs w:val="24"/>
      <w:lang w:eastAsia="fr-FR"/>
    </w:rPr>
  </w:style>
  <w:style w:type="character" w:customStyle="1" w:styleId="LDFakeHeading2Char">
    <w:name w:val="LDFakeHeading2 Char"/>
    <w:link w:val="LDFakeHeading2"/>
    <w:rsid w:val="00A9755B"/>
    <w:rPr>
      <w:rFonts w:ascii="Arial" w:eastAsia="Times New Roman" w:hAnsi="Arial" w:cs="Arial"/>
      <w:b/>
      <w:bCs/>
      <w:caps/>
      <w:color w:val="17365D"/>
      <w:w w:val="105"/>
      <w:kern w:val="28"/>
      <w:sz w:val="24"/>
      <w:lang w:eastAsia="zh-CN"/>
    </w:rPr>
  </w:style>
  <w:style w:type="paragraph" w:styleId="ListBullet2">
    <w:name w:val="List Bullet 2"/>
    <w:basedOn w:val="Normal"/>
    <w:rsid w:val="00A9755B"/>
    <w:pPr>
      <w:numPr>
        <w:numId w:val="6"/>
      </w:numPr>
      <w:tabs>
        <w:tab w:val="clear" w:pos="643"/>
        <w:tab w:val="num" w:pos="720"/>
      </w:tabs>
      <w:ind w:left="720"/>
      <w:jc w:val="both"/>
    </w:pPr>
    <w:rPr>
      <w:rFonts w:ascii="Times New Roman" w:eastAsia="Times New Roman" w:hAnsi="Times New Roman"/>
      <w:sz w:val="22"/>
      <w:szCs w:val="20"/>
      <w:lang w:val="en-US"/>
    </w:rPr>
  </w:style>
  <w:style w:type="paragraph" w:styleId="BodyTextIndent">
    <w:name w:val="Body Text Indent"/>
    <w:basedOn w:val="Normal"/>
    <w:link w:val="BodyTextIndentChar"/>
    <w:rsid w:val="00A9755B"/>
    <w:pPr>
      <w:tabs>
        <w:tab w:val="left" w:pos="570"/>
      </w:tabs>
      <w:ind w:left="570" w:hanging="570"/>
      <w:jc w:val="both"/>
    </w:pPr>
    <w:rPr>
      <w:rFonts w:ascii="Times New Roman" w:eastAsia="Times New Roman" w:hAnsi="Times New Roman"/>
      <w:sz w:val="22"/>
      <w:szCs w:val="24"/>
      <w:lang w:eastAsia="fr-FR"/>
    </w:rPr>
  </w:style>
  <w:style w:type="character" w:customStyle="1" w:styleId="BodyTextIndentChar">
    <w:name w:val="Body Text Indent Char"/>
    <w:basedOn w:val="DefaultParagraphFont"/>
    <w:link w:val="BodyTextIndent"/>
    <w:rsid w:val="00A9755B"/>
    <w:rPr>
      <w:rFonts w:ascii="Times New Roman" w:eastAsia="Times New Roman" w:hAnsi="Times New Roman"/>
      <w:sz w:val="22"/>
      <w:szCs w:val="24"/>
      <w:lang w:eastAsia="fr-FR"/>
    </w:rPr>
  </w:style>
  <w:style w:type="paragraph" w:customStyle="1" w:styleId="ParagraphNumberingChar">
    <w:name w:val="Paragraph Numbering Char"/>
    <w:basedOn w:val="Normal"/>
    <w:rsid w:val="00A9755B"/>
    <w:pPr>
      <w:numPr>
        <w:numId w:val="7"/>
      </w:numPr>
      <w:spacing w:after="240"/>
      <w:jc w:val="both"/>
    </w:pPr>
    <w:rPr>
      <w:rFonts w:ascii="Times New Roman" w:eastAsia="Times New Roman" w:hAnsi="Times New Roman"/>
      <w:sz w:val="22"/>
      <w:lang w:val="en-US"/>
    </w:rPr>
  </w:style>
  <w:style w:type="paragraph" w:customStyle="1" w:styleId="PR">
    <w:name w:val="PR"/>
    <w:rsid w:val="00A9755B"/>
    <w:pPr>
      <w:widowControl w:val="0"/>
      <w:tabs>
        <w:tab w:val="left" w:pos="0"/>
        <w:tab w:val="left" w:pos="708"/>
        <w:tab w:val="left" w:pos="991"/>
        <w:tab w:val="left" w:pos="1417"/>
      </w:tabs>
      <w:suppressAutoHyphens/>
      <w:jc w:val="both"/>
    </w:pPr>
    <w:rPr>
      <w:rFonts w:ascii="Courier" w:eastAsia="Times New Roman" w:hAnsi="Courier"/>
      <w:snapToGrid w:val="0"/>
      <w:spacing w:val="-3"/>
      <w:sz w:val="24"/>
      <w:lang w:val="fr-FR" w:eastAsia="en-US"/>
    </w:rPr>
  </w:style>
  <w:style w:type="paragraph" w:customStyle="1" w:styleId="Num-DocParagraph">
    <w:name w:val="Num-Doc Paragraph"/>
    <w:basedOn w:val="PR"/>
    <w:next w:val="BalloonText"/>
    <w:link w:val="Num-DocParagraph0"/>
    <w:qFormat/>
    <w:rsid w:val="00A9755B"/>
    <w:pPr>
      <w:widowControl/>
      <w:tabs>
        <w:tab w:val="clear" w:pos="0"/>
        <w:tab w:val="clear" w:pos="708"/>
        <w:tab w:val="clear" w:pos="991"/>
        <w:tab w:val="clear" w:pos="1417"/>
        <w:tab w:val="left" w:pos="850"/>
        <w:tab w:val="left" w:pos="1191"/>
        <w:tab w:val="left" w:pos="1531"/>
      </w:tabs>
      <w:suppressAutoHyphens w:val="0"/>
      <w:spacing w:after="240"/>
    </w:pPr>
    <w:rPr>
      <w:rFonts w:ascii="Times New Roman" w:hAnsi="Times New Roman"/>
      <w:snapToGrid/>
      <w:spacing w:val="0"/>
      <w:sz w:val="22"/>
      <w:szCs w:val="22"/>
      <w:lang w:val="en-GB" w:eastAsia="zh-CN"/>
    </w:rPr>
  </w:style>
  <w:style w:type="paragraph" w:customStyle="1" w:styleId="LDbody">
    <w:name w:val="LDbody"/>
    <w:basedOn w:val="Normal"/>
    <w:link w:val="LDbodyChar"/>
    <w:qFormat/>
    <w:rsid w:val="00A9755B"/>
    <w:pPr>
      <w:numPr>
        <w:numId w:val="8"/>
      </w:numPr>
      <w:jc w:val="both"/>
    </w:pPr>
    <w:rPr>
      <w:rFonts w:ascii="Verdana" w:eastAsia="Times New Roman" w:hAnsi="Verdana"/>
      <w:iCs/>
      <w:sz w:val="22"/>
      <w:szCs w:val="20"/>
      <w:lang w:eastAsia="fr-FR"/>
    </w:rPr>
  </w:style>
  <w:style w:type="paragraph" w:customStyle="1" w:styleId="LD3">
    <w:name w:val="LD3"/>
    <w:basedOn w:val="Heading3"/>
    <w:link w:val="LD3Char"/>
    <w:qFormat/>
    <w:rsid w:val="00A9755B"/>
    <w:pPr>
      <w:keepLines w:val="0"/>
      <w:numPr>
        <w:ilvl w:val="1"/>
      </w:numPr>
      <w:tabs>
        <w:tab w:val="left" w:pos="570"/>
      </w:tabs>
      <w:spacing w:before="0"/>
      <w:ind w:left="570" w:hanging="570"/>
      <w:jc w:val="both"/>
    </w:pPr>
    <w:rPr>
      <w:rFonts w:ascii="Verdana" w:eastAsia="Times New Roman" w:hAnsi="Verdana" w:cs="Times New Roman"/>
      <w:bCs/>
      <w:i/>
      <w:iCs/>
      <w:color w:val="1F497D"/>
      <w:sz w:val="20"/>
      <w:szCs w:val="20"/>
    </w:rPr>
  </w:style>
  <w:style w:type="character" w:customStyle="1" w:styleId="LDbodyChar">
    <w:name w:val="LDbody Char"/>
    <w:link w:val="LDbody"/>
    <w:rsid w:val="00A9755B"/>
    <w:rPr>
      <w:rFonts w:ascii="Verdana" w:eastAsia="Times New Roman" w:hAnsi="Verdana"/>
      <w:iCs/>
      <w:sz w:val="22"/>
      <w:lang w:eastAsia="fr-FR"/>
    </w:rPr>
  </w:style>
  <w:style w:type="character" w:customStyle="1" w:styleId="LD3Char">
    <w:name w:val="LD3 Char"/>
    <w:link w:val="LD3"/>
    <w:rsid w:val="00A9755B"/>
    <w:rPr>
      <w:rFonts w:ascii="Verdana" w:eastAsia="Times New Roman" w:hAnsi="Verdana"/>
      <w:bCs/>
      <w:i/>
      <w:iCs/>
      <w:color w:val="1F497D"/>
      <w:lang w:eastAsia="en-US"/>
    </w:rPr>
  </w:style>
  <w:style w:type="paragraph" w:customStyle="1" w:styleId="LDFakeHeading1">
    <w:name w:val="LDFakeHeading1"/>
    <w:basedOn w:val="LDHeading1"/>
    <w:link w:val="LDFakeHeading1Char"/>
    <w:qFormat/>
    <w:rsid w:val="00A9755B"/>
    <w:pPr>
      <w:outlineLvl w:val="9"/>
    </w:pPr>
  </w:style>
  <w:style w:type="character" w:customStyle="1" w:styleId="LDFakeHeading1Char">
    <w:name w:val="LDFakeHeading1 Char"/>
    <w:link w:val="LDFakeHeading1"/>
    <w:rsid w:val="00A9755B"/>
    <w:rPr>
      <w:rFonts w:ascii="Arial" w:eastAsia="Times New Roman" w:hAnsi="Arial" w:cs="Arial"/>
      <w:b/>
      <w:bCs/>
      <w:caps/>
      <w:smallCaps/>
      <w:color w:val="17365D"/>
      <w:w w:val="105"/>
      <w:kern w:val="28"/>
      <w:sz w:val="24"/>
      <w:lang w:eastAsia="zh-CN"/>
    </w:rPr>
  </w:style>
  <w:style w:type="table" w:styleId="TableClassic3">
    <w:name w:val="Table Classic 3"/>
    <w:basedOn w:val="TableNormal"/>
    <w:rsid w:val="00A9755B"/>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2">
    <w:name w:val="Table Classic 2"/>
    <w:basedOn w:val="TableNormal"/>
    <w:rsid w:val="00A9755B"/>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A9755B"/>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NoSpacingChar">
    <w:name w:val="No Spacing Char"/>
    <w:link w:val="NoSpacing"/>
    <w:uiPriority w:val="1"/>
    <w:rsid w:val="00A9755B"/>
    <w:rPr>
      <w:rFonts w:ascii="Arial" w:eastAsia="Times" w:hAnsi="Arial"/>
      <w:lang w:eastAsia="en-US"/>
    </w:rPr>
  </w:style>
  <w:style w:type="character" w:customStyle="1" w:styleId="auto-style12">
    <w:name w:val="auto-style12"/>
    <w:rsid w:val="00A9755B"/>
    <w:rPr>
      <w:caps/>
    </w:rPr>
  </w:style>
  <w:style w:type="paragraph" w:customStyle="1" w:styleId="coecote0">
    <w:name w:val="coe_cote"/>
    <w:basedOn w:val="Normal"/>
    <w:rsid w:val="00A9755B"/>
    <w:pPr>
      <w:spacing w:before="100" w:beforeAutospacing="1" w:after="240"/>
    </w:pPr>
    <w:rPr>
      <w:rFonts w:ascii="Verdana" w:eastAsia="Times New Roman" w:hAnsi="Verdana"/>
      <w:color w:val="000000"/>
      <w:sz w:val="26"/>
      <w:szCs w:val="26"/>
      <w:lang w:eastAsia="en-GB"/>
    </w:rPr>
  </w:style>
  <w:style w:type="paragraph" w:customStyle="1" w:styleId="DefaultParagraphFontCharCharChar">
    <w:name w:val="Default Paragraph Font Char Char Char"/>
    <w:aliases w:val="Default Paragraph Font Para Char Char Char Char Char,Default Paragraph Font Char Char11 Char,Default Paragraph Font Char Char1 Char,Default Paragraph Font Para Char Char Char Char1 Char"/>
    <w:basedOn w:val="Normal"/>
    <w:rsid w:val="00A9755B"/>
    <w:pPr>
      <w:spacing w:after="160" w:line="240" w:lineRule="exact"/>
    </w:pPr>
    <w:rPr>
      <w:rFonts w:eastAsia="Times New Roman" w:cs="Arial"/>
      <w:szCs w:val="20"/>
      <w:lang w:val="en-US"/>
    </w:rPr>
  </w:style>
  <w:style w:type="table" w:styleId="Table3Deffects1">
    <w:name w:val="Table 3D effects 1"/>
    <w:basedOn w:val="TableNormal"/>
    <w:rsid w:val="00A9755B"/>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1">
    <w:name w:val="Table Grid 1"/>
    <w:basedOn w:val="TableNormal"/>
    <w:rsid w:val="00A9755B"/>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st1">
    <w:name w:val="st1"/>
    <w:basedOn w:val="DefaultParagraphFont"/>
    <w:rsid w:val="00A9755B"/>
  </w:style>
  <w:style w:type="table" w:styleId="LightList-Accent1">
    <w:name w:val="Light List Accent 1"/>
    <w:basedOn w:val="TableNormal"/>
    <w:uiPriority w:val="61"/>
    <w:rsid w:val="00A9755B"/>
    <w:rPr>
      <w:rFonts w:ascii="Times New Roman" w:eastAsia="Times New Roman" w:hAnsi="Times New Roman"/>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ListParagraphChar">
    <w:name w:val="List Paragraph Char"/>
    <w:aliases w:val="TOC style Char,lp1 Char,Bullet OSM Char,Proposal Bullet List Char,Dot pt Char,No Spacing1 Char,List Paragraph Char Char Char Char,Indicator Text Char,Numbered Para 1 Char,List Paragraph à moi Char,Welt L Char Char,Welt L Char1"/>
    <w:basedOn w:val="DefaultParagraphFont"/>
    <w:link w:val="ListParagraph"/>
    <w:uiPriority w:val="34"/>
    <w:qFormat/>
    <w:rsid w:val="00845451"/>
    <w:rPr>
      <w:rFonts w:ascii="Arial" w:hAnsi="Arial"/>
      <w:szCs w:val="22"/>
      <w:lang w:eastAsia="en-US"/>
    </w:rPr>
  </w:style>
  <w:style w:type="paragraph" w:styleId="Subtitle">
    <w:name w:val="Subtitle"/>
    <w:basedOn w:val="Normal"/>
    <w:next w:val="Para1"/>
    <w:link w:val="SubtitleChar"/>
    <w:uiPriority w:val="1"/>
    <w:rsid w:val="00277C14"/>
    <w:pPr>
      <w:spacing w:after="240" w:line="280" w:lineRule="exact"/>
      <w:jc w:val="center"/>
    </w:pPr>
    <w:rPr>
      <w:rFonts w:ascii="Times New Roman" w:eastAsiaTheme="minorHAnsi" w:hAnsi="Times New Roman" w:cs="Arial"/>
      <w:sz w:val="24"/>
      <w:szCs w:val="24"/>
    </w:rPr>
  </w:style>
  <w:style w:type="character" w:customStyle="1" w:styleId="SubtitleChar">
    <w:name w:val="Subtitle Char"/>
    <w:basedOn w:val="DefaultParagraphFont"/>
    <w:link w:val="Subtitle"/>
    <w:uiPriority w:val="1"/>
    <w:rsid w:val="00277C14"/>
    <w:rPr>
      <w:rFonts w:ascii="Times New Roman" w:eastAsiaTheme="minorHAnsi" w:hAnsi="Times New Roman" w:cs="Arial"/>
      <w:sz w:val="24"/>
      <w:szCs w:val="24"/>
      <w:lang w:eastAsia="en-US"/>
    </w:rPr>
  </w:style>
  <w:style w:type="paragraph" w:customStyle="1" w:styleId="TableCell">
    <w:name w:val="Table Cell"/>
    <w:basedOn w:val="Normal"/>
    <w:uiPriority w:val="10"/>
    <w:qFormat/>
    <w:rsid w:val="00277C14"/>
    <w:pPr>
      <w:keepNext/>
      <w:keepLines/>
      <w:tabs>
        <w:tab w:val="left" w:pos="340"/>
        <w:tab w:val="left" w:pos="680"/>
      </w:tabs>
      <w:spacing w:before="20" w:after="20" w:line="280" w:lineRule="exact"/>
      <w:jc w:val="right"/>
    </w:pPr>
    <w:rPr>
      <w:rFonts w:ascii="Arial Narrow" w:eastAsia="SimSun" w:hAnsi="Arial Narrow" w:cs="Arial"/>
      <w:sz w:val="17"/>
      <w:szCs w:val="18"/>
    </w:rPr>
  </w:style>
  <w:style w:type="paragraph" w:styleId="EndnoteText">
    <w:name w:val="endnote text"/>
    <w:basedOn w:val="FootnoteText"/>
    <w:link w:val="EndnoteTextChar"/>
    <w:semiHidden/>
    <w:rsid w:val="00277C14"/>
    <w:pPr>
      <w:spacing w:after="120" w:line="280" w:lineRule="exact"/>
      <w:ind w:left="680" w:right="680"/>
      <w:jc w:val="both"/>
    </w:pPr>
    <w:rPr>
      <w:rFonts w:ascii="Times New Roman" w:eastAsia="SimSun" w:hAnsi="Times New Roman"/>
      <w:sz w:val="20"/>
    </w:rPr>
  </w:style>
  <w:style w:type="character" w:customStyle="1" w:styleId="EndnoteTextChar">
    <w:name w:val="Endnote Text Char"/>
    <w:basedOn w:val="DefaultParagraphFont"/>
    <w:link w:val="EndnoteText"/>
    <w:semiHidden/>
    <w:rsid w:val="00277C14"/>
    <w:rPr>
      <w:rFonts w:ascii="Times New Roman" w:eastAsia="SimSun" w:hAnsi="Times New Roman"/>
      <w:lang w:eastAsia="en-US"/>
    </w:rPr>
  </w:style>
  <w:style w:type="paragraph" w:customStyle="1" w:styleId="Numberedlist2">
    <w:name w:val="Numbered list 2"/>
    <w:basedOn w:val="Normal"/>
    <w:next w:val="Para1"/>
    <w:uiPriority w:val="7"/>
    <w:qFormat/>
    <w:rsid w:val="00277C14"/>
    <w:pPr>
      <w:keepNext/>
      <w:spacing w:after="120" w:line="280" w:lineRule="exact"/>
      <w:ind w:left="680" w:right="680"/>
      <w:jc w:val="center"/>
    </w:pPr>
    <w:rPr>
      <w:rFonts w:ascii="Cambria" w:eastAsia="SimSun" w:hAnsi="Cambria" w:cs="Arial"/>
      <w:sz w:val="22"/>
      <w:szCs w:val="20"/>
    </w:rPr>
  </w:style>
  <w:style w:type="paragraph" w:styleId="Index1">
    <w:name w:val="index 1"/>
    <w:basedOn w:val="Normal"/>
    <w:next w:val="Normal"/>
    <w:semiHidden/>
    <w:rsid w:val="00277C14"/>
    <w:pPr>
      <w:spacing w:after="120" w:line="280" w:lineRule="exact"/>
      <w:ind w:left="220" w:hanging="220"/>
      <w:jc w:val="both"/>
    </w:pPr>
    <w:rPr>
      <w:rFonts w:ascii="Times New Roman" w:eastAsia="SimSun" w:hAnsi="Times New Roman"/>
      <w:sz w:val="22"/>
      <w:szCs w:val="20"/>
    </w:rPr>
  </w:style>
  <w:style w:type="paragraph" w:styleId="IndexHeading">
    <w:name w:val="index heading"/>
    <w:basedOn w:val="Normal"/>
    <w:next w:val="BodyText"/>
    <w:semiHidden/>
    <w:rsid w:val="00277C14"/>
    <w:pPr>
      <w:keepNext/>
      <w:spacing w:before="1200" w:after="720" w:line="280" w:lineRule="exact"/>
      <w:jc w:val="center"/>
    </w:pPr>
    <w:rPr>
      <w:rFonts w:ascii="Times New Roman" w:eastAsia="SimSun" w:hAnsi="Times New Roman"/>
      <w:b/>
      <w:bCs/>
      <w:caps/>
      <w:sz w:val="22"/>
      <w:szCs w:val="20"/>
    </w:rPr>
  </w:style>
  <w:style w:type="paragraph" w:styleId="List">
    <w:name w:val="List"/>
    <w:basedOn w:val="Normal"/>
    <w:semiHidden/>
    <w:rsid w:val="00277C14"/>
    <w:pPr>
      <w:spacing w:after="120" w:line="280" w:lineRule="exact"/>
      <w:ind w:left="850" w:hanging="283"/>
      <w:jc w:val="both"/>
    </w:pPr>
    <w:rPr>
      <w:rFonts w:ascii="Times New Roman" w:eastAsia="SimSun" w:hAnsi="Times New Roman"/>
      <w:sz w:val="22"/>
      <w:szCs w:val="20"/>
    </w:rPr>
  </w:style>
  <w:style w:type="paragraph" w:styleId="List3">
    <w:name w:val="List 3"/>
    <w:basedOn w:val="Normal"/>
    <w:semiHidden/>
    <w:rsid w:val="00277C14"/>
    <w:pPr>
      <w:spacing w:after="120" w:line="280" w:lineRule="exact"/>
      <w:ind w:left="1417" w:hanging="283"/>
      <w:jc w:val="both"/>
    </w:pPr>
    <w:rPr>
      <w:rFonts w:ascii="Times New Roman" w:eastAsia="SimSun" w:hAnsi="Times New Roman"/>
      <w:sz w:val="22"/>
      <w:szCs w:val="20"/>
    </w:rPr>
  </w:style>
  <w:style w:type="paragraph" w:styleId="List4">
    <w:name w:val="List 4"/>
    <w:basedOn w:val="Normal"/>
    <w:semiHidden/>
    <w:rsid w:val="00277C14"/>
    <w:pPr>
      <w:spacing w:after="120" w:line="280" w:lineRule="exact"/>
      <w:jc w:val="both"/>
    </w:pPr>
    <w:rPr>
      <w:rFonts w:ascii="Times New Roman" w:eastAsia="SimSun" w:hAnsi="Times New Roman"/>
      <w:sz w:val="22"/>
      <w:szCs w:val="20"/>
    </w:rPr>
  </w:style>
  <w:style w:type="paragraph" w:styleId="List5">
    <w:name w:val="List 5"/>
    <w:basedOn w:val="Normal"/>
    <w:semiHidden/>
    <w:rsid w:val="00277C14"/>
    <w:pPr>
      <w:spacing w:after="120" w:line="280" w:lineRule="exact"/>
      <w:ind w:left="1984" w:hanging="283"/>
      <w:jc w:val="both"/>
    </w:pPr>
    <w:rPr>
      <w:rFonts w:ascii="Times New Roman" w:eastAsia="SimSun" w:hAnsi="Times New Roman"/>
      <w:sz w:val="22"/>
      <w:szCs w:val="20"/>
    </w:rPr>
  </w:style>
  <w:style w:type="paragraph" w:styleId="ListBullet">
    <w:name w:val="List Bullet"/>
    <w:basedOn w:val="Normal"/>
    <w:rsid w:val="00277C14"/>
    <w:pPr>
      <w:numPr>
        <w:numId w:val="15"/>
      </w:numPr>
      <w:tabs>
        <w:tab w:val="clear" w:pos="850"/>
        <w:tab w:val="left" w:pos="567"/>
      </w:tabs>
      <w:spacing w:after="120" w:line="280" w:lineRule="exact"/>
      <w:ind w:left="567" w:hanging="227"/>
      <w:jc w:val="both"/>
    </w:pPr>
    <w:rPr>
      <w:rFonts w:ascii="Times New Roman" w:eastAsia="SimSun" w:hAnsi="Times New Roman"/>
      <w:sz w:val="22"/>
      <w:szCs w:val="20"/>
    </w:rPr>
  </w:style>
  <w:style w:type="paragraph" w:styleId="ListBullet3">
    <w:name w:val="List Bullet 3"/>
    <w:basedOn w:val="Normal"/>
    <w:semiHidden/>
    <w:rsid w:val="00277C14"/>
    <w:pPr>
      <w:numPr>
        <w:numId w:val="16"/>
      </w:numPr>
      <w:spacing w:after="120" w:line="280" w:lineRule="exact"/>
      <w:jc w:val="both"/>
    </w:pPr>
    <w:rPr>
      <w:rFonts w:ascii="Times New Roman" w:eastAsia="SimSun" w:hAnsi="Times New Roman"/>
      <w:sz w:val="22"/>
      <w:szCs w:val="20"/>
    </w:rPr>
  </w:style>
  <w:style w:type="paragraph" w:styleId="ListBullet4">
    <w:name w:val="List Bullet 4"/>
    <w:basedOn w:val="Normal"/>
    <w:semiHidden/>
    <w:rsid w:val="00277C14"/>
    <w:pPr>
      <w:numPr>
        <w:numId w:val="17"/>
      </w:numPr>
      <w:spacing w:after="120" w:line="280" w:lineRule="exact"/>
      <w:jc w:val="both"/>
    </w:pPr>
    <w:rPr>
      <w:rFonts w:ascii="Times New Roman" w:eastAsia="SimSun" w:hAnsi="Times New Roman"/>
      <w:sz w:val="22"/>
      <w:szCs w:val="20"/>
    </w:rPr>
  </w:style>
  <w:style w:type="paragraph" w:styleId="ListBullet5">
    <w:name w:val="List Bullet 5"/>
    <w:basedOn w:val="Normal"/>
    <w:semiHidden/>
    <w:rsid w:val="00277C14"/>
    <w:pPr>
      <w:numPr>
        <w:numId w:val="18"/>
      </w:numPr>
      <w:spacing w:after="120" w:line="280" w:lineRule="exact"/>
      <w:jc w:val="both"/>
    </w:pPr>
    <w:rPr>
      <w:rFonts w:ascii="Times New Roman" w:eastAsia="SimSun" w:hAnsi="Times New Roman"/>
      <w:sz w:val="22"/>
      <w:szCs w:val="20"/>
    </w:rPr>
  </w:style>
  <w:style w:type="paragraph" w:styleId="ListContinue">
    <w:name w:val="List Continue"/>
    <w:basedOn w:val="Normal"/>
    <w:semiHidden/>
    <w:rsid w:val="00277C14"/>
    <w:pPr>
      <w:spacing w:after="120" w:line="280" w:lineRule="exact"/>
      <w:ind w:left="850"/>
      <w:jc w:val="both"/>
    </w:pPr>
    <w:rPr>
      <w:rFonts w:ascii="Times New Roman" w:eastAsia="SimSun" w:hAnsi="Times New Roman"/>
      <w:sz w:val="22"/>
      <w:szCs w:val="20"/>
    </w:rPr>
  </w:style>
  <w:style w:type="paragraph" w:styleId="ListContinue2">
    <w:name w:val="List Continue 2"/>
    <w:basedOn w:val="Normal"/>
    <w:semiHidden/>
    <w:rsid w:val="00277C14"/>
    <w:pPr>
      <w:spacing w:after="120" w:line="280" w:lineRule="exact"/>
      <w:ind w:left="1191"/>
      <w:jc w:val="both"/>
    </w:pPr>
    <w:rPr>
      <w:rFonts w:ascii="Times New Roman" w:eastAsia="SimSun" w:hAnsi="Times New Roman"/>
      <w:sz w:val="22"/>
      <w:szCs w:val="20"/>
    </w:rPr>
  </w:style>
  <w:style w:type="paragraph" w:styleId="ListContinue3">
    <w:name w:val="List Continue 3"/>
    <w:basedOn w:val="Normal"/>
    <w:semiHidden/>
    <w:rsid w:val="00277C14"/>
    <w:pPr>
      <w:spacing w:after="120" w:line="280" w:lineRule="exact"/>
      <w:ind w:left="1474"/>
      <w:jc w:val="both"/>
    </w:pPr>
    <w:rPr>
      <w:rFonts w:ascii="Times New Roman" w:eastAsia="SimSun" w:hAnsi="Times New Roman"/>
      <w:sz w:val="22"/>
      <w:szCs w:val="20"/>
    </w:rPr>
  </w:style>
  <w:style w:type="paragraph" w:styleId="ListContinue4">
    <w:name w:val="List Continue 4"/>
    <w:basedOn w:val="Normal"/>
    <w:semiHidden/>
    <w:rsid w:val="00277C14"/>
    <w:pPr>
      <w:spacing w:after="120" w:line="280" w:lineRule="exact"/>
      <w:ind w:left="1757"/>
      <w:jc w:val="both"/>
    </w:pPr>
    <w:rPr>
      <w:rFonts w:ascii="Times New Roman" w:eastAsia="SimSun" w:hAnsi="Times New Roman"/>
      <w:sz w:val="22"/>
      <w:szCs w:val="20"/>
    </w:rPr>
  </w:style>
  <w:style w:type="paragraph" w:styleId="ListContinue5">
    <w:name w:val="List Continue 5"/>
    <w:basedOn w:val="Normal"/>
    <w:semiHidden/>
    <w:rsid w:val="00277C14"/>
    <w:pPr>
      <w:spacing w:after="120" w:line="280" w:lineRule="exact"/>
      <w:ind w:left="2041"/>
      <w:jc w:val="both"/>
    </w:pPr>
    <w:rPr>
      <w:rFonts w:ascii="Times New Roman" w:eastAsia="SimSun" w:hAnsi="Times New Roman"/>
      <w:sz w:val="22"/>
      <w:szCs w:val="20"/>
    </w:rPr>
  </w:style>
  <w:style w:type="paragraph" w:styleId="ListNumber2">
    <w:name w:val="List Number 2"/>
    <w:basedOn w:val="Normal"/>
    <w:rsid w:val="00277C14"/>
    <w:pPr>
      <w:tabs>
        <w:tab w:val="num" w:pos="1191"/>
        <w:tab w:val="left" w:pos="1417"/>
      </w:tabs>
      <w:spacing w:after="120" w:line="280" w:lineRule="exact"/>
      <w:ind w:left="1191" w:hanging="341"/>
      <w:jc w:val="both"/>
    </w:pPr>
    <w:rPr>
      <w:rFonts w:ascii="Times New Roman" w:eastAsia="SimSun" w:hAnsi="Times New Roman"/>
      <w:sz w:val="22"/>
      <w:szCs w:val="20"/>
    </w:rPr>
  </w:style>
  <w:style w:type="paragraph" w:styleId="ListNumber3">
    <w:name w:val="List Number 3"/>
    <w:basedOn w:val="Normal"/>
    <w:rsid w:val="00277C14"/>
    <w:pPr>
      <w:tabs>
        <w:tab w:val="num" w:pos="1474"/>
        <w:tab w:val="left" w:pos="1701"/>
      </w:tabs>
      <w:spacing w:after="120" w:line="280" w:lineRule="exact"/>
      <w:ind w:left="1474" w:hanging="340"/>
      <w:jc w:val="both"/>
    </w:pPr>
    <w:rPr>
      <w:rFonts w:ascii="Times New Roman" w:eastAsia="SimSun" w:hAnsi="Times New Roman"/>
      <w:sz w:val="22"/>
      <w:szCs w:val="20"/>
    </w:rPr>
  </w:style>
  <w:style w:type="paragraph" w:styleId="ListNumber4">
    <w:name w:val="List Number 4"/>
    <w:basedOn w:val="Normal"/>
    <w:rsid w:val="00277C14"/>
    <w:pPr>
      <w:tabs>
        <w:tab w:val="num" w:pos="1757"/>
        <w:tab w:val="left" w:pos="1984"/>
      </w:tabs>
      <w:spacing w:after="120" w:line="280" w:lineRule="exact"/>
      <w:ind w:left="1757" w:hanging="340"/>
      <w:jc w:val="both"/>
    </w:pPr>
    <w:rPr>
      <w:rFonts w:ascii="Times New Roman" w:eastAsia="SimSun" w:hAnsi="Times New Roman"/>
      <w:sz w:val="22"/>
      <w:szCs w:val="20"/>
    </w:rPr>
  </w:style>
  <w:style w:type="paragraph" w:styleId="ListNumber5">
    <w:name w:val="List Number 5"/>
    <w:basedOn w:val="Normal"/>
    <w:rsid w:val="00277C14"/>
    <w:pPr>
      <w:tabs>
        <w:tab w:val="num" w:pos="360"/>
        <w:tab w:val="left" w:pos="2268"/>
      </w:tabs>
      <w:spacing w:after="120" w:line="280" w:lineRule="exact"/>
      <w:jc w:val="both"/>
    </w:pPr>
    <w:rPr>
      <w:rFonts w:ascii="Times New Roman" w:eastAsia="SimSun" w:hAnsi="Times New Roman"/>
      <w:sz w:val="22"/>
      <w:szCs w:val="20"/>
    </w:rPr>
  </w:style>
  <w:style w:type="paragraph" w:customStyle="1" w:styleId="Sourcenotes">
    <w:name w:val="Source &amp; notes"/>
    <w:basedOn w:val="Normal"/>
    <w:uiPriority w:val="9"/>
    <w:qFormat/>
    <w:rsid w:val="00277C14"/>
    <w:pPr>
      <w:keepLines/>
      <w:spacing w:before="120" w:after="240" w:line="280" w:lineRule="exact"/>
      <w:ind w:left="680" w:right="680"/>
      <w:contextualSpacing/>
      <w:jc w:val="both"/>
    </w:pPr>
    <w:rPr>
      <w:rFonts w:ascii="Times New Roman" w:eastAsia="SimSun" w:hAnsi="Times New Roman" w:cs="Arial"/>
      <w:sz w:val="18"/>
      <w:szCs w:val="18"/>
    </w:rPr>
  </w:style>
  <w:style w:type="paragraph" w:styleId="BlockText">
    <w:name w:val="Block Text"/>
    <w:basedOn w:val="Normal"/>
    <w:semiHidden/>
    <w:rsid w:val="00277C14"/>
    <w:pPr>
      <w:spacing w:after="120" w:line="280" w:lineRule="exact"/>
      <w:ind w:left="1440" w:right="1440"/>
      <w:jc w:val="both"/>
    </w:pPr>
    <w:rPr>
      <w:rFonts w:ascii="Times New Roman" w:eastAsia="SimSun" w:hAnsi="Times New Roman"/>
      <w:sz w:val="22"/>
      <w:szCs w:val="20"/>
    </w:rPr>
  </w:style>
  <w:style w:type="numbering" w:customStyle="1" w:styleId="NumberedNote">
    <w:name w:val="Numbered Note"/>
    <w:basedOn w:val="NoList"/>
    <w:rsid w:val="00277C14"/>
    <w:pPr>
      <w:numPr>
        <w:numId w:val="11"/>
      </w:numPr>
    </w:pPr>
  </w:style>
  <w:style w:type="numbering" w:customStyle="1" w:styleId="BulletedNote">
    <w:name w:val="Bulleted Note"/>
    <w:basedOn w:val="NoList"/>
    <w:rsid w:val="00277C14"/>
    <w:pPr>
      <w:numPr>
        <w:numId w:val="12"/>
      </w:numPr>
    </w:pPr>
  </w:style>
  <w:style w:type="numbering" w:customStyle="1" w:styleId="NumericNote">
    <w:name w:val="Numeric Note"/>
    <w:basedOn w:val="NoList"/>
    <w:rsid w:val="00277C14"/>
    <w:pPr>
      <w:numPr>
        <w:numId w:val="13"/>
      </w:numPr>
    </w:pPr>
  </w:style>
  <w:style w:type="numbering" w:customStyle="1" w:styleId="AlphaNote">
    <w:name w:val="Alpha Note"/>
    <w:basedOn w:val="NoList"/>
    <w:rsid w:val="00277C14"/>
    <w:pPr>
      <w:numPr>
        <w:numId w:val="14"/>
      </w:numPr>
    </w:pPr>
  </w:style>
  <w:style w:type="paragraph" w:styleId="EnvelopeAddress">
    <w:name w:val="envelope address"/>
    <w:basedOn w:val="Normal"/>
    <w:semiHidden/>
    <w:rsid w:val="00277C14"/>
    <w:pPr>
      <w:framePr w:w="7938" w:h="1985" w:hRule="exact" w:hSpace="141" w:wrap="auto" w:hAnchor="page" w:xAlign="center" w:yAlign="bottom"/>
      <w:spacing w:after="120" w:line="280" w:lineRule="exact"/>
      <w:ind w:left="2835"/>
      <w:jc w:val="both"/>
    </w:pPr>
    <w:rPr>
      <w:rFonts w:eastAsia="SimSun" w:cs="Arial"/>
      <w:sz w:val="24"/>
      <w:szCs w:val="24"/>
    </w:rPr>
  </w:style>
  <w:style w:type="paragraph" w:styleId="EnvelopeReturn">
    <w:name w:val="envelope return"/>
    <w:basedOn w:val="Normal"/>
    <w:semiHidden/>
    <w:rsid w:val="00277C14"/>
    <w:pPr>
      <w:spacing w:after="120" w:line="280" w:lineRule="exact"/>
      <w:jc w:val="both"/>
    </w:pPr>
    <w:rPr>
      <w:rFonts w:eastAsia="SimSun" w:cs="Arial"/>
      <w:sz w:val="22"/>
      <w:szCs w:val="20"/>
    </w:rPr>
  </w:style>
  <w:style w:type="paragraph" w:styleId="HTMLAddress">
    <w:name w:val="HTML Address"/>
    <w:basedOn w:val="Normal"/>
    <w:link w:val="HTMLAddressChar"/>
    <w:semiHidden/>
    <w:rsid w:val="00277C14"/>
    <w:pPr>
      <w:spacing w:after="120" w:line="280" w:lineRule="exact"/>
      <w:jc w:val="both"/>
    </w:pPr>
    <w:rPr>
      <w:rFonts w:ascii="Times New Roman" w:eastAsia="SimSun" w:hAnsi="Times New Roman"/>
      <w:i/>
      <w:iCs/>
      <w:sz w:val="22"/>
      <w:szCs w:val="20"/>
    </w:rPr>
  </w:style>
  <w:style w:type="character" w:customStyle="1" w:styleId="HTMLAddressChar">
    <w:name w:val="HTML Address Char"/>
    <w:basedOn w:val="DefaultParagraphFont"/>
    <w:link w:val="HTMLAddress"/>
    <w:semiHidden/>
    <w:rsid w:val="00277C14"/>
    <w:rPr>
      <w:rFonts w:ascii="Times New Roman" w:eastAsia="SimSun" w:hAnsi="Times New Roman"/>
      <w:i/>
      <w:iCs/>
      <w:sz w:val="22"/>
      <w:lang w:eastAsia="en-US"/>
    </w:rPr>
  </w:style>
  <w:style w:type="paragraph" w:styleId="Date">
    <w:name w:val="Date"/>
    <w:basedOn w:val="Normal"/>
    <w:next w:val="Normal"/>
    <w:link w:val="DateChar"/>
    <w:unhideWhenUsed/>
    <w:rsid w:val="00277C14"/>
    <w:pPr>
      <w:spacing w:after="120" w:line="280" w:lineRule="exact"/>
      <w:jc w:val="both"/>
    </w:pPr>
    <w:rPr>
      <w:rFonts w:ascii="Times New Roman" w:eastAsia="SimSun" w:hAnsi="Times New Roman"/>
      <w:sz w:val="22"/>
      <w:szCs w:val="20"/>
    </w:rPr>
  </w:style>
  <w:style w:type="character" w:customStyle="1" w:styleId="DateChar">
    <w:name w:val="Date Char"/>
    <w:basedOn w:val="DefaultParagraphFont"/>
    <w:link w:val="Date"/>
    <w:rsid w:val="00277C14"/>
    <w:rPr>
      <w:rFonts w:ascii="Times New Roman" w:eastAsia="SimSun" w:hAnsi="Times New Roman"/>
      <w:sz w:val="22"/>
      <w:lang w:eastAsia="en-US"/>
    </w:rPr>
  </w:style>
  <w:style w:type="paragraph" w:styleId="MessageHeader">
    <w:name w:val="Message Header"/>
    <w:basedOn w:val="Normal"/>
    <w:link w:val="MessageHeaderChar"/>
    <w:semiHidden/>
    <w:rsid w:val="00277C14"/>
    <w:pPr>
      <w:pBdr>
        <w:top w:val="single" w:sz="6" w:space="1" w:color="auto"/>
        <w:left w:val="single" w:sz="6" w:space="1" w:color="auto"/>
        <w:bottom w:val="single" w:sz="6" w:space="1" w:color="auto"/>
        <w:right w:val="single" w:sz="6" w:space="1" w:color="auto"/>
      </w:pBdr>
      <w:shd w:val="pct20" w:color="auto" w:fill="auto"/>
      <w:spacing w:after="120" w:line="280" w:lineRule="exact"/>
      <w:ind w:left="1134" w:hanging="1134"/>
      <w:jc w:val="both"/>
    </w:pPr>
    <w:rPr>
      <w:rFonts w:eastAsia="SimSun" w:cs="Arial"/>
      <w:sz w:val="24"/>
      <w:szCs w:val="24"/>
    </w:rPr>
  </w:style>
  <w:style w:type="character" w:customStyle="1" w:styleId="MessageHeaderChar">
    <w:name w:val="Message Header Char"/>
    <w:basedOn w:val="DefaultParagraphFont"/>
    <w:link w:val="MessageHeader"/>
    <w:semiHidden/>
    <w:rsid w:val="00277C14"/>
    <w:rPr>
      <w:rFonts w:ascii="Arial" w:eastAsia="SimSun" w:hAnsi="Arial" w:cs="Arial"/>
      <w:sz w:val="24"/>
      <w:szCs w:val="24"/>
      <w:shd w:val="pct20" w:color="auto" w:fill="auto"/>
      <w:lang w:eastAsia="en-US"/>
    </w:rPr>
  </w:style>
  <w:style w:type="paragraph" w:styleId="DocumentMap">
    <w:name w:val="Document Map"/>
    <w:basedOn w:val="Normal"/>
    <w:link w:val="DocumentMapChar"/>
    <w:semiHidden/>
    <w:rsid w:val="00277C14"/>
    <w:pPr>
      <w:shd w:val="clear" w:color="auto" w:fill="000080"/>
      <w:spacing w:after="120" w:line="280" w:lineRule="exact"/>
      <w:jc w:val="both"/>
    </w:pPr>
    <w:rPr>
      <w:rFonts w:ascii="Times New Roman" w:eastAsia="SimSun" w:hAnsi="Times New Roman" w:cs="Tahoma"/>
      <w:sz w:val="22"/>
      <w:szCs w:val="20"/>
    </w:rPr>
  </w:style>
  <w:style w:type="character" w:customStyle="1" w:styleId="DocumentMapChar">
    <w:name w:val="Document Map Char"/>
    <w:basedOn w:val="DefaultParagraphFont"/>
    <w:link w:val="DocumentMap"/>
    <w:semiHidden/>
    <w:rsid w:val="00277C14"/>
    <w:rPr>
      <w:rFonts w:ascii="Times New Roman" w:eastAsia="SimSun" w:hAnsi="Times New Roman" w:cs="Tahoma"/>
      <w:sz w:val="22"/>
      <w:shd w:val="clear" w:color="auto" w:fill="000080"/>
      <w:lang w:eastAsia="en-US"/>
    </w:rPr>
  </w:style>
  <w:style w:type="paragraph" w:styleId="Closing">
    <w:name w:val="Closing"/>
    <w:basedOn w:val="Normal"/>
    <w:link w:val="ClosingChar"/>
    <w:semiHidden/>
    <w:rsid w:val="00277C14"/>
    <w:pPr>
      <w:spacing w:after="120" w:line="280" w:lineRule="exact"/>
      <w:ind w:left="4252"/>
      <w:jc w:val="both"/>
    </w:pPr>
    <w:rPr>
      <w:rFonts w:ascii="Times New Roman" w:eastAsia="SimSun" w:hAnsi="Times New Roman"/>
      <w:sz w:val="22"/>
      <w:szCs w:val="20"/>
    </w:rPr>
  </w:style>
  <w:style w:type="character" w:customStyle="1" w:styleId="ClosingChar">
    <w:name w:val="Closing Char"/>
    <w:basedOn w:val="DefaultParagraphFont"/>
    <w:link w:val="Closing"/>
    <w:semiHidden/>
    <w:rsid w:val="00277C14"/>
    <w:rPr>
      <w:rFonts w:ascii="Times New Roman" w:eastAsia="SimSun" w:hAnsi="Times New Roman"/>
      <w:sz w:val="22"/>
      <w:lang w:eastAsia="en-US"/>
    </w:rPr>
  </w:style>
  <w:style w:type="paragraph" w:styleId="Index2">
    <w:name w:val="index 2"/>
    <w:basedOn w:val="Normal"/>
    <w:next w:val="Normal"/>
    <w:semiHidden/>
    <w:rsid w:val="00277C14"/>
    <w:pPr>
      <w:spacing w:after="120" w:line="280" w:lineRule="exact"/>
      <w:ind w:left="440" w:hanging="220"/>
      <w:jc w:val="both"/>
    </w:pPr>
    <w:rPr>
      <w:rFonts w:ascii="Times New Roman" w:eastAsia="SimSun" w:hAnsi="Times New Roman"/>
      <w:sz w:val="22"/>
      <w:szCs w:val="20"/>
    </w:rPr>
  </w:style>
  <w:style w:type="paragraph" w:styleId="Index3">
    <w:name w:val="index 3"/>
    <w:basedOn w:val="Normal"/>
    <w:next w:val="Normal"/>
    <w:semiHidden/>
    <w:rsid w:val="00277C14"/>
    <w:pPr>
      <w:spacing w:after="120" w:line="280" w:lineRule="exact"/>
      <w:ind w:left="660" w:hanging="220"/>
      <w:jc w:val="both"/>
    </w:pPr>
    <w:rPr>
      <w:rFonts w:ascii="Times New Roman" w:eastAsia="SimSun" w:hAnsi="Times New Roman"/>
      <w:sz w:val="22"/>
      <w:szCs w:val="20"/>
    </w:rPr>
  </w:style>
  <w:style w:type="paragraph" w:styleId="Index4">
    <w:name w:val="index 4"/>
    <w:basedOn w:val="Normal"/>
    <w:next w:val="Normal"/>
    <w:semiHidden/>
    <w:rsid w:val="00277C14"/>
    <w:pPr>
      <w:spacing w:after="120" w:line="280" w:lineRule="exact"/>
      <w:ind w:left="880" w:hanging="220"/>
      <w:jc w:val="both"/>
    </w:pPr>
    <w:rPr>
      <w:rFonts w:ascii="Times New Roman" w:eastAsia="SimSun" w:hAnsi="Times New Roman"/>
      <w:sz w:val="22"/>
      <w:szCs w:val="20"/>
    </w:rPr>
  </w:style>
  <w:style w:type="paragraph" w:styleId="Index5">
    <w:name w:val="index 5"/>
    <w:basedOn w:val="Normal"/>
    <w:next w:val="Normal"/>
    <w:semiHidden/>
    <w:rsid w:val="00277C14"/>
    <w:pPr>
      <w:spacing w:after="120" w:line="280" w:lineRule="exact"/>
      <w:ind w:left="1100" w:hanging="220"/>
      <w:jc w:val="both"/>
    </w:pPr>
    <w:rPr>
      <w:rFonts w:ascii="Times New Roman" w:eastAsia="SimSun" w:hAnsi="Times New Roman"/>
      <w:sz w:val="22"/>
      <w:szCs w:val="20"/>
    </w:rPr>
  </w:style>
  <w:style w:type="paragraph" w:styleId="Index6">
    <w:name w:val="index 6"/>
    <w:basedOn w:val="Normal"/>
    <w:next w:val="Normal"/>
    <w:semiHidden/>
    <w:rsid w:val="00277C14"/>
    <w:pPr>
      <w:spacing w:after="120" w:line="280" w:lineRule="exact"/>
      <w:ind w:left="1320" w:hanging="220"/>
      <w:jc w:val="both"/>
    </w:pPr>
    <w:rPr>
      <w:rFonts w:ascii="Times New Roman" w:eastAsia="SimSun" w:hAnsi="Times New Roman"/>
      <w:sz w:val="22"/>
      <w:szCs w:val="20"/>
    </w:rPr>
  </w:style>
  <w:style w:type="paragraph" w:styleId="Index7">
    <w:name w:val="index 7"/>
    <w:basedOn w:val="Normal"/>
    <w:next w:val="Normal"/>
    <w:semiHidden/>
    <w:rsid w:val="00277C14"/>
    <w:pPr>
      <w:spacing w:after="120" w:line="280" w:lineRule="exact"/>
      <w:ind w:left="1540" w:hanging="220"/>
      <w:jc w:val="both"/>
    </w:pPr>
    <w:rPr>
      <w:rFonts w:ascii="Times New Roman" w:eastAsia="SimSun" w:hAnsi="Times New Roman"/>
      <w:sz w:val="22"/>
      <w:szCs w:val="20"/>
    </w:rPr>
  </w:style>
  <w:style w:type="paragraph" w:styleId="Index8">
    <w:name w:val="index 8"/>
    <w:basedOn w:val="Normal"/>
    <w:next w:val="Normal"/>
    <w:semiHidden/>
    <w:rsid w:val="00277C14"/>
    <w:pPr>
      <w:spacing w:after="120" w:line="280" w:lineRule="exact"/>
      <w:ind w:left="1760" w:hanging="220"/>
      <w:jc w:val="both"/>
    </w:pPr>
    <w:rPr>
      <w:rFonts w:ascii="Times New Roman" w:eastAsia="SimSun" w:hAnsi="Times New Roman"/>
      <w:sz w:val="22"/>
      <w:szCs w:val="20"/>
    </w:rPr>
  </w:style>
  <w:style w:type="paragraph" w:styleId="Index9">
    <w:name w:val="index 9"/>
    <w:basedOn w:val="Normal"/>
    <w:next w:val="Normal"/>
    <w:semiHidden/>
    <w:rsid w:val="00277C14"/>
    <w:pPr>
      <w:spacing w:after="120" w:line="280" w:lineRule="exact"/>
      <w:ind w:left="1980" w:hanging="220"/>
      <w:jc w:val="both"/>
    </w:pPr>
    <w:rPr>
      <w:rFonts w:ascii="Times New Roman" w:eastAsia="SimSun" w:hAnsi="Times New Roman"/>
      <w:sz w:val="22"/>
      <w:szCs w:val="20"/>
    </w:rPr>
  </w:style>
  <w:style w:type="paragraph" w:styleId="HTMLPreformatted">
    <w:name w:val="HTML Preformatted"/>
    <w:basedOn w:val="Normal"/>
    <w:link w:val="HTMLPreformattedChar"/>
    <w:semiHidden/>
    <w:rsid w:val="00277C14"/>
    <w:pPr>
      <w:spacing w:after="120" w:line="280" w:lineRule="exact"/>
      <w:jc w:val="both"/>
    </w:pPr>
    <w:rPr>
      <w:rFonts w:ascii="Courier New" w:eastAsia="SimSun" w:hAnsi="Courier New" w:cs="Courier New"/>
      <w:sz w:val="22"/>
      <w:szCs w:val="20"/>
    </w:rPr>
  </w:style>
  <w:style w:type="character" w:customStyle="1" w:styleId="HTMLPreformattedChar">
    <w:name w:val="HTML Preformatted Char"/>
    <w:basedOn w:val="DefaultParagraphFont"/>
    <w:link w:val="HTMLPreformatted"/>
    <w:semiHidden/>
    <w:rsid w:val="00277C14"/>
    <w:rPr>
      <w:rFonts w:ascii="Courier New" w:eastAsia="SimSun" w:hAnsi="Courier New" w:cs="Courier New"/>
      <w:sz w:val="22"/>
      <w:lang w:eastAsia="en-US"/>
    </w:rPr>
  </w:style>
  <w:style w:type="paragraph" w:styleId="BodyTextFirstIndent">
    <w:name w:val="Body Text First Indent"/>
    <w:basedOn w:val="BodyText"/>
    <w:link w:val="BodyTextFirstIndentChar"/>
    <w:semiHidden/>
    <w:rsid w:val="00277C14"/>
    <w:pPr>
      <w:spacing w:after="120" w:line="280" w:lineRule="exact"/>
      <w:ind w:firstLine="210"/>
      <w:jc w:val="both"/>
    </w:pPr>
    <w:rPr>
      <w:rFonts w:eastAsia="SimSun"/>
      <w:b w:val="0"/>
      <w:sz w:val="22"/>
      <w:u w:val="none"/>
    </w:rPr>
  </w:style>
  <w:style w:type="character" w:customStyle="1" w:styleId="BodyTextFirstIndentChar">
    <w:name w:val="Body Text First Indent Char"/>
    <w:basedOn w:val="BodyTextChar"/>
    <w:link w:val="BodyTextFirstIndent"/>
    <w:semiHidden/>
    <w:rsid w:val="00277C14"/>
    <w:rPr>
      <w:rFonts w:ascii="Times New Roman" w:eastAsia="SimSun" w:hAnsi="Times New Roman"/>
      <w:b w:val="0"/>
      <w:sz w:val="22"/>
      <w:u w:val="single"/>
      <w:lang w:eastAsia="en-US"/>
    </w:rPr>
  </w:style>
  <w:style w:type="paragraph" w:styleId="BodyTextIndent2">
    <w:name w:val="Body Text Indent 2"/>
    <w:basedOn w:val="Normal"/>
    <w:link w:val="BodyTextIndent2Char"/>
    <w:semiHidden/>
    <w:rsid w:val="00277C14"/>
    <w:pPr>
      <w:spacing w:after="120" w:line="480" w:lineRule="auto"/>
      <w:ind w:left="283"/>
      <w:jc w:val="both"/>
    </w:pPr>
    <w:rPr>
      <w:rFonts w:ascii="Times New Roman" w:eastAsia="SimSun" w:hAnsi="Times New Roman"/>
      <w:sz w:val="22"/>
      <w:szCs w:val="20"/>
    </w:rPr>
  </w:style>
  <w:style w:type="character" w:customStyle="1" w:styleId="BodyTextIndent2Char">
    <w:name w:val="Body Text Indent 2 Char"/>
    <w:basedOn w:val="DefaultParagraphFont"/>
    <w:link w:val="BodyTextIndent2"/>
    <w:semiHidden/>
    <w:rsid w:val="00277C14"/>
    <w:rPr>
      <w:rFonts w:ascii="Times New Roman" w:eastAsia="SimSun" w:hAnsi="Times New Roman"/>
      <w:sz w:val="22"/>
      <w:lang w:eastAsia="en-US"/>
    </w:rPr>
  </w:style>
  <w:style w:type="paragraph" w:styleId="BodyTextIndent3">
    <w:name w:val="Body Text Indent 3"/>
    <w:basedOn w:val="Normal"/>
    <w:link w:val="BodyTextIndent3Char"/>
    <w:semiHidden/>
    <w:rsid w:val="00277C14"/>
    <w:pPr>
      <w:spacing w:after="120" w:line="280" w:lineRule="exact"/>
      <w:ind w:left="283"/>
      <w:jc w:val="both"/>
    </w:pPr>
    <w:rPr>
      <w:rFonts w:ascii="Times New Roman" w:eastAsia="SimSun" w:hAnsi="Times New Roman"/>
      <w:sz w:val="16"/>
      <w:szCs w:val="16"/>
    </w:rPr>
  </w:style>
  <w:style w:type="character" w:customStyle="1" w:styleId="BodyTextIndent3Char">
    <w:name w:val="Body Text Indent 3 Char"/>
    <w:basedOn w:val="DefaultParagraphFont"/>
    <w:link w:val="BodyTextIndent3"/>
    <w:semiHidden/>
    <w:rsid w:val="00277C14"/>
    <w:rPr>
      <w:rFonts w:ascii="Times New Roman" w:eastAsia="SimSun" w:hAnsi="Times New Roman"/>
      <w:sz w:val="16"/>
      <w:szCs w:val="16"/>
      <w:lang w:eastAsia="en-US"/>
    </w:rPr>
  </w:style>
  <w:style w:type="paragraph" w:styleId="BodyTextFirstIndent2">
    <w:name w:val="Body Text First Indent 2"/>
    <w:basedOn w:val="BodyTextIndent"/>
    <w:link w:val="BodyTextFirstIndent2Char"/>
    <w:semiHidden/>
    <w:rsid w:val="00277C14"/>
    <w:pPr>
      <w:tabs>
        <w:tab w:val="clear" w:pos="570"/>
      </w:tabs>
      <w:spacing w:after="120" w:line="280" w:lineRule="exact"/>
      <w:ind w:left="442" w:firstLine="210"/>
    </w:pPr>
    <w:rPr>
      <w:rFonts w:eastAsia="SimSun"/>
      <w:szCs w:val="20"/>
      <w:lang w:eastAsia="en-US"/>
    </w:rPr>
  </w:style>
  <w:style w:type="character" w:customStyle="1" w:styleId="BodyTextFirstIndent2Char">
    <w:name w:val="Body Text First Indent 2 Char"/>
    <w:basedOn w:val="BodyTextIndentChar"/>
    <w:link w:val="BodyTextFirstIndent2"/>
    <w:semiHidden/>
    <w:rsid w:val="00277C14"/>
    <w:rPr>
      <w:rFonts w:ascii="Times New Roman" w:eastAsia="SimSun" w:hAnsi="Times New Roman"/>
      <w:sz w:val="22"/>
      <w:szCs w:val="24"/>
      <w:lang w:eastAsia="en-US"/>
    </w:rPr>
  </w:style>
  <w:style w:type="paragraph" w:styleId="NormalIndent">
    <w:name w:val="Normal Indent"/>
    <w:basedOn w:val="Normal"/>
    <w:semiHidden/>
    <w:rsid w:val="00277C14"/>
    <w:pPr>
      <w:spacing w:after="120" w:line="280" w:lineRule="exact"/>
      <w:ind w:left="708"/>
      <w:jc w:val="both"/>
    </w:pPr>
    <w:rPr>
      <w:rFonts w:ascii="Times New Roman" w:eastAsia="SimSun" w:hAnsi="Times New Roman"/>
      <w:sz w:val="22"/>
      <w:szCs w:val="20"/>
    </w:rPr>
  </w:style>
  <w:style w:type="paragraph" w:styleId="Salutation">
    <w:name w:val="Salutation"/>
    <w:basedOn w:val="Normal"/>
    <w:next w:val="Normal"/>
    <w:link w:val="SalutationChar"/>
    <w:semiHidden/>
    <w:rsid w:val="00277C14"/>
    <w:pPr>
      <w:spacing w:after="120" w:line="280" w:lineRule="exact"/>
      <w:jc w:val="both"/>
    </w:pPr>
    <w:rPr>
      <w:rFonts w:ascii="Times New Roman" w:eastAsia="SimSun" w:hAnsi="Times New Roman"/>
      <w:sz w:val="22"/>
      <w:szCs w:val="20"/>
    </w:rPr>
  </w:style>
  <w:style w:type="character" w:customStyle="1" w:styleId="SalutationChar">
    <w:name w:val="Salutation Char"/>
    <w:basedOn w:val="DefaultParagraphFont"/>
    <w:link w:val="Salutation"/>
    <w:semiHidden/>
    <w:rsid w:val="00277C14"/>
    <w:rPr>
      <w:rFonts w:ascii="Times New Roman" w:eastAsia="SimSun" w:hAnsi="Times New Roman"/>
      <w:sz w:val="22"/>
      <w:lang w:eastAsia="en-US"/>
    </w:rPr>
  </w:style>
  <w:style w:type="paragraph" w:styleId="Signature">
    <w:name w:val="Signature"/>
    <w:basedOn w:val="Normal"/>
    <w:link w:val="SignatureChar"/>
    <w:semiHidden/>
    <w:rsid w:val="00277C14"/>
    <w:pPr>
      <w:spacing w:after="120" w:line="280" w:lineRule="exact"/>
      <w:ind w:left="4252"/>
      <w:jc w:val="both"/>
    </w:pPr>
    <w:rPr>
      <w:rFonts w:ascii="Times New Roman" w:eastAsia="SimSun" w:hAnsi="Times New Roman"/>
      <w:sz w:val="22"/>
      <w:szCs w:val="20"/>
    </w:rPr>
  </w:style>
  <w:style w:type="character" w:customStyle="1" w:styleId="SignatureChar">
    <w:name w:val="Signature Char"/>
    <w:basedOn w:val="DefaultParagraphFont"/>
    <w:link w:val="Signature"/>
    <w:semiHidden/>
    <w:rsid w:val="00277C14"/>
    <w:rPr>
      <w:rFonts w:ascii="Times New Roman" w:eastAsia="SimSun" w:hAnsi="Times New Roman"/>
      <w:sz w:val="22"/>
      <w:lang w:eastAsia="en-US"/>
    </w:rPr>
  </w:style>
  <w:style w:type="paragraph" w:styleId="E-mailSignature">
    <w:name w:val="E-mail Signature"/>
    <w:basedOn w:val="Normal"/>
    <w:link w:val="E-mailSignatureChar"/>
    <w:semiHidden/>
    <w:rsid w:val="00277C14"/>
    <w:pPr>
      <w:spacing w:after="120" w:line="280" w:lineRule="exact"/>
      <w:jc w:val="both"/>
    </w:pPr>
    <w:rPr>
      <w:rFonts w:ascii="Times New Roman" w:eastAsia="SimSun" w:hAnsi="Times New Roman"/>
      <w:sz w:val="22"/>
      <w:szCs w:val="20"/>
    </w:rPr>
  </w:style>
  <w:style w:type="character" w:customStyle="1" w:styleId="E-mailSignatureChar">
    <w:name w:val="E-mail Signature Char"/>
    <w:basedOn w:val="DefaultParagraphFont"/>
    <w:link w:val="E-mailSignature"/>
    <w:semiHidden/>
    <w:rsid w:val="00277C14"/>
    <w:rPr>
      <w:rFonts w:ascii="Times New Roman" w:eastAsia="SimSun" w:hAnsi="Times New Roman"/>
      <w:sz w:val="22"/>
      <w:lang w:eastAsia="en-US"/>
    </w:rPr>
  </w:style>
  <w:style w:type="paragraph" w:styleId="TableofFigures">
    <w:name w:val="table of figures"/>
    <w:basedOn w:val="Normal"/>
    <w:next w:val="Normal"/>
    <w:uiPriority w:val="99"/>
    <w:unhideWhenUsed/>
    <w:rsid w:val="00277C14"/>
    <w:pPr>
      <w:tabs>
        <w:tab w:val="right" w:leader="dot" w:pos="9072"/>
      </w:tabs>
      <w:spacing w:after="120" w:line="280" w:lineRule="exact"/>
      <w:ind w:left="442" w:hanging="442"/>
      <w:jc w:val="both"/>
    </w:pPr>
    <w:rPr>
      <w:rFonts w:ascii="Times New Roman" w:eastAsia="SimSun" w:hAnsi="Times New Roman"/>
      <w:sz w:val="22"/>
      <w:szCs w:val="20"/>
    </w:rPr>
  </w:style>
  <w:style w:type="paragraph" w:styleId="TableofAuthorities">
    <w:name w:val="table of authorities"/>
    <w:basedOn w:val="Normal"/>
    <w:next w:val="Normal"/>
    <w:semiHidden/>
    <w:rsid w:val="00277C14"/>
    <w:pPr>
      <w:spacing w:after="120" w:line="280" w:lineRule="exact"/>
      <w:ind w:left="220" w:hanging="220"/>
      <w:jc w:val="both"/>
    </w:pPr>
    <w:rPr>
      <w:rFonts w:ascii="Times New Roman" w:eastAsia="SimSun" w:hAnsi="Times New Roman"/>
      <w:sz w:val="22"/>
      <w:szCs w:val="20"/>
    </w:rPr>
  </w:style>
  <w:style w:type="paragraph" w:styleId="MacroText">
    <w:name w:val="macro"/>
    <w:link w:val="MacroTextChar"/>
    <w:semiHidden/>
    <w:rsid w:val="00277C14"/>
    <w:pPr>
      <w:tabs>
        <w:tab w:val="left" w:pos="480"/>
        <w:tab w:val="left" w:pos="960"/>
        <w:tab w:val="left" w:pos="1440"/>
        <w:tab w:val="left" w:pos="1920"/>
        <w:tab w:val="left" w:pos="2400"/>
        <w:tab w:val="left" w:pos="2880"/>
        <w:tab w:val="left" w:pos="3360"/>
        <w:tab w:val="left" w:pos="3840"/>
        <w:tab w:val="left" w:pos="4320"/>
      </w:tabs>
      <w:spacing w:after="160" w:line="259" w:lineRule="auto"/>
      <w:jc w:val="both"/>
    </w:pPr>
    <w:rPr>
      <w:rFonts w:ascii="Courier New" w:eastAsia="SimSun" w:hAnsi="Courier New" w:cs="Courier New"/>
      <w:position w:val="6"/>
      <w:lang w:eastAsia="zh-CN"/>
    </w:rPr>
  </w:style>
  <w:style w:type="character" w:customStyle="1" w:styleId="MacroTextChar">
    <w:name w:val="Macro Text Char"/>
    <w:basedOn w:val="DefaultParagraphFont"/>
    <w:link w:val="MacroText"/>
    <w:semiHidden/>
    <w:rsid w:val="00277C14"/>
    <w:rPr>
      <w:rFonts w:ascii="Courier New" w:eastAsia="SimSun" w:hAnsi="Courier New" w:cs="Courier New"/>
      <w:position w:val="6"/>
      <w:lang w:eastAsia="zh-CN"/>
    </w:rPr>
  </w:style>
  <w:style w:type="paragraph" w:styleId="NoteHeading">
    <w:name w:val="Note Heading"/>
    <w:basedOn w:val="Normal"/>
    <w:next w:val="Normal"/>
    <w:link w:val="NoteHeadingChar"/>
    <w:semiHidden/>
    <w:rsid w:val="00277C14"/>
    <w:pPr>
      <w:spacing w:after="120" w:line="280" w:lineRule="exact"/>
      <w:jc w:val="both"/>
    </w:pPr>
    <w:rPr>
      <w:rFonts w:ascii="Times New Roman" w:eastAsia="SimSun" w:hAnsi="Times New Roman"/>
      <w:sz w:val="22"/>
      <w:szCs w:val="20"/>
    </w:rPr>
  </w:style>
  <w:style w:type="character" w:customStyle="1" w:styleId="NoteHeadingChar">
    <w:name w:val="Note Heading Char"/>
    <w:basedOn w:val="DefaultParagraphFont"/>
    <w:link w:val="NoteHeading"/>
    <w:semiHidden/>
    <w:rsid w:val="00277C14"/>
    <w:rPr>
      <w:rFonts w:ascii="Times New Roman" w:eastAsia="SimSun" w:hAnsi="Times New Roman"/>
      <w:sz w:val="22"/>
      <w:lang w:eastAsia="en-US"/>
    </w:rPr>
  </w:style>
  <w:style w:type="paragraph" w:styleId="TOAHeading">
    <w:name w:val="toa heading"/>
    <w:basedOn w:val="Normal"/>
    <w:next w:val="Normal"/>
    <w:semiHidden/>
    <w:rsid w:val="00277C14"/>
    <w:pPr>
      <w:spacing w:before="120" w:after="120" w:line="280" w:lineRule="exact"/>
      <w:jc w:val="both"/>
    </w:pPr>
    <w:rPr>
      <w:rFonts w:eastAsia="SimSun" w:cs="Arial"/>
      <w:b/>
      <w:bCs/>
      <w:sz w:val="24"/>
      <w:szCs w:val="24"/>
    </w:rPr>
  </w:style>
  <w:style w:type="paragraph" w:styleId="Bibliography">
    <w:name w:val="Bibliography"/>
    <w:basedOn w:val="Normal"/>
    <w:next w:val="Normal"/>
    <w:uiPriority w:val="37"/>
    <w:unhideWhenUsed/>
    <w:rsid w:val="00277C14"/>
    <w:pPr>
      <w:spacing w:after="120" w:line="280" w:lineRule="exact"/>
      <w:ind w:left="284" w:hanging="284"/>
      <w:jc w:val="both"/>
    </w:pPr>
    <w:rPr>
      <w:rFonts w:ascii="Times New Roman" w:eastAsia="SimSun" w:hAnsi="Times New Roman"/>
      <w:sz w:val="22"/>
      <w:szCs w:val="20"/>
    </w:rPr>
  </w:style>
  <w:style w:type="paragraph" w:customStyle="1" w:styleId="IntenseQuote1">
    <w:name w:val="Intense Quote1"/>
    <w:basedOn w:val="Normal"/>
    <w:next w:val="Normal"/>
    <w:uiPriority w:val="30"/>
    <w:semiHidden/>
    <w:rsid w:val="00277C14"/>
    <w:pPr>
      <w:pBdr>
        <w:top w:val="single" w:sz="4" w:space="10" w:color="404040"/>
        <w:bottom w:val="single" w:sz="4" w:space="10" w:color="404040"/>
      </w:pBdr>
      <w:spacing w:before="360" w:after="360" w:line="280" w:lineRule="exact"/>
      <w:ind w:left="864" w:right="864"/>
      <w:jc w:val="center"/>
    </w:pPr>
    <w:rPr>
      <w:rFonts w:ascii="Times New Roman" w:eastAsia="SimSun" w:hAnsi="Times New Roman"/>
      <w:i/>
      <w:iCs/>
      <w:color w:val="404040"/>
      <w:sz w:val="22"/>
      <w:szCs w:val="20"/>
    </w:rPr>
  </w:style>
  <w:style w:type="character" w:customStyle="1" w:styleId="IntenseQuoteChar">
    <w:name w:val="Intense Quote Char"/>
    <w:basedOn w:val="DefaultParagraphFont"/>
    <w:link w:val="IntenseQuote"/>
    <w:uiPriority w:val="30"/>
    <w:rsid w:val="00277C14"/>
    <w:rPr>
      <w:i/>
      <w:iCs/>
      <w:color w:val="404040"/>
    </w:rPr>
  </w:style>
  <w:style w:type="paragraph" w:styleId="Quote">
    <w:name w:val="Quote"/>
    <w:aliases w:val="Quotation (long)"/>
    <w:basedOn w:val="Normal"/>
    <w:link w:val="QuoteChar"/>
    <w:uiPriority w:val="11"/>
    <w:qFormat/>
    <w:rsid w:val="00277C14"/>
    <w:pPr>
      <w:spacing w:after="120" w:line="280" w:lineRule="exact"/>
      <w:ind w:left="1021" w:right="1021"/>
      <w:jc w:val="both"/>
    </w:pPr>
    <w:rPr>
      <w:rFonts w:ascii="Times New Roman" w:eastAsia="SimSun" w:hAnsi="Times New Roman"/>
      <w:i/>
      <w:iCs/>
      <w:color w:val="404040"/>
      <w:sz w:val="22"/>
      <w:szCs w:val="20"/>
    </w:rPr>
  </w:style>
  <w:style w:type="character" w:customStyle="1" w:styleId="QuoteChar">
    <w:name w:val="Quote Char"/>
    <w:aliases w:val="Quotation (long) Char"/>
    <w:basedOn w:val="DefaultParagraphFont"/>
    <w:link w:val="Quote"/>
    <w:uiPriority w:val="11"/>
    <w:rsid w:val="00277C14"/>
    <w:rPr>
      <w:rFonts w:ascii="Times New Roman" w:eastAsia="SimSun" w:hAnsi="Times New Roman"/>
      <w:i/>
      <w:iCs/>
      <w:color w:val="404040"/>
      <w:sz w:val="22"/>
      <w:lang w:eastAsia="en-US"/>
    </w:rPr>
  </w:style>
  <w:style w:type="paragraph" w:customStyle="1" w:styleId="Quotationshort">
    <w:name w:val="Quotation (short)"/>
    <w:basedOn w:val="Normal"/>
    <w:link w:val="QuotationshortChar"/>
    <w:uiPriority w:val="11"/>
    <w:qFormat/>
    <w:rsid w:val="00277C14"/>
    <w:pPr>
      <w:spacing w:after="120" w:line="280" w:lineRule="exact"/>
      <w:jc w:val="both"/>
    </w:pPr>
    <w:rPr>
      <w:rFonts w:ascii="Times New Roman" w:eastAsia="SimSun" w:hAnsi="Times New Roman"/>
      <w:i/>
      <w:color w:val="FF0000"/>
      <w:sz w:val="22"/>
      <w:szCs w:val="20"/>
    </w:rPr>
  </w:style>
  <w:style w:type="character" w:customStyle="1" w:styleId="QuotationshortChar">
    <w:name w:val="Quotation (short) Char"/>
    <w:basedOn w:val="DefaultParagraphFont"/>
    <w:link w:val="Quotationshort"/>
    <w:uiPriority w:val="11"/>
    <w:rsid w:val="00277C14"/>
    <w:rPr>
      <w:rFonts w:ascii="Times New Roman" w:eastAsia="SimSun" w:hAnsi="Times New Roman"/>
      <w:i/>
      <w:color w:val="FF0000"/>
      <w:sz w:val="22"/>
      <w:lang w:eastAsia="en-US"/>
    </w:rPr>
  </w:style>
  <w:style w:type="character" w:customStyle="1" w:styleId="Hyperlink1">
    <w:name w:val="Hyperlink1"/>
    <w:basedOn w:val="DefaultParagraphFont"/>
    <w:uiPriority w:val="99"/>
    <w:unhideWhenUsed/>
    <w:rsid w:val="00277C14"/>
    <w:rPr>
      <w:color w:val="2B3ECD"/>
      <w:u w:val="single"/>
    </w:rPr>
  </w:style>
  <w:style w:type="character" w:customStyle="1" w:styleId="FollowedHyperlink1">
    <w:name w:val="FollowedHyperlink1"/>
    <w:basedOn w:val="DefaultParagraphFont"/>
    <w:uiPriority w:val="99"/>
    <w:semiHidden/>
    <w:unhideWhenUsed/>
    <w:rsid w:val="00277C14"/>
    <w:rPr>
      <w:color w:val="800080"/>
      <w:u w:val="single"/>
    </w:rPr>
  </w:style>
  <w:style w:type="character" w:customStyle="1" w:styleId="SubtleEmphasis1">
    <w:name w:val="Subtle Emphasis1"/>
    <w:basedOn w:val="DefaultParagraphFont"/>
    <w:uiPriority w:val="19"/>
    <w:semiHidden/>
    <w:rsid w:val="00277C14"/>
    <w:rPr>
      <w:i/>
      <w:iCs/>
      <w:color w:val="404040"/>
    </w:rPr>
  </w:style>
  <w:style w:type="character" w:styleId="IntenseEmphasis">
    <w:name w:val="Intense Emphasis"/>
    <w:basedOn w:val="DefaultParagraphFont"/>
    <w:uiPriority w:val="21"/>
    <w:rsid w:val="00277C14"/>
    <w:rPr>
      <w:b/>
      <w:bCs/>
      <w:i/>
      <w:iCs/>
      <w:color w:val="auto"/>
    </w:rPr>
  </w:style>
  <w:style w:type="character" w:customStyle="1" w:styleId="SubtleReference1">
    <w:name w:val="Subtle Reference1"/>
    <w:basedOn w:val="DefaultParagraphFont"/>
    <w:uiPriority w:val="31"/>
    <w:semiHidden/>
    <w:rsid w:val="00277C14"/>
    <w:rPr>
      <w:smallCaps/>
      <w:color w:val="404040"/>
    </w:rPr>
  </w:style>
  <w:style w:type="character" w:customStyle="1" w:styleId="IntenseReference1">
    <w:name w:val="Intense Reference1"/>
    <w:basedOn w:val="DefaultParagraphFont"/>
    <w:uiPriority w:val="32"/>
    <w:semiHidden/>
    <w:rsid w:val="00277C14"/>
    <w:rPr>
      <w:b/>
      <w:bCs/>
      <w:smallCaps/>
      <w:color w:val="404040"/>
      <w:spacing w:val="5"/>
    </w:rPr>
  </w:style>
  <w:style w:type="paragraph" w:customStyle="1" w:styleId="CancelreplaceCoverpage">
    <w:name w:val="Cancel &amp; replace (Cover page)"/>
    <w:basedOn w:val="Normal"/>
    <w:uiPriority w:val="99"/>
    <w:unhideWhenUsed/>
    <w:rsid w:val="00277C14"/>
    <w:pPr>
      <w:autoSpaceDE w:val="0"/>
      <w:autoSpaceDN w:val="0"/>
      <w:adjustRightInd w:val="0"/>
      <w:spacing w:after="227" w:line="360" w:lineRule="atLeast"/>
      <w:jc w:val="both"/>
      <w:textAlignment w:val="center"/>
    </w:pPr>
    <w:rPr>
      <w:rFonts w:ascii="Times New Roman" w:eastAsia="SimSun" w:hAnsi="Times New Roman" w:cs="Bernini Sans Light"/>
      <w:b/>
      <w:position w:val="6"/>
      <w:sz w:val="22"/>
      <w:szCs w:val="28"/>
      <w:lang w:val="fr-FR"/>
    </w:rPr>
  </w:style>
  <w:style w:type="character" w:customStyle="1" w:styleId="HeaderTitle">
    <w:name w:val="Header Title"/>
    <w:uiPriority w:val="99"/>
    <w:unhideWhenUsed/>
    <w:rsid w:val="00277C14"/>
    <w:rPr>
      <w:sz w:val="18"/>
    </w:rPr>
  </w:style>
  <w:style w:type="paragraph" w:customStyle="1" w:styleId="Para">
    <w:name w:val="Para #"/>
    <w:basedOn w:val="Normal"/>
    <w:link w:val="ParaChar"/>
    <w:uiPriority w:val="4"/>
    <w:qFormat/>
    <w:rsid w:val="00277C14"/>
    <w:pPr>
      <w:numPr>
        <w:numId w:val="20"/>
      </w:numPr>
      <w:tabs>
        <w:tab w:val="clear" w:pos="0"/>
      </w:tabs>
      <w:spacing w:before="120" w:after="120" w:line="280" w:lineRule="exact"/>
      <w:jc w:val="both"/>
    </w:pPr>
    <w:rPr>
      <w:rFonts w:ascii="Cambria" w:eastAsia="SimSun" w:hAnsi="Cambria"/>
      <w:sz w:val="22"/>
      <w:szCs w:val="20"/>
    </w:rPr>
  </w:style>
  <w:style w:type="character" w:customStyle="1" w:styleId="ParaChar">
    <w:name w:val="Para # Char"/>
    <w:basedOn w:val="DefaultParagraphFont"/>
    <w:link w:val="Para"/>
    <w:uiPriority w:val="4"/>
    <w:rsid w:val="00277C14"/>
    <w:rPr>
      <w:rFonts w:ascii="Cambria" w:eastAsia="SimSun" w:hAnsi="Cambria"/>
      <w:sz w:val="22"/>
      <w:lang w:eastAsia="en-US"/>
    </w:rPr>
  </w:style>
  <w:style w:type="paragraph" w:customStyle="1" w:styleId="Para0">
    <w:name w:val="Para #.#"/>
    <w:basedOn w:val="Para"/>
    <w:uiPriority w:val="5"/>
    <w:rsid w:val="00277C14"/>
    <w:pPr>
      <w:numPr>
        <w:ilvl w:val="1"/>
        <w:numId w:val="21"/>
      </w:numPr>
      <w:tabs>
        <w:tab w:val="clear" w:pos="454"/>
      </w:tabs>
      <w:ind w:left="680" w:hanging="360"/>
    </w:pPr>
    <w:rPr>
      <w:rFonts w:eastAsia="Caecilia LT Std Roman"/>
      <w:lang w:val="fr-FR"/>
    </w:rPr>
  </w:style>
  <w:style w:type="character" w:customStyle="1" w:styleId="HeaderCoteChar">
    <w:name w:val="Header Cote (Char)"/>
    <w:basedOn w:val="DefaultParagraphFont"/>
    <w:uiPriority w:val="1"/>
    <w:unhideWhenUsed/>
    <w:rsid w:val="00277C14"/>
    <w:rPr>
      <w:rFonts w:ascii="Times New Roman" w:hAnsi="Times New Roman"/>
      <w:b w:val="0"/>
      <w:spacing w:val="0"/>
      <w:sz w:val="22"/>
    </w:rPr>
  </w:style>
  <w:style w:type="character" w:customStyle="1" w:styleId="HeaderClassificationChar">
    <w:name w:val="Header Classification (Char)"/>
    <w:basedOn w:val="DefaultParagraphFont"/>
    <w:uiPriority w:val="1"/>
    <w:unhideWhenUsed/>
    <w:rsid w:val="00277C14"/>
    <w:rPr>
      <w:rFonts w:ascii="Times New Roman" w:hAnsi="Times New Roman"/>
      <w:b w:val="0"/>
      <w:caps w:val="0"/>
      <w:smallCaps w:val="0"/>
      <w:spacing w:val="0"/>
      <w:sz w:val="16"/>
    </w:rPr>
  </w:style>
  <w:style w:type="numbering" w:customStyle="1" w:styleId="1Paragraphlist">
    <w:name w:val="1. Paragraph list"/>
    <w:uiPriority w:val="99"/>
    <w:rsid w:val="00277C14"/>
    <w:pPr>
      <w:numPr>
        <w:numId w:val="19"/>
      </w:numPr>
    </w:pPr>
  </w:style>
  <w:style w:type="paragraph" w:customStyle="1" w:styleId="CoverTitle">
    <w:name w:val="CoverTitle"/>
    <w:basedOn w:val="CoverNormal"/>
    <w:link w:val="CoverTitleChar"/>
    <w:unhideWhenUsed/>
    <w:rsid w:val="00277C14"/>
    <w:rPr>
      <w:b/>
      <w:sz w:val="24"/>
    </w:rPr>
  </w:style>
  <w:style w:type="paragraph" w:customStyle="1" w:styleId="CoverSubTitle">
    <w:name w:val="CoverSubTitle"/>
    <w:basedOn w:val="CoverNormal"/>
    <w:link w:val="CoverSubTitleChar"/>
    <w:unhideWhenUsed/>
    <w:rsid w:val="00277C14"/>
    <w:rPr>
      <w:b/>
    </w:rPr>
  </w:style>
  <w:style w:type="character" w:customStyle="1" w:styleId="CoverTitleChar">
    <w:name w:val="CoverTitle Char"/>
    <w:basedOn w:val="DefaultParagraphFont"/>
    <w:link w:val="CoverTitle"/>
    <w:rsid w:val="00277C14"/>
    <w:rPr>
      <w:rFonts w:ascii="Times New Roman" w:eastAsia="SimSun" w:hAnsi="Times New Roman"/>
      <w:b/>
      <w:sz w:val="24"/>
      <w:lang w:eastAsia="en-US"/>
    </w:rPr>
  </w:style>
  <w:style w:type="paragraph" w:customStyle="1" w:styleId="CoverCancel">
    <w:name w:val="CoverCancel"/>
    <w:basedOn w:val="CoverNormal"/>
    <w:link w:val="CoverCancelChar"/>
    <w:unhideWhenUsed/>
    <w:rsid w:val="00277C14"/>
    <w:pPr>
      <w:spacing w:before="240" w:line="312" w:lineRule="auto"/>
      <w:jc w:val="center"/>
    </w:pPr>
    <w:rPr>
      <w:b/>
      <w:szCs w:val="24"/>
    </w:rPr>
  </w:style>
  <w:style w:type="character" w:customStyle="1" w:styleId="CoverSubTitleChar">
    <w:name w:val="CoverSubTitle Char"/>
    <w:basedOn w:val="DefaultParagraphFont"/>
    <w:link w:val="CoverSubTitle"/>
    <w:rsid w:val="00277C14"/>
    <w:rPr>
      <w:rFonts w:ascii="Times New Roman" w:eastAsia="SimSun" w:hAnsi="Times New Roman"/>
      <w:b/>
      <w:sz w:val="22"/>
      <w:lang w:eastAsia="en-US"/>
    </w:rPr>
  </w:style>
  <w:style w:type="character" w:customStyle="1" w:styleId="CoverCancelChar">
    <w:name w:val="CoverCancel Char"/>
    <w:basedOn w:val="DefaultParagraphFont"/>
    <w:link w:val="CoverCancel"/>
    <w:rsid w:val="00277C14"/>
    <w:rPr>
      <w:rFonts w:ascii="Times New Roman" w:eastAsia="SimSun" w:hAnsi="Times New Roman"/>
      <w:b/>
      <w:sz w:val="22"/>
      <w:szCs w:val="24"/>
      <w:lang w:eastAsia="en-US"/>
    </w:rPr>
  </w:style>
  <w:style w:type="character" w:customStyle="1" w:styleId="CoverCote">
    <w:name w:val="CoverCote"/>
    <w:basedOn w:val="DefaultParagraphFont"/>
    <w:uiPriority w:val="1"/>
    <w:unhideWhenUsed/>
    <w:rsid w:val="00277C14"/>
    <w:rPr>
      <w:rFonts w:ascii="Times New Roman" w:hAnsi="Times New Roman"/>
      <w:b/>
      <w:i w:val="0"/>
      <w:caps/>
      <w:smallCaps w:val="0"/>
      <w:color w:val="auto"/>
      <w:sz w:val="22"/>
      <w:u w:val="none"/>
      <w:bdr w:val="none" w:sz="0" w:space="0" w:color="auto"/>
      <w:shd w:val="clear" w:color="auto" w:fill="auto"/>
    </w:rPr>
  </w:style>
  <w:style w:type="paragraph" w:customStyle="1" w:styleId="CoverNormal">
    <w:name w:val="CoverNormal"/>
    <w:basedOn w:val="Normal"/>
    <w:link w:val="CoverNormalChar"/>
    <w:unhideWhenUsed/>
    <w:rsid w:val="00277C14"/>
    <w:pPr>
      <w:spacing w:after="120" w:line="280" w:lineRule="exact"/>
      <w:jc w:val="both"/>
    </w:pPr>
    <w:rPr>
      <w:rFonts w:ascii="Times New Roman" w:eastAsia="SimSun" w:hAnsi="Times New Roman"/>
      <w:sz w:val="22"/>
      <w:szCs w:val="20"/>
    </w:rPr>
  </w:style>
  <w:style w:type="character" w:customStyle="1" w:styleId="CoverNormalChar">
    <w:name w:val="CoverNormal Char"/>
    <w:basedOn w:val="DefaultParagraphFont"/>
    <w:link w:val="CoverNormal"/>
    <w:rsid w:val="00277C14"/>
    <w:rPr>
      <w:rFonts w:ascii="Times New Roman" w:eastAsia="SimSun" w:hAnsi="Times New Roman"/>
      <w:sz w:val="22"/>
      <w:lang w:eastAsia="en-US"/>
    </w:rPr>
  </w:style>
  <w:style w:type="table" w:customStyle="1" w:styleId="TableGrid10">
    <w:name w:val="Table Grid1"/>
    <w:basedOn w:val="TableNormal"/>
    <w:next w:val="TableGrid"/>
    <w:uiPriority w:val="59"/>
    <w:rsid w:val="00277C14"/>
    <w:pPr>
      <w:jc w:val="both"/>
    </w:pPr>
    <w:rPr>
      <w:rFonts w:ascii="Georgia" w:eastAsiaTheme="minorHAnsi" w:hAnsi="Georgia"/>
      <w:position w:val="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Directorate">
    <w:name w:val="CoverDirectorate"/>
    <w:basedOn w:val="CoverNormal"/>
    <w:link w:val="CoverDirectorateChar"/>
    <w:unhideWhenUsed/>
    <w:rsid w:val="00277C14"/>
    <w:rPr>
      <w:b/>
      <w:color w:val="000000" w:themeColor="text1"/>
    </w:rPr>
  </w:style>
  <w:style w:type="character" w:customStyle="1" w:styleId="CoverDirectorateChar">
    <w:name w:val="CoverDirectorate Char"/>
    <w:basedOn w:val="CoverNormalChar"/>
    <w:link w:val="CoverDirectorate"/>
    <w:rsid w:val="00277C14"/>
    <w:rPr>
      <w:rFonts w:ascii="Times New Roman" w:eastAsia="SimSun" w:hAnsi="Times New Roman"/>
      <w:b/>
      <w:color w:val="000000" w:themeColor="text1"/>
      <w:sz w:val="22"/>
      <w:lang w:eastAsia="en-US"/>
    </w:rPr>
  </w:style>
  <w:style w:type="paragraph" w:customStyle="1" w:styleId="CoverAbstract">
    <w:name w:val="CoverAbstract"/>
    <w:basedOn w:val="CoverNormal"/>
    <w:link w:val="CoverAbstractChar"/>
    <w:unhideWhenUsed/>
    <w:rsid w:val="00277C14"/>
    <w:rPr>
      <w:rFonts w:cs="Arial"/>
      <w:b/>
      <w:szCs w:val="24"/>
    </w:rPr>
  </w:style>
  <w:style w:type="paragraph" w:customStyle="1" w:styleId="CoverDisclaimer">
    <w:name w:val="CoverDisclaimer"/>
    <w:basedOn w:val="Footer"/>
    <w:unhideWhenUsed/>
    <w:rsid w:val="00277C14"/>
    <w:pPr>
      <w:tabs>
        <w:tab w:val="clear" w:pos="4513"/>
        <w:tab w:val="clear" w:pos="9026"/>
      </w:tabs>
      <w:spacing w:after="120" w:line="312" w:lineRule="auto"/>
      <w:jc w:val="both"/>
    </w:pPr>
    <w:rPr>
      <w:rFonts w:ascii="Times New Roman" w:eastAsia="SimSun" w:hAnsi="Times New Roman"/>
      <w:b/>
      <w:i/>
      <w:color w:val="000000" w:themeColor="text1"/>
      <w:sz w:val="16"/>
      <w:szCs w:val="16"/>
    </w:rPr>
  </w:style>
  <w:style w:type="character" w:customStyle="1" w:styleId="CoverAbstractChar">
    <w:name w:val="CoverAbstract Char"/>
    <w:basedOn w:val="DefaultParagraphFont"/>
    <w:link w:val="CoverAbstract"/>
    <w:rsid w:val="00277C14"/>
    <w:rPr>
      <w:rFonts w:ascii="Times New Roman" w:eastAsia="SimSun" w:hAnsi="Times New Roman" w:cs="Arial"/>
      <w:b/>
      <w:sz w:val="22"/>
      <w:szCs w:val="24"/>
      <w:lang w:eastAsia="en-US"/>
    </w:rPr>
  </w:style>
  <w:style w:type="paragraph" w:customStyle="1" w:styleId="CoverJobTicket">
    <w:name w:val="CoverJobTicket"/>
    <w:basedOn w:val="CoverNormal"/>
    <w:unhideWhenUsed/>
    <w:rsid w:val="00277C14"/>
    <w:rPr>
      <w:b/>
    </w:rPr>
  </w:style>
  <w:style w:type="paragraph" w:customStyle="1" w:styleId="CoverDate">
    <w:name w:val="CoverDate"/>
    <w:basedOn w:val="CoverNormal"/>
    <w:link w:val="CoverDateChar"/>
    <w:unhideWhenUsed/>
    <w:rsid w:val="00277C14"/>
    <w:pPr>
      <w:widowControl w:val="0"/>
      <w:autoSpaceDE w:val="0"/>
      <w:autoSpaceDN w:val="0"/>
      <w:snapToGrid w:val="0"/>
      <w:jc w:val="right"/>
    </w:pPr>
    <w:rPr>
      <w:b/>
      <w:sz w:val="18"/>
    </w:rPr>
  </w:style>
  <w:style w:type="character" w:styleId="PlaceholderText">
    <w:name w:val="Placeholder Text"/>
    <w:basedOn w:val="DefaultParagraphFont"/>
    <w:uiPriority w:val="99"/>
    <w:semiHidden/>
    <w:rsid w:val="00277C14"/>
    <w:rPr>
      <w:color w:val="808080"/>
    </w:rPr>
  </w:style>
  <w:style w:type="table" w:customStyle="1" w:styleId="TableGridLight1">
    <w:name w:val="Table Grid Light1"/>
    <w:basedOn w:val="TableNormal"/>
    <w:next w:val="TableGridLight2"/>
    <w:uiPriority w:val="40"/>
    <w:rsid w:val="00277C14"/>
    <w:pPr>
      <w:jc w:val="both"/>
    </w:pPr>
    <w:rPr>
      <w:rFonts w:ascii="Georgia" w:eastAsiaTheme="minorHAnsi" w:hAnsi="Georgia"/>
      <w:position w:val="6"/>
      <w:lang w:val="fr-FR"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ara1">
    <w:name w:val="Para"/>
    <w:basedOn w:val="Normal"/>
    <w:uiPriority w:val="3"/>
    <w:qFormat/>
    <w:rsid w:val="00277C14"/>
    <w:pPr>
      <w:spacing w:before="120" w:after="120" w:line="280" w:lineRule="exact"/>
      <w:ind w:left="680" w:right="680"/>
      <w:jc w:val="both"/>
    </w:pPr>
    <w:rPr>
      <w:rFonts w:ascii="Times New Roman" w:eastAsia="SimSun" w:hAnsi="Times New Roman"/>
      <w:sz w:val="22"/>
      <w:szCs w:val="20"/>
    </w:rPr>
  </w:style>
  <w:style w:type="character" w:styleId="EndnoteReference">
    <w:name w:val="endnote reference"/>
    <w:basedOn w:val="DefaultParagraphFont"/>
    <w:uiPriority w:val="99"/>
    <w:unhideWhenUsed/>
    <w:rsid w:val="00277C14"/>
    <w:rPr>
      <w:rFonts w:ascii="Times New Roman" w:hAnsi="Times New Roman"/>
      <w:i w:val="0"/>
      <w:position w:val="0"/>
      <w:sz w:val="22"/>
      <w:vertAlign w:val="superscript"/>
    </w:rPr>
  </w:style>
  <w:style w:type="table" w:customStyle="1" w:styleId="PlainTable51">
    <w:name w:val="Plain Table 51"/>
    <w:basedOn w:val="TableNormal"/>
    <w:next w:val="PlainTable52"/>
    <w:uiPriority w:val="45"/>
    <w:rsid w:val="00277C14"/>
    <w:pPr>
      <w:jc w:val="both"/>
    </w:pPr>
    <w:rPr>
      <w:rFonts w:ascii="Georgia" w:eastAsia="SimSun" w:hAnsi="Georgia"/>
      <w:position w:val="6"/>
      <w:sz w:val="16"/>
      <w:lang w:val="en-US" w:eastAsia="en-US"/>
    </w:rPr>
    <w:tblPr>
      <w:tblStyleRowBandSize w:val="1"/>
      <w:tblStyleColBandSize w:val="1"/>
    </w:tblPr>
    <w:tblStylePr w:type="firstRow">
      <w:rPr>
        <w:rFonts w:ascii="Georgia" w:eastAsia="SimHei" w:hAnsi="Georgia" w:cs="Times New Roman"/>
        <w:i/>
        <w:iCs/>
        <w:sz w:val="26"/>
      </w:rPr>
      <w:tblPr/>
      <w:tcPr>
        <w:tcBorders>
          <w:bottom w:val="single" w:sz="4" w:space="0" w:color="7F7F7F"/>
        </w:tcBorders>
        <w:shd w:val="clear" w:color="auto" w:fill="FFFFFF"/>
      </w:tcPr>
    </w:tblStylePr>
    <w:tblStylePr w:type="lastRow">
      <w:rPr>
        <w:rFonts w:ascii="Georgia" w:eastAsia="SimHei" w:hAnsi="Georgia" w:cs="Times New Roman"/>
        <w:i/>
        <w:iCs/>
        <w:sz w:val="26"/>
      </w:rPr>
      <w:tblPr/>
      <w:tcPr>
        <w:tcBorders>
          <w:top w:val="single" w:sz="4" w:space="0" w:color="7F7F7F"/>
        </w:tcBorders>
        <w:shd w:val="clear" w:color="auto" w:fill="FFFFFF"/>
      </w:tcPr>
    </w:tblStylePr>
    <w:tblStylePr w:type="firstCol">
      <w:pPr>
        <w:jc w:val="right"/>
      </w:pPr>
      <w:rPr>
        <w:rFonts w:ascii="Georgia" w:eastAsia="SimHei" w:hAnsi="Georgia" w:cs="Times New Roman"/>
        <w:i/>
        <w:iCs/>
        <w:sz w:val="26"/>
      </w:rPr>
      <w:tblPr/>
      <w:tcPr>
        <w:tcBorders>
          <w:right w:val="single" w:sz="4" w:space="0" w:color="7F7F7F"/>
        </w:tcBorders>
        <w:shd w:val="clear" w:color="auto" w:fill="FFFFFF"/>
      </w:tcPr>
    </w:tblStylePr>
    <w:tblStylePr w:type="lastCol">
      <w:rPr>
        <w:rFonts w:ascii="Georgia" w:eastAsia="SimHei" w:hAnsi="Georg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61">
    <w:name w:val="Grid Table 1 Light - Accent 61"/>
    <w:basedOn w:val="TableNormal"/>
    <w:next w:val="GridTable1Light-Accent62"/>
    <w:uiPriority w:val="46"/>
    <w:rsid w:val="00277C14"/>
    <w:pPr>
      <w:jc w:val="both"/>
    </w:pPr>
    <w:rPr>
      <w:rFonts w:ascii="Georgia" w:eastAsia="SimSun" w:hAnsi="Georgia"/>
      <w:position w:val="6"/>
      <w:lang w:val="en-US" w:eastAsia="en-US"/>
    </w:rPr>
    <w:tblPr>
      <w:tblStyleRowBandSize w:val="1"/>
      <w:tblStyleColBandSize w:val="1"/>
      <w:tblBorders>
        <w:top w:val="single" w:sz="4" w:space="0" w:color="CBCBCB"/>
        <w:left w:val="single" w:sz="4" w:space="0" w:color="CBCBCB"/>
        <w:bottom w:val="single" w:sz="4" w:space="0" w:color="CBCBCB"/>
        <w:right w:val="single" w:sz="4" w:space="0" w:color="CBCBCB"/>
        <w:insideH w:val="single" w:sz="4" w:space="0" w:color="CBCBCB"/>
        <w:insideV w:val="single" w:sz="4" w:space="0" w:color="CBCBCB"/>
      </w:tblBorders>
    </w:tblPr>
    <w:tblStylePr w:type="firstRow">
      <w:rPr>
        <w:b/>
        <w:bCs/>
      </w:rPr>
      <w:tblPr/>
      <w:tcPr>
        <w:tcBorders>
          <w:bottom w:val="single" w:sz="12" w:space="0" w:color="B2B2B2"/>
        </w:tcBorders>
      </w:tcPr>
    </w:tblStylePr>
    <w:tblStylePr w:type="lastRow">
      <w:rPr>
        <w:b/>
        <w:bCs/>
      </w:rPr>
      <w:tblPr/>
      <w:tcPr>
        <w:tcBorders>
          <w:top w:val="double" w:sz="2" w:space="0" w:color="B2B2B2"/>
        </w:tcBorders>
      </w:tcPr>
    </w:tblStylePr>
    <w:tblStylePr w:type="firstCol">
      <w:rPr>
        <w:b/>
        <w:bCs/>
      </w:rPr>
    </w:tblStylePr>
    <w:tblStylePr w:type="lastCol">
      <w:rPr>
        <w:b/>
        <w:bCs/>
      </w:rPr>
    </w:tblStylePr>
  </w:style>
  <w:style w:type="paragraph" w:customStyle="1" w:styleId="TableRow">
    <w:name w:val="Table Row"/>
    <w:basedOn w:val="TableCell"/>
    <w:uiPriority w:val="10"/>
    <w:qFormat/>
    <w:rsid w:val="00277C14"/>
    <w:pPr>
      <w:jc w:val="left"/>
    </w:pPr>
  </w:style>
  <w:style w:type="table" w:customStyle="1" w:styleId="GridTable1Light-Accent51">
    <w:name w:val="Grid Table 1 Light - Accent 51"/>
    <w:basedOn w:val="TableNormal"/>
    <w:next w:val="GridTable1Light-Accent52"/>
    <w:uiPriority w:val="46"/>
    <w:rsid w:val="00277C14"/>
    <w:pPr>
      <w:jc w:val="both"/>
    </w:pPr>
    <w:rPr>
      <w:rFonts w:ascii="Georgia" w:eastAsia="SimSun" w:hAnsi="Georgia"/>
      <w:position w:val="6"/>
      <w:lang w:val="en-US" w:eastAsia="en-US"/>
    </w:rPr>
    <w:tblPr>
      <w:tblStyleRowBandSize w:val="1"/>
      <w:tblStyleColBandSize w:val="1"/>
      <w:tblBorders>
        <w:top w:val="single" w:sz="4" w:space="0" w:color="CBCBCB"/>
        <w:left w:val="single" w:sz="4" w:space="0" w:color="CBCBCB"/>
        <w:bottom w:val="single" w:sz="4" w:space="0" w:color="CBCBCB"/>
        <w:right w:val="single" w:sz="4" w:space="0" w:color="CBCBCB"/>
        <w:insideH w:val="single" w:sz="4" w:space="0" w:color="CBCBCB"/>
        <w:insideV w:val="single" w:sz="4" w:space="0" w:color="CBCBCB"/>
      </w:tblBorders>
    </w:tblPr>
    <w:tblStylePr w:type="firstRow">
      <w:rPr>
        <w:b/>
        <w:bCs/>
      </w:rPr>
      <w:tblPr/>
      <w:tcPr>
        <w:tcBorders>
          <w:bottom w:val="single" w:sz="12" w:space="0" w:color="B2B2B2"/>
        </w:tcBorders>
      </w:tcPr>
    </w:tblStylePr>
    <w:tblStylePr w:type="lastRow">
      <w:rPr>
        <w:b/>
        <w:bCs/>
      </w:rPr>
      <w:tblPr/>
      <w:tcPr>
        <w:tcBorders>
          <w:top w:val="double" w:sz="2" w:space="0" w:color="B2B2B2"/>
        </w:tcBorders>
      </w:tcPr>
    </w:tblStylePr>
    <w:tblStylePr w:type="firstCol">
      <w:rPr>
        <w:b/>
        <w:bCs/>
      </w:rPr>
    </w:tblStylePr>
    <w:tblStylePr w:type="lastCol">
      <w:rPr>
        <w:b/>
        <w:bCs/>
      </w:rPr>
    </w:tblStylePr>
  </w:style>
  <w:style w:type="table" w:customStyle="1" w:styleId="PlainTable31">
    <w:name w:val="Plain Table 31"/>
    <w:basedOn w:val="TableNormal"/>
    <w:next w:val="PlainTable32"/>
    <w:uiPriority w:val="43"/>
    <w:rsid w:val="00277C14"/>
    <w:pPr>
      <w:jc w:val="both"/>
    </w:pPr>
    <w:rPr>
      <w:rFonts w:ascii="Georgia" w:eastAsia="SimSun" w:hAnsi="Georgia"/>
      <w:position w:val="6"/>
      <w:lang w:val="en-US"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4-Accent41">
    <w:name w:val="List Table 4 - Accent 41"/>
    <w:basedOn w:val="TableNormal"/>
    <w:next w:val="ListTable4-Accent42"/>
    <w:uiPriority w:val="49"/>
    <w:rsid w:val="00277C14"/>
    <w:pPr>
      <w:jc w:val="both"/>
    </w:pPr>
    <w:rPr>
      <w:rFonts w:ascii="Georgia" w:eastAsia="SimSun" w:hAnsi="Georgia"/>
      <w:position w:val="6"/>
      <w:lang w:val="en-US" w:eastAsia="en-US"/>
    </w:rPr>
    <w:tblPr>
      <w:tblStyleRowBandSize w:val="1"/>
      <w:tblStyleColBandSize w:val="1"/>
      <w:tblBorders>
        <w:top w:val="single" w:sz="4" w:space="0" w:color="B2B2B2"/>
        <w:left w:val="single" w:sz="4" w:space="0" w:color="B2B2B2"/>
        <w:bottom w:val="single" w:sz="4" w:space="0" w:color="B2B2B2"/>
        <w:right w:val="single" w:sz="4" w:space="0" w:color="B2B2B2"/>
        <w:insideH w:val="single" w:sz="4" w:space="0" w:color="B2B2B2"/>
      </w:tblBorders>
    </w:tblPr>
    <w:tblStylePr w:type="firstRow">
      <w:rPr>
        <w:b/>
        <w:bCs/>
        <w:color w:val="FFFFFF"/>
      </w:rPr>
      <w:tblPr/>
      <w:tcPr>
        <w:tcBorders>
          <w:top w:val="single" w:sz="4" w:space="0" w:color="7F7F7F"/>
          <w:left w:val="single" w:sz="4" w:space="0" w:color="7F7F7F"/>
          <w:bottom w:val="single" w:sz="4" w:space="0" w:color="7F7F7F"/>
          <w:right w:val="single" w:sz="4" w:space="0" w:color="7F7F7F"/>
          <w:insideH w:val="nil"/>
        </w:tcBorders>
        <w:shd w:val="clear" w:color="auto" w:fill="7F7F7F"/>
      </w:tcPr>
    </w:tblStylePr>
    <w:tblStylePr w:type="lastRow">
      <w:rPr>
        <w:b/>
        <w:bCs/>
      </w:rPr>
      <w:tblPr/>
      <w:tcPr>
        <w:tcBorders>
          <w:top w:val="double" w:sz="4" w:space="0" w:color="B2B2B2"/>
        </w:tcBorders>
      </w:tc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GridTable1Light-Accent41">
    <w:name w:val="Grid Table 1 Light - Accent 41"/>
    <w:basedOn w:val="TableNormal"/>
    <w:next w:val="GridTable1Light-Accent42"/>
    <w:uiPriority w:val="46"/>
    <w:rsid w:val="00277C14"/>
    <w:pPr>
      <w:jc w:val="both"/>
    </w:pPr>
    <w:rPr>
      <w:rFonts w:ascii="Georgia" w:eastAsia="SimSun" w:hAnsi="Georgia"/>
      <w:position w:val="6"/>
      <w:lang w:val="en-US" w:eastAsia="en-US"/>
    </w:rPr>
    <w:tblPr>
      <w:tblStyleRowBandSize w:val="1"/>
      <w:tblStyleColBandSize w:val="1"/>
      <w:tblBorders>
        <w:top w:val="single" w:sz="4" w:space="0" w:color="CBCBCB"/>
        <w:left w:val="single" w:sz="4" w:space="0" w:color="CBCBCB"/>
        <w:bottom w:val="single" w:sz="4" w:space="0" w:color="CBCBCB"/>
        <w:right w:val="single" w:sz="4" w:space="0" w:color="CBCBCB"/>
        <w:insideH w:val="single" w:sz="4" w:space="0" w:color="CBCBCB"/>
        <w:insideV w:val="single" w:sz="4" w:space="0" w:color="CBCBCB"/>
      </w:tblBorders>
    </w:tblPr>
    <w:tblStylePr w:type="firstRow">
      <w:rPr>
        <w:b/>
        <w:bCs/>
      </w:rPr>
      <w:tblPr/>
      <w:tcPr>
        <w:tcBorders>
          <w:bottom w:val="single" w:sz="12" w:space="0" w:color="B2B2B2"/>
        </w:tcBorders>
      </w:tcPr>
    </w:tblStylePr>
    <w:tblStylePr w:type="lastRow">
      <w:rPr>
        <w:b/>
        <w:bCs/>
      </w:rPr>
      <w:tblPr/>
      <w:tcPr>
        <w:tcBorders>
          <w:top w:val="double" w:sz="2" w:space="0" w:color="B2B2B2"/>
        </w:tcBorders>
      </w:tcPr>
    </w:tblStylePr>
    <w:tblStylePr w:type="firstCol">
      <w:rPr>
        <w:b/>
        <w:bCs/>
      </w:rPr>
    </w:tblStylePr>
    <w:tblStylePr w:type="lastCol">
      <w:rPr>
        <w:b/>
        <w:bCs/>
      </w:rPr>
    </w:tblStylePr>
  </w:style>
  <w:style w:type="paragraph" w:customStyle="1" w:styleId="TableColumn">
    <w:name w:val="Table Column"/>
    <w:basedOn w:val="TableRow"/>
    <w:uiPriority w:val="10"/>
    <w:qFormat/>
    <w:rsid w:val="00277C14"/>
    <w:pPr>
      <w:jc w:val="center"/>
    </w:pPr>
  </w:style>
  <w:style w:type="table" w:customStyle="1" w:styleId="ListTable3-Accent31">
    <w:name w:val="List Table 3 - Accent 31"/>
    <w:basedOn w:val="TableNormal"/>
    <w:next w:val="ListTable3-Accent32"/>
    <w:uiPriority w:val="48"/>
    <w:rsid w:val="00277C14"/>
    <w:pPr>
      <w:jc w:val="both"/>
    </w:pPr>
    <w:rPr>
      <w:rFonts w:ascii="Georgia" w:eastAsia="SimSun" w:hAnsi="Georgia"/>
      <w:position w:val="6"/>
      <w:lang w:val="en-US" w:eastAsia="en-US"/>
    </w:rPr>
    <w:tblPr>
      <w:tblStyleRowBandSize w:val="1"/>
      <w:tblStyleColBandSize w:val="1"/>
      <w:tblBorders>
        <w:top w:val="single" w:sz="4" w:space="0" w:color="BFBFBF"/>
        <w:left w:val="single" w:sz="4" w:space="0" w:color="BFBFBF"/>
        <w:bottom w:val="single" w:sz="4" w:space="0" w:color="BFBFBF"/>
        <w:right w:val="single" w:sz="4" w:space="0" w:color="BFBFBF"/>
      </w:tblBorders>
    </w:tblPr>
    <w:tblStylePr w:type="firstRow">
      <w:rPr>
        <w:b/>
        <w:bCs/>
        <w:color w:val="FFFFFF"/>
      </w:rPr>
      <w:tblPr/>
      <w:tcPr>
        <w:shd w:val="clear" w:color="auto" w:fill="BFBFBF"/>
      </w:tcPr>
    </w:tblStylePr>
    <w:tblStylePr w:type="lastRow">
      <w:rPr>
        <w:b/>
        <w:bCs/>
      </w:rPr>
      <w:tblPr/>
      <w:tcPr>
        <w:tcBorders>
          <w:top w:val="double" w:sz="4" w:space="0" w:color="BFBFB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BFBFBF"/>
          <w:right w:val="single" w:sz="4" w:space="0" w:color="BFBFBF"/>
        </w:tcBorders>
      </w:tcPr>
    </w:tblStylePr>
    <w:tblStylePr w:type="band1Horz">
      <w:tblPr/>
      <w:tcPr>
        <w:tcBorders>
          <w:top w:val="single" w:sz="4" w:space="0" w:color="BFBFBF"/>
          <w:bottom w:val="single" w:sz="4" w:space="0" w:color="BFBFB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FBF"/>
          <w:left w:val="nil"/>
        </w:tcBorders>
      </w:tcPr>
    </w:tblStylePr>
    <w:tblStylePr w:type="swCell">
      <w:tblPr/>
      <w:tcPr>
        <w:tcBorders>
          <w:top w:val="double" w:sz="4" w:space="0" w:color="BFBFBF"/>
          <w:right w:val="nil"/>
        </w:tcBorders>
      </w:tcPr>
    </w:tblStylePr>
  </w:style>
  <w:style w:type="table" w:customStyle="1" w:styleId="ListTable4-Accent51">
    <w:name w:val="List Table 4 - Accent 51"/>
    <w:basedOn w:val="TableNormal"/>
    <w:next w:val="ListTable4-Accent52"/>
    <w:uiPriority w:val="49"/>
    <w:rsid w:val="00277C14"/>
    <w:pPr>
      <w:jc w:val="both"/>
    </w:pPr>
    <w:rPr>
      <w:rFonts w:ascii="Georgia" w:eastAsia="SimSun" w:hAnsi="Georgia"/>
      <w:position w:val="6"/>
      <w:lang w:val="en-US" w:eastAsia="en-US"/>
    </w:rPr>
    <w:tblPr>
      <w:tblStyleRowBandSize w:val="1"/>
      <w:tblStyleColBandSize w:val="1"/>
      <w:tblBorders>
        <w:top w:val="single" w:sz="4" w:space="0" w:color="B2B2B2"/>
        <w:left w:val="single" w:sz="4" w:space="0" w:color="B2B2B2"/>
        <w:bottom w:val="single" w:sz="4" w:space="0" w:color="B2B2B2"/>
        <w:right w:val="single" w:sz="4" w:space="0" w:color="B2B2B2"/>
        <w:insideH w:val="single" w:sz="4" w:space="0" w:color="B2B2B2"/>
      </w:tblBorders>
    </w:tblPr>
    <w:tblStylePr w:type="firstRow">
      <w:rPr>
        <w:b/>
        <w:bCs/>
        <w:color w:val="FFFFFF"/>
      </w:rPr>
      <w:tblPr/>
      <w:tcPr>
        <w:tcBorders>
          <w:top w:val="single" w:sz="4" w:space="0" w:color="7F7F7F"/>
          <w:left w:val="single" w:sz="4" w:space="0" w:color="7F7F7F"/>
          <w:bottom w:val="single" w:sz="4" w:space="0" w:color="7F7F7F"/>
          <w:right w:val="single" w:sz="4" w:space="0" w:color="7F7F7F"/>
          <w:insideH w:val="nil"/>
        </w:tcBorders>
        <w:shd w:val="clear" w:color="auto" w:fill="7F7F7F"/>
      </w:tcPr>
    </w:tblStylePr>
    <w:tblStylePr w:type="lastRow">
      <w:rPr>
        <w:b/>
        <w:bCs/>
      </w:rPr>
      <w:tblPr/>
      <w:tcPr>
        <w:tcBorders>
          <w:top w:val="double" w:sz="4" w:space="0" w:color="B2B2B2"/>
        </w:tcBorders>
      </w:tcPr>
    </w:tblStylePr>
    <w:tblStylePr w:type="firstCol">
      <w:rPr>
        <w:b/>
        <w:bCs/>
        <w:color w:val="auto"/>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paragraph" w:customStyle="1" w:styleId="CoverClassification">
    <w:name w:val="CoverClassification"/>
    <w:basedOn w:val="CoverNormal"/>
    <w:unhideWhenUsed/>
    <w:rsid w:val="00277C14"/>
    <w:pPr>
      <w:autoSpaceDE w:val="0"/>
      <w:autoSpaceDN w:val="0"/>
      <w:adjustRightInd w:val="0"/>
      <w:jc w:val="right"/>
      <w:textAlignment w:val="center"/>
    </w:pPr>
    <w:rPr>
      <w:rFonts w:cs="Bernini Sans"/>
      <w:b/>
      <w:bCs/>
      <w:color w:val="000000"/>
      <w:lang w:val="fr-FR"/>
    </w:rPr>
  </w:style>
  <w:style w:type="paragraph" w:customStyle="1" w:styleId="CoverLanguage">
    <w:name w:val="CoverLanguage"/>
    <w:basedOn w:val="CoverNormal"/>
    <w:unhideWhenUsed/>
    <w:rsid w:val="00277C14"/>
    <w:pPr>
      <w:spacing w:before="40" w:after="40"/>
      <w:jc w:val="right"/>
    </w:pPr>
    <w:rPr>
      <w:b/>
    </w:rPr>
  </w:style>
  <w:style w:type="table" w:customStyle="1" w:styleId="ListTable4-Accent31">
    <w:name w:val="List Table 4 - Accent 31"/>
    <w:basedOn w:val="TableNormal"/>
    <w:next w:val="ListTable4-Accent32"/>
    <w:uiPriority w:val="49"/>
    <w:rsid w:val="00277C14"/>
    <w:pPr>
      <w:jc w:val="both"/>
    </w:pPr>
    <w:rPr>
      <w:rFonts w:ascii="Georgia" w:eastAsia="SimSun" w:hAnsi="Georgia"/>
      <w:position w:val="6"/>
      <w:lang w:val="en-US" w:eastAsia="en-US"/>
    </w:rPr>
    <w:tblPr>
      <w:tblStyleRowBandSize w:val="1"/>
      <w:tblStyleColBandSize w:val="1"/>
      <w:tblBorders>
        <w:top w:val="single" w:sz="4" w:space="0" w:color="D8D8D8"/>
        <w:left w:val="single" w:sz="4" w:space="0" w:color="D8D8D8"/>
        <w:bottom w:val="single" w:sz="4" w:space="0" w:color="D8D8D8"/>
        <w:right w:val="single" w:sz="4" w:space="0" w:color="D8D8D8"/>
        <w:insideH w:val="single" w:sz="4" w:space="0" w:color="D8D8D8"/>
      </w:tblBorders>
    </w:tblPr>
    <w:tblStylePr w:type="firstRow">
      <w:rPr>
        <w:b/>
        <w:bCs/>
        <w:color w:val="FFFFFF"/>
      </w:rPr>
      <w:tblPr/>
      <w:tcPr>
        <w:tcBorders>
          <w:top w:val="single" w:sz="4" w:space="0" w:color="BFBFBF"/>
          <w:left w:val="single" w:sz="4" w:space="0" w:color="BFBFBF"/>
          <w:bottom w:val="single" w:sz="4" w:space="0" w:color="BFBFBF"/>
          <w:right w:val="single" w:sz="4" w:space="0" w:color="BFBFBF"/>
          <w:insideH w:val="nil"/>
        </w:tcBorders>
        <w:shd w:val="clear" w:color="auto" w:fill="BFBFBF"/>
      </w:tcPr>
    </w:tblStylePr>
    <w:tblStylePr w:type="lastRow">
      <w:rPr>
        <w:b/>
        <w:bCs/>
      </w:rPr>
      <w:tblPr/>
      <w:tcPr>
        <w:tcBorders>
          <w:top w:val="double" w:sz="4" w:space="0" w:color="D8D8D8"/>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31">
    <w:name w:val="Grid Table 1 Light - Accent 31"/>
    <w:basedOn w:val="TableNormal"/>
    <w:next w:val="GridTable1Light-Accent32"/>
    <w:uiPriority w:val="46"/>
    <w:rsid w:val="00277C14"/>
    <w:pPr>
      <w:jc w:val="both"/>
    </w:pPr>
    <w:rPr>
      <w:rFonts w:ascii="Georgia" w:eastAsia="SimSun" w:hAnsi="Georgia"/>
      <w:position w:val="6"/>
      <w:lang w:val="en-US" w:eastAsia="en-US"/>
    </w:rPr>
    <w:tblPr>
      <w:tblStyleRowBandSize w:val="1"/>
      <w:tblStyleColBandSize w:val="1"/>
      <w:tblBorders>
        <w:top w:val="single" w:sz="4" w:space="0" w:color="E5E5E5"/>
        <w:left w:val="single" w:sz="4" w:space="0" w:color="E5E5E5"/>
        <w:bottom w:val="single" w:sz="4" w:space="0" w:color="E5E5E5"/>
        <w:right w:val="single" w:sz="4" w:space="0" w:color="E5E5E5"/>
        <w:insideH w:val="single" w:sz="4" w:space="0" w:color="E5E5E5"/>
        <w:insideV w:val="single" w:sz="4" w:space="0" w:color="E5E5E5"/>
      </w:tblBorders>
    </w:tblPr>
    <w:tblStylePr w:type="firstRow">
      <w:rPr>
        <w:b/>
        <w:bCs/>
      </w:rPr>
      <w:tblPr/>
      <w:tcPr>
        <w:tcBorders>
          <w:bottom w:val="single" w:sz="12" w:space="0" w:color="D8D8D8"/>
        </w:tcBorders>
      </w:tcPr>
    </w:tblStylePr>
    <w:tblStylePr w:type="lastRow">
      <w:rPr>
        <w:b/>
        <w:bCs/>
      </w:rPr>
      <w:tblPr/>
      <w:tcPr>
        <w:tcBorders>
          <w:top w:val="double" w:sz="2" w:space="0" w:color="D8D8D8"/>
        </w:tcBorders>
      </w:tcPr>
    </w:tblStylePr>
    <w:tblStylePr w:type="firstCol">
      <w:rPr>
        <w:b/>
        <w:bCs/>
      </w:rPr>
    </w:tblStylePr>
    <w:tblStylePr w:type="lastCol">
      <w:rPr>
        <w:b/>
        <w:bCs/>
      </w:rPr>
    </w:tblStylePr>
  </w:style>
  <w:style w:type="table" w:customStyle="1" w:styleId="ListTable1Light-Accent61">
    <w:name w:val="List Table 1 Light - Accent 61"/>
    <w:basedOn w:val="TableNormal"/>
    <w:next w:val="ListTable1Light-Accent62"/>
    <w:uiPriority w:val="46"/>
    <w:rsid w:val="00277C14"/>
    <w:pPr>
      <w:jc w:val="both"/>
    </w:pPr>
    <w:rPr>
      <w:rFonts w:ascii="Georgia" w:eastAsia="SimSun" w:hAnsi="Georgia"/>
      <w:position w:val="6"/>
      <w:lang w:val="en-US" w:eastAsia="en-US"/>
    </w:rPr>
    <w:tblPr>
      <w:tblStyleRowBandSize w:val="1"/>
      <w:tblStyleColBandSize w:val="1"/>
    </w:tblPr>
    <w:tblStylePr w:type="firstRow">
      <w:rPr>
        <w:b/>
        <w:bCs/>
      </w:rPr>
      <w:tblPr/>
      <w:tcPr>
        <w:tcBorders>
          <w:bottom w:val="single" w:sz="4" w:space="0" w:color="B2B2B2"/>
        </w:tcBorders>
      </w:tcPr>
    </w:tblStylePr>
    <w:tblStylePr w:type="lastRow">
      <w:rPr>
        <w:b/>
        <w:bCs/>
      </w:rPr>
      <w:tblPr/>
      <w:tcPr>
        <w:tcBorders>
          <w:top w:val="single" w:sz="4" w:space="0" w:color="B2B2B2"/>
        </w:tcBorders>
      </w:tc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GridTable6Colorful1">
    <w:name w:val="Grid Table 6 Colorful1"/>
    <w:basedOn w:val="TableNormal"/>
    <w:next w:val="GridTable6Colorful2"/>
    <w:uiPriority w:val="51"/>
    <w:rsid w:val="00277C14"/>
    <w:pPr>
      <w:jc w:val="both"/>
    </w:pPr>
    <w:rPr>
      <w:rFonts w:ascii="Georgia" w:eastAsia="SimSun" w:hAnsi="Georgia"/>
      <w:color w:val="000000"/>
      <w:position w:val="6"/>
      <w:lang w:val="en-US"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51">
    <w:name w:val="List Table 2 - Accent 51"/>
    <w:basedOn w:val="TableNormal"/>
    <w:next w:val="ListTable2-Accent52"/>
    <w:uiPriority w:val="47"/>
    <w:rsid w:val="00277C14"/>
    <w:pPr>
      <w:jc w:val="both"/>
    </w:pPr>
    <w:rPr>
      <w:rFonts w:ascii="Georgia" w:eastAsia="SimSun" w:hAnsi="Georgia"/>
      <w:position w:val="6"/>
      <w:lang w:val="en-US" w:eastAsia="en-US"/>
    </w:rPr>
    <w:tblPr>
      <w:tblStyleRowBandSize w:val="1"/>
      <w:tblStyleColBandSize w:val="1"/>
      <w:tblBorders>
        <w:top w:val="single" w:sz="4" w:space="0" w:color="B2B2B2"/>
        <w:bottom w:val="single" w:sz="4" w:space="0" w:color="B2B2B2"/>
        <w:insideH w:val="single" w:sz="4" w:space="0" w:color="B2B2B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paragraph" w:customStyle="1" w:styleId="HeaderOdd">
    <w:name w:val="Header Odd"/>
    <w:basedOn w:val="Normal"/>
    <w:next w:val="Normal"/>
    <w:unhideWhenUsed/>
    <w:rsid w:val="00277C14"/>
    <w:pPr>
      <w:pBdr>
        <w:bottom w:val="single" w:sz="4" w:space="0" w:color="auto"/>
      </w:pBdr>
      <w:autoSpaceDE w:val="0"/>
      <w:autoSpaceDN w:val="0"/>
      <w:adjustRightInd w:val="0"/>
      <w:spacing w:after="120" w:line="280" w:lineRule="exact"/>
      <w:jc w:val="right"/>
      <w:textAlignment w:val="center"/>
    </w:pPr>
    <w:rPr>
      <w:rFonts w:ascii="Times New Roman" w:eastAsia="SimSun" w:hAnsi="Times New Roman" w:cs="Bernini Sans"/>
      <w:bCs/>
      <w:sz w:val="2"/>
      <w:szCs w:val="20"/>
      <w:lang w:val="fr-FR"/>
    </w:rPr>
  </w:style>
  <w:style w:type="paragraph" w:customStyle="1" w:styleId="HeaderEven">
    <w:name w:val="Header Even"/>
    <w:basedOn w:val="HeaderOdd"/>
    <w:unhideWhenUsed/>
    <w:rsid w:val="00277C14"/>
    <w:pPr>
      <w:jc w:val="left"/>
    </w:pPr>
    <w:rPr>
      <w:bCs w:val="0"/>
    </w:rPr>
  </w:style>
  <w:style w:type="paragraph" w:styleId="IntenseQuote">
    <w:name w:val="Intense Quote"/>
    <w:basedOn w:val="Normal"/>
    <w:next w:val="Normal"/>
    <w:link w:val="IntenseQuoteChar"/>
    <w:uiPriority w:val="30"/>
    <w:rsid w:val="00277C14"/>
    <w:pPr>
      <w:pBdr>
        <w:top w:val="single" w:sz="4" w:space="10" w:color="4F81BD" w:themeColor="accent1"/>
        <w:bottom w:val="single" w:sz="4" w:space="10" w:color="4F81BD" w:themeColor="accent1"/>
      </w:pBdr>
      <w:spacing w:before="360" w:after="360" w:line="280" w:lineRule="exact"/>
      <w:ind w:left="864" w:right="864"/>
      <w:jc w:val="center"/>
    </w:pPr>
    <w:rPr>
      <w:rFonts w:ascii="Calibri" w:hAnsi="Calibri"/>
      <w:i/>
      <w:iCs/>
      <w:color w:val="404040"/>
      <w:szCs w:val="20"/>
      <w:lang w:eastAsia="en-GB"/>
    </w:rPr>
  </w:style>
  <w:style w:type="character" w:customStyle="1" w:styleId="IntenseQuoteChar1">
    <w:name w:val="Intense Quote Char1"/>
    <w:basedOn w:val="DefaultParagraphFont"/>
    <w:uiPriority w:val="30"/>
    <w:rsid w:val="00277C14"/>
    <w:rPr>
      <w:rFonts w:ascii="Arial" w:hAnsi="Arial"/>
      <w:i/>
      <w:iCs/>
      <w:color w:val="4F81BD" w:themeColor="accent1"/>
      <w:szCs w:val="22"/>
      <w:lang w:eastAsia="en-US"/>
    </w:rPr>
  </w:style>
  <w:style w:type="character" w:styleId="SubtleEmphasis">
    <w:name w:val="Subtle Emphasis"/>
    <w:basedOn w:val="DefaultParagraphFont"/>
    <w:uiPriority w:val="19"/>
    <w:qFormat/>
    <w:rsid w:val="00277C14"/>
    <w:rPr>
      <w:i/>
      <w:iCs/>
      <w:color w:val="404040" w:themeColor="text1" w:themeTint="BF"/>
    </w:rPr>
  </w:style>
  <w:style w:type="character" w:styleId="SubtleReference">
    <w:name w:val="Subtle Reference"/>
    <w:basedOn w:val="DefaultParagraphFont"/>
    <w:uiPriority w:val="31"/>
    <w:rsid w:val="00277C14"/>
    <w:rPr>
      <w:smallCaps/>
      <w:color w:val="5A5A5A" w:themeColor="text1" w:themeTint="A5"/>
    </w:rPr>
  </w:style>
  <w:style w:type="character" w:styleId="IntenseReference">
    <w:name w:val="Intense Reference"/>
    <w:basedOn w:val="DefaultParagraphFont"/>
    <w:uiPriority w:val="32"/>
    <w:rsid w:val="00277C14"/>
    <w:rPr>
      <w:b/>
      <w:bCs/>
      <w:smallCaps/>
      <w:color w:val="4F81BD" w:themeColor="accent1"/>
      <w:spacing w:val="5"/>
    </w:rPr>
  </w:style>
  <w:style w:type="table" w:customStyle="1" w:styleId="TableGridLight2">
    <w:name w:val="Table Grid Light2"/>
    <w:basedOn w:val="TableNormal"/>
    <w:uiPriority w:val="40"/>
    <w:rsid w:val="00277C14"/>
    <w:pPr>
      <w:jc w:val="both"/>
    </w:pPr>
    <w:rPr>
      <w:rFonts w:ascii="Georgia" w:eastAsiaTheme="minorHAnsi" w:hAnsi="Georgia"/>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2">
    <w:name w:val="Plain Table 52"/>
    <w:basedOn w:val="TableNormal"/>
    <w:uiPriority w:val="45"/>
    <w:rsid w:val="00277C14"/>
    <w:pPr>
      <w:jc w:val="both"/>
    </w:pPr>
    <w:rPr>
      <w:rFonts w:ascii="Georgia" w:eastAsiaTheme="minorHAnsi" w:hAnsi="Georgia"/>
      <w:lang w:val="en-US"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62">
    <w:name w:val="Grid Table 1 Light - Accent 62"/>
    <w:basedOn w:val="TableNormal"/>
    <w:uiPriority w:val="46"/>
    <w:rsid w:val="00277C14"/>
    <w:pPr>
      <w:jc w:val="both"/>
    </w:pPr>
    <w:rPr>
      <w:rFonts w:ascii="Georgia" w:eastAsiaTheme="minorHAnsi" w:hAnsi="Georgia"/>
      <w:lang w:val="en-US"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1Light-Accent52">
    <w:name w:val="Grid Table 1 Light - Accent 52"/>
    <w:basedOn w:val="TableNormal"/>
    <w:uiPriority w:val="46"/>
    <w:rsid w:val="00277C14"/>
    <w:pPr>
      <w:jc w:val="both"/>
    </w:pPr>
    <w:rPr>
      <w:rFonts w:ascii="Georgia" w:eastAsiaTheme="minorHAnsi" w:hAnsi="Georgia"/>
      <w:lang w:val="en-US"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PlainTable32">
    <w:name w:val="Plain Table 32"/>
    <w:basedOn w:val="TableNormal"/>
    <w:uiPriority w:val="43"/>
    <w:rsid w:val="00277C14"/>
    <w:pPr>
      <w:jc w:val="both"/>
    </w:pPr>
    <w:rPr>
      <w:rFonts w:ascii="Georgia" w:eastAsiaTheme="minorHAnsi" w:hAnsi="Georgia"/>
      <w:lang w:val="en-US"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4-Accent42">
    <w:name w:val="List Table 4 - Accent 42"/>
    <w:basedOn w:val="TableNormal"/>
    <w:uiPriority w:val="49"/>
    <w:rsid w:val="00277C14"/>
    <w:pPr>
      <w:jc w:val="both"/>
    </w:pPr>
    <w:rPr>
      <w:rFonts w:ascii="Georgia" w:eastAsiaTheme="minorHAnsi" w:hAnsi="Georgia"/>
      <w:lang w:val="en-US"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1Light-Accent42">
    <w:name w:val="Grid Table 1 Light - Accent 42"/>
    <w:basedOn w:val="TableNormal"/>
    <w:uiPriority w:val="46"/>
    <w:rsid w:val="00277C14"/>
    <w:pPr>
      <w:jc w:val="both"/>
    </w:pPr>
    <w:rPr>
      <w:rFonts w:ascii="Georgia" w:eastAsiaTheme="minorHAnsi" w:hAnsi="Georgia"/>
      <w:lang w:val="en-US"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ListTable3-Accent32">
    <w:name w:val="List Table 3 - Accent 32"/>
    <w:basedOn w:val="TableNormal"/>
    <w:uiPriority w:val="48"/>
    <w:rsid w:val="00277C14"/>
    <w:pPr>
      <w:jc w:val="both"/>
    </w:pPr>
    <w:rPr>
      <w:rFonts w:ascii="Georgia" w:eastAsiaTheme="minorHAnsi" w:hAnsi="Georgia"/>
      <w:lang w:val="en-US"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4-Accent52">
    <w:name w:val="List Table 4 - Accent 52"/>
    <w:basedOn w:val="TableNormal"/>
    <w:uiPriority w:val="49"/>
    <w:rsid w:val="00277C14"/>
    <w:pPr>
      <w:jc w:val="both"/>
    </w:pPr>
    <w:rPr>
      <w:rFonts w:ascii="Georgia" w:eastAsiaTheme="minorHAnsi" w:hAnsi="Georgia"/>
      <w:lang w:val="en-US"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32">
    <w:name w:val="List Table 4 - Accent 32"/>
    <w:basedOn w:val="TableNormal"/>
    <w:uiPriority w:val="49"/>
    <w:rsid w:val="00277C14"/>
    <w:pPr>
      <w:jc w:val="both"/>
    </w:pPr>
    <w:rPr>
      <w:rFonts w:ascii="Georgia" w:eastAsiaTheme="minorHAnsi" w:hAnsi="Georgia"/>
      <w:lang w:val="en-US"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1Light-Accent32">
    <w:name w:val="Grid Table 1 Light - Accent 32"/>
    <w:basedOn w:val="TableNormal"/>
    <w:uiPriority w:val="46"/>
    <w:rsid w:val="00277C14"/>
    <w:pPr>
      <w:jc w:val="both"/>
    </w:pPr>
    <w:rPr>
      <w:rFonts w:ascii="Georgia" w:eastAsiaTheme="minorHAnsi" w:hAnsi="Georgia"/>
      <w:lang w:val="en-US"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ListTable1Light-Accent62">
    <w:name w:val="List Table 1 Light - Accent 62"/>
    <w:basedOn w:val="TableNormal"/>
    <w:uiPriority w:val="46"/>
    <w:rsid w:val="00277C14"/>
    <w:pPr>
      <w:jc w:val="both"/>
    </w:pPr>
    <w:rPr>
      <w:rFonts w:ascii="Georgia" w:eastAsiaTheme="minorHAnsi" w:hAnsi="Georgia"/>
      <w:lang w:val="en-US"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6Colorful2">
    <w:name w:val="Grid Table 6 Colorful2"/>
    <w:basedOn w:val="TableNormal"/>
    <w:uiPriority w:val="51"/>
    <w:rsid w:val="00277C14"/>
    <w:pPr>
      <w:jc w:val="both"/>
    </w:pPr>
    <w:rPr>
      <w:rFonts w:ascii="Georgia" w:eastAsiaTheme="minorHAnsi" w:hAnsi="Georgia"/>
      <w:color w:val="000000" w:themeColor="text1"/>
      <w:lang w:val="en-US"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52">
    <w:name w:val="List Table 2 - Accent 52"/>
    <w:basedOn w:val="TableNormal"/>
    <w:uiPriority w:val="47"/>
    <w:rsid w:val="00277C14"/>
    <w:pPr>
      <w:jc w:val="both"/>
    </w:pPr>
    <w:rPr>
      <w:rFonts w:ascii="Georgia" w:eastAsiaTheme="minorHAnsi" w:hAnsi="Georgia"/>
      <w:lang w:val="en-US"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CoverTable">
    <w:name w:val="CoverTable"/>
    <w:basedOn w:val="CoverNormalChar"/>
    <w:uiPriority w:val="1"/>
    <w:unhideWhenUsed/>
    <w:rsid w:val="00277C14"/>
    <w:rPr>
      <w:rFonts w:ascii="Times New Roman" w:eastAsiaTheme="minorEastAsia" w:hAnsi="Times New Roman"/>
      <w:b w:val="0"/>
      <w:i w:val="0"/>
      <w:position w:val="6"/>
      <w:sz w:val="20"/>
      <w:szCs w:val="21"/>
      <w:lang w:eastAsia="en-US"/>
    </w:rPr>
  </w:style>
  <w:style w:type="table" w:customStyle="1" w:styleId="GridTable2-Accent11">
    <w:name w:val="Grid Table 2 - Accent 11"/>
    <w:basedOn w:val="TableNormal"/>
    <w:uiPriority w:val="47"/>
    <w:rsid w:val="00277C14"/>
    <w:pPr>
      <w:jc w:val="both"/>
    </w:pPr>
    <w:rPr>
      <w:rFonts w:ascii="Georgia" w:eastAsiaTheme="minorEastAsia" w:hAnsi="Georgia" w:cstheme="minorBidi"/>
      <w:position w:val="6"/>
      <w:lang w:eastAsia="ko-KR"/>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AnnexH2">
    <w:name w:val="Annex H2"/>
    <w:basedOn w:val="Normal"/>
    <w:next w:val="Para1"/>
    <w:uiPriority w:val="15"/>
    <w:qFormat/>
    <w:rsid w:val="00277C14"/>
    <w:pPr>
      <w:keepNext/>
      <w:spacing w:before="240" w:after="240" w:line="280" w:lineRule="exact"/>
      <w:ind w:right="680"/>
      <w:jc w:val="both"/>
      <w:outlineLvl w:val="1"/>
    </w:pPr>
    <w:rPr>
      <w:rFonts w:ascii="Times New Roman" w:eastAsiaTheme="minorHAnsi" w:hAnsi="Times New Roman"/>
      <w:b/>
      <w:color w:val="4E81BD"/>
      <w:sz w:val="24"/>
      <w:szCs w:val="20"/>
    </w:rPr>
  </w:style>
  <w:style w:type="paragraph" w:customStyle="1" w:styleId="AnnexH3">
    <w:name w:val="Annex H3"/>
    <w:basedOn w:val="Normal"/>
    <w:next w:val="Para1"/>
    <w:uiPriority w:val="15"/>
    <w:qFormat/>
    <w:rsid w:val="00277C14"/>
    <w:pPr>
      <w:keepNext/>
      <w:keepLines/>
      <w:spacing w:before="240" w:after="120" w:line="280" w:lineRule="exact"/>
      <w:ind w:left="680" w:right="680"/>
      <w:jc w:val="both"/>
      <w:outlineLvl w:val="2"/>
    </w:pPr>
    <w:rPr>
      <w:rFonts w:ascii="Times New Roman" w:eastAsiaTheme="minorHAnsi" w:hAnsi="Times New Roman"/>
      <w:b/>
      <w:i/>
      <w:color w:val="262626"/>
      <w:sz w:val="24"/>
      <w:szCs w:val="20"/>
    </w:rPr>
  </w:style>
  <w:style w:type="paragraph" w:customStyle="1" w:styleId="BulletedList">
    <w:name w:val="Bulleted List"/>
    <w:basedOn w:val="ListParagraph"/>
    <w:uiPriority w:val="6"/>
    <w:qFormat/>
    <w:rsid w:val="00277C14"/>
    <w:pPr>
      <w:numPr>
        <w:numId w:val="23"/>
      </w:numPr>
      <w:tabs>
        <w:tab w:val="clear" w:pos="340"/>
        <w:tab w:val="num" w:pos="360"/>
      </w:tabs>
      <w:spacing w:after="120" w:line="280" w:lineRule="exact"/>
      <w:ind w:left="454" w:right="680" w:firstLine="0"/>
      <w:jc w:val="both"/>
    </w:pPr>
    <w:rPr>
      <w:rFonts w:asciiTheme="majorHAnsi" w:eastAsia="SimSun" w:hAnsiTheme="majorHAnsi"/>
      <w:sz w:val="22"/>
      <w:szCs w:val="20"/>
    </w:rPr>
  </w:style>
  <w:style w:type="paragraph" w:customStyle="1" w:styleId="NumberedList1">
    <w:name w:val="Numbered List 1"/>
    <w:basedOn w:val="ListParagraph"/>
    <w:uiPriority w:val="5"/>
    <w:qFormat/>
    <w:rsid w:val="00277C14"/>
    <w:pPr>
      <w:numPr>
        <w:ilvl w:val="1"/>
        <w:numId w:val="26"/>
      </w:numPr>
      <w:spacing w:after="120" w:line="280" w:lineRule="exact"/>
      <w:ind w:right="680"/>
      <w:jc w:val="both"/>
    </w:pPr>
    <w:rPr>
      <w:rFonts w:ascii="Cambria" w:eastAsia="SimSun" w:hAnsi="Cambria"/>
      <w:sz w:val="22"/>
      <w:szCs w:val="20"/>
    </w:rPr>
  </w:style>
  <w:style w:type="paragraph" w:customStyle="1" w:styleId="CoverCommittee">
    <w:name w:val="CoverCommittee"/>
    <w:basedOn w:val="CoverNormal"/>
    <w:rsid w:val="00277C14"/>
    <w:rPr>
      <w:b/>
    </w:rPr>
  </w:style>
  <w:style w:type="paragraph" w:customStyle="1" w:styleId="CoverWorkingParty">
    <w:name w:val="CoverWorkingParty"/>
    <w:basedOn w:val="CoverNormal"/>
    <w:rsid w:val="00277C14"/>
    <w:rPr>
      <w:b/>
      <w:sz w:val="24"/>
    </w:rPr>
  </w:style>
  <w:style w:type="paragraph" w:customStyle="1" w:styleId="CoverPwbCode">
    <w:name w:val="CoverPwbCode"/>
    <w:basedOn w:val="CoverJobTicket"/>
    <w:rsid w:val="00277C14"/>
  </w:style>
  <w:style w:type="character" w:customStyle="1" w:styleId="DefaultCoverPage">
    <w:name w:val="DefaultCoverPage"/>
    <w:basedOn w:val="DefaultParagraphFont"/>
    <w:uiPriority w:val="1"/>
    <w:rsid w:val="00277C14"/>
    <w:rPr>
      <w:rFonts w:ascii="Times New Roman" w:hAnsi="Times New Roman"/>
      <w:sz w:val="21"/>
    </w:rPr>
  </w:style>
  <w:style w:type="paragraph" w:customStyle="1" w:styleId="Figure">
    <w:name w:val="Figure"/>
    <w:basedOn w:val="Normal"/>
    <w:rsid w:val="00277C14"/>
    <w:pPr>
      <w:keepNext/>
      <w:keepLines/>
      <w:spacing w:after="120" w:line="280" w:lineRule="exact"/>
      <w:jc w:val="center"/>
    </w:pPr>
    <w:rPr>
      <w:rFonts w:ascii="Times New Roman" w:eastAsiaTheme="minorHAnsi" w:hAnsi="Times New Roman"/>
      <w:noProof/>
      <w:sz w:val="22"/>
      <w:szCs w:val="20"/>
      <w:lang w:eastAsia="ko-KR"/>
    </w:rPr>
  </w:style>
  <w:style w:type="paragraph" w:customStyle="1" w:styleId="StatLinkLogo">
    <w:name w:val="StatLink Logo"/>
    <w:basedOn w:val="Para1"/>
    <w:next w:val="Para1"/>
    <w:rsid w:val="00277C14"/>
    <w:pPr>
      <w:spacing w:after="240"/>
      <w:jc w:val="right"/>
    </w:pPr>
    <w:rPr>
      <w:rFonts w:ascii="StatLink" w:hAnsi="StatLink"/>
      <w:sz w:val="14"/>
    </w:rPr>
  </w:style>
  <w:style w:type="character" w:customStyle="1" w:styleId="StatLinkDOI">
    <w:name w:val="StatLink DOI"/>
    <w:basedOn w:val="DefaultParagraphFont"/>
    <w:uiPriority w:val="1"/>
    <w:rsid w:val="00277C14"/>
    <w:rPr>
      <w:rFonts w:ascii="Times New Roman" w:hAnsi="Times New Roman"/>
      <w:sz w:val="14"/>
    </w:rPr>
  </w:style>
  <w:style w:type="paragraph" w:customStyle="1" w:styleId="Title2">
    <w:name w:val="Title 2"/>
    <w:basedOn w:val="Heading2"/>
    <w:next w:val="Para1"/>
    <w:qFormat/>
    <w:rsid w:val="00277C14"/>
    <w:pPr>
      <w:keepLines w:val="0"/>
      <w:spacing w:before="240" w:after="240" w:line="280" w:lineRule="exact"/>
      <w:ind w:right="680"/>
    </w:pPr>
    <w:rPr>
      <w:rFonts w:ascii="Arial" w:eastAsiaTheme="minorHAnsi" w:hAnsi="Arial" w:cs="Times New Roman"/>
      <w:b/>
      <w:bCs/>
      <w:color w:val="000000" w:themeColor="text1"/>
      <w:sz w:val="20"/>
      <w:szCs w:val="20"/>
    </w:rPr>
  </w:style>
  <w:style w:type="paragraph" w:customStyle="1" w:styleId="Title3">
    <w:name w:val="Title 3"/>
    <w:basedOn w:val="Normal"/>
    <w:next w:val="Para1"/>
    <w:qFormat/>
    <w:rsid w:val="00277C14"/>
    <w:pPr>
      <w:keepNext/>
      <w:keepLines/>
      <w:spacing w:before="240" w:after="120" w:line="280" w:lineRule="exact"/>
      <w:ind w:right="680"/>
      <w:jc w:val="both"/>
      <w:outlineLvl w:val="2"/>
    </w:pPr>
    <w:rPr>
      <w:rFonts w:ascii="Times New Roman" w:eastAsiaTheme="minorHAnsi" w:hAnsi="Times New Roman"/>
      <w:b/>
      <w:color w:val="4F81BD" w:themeColor="accent1"/>
      <w:sz w:val="26"/>
      <w:szCs w:val="20"/>
    </w:rPr>
  </w:style>
  <w:style w:type="table" w:styleId="LightShading-Accent1">
    <w:name w:val="Light Shading Accent 1"/>
    <w:basedOn w:val="TableNormal"/>
    <w:uiPriority w:val="60"/>
    <w:rsid w:val="00277C14"/>
    <w:pPr>
      <w:jc w:val="both"/>
    </w:pPr>
    <w:rPr>
      <w:rFonts w:ascii="Georgia" w:eastAsiaTheme="minorHAnsi" w:hAnsi="Georgia"/>
      <w:color w:val="365F91" w:themeColor="accent1" w:themeShade="BF"/>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OECD">
    <w:name w:val="OECD"/>
    <w:basedOn w:val="LightShading-Accent1"/>
    <w:uiPriority w:val="99"/>
    <w:rsid w:val="00277C14"/>
    <w:rPr>
      <w:color w:val="auto"/>
    </w:rPr>
    <w:tblPr>
      <w:jc w:val="center"/>
      <w:tblBorders>
        <w:top w:val="single" w:sz="12" w:space="0" w:color="auto"/>
        <w:bottom w:val="single" w:sz="12" w:space="0" w:color="auto"/>
      </w:tblBorders>
    </w:tblPr>
    <w:trPr>
      <w:jc w:val="center"/>
    </w:trPr>
    <w:tcPr>
      <w:shd w:val="clear" w:color="auto" w:fill="FFFFFF" w:themeFill="background1"/>
    </w:tcPr>
    <w:tblStylePr w:type="firstRow">
      <w:pPr>
        <w:spacing w:before="0" w:after="0" w:line="240" w:lineRule="auto"/>
      </w:pPr>
      <w:rPr>
        <w:b w:val="0"/>
        <w:bCs/>
      </w:rPr>
      <w:tblPr/>
      <w:tcPr>
        <w:tcBorders>
          <w:top w:val="single" w:sz="12" w:space="0" w:color="4E81BD"/>
          <w:left w:val="nil"/>
          <w:bottom w:val="nil"/>
          <w:right w:val="nil"/>
          <w:insideH w:val="nil"/>
          <w:insideV w:val="nil"/>
        </w:tcBorders>
      </w:tcPr>
    </w:tblStylePr>
    <w:tblStylePr w:type="lastRow">
      <w:pPr>
        <w:spacing w:before="0" w:after="0" w:line="240" w:lineRule="auto"/>
      </w:pPr>
      <w:rPr>
        <w:b w:val="0"/>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val="0"/>
        <w:bCs/>
      </w:rPr>
    </w:tblStylePr>
    <w:tblStylePr w:type="lastCol">
      <w:rPr>
        <w:b w:val="0"/>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BE5F1" w:themeFill="accent1" w:themeFillTint="33"/>
      </w:tcPr>
    </w:tblStylePr>
    <w:tblStylePr w:type="band2Horz">
      <w:tblPr/>
      <w:tcPr>
        <w:shd w:val="clear" w:color="auto" w:fill="FFFFFF" w:themeFill="background1"/>
      </w:tcPr>
    </w:tblStylePr>
  </w:style>
  <w:style w:type="paragraph" w:customStyle="1" w:styleId="Abstract">
    <w:name w:val="Abstract"/>
    <w:basedOn w:val="Para1"/>
    <w:uiPriority w:val="2"/>
    <w:qFormat/>
    <w:rsid w:val="00277C14"/>
    <w:pPr>
      <w:pBdr>
        <w:top w:val="single" w:sz="4" w:space="12" w:color="auto"/>
        <w:left w:val="single" w:sz="4" w:space="12" w:color="auto"/>
        <w:bottom w:val="single" w:sz="4" w:space="12" w:color="auto"/>
        <w:right w:val="single" w:sz="4" w:space="12" w:color="auto"/>
      </w:pBdr>
    </w:pPr>
    <w:rPr>
      <w:i/>
    </w:rPr>
  </w:style>
  <w:style w:type="paragraph" w:customStyle="1" w:styleId="BoxHeadingtitle">
    <w:name w:val="Box Heading title"/>
    <w:basedOn w:val="Normal"/>
    <w:next w:val="Para1"/>
    <w:uiPriority w:val="8"/>
    <w:qFormat/>
    <w:rsid w:val="00277C14"/>
    <w:pPr>
      <w:keepNext/>
      <w:spacing w:before="240" w:after="120" w:line="280" w:lineRule="exact"/>
      <w:ind w:left="680" w:right="680"/>
      <w:jc w:val="both"/>
    </w:pPr>
    <w:rPr>
      <w:rFonts w:ascii="Times New Roman" w:eastAsiaTheme="minorHAnsi" w:hAnsi="Times New Roman"/>
      <w:b/>
      <w:szCs w:val="20"/>
    </w:rPr>
  </w:style>
  <w:style w:type="paragraph" w:customStyle="1" w:styleId="CoverInformation">
    <w:name w:val="CoverInformation"/>
    <w:basedOn w:val="CoverSubTitle"/>
    <w:rsid w:val="00277C14"/>
  </w:style>
  <w:style w:type="character" w:customStyle="1" w:styleId="CoverDateChar">
    <w:name w:val="CoverDate Char"/>
    <w:basedOn w:val="CoverNormalChar"/>
    <w:link w:val="CoverDate"/>
    <w:rsid w:val="00277C14"/>
    <w:rPr>
      <w:rFonts w:ascii="Times New Roman" w:eastAsia="SimSun" w:hAnsi="Times New Roman"/>
      <w:b/>
      <w:sz w:val="18"/>
      <w:lang w:eastAsia="en-US"/>
    </w:rPr>
  </w:style>
  <w:style w:type="paragraph" w:customStyle="1" w:styleId="Session">
    <w:name w:val="Session"/>
    <w:basedOn w:val="Para1"/>
    <w:next w:val="Time"/>
    <w:rsid w:val="00277C14"/>
    <w:pPr>
      <w:keepNext/>
      <w:pBdr>
        <w:top w:val="single" w:sz="12" w:space="4" w:color="auto"/>
        <w:bottom w:val="single" w:sz="12" w:space="4" w:color="auto"/>
      </w:pBdr>
      <w:shd w:val="clear" w:color="auto" w:fill="DBE5F1"/>
      <w:ind w:left="0" w:right="0"/>
      <w:jc w:val="center"/>
    </w:pPr>
    <w:rPr>
      <w:b/>
      <w:sz w:val="24"/>
    </w:rPr>
  </w:style>
  <w:style w:type="paragraph" w:customStyle="1" w:styleId="GroupHeading">
    <w:name w:val="Group Heading"/>
    <w:basedOn w:val="Para1"/>
    <w:next w:val="Para1"/>
    <w:rsid w:val="00277C14"/>
    <w:pPr>
      <w:keepNext/>
      <w:numPr>
        <w:numId w:val="22"/>
      </w:numPr>
      <w:ind w:right="0"/>
    </w:pPr>
    <w:rPr>
      <w:b/>
      <w:i/>
    </w:rPr>
  </w:style>
  <w:style w:type="paragraph" w:customStyle="1" w:styleId="Break">
    <w:name w:val="Break"/>
    <w:basedOn w:val="Para1"/>
    <w:next w:val="Time"/>
    <w:rsid w:val="00277C14"/>
    <w:pPr>
      <w:pBdr>
        <w:top w:val="single" w:sz="4" w:space="4" w:color="auto"/>
        <w:bottom w:val="single" w:sz="4" w:space="4" w:color="auto"/>
      </w:pBdr>
      <w:shd w:val="pct5" w:color="auto" w:fill="auto"/>
      <w:ind w:left="0" w:right="0"/>
      <w:jc w:val="center"/>
    </w:pPr>
    <w:rPr>
      <w:i/>
    </w:rPr>
  </w:style>
  <w:style w:type="paragraph" w:customStyle="1" w:styleId="Time">
    <w:name w:val="Time"/>
    <w:basedOn w:val="Para1"/>
    <w:rsid w:val="00277C14"/>
  </w:style>
  <w:style w:type="paragraph" w:customStyle="1" w:styleId="RefDocuments">
    <w:name w:val="Ref Documents"/>
    <w:basedOn w:val="Para1"/>
    <w:rsid w:val="00277C14"/>
  </w:style>
  <w:style w:type="paragraph" w:customStyle="1" w:styleId="Action">
    <w:name w:val="Action"/>
    <w:basedOn w:val="Para1"/>
    <w:rsid w:val="00277C14"/>
  </w:style>
  <w:style w:type="paragraph" w:customStyle="1" w:styleId="SpecialItem">
    <w:name w:val="Special Item"/>
    <w:basedOn w:val="Para1"/>
    <w:rsid w:val="00277C14"/>
  </w:style>
  <w:style w:type="paragraph" w:customStyle="1" w:styleId="ImportantInformation">
    <w:name w:val="Important Information"/>
    <w:basedOn w:val="Para1"/>
    <w:rsid w:val="00277C14"/>
  </w:style>
  <w:style w:type="paragraph" w:customStyle="1" w:styleId="CoverTitlePublication">
    <w:name w:val="CoverTitlePublication"/>
    <w:basedOn w:val="CoverNormal"/>
    <w:rsid w:val="00277C14"/>
    <w:pPr>
      <w:jc w:val="center"/>
    </w:pPr>
    <w:rPr>
      <w:rFonts w:ascii="Caecilia Roman" w:hAnsi="Caecilia Roman"/>
      <w:b/>
      <w:sz w:val="52"/>
    </w:rPr>
  </w:style>
  <w:style w:type="paragraph" w:customStyle="1" w:styleId="CoverSubtitlePublication">
    <w:name w:val="CoverSubtitlePublication"/>
    <w:basedOn w:val="CoverTitlePublication"/>
    <w:rsid w:val="00277C14"/>
    <w:rPr>
      <w:b w:val="0"/>
      <w:sz w:val="40"/>
    </w:rPr>
  </w:style>
  <w:style w:type="paragraph" w:customStyle="1" w:styleId="Pieddepageimpaire">
    <w:name w:val="Pied de page impaire"/>
    <w:basedOn w:val="Normal"/>
    <w:unhideWhenUsed/>
    <w:qFormat/>
    <w:rsid w:val="00277C14"/>
    <w:pPr>
      <w:pBdr>
        <w:top w:val="single" w:sz="4" w:space="1" w:color="4F81BD" w:themeColor="accent1"/>
      </w:pBdr>
      <w:spacing w:after="180" w:line="264" w:lineRule="auto"/>
      <w:jc w:val="right"/>
    </w:pPr>
    <w:rPr>
      <w:rFonts w:asciiTheme="minorHAnsi" w:eastAsiaTheme="minorHAnsi" w:hAnsiTheme="minorHAnsi"/>
      <w:color w:val="1F497D" w:themeColor="text2"/>
      <w:kern w:val="24"/>
      <w:szCs w:val="20"/>
      <w:lang w:val="en-US" w:eastAsia="fr-FR"/>
    </w:rPr>
  </w:style>
  <w:style w:type="paragraph" w:customStyle="1" w:styleId="TemplateMERH1">
    <w:name w:val="Template_MER_H1"/>
    <w:basedOn w:val="Heading2"/>
    <w:qFormat/>
    <w:rsid w:val="00277C14"/>
    <w:pPr>
      <w:keepLines w:val="0"/>
      <w:spacing w:before="240" w:after="240" w:line="280" w:lineRule="exact"/>
      <w:jc w:val="center"/>
    </w:pPr>
    <w:rPr>
      <w:rFonts w:ascii="Cambria" w:eastAsia="Times New Roman" w:hAnsi="Cambria" w:cs="Times New Roman"/>
      <w:b/>
      <w:bCs/>
      <w:caps/>
      <w:color w:val="4F81BD" w:themeColor="accent1"/>
      <w:sz w:val="20"/>
      <w:szCs w:val="24"/>
      <w:lang w:eastAsia="zh-CN"/>
    </w:rPr>
  </w:style>
  <w:style w:type="paragraph" w:customStyle="1" w:styleId="TemplateMERH">
    <w:name w:val="Template_MER_H"/>
    <w:basedOn w:val="Heading2"/>
    <w:next w:val="Num-DocParagraph"/>
    <w:qFormat/>
    <w:rsid w:val="00277C14"/>
    <w:pPr>
      <w:keepLines w:val="0"/>
      <w:spacing w:before="240" w:after="240" w:line="280" w:lineRule="exact"/>
      <w:jc w:val="both"/>
    </w:pPr>
    <w:rPr>
      <w:rFonts w:ascii="Cambria" w:eastAsia="Times New Roman" w:hAnsi="Cambria" w:cs="Times New Roman"/>
      <w:b/>
      <w:bCs/>
      <w:i/>
      <w:sz w:val="22"/>
      <w:szCs w:val="22"/>
      <w:lang w:eastAsia="zh-CN"/>
    </w:rPr>
  </w:style>
  <w:style w:type="paragraph" w:customStyle="1" w:styleId="TemplateMERH3">
    <w:name w:val="Template_MER_H3"/>
    <w:basedOn w:val="Heading3"/>
    <w:next w:val="Num-DocParagraph"/>
    <w:qFormat/>
    <w:rsid w:val="00277C14"/>
    <w:pPr>
      <w:keepNext w:val="0"/>
      <w:keepLines w:val="0"/>
      <w:spacing w:before="120" w:after="240" w:line="280" w:lineRule="exact"/>
      <w:jc w:val="both"/>
    </w:pPr>
    <w:rPr>
      <w:rFonts w:ascii="Cambria" w:eastAsia="Times New Roman" w:hAnsi="Cambria" w:cs="Times New Roman"/>
      <w:bCs/>
      <w:i/>
      <w:iCs/>
      <w:color w:val="244061" w:themeColor="accent1" w:themeShade="80"/>
      <w:sz w:val="22"/>
      <w:lang w:eastAsia="zh-CN"/>
    </w:rPr>
  </w:style>
  <w:style w:type="paragraph" w:customStyle="1" w:styleId="NumberedPara">
    <w:name w:val="NumberedPara"/>
    <w:basedOn w:val="Normal"/>
    <w:link w:val="NumberedParaChar"/>
    <w:qFormat/>
    <w:rsid w:val="00277C14"/>
    <w:pPr>
      <w:spacing w:after="240" w:line="280" w:lineRule="exact"/>
      <w:jc w:val="both"/>
    </w:pPr>
    <w:rPr>
      <w:rFonts w:asciiTheme="majorHAnsi" w:eastAsiaTheme="minorHAnsi" w:hAnsiTheme="majorHAnsi"/>
      <w:color w:val="000000" w:themeColor="text1"/>
      <w:kern w:val="24"/>
      <w:sz w:val="22"/>
      <w:szCs w:val="120"/>
      <w:lang w:eastAsia="ja-JP"/>
      <w14:ligatures w14:val="standardContextual"/>
    </w:rPr>
  </w:style>
  <w:style w:type="paragraph" w:customStyle="1" w:styleId="Criteria">
    <w:name w:val="Criteria"/>
    <w:basedOn w:val="ListParagraph"/>
    <w:link w:val="CriteriaChar"/>
    <w:qFormat/>
    <w:rsid w:val="00277C14"/>
    <w:pPr>
      <w:spacing w:before="240" w:after="120" w:line="280" w:lineRule="exact"/>
      <w:ind w:left="851" w:hanging="851"/>
      <w:jc w:val="both"/>
    </w:pPr>
    <w:rPr>
      <w:rFonts w:asciiTheme="minorHAnsi" w:eastAsiaTheme="minorHAnsi" w:hAnsiTheme="minorHAnsi"/>
      <w:b/>
      <w:kern w:val="24"/>
      <w:sz w:val="22"/>
      <w:lang w:eastAsia="ja-JP"/>
      <w14:ligatures w14:val="standardContextual"/>
    </w:rPr>
  </w:style>
  <w:style w:type="character" w:customStyle="1" w:styleId="CriteriaChar">
    <w:name w:val="Criteria Char"/>
    <w:basedOn w:val="DefaultParagraphFont"/>
    <w:link w:val="Criteria"/>
    <w:rsid w:val="00277C14"/>
    <w:rPr>
      <w:rFonts w:asciiTheme="minorHAnsi" w:eastAsiaTheme="minorHAnsi" w:hAnsiTheme="minorHAnsi"/>
      <w:b/>
      <w:kern w:val="24"/>
      <w:sz w:val="22"/>
      <w:szCs w:val="22"/>
      <w:lang w:eastAsia="ja-JP"/>
      <w14:ligatures w14:val="standardContextual"/>
    </w:rPr>
  </w:style>
  <w:style w:type="character" w:customStyle="1" w:styleId="DefaultChar">
    <w:name w:val="Default Char"/>
    <w:basedOn w:val="DefaultParagraphFont"/>
    <w:link w:val="Default"/>
    <w:locked/>
    <w:rsid w:val="00277C14"/>
    <w:rPr>
      <w:rFonts w:ascii="Arial" w:eastAsia="Times New Roman" w:hAnsi="Arial" w:cs="Arial"/>
      <w:color w:val="000000"/>
      <w:sz w:val="24"/>
      <w:szCs w:val="24"/>
      <w:lang w:eastAsia="en-US"/>
    </w:rPr>
  </w:style>
  <w:style w:type="paragraph" w:customStyle="1" w:styleId="Puce1">
    <w:name w:val="Puce 1"/>
    <w:basedOn w:val="Normal"/>
    <w:qFormat/>
    <w:rsid w:val="00277C14"/>
    <w:pPr>
      <w:numPr>
        <w:numId w:val="24"/>
      </w:numPr>
      <w:tabs>
        <w:tab w:val="left" w:pos="2835"/>
      </w:tabs>
      <w:spacing w:after="120" w:line="300" w:lineRule="exact"/>
      <w:jc w:val="both"/>
    </w:pPr>
    <w:rPr>
      <w:rFonts w:ascii="Cambria" w:eastAsiaTheme="minorEastAsia" w:hAnsi="Cambria" w:cstheme="minorBidi"/>
      <w:sz w:val="22"/>
      <w:lang w:val="en-US" w:eastAsia="zh-CN"/>
    </w:rPr>
  </w:style>
  <w:style w:type="character" w:customStyle="1" w:styleId="Num-DocParagraph0">
    <w:name w:val="Num-Doc Paragraph (文字)"/>
    <w:link w:val="Num-DocParagraph"/>
    <w:locked/>
    <w:rsid w:val="00277C14"/>
    <w:rPr>
      <w:rFonts w:ascii="Times New Roman" w:eastAsia="Times New Roman" w:hAnsi="Times New Roman"/>
      <w:sz w:val="22"/>
      <w:szCs w:val="22"/>
      <w:lang w:eastAsia="zh-CN"/>
    </w:rPr>
  </w:style>
  <w:style w:type="character" w:customStyle="1" w:styleId="NumberedParaChar">
    <w:name w:val="NumberedPara Char"/>
    <w:basedOn w:val="DefaultParagraphFont"/>
    <w:link w:val="NumberedPara"/>
    <w:rsid w:val="00277C14"/>
    <w:rPr>
      <w:rFonts w:asciiTheme="majorHAnsi" w:eastAsiaTheme="minorHAnsi" w:hAnsiTheme="majorHAnsi"/>
      <w:color w:val="000000" w:themeColor="text1"/>
      <w:kern w:val="24"/>
      <w:sz w:val="22"/>
      <w:szCs w:val="120"/>
      <w:lang w:eastAsia="ja-JP"/>
      <w14:ligatures w14:val="standardContextual"/>
    </w:rPr>
  </w:style>
  <w:style w:type="paragraph" w:customStyle="1" w:styleId="Response">
    <w:name w:val="Response"/>
    <w:basedOn w:val="Normal"/>
    <w:link w:val="ResponseChar"/>
    <w:qFormat/>
    <w:rsid w:val="00277C14"/>
    <w:pPr>
      <w:pBdr>
        <w:top w:val="single" w:sz="4" w:space="1" w:color="auto"/>
        <w:left w:val="single" w:sz="4" w:space="4" w:color="auto"/>
        <w:bottom w:val="single" w:sz="4" w:space="1" w:color="auto"/>
        <w:right w:val="single" w:sz="4" w:space="4" w:color="auto"/>
      </w:pBdr>
      <w:spacing w:after="120" w:line="280" w:lineRule="exact"/>
      <w:ind w:left="567"/>
      <w:jc w:val="both"/>
    </w:pPr>
    <w:rPr>
      <w:rFonts w:ascii="Calibri" w:hAnsi="Calibri"/>
      <w:color w:val="000000"/>
      <w:kern w:val="24"/>
      <w:sz w:val="24"/>
      <w:szCs w:val="120"/>
      <w:lang w:eastAsia="ja-JP"/>
    </w:rPr>
  </w:style>
  <w:style w:type="character" w:customStyle="1" w:styleId="ResponseChar">
    <w:name w:val="Response Char"/>
    <w:basedOn w:val="DefaultParagraphFont"/>
    <w:link w:val="Response"/>
    <w:rsid w:val="00277C14"/>
    <w:rPr>
      <w:color w:val="000000"/>
      <w:kern w:val="24"/>
      <w:sz w:val="24"/>
      <w:szCs w:val="120"/>
      <w:lang w:eastAsia="ja-JP"/>
    </w:rPr>
  </w:style>
  <w:style w:type="character" w:customStyle="1" w:styleId="UnresolvedMention1">
    <w:name w:val="Unresolved Mention1"/>
    <w:basedOn w:val="DefaultParagraphFont"/>
    <w:uiPriority w:val="99"/>
    <w:semiHidden/>
    <w:unhideWhenUsed/>
    <w:rsid w:val="00277C14"/>
    <w:rPr>
      <w:color w:val="605E5C"/>
      <w:shd w:val="clear" w:color="auto" w:fill="E1DFDD"/>
    </w:rPr>
  </w:style>
  <w:style w:type="paragraph" w:customStyle="1" w:styleId="ftrefCharChar">
    <w:name w:val="ftref Char Char"/>
    <w:aliases w:val="ftref Car Char Char Char, Car Car5 Char Char Car Car Char Char Char Char Char,Footnote Reference.ftref Char.ftref Car Char Char.Car Car5 Char Char Car Car Char Char Char Char Char Char Char Char,callout,Footnotes refss"/>
    <w:basedOn w:val="Normal"/>
    <w:rsid w:val="00277C14"/>
    <w:pPr>
      <w:spacing w:after="160" w:line="240" w:lineRule="exact"/>
      <w:jc w:val="both"/>
    </w:pPr>
    <w:rPr>
      <w:rFonts w:ascii="Times New Roman" w:eastAsiaTheme="minorHAnsi" w:hAnsi="Times New Roman" w:cstheme="minorBidi"/>
      <w:sz w:val="22"/>
      <w:vertAlign w:val="superscript"/>
      <w:lang w:val="en-US"/>
    </w:rPr>
  </w:style>
  <w:style w:type="table" w:customStyle="1" w:styleId="ListTable3-Accent11">
    <w:name w:val="List Table 3 - Accent 11"/>
    <w:basedOn w:val="TableNormal"/>
    <w:next w:val="TableNormal"/>
    <w:uiPriority w:val="48"/>
    <w:rsid w:val="00277C14"/>
    <w:pPr>
      <w:jc w:val="both"/>
    </w:pPr>
    <w:rPr>
      <w:rFonts w:ascii="Times New Roman" w:eastAsia="SimSun" w:hAnsi="Times New Roman"/>
      <w:lang w:val="en-US" w:eastAsia="en-US"/>
    </w:rPr>
    <w:tblPr>
      <w:tblStyleRowBandSize w:val="1"/>
      <w:tblStyleColBandSize w:val="1"/>
      <w:tblBorders>
        <w:top w:val="single" w:sz="4" w:space="0" w:color="348093"/>
        <w:left w:val="single" w:sz="4" w:space="0" w:color="348093"/>
        <w:bottom w:val="single" w:sz="4" w:space="0" w:color="348093"/>
        <w:right w:val="single" w:sz="4" w:space="0" w:color="348093"/>
      </w:tblBorders>
    </w:tblPr>
    <w:tblStylePr w:type="firstRow">
      <w:rPr>
        <w:b/>
        <w:bCs/>
        <w:color w:val="FFFFFF"/>
      </w:rPr>
      <w:tblPr/>
      <w:tcPr>
        <w:shd w:val="clear" w:color="auto" w:fill="348093"/>
      </w:tcPr>
    </w:tblStylePr>
    <w:tblStylePr w:type="lastRow">
      <w:rPr>
        <w:b/>
        <w:bCs/>
      </w:rPr>
      <w:tblPr/>
      <w:tcPr>
        <w:tcBorders>
          <w:top w:val="double" w:sz="4" w:space="0" w:color="348093"/>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348093"/>
          <w:right w:val="single" w:sz="4" w:space="0" w:color="348093"/>
        </w:tcBorders>
      </w:tcPr>
    </w:tblStylePr>
    <w:tblStylePr w:type="band1Horz">
      <w:tblPr/>
      <w:tcPr>
        <w:tcBorders>
          <w:top w:val="single" w:sz="4" w:space="0" w:color="348093"/>
          <w:bottom w:val="single" w:sz="4" w:space="0" w:color="34809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8093"/>
          <w:left w:val="nil"/>
        </w:tcBorders>
      </w:tcPr>
    </w:tblStylePr>
    <w:tblStylePr w:type="swCell">
      <w:tblPr/>
      <w:tcPr>
        <w:tcBorders>
          <w:top w:val="double" w:sz="4" w:space="0" w:color="348093"/>
          <w:right w:val="nil"/>
        </w:tcBorders>
      </w:tcPr>
    </w:tblStylePr>
  </w:style>
  <w:style w:type="table" w:customStyle="1" w:styleId="TableGrid20">
    <w:name w:val="Table Grid2"/>
    <w:basedOn w:val="TableNormal"/>
    <w:next w:val="TableGrid"/>
    <w:uiPriority w:val="59"/>
    <w:rsid w:val="00277C14"/>
    <w:pPr>
      <w:jc w:val="both"/>
    </w:pPr>
    <w:rPr>
      <w:rFonts w:ascii="Georgia" w:eastAsiaTheme="minorHAnsi" w:hAnsi="Georg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ECD1">
    <w:name w:val="OECD1"/>
    <w:basedOn w:val="TableSimple1"/>
    <w:uiPriority w:val="99"/>
    <w:rsid w:val="00277C14"/>
    <w:pPr>
      <w:tabs>
        <w:tab w:val="clear" w:pos="850"/>
        <w:tab w:val="clear" w:pos="1191"/>
        <w:tab w:val="clear" w:pos="1531"/>
      </w:tabs>
      <w:spacing w:before="10" w:after="20" w:line="200" w:lineRule="exact"/>
    </w:pPr>
    <w:rPr>
      <w:rFonts w:ascii="Arial Narrow" w:hAnsi="Arial Narrow"/>
      <w:sz w:val="17"/>
      <w:lang w:val="fr-FR" w:eastAsia="fr-FR"/>
    </w:rPr>
    <w:tblPr>
      <w:tblBorders>
        <w:top w:val="single" w:sz="12" w:space="0" w:color="4F81BD"/>
        <w:bottom w:val="single" w:sz="12" w:space="0" w:color="4F81BD"/>
        <w:insideH w:val="single" w:sz="6" w:space="0" w:color="BFBFBF"/>
        <w:insideV w:val="single" w:sz="6" w:space="0" w:color="BFBFBF"/>
      </w:tblBorders>
    </w:tblPr>
    <w:tcPr>
      <w:shd w:val="clear" w:color="auto" w:fill="auto"/>
    </w:tcPr>
    <w:tblStylePr w:type="firstRow">
      <w:tblPr/>
      <w:tcPr>
        <w:tcBorders>
          <w:bottom w:val="single" w:sz="6" w:space="0" w:color="4F81BD"/>
          <w:tl2br w:val="none" w:sz="0" w:space="0" w:color="auto"/>
          <w:tr2bl w:val="none" w:sz="0" w:space="0" w:color="auto"/>
        </w:tcBorders>
        <w:shd w:val="clear" w:color="auto" w:fill="auto"/>
      </w:tcPr>
    </w:tblStylePr>
    <w:tblStylePr w:type="lastRow">
      <w:tblPr/>
      <w:tcPr>
        <w:tcBorders>
          <w:top w:val="nil"/>
          <w:tl2br w:val="none" w:sz="0" w:space="0" w:color="auto"/>
          <w:tr2bl w:val="none" w:sz="0" w:space="0" w:color="auto"/>
        </w:tcBorders>
        <w:shd w:val="clear" w:color="auto" w:fill="auto"/>
      </w:tcPr>
    </w:tblStylePr>
  </w:style>
  <w:style w:type="table" w:styleId="TableSimple1">
    <w:name w:val="Table Simple 1"/>
    <w:basedOn w:val="TableNormal"/>
    <w:uiPriority w:val="99"/>
    <w:semiHidden/>
    <w:unhideWhenUsed/>
    <w:rsid w:val="00277C14"/>
    <w:pPr>
      <w:tabs>
        <w:tab w:val="left" w:pos="850"/>
        <w:tab w:val="left" w:pos="1191"/>
        <w:tab w:val="left" w:pos="1531"/>
      </w:tabs>
      <w:jc w:val="both"/>
    </w:pPr>
    <w:rPr>
      <w:rFonts w:ascii="Georgia" w:eastAsiaTheme="minorHAnsi" w:hAnsi="Georgia"/>
      <w:lang w:val="en-US"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GridTable5Dark-Accent211">
    <w:name w:val="Grid Table 5 Dark - Accent 211"/>
    <w:basedOn w:val="TableNormal"/>
    <w:uiPriority w:val="50"/>
    <w:rsid w:val="00277C14"/>
    <w:pPr>
      <w:jc w:val="both"/>
    </w:pPr>
    <w:rPr>
      <w:rFonts w:eastAsia="Times New Roman"/>
      <w:sz w:val="24"/>
      <w:szCs w:val="24"/>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paragraph" w:customStyle="1" w:styleId="Headfoot">
    <w:name w:val="Head&amp;foot"/>
    <w:basedOn w:val="Normal"/>
    <w:rsid w:val="00277C14"/>
    <w:pPr>
      <w:tabs>
        <w:tab w:val="left" w:pos="6237"/>
      </w:tabs>
      <w:spacing w:line="300" w:lineRule="exact"/>
      <w:jc w:val="both"/>
    </w:pPr>
    <w:rPr>
      <w:rFonts w:eastAsia="Times New Roman"/>
      <w:sz w:val="24"/>
      <w:szCs w:val="20"/>
      <w:lang w:val="el-GR"/>
    </w:rPr>
  </w:style>
  <w:style w:type="character" w:customStyle="1" w:styleId="TOC1Char">
    <w:name w:val="TOC 1 Char"/>
    <w:basedOn w:val="DefaultParagraphFont"/>
    <w:link w:val="TOC1"/>
    <w:uiPriority w:val="39"/>
    <w:rsid w:val="000A1889"/>
    <w:rPr>
      <w:rFonts w:asciiTheme="majorHAnsi" w:eastAsia="Times New Roman" w:hAnsiTheme="majorHAnsi"/>
      <w:b/>
      <w:bCs/>
      <w:caps/>
      <w:sz w:val="24"/>
      <w:szCs w:val="24"/>
      <w:lang w:val="fr-FR" w:eastAsia="fr-FR"/>
    </w:rPr>
  </w:style>
  <w:style w:type="paragraph" w:customStyle="1" w:styleId="Annextext">
    <w:name w:val="Annex text"/>
    <w:basedOn w:val="Para"/>
    <w:link w:val="AnnextextChar"/>
    <w:qFormat/>
    <w:rsid w:val="00277C14"/>
    <w:pPr>
      <w:numPr>
        <w:numId w:val="0"/>
      </w:numPr>
    </w:pPr>
  </w:style>
  <w:style w:type="character" w:customStyle="1" w:styleId="AnnextextChar">
    <w:name w:val="Annex text Char"/>
    <w:basedOn w:val="ParaChar"/>
    <w:link w:val="Annextext"/>
    <w:rsid w:val="00277C14"/>
    <w:rPr>
      <w:rFonts w:ascii="Cambria" w:eastAsia="SimSun" w:hAnsi="Cambria"/>
      <w:sz w:val="22"/>
      <w:lang w:eastAsia="en-US"/>
    </w:rPr>
  </w:style>
  <w:style w:type="paragraph" w:customStyle="1" w:styleId="ListNumberBox">
    <w:name w:val="List Number Box"/>
    <w:basedOn w:val="Normal"/>
    <w:rsid w:val="00277C14"/>
    <w:pPr>
      <w:numPr>
        <w:numId w:val="25"/>
      </w:numPr>
      <w:tabs>
        <w:tab w:val="clear" w:pos="1950"/>
        <w:tab w:val="num" w:pos="360"/>
        <w:tab w:val="left" w:pos="850"/>
      </w:tabs>
      <w:spacing w:after="240"/>
      <w:ind w:left="850" w:firstLine="0"/>
      <w:jc w:val="both"/>
    </w:pPr>
    <w:rPr>
      <w:rFonts w:eastAsia="Times New Roman" w:cs="Arial"/>
      <w:sz w:val="18"/>
      <w:lang w:eastAsia="zh-CN"/>
    </w:rPr>
  </w:style>
  <w:style w:type="paragraph" w:customStyle="1" w:styleId="ListNumberBox2">
    <w:name w:val="List Number Box 2"/>
    <w:basedOn w:val="Normal"/>
    <w:rsid w:val="00277C14"/>
    <w:pPr>
      <w:numPr>
        <w:ilvl w:val="1"/>
        <w:numId w:val="25"/>
      </w:numPr>
      <w:tabs>
        <w:tab w:val="clear" w:pos="2291"/>
        <w:tab w:val="num" w:pos="360"/>
        <w:tab w:val="left" w:pos="1191"/>
      </w:tabs>
      <w:spacing w:after="240"/>
      <w:ind w:left="1191" w:hanging="340"/>
      <w:jc w:val="both"/>
    </w:pPr>
    <w:rPr>
      <w:rFonts w:eastAsia="Times New Roman" w:cs="Arial"/>
      <w:sz w:val="18"/>
      <w:lang w:eastAsia="zh-CN"/>
    </w:rPr>
  </w:style>
  <w:style w:type="paragraph" w:customStyle="1" w:styleId="ListNumberBox3">
    <w:name w:val="List Number Box 3"/>
    <w:basedOn w:val="Normal"/>
    <w:rsid w:val="00277C14"/>
    <w:pPr>
      <w:numPr>
        <w:ilvl w:val="2"/>
        <w:numId w:val="25"/>
      </w:numPr>
      <w:tabs>
        <w:tab w:val="clear" w:pos="2574"/>
        <w:tab w:val="num" w:pos="360"/>
        <w:tab w:val="left" w:pos="1474"/>
      </w:tabs>
      <w:spacing w:after="240"/>
      <w:ind w:left="1474" w:firstLine="0"/>
      <w:jc w:val="both"/>
    </w:pPr>
    <w:rPr>
      <w:rFonts w:eastAsia="Times New Roman" w:cs="Arial"/>
      <w:sz w:val="18"/>
      <w:lang w:eastAsia="zh-CN"/>
    </w:rPr>
  </w:style>
  <w:style w:type="paragraph" w:customStyle="1" w:styleId="Title1">
    <w:name w:val="Title 1"/>
    <w:basedOn w:val="Normal"/>
    <w:link w:val="Title1Char"/>
    <w:qFormat/>
    <w:rsid w:val="00277C14"/>
    <w:pPr>
      <w:keepNext/>
      <w:widowControl w:val="0"/>
      <w:spacing w:before="240" w:after="240"/>
      <w:ind w:right="284"/>
      <w:jc w:val="both"/>
      <w:outlineLvl w:val="1"/>
    </w:pPr>
    <w:rPr>
      <w:rFonts w:eastAsia="Times New Roman" w:cs="Arial"/>
      <w:b/>
      <w:bCs/>
      <w:color w:val="000000"/>
      <w:w w:val="105"/>
      <w:kern w:val="28"/>
      <w:szCs w:val="20"/>
      <w:lang w:eastAsia="zh-CN"/>
    </w:rPr>
  </w:style>
  <w:style w:type="character" w:customStyle="1" w:styleId="Title1Char">
    <w:name w:val="Title 1 Char"/>
    <w:link w:val="Title1"/>
    <w:rsid w:val="00277C14"/>
    <w:rPr>
      <w:rFonts w:ascii="Arial" w:eastAsia="Times New Roman" w:hAnsi="Arial" w:cs="Arial"/>
      <w:b/>
      <w:bCs/>
      <w:color w:val="000000"/>
      <w:w w:val="105"/>
      <w:kern w:val="28"/>
      <w:lang w:eastAsia="zh-CN"/>
    </w:rPr>
  </w:style>
  <w:style w:type="character" w:customStyle="1" w:styleId="LD-ParaChar">
    <w:name w:val="LD-Para Char"/>
    <w:link w:val="LD-Para"/>
    <w:locked/>
    <w:rsid w:val="00277C14"/>
    <w:rPr>
      <w:rFonts w:ascii="Arial" w:hAnsi="Arial" w:cs="Arial"/>
      <w:bCs/>
      <w:iCs/>
      <w:shd w:val="clear" w:color="auto" w:fill="FFFFFF"/>
    </w:rPr>
  </w:style>
  <w:style w:type="paragraph" w:customStyle="1" w:styleId="LD-Para">
    <w:name w:val="LD-Para"/>
    <w:basedOn w:val="Normal"/>
    <w:link w:val="LD-ParaChar"/>
    <w:qFormat/>
    <w:rsid w:val="00277C14"/>
    <w:pPr>
      <w:widowControl w:val="0"/>
      <w:numPr>
        <w:numId w:val="31"/>
      </w:numPr>
      <w:shd w:val="clear" w:color="auto" w:fill="FFFFFF"/>
      <w:snapToGrid w:val="0"/>
      <w:spacing w:before="240" w:after="240"/>
      <w:jc w:val="both"/>
    </w:pPr>
    <w:rPr>
      <w:rFonts w:cs="Arial"/>
      <w:bCs/>
      <w:iCs/>
      <w:szCs w:val="20"/>
      <w:lang w:eastAsia="en-GB"/>
    </w:rPr>
  </w:style>
  <w:style w:type="character" w:customStyle="1" w:styleId="1">
    <w:name w:val="Ανεπίλυτη αναφορά1"/>
    <w:basedOn w:val="DefaultParagraphFont"/>
    <w:uiPriority w:val="99"/>
    <w:semiHidden/>
    <w:unhideWhenUsed/>
    <w:rsid w:val="00277C14"/>
    <w:rPr>
      <w:color w:val="605E5C"/>
      <w:shd w:val="clear" w:color="auto" w:fill="E1DFDD"/>
    </w:rPr>
  </w:style>
  <w:style w:type="paragraph" w:customStyle="1" w:styleId="TitleI">
    <w:name w:val="Title I"/>
    <w:basedOn w:val="Title1"/>
    <w:link w:val="TitleIChar"/>
    <w:qFormat/>
    <w:rsid w:val="00277C14"/>
  </w:style>
  <w:style w:type="paragraph" w:customStyle="1" w:styleId="Title10">
    <w:name w:val="Title1."/>
    <w:basedOn w:val="Normal"/>
    <w:link w:val="Title1Char0"/>
    <w:qFormat/>
    <w:rsid w:val="00277C14"/>
    <w:pPr>
      <w:jc w:val="both"/>
    </w:pPr>
    <w:rPr>
      <w:b/>
    </w:rPr>
  </w:style>
  <w:style w:type="character" w:customStyle="1" w:styleId="TitleIChar">
    <w:name w:val="Title I Char"/>
    <w:basedOn w:val="Title1Char"/>
    <w:link w:val="TitleI"/>
    <w:rsid w:val="00277C14"/>
    <w:rPr>
      <w:rFonts w:ascii="Arial" w:eastAsia="Times New Roman" w:hAnsi="Arial" w:cs="Arial"/>
      <w:b/>
      <w:bCs/>
      <w:color w:val="000000"/>
      <w:w w:val="105"/>
      <w:kern w:val="28"/>
      <w:lang w:eastAsia="zh-CN"/>
    </w:rPr>
  </w:style>
  <w:style w:type="character" w:customStyle="1" w:styleId="Title1Char0">
    <w:name w:val="Title1. Char"/>
    <w:basedOn w:val="DefaultParagraphFont"/>
    <w:link w:val="Title10"/>
    <w:rsid w:val="00277C14"/>
    <w:rPr>
      <w:rFonts w:ascii="Arial" w:hAnsi="Arial"/>
      <w:b/>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15834">
      <w:bodyDiv w:val="1"/>
      <w:marLeft w:val="0"/>
      <w:marRight w:val="0"/>
      <w:marTop w:val="0"/>
      <w:marBottom w:val="0"/>
      <w:divBdr>
        <w:top w:val="none" w:sz="0" w:space="0" w:color="auto"/>
        <w:left w:val="none" w:sz="0" w:space="0" w:color="auto"/>
        <w:bottom w:val="none" w:sz="0" w:space="0" w:color="auto"/>
        <w:right w:val="none" w:sz="0" w:space="0" w:color="auto"/>
      </w:divBdr>
    </w:div>
    <w:div w:id="359280546">
      <w:bodyDiv w:val="1"/>
      <w:marLeft w:val="0"/>
      <w:marRight w:val="0"/>
      <w:marTop w:val="0"/>
      <w:marBottom w:val="0"/>
      <w:divBdr>
        <w:top w:val="none" w:sz="0" w:space="0" w:color="auto"/>
        <w:left w:val="none" w:sz="0" w:space="0" w:color="auto"/>
        <w:bottom w:val="none" w:sz="0" w:space="0" w:color="auto"/>
        <w:right w:val="none" w:sz="0" w:space="0" w:color="auto"/>
      </w:divBdr>
    </w:div>
    <w:div w:id="540636447">
      <w:bodyDiv w:val="1"/>
      <w:marLeft w:val="0"/>
      <w:marRight w:val="0"/>
      <w:marTop w:val="0"/>
      <w:marBottom w:val="0"/>
      <w:divBdr>
        <w:top w:val="none" w:sz="0" w:space="0" w:color="auto"/>
        <w:left w:val="none" w:sz="0" w:space="0" w:color="auto"/>
        <w:bottom w:val="none" w:sz="0" w:space="0" w:color="auto"/>
        <w:right w:val="none" w:sz="0" w:space="0" w:color="auto"/>
      </w:divBdr>
    </w:div>
    <w:div w:id="803549707">
      <w:bodyDiv w:val="1"/>
      <w:marLeft w:val="0"/>
      <w:marRight w:val="0"/>
      <w:marTop w:val="0"/>
      <w:marBottom w:val="0"/>
      <w:divBdr>
        <w:top w:val="none" w:sz="0" w:space="0" w:color="auto"/>
        <w:left w:val="none" w:sz="0" w:space="0" w:color="auto"/>
        <w:bottom w:val="none" w:sz="0" w:space="0" w:color="auto"/>
        <w:right w:val="none" w:sz="0" w:space="0" w:color="auto"/>
      </w:divBdr>
    </w:div>
    <w:div w:id="125004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en.wikipedia.org/wiki/Market_economy" TargetMode="External"/><Relationship Id="rId18" Type="http://schemas.openxmlformats.org/officeDocument/2006/relationships/hyperlink" Target="http://www.eurasiangroup.org/"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giaba.org/" TargetMode="External"/><Relationship Id="rId7" Type="http://schemas.openxmlformats.org/officeDocument/2006/relationships/endnotes" Target="endnotes.xml"/><Relationship Id="rId12" Type="http://schemas.openxmlformats.org/officeDocument/2006/relationships/hyperlink" Target="https://en.wikipedia.org/wiki/Investment" TargetMode="External"/><Relationship Id="rId17" Type="http://schemas.openxmlformats.org/officeDocument/2006/relationships/hyperlink" Target="http://www.coe.int/moneyval"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cfatf-gafic.org/" TargetMode="External"/><Relationship Id="rId20" Type="http://schemas.openxmlformats.org/officeDocument/2006/relationships/hyperlink" Target="http://www.gafisud.info/"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Investment_bank"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pgabac.org/" TargetMode="External"/><Relationship Id="rId28" Type="http://schemas.openxmlformats.org/officeDocument/2006/relationships/footer" Target="footer2.xml"/><Relationship Id="rId10" Type="http://schemas.openxmlformats.org/officeDocument/2006/relationships/hyperlink" Target="https://en.wikipedia.org/wiki/International_financial_institution" TargetMode="External"/><Relationship Id="rId19" Type="http://schemas.openxmlformats.org/officeDocument/2006/relationships/hyperlink" Target="http://www.esaamlg.org/"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www.apgml.org/" TargetMode="External"/><Relationship Id="rId22" Type="http://schemas.openxmlformats.org/officeDocument/2006/relationships/hyperlink" Target="http://www.menafatf.org/" TargetMode="External"/><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oe.int/en/web/moneyval/strategy-and-workpla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celin\ND%20Office%20Echo\DE-WO1BE0I8\CAHAI%203rd%20meeting%20E_CMAbridgedReport%202767-3020-8002%20v.1.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fr-FR" sz="1200" b="0"/>
              <a:t>Fig.1</a:t>
            </a:r>
            <a:r>
              <a:rPr lang="fr-FR" sz="1200" b="0" baseline="0"/>
              <a:t>: Overview of the e</a:t>
            </a:r>
            <a:r>
              <a:rPr lang="fr-FR" sz="1200" b="0"/>
              <a:t>ffectiveness ratings</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fr-FR"/>
        </a:p>
      </c:txPr>
    </c:title>
    <c:autoTitleDeleted val="0"/>
    <c:plotArea>
      <c:layout/>
      <c:barChart>
        <c:barDir val="col"/>
        <c:grouping val="stacked"/>
        <c:varyColors val="0"/>
        <c:ser>
          <c:idx val="0"/>
          <c:order val="0"/>
          <c:tx>
            <c:strRef>
              <c:f>Sheet1!$B$1</c:f>
              <c:strCache>
                <c:ptCount val="1"/>
                <c:pt idx="0">
                  <c:v>Low</c:v>
                </c:pt>
              </c:strCache>
            </c:strRef>
          </c:tx>
          <c:spPr>
            <a:solidFill>
              <a:srgbClr val="FF0000"/>
            </a:soli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Sheet1!$A$2:$A$12</c:f>
              <c:strCache>
                <c:ptCount val="11"/>
                <c:pt idx="0">
                  <c:v>Risk understanding</c:v>
                </c:pt>
                <c:pt idx="1">
                  <c:v>International cooperation</c:v>
                </c:pt>
                <c:pt idx="2">
                  <c:v>Supervision</c:v>
                </c:pt>
                <c:pt idx="3">
                  <c:v>Private sector</c:v>
                </c:pt>
                <c:pt idx="4">
                  <c:v>Legal persons</c:v>
                </c:pt>
                <c:pt idx="5">
                  <c:v>Financial intelligence</c:v>
                </c:pt>
                <c:pt idx="6">
                  <c:v>ML prosecution</c:v>
                </c:pt>
                <c:pt idx="7">
                  <c:v>Confiscation</c:v>
                </c:pt>
                <c:pt idx="8">
                  <c:v>TF prosecution</c:v>
                </c:pt>
                <c:pt idx="9">
                  <c:v>TF TFS</c:v>
                </c:pt>
                <c:pt idx="10">
                  <c:v>PF TFS</c:v>
                </c:pt>
              </c:strCache>
            </c:strRef>
          </c:cat>
          <c:val>
            <c:numRef>
              <c:f>Sheet1!$B$2:$B$12</c:f>
              <c:numCache>
                <c:formatCode>General</c:formatCode>
                <c:ptCount val="11"/>
                <c:pt idx="0">
                  <c:v>1</c:v>
                </c:pt>
                <c:pt idx="2">
                  <c:v>2</c:v>
                </c:pt>
                <c:pt idx="4">
                  <c:v>3</c:v>
                </c:pt>
                <c:pt idx="5">
                  <c:v>3</c:v>
                </c:pt>
                <c:pt idx="6">
                  <c:v>10</c:v>
                </c:pt>
                <c:pt idx="7">
                  <c:v>9</c:v>
                </c:pt>
                <c:pt idx="8">
                  <c:v>1</c:v>
                </c:pt>
                <c:pt idx="9">
                  <c:v>3</c:v>
                </c:pt>
                <c:pt idx="10">
                  <c:v>5</c:v>
                </c:pt>
              </c:numCache>
            </c:numRef>
          </c:val>
          <c:extLst>
            <c:ext xmlns:c16="http://schemas.microsoft.com/office/drawing/2014/chart" uri="{C3380CC4-5D6E-409C-BE32-E72D297353CC}">
              <c16:uniqueId val="{00000000-027B-4255-AB40-1B812567188F}"/>
            </c:ext>
          </c:extLst>
        </c:ser>
        <c:ser>
          <c:idx val="1"/>
          <c:order val="1"/>
          <c:tx>
            <c:strRef>
              <c:f>Sheet1!$C$1</c:f>
              <c:strCache>
                <c:ptCount val="1"/>
                <c:pt idx="0">
                  <c:v>Moderate</c:v>
                </c:pt>
              </c:strCache>
            </c:strRef>
          </c:tx>
          <c:spPr>
            <a:solidFill>
              <a:srgbClr val="FFC000"/>
            </a:soli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Sheet1!$A$2:$A$12</c:f>
              <c:strCache>
                <c:ptCount val="11"/>
                <c:pt idx="0">
                  <c:v>Risk understanding</c:v>
                </c:pt>
                <c:pt idx="1">
                  <c:v>International cooperation</c:v>
                </c:pt>
                <c:pt idx="2">
                  <c:v>Supervision</c:v>
                </c:pt>
                <c:pt idx="3">
                  <c:v>Private sector</c:v>
                </c:pt>
                <c:pt idx="4">
                  <c:v>Legal persons</c:v>
                </c:pt>
                <c:pt idx="5">
                  <c:v>Financial intelligence</c:v>
                </c:pt>
                <c:pt idx="6">
                  <c:v>ML prosecution</c:v>
                </c:pt>
                <c:pt idx="7">
                  <c:v>Confiscation</c:v>
                </c:pt>
                <c:pt idx="8">
                  <c:v>TF prosecution</c:v>
                </c:pt>
                <c:pt idx="9">
                  <c:v>TF TFS</c:v>
                </c:pt>
                <c:pt idx="10">
                  <c:v>PF TFS</c:v>
                </c:pt>
              </c:strCache>
            </c:strRef>
          </c:cat>
          <c:val>
            <c:numRef>
              <c:f>Sheet1!$C$2:$C$12</c:f>
              <c:numCache>
                <c:formatCode>General</c:formatCode>
                <c:ptCount val="11"/>
                <c:pt idx="0">
                  <c:v>17</c:v>
                </c:pt>
                <c:pt idx="1">
                  <c:v>5</c:v>
                </c:pt>
                <c:pt idx="2">
                  <c:v>23</c:v>
                </c:pt>
                <c:pt idx="3">
                  <c:v>22</c:v>
                </c:pt>
                <c:pt idx="4">
                  <c:v>19</c:v>
                </c:pt>
                <c:pt idx="5">
                  <c:v>15</c:v>
                </c:pt>
                <c:pt idx="6">
                  <c:v>15</c:v>
                </c:pt>
                <c:pt idx="7">
                  <c:v>13</c:v>
                </c:pt>
                <c:pt idx="8">
                  <c:v>15</c:v>
                </c:pt>
                <c:pt idx="9">
                  <c:v>21</c:v>
                </c:pt>
                <c:pt idx="10">
                  <c:v>18</c:v>
                </c:pt>
              </c:numCache>
            </c:numRef>
          </c:val>
          <c:extLst>
            <c:ext xmlns:c16="http://schemas.microsoft.com/office/drawing/2014/chart" uri="{C3380CC4-5D6E-409C-BE32-E72D297353CC}">
              <c16:uniqueId val="{00000001-027B-4255-AB40-1B812567188F}"/>
            </c:ext>
          </c:extLst>
        </c:ser>
        <c:ser>
          <c:idx val="2"/>
          <c:order val="2"/>
          <c:tx>
            <c:strRef>
              <c:f>Sheet1!$D$1</c:f>
              <c:strCache>
                <c:ptCount val="1"/>
                <c:pt idx="0">
                  <c:v>Substantial</c:v>
                </c:pt>
              </c:strCache>
            </c:strRef>
          </c:tx>
          <c:spPr>
            <a:solidFill>
              <a:srgbClr val="92D050"/>
            </a:soli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Sheet1!$A$2:$A$12</c:f>
              <c:strCache>
                <c:ptCount val="11"/>
                <c:pt idx="0">
                  <c:v>Risk understanding</c:v>
                </c:pt>
                <c:pt idx="1">
                  <c:v>International cooperation</c:v>
                </c:pt>
                <c:pt idx="2">
                  <c:v>Supervision</c:v>
                </c:pt>
                <c:pt idx="3">
                  <c:v>Private sector</c:v>
                </c:pt>
                <c:pt idx="4">
                  <c:v>Legal persons</c:v>
                </c:pt>
                <c:pt idx="5">
                  <c:v>Financial intelligence</c:v>
                </c:pt>
                <c:pt idx="6">
                  <c:v>ML prosecution</c:v>
                </c:pt>
                <c:pt idx="7">
                  <c:v>Confiscation</c:v>
                </c:pt>
                <c:pt idx="8">
                  <c:v>TF prosecution</c:v>
                </c:pt>
                <c:pt idx="9">
                  <c:v>TF TFS</c:v>
                </c:pt>
                <c:pt idx="10">
                  <c:v>PF TFS</c:v>
                </c:pt>
              </c:strCache>
            </c:strRef>
          </c:cat>
          <c:val>
            <c:numRef>
              <c:f>Sheet1!$D$2:$D$12</c:f>
              <c:numCache>
                <c:formatCode>General</c:formatCode>
                <c:ptCount val="11"/>
                <c:pt idx="0">
                  <c:v>8</c:v>
                </c:pt>
                <c:pt idx="1">
                  <c:v>20</c:v>
                </c:pt>
                <c:pt idx="2">
                  <c:v>1</c:v>
                </c:pt>
                <c:pt idx="3">
                  <c:v>4</c:v>
                </c:pt>
                <c:pt idx="4">
                  <c:v>4</c:v>
                </c:pt>
                <c:pt idx="5">
                  <c:v>7</c:v>
                </c:pt>
                <c:pt idx="6">
                  <c:v>1</c:v>
                </c:pt>
                <c:pt idx="7">
                  <c:v>3</c:v>
                </c:pt>
                <c:pt idx="8">
                  <c:v>9</c:v>
                </c:pt>
                <c:pt idx="9">
                  <c:v>2</c:v>
                </c:pt>
                <c:pt idx="10">
                  <c:v>3</c:v>
                </c:pt>
              </c:numCache>
            </c:numRef>
          </c:val>
          <c:extLst>
            <c:ext xmlns:c16="http://schemas.microsoft.com/office/drawing/2014/chart" uri="{C3380CC4-5D6E-409C-BE32-E72D297353CC}">
              <c16:uniqueId val="{00000002-027B-4255-AB40-1B812567188F}"/>
            </c:ext>
          </c:extLst>
        </c:ser>
        <c:ser>
          <c:idx val="3"/>
          <c:order val="3"/>
          <c:tx>
            <c:strRef>
              <c:f>Sheet1!$E$1</c:f>
              <c:strCache>
                <c:ptCount val="1"/>
                <c:pt idx="0">
                  <c:v>High</c:v>
                </c:pt>
              </c:strCache>
            </c:strRef>
          </c:tx>
          <c:spPr>
            <a:solidFill>
              <a:srgbClr val="00B050"/>
            </a:soli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Sheet1!$A$2:$A$12</c:f>
              <c:strCache>
                <c:ptCount val="11"/>
                <c:pt idx="0">
                  <c:v>Risk understanding</c:v>
                </c:pt>
                <c:pt idx="1">
                  <c:v>International cooperation</c:v>
                </c:pt>
                <c:pt idx="2">
                  <c:v>Supervision</c:v>
                </c:pt>
                <c:pt idx="3">
                  <c:v>Private sector</c:v>
                </c:pt>
                <c:pt idx="4">
                  <c:v>Legal persons</c:v>
                </c:pt>
                <c:pt idx="5">
                  <c:v>Financial intelligence</c:v>
                </c:pt>
                <c:pt idx="6">
                  <c:v>ML prosecution</c:v>
                </c:pt>
                <c:pt idx="7">
                  <c:v>Confiscation</c:v>
                </c:pt>
                <c:pt idx="8">
                  <c:v>TF prosecution</c:v>
                </c:pt>
                <c:pt idx="9">
                  <c:v>TF TFS</c:v>
                </c:pt>
                <c:pt idx="10">
                  <c:v>PF TFS</c:v>
                </c:pt>
              </c:strCache>
            </c:strRef>
          </c:cat>
          <c:val>
            <c:numRef>
              <c:f>Sheet1!$E$2:$E$12</c:f>
              <c:numCache>
                <c:formatCode>General</c:formatCode>
                <c:ptCount val="11"/>
                <c:pt idx="1">
                  <c:v>1</c:v>
                </c:pt>
                <c:pt idx="5">
                  <c:v>1</c:v>
                </c:pt>
                <c:pt idx="7">
                  <c:v>1</c:v>
                </c:pt>
                <c:pt idx="8">
                  <c:v>1</c:v>
                </c:pt>
              </c:numCache>
            </c:numRef>
          </c:val>
          <c:extLst>
            <c:ext xmlns:c16="http://schemas.microsoft.com/office/drawing/2014/chart" uri="{C3380CC4-5D6E-409C-BE32-E72D297353CC}">
              <c16:uniqueId val="{00000003-027B-4255-AB40-1B812567188F}"/>
            </c:ext>
          </c:extLst>
        </c:ser>
        <c:ser>
          <c:idx val="4"/>
          <c:order val="4"/>
          <c:tx>
            <c:strRef>
              <c:f>Sheet1!$F$1</c:f>
              <c:strCache>
                <c:ptCount val="1"/>
                <c:pt idx="0">
                  <c:v>Column1</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Sheet1!$A$2:$A$12</c:f>
              <c:strCache>
                <c:ptCount val="11"/>
                <c:pt idx="0">
                  <c:v>Risk understanding</c:v>
                </c:pt>
                <c:pt idx="1">
                  <c:v>International cooperation</c:v>
                </c:pt>
                <c:pt idx="2">
                  <c:v>Supervision</c:v>
                </c:pt>
                <c:pt idx="3">
                  <c:v>Private sector</c:v>
                </c:pt>
                <c:pt idx="4">
                  <c:v>Legal persons</c:v>
                </c:pt>
                <c:pt idx="5">
                  <c:v>Financial intelligence</c:v>
                </c:pt>
                <c:pt idx="6">
                  <c:v>ML prosecution</c:v>
                </c:pt>
                <c:pt idx="7">
                  <c:v>Confiscation</c:v>
                </c:pt>
                <c:pt idx="8">
                  <c:v>TF prosecution</c:v>
                </c:pt>
                <c:pt idx="9">
                  <c:v>TF TFS</c:v>
                </c:pt>
                <c:pt idx="10">
                  <c:v>PF TFS</c:v>
                </c:pt>
              </c:strCache>
            </c:strRef>
          </c:cat>
          <c:val>
            <c:numRef>
              <c:f>Sheet1!$F$2:$F$12</c:f>
              <c:numCache>
                <c:formatCode>General</c:formatCode>
                <c:ptCount val="11"/>
              </c:numCache>
            </c:numRef>
          </c:val>
          <c:extLst>
            <c:ext xmlns:c16="http://schemas.microsoft.com/office/drawing/2014/chart" uri="{C3380CC4-5D6E-409C-BE32-E72D297353CC}">
              <c16:uniqueId val="{00000000-58B9-4835-AD6F-7E645F107F9D}"/>
            </c:ext>
          </c:extLst>
        </c:ser>
        <c:ser>
          <c:idx val="5"/>
          <c:order val="5"/>
          <c:tx>
            <c:strRef>
              <c:f>Sheet1!$G$1</c:f>
              <c:strCache>
                <c:ptCount val="1"/>
                <c:pt idx="0">
                  <c:v>Column2</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Sheet1!$A$2:$A$12</c:f>
              <c:strCache>
                <c:ptCount val="11"/>
                <c:pt idx="0">
                  <c:v>Risk understanding</c:v>
                </c:pt>
                <c:pt idx="1">
                  <c:v>International cooperation</c:v>
                </c:pt>
                <c:pt idx="2">
                  <c:v>Supervision</c:v>
                </c:pt>
                <c:pt idx="3">
                  <c:v>Private sector</c:v>
                </c:pt>
                <c:pt idx="4">
                  <c:v>Legal persons</c:v>
                </c:pt>
                <c:pt idx="5">
                  <c:v>Financial intelligence</c:v>
                </c:pt>
                <c:pt idx="6">
                  <c:v>ML prosecution</c:v>
                </c:pt>
                <c:pt idx="7">
                  <c:v>Confiscation</c:v>
                </c:pt>
                <c:pt idx="8">
                  <c:v>TF prosecution</c:v>
                </c:pt>
                <c:pt idx="9">
                  <c:v>TF TFS</c:v>
                </c:pt>
                <c:pt idx="10">
                  <c:v>PF TFS</c:v>
                </c:pt>
              </c:strCache>
            </c:strRef>
          </c:cat>
          <c:val>
            <c:numRef>
              <c:f>Sheet1!$G$2:$G$12</c:f>
              <c:numCache>
                <c:formatCode>General</c:formatCode>
                <c:ptCount val="11"/>
              </c:numCache>
            </c:numRef>
          </c:val>
          <c:extLst>
            <c:ext xmlns:c16="http://schemas.microsoft.com/office/drawing/2014/chart" uri="{C3380CC4-5D6E-409C-BE32-E72D297353CC}">
              <c16:uniqueId val="{00000001-58B9-4835-AD6F-7E645F107F9D}"/>
            </c:ext>
          </c:extLst>
        </c:ser>
        <c:dLbls>
          <c:dLblPos val="ctr"/>
          <c:showLegendKey val="0"/>
          <c:showVal val="1"/>
          <c:showCatName val="0"/>
          <c:showSerName val="0"/>
          <c:showPercent val="0"/>
          <c:showBubbleSize val="0"/>
        </c:dLbls>
        <c:gapWidth val="150"/>
        <c:overlap val="100"/>
        <c:axId val="918073416"/>
        <c:axId val="918077680"/>
      </c:barChart>
      <c:catAx>
        <c:axId val="91807341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0"/>
          <a:lstStyle/>
          <a:p>
            <a:pPr>
              <a:defRPr sz="900" b="0" i="0" u="none" strike="noStrike" kern="1200" baseline="0">
                <a:solidFill>
                  <a:schemeClr val="tx2"/>
                </a:solidFill>
                <a:latin typeface="+mn-lt"/>
                <a:ea typeface="+mn-ea"/>
                <a:cs typeface="+mn-cs"/>
              </a:defRPr>
            </a:pPr>
            <a:endParaRPr lang="fr-FR"/>
          </a:p>
        </c:txPr>
        <c:crossAx val="918077680"/>
        <c:crosses val="autoZero"/>
        <c:auto val="1"/>
        <c:lblAlgn val="ctr"/>
        <c:lblOffset val="100"/>
        <c:noMultiLvlLbl val="0"/>
      </c:catAx>
      <c:valAx>
        <c:axId val="91807768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fr-FR"/>
          </a:p>
        </c:txPr>
        <c:crossAx val="918073416"/>
        <c:crosses val="autoZero"/>
        <c:crossBetween val="between"/>
      </c:valAx>
      <c:spPr>
        <a:noFill/>
        <a:ln>
          <a:noFill/>
        </a:ln>
        <a:effectLst/>
      </c:spPr>
    </c:plotArea>
    <c:legend>
      <c:legendPos val="b"/>
      <c:legendEntry>
        <c:idx val="4"/>
        <c:delete val="1"/>
      </c:legendEntry>
      <c:legendEntry>
        <c:idx val="5"/>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9B61C7D4-8C0F-4929-A322-04A422DB3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CAHAI 3rd meeting E_CMAbridgedReport 2767-3020-8002 v.1</Template>
  <TotalTime>1</TotalTime>
  <Pages>30</Pages>
  <Words>15578</Words>
  <Characters>85685</Characters>
  <Application>Microsoft Office Word</Application>
  <DocSecurity>0</DocSecurity>
  <Lines>714</Lines>
  <Paragraphs>202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101061</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ANCELIN Lucy</dc:creator>
  <cp:lastModifiedBy>KAMOLNAVIN Kamoljit</cp:lastModifiedBy>
  <cp:revision>2</cp:revision>
  <cp:lastPrinted>2023-05-23T08:46:00Z</cp:lastPrinted>
  <dcterms:created xsi:type="dcterms:W3CDTF">2023-06-13T06:58:00Z</dcterms:created>
  <dcterms:modified xsi:type="dcterms:W3CDTF">2023-06-13T06:58:00Z</dcterms:modified>
</cp:coreProperties>
</file>