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AB2726" w14:paraId="31DDC818" w14:textId="77777777" w:rsidTr="00E54322">
        <w:trPr>
          <w:trHeight w:val="737"/>
        </w:trPr>
        <w:tc>
          <w:tcPr>
            <w:tcW w:w="1250" w:type="pct"/>
            <w:shd w:val="clear" w:color="auto" w:fill="auto"/>
            <w:vAlign w:val="center"/>
          </w:tcPr>
          <w:p w14:paraId="0DE751A3" w14:textId="77777777" w:rsidR="002D11B8" w:rsidRPr="00AB2726" w:rsidRDefault="003D6AC2" w:rsidP="00E54322">
            <w:pPr>
              <w:widowControl w:val="0"/>
              <w:autoSpaceDE w:val="0"/>
              <w:autoSpaceDN w:val="0"/>
              <w:adjustRightInd w:val="0"/>
              <w:rPr>
                <w:rFonts w:ascii="Arial Narrow" w:hAnsi="Arial Narrow" w:cs="Calibri"/>
                <w:szCs w:val="20"/>
              </w:rPr>
            </w:pPr>
            <w:r w:rsidRPr="00AB2726">
              <w:rPr>
                <w:rFonts w:ascii="Arial Narrow" w:hAnsi="Arial Narrow" w:cs="Calibri"/>
                <w:b/>
                <w:bCs/>
                <w:szCs w:val="20"/>
              </w:rPr>
              <w:t>MINISTERS’ DEPUTIES</w:t>
            </w:r>
          </w:p>
        </w:tc>
        <w:tc>
          <w:tcPr>
            <w:tcW w:w="1250" w:type="pct"/>
            <w:shd w:val="clear" w:color="auto" w:fill="auto"/>
            <w:vAlign w:val="center"/>
          </w:tcPr>
          <w:p w14:paraId="7E339987" w14:textId="77777777" w:rsidR="002D11B8" w:rsidRPr="00AB2726" w:rsidRDefault="003D6AC2" w:rsidP="00E54322">
            <w:pPr>
              <w:ind w:left="-108"/>
              <w:jc w:val="center"/>
              <w:rPr>
                <w:rFonts w:ascii="Arial Narrow" w:hAnsi="Arial Narrow" w:cs="Arial"/>
                <w:szCs w:val="20"/>
              </w:rPr>
            </w:pPr>
            <w:r w:rsidRPr="00AB2726">
              <w:rPr>
                <w:rFonts w:ascii="Arial Narrow" w:hAnsi="Arial Narrow" w:cs="Calibri"/>
                <w:szCs w:val="20"/>
              </w:rPr>
              <w:t>CM Documents</w:t>
            </w:r>
          </w:p>
        </w:tc>
        <w:tc>
          <w:tcPr>
            <w:tcW w:w="1250" w:type="pct"/>
            <w:shd w:val="clear" w:color="auto" w:fill="auto"/>
            <w:vAlign w:val="center"/>
          </w:tcPr>
          <w:p w14:paraId="1C95BC8B" w14:textId="6724F188" w:rsidR="002D11B8" w:rsidRPr="00472E64" w:rsidRDefault="00472E64" w:rsidP="00E0341E">
            <w:pPr>
              <w:ind w:left="-40"/>
              <w:jc w:val="center"/>
              <w:rPr>
                <w:rFonts w:ascii="Arial Narrow" w:hAnsi="Arial Narrow" w:cs="Arial"/>
                <w:b/>
                <w:sz w:val="24"/>
                <w:szCs w:val="24"/>
              </w:rPr>
            </w:pPr>
            <w:proofErr w:type="gramStart"/>
            <w:r w:rsidRPr="00472E64">
              <w:rPr>
                <w:rFonts w:ascii="Arial Narrow" w:hAnsi="Arial Narrow" w:cs="Calibri"/>
                <w:b/>
                <w:sz w:val="24"/>
                <w:szCs w:val="24"/>
              </w:rPr>
              <w:t>CM(</w:t>
            </w:r>
            <w:proofErr w:type="gramEnd"/>
            <w:r w:rsidRPr="00472E64">
              <w:rPr>
                <w:rFonts w:ascii="Arial Narrow" w:hAnsi="Arial Narrow" w:cs="Calibri"/>
                <w:b/>
                <w:sz w:val="24"/>
                <w:szCs w:val="24"/>
              </w:rPr>
              <w:t>2023)85</w:t>
            </w:r>
          </w:p>
        </w:tc>
        <w:tc>
          <w:tcPr>
            <w:tcW w:w="1250" w:type="pct"/>
            <w:shd w:val="clear" w:color="auto" w:fill="auto"/>
            <w:vAlign w:val="center"/>
          </w:tcPr>
          <w:p w14:paraId="376ED492" w14:textId="42DC1452" w:rsidR="002D11B8" w:rsidRPr="00AB2726" w:rsidRDefault="00472E64" w:rsidP="00E0341E">
            <w:pPr>
              <w:jc w:val="right"/>
              <w:rPr>
                <w:rFonts w:ascii="Arial Narrow" w:hAnsi="Arial Narrow" w:cs="Arial"/>
                <w:sz w:val="16"/>
                <w:szCs w:val="16"/>
              </w:rPr>
            </w:pPr>
            <w:r>
              <w:rPr>
                <w:rFonts w:ascii="Arial Narrow" w:hAnsi="Arial Narrow" w:cs="Calibri"/>
                <w:sz w:val="16"/>
                <w:szCs w:val="16"/>
              </w:rPr>
              <w:t>23 Ma</w:t>
            </w:r>
            <w:r w:rsidRPr="00472E64">
              <w:rPr>
                <w:rFonts w:ascii="Arial Narrow" w:hAnsi="Arial Narrow" w:cs="Calibri"/>
                <w:sz w:val="16"/>
                <w:szCs w:val="16"/>
              </w:rPr>
              <w:t>y</w:t>
            </w:r>
            <w:r w:rsidR="00383A20" w:rsidRPr="00472E64">
              <w:rPr>
                <w:rFonts w:ascii="Arial Narrow" w:hAnsi="Arial Narrow" w:cs="Calibri"/>
                <w:sz w:val="16"/>
                <w:szCs w:val="16"/>
              </w:rPr>
              <w:t xml:space="preserve"> </w:t>
            </w:r>
            <w:r w:rsidR="003F3A70" w:rsidRPr="00472E64">
              <w:rPr>
                <w:rFonts w:ascii="Arial Narrow" w:hAnsi="Arial Narrow" w:cs="Calibri"/>
                <w:sz w:val="16"/>
                <w:szCs w:val="16"/>
              </w:rPr>
              <w:t>202</w:t>
            </w:r>
            <w:r w:rsidR="00C54F8C" w:rsidRPr="00472E64">
              <w:rPr>
                <w:rFonts w:ascii="Arial Narrow" w:hAnsi="Arial Narrow" w:cs="Calibri"/>
                <w:sz w:val="16"/>
                <w:szCs w:val="16"/>
              </w:rPr>
              <w:t>3</w:t>
            </w:r>
            <w:r w:rsidR="00853C90" w:rsidRPr="00AB2726">
              <w:rPr>
                <w:rStyle w:val="FootnoteReference"/>
                <w:rFonts w:ascii="Arial Narrow" w:hAnsi="Arial Narrow" w:cs="Calibri"/>
                <w:sz w:val="16"/>
                <w:szCs w:val="16"/>
              </w:rPr>
              <w:footnoteReference w:id="1"/>
            </w:r>
          </w:p>
        </w:tc>
      </w:tr>
    </w:tbl>
    <w:p w14:paraId="24521F81" w14:textId="77777777" w:rsidR="00D554E6" w:rsidRPr="00AB2726"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B2726" w14:paraId="1DAAD053" w14:textId="77777777" w:rsidTr="00E54322">
        <w:tc>
          <w:tcPr>
            <w:tcW w:w="9399" w:type="dxa"/>
            <w:shd w:val="clear" w:color="auto" w:fill="auto"/>
            <w:tcMar>
              <w:top w:w="227" w:type="dxa"/>
              <w:bottom w:w="227" w:type="dxa"/>
            </w:tcMar>
            <w:vAlign w:val="center"/>
          </w:tcPr>
          <w:p w14:paraId="7B69E33F" w14:textId="77777777" w:rsidR="000A1889" w:rsidRPr="00AB2726" w:rsidRDefault="000A1889" w:rsidP="000A1889">
            <w:pPr>
              <w:widowControl w:val="0"/>
              <w:autoSpaceDE w:val="0"/>
              <w:autoSpaceDN w:val="0"/>
              <w:adjustRightInd w:val="0"/>
              <w:rPr>
                <w:rFonts w:ascii="Arial Narrow" w:hAnsi="Arial Narrow" w:cs="Calibri"/>
                <w:b/>
                <w:bCs/>
                <w:sz w:val="32"/>
                <w:szCs w:val="32"/>
              </w:rPr>
            </w:pPr>
            <w:r>
              <w:rPr>
                <w:rFonts w:ascii="Arial Narrow" w:hAnsi="Arial Narrow" w:cs="Calibri"/>
                <w:b/>
                <w:bCs/>
                <w:sz w:val="32"/>
                <w:szCs w:val="32"/>
              </w:rPr>
              <w:t>1469</w:t>
            </w:r>
            <w:r w:rsidRPr="00E73BD4">
              <w:rPr>
                <w:rFonts w:ascii="Arial Narrow" w:hAnsi="Arial Narrow" w:cs="Calibri"/>
                <w:b/>
                <w:bCs/>
                <w:sz w:val="32"/>
                <w:szCs w:val="32"/>
                <w:vertAlign w:val="superscript"/>
              </w:rPr>
              <w:t>th</w:t>
            </w:r>
            <w:r>
              <w:rPr>
                <w:rFonts w:ascii="Arial Narrow" w:hAnsi="Arial Narrow" w:cs="Calibri"/>
                <w:b/>
                <w:bCs/>
                <w:sz w:val="32"/>
                <w:szCs w:val="32"/>
              </w:rPr>
              <w:t> </w:t>
            </w:r>
            <w:r w:rsidRPr="00AB2726">
              <w:rPr>
                <w:rFonts w:ascii="Arial Narrow" w:hAnsi="Arial Narrow" w:cs="Calibri"/>
                <w:b/>
                <w:bCs/>
                <w:sz w:val="32"/>
                <w:szCs w:val="32"/>
              </w:rPr>
              <w:t xml:space="preserve">meeting, </w:t>
            </w:r>
            <w:r>
              <w:rPr>
                <w:rFonts w:ascii="Arial Narrow" w:hAnsi="Arial Narrow" w:cs="Calibri"/>
                <w:b/>
                <w:bCs/>
                <w:sz w:val="32"/>
                <w:szCs w:val="32"/>
              </w:rPr>
              <w:t>14 June</w:t>
            </w:r>
            <w:r w:rsidRPr="00AB2726">
              <w:rPr>
                <w:rFonts w:ascii="Arial Narrow" w:hAnsi="Arial Narrow" w:cs="Calibri"/>
                <w:b/>
                <w:bCs/>
                <w:sz w:val="32"/>
                <w:szCs w:val="32"/>
              </w:rPr>
              <w:t xml:space="preserve"> 202</w:t>
            </w:r>
            <w:r>
              <w:rPr>
                <w:rFonts w:ascii="Arial Narrow" w:hAnsi="Arial Narrow" w:cs="Calibri"/>
                <w:b/>
                <w:bCs/>
                <w:sz w:val="32"/>
                <w:szCs w:val="32"/>
              </w:rPr>
              <w:t>3</w:t>
            </w:r>
          </w:p>
          <w:p w14:paraId="283FDD4D" w14:textId="77777777" w:rsidR="000A1889" w:rsidRPr="00AB2726" w:rsidRDefault="000A1889" w:rsidP="000A1889">
            <w:pPr>
              <w:rPr>
                <w:rFonts w:ascii="Arial Narrow" w:hAnsi="Arial Narrow" w:cs="Calibri"/>
                <w:sz w:val="22"/>
              </w:rPr>
            </w:pPr>
            <w:r w:rsidRPr="00AB2726">
              <w:rPr>
                <w:rFonts w:ascii="Arial Narrow" w:hAnsi="Arial Narrow" w:cs="Calibri"/>
                <w:sz w:val="22"/>
              </w:rPr>
              <w:t>1</w:t>
            </w:r>
            <w:r>
              <w:rPr>
                <w:rFonts w:ascii="Arial Narrow" w:hAnsi="Arial Narrow" w:cs="Calibri"/>
                <w:sz w:val="22"/>
              </w:rPr>
              <w:t>0</w:t>
            </w:r>
            <w:r w:rsidRPr="00AB2726">
              <w:rPr>
                <w:rFonts w:ascii="Arial Narrow" w:hAnsi="Arial Narrow" w:cs="Calibri"/>
                <w:sz w:val="22"/>
              </w:rPr>
              <w:t xml:space="preserve"> </w:t>
            </w:r>
            <w:r>
              <w:rPr>
                <w:rFonts w:ascii="Arial Narrow" w:hAnsi="Arial Narrow" w:cs="Calibri"/>
                <w:sz w:val="22"/>
              </w:rPr>
              <w:t>Leg</w:t>
            </w:r>
            <w:r w:rsidRPr="00AB2726">
              <w:rPr>
                <w:rFonts w:ascii="Arial Narrow" w:hAnsi="Arial Narrow" w:cs="Calibri"/>
                <w:sz w:val="22"/>
              </w:rPr>
              <w:t>al questions</w:t>
            </w:r>
          </w:p>
          <w:p w14:paraId="35199EBA" w14:textId="77777777" w:rsidR="000A1889" w:rsidRPr="00AB2726" w:rsidRDefault="000A1889" w:rsidP="000A1889">
            <w:pPr>
              <w:rPr>
                <w:rFonts w:ascii="Arial Narrow" w:hAnsi="Arial Narrow" w:cs="Calibri"/>
                <w:i/>
                <w:szCs w:val="20"/>
              </w:rPr>
            </w:pPr>
            <w:r w:rsidRPr="00AB2726">
              <w:rPr>
                <w:rFonts w:ascii="Arial Narrow" w:hAnsi="Arial Narrow" w:cs="Calibri"/>
                <w:i/>
                <w:szCs w:val="20"/>
              </w:rPr>
              <w:t xml:space="preserve"> </w:t>
            </w:r>
          </w:p>
          <w:p w14:paraId="32EB118C" w14:textId="77DC4D06" w:rsidR="000A1889" w:rsidRPr="0032354A" w:rsidRDefault="000A1889" w:rsidP="000A1889">
            <w:pPr>
              <w:rPr>
                <w:rFonts w:ascii="Arial Narrow" w:hAnsi="Arial Narrow" w:cs="Calibri"/>
                <w:b/>
                <w:sz w:val="28"/>
                <w:szCs w:val="28"/>
              </w:rPr>
            </w:pPr>
            <w:r w:rsidRPr="00385587">
              <w:rPr>
                <w:rFonts w:ascii="Arial Narrow" w:hAnsi="Arial Narrow" w:cs="Calibri"/>
                <w:b/>
                <w:sz w:val="28"/>
                <w:szCs w:val="28"/>
              </w:rPr>
              <w:t>1</w:t>
            </w:r>
            <w:r>
              <w:rPr>
                <w:rFonts w:ascii="Arial Narrow" w:hAnsi="Arial Narrow" w:cs="Calibri"/>
                <w:b/>
                <w:sz w:val="28"/>
                <w:szCs w:val="28"/>
              </w:rPr>
              <w:t>0.</w:t>
            </w:r>
            <w:r w:rsidR="00472E64">
              <w:rPr>
                <w:rFonts w:ascii="Arial Narrow" w:hAnsi="Arial Narrow" w:cs="Calibri"/>
                <w:b/>
                <w:sz w:val="28"/>
                <w:szCs w:val="28"/>
              </w:rPr>
              <w:t>2</w:t>
            </w:r>
            <w:r w:rsidRPr="00385587">
              <w:rPr>
                <w:rFonts w:ascii="Arial Narrow" w:hAnsi="Arial Narrow" w:cs="Calibri"/>
                <w:b/>
                <w:sz w:val="28"/>
                <w:szCs w:val="28"/>
              </w:rPr>
              <w:t xml:space="preserve"> </w:t>
            </w:r>
            <w:r w:rsidRPr="0032354A">
              <w:rPr>
                <w:rFonts w:ascii="Arial Narrow" w:hAnsi="Arial Narrow" w:cs="Calibri"/>
                <w:b/>
                <w:sz w:val="28"/>
                <w:szCs w:val="28"/>
              </w:rPr>
              <w:t xml:space="preserve">Committee of Experts on the Evaluation of </w:t>
            </w:r>
            <w:r>
              <w:rPr>
                <w:rFonts w:ascii="Arial Narrow" w:hAnsi="Arial Narrow" w:cs="Calibri"/>
                <w:b/>
                <w:sz w:val="28"/>
                <w:szCs w:val="28"/>
              </w:rPr>
              <w:t>A</w:t>
            </w:r>
            <w:r w:rsidRPr="0032354A">
              <w:rPr>
                <w:rFonts w:ascii="Arial Narrow" w:hAnsi="Arial Narrow" w:cs="Calibri"/>
                <w:b/>
                <w:sz w:val="28"/>
                <w:szCs w:val="28"/>
              </w:rPr>
              <w:t xml:space="preserve">nti-money </w:t>
            </w:r>
            <w:r>
              <w:rPr>
                <w:rFonts w:ascii="Arial Narrow" w:hAnsi="Arial Narrow" w:cs="Calibri"/>
                <w:b/>
                <w:sz w:val="28"/>
                <w:szCs w:val="28"/>
              </w:rPr>
              <w:t>L</w:t>
            </w:r>
            <w:r w:rsidRPr="0032354A">
              <w:rPr>
                <w:rFonts w:ascii="Arial Narrow" w:hAnsi="Arial Narrow" w:cs="Calibri"/>
                <w:b/>
                <w:sz w:val="28"/>
                <w:szCs w:val="28"/>
              </w:rPr>
              <w:t xml:space="preserve">aundering </w:t>
            </w:r>
            <w:r>
              <w:rPr>
                <w:rFonts w:ascii="Arial Narrow" w:hAnsi="Arial Narrow" w:cs="Calibri"/>
                <w:b/>
                <w:sz w:val="28"/>
                <w:szCs w:val="28"/>
              </w:rPr>
              <w:t>M</w:t>
            </w:r>
            <w:r w:rsidRPr="0032354A">
              <w:rPr>
                <w:rFonts w:ascii="Arial Narrow" w:hAnsi="Arial Narrow" w:cs="Calibri"/>
                <w:b/>
                <w:sz w:val="28"/>
                <w:szCs w:val="28"/>
              </w:rPr>
              <w:t xml:space="preserve">easures and the </w:t>
            </w:r>
            <w:r>
              <w:rPr>
                <w:rFonts w:ascii="Arial Narrow" w:hAnsi="Arial Narrow" w:cs="Calibri"/>
                <w:b/>
                <w:sz w:val="28"/>
                <w:szCs w:val="28"/>
              </w:rPr>
              <w:t>F</w:t>
            </w:r>
            <w:r w:rsidRPr="0032354A">
              <w:rPr>
                <w:rFonts w:ascii="Arial Narrow" w:hAnsi="Arial Narrow" w:cs="Calibri"/>
                <w:b/>
                <w:sz w:val="28"/>
                <w:szCs w:val="28"/>
              </w:rPr>
              <w:t xml:space="preserve">inancing of </w:t>
            </w:r>
            <w:r>
              <w:rPr>
                <w:rFonts w:ascii="Arial Narrow" w:hAnsi="Arial Narrow" w:cs="Calibri"/>
                <w:b/>
                <w:sz w:val="28"/>
                <w:szCs w:val="28"/>
              </w:rPr>
              <w:t>T</w:t>
            </w:r>
            <w:r w:rsidRPr="0032354A">
              <w:rPr>
                <w:rFonts w:ascii="Arial Narrow" w:hAnsi="Arial Narrow" w:cs="Calibri"/>
                <w:b/>
                <w:sz w:val="28"/>
                <w:szCs w:val="28"/>
              </w:rPr>
              <w:t>errorism (MONEYVAL)</w:t>
            </w:r>
          </w:p>
          <w:p w14:paraId="7F0D08BD" w14:textId="77777777" w:rsidR="000A1889" w:rsidRPr="004356CC" w:rsidRDefault="000A1889" w:rsidP="000A1889">
            <w:pPr>
              <w:rPr>
                <w:rFonts w:ascii="Arial Narrow" w:hAnsi="Arial Narrow" w:cs="Calibri"/>
                <w:sz w:val="22"/>
              </w:rPr>
            </w:pPr>
            <w:r w:rsidRPr="004356CC">
              <w:rPr>
                <w:rFonts w:ascii="Arial Narrow" w:hAnsi="Arial Narrow" w:cs="Calibri"/>
                <w:sz w:val="22"/>
              </w:rPr>
              <w:t>b. Annual report for 202</w:t>
            </w:r>
            <w:r>
              <w:rPr>
                <w:rFonts w:ascii="Arial Narrow" w:hAnsi="Arial Narrow" w:cs="Calibri"/>
                <w:sz w:val="22"/>
              </w:rPr>
              <w:t>2</w:t>
            </w:r>
          </w:p>
          <w:p w14:paraId="3215358B" w14:textId="77777777" w:rsidR="000A1889" w:rsidRPr="00AB2726" w:rsidRDefault="000A1889" w:rsidP="000A1889">
            <w:pPr>
              <w:rPr>
                <w:rFonts w:ascii="Arial Narrow" w:hAnsi="Arial Narrow" w:cs="Calibri"/>
                <w:sz w:val="22"/>
              </w:rPr>
            </w:pPr>
          </w:p>
          <w:p w14:paraId="787AE4DC" w14:textId="72B3EB23" w:rsidR="00E457C3" w:rsidRPr="00AB2726" w:rsidRDefault="000A1889" w:rsidP="000A1889">
            <w:pPr>
              <w:rPr>
                <w:rFonts w:ascii="Arial Narrow" w:hAnsi="Arial Narrow" w:cs="Calibri"/>
                <w:b/>
                <w:szCs w:val="20"/>
              </w:rPr>
            </w:pPr>
            <w:r w:rsidRPr="00AB2726">
              <w:rPr>
                <w:rFonts w:ascii="Arial Narrow" w:hAnsi="Arial Narrow" w:cs="Calibri"/>
                <w:b/>
                <w:szCs w:val="20"/>
              </w:rPr>
              <w:t xml:space="preserve">Item to be considered by the GR-J at its meeting on </w:t>
            </w:r>
            <w:r>
              <w:rPr>
                <w:rFonts w:ascii="Arial Narrow" w:hAnsi="Arial Narrow" w:cs="Calibri"/>
                <w:b/>
                <w:szCs w:val="20"/>
              </w:rPr>
              <w:t>13 June 2023</w:t>
            </w:r>
          </w:p>
        </w:tc>
      </w:tr>
    </w:tbl>
    <w:p w14:paraId="3D06B221" w14:textId="77777777" w:rsidR="00D41C91" w:rsidRPr="00AB2726" w:rsidRDefault="00D41C91" w:rsidP="0037200F">
      <w:pPr>
        <w:rPr>
          <w:rFonts w:eastAsia="Times New Roman"/>
          <w:szCs w:val="24"/>
        </w:rPr>
      </w:pPr>
      <w:r w:rsidRPr="00AB2726">
        <w:rPr>
          <w:rFonts w:eastAsia="Times New Roman"/>
          <w:szCs w:val="24"/>
        </w:rPr>
        <w:t xml:space="preserve"> </w:t>
      </w:r>
    </w:p>
    <w:p w14:paraId="44EC7BBF" w14:textId="274329FE" w:rsidR="00E54322" w:rsidRPr="00277C14" w:rsidRDefault="00E54322" w:rsidP="00277C14">
      <w:pPr>
        <w:rPr>
          <w:rFonts w:eastAsia="Times New Roman" w:cs="Arial"/>
          <w:szCs w:val="20"/>
        </w:rPr>
      </w:pPr>
      <w:r w:rsidRPr="00AB2726">
        <w:rPr>
          <w:rFonts w:eastAsia="Times New Roman"/>
          <w:szCs w:val="24"/>
        </w:rPr>
        <w:t xml:space="preserve"> </w:t>
      </w:r>
    </w:p>
    <w:p w14:paraId="6F027438" w14:textId="77777777" w:rsidR="00277C14" w:rsidRPr="000C5B9D" w:rsidRDefault="00277C14">
      <w:pPr>
        <w:rPr>
          <w:rFonts w:eastAsia="Times New Roman" w:cs="Arial"/>
          <w:b/>
          <w:bCs/>
          <w:caps/>
          <w:szCs w:val="20"/>
          <w:lang w:val="en-US" w:eastAsia="fr-FR"/>
        </w:rPr>
      </w:pPr>
      <w:r>
        <w:rPr>
          <w:rFonts w:cs="Arial"/>
          <w:szCs w:val="20"/>
        </w:rPr>
        <w:br w:type="page"/>
      </w:r>
    </w:p>
    <w:sdt>
      <w:sdtPr>
        <w:rPr>
          <w:rFonts w:ascii="Arial" w:eastAsia="Calibri" w:hAnsi="Arial" w:cs="Arial"/>
          <w:b w:val="0"/>
          <w:bCs w:val="0"/>
          <w:color w:val="auto"/>
          <w:sz w:val="20"/>
          <w:szCs w:val="20"/>
          <w:lang w:val="en-GB" w:eastAsia="en-US"/>
        </w:rPr>
        <w:id w:val="412593562"/>
        <w:docPartObj>
          <w:docPartGallery w:val="Table of Contents"/>
          <w:docPartUnique/>
        </w:docPartObj>
      </w:sdtPr>
      <w:sdtEndPr>
        <w:rPr>
          <w:noProof/>
        </w:rPr>
      </w:sdtEndPr>
      <w:sdtContent>
        <w:p w14:paraId="3A29DB7F" w14:textId="2465DE2B" w:rsidR="005037AC" w:rsidRPr="00E368E0" w:rsidRDefault="005037AC" w:rsidP="000A1889">
          <w:pPr>
            <w:pStyle w:val="TOCHeading"/>
            <w:tabs>
              <w:tab w:val="left" w:pos="709"/>
              <w:tab w:val="right" w:leader="dot" w:pos="9639"/>
            </w:tabs>
            <w:spacing w:before="0" w:line="240" w:lineRule="auto"/>
            <w:rPr>
              <w:rFonts w:ascii="Arial" w:hAnsi="Arial" w:cs="Arial"/>
              <w:sz w:val="20"/>
              <w:szCs w:val="20"/>
            </w:rPr>
          </w:pPr>
          <w:r w:rsidRPr="00E368E0">
            <w:rPr>
              <w:rFonts w:ascii="Arial" w:hAnsi="Arial" w:cs="Arial"/>
              <w:sz w:val="20"/>
              <w:szCs w:val="20"/>
            </w:rPr>
            <w:t>Contents</w:t>
          </w:r>
        </w:p>
        <w:p w14:paraId="7308DCC7" w14:textId="77777777" w:rsidR="00E73BD4" w:rsidRPr="00E368E0" w:rsidRDefault="00E73BD4" w:rsidP="000A1889">
          <w:pPr>
            <w:tabs>
              <w:tab w:val="left" w:pos="709"/>
              <w:tab w:val="right" w:leader="dot" w:pos="9639"/>
            </w:tabs>
            <w:rPr>
              <w:rFonts w:cs="Arial"/>
              <w:szCs w:val="20"/>
              <w:lang w:val="en-US" w:eastAsia="ja-JP"/>
            </w:rPr>
          </w:pPr>
        </w:p>
        <w:p w14:paraId="58DA938A" w14:textId="6F5EDF96" w:rsidR="006E54F2" w:rsidRPr="00E368E0" w:rsidRDefault="005037AC" w:rsidP="00836B02">
          <w:pPr>
            <w:pStyle w:val="TOC2"/>
            <w:tabs>
              <w:tab w:val="clear" w:pos="400"/>
              <w:tab w:val="clear" w:pos="9628"/>
              <w:tab w:val="left" w:pos="709"/>
              <w:tab w:val="right" w:leader="dot" w:pos="9639"/>
            </w:tabs>
            <w:spacing w:before="120"/>
            <w:rPr>
              <w:rFonts w:ascii="Arial" w:eastAsiaTheme="minorEastAsia" w:hAnsi="Arial" w:cs="Arial"/>
            </w:rPr>
          </w:pPr>
          <w:r w:rsidRPr="00E368E0">
            <w:rPr>
              <w:rFonts w:ascii="Arial" w:hAnsi="Arial" w:cs="Arial"/>
              <w:caps/>
              <w:noProof w:val="0"/>
            </w:rPr>
            <w:fldChar w:fldCharType="begin"/>
          </w:r>
          <w:r w:rsidRPr="00E368E0">
            <w:rPr>
              <w:rFonts w:ascii="Arial" w:hAnsi="Arial" w:cs="Arial"/>
            </w:rPr>
            <w:instrText xml:space="preserve"> TOC \o "1-3" \h \z \u </w:instrText>
          </w:r>
          <w:r w:rsidRPr="00E368E0">
            <w:rPr>
              <w:rFonts w:ascii="Arial" w:hAnsi="Arial" w:cs="Arial"/>
              <w:caps/>
              <w:noProof w:val="0"/>
            </w:rPr>
            <w:fldChar w:fldCharType="separate"/>
          </w:r>
          <w:hyperlink w:anchor="_Toc135409874" w:history="1">
            <w:r w:rsidR="006E54F2" w:rsidRPr="00E368E0">
              <w:rPr>
                <w:rStyle w:val="Hyperlink"/>
                <w:rFonts w:ascii="Arial" w:hAnsi="Arial" w:cs="Arial"/>
              </w:rPr>
              <w:t>FREQUENTLY USED ABBREVIATIONS, ACCRONYMS AND EXPLANATIONS</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_Toc135409874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3</w:t>
            </w:r>
            <w:r w:rsidR="006E54F2" w:rsidRPr="00E368E0">
              <w:rPr>
                <w:rFonts w:ascii="Arial" w:hAnsi="Arial" w:cs="Arial"/>
                <w:webHidden/>
              </w:rPr>
              <w:fldChar w:fldCharType="end"/>
            </w:r>
          </w:hyperlink>
        </w:p>
        <w:p w14:paraId="545B0D77" w14:textId="79A12E9A" w:rsidR="006E54F2" w:rsidRPr="00E368E0" w:rsidRDefault="00000000" w:rsidP="000A1889">
          <w:pPr>
            <w:pStyle w:val="TOC2"/>
            <w:tabs>
              <w:tab w:val="clear" w:pos="400"/>
              <w:tab w:val="clear" w:pos="9628"/>
              <w:tab w:val="left" w:pos="709"/>
              <w:tab w:val="right" w:leader="dot" w:pos="9639"/>
            </w:tabs>
            <w:spacing w:before="120"/>
            <w:rPr>
              <w:rFonts w:ascii="Arial" w:eastAsiaTheme="minorEastAsia" w:hAnsi="Arial" w:cs="Arial"/>
            </w:rPr>
          </w:pPr>
          <w:hyperlink w:anchor="_Toc135409875" w:history="1">
            <w:r w:rsidR="006E54F2" w:rsidRPr="00E368E0">
              <w:rPr>
                <w:rStyle w:val="Hyperlink"/>
                <w:rFonts w:ascii="Arial" w:hAnsi="Arial" w:cs="Arial"/>
              </w:rPr>
              <w:t>INTRODUCTION FROM THE CHAIR</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_Toc135409875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4</w:t>
            </w:r>
            <w:r w:rsidR="006E54F2" w:rsidRPr="00E368E0">
              <w:rPr>
                <w:rFonts w:ascii="Arial" w:hAnsi="Arial" w:cs="Arial"/>
                <w:webHidden/>
              </w:rPr>
              <w:fldChar w:fldCharType="end"/>
            </w:r>
          </w:hyperlink>
        </w:p>
        <w:p w14:paraId="4420837E" w14:textId="22A045DE" w:rsidR="006E54F2" w:rsidRPr="00E368E0" w:rsidRDefault="00000000" w:rsidP="000A1889">
          <w:pPr>
            <w:pStyle w:val="TOC2"/>
            <w:tabs>
              <w:tab w:val="clear" w:pos="400"/>
              <w:tab w:val="clear" w:pos="9628"/>
              <w:tab w:val="left" w:pos="709"/>
              <w:tab w:val="right" w:leader="dot" w:pos="9639"/>
            </w:tabs>
            <w:spacing w:before="120"/>
            <w:rPr>
              <w:rFonts w:ascii="Arial" w:eastAsiaTheme="minorEastAsia" w:hAnsi="Arial" w:cs="Arial"/>
            </w:rPr>
          </w:pPr>
          <w:hyperlink w:anchor="_Toc135409876" w:history="1">
            <w:r w:rsidR="006E54F2" w:rsidRPr="00E368E0">
              <w:rPr>
                <w:rStyle w:val="Hyperlink"/>
                <w:rFonts w:ascii="Arial" w:hAnsi="Arial" w:cs="Arial"/>
              </w:rPr>
              <w:t>EXECUTIVE SUMMARY</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_Toc135409876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6</w:t>
            </w:r>
            <w:r w:rsidR="006E54F2" w:rsidRPr="00E368E0">
              <w:rPr>
                <w:rFonts w:ascii="Arial" w:hAnsi="Arial" w:cs="Arial"/>
                <w:webHidden/>
              </w:rPr>
              <w:fldChar w:fldCharType="end"/>
            </w:r>
          </w:hyperlink>
        </w:p>
        <w:p w14:paraId="2E615CE1" w14:textId="4D24EDBC" w:rsidR="006E54F2" w:rsidRPr="00E368E0" w:rsidRDefault="00000000" w:rsidP="000A1889">
          <w:pPr>
            <w:pStyle w:val="TOC1"/>
            <w:rPr>
              <w:rFonts w:ascii="Arial" w:eastAsiaTheme="minorEastAsia" w:hAnsi="Arial" w:cs="Arial"/>
              <w:noProof/>
              <w:sz w:val="20"/>
              <w:szCs w:val="20"/>
            </w:rPr>
          </w:pPr>
          <w:hyperlink w:anchor="_Toc135409877" w:history="1">
            <w:r w:rsidR="006E54F2" w:rsidRPr="00E368E0">
              <w:rPr>
                <w:rStyle w:val="Hyperlink"/>
                <w:rFonts w:ascii="Arial" w:eastAsiaTheme="minorHAnsi" w:hAnsi="Arial" w:cs="Arial"/>
                <w:noProof/>
                <w:kern w:val="28"/>
                <w:sz w:val="20"/>
                <w:szCs w:val="20"/>
              </w:rPr>
              <w:t>1.</w:t>
            </w:r>
            <w:r w:rsidR="006E54F2" w:rsidRPr="00E368E0">
              <w:rPr>
                <w:rFonts w:ascii="Arial" w:eastAsiaTheme="minorEastAsia" w:hAnsi="Arial" w:cs="Arial"/>
                <w:noProof/>
                <w:sz w:val="20"/>
                <w:szCs w:val="20"/>
              </w:rPr>
              <w:tab/>
            </w:r>
            <w:r w:rsidR="006E54F2" w:rsidRPr="00E368E0">
              <w:rPr>
                <w:rStyle w:val="Hyperlink"/>
                <w:rFonts w:ascii="Arial" w:eastAsiaTheme="minorHAnsi" w:hAnsi="Arial" w:cs="Arial"/>
                <w:noProof/>
                <w:kern w:val="28"/>
                <w:sz w:val="20"/>
                <w:szCs w:val="20"/>
              </w:rPr>
              <w:t>STRATEGIC OUTLOOK</w:t>
            </w:r>
            <w:r w:rsidR="006E54F2" w:rsidRPr="00E368E0">
              <w:rPr>
                <w:rFonts w:ascii="Arial" w:hAnsi="Arial" w:cs="Arial"/>
                <w:noProof/>
                <w:webHidden/>
                <w:sz w:val="20"/>
                <w:szCs w:val="20"/>
              </w:rPr>
              <w:tab/>
            </w:r>
            <w:r w:rsidR="006E54F2" w:rsidRPr="00E368E0">
              <w:rPr>
                <w:rFonts w:ascii="Arial" w:hAnsi="Arial" w:cs="Arial"/>
                <w:noProof/>
                <w:webHidden/>
                <w:sz w:val="20"/>
                <w:szCs w:val="20"/>
              </w:rPr>
              <w:fldChar w:fldCharType="begin"/>
            </w:r>
            <w:r w:rsidR="006E54F2" w:rsidRPr="00E368E0">
              <w:rPr>
                <w:rFonts w:ascii="Arial" w:hAnsi="Arial" w:cs="Arial"/>
                <w:noProof/>
                <w:webHidden/>
                <w:sz w:val="20"/>
                <w:szCs w:val="20"/>
              </w:rPr>
              <w:instrText xml:space="preserve"> PAGEREF _Toc135409877 \h </w:instrText>
            </w:r>
            <w:r w:rsidR="006E54F2" w:rsidRPr="00E368E0">
              <w:rPr>
                <w:rFonts w:ascii="Arial" w:hAnsi="Arial" w:cs="Arial"/>
                <w:noProof/>
                <w:webHidden/>
                <w:sz w:val="20"/>
                <w:szCs w:val="20"/>
              </w:rPr>
            </w:r>
            <w:r w:rsidR="006E54F2" w:rsidRPr="00E368E0">
              <w:rPr>
                <w:rFonts w:ascii="Arial" w:hAnsi="Arial" w:cs="Arial"/>
                <w:noProof/>
                <w:webHidden/>
                <w:sz w:val="20"/>
                <w:szCs w:val="20"/>
              </w:rPr>
              <w:fldChar w:fldCharType="separate"/>
            </w:r>
            <w:r w:rsidR="007D5162">
              <w:rPr>
                <w:rFonts w:ascii="Arial" w:hAnsi="Arial" w:cs="Arial"/>
                <w:noProof/>
                <w:webHidden/>
                <w:sz w:val="20"/>
                <w:szCs w:val="20"/>
              </w:rPr>
              <w:t>7</w:t>
            </w:r>
            <w:r w:rsidR="006E54F2" w:rsidRPr="00E368E0">
              <w:rPr>
                <w:rFonts w:ascii="Arial" w:hAnsi="Arial" w:cs="Arial"/>
                <w:noProof/>
                <w:webHidden/>
                <w:sz w:val="20"/>
                <w:szCs w:val="20"/>
              </w:rPr>
              <w:fldChar w:fldCharType="end"/>
            </w:r>
          </w:hyperlink>
        </w:p>
        <w:p w14:paraId="6834F0FD" w14:textId="37501956"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878" w:history="1">
            <w:r w:rsidR="006E54F2" w:rsidRPr="00E368E0">
              <w:rPr>
                <w:rStyle w:val="Hyperlink"/>
                <w:rFonts w:ascii="Arial" w:eastAsiaTheme="minorHAnsi" w:hAnsi="Arial" w:cs="Arial"/>
              </w:rPr>
              <w:t>1.1.</w:t>
            </w:r>
            <w:r w:rsidR="006E54F2" w:rsidRPr="00E368E0">
              <w:rPr>
                <w:rFonts w:ascii="Arial" w:eastAsiaTheme="minorEastAsia" w:hAnsi="Arial" w:cs="Arial"/>
              </w:rPr>
              <w:tab/>
            </w:r>
            <w:r w:rsidR="006E54F2" w:rsidRPr="00E368E0">
              <w:rPr>
                <w:rStyle w:val="Hyperlink"/>
                <w:rFonts w:ascii="Arial" w:eastAsiaTheme="minorHAnsi" w:hAnsi="Arial" w:cs="Arial"/>
              </w:rPr>
              <w:t>Compliance trends</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_Toc135409878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8</w:t>
            </w:r>
            <w:r w:rsidR="006E54F2" w:rsidRPr="00E368E0">
              <w:rPr>
                <w:rFonts w:ascii="Arial" w:hAnsi="Arial" w:cs="Arial"/>
                <w:webHidden/>
              </w:rPr>
              <w:fldChar w:fldCharType="end"/>
            </w:r>
          </w:hyperlink>
        </w:p>
        <w:p w14:paraId="520DFE2A" w14:textId="7C68C5F4"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879" w:history="1">
            <w:r w:rsidR="006E54F2" w:rsidRPr="00E368E0">
              <w:rPr>
                <w:rStyle w:val="Hyperlink"/>
                <w:rFonts w:ascii="Arial" w:eastAsiaTheme="minorHAnsi" w:hAnsi="Arial" w:cs="Arial"/>
                <w:kern w:val="28"/>
                <w:lang w:val="en-US"/>
              </w:rPr>
              <w:t>1.2</w:t>
            </w:r>
            <w:r w:rsidR="00836B02" w:rsidRPr="00E368E0">
              <w:rPr>
                <w:rStyle w:val="Hyperlink"/>
                <w:rFonts w:ascii="Arial" w:eastAsiaTheme="minorHAnsi" w:hAnsi="Arial" w:cs="Arial"/>
                <w:kern w:val="28"/>
                <w:lang w:val="en-US"/>
              </w:rPr>
              <w:tab/>
            </w:r>
            <w:r w:rsidR="006E54F2" w:rsidRPr="00E368E0">
              <w:rPr>
                <w:rStyle w:val="Hyperlink"/>
                <w:rFonts w:ascii="Arial" w:eastAsiaTheme="minorHAnsi" w:hAnsi="Arial" w:cs="Arial"/>
                <w:kern w:val="28"/>
                <w:lang w:val="en-US"/>
              </w:rPr>
              <w:t>Key results of the 2020-2022 Strategy</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_Toc135409879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10</w:t>
            </w:r>
            <w:r w:rsidR="006E54F2" w:rsidRPr="00E368E0">
              <w:rPr>
                <w:rFonts w:ascii="Arial" w:hAnsi="Arial" w:cs="Arial"/>
                <w:webHidden/>
              </w:rPr>
              <w:fldChar w:fldCharType="end"/>
            </w:r>
          </w:hyperlink>
        </w:p>
        <w:p w14:paraId="7DDC6C71" w14:textId="596D76C9" w:rsidR="006E54F2" w:rsidRPr="00E368E0" w:rsidRDefault="00000000" w:rsidP="000A1889">
          <w:pPr>
            <w:pStyle w:val="TOC1"/>
            <w:rPr>
              <w:rFonts w:ascii="Arial" w:eastAsiaTheme="minorEastAsia" w:hAnsi="Arial" w:cs="Arial"/>
              <w:noProof/>
              <w:sz w:val="20"/>
              <w:szCs w:val="20"/>
            </w:rPr>
          </w:pPr>
          <w:hyperlink w:anchor="_Toc135409880" w:history="1">
            <w:r w:rsidR="006E54F2" w:rsidRPr="00E368E0">
              <w:rPr>
                <w:rStyle w:val="Hyperlink"/>
                <w:rFonts w:ascii="Arial" w:eastAsiaTheme="minorHAnsi" w:hAnsi="Arial" w:cs="Arial"/>
                <w:noProof/>
                <w:kern w:val="28"/>
                <w:sz w:val="20"/>
                <w:szCs w:val="20"/>
              </w:rPr>
              <w:t>2.</w:t>
            </w:r>
            <w:r w:rsidR="006E54F2" w:rsidRPr="00E368E0">
              <w:rPr>
                <w:rFonts w:ascii="Arial" w:eastAsiaTheme="minorEastAsia" w:hAnsi="Arial" w:cs="Arial"/>
                <w:noProof/>
                <w:sz w:val="20"/>
                <w:szCs w:val="20"/>
              </w:rPr>
              <w:tab/>
            </w:r>
            <w:r w:rsidR="006E54F2" w:rsidRPr="00E368E0">
              <w:rPr>
                <w:rStyle w:val="Hyperlink"/>
                <w:rFonts w:ascii="Arial" w:eastAsiaTheme="minorHAnsi" w:hAnsi="Arial" w:cs="Arial"/>
                <w:noProof/>
                <w:kern w:val="28"/>
                <w:sz w:val="20"/>
                <w:szCs w:val="20"/>
              </w:rPr>
              <w:t>MUTUAL EVALUATIONS AND FOLLOW-UP</w:t>
            </w:r>
            <w:r w:rsidR="006E54F2" w:rsidRPr="00E368E0">
              <w:rPr>
                <w:rFonts w:ascii="Arial" w:hAnsi="Arial" w:cs="Arial"/>
                <w:noProof/>
                <w:webHidden/>
                <w:sz w:val="20"/>
                <w:szCs w:val="20"/>
              </w:rPr>
              <w:tab/>
            </w:r>
            <w:r w:rsidR="006E54F2" w:rsidRPr="00E368E0">
              <w:rPr>
                <w:rFonts w:ascii="Arial" w:hAnsi="Arial" w:cs="Arial"/>
                <w:noProof/>
                <w:webHidden/>
                <w:sz w:val="20"/>
                <w:szCs w:val="20"/>
              </w:rPr>
              <w:fldChar w:fldCharType="begin"/>
            </w:r>
            <w:r w:rsidR="006E54F2" w:rsidRPr="00E368E0">
              <w:rPr>
                <w:rFonts w:ascii="Arial" w:hAnsi="Arial" w:cs="Arial"/>
                <w:noProof/>
                <w:webHidden/>
                <w:sz w:val="20"/>
                <w:szCs w:val="20"/>
              </w:rPr>
              <w:instrText xml:space="preserve"> PAGEREF _Toc135409880 \h </w:instrText>
            </w:r>
            <w:r w:rsidR="006E54F2" w:rsidRPr="00E368E0">
              <w:rPr>
                <w:rFonts w:ascii="Arial" w:hAnsi="Arial" w:cs="Arial"/>
                <w:noProof/>
                <w:webHidden/>
                <w:sz w:val="20"/>
                <w:szCs w:val="20"/>
              </w:rPr>
            </w:r>
            <w:r w:rsidR="006E54F2" w:rsidRPr="00E368E0">
              <w:rPr>
                <w:rFonts w:ascii="Arial" w:hAnsi="Arial" w:cs="Arial"/>
                <w:noProof/>
                <w:webHidden/>
                <w:sz w:val="20"/>
                <w:szCs w:val="20"/>
              </w:rPr>
              <w:fldChar w:fldCharType="separate"/>
            </w:r>
            <w:r w:rsidR="007D5162">
              <w:rPr>
                <w:rFonts w:ascii="Arial" w:hAnsi="Arial" w:cs="Arial"/>
                <w:noProof/>
                <w:webHidden/>
                <w:sz w:val="20"/>
                <w:szCs w:val="20"/>
              </w:rPr>
              <w:t>12</w:t>
            </w:r>
            <w:r w:rsidR="006E54F2" w:rsidRPr="00E368E0">
              <w:rPr>
                <w:rFonts w:ascii="Arial" w:hAnsi="Arial" w:cs="Arial"/>
                <w:noProof/>
                <w:webHidden/>
                <w:sz w:val="20"/>
                <w:szCs w:val="20"/>
              </w:rPr>
              <w:fldChar w:fldCharType="end"/>
            </w:r>
          </w:hyperlink>
        </w:p>
        <w:p w14:paraId="0C392D6E" w14:textId="6C58DFB4"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881" w:history="1">
            <w:r w:rsidR="006E54F2" w:rsidRPr="00E368E0">
              <w:rPr>
                <w:rStyle w:val="Hyperlink"/>
                <w:rFonts w:ascii="Arial" w:eastAsiaTheme="minorHAnsi" w:hAnsi="Arial" w:cs="Arial"/>
                <w:lang w:val="en-US"/>
              </w:rPr>
              <w:t>2.1.</w:t>
            </w:r>
            <w:r w:rsidR="006E54F2" w:rsidRPr="00E368E0">
              <w:rPr>
                <w:rFonts w:ascii="Arial" w:eastAsiaTheme="minorEastAsia" w:hAnsi="Arial" w:cs="Arial"/>
              </w:rPr>
              <w:tab/>
            </w:r>
            <w:r w:rsidR="006E54F2" w:rsidRPr="00E368E0">
              <w:rPr>
                <w:rStyle w:val="Hyperlink"/>
                <w:rFonts w:ascii="Arial" w:eastAsiaTheme="minorHAnsi" w:hAnsi="Arial" w:cs="Arial"/>
                <w:lang w:val="en-US"/>
              </w:rPr>
              <w:t>5</w:t>
            </w:r>
            <w:r w:rsidR="006E54F2" w:rsidRPr="00E368E0">
              <w:rPr>
                <w:rStyle w:val="Hyperlink"/>
                <w:rFonts w:ascii="Arial" w:eastAsiaTheme="minorHAnsi" w:hAnsi="Arial" w:cs="Arial"/>
                <w:vertAlign w:val="superscript"/>
                <w:lang w:val="en-US"/>
              </w:rPr>
              <w:t>th</w:t>
            </w:r>
            <w:r w:rsidR="006E54F2" w:rsidRPr="00E368E0">
              <w:rPr>
                <w:rStyle w:val="Hyperlink"/>
                <w:rFonts w:ascii="Arial" w:eastAsiaTheme="minorHAnsi" w:hAnsi="Arial" w:cs="Arial"/>
                <w:lang w:val="en-US"/>
              </w:rPr>
              <w:t> round mutual evaluation report of Bulgaria</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_Toc135409881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12</w:t>
            </w:r>
            <w:r w:rsidR="006E54F2" w:rsidRPr="00E368E0">
              <w:rPr>
                <w:rFonts w:ascii="Arial" w:hAnsi="Arial" w:cs="Arial"/>
                <w:webHidden/>
              </w:rPr>
              <w:fldChar w:fldCharType="end"/>
            </w:r>
          </w:hyperlink>
        </w:p>
        <w:p w14:paraId="08908A8A" w14:textId="73CA6A6A"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882" w:history="1">
            <w:r w:rsidR="006E54F2" w:rsidRPr="00E368E0">
              <w:rPr>
                <w:rStyle w:val="Hyperlink"/>
                <w:rFonts w:ascii="Arial" w:eastAsiaTheme="minorHAnsi" w:hAnsi="Arial" w:cs="Arial"/>
                <w:lang w:val="en-US"/>
              </w:rPr>
              <w:t xml:space="preserve">2.2 </w:t>
            </w:r>
            <w:r w:rsidR="006E54F2" w:rsidRPr="00E368E0">
              <w:rPr>
                <w:rFonts w:ascii="Arial" w:eastAsiaTheme="minorEastAsia" w:hAnsi="Arial" w:cs="Arial"/>
              </w:rPr>
              <w:tab/>
            </w:r>
            <w:r w:rsidR="006E54F2" w:rsidRPr="00E368E0">
              <w:rPr>
                <w:rStyle w:val="Hyperlink"/>
                <w:rFonts w:ascii="Arial" w:eastAsiaTheme="minorHAnsi" w:hAnsi="Arial" w:cs="Arial"/>
                <w:lang w:val="en-US"/>
              </w:rPr>
              <w:t>5</w:t>
            </w:r>
            <w:r w:rsidR="006E54F2" w:rsidRPr="00E368E0">
              <w:rPr>
                <w:rStyle w:val="Hyperlink"/>
                <w:rFonts w:ascii="Arial" w:eastAsiaTheme="minorHAnsi" w:hAnsi="Arial" w:cs="Arial"/>
                <w:vertAlign w:val="superscript"/>
                <w:lang w:val="en-US"/>
              </w:rPr>
              <w:t>th</w:t>
            </w:r>
            <w:r w:rsidR="006E54F2" w:rsidRPr="00E368E0">
              <w:rPr>
                <w:rStyle w:val="Hyperlink"/>
                <w:rFonts w:ascii="Arial" w:eastAsiaTheme="minorHAnsi" w:hAnsi="Arial" w:cs="Arial"/>
                <w:lang w:val="en-US"/>
              </w:rPr>
              <w:t> round mutual evaluation report of Liechtenstein</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_Toc135409882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13</w:t>
            </w:r>
            <w:r w:rsidR="006E54F2" w:rsidRPr="00E368E0">
              <w:rPr>
                <w:rFonts w:ascii="Arial" w:hAnsi="Arial" w:cs="Arial"/>
                <w:webHidden/>
              </w:rPr>
              <w:fldChar w:fldCharType="end"/>
            </w:r>
          </w:hyperlink>
        </w:p>
        <w:p w14:paraId="2C1F7EBD" w14:textId="2AE933E7"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883" w:history="1">
            <w:r w:rsidR="006E54F2" w:rsidRPr="00E368E0">
              <w:rPr>
                <w:rStyle w:val="Hyperlink"/>
                <w:rFonts w:ascii="Arial" w:eastAsiaTheme="minorHAnsi" w:hAnsi="Arial" w:cs="Arial"/>
                <w:lang w:val="en-US"/>
              </w:rPr>
              <w:t>2.3</w:t>
            </w:r>
            <w:r w:rsidR="006E54F2" w:rsidRPr="00E368E0">
              <w:rPr>
                <w:rFonts w:ascii="Arial" w:eastAsiaTheme="minorEastAsia" w:hAnsi="Arial" w:cs="Arial"/>
              </w:rPr>
              <w:tab/>
            </w:r>
            <w:r w:rsidR="006E54F2" w:rsidRPr="00E368E0">
              <w:rPr>
                <w:rStyle w:val="Hyperlink"/>
                <w:rFonts w:ascii="Arial" w:eastAsiaTheme="minorHAnsi" w:hAnsi="Arial" w:cs="Arial"/>
                <w:lang w:val="en-US"/>
              </w:rPr>
              <w:t>5</w:t>
            </w:r>
            <w:r w:rsidR="006E54F2" w:rsidRPr="00E368E0">
              <w:rPr>
                <w:rStyle w:val="Hyperlink"/>
                <w:rFonts w:ascii="Arial" w:eastAsiaTheme="minorHAnsi" w:hAnsi="Arial" w:cs="Arial"/>
                <w:vertAlign w:val="superscript"/>
                <w:lang w:val="en-US"/>
              </w:rPr>
              <w:t>th</w:t>
            </w:r>
            <w:r w:rsidR="006E54F2" w:rsidRPr="00E368E0">
              <w:rPr>
                <w:rStyle w:val="Hyperlink"/>
                <w:rFonts w:ascii="Arial" w:eastAsiaTheme="minorHAnsi" w:hAnsi="Arial" w:cs="Arial"/>
                <w:lang w:val="en-US"/>
              </w:rPr>
              <w:t> round mutual evaluation report of Monaco</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_Toc135409883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14</w:t>
            </w:r>
            <w:r w:rsidR="006E54F2" w:rsidRPr="00E368E0">
              <w:rPr>
                <w:rFonts w:ascii="Arial" w:hAnsi="Arial" w:cs="Arial"/>
                <w:webHidden/>
              </w:rPr>
              <w:fldChar w:fldCharType="end"/>
            </w:r>
          </w:hyperlink>
        </w:p>
        <w:p w14:paraId="4F4DF1C0" w14:textId="6D346847"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884" w:history="1">
            <w:r w:rsidR="006E54F2" w:rsidRPr="00E368E0">
              <w:rPr>
                <w:rStyle w:val="Hyperlink"/>
                <w:rFonts w:ascii="Arial" w:eastAsiaTheme="minorHAnsi" w:hAnsi="Arial" w:cs="Arial"/>
                <w:lang w:val="en-US"/>
              </w:rPr>
              <w:t>2.4</w:t>
            </w:r>
            <w:r w:rsidR="006E54F2" w:rsidRPr="00E368E0">
              <w:rPr>
                <w:rFonts w:ascii="Arial" w:eastAsiaTheme="minorEastAsia" w:hAnsi="Arial" w:cs="Arial"/>
              </w:rPr>
              <w:tab/>
            </w:r>
            <w:r w:rsidR="006E54F2" w:rsidRPr="00E368E0">
              <w:rPr>
                <w:rStyle w:val="Hyperlink"/>
                <w:rFonts w:ascii="Arial" w:eastAsiaTheme="minorHAnsi" w:hAnsi="Arial" w:cs="Arial"/>
                <w:lang w:val="en-US"/>
              </w:rPr>
              <w:t>5</w:t>
            </w:r>
            <w:r w:rsidR="006E54F2" w:rsidRPr="00E368E0">
              <w:rPr>
                <w:rStyle w:val="Hyperlink"/>
                <w:rFonts w:ascii="Arial" w:eastAsiaTheme="minorHAnsi" w:hAnsi="Arial" w:cs="Arial"/>
                <w:vertAlign w:val="superscript"/>
                <w:lang w:val="en-US"/>
              </w:rPr>
              <w:t>th</w:t>
            </w:r>
            <w:r w:rsidR="006E54F2" w:rsidRPr="00E368E0">
              <w:rPr>
                <w:rStyle w:val="Hyperlink"/>
                <w:rFonts w:ascii="Arial" w:eastAsiaTheme="minorHAnsi" w:hAnsi="Arial" w:cs="Arial"/>
                <w:lang w:val="en-US"/>
              </w:rPr>
              <w:t> round mutual evaluation report of Estonia</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_Toc135409884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15</w:t>
            </w:r>
            <w:r w:rsidR="006E54F2" w:rsidRPr="00E368E0">
              <w:rPr>
                <w:rFonts w:ascii="Arial" w:hAnsi="Arial" w:cs="Arial"/>
                <w:webHidden/>
              </w:rPr>
              <w:fldChar w:fldCharType="end"/>
            </w:r>
          </w:hyperlink>
        </w:p>
        <w:p w14:paraId="7C402B76" w14:textId="7C02C624"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885" w:history="1">
            <w:r w:rsidR="006E54F2" w:rsidRPr="00E368E0">
              <w:rPr>
                <w:rStyle w:val="Hyperlink"/>
                <w:rFonts w:ascii="Arial" w:hAnsi="Arial" w:cs="Arial"/>
              </w:rPr>
              <w:t>2.5.</w:t>
            </w:r>
            <w:r w:rsidR="006E54F2" w:rsidRPr="00E368E0">
              <w:rPr>
                <w:rFonts w:ascii="Arial" w:eastAsiaTheme="minorEastAsia" w:hAnsi="Arial" w:cs="Arial"/>
              </w:rPr>
              <w:tab/>
            </w:r>
            <w:r w:rsidR="006E54F2" w:rsidRPr="00E368E0">
              <w:rPr>
                <w:rStyle w:val="Hyperlink"/>
                <w:rFonts w:ascii="Arial" w:hAnsi="Arial" w:cs="Arial"/>
              </w:rPr>
              <w:t>5</w:t>
            </w:r>
            <w:r w:rsidR="006E54F2" w:rsidRPr="00E368E0">
              <w:rPr>
                <w:rStyle w:val="Hyperlink"/>
                <w:rFonts w:ascii="Arial" w:hAnsi="Arial" w:cs="Arial"/>
                <w:vertAlign w:val="superscript"/>
              </w:rPr>
              <w:t>th</w:t>
            </w:r>
            <w:r w:rsidR="006E54F2" w:rsidRPr="00E368E0">
              <w:rPr>
                <w:rStyle w:val="Hyperlink"/>
                <w:rFonts w:ascii="Arial" w:hAnsi="Arial" w:cs="Arial"/>
              </w:rPr>
              <w:t> Round follow-up reports</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_Toc135409885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16</w:t>
            </w:r>
            <w:r w:rsidR="006E54F2" w:rsidRPr="00E368E0">
              <w:rPr>
                <w:rFonts w:ascii="Arial" w:hAnsi="Arial" w:cs="Arial"/>
                <w:webHidden/>
              </w:rPr>
              <w:fldChar w:fldCharType="end"/>
            </w:r>
          </w:hyperlink>
        </w:p>
        <w:p w14:paraId="44D05078" w14:textId="503F618E"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886" w:history="1">
            <w:r w:rsidR="006E54F2" w:rsidRPr="00E368E0">
              <w:rPr>
                <w:rStyle w:val="Hyperlink"/>
                <w:rFonts w:ascii="Arial" w:eastAsiaTheme="majorEastAsia" w:hAnsi="Arial" w:cs="Arial"/>
              </w:rPr>
              <w:t xml:space="preserve">2.6 </w:t>
            </w:r>
            <w:r w:rsidR="006E54F2" w:rsidRPr="00E368E0">
              <w:rPr>
                <w:rFonts w:ascii="Arial" w:eastAsiaTheme="minorEastAsia" w:hAnsi="Arial" w:cs="Arial"/>
              </w:rPr>
              <w:tab/>
            </w:r>
            <w:r w:rsidR="006E54F2" w:rsidRPr="00E368E0">
              <w:rPr>
                <w:rStyle w:val="Hyperlink"/>
                <w:rFonts w:ascii="Arial" w:eastAsiaTheme="majorEastAsia" w:hAnsi="Arial" w:cs="Arial"/>
              </w:rPr>
              <w:t>Voluntary tax compliance programmes</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_Toc135409886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18</w:t>
            </w:r>
            <w:r w:rsidR="006E54F2" w:rsidRPr="00E368E0">
              <w:rPr>
                <w:rFonts w:ascii="Arial" w:hAnsi="Arial" w:cs="Arial"/>
                <w:webHidden/>
              </w:rPr>
              <w:fldChar w:fldCharType="end"/>
            </w:r>
          </w:hyperlink>
        </w:p>
        <w:p w14:paraId="06ABD627" w14:textId="33C36205"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887" w:history="1">
            <w:r w:rsidR="006E54F2" w:rsidRPr="00E368E0">
              <w:rPr>
                <w:rStyle w:val="Hyperlink"/>
                <w:rFonts w:ascii="Arial" w:hAnsi="Arial" w:cs="Arial"/>
              </w:rPr>
              <w:t>2.7</w:t>
            </w:r>
            <w:r w:rsidR="006E54F2" w:rsidRPr="00E368E0">
              <w:rPr>
                <w:rFonts w:ascii="Arial" w:eastAsiaTheme="minorEastAsia" w:hAnsi="Arial" w:cs="Arial"/>
              </w:rPr>
              <w:tab/>
            </w:r>
            <w:r w:rsidR="006E54F2" w:rsidRPr="00E368E0">
              <w:rPr>
                <w:rStyle w:val="Hyperlink"/>
                <w:rFonts w:ascii="Arial" w:hAnsi="Arial" w:cs="Arial"/>
              </w:rPr>
              <w:t>Compliance enhancing procedures (CEPs)</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_Toc135409887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18</w:t>
            </w:r>
            <w:r w:rsidR="006E54F2" w:rsidRPr="00E368E0">
              <w:rPr>
                <w:rFonts w:ascii="Arial" w:hAnsi="Arial" w:cs="Arial"/>
                <w:webHidden/>
              </w:rPr>
              <w:fldChar w:fldCharType="end"/>
            </w:r>
          </w:hyperlink>
        </w:p>
        <w:p w14:paraId="09433F62" w14:textId="73807D5E" w:rsidR="006E54F2" w:rsidRPr="00E368E0" w:rsidRDefault="00000000" w:rsidP="000A1889">
          <w:pPr>
            <w:pStyle w:val="TOC1"/>
            <w:rPr>
              <w:rFonts w:ascii="Arial" w:eastAsiaTheme="minorEastAsia" w:hAnsi="Arial" w:cs="Arial"/>
              <w:noProof/>
              <w:sz w:val="20"/>
              <w:szCs w:val="20"/>
            </w:rPr>
          </w:pPr>
          <w:hyperlink w:anchor="_Toc135409888" w:history="1">
            <w:r w:rsidR="006E54F2" w:rsidRPr="00E368E0">
              <w:rPr>
                <w:rStyle w:val="Hyperlink"/>
                <w:rFonts w:ascii="Arial" w:eastAsiaTheme="minorHAnsi" w:hAnsi="Arial" w:cs="Arial"/>
                <w:noProof/>
                <w:kern w:val="28"/>
                <w:sz w:val="20"/>
                <w:szCs w:val="20"/>
              </w:rPr>
              <w:t>3.</w:t>
            </w:r>
            <w:r w:rsidR="006E54F2" w:rsidRPr="00E368E0">
              <w:rPr>
                <w:rFonts w:ascii="Arial" w:eastAsiaTheme="minorEastAsia" w:hAnsi="Arial" w:cs="Arial"/>
                <w:noProof/>
                <w:sz w:val="20"/>
                <w:szCs w:val="20"/>
              </w:rPr>
              <w:tab/>
            </w:r>
            <w:r w:rsidR="006E54F2" w:rsidRPr="00E368E0">
              <w:rPr>
                <w:rStyle w:val="Hyperlink"/>
                <w:rFonts w:ascii="Arial" w:eastAsiaTheme="minorHAnsi" w:hAnsi="Arial" w:cs="Arial"/>
                <w:noProof/>
                <w:kern w:val="28"/>
                <w:sz w:val="20"/>
                <w:szCs w:val="20"/>
              </w:rPr>
              <w:t>HIGH-LEVEL AND VISIBILITY ENGAGEMENTS</w:t>
            </w:r>
            <w:r w:rsidR="006E54F2" w:rsidRPr="00E368E0">
              <w:rPr>
                <w:rFonts w:ascii="Arial" w:hAnsi="Arial" w:cs="Arial"/>
                <w:noProof/>
                <w:webHidden/>
                <w:sz w:val="20"/>
                <w:szCs w:val="20"/>
              </w:rPr>
              <w:tab/>
            </w:r>
            <w:r w:rsidR="006E54F2" w:rsidRPr="00E368E0">
              <w:rPr>
                <w:rFonts w:ascii="Arial" w:hAnsi="Arial" w:cs="Arial"/>
                <w:noProof/>
                <w:webHidden/>
                <w:sz w:val="20"/>
                <w:szCs w:val="20"/>
              </w:rPr>
              <w:fldChar w:fldCharType="begin"/>
            </w:r>
            <w:r w:rsidR="006E54F2" w:rsidRPr="00E368E0">
              <w:rPr>
                <w:rFonts w:ascii="Arial" w:hAnsi="Arial" w:cs="Arial"/>
                <w:noProof/>
                <w:webHidden/>
                <w:sz w:val="20"/>
                <w:szCs w:val="20"/>
              </w:rPr>
              <w:instrText xml:space="preserve"> PAGEREF _Toc135409888 \h </w:instrText>
            </w:r>
            <w:r w:rsidR="006E54F2" w:rsidRPr="00E368E0">
              <w:rPr>
                <w:rFonts w:ascii="Arial" w:hAnsi="Arial" w:cs="Arial"/>
                <w:noProof/>
                <w:webHidden/>
                <w:sz w:val="20"/>
                <w:szCs w:val="20"/>
              </w:rPr>
            </w:r>
            <w:r w:rsidR="006E54F2" w:rsidRPr="00E368E0">
              <w:rPr>
                <w:rFonts w:ascii="Arial" w:hAnsi="Arial" w:cs="Arial"/>
                <w:noProof/>
                <w:webHidden/>
                <w:sz w:val="20"/>
                <w:szCs w:val="20"/>
              </w:rPr>
              <w:fldChar w:fldCharType="separate"/>
            </w:r>
            <w:r w:rsidR="007D5162">
              <w:rPr>
                <w:rFonts w:ascii="Arial" w:hAnsi="Arial" w:cs="Arial"/>
                <w:noProof/>
                <w:webHidden/>
                <w:sz w:val="20"/>
                <w:szCs w:val="20"/>
              </w:rPr>
              <w:t>18</w:t>
            </w:r>
            <w:r w:rsidR="006E54F2" w:rsidRPr="00E368E0">
              <w:rPr>
                <w:rFonts w:ascii="Arial" w:hAnsi="Arial" w:cs="Arial"/>
                <w:noProof/>
                <w:webHidden/>
                <w:sz w:val="20"/>
                <w:szCs w:val="20"/>
              </w:rPr>
              <w:fldChar w:fldCharType="end"/>
            </w:r>
          </w:hyperlink>
        </w:p>
        <w:p w14:paraId="73E34254" w14:textId="465828ED" w:rsidR="006E54F2" w:rsidRPr="00E368E0" w:rsidRDefault="00000000" w:rsidP="000A1889">
          <w:pPr>
            <w:pStyle w:val="TOC1"/>
            <w:rPr>
              <w:rFonts w:ascii="Arial" w:eastAsiaTheme="minorEastAsia" w:hAnsi="Arial" w:cs="Arial"/>
              <w:noProof/>
              <w:sz w:val="20"/>
              <w:szCs w:val="20"/>
            </w:rPr>
          </w:pPr>
          <w:hyperlink w:anchor="_Toc135409889" w:history="1">
            <w:r w:rsidR="006E54F2" w:rsidRPr="00E368E0">
              <w:rPr>
                <w:rStyle w:val="Hyperlink"/>
                <w:rFonts w:ascii="Arial" w:eastAsiaTheme="minorHAnsi" w:hAnsi="Arial" w:cs="Arial"/>
                <w:noProof/>
                <w:kern w:val="28"/>
                <w:sz w:val="20"/>
                <w:szCs w:val="20"/>
              </w:rPr>
              <w:t>4.</w:t>
            </w:r>
            <w:r w:rsidR="006E54F2" w:rsidRPr="00E368E0">
              <w:rPr>
                <w:rFonts w:ascii="Arial" w:eastAsiaTheme="minorEastAsia" w:hAnsi="Arial" w:cs="Arial"/>
                <w:noProof/>
                <w:sz w:val="20"/>
                <w:szCs w:val="20"/>
              </w:rPr>
              <w:tab/>
            </w:r>
            <w:r w:rsidR="006E54F2" w:rsidRPr="00E368E0">
              <w:rPr>
                <w:rStyle w:val="Hyperlink"/>
                <w:rFonts w:ascii="Arial" w:eastAsiaTheme="minorHAnsi" w:hAnsi="Arial" w:cs="Arial"/>
                <w:noProof/>
                <w:kern w:val="28"/>
                <w:sz w:val="20"/>
                <w:szCs w:val="20"/>
              </w:rPr>
              <w:t>OTHER ACTIVITIES IN 2022</w:t>
            </w:r>
            <w:r w:rsidR="006E54F2" w:rsidRPr="00E368E0">
              <w:rPr>
                <w:rFonts w:ascii="Arial" w:hAnsi="Arial" w:cs="Arial"/>
                <w:noProof/>
                <w:webHidden/>
                <w:sz w:val="20"/>
                <w:szCs w:val="20"/>
              </w:rPr>
              <w:tab/>
            </w:r>
            <w:r w:rsidR="006E54F2" w:rsidRPr="00E368E0">
              <w:rPr>
                <w:rFonts w:ascii="Arial" w:hAnsi="Arial" w:cs="Arial"/>
                <w:noProof/>
                <w:webHidden/>
                <w:sz w:val="20"/>
                <w:szCs w:val="20"/>
              </w:rPr>
              <w:fldChar w:fldCharType="begin"/>
            </w:r>
            <w:r w:rsidR="006E54F2" w:rsidRPr="00E368E0">
              <w:rPr>
                <w:rFonts w:ascii="Arial" w:hAnsi="Arial" w:cs="Arial"/>
                <w:noProof/>
                <w:webHidden/>
                <w:sz w:val="20"/>
                <w:szCs w:val="20"/>
              </w:rPr>
              <w:instrText xml:space="preserve"> PAGEREF _Toc135409889 \h </w:instrText>
            </w:r>
            <w:r w:rsidR="006E54F2" w:rsidRPr="00E368E0">
              <w:rPr>
                <w:rFonts w:ascii="Arial" w:hAnsi="Arial" w:cs="Arial"/>
                <w:noProof/>
                <w:webHidden/>
                <w:sz w:val="20"/>
                <w:szCs w:val="20"/>
              </w:rPr>
            </w:r>
            <w:r w:rsidR="006E54F2" w:rsidRPr="00E368E0">
              <w:rPr>
                <w:rFonts w:ascii="Arial" w:hAnsi="Arial" w:cs="Arial"/>
                <w:noProof/>
                <w:webHidden/>
                <w:sz w:val="20"/>
                <w:szCs w:val="20"/>
              </w:rPr>
              <w:fldChar w:fldCharType="separate"/>
            </w:r>
            <w:r w:rsidR="007D5162">
              <w:rPr>
                <w:rFonts w:ascii="Arial" w:hAnsi="Arial" w:cs="Arial"/>
                <w:noProof/>
                <w:webHidden/>
                <w:sz w:val="20"/>
                <w:szCs w:val="20"/>
              </w:rPr>
              <w:t>19</w:t>
            </w:r>
            <w:r w:rsidR="006E54F2" w:rsidRPr="00E368E0">
              <w:rPr>
                <w:rFonts w:ascii="Arial" w:hAnsi="Arial" w:cs="Arial"/>
                <w:noProof/>
                <w:webHidden/>
                <w:sz w:val="20"/>
                <w:szCs w:val="20"/>
              </w:rPr>
              <w:fldChar w:fldCharType="end"/>
            </w:r>
          </w:hyperlink>
        </w:p>
        <w:p w14:paraId="70748567" w14:textId="51222770"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890" w:history="1">
            <w:r w:rsidR="006E54F2" w:rsidRPr="00E368E0">
              <w:rPr>
                <w:rStyle w:val="Hyperlink"/>
                <w:rFonts w:ascii="Arial" w:hAnsi="Arial" w:cs="Arial"/>
              </w:rPr>
              <w:t>4.1.</w:t>
            </w:r>
            <w:r w:rsidR="006E54F2" w:rsidRPr="00E368E0">
              <w:rPr>
                <w:rFonts w:ascii="Arial" w:eastAsiaTheme="minorEastAsia" w:hAnsi="Arial" w:cs="Arial"/>
              </w:rPr>
              <w:tab/>
            </w:r>
            <w:r w:rsidR="006E54F2" w:rsidRPr="00E368E0">
              <w:rPr>
                <w:rStyle w:val="Hyperlink"/>
                <w:rFonts w:ascii="Arial" w:hAnsi="Arial" w:cs="Arial"/>
              </w:rPr>
              <w:t>Typologies programme</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_Toc135409890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19</w:t>
            </w:r>
            <w:r w:rsidR="006E54F2" w:rsidRPr="00E368E0">
              <w:rPr>
                <w:rFonts w:ascii="Arial" w:hAnsi="Arial" w:cs="Arial"/>
                <w:webHidden/>
              </w:rPr>
              <w:fldChar w:fldCharType="end"/>
            </w:r>
          </w:hyperlink>
        </w:p>
        <w:p w14:paraId="412EA80B" w14:textId="601653FF"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891" w:history="1">
            <w:r w:rsidR="006E54F2" w:rsidRPr="00E368E0">
              <w:rPr>
                <w:rStyle w:val="Hyperlink"/>
                <w:rFonts w:ascii="Arial" w:hAnsi="Arial" w:cs="Arial"/>
              </w:rPr>
              <w:t>4.2.</w:t>
            </w:r>
            <w:r w:rsidR="006E54F2" w:rsidRPr="00E368E0">
              <w:rPr>
                <w:rFonts w:ascii="Arial" w:eastAsiaTheme="minorEastAsia" w:hAnsi="Arial" w:cs="Arial"/>
              </w:rPr>
              <w:tab/>
            </w:r>
            <w:r w:rsidR="006E54F2" w:rsidRPr="00E368E0">
              <w:rPr>
                <w:rStyle w:val="Hyperlink"/>
                <w:rFonts w:ascii="Arial" w:hAnsi="Arial" w:cs="Arial"/>
              </w:rPr>
              <w:t>MONEYVAL plenaries and intersessional consultations</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_Toc135409891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19</w:t>
            </w:r>
            <w:r w:rsidR="006E54F2" w:rsidRPr="00E368E0">
              <w:rPr>
                <w:rFonts w:ascii="Arial" w:hAnsi="Arial" w:cs="Arial"/>
                <w:webHidden/>
              </w:rPr>
              <w:fldChar w:fldCharType="end"/>
            </w:r>
          </w:hyperlink>
        </w:p>
        <w:p w14:paraId="35F18FEE" w14:textId="6C69A303"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892" w:history="1">
            <w:r w:rsidR="006E54F2" w:rsidRPr="00E368E0">
              <w:rPr>
                <w:rStyle w:val="Hyperlink"/>
                <w:rFonts w:ascii="Arial" w:hAnsi="Arial" w:cs="Arial"/>
              </w:rPr>
              <w:t>4.3.</w:t>
            </w:r>
            <w:r w:rsidR="006E54F2" w:rsidRPr="00E368E0">
              <w:rPr>
                <w:rFonts w:ascii="Arial" w:eastAsiaTheme="minorEastAsia" w:hAnsi="Arial" w:cs="Arial"/>
              </w:rPr>
              <w:tab/>
            </w:r>
            <w:r w:rsidR="006E54F2" w:rsidRPr="00E368E0">
              <w:rPr>
                <w:rStyle w:val="Hyperlink"/>
                <w:rFonts w:ascii="Arial" w:hAnsi="Arial" w:cs="Arial"/>
              </w:rPr>
              <w:t>Trainings</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_Toc135409892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20</w:t>
            </w:r>
            <w:r w:rsidR="006E54F2" w:rsidRPr="00E368E0">
              <w:rPr>
                <w:rFonts w:ascii="Arial" w:hAnsi="Arial" w:cs="Arial"/>
                <w:webHidden/>
              </w:rPr>
              <w:fldChar w:fldCharType="end"/>
            </w:r>
          </w:hyperlink>
        </w:p>
        <w:p w14:paraId="0F2B6073" w14:textId="27A82D2B" w:rsidR="006E54F2" w:rsidRPr="00E368E0" w:rsidRDefault="00000000" w:rsidP="000A1889">
          <w:pPr>
            <w:pStyle w:val="TOC1"/>
            <w:rPr>
              <w:rFonts w:ascii="Arial" w:eastAsiaTheme="minorEastAsia" w:hAnsi="Arial" w:cs="Arial"/>
              <w:noProof/>
              <w:sz w:val="20"/>
              <w:szCs w:val="20"/>
            </w:rPr>
          </w:pPr>
          <w:hyperlink w:anchor="_Toc135409893" w:history="1">
            <w:r w:rsidR="006E54F2" w:rsidRPr="00E368E0">
              <w:rPr>
                <w:rStyle w:val="Hyperlink"/>
                <w:rFonts w:ascii="Arial" w:eastAsiaTheme="minorHAnsi" w:hAnsi="Arial" w:cs="Arial"/>
                <w:noProof/>
                <w:kern w:val="28"/>
                <w:sz w:val="20"/>
                <w:szCs w:val="20"/>
              </w:rPr>
              <w:t>5.</w:t>
            </w:r>
            <w:r w:rsidR="006E54F2" w:rsidRPr="00E368E0">
              <w:rPr>
                <w:rFonts w:ascii="Arial" w:eastAsiaTheme="minorEastAsia" w:hAnsi="Arial" w:cs="Arial"/>
                <w:noProof/>
                <w:sz w:val="20"/>
                <w:szCs w:val="20"/>
              </w:rPr>
              <w:tab/>
            </w:r>
            <w:r w:rsidR="006E54F2" w:rsidRPr="00E368E0">
              <w:rPr>
                <w:rStyle w:val="Hyperlink"/>
                <w:rFonts w:ascii="Arial" w:eastAsiaTheme="minorHAnsi" w:hAnsi="Arial" w:cs="Arial"/>
                <w:noProof/>
                <w:kern w:val="28"/>
                <w:sz w:val="20"/>
                <w:szCs w:val="20"/>
              </w:rPr>
              <w:t>KEY INTERNATIONAL PARTNERSHIPS</w:t>
            </w:r>
            <w:r w:rsidR="006E54F2" w:rsidRPr="00E368E0">
              <w:rPr>
                <w:rFonts w:ascii="Arial" w:hAnsi="Arial" w:cs="Arial"/>
                <w:noProof/>
                <w:webHidden/>
                <w:sz w:val="20"/>
                <w:szCs w:val="20"/>
              </w:rPr>
              <w:tab/>
            </w:r>
            <w:r w:rsidR="006E54F2" w:rsidRPr="00E368E0">
              <w:rPr>
                <w:rFonts w:ascii="Arial" w:hAnsi="Arial" w:cs="Arial"/>
                <w:noProof/>
                <w:webHidden/>
                <w:sz w:val="20"/>
                <w:szCs w:val="20"/>
              </w:rPr>
              <w:fldChar w:fldCharType="begin"/>
            </w:r>
            <w:r w:rsidR="006E54F2" w:rsidRPr="00E368E0">
              <w:rPr>
                <w:rFonts w:ascii="Arial" w:hAnsi="Arial" w:cs="Arial"/>
                <w:noProof/>
                <w:webHidden/>
                <w:sz w:val="20"/>
                <w:szCs w:val="20"/>
              </w:rPr>
              <w:instrText xml:space="preserve"> PAGEREF _Toc135409893 \h </w:instrText>
            </w:r>
            <w:r w:rsidR="006E54F2" w:rsidRPr="00E368E0">
              <w:rPr>
                <w:rFonts w:ascii="Arial" w:hAnsi="Arial" w:cs="Arial"/>
                <w:noProof/>
                <w:webHidden/>
                <w:sz w:val="20"/>
                <w:szCs w:val="20"/>
              </w:rPr>
            </w:r>
            <w:r w:rsidR="006E54F2" w:rsidRPr="00E368E0">
              <w:rPr>
                <w:rFonts w:ascii="Arial" w:hAnsi="Arial" w:cs="Arial"/>
                <w:noProof/>
                <w:webHidden/>
                <w:sz w:val="20"/>
                <w:szCs w:val="20"/>
              </w:rPr>
              <w:fldChar w:fldCharType="separate"/>
            </w:r>
            <w:r w:rsidR="007D5162">
              <w:rPr>
                <w:rFonts w:ascii="Arial" w:hAnsi="Arial" w:cs="Arial"/>
                <w:noProof/>
                <w:webHidden/>
                <w:sz w:val="20"/>
                <w:szCs w:val="20"/>
              </w:rPr>
              <w:t>20</w:t>
            </w:r>
            <w:r w:rsidR="006E54F2" w:rsidRPr="00E368E0">
              <w:rPr>
                <w:rFonts w:ascii="Arial" w:hAnsi="Arial" w:cs="Arial"/>
                <w:noProof/>
                <w:webHidden/>
                <w:sz w:val="20"/>
                <w:szCs w:val="20"/>
              </w:rPr>
              <w:fldChar w:fldCharType="end"/>
            </w:r>
          </w:hyperlink>
        </w:p>
        <w:p w14:paraId="0E1FDE18" w14:textId="2CCC3CF2"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894" w:history="1">
            <w:r w:rsidR="006E54F2" w:rsidRPr="00E368E0">
              <w:rPr>
                <w:rStyle w:val="Hyperlink"/>
                <w:rFonts w:ascii="Arial" w:eastAsiaTheme="minorHAnsi" w:hAnsi="Arial" w:cs="Arial"/>
                <w:lang w:val="en-US"/>
              </w:rPr>
              <w:t>5.1.</w:t>
            </w:r>
            <w:r w:rsidR="006E54F2" w:rsidRPr="00E368E0">
              <w:rPr>
                <w:rFonts w:ascii="Arial" w:eastAsiaTheme="minorEastAsia" w:hAnsi="Arial" w:cs="Arial"/>
              </w:rPr>
              <w:tab/>
            </w:r>
            <w:r w:rsidR="006E54F2" w:rsidRPr="00E368E0">
              <w:rPr>
                <w:rStyle w:val="Hyperlink"/>
                <w:rFonts w:ascii="Arial" w:eastAsiaTheme="minorHAnsi" w:hAnsi="Arial" w:cs="Arial"/>
                <w:lang w:val="en-US"/>
              </w:rPr>
              <w:t>Financial Action Task Force</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_Toc135409894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20</w:t>
            </w:r>
            <w:r w:rsidR="006E54F2" w:rsidRPr="00E368E0">
              <w:rPr>
                <w:rFonts w:ascii="Arial" w:hAnsi="Arial" w:cs="Arial"/>
                <w:webHidden/>
              </w:rPr>
              <w:fldChar w:fldCharType="end"/>
            </w:r>
          </w:hyperlink>
        </w:p>
        <w:p w14:paraId="7797E8AD" w14:textId="7ECE2498"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895" w:history="1">
            <w:r w:rsidR="006E54F2" w:rsidRPr="00E368E0">
              <w:rPr>
                <w:rStyle w:val="Hyperlink"/>
                <w:rFonts w:ascii="Arial" w:eastAsiaTheme="minorHAnsi" w:hAnsi="Arial" w:cs="Arial"/>
                <w:lang w:val="en-US"/>
              </w:rPr>
              <w:t>5.2.</w:t>
            </w:r>
            <w:r w:rsidR="006E54F2" w:rsidRPr="00E368E0">
              <w:rPr>
                <w:rFonts w:ascii="Arial" w:eastAsiaTheme="minorEastAsia" w:hAnsi="Arial" w:cs="Arial"/>
              </w:rPr>
              <w:tab/>
            </w:r>
            <w:r w:rsidR="006E54F2" w:rsidRPr="00E368E0">
              <w:rPr>
                <w:rStyle w:val="Hyperlink"/>
                <w:rFonts w:ascii="Arial" w:eastAsiaTheme="minorHAnsi" w:hAnsi="Arial" w:cs="Arial"/>
                <w:lang w:val="en-US"/>
              </w:rPr>
              <w:t>FATF-style regional bodies</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_Toc135409895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21</w:t>
            </w:r>
            <w:r w:rsidR="006E54F2" w:rsidRPr="00E368E0">
              <w:rPr>
                <w:rFonts w:ascii="Arial" w:hAnsi="Arial" w:cs="Arial"/>
                <w:webHidden/>
              </w:rPr>
              <w:fldChar w:fldCharType="end"/>
            </w:r>
          </w:hyperlink>
        </w:p>
        <w:p w14:paraId="19C62A43" w14:textId="6029319B"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896" w:history="1">
            <w:r w:rsidR="006E54F2" w:rsidRPr="00E368E0">
              <w:rPr>
                <w:rStyle w:val="Hyperlink"/>
                <w:rFonts w:ascii="Arial" w:eastAsiaTheme="minorHAnsi" w:hAnsi="Arial" w:cs="Arial"/>
                <w:lang w:val="en-US"/>
              </w:rPr>
              <w:t>5.3.</w:t>
            </w:r>
            <w:r w:rsidR="006E54F2" w:rsidRPr="00E368E0">
              <w:rPr>
                <w:rFonts w:ascii="Arial" w:eastAsiaTheme="minorEastAsia" w:hAnsi="Arial" w:cs="Arial"/>
              </w:rPr>
              <w:tab/>
            </w:r>
            <w:r w:rsidR="006E54F2" w:rsidRPr="00E368E0">
              <w:rPr>
                <w:rStyle w:val="Hyperlink"/>
                <w:rFonts w:ascii="Arial" w:eastAsiaTheme="minorHAnsi" w:hAnsi="Arial" w:cs="Arial"/>
                <w:lang w:val="en-US"/>
              </w:rPr>
              <w:t>Other partnerships</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_Toc135409896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21</w:t>
            </w:r>
            <w:r w:rsidR="006E54F2" w:rsidRPr="00E368E0">
              <w:rPr>
                <w:rFonts w:ascii="Arial" w:hAnsi="Arial" w:cs="Arial"/>
                <w:webHidden/>
              </w:rPr>
              <w:fldChar w:fldCharType="end"/>
            </w:r>
          </w:hyperlink>
        </w:p>
        <w:p w14:paraId="62501817" w14:textId="4B3CD9E1" w:rsidR="006E54F2" w:rsidRPr="00E368E0" w:rsidRDefault="00000000" w:rsidP="000A1889">
          <w:pPr>
            <w:pStyle w:val="TOC1"/>
            <w:rPr>
              <w:rFonts w:ascii="Arial" w:eastAsiaTheme="minorEastAsia" w:hAnsi="Arial" w:cs="Arial"/>
              <w:noProof/>
              <w:sz w:val="20"/>
              <w:szCs w:val="20"/>
            </w:rPr>
          </w:pPr>
          <w:hyperlink w:anchor="_Toc135409897" w:history="1">
            <w:r w:rsidR="006E54F2" w:rsidRPr="00E368E0">
              <w:rPr>
                <w:rStyle w:val="Hyperlink"/>
                <w:rFonts w:ascii="Arial" w:eastAsiaTheme="minorHAnsi" w:hAnsi="Arial" w:cs="Arial"/>
                <w:noProof/>
                <w:kern w:val="28"/>
                <w:sz w:val="20"/>
                <w:szCs w:val="20"/>
              </w:rPr>
              <w:t>6.</w:t>
            </w:r>
            <w:r w:rsidR="006E54F2" w:rsidRPr="00E368E0">
              <w:rPr>
                <w:rFonts w:ascii="Arial" w:eastAsiaTheme="minorEastAsia" w:hAnsi="Arial" w:cs="Arial"/>
                <w:noProof/>
                <w:sz w:val="20"/>
                <w:szCs w:val="20"/>
              </w:rPr>
              <w:tab/>
            </w:r>
            <w:r w:rsidR="006E54F2" w:rsidRPr="00E368E0">
              <w:rPr>
                <w:rStyle w:val="Hyperlink"/>
                <w:rFonts w:ascii="Arial" w:eastAsiaTheme="minorHAnsi" w:hAnsi="Arial" w:cs="Arial"/>
                <w:noProof/>
                <w:kern w:val="28"/>
                <w:sz w:val="20"/>
                <w:szCs w:val="20"/>
              </w:rPr>
              <w:t>ENGAGEMENT WITHIN THE COUNCIL OF EUROPE</w:t>
            </w:r>
            <w:r w:rsidR="006E54F2" w:rsidRPr="00E368E0">
              <w:rPr>
                <w:rFonts w:ascii="Arial" w:hAnsi="Arial" w:cs="Arial"/>
                <w:noProof/>
                <w:webHidden/>
                <w:sz w:val="20"/>
                <w:szCs w:val="20"/>
              </w:rPr>
              <w:tab/>
            </w:r>
            <w:r w:rsidR="006E54F2" w:rsidRPr="00E368E0">
              <w:rPr>
                <w:rFonts w:ascii="Arial" w:hAnsi="Arial" w:cs="Arial"/>
                <w:noProof/>
                <w:webHidden/>
                <w:sz w:val="20"/>
                <w:szCs w:val="20"/>
              </w:rPr>
              <w:fldChar w:fldCharType="begin"/>
            </w:r>
            <w:r w:rsidR="006E54F2" w:rsidRPr="00E368E0">
              <w:rPr>
                <w:rFonts w:ascii="Arial" w:hAnsi="Arial" w:cs="Arial"/>
                <w:noProof/>
                <w:webHidden/>
                <w:sz w:val="20"/>
                <w:szCs w:val="20"/>
              </w:rPr>
              <w:instrText xml:space="preserve"> PAGEREF _Toc135409897 \h </w:instrText>
            </w:r>
            <w:r w:rsidR="006E54F2" w:rsidRPr="00E368E0">
              <w:rPr>
                <w:rFonts w:ascii="Arial" w:hAnsi="Arial" w:cs="Arial"/>
                <w:noProof/>
                <w:webHidden/>
                <w:sz w:val="20"/>
                <w:szCs w:val="20"/>
              </w:rPr>
            </w:r>
            <w:r w:rsidR="006E54F2" w:rsidRPr="00E368E0">
              <w:rPr>
                <w:rFonts w:ascii="Arial" w:hAnsi="Arial" w:cs="Arial"/>
                <w:noProof/>
                <w:webHidden/>
                <w:sz w:val="20"/>
                <w:szCs w:val="20"/>
              </w:rPr>
              <w:fldChar w:fldCharType="separate"/>
            </w:r>
            <w:r w:rsidR="007D5162">
              <w:rPr>
                <w:rFonts w:ascii="Arial" w:hAnsi="Arial" w:cs="Arial"/>
                <w:noProof/>
                <w:webHidden/>
                <w:sz w:val="20"/>
                <w:szCs w:val="20"/>
              </w:rPr>
              <w:t>22</w:t>
            </w:r>
            <w:r w:rsidR="006E54F2" w:rsidRPr="00E368E0">
              <w:rPr>
                <w:rFonts w:ascii="Arial" w:hAnsi="Arial" w:cs="Arial"/>
                <w:noProof/>
                <w:webHidden/>
                <w:sz w:val="20"/>
                <w:szCs w:val="20"/>
              </w:rPr>
              <w:fldChar w:fldCharType="end"/>
            </w:r>
          </w:hyperlink>
        </w:p>
        <w:p w14:paraId="35B91CB2" w14:textId="4D7D4BAF" w:rsidR="006E54F2" w:rsidRPr="00E368E0" w:rsidRDefault="00000000" w:rsidP="000A1889">
          <w:pPr>
            <w:pStyle w:val="TOC1"/>
            <w:rPr>
              <w:rFonts w:ascii="Arial" w:eastAsiaTheme="minorEastAsia" w:hAnsi="Arial" w:cs="Arial"/>
              <w:noProof/>
              <w:sz w:val="20"/>
              <w:szCs w:val="20"/>
            </w:rPr>
          </w:pPr>
          <w:hyperlink w:anchor="_Toc135409898" w:history="1">
            <w:r w:rsidR="006E54F2" w:rsidRPr="00E368E0">
              <w:rPr>
                <w:rStyle w:val="Hyperlink"/>
                <w:rFonts w:ascii="Arial" w:eastAsiaTheme="minorHAnsi" w:hAnsi="Arial" w:cs="Arial"/>
                <w:noProof/>
                <w:kern w:val="28"/>
                <w:sz w:val="20"/>
                <w:szCs w:val="20"/>
              </w:rPr>
              <w:t>7.</w:t>
            </w:r>
            <w:r w:rsidR="006E54F2" w:rsidRPr="00E368E0">
              <w:rPr>
                <w:rFonts w:ascii="Arial" w:eastAsiaTheme="minorEastAsia" w:hAnsi="Arial" w:cs="Arial"/>
                <w:noProof/>
                <w:sz w:val="20"/>
                <w:szCs w:val="20"/>
              </w:rPr>
              <w:tab/>
            </w:r>
            <w:r w:rsidR="006E54F2" w:rsidRPr="00E368E0">
              <w:rPr>
                <w:rStyle w:val="Hyperlink"/>
                <w:rFonts w:ascii="Arial" w:eastAsiaTheme="minorHAnsi" w:hAnsi="Arial" w:cs="Arial"/>
                <w:noProof/>
                <w:kern w:val="28"/>
                <w:sz w:val="20"/>
                <w:szCs w:val="20"/>
              </w:rPr>
              <w:t>HUMAN RESOURCES</w:t>
            </w:r>
            <w:r w:rsidR="006E54F2" w:rsidRPr="00E368E0">
              <w:rPr>
                <w:rFonts w:ascii="Arial" w:hAnsi="Arial" w:cs="Arial"/>
                <w:noProof/>
                <w:webHidden/>
                <w:sz w:val="20"/>
                <w:szCs w:val="20"/>
              </w:rPr>
              <w:tab/>
            </w:r>
            <w:r w:rsidR="006E54F2" w:rsidRPr="00E368E0">
              <w:rPr>
                <w:rFonts w:ascii="Arial" w:hAnsi="Arial" w:cs="Arial"/>
                <w:noProof/>
                <w:webHidden/>
                <w:sz w:val="20"/>
                <w:szCs w:val="20"/>
              </w:rPr>
              <w:fldChar w:fldCharType="begin"/>
            </w:r>
            <w:r w:rsidR="006E54F2" w:rsidRPr="00E368E0">
              <w:rPr>
                <w:rFonts w:ascii="Arial" w:hAnsi="Arial" w:cs="Arial"/>
                <w:noProof/>
                <w:webHidden/>
                <w:sz w:val="20"/>
                <w:szCs w:val="20"/>
              </w:rPr>
              <w:instrText xml:space="preserve"> PAGEREF _Toc135409898 \h </w:instrText>
            </w:r>
            <w:r w:rsidR="006E54F2" w:rsidRPr="00E368E0">
              <w:rPr>
                <w:rFonts w:ascii="Arial" w:hAnsi="Arial" w:cs="Arial"/>
                <w:noProof/>
                <w:webHidden/>
                <w:sz w:val="20"/>
                <w:szCs w:val="20"/>
              </w:rPr>
            </w:r>
            <w:r w:rsidR="006E54F2" w:rsidRPr="00E368E0">
              <w:rPr>
                <w:rFonts w:ascii="Arial" w:hAnsi="Arial" w:cs="Arial"/>
                <w:noProof/>
                <w:webHidden/>
                <w:sz w:val="20"/>
                <w:szCs w:val="20"/>
              </w:rPr>
              <w:fldChar w:fldCharType="separate"/>
            </w:r>
            <w:r w:rsidR="007D5162">
              <w:rPr>
                <w:rFonts w:ascii="Arial" w:hAnsi="Arial" w:cs="Arial"/>
                <w:noProof/>
                <w:webHidden/>
                <w:sz w:val="20"/>
                <w:szCs w:val="20"/>
              </w:rPr>
              <w:t>23</w:t>
            </w:r>
            <w:r w:rsidR="006E54F2" w:rsidRPr="00E368E0">
              <w:rPr>
                <w:rFonts w:ascii="Arial" w:hAnsi="Arial" w:cs="Arial"/>
                <w:noProof/>
                <w:webHidden/>
                <w:sz w:val="20"/>
                <w:szCs w:val="20"/>
              </w:rPr>
              <w:fldChar w:fldCharType="end"/>
            </w:r>
          </w:hyperlink>
        </w:p>
        <w:p w14:paraId="198EB98D" w14:textId="119A8149" w:rsidR="006E54F2" w:rsidRPr="00E368E0" w:rsidRDefault="00000000" w:rsidP="000A1889">
          <w:pPr>
            <w:pStyle w:val="TOC1"/>
            <w:rPr>
              <w:rFonts w:ascii="Arial" w:eastAsiaTheme="minorEastAsia" w:hAnsi="Arial" w:cs="Arial"/>
              <w:noProof/>
              <w:sz w:val="20"/>
              <w:szCs w:val="20"/>
            </w:rPr>
          </w:pPr>
          <w:hyperlink w:anchor="_Toc135409899" w:history="1">
            <w:r w:rsidR="006E54F2" w:rsidRPr="00E368E0">
              <w:rPr>
                <w:rStyle w:val="Hyperlink"/>
                <w:rFonts w:ascii="Arial" w:eastAsiaTheme="minorHAnsi" w:hAnsi="Arial" w:cs="Arial"/>
                <w:noProof/>
                <w:kern w:val="28"/>
                <w:sz w:val="20"/>
                <w:szCs w:val="20"/>
              </w:rPr>
              <w:t>8.</w:t>
            </w:r>
            <w:r w:rsidR="006E54F2" w:rsidRPr="00E368E0">
              <w:rPr>
                <w:rFonts w:ascii="Arial" w:eastAsiaTheme="minorEastAsia" w:hAnsi="Arial" w:cs="Arial"/>
                <w:noProof/>
                <w:sz w:val="20"/>
                <w:szCs w:val="20"/>
              </w:rPr>
              <w:tab/>
            </w:r>
            <w:r w:rsidR="006E54F2" w:rsidRPr="00E368E0">
              <w:rPr>
                <w:rStyle w:val="Hyperlink"/>
                <w:rFonts w:ascii="Arial" w:eastAsiaTheme="minorHAnsi" w:hAnsi="Arial" w:cs="Arial"/>
                <w:noProof/>
                <w:kern w:val="28"/>
                <w:sz w:val="20"/>
                <w:szCs w:val="20"/>
              </w:rPr>
              <w:t>GOVERNANCE AND PROCEDURAL FRAMEWORK</w:t>
            </w:r>
            <w:r w:rsidR="006E54F2" w:rsidRPr="00E368E0">
              <w:rPr>
                <w:rFonts w:ascii="Arial" w:hAnsi="Arial" w:cs="Arial"/>
                <w:noProof/>
                <w:webHidden/>
                <w:sz w:val="20"/>
                <w:szCs w:val="20"/>
              </w:rPr>
              <w:tab/>
            </w:r>
            <w:r w:rsidR="006E54F2" w:rsidRPr="00E368E0">
              <w:rPr>
                <w:rFonts w:ascii="Arial" w:hAnsi="Arial" w:cs="Arial"/>
                <w:noProof/>
                <w:webHidden/>
                <w:sz w:val="20"/>
                <w:szCs w:val="20"/>
              </w:rPr>
              <w:fldChar w:fldCharType="begin"/>
            </w:r>
            <w:r w:rsidR="006E54F2" w:rsidRPr="00E368E0">
              <w:rPr>
                <w:rFonts w:ascii="Arial" w:hAnsi="Arial" w:cs="Arial"/>
                <w:noProof/>
                <w:webHidden/>
                <w:sz w:val="20"/>
                <w:szCs w:val="20"/>
              </w:rPr>
              <w:instrText xml:space="preserve"> PAGEREF _Toc135409899 \h </w:instrText>
            </w:r>
            <w:r w:rsidR="006E54F2" w:rsidRPr="00E368E0">
              <w:rPr>
                <w:rFonts w:ascii="Arial" w:hAnsi="Arial" w:cs="Arial"/>
                <w:noProof/>
                <w:webHidden/>
                <w:sz w:val="20"/>
                <w:szCs w:val="20"/>
              </w:rPr>
            </w:r>
            <w:r w:rsidR="006E54F2" w:rsidRPr="00E368E0">
              <w:rPr>
                <w:rFonts w:ascii="Arial" w:hAnsi="Arial" w:cs="Arial"/>
                <w:noProof/>
                <w:webHidden/>
                <w:sz w:val="20"/>
                <w:szCs w:val="20"/>
              </w:rPr>
              <w:fldChar w:fldCharType="separate"/>
            </w:r>
            <w:r w:rsidR="007D5162">
              <w:rPr>
                <w:rFonts w:ascii="Arial" w:hAnsi="Arial" w:cs="Arial"/>
                <w:noProof/>
                <w:webHidden/>
                <w:sz w:val="20"/>
                <w:szCs w:val="20"/>
              </w:rPr>
              <w:t>23</w:t>
            </w:r>
            <w:r w:rsidR="006E54F2" w:rsidRPr="00E368E0">
              <w:rPr>
                <w:rFonts w:ascii="Arial" w:hAnsi="Arial" w:cs="Arial"/>
                <w:noProof/>
                <w:webHidden/>
                <w:sz w:val="20"/>
                <w:szCs w:val="20"/>
              </w:rPr>
              <w:fldChar w:fldCharType="end"/>
            </w:r>
          </w:hyperlink>
        </w:p>
        <w:p w14:paraId="13710462" w14:textId="1AC922CF"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900" w:history="1">
            <w:r w:rsidR="006E54F2" w:rsidRPr="00E368E0">
              <w:rPr>
                <w:rStyle w:val="Hyperlink"/>
                <w:rFonts w:ascii="Arial" w:eastAsiaTheme="minorHAnsi" w:hAnsi="Arial" w:cs="Arial"/>
                <w:lang w:val="en-US"/>
              </w:rPr>
              <w:t>8.1.</w:t>
            </w:r>
            <w:r w:rsidR="006E54F2" w:rsidRPr="00E368E0">
              <w:rPr>
                <w:rFonts w:ascii="Arial" w:eastAsiaTheme="minorEastAsia" w:hAnsi="Arial" w:cs="Arial"/>
              </w:rPr>
              <w:tab/>
            </w:r>
            <w:r w:rsidR="006E54F2" w:rsidRPr="00E368E0">
              <w:rPr>
                <w:rStyle w:val="Hyperlink"/>
                <w:rFonts w:ascii="Arial" w:eastAsiaTheme="minorHAnsi" w:hAnsi="Arial" w:cs="Arial"/>
                <w:lang w:val="en-US"/>
              </w:rPr>
              <w:t>Members and observers</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_Toc135409900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24</w:t>
            </w:r>
            <w:r w:rsidR="006E54F2" w:rsidRPr="00E368E0">
              <w:rPr>
                <w:rFonts w:ascii="Arial" w:hAnsi="Arial" w:cs="Arial"/>
                <w:webHidden/>
              </w:rPr>
              <w:fldChar w:fldCharType="end"/>
            </w:r>
          </w:hyperlink>
        </w:p>
        <w:p w14:paraId="71C1D2E1" w14:textId="5A6CD362"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901" w:history="1">
            <w:r w:rsidR="006E54F2" w:rsidRPr="00E368E0">
              <w:rPr>
                <w:rStyle w:val="Hyperlink"/>
                <w:rFonts w:ascii="Arial" w:eastAsiaTheme="minorHAnsi" w:hAnsi="Arial" w:cs="Arial"/>
                <w:lang w:val="en-US"/>
              </w:rPr>
              <w:t>8.2.</w:t>
            </w:r>
            <w:r w:rsidR="006E54F2" w:rsidRPr="00E368E0">
              <w:rPr>
                <w:rFonts w:ascii="Arial" w:eastAsiaTheme="minorEastAsia" w:hAnsi="Arial" w:cs="Arial"/>
              </w:rPr>
              <w:tab/>
            </w:r>
            <w:r w:rsidR="006E54F2" w:rsidRPr="00E368E0">
              <w:rPr>
                <w:rStyle w:val="Hyperlink"/>
                <w:rFonts w:ascii="Arial" w:eastAsiaTheme="minorHAnsi" w:hAnsi="Arial" w:cs="Arial"/>
                <w:lang w:val="en-US"/>
              </w:rPr>
              <w:t>Bureau</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_Toc135409901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25</w:t>
            </w:r>
            <w:r w:rsidR="006E54F2" w:rsidRPr="00E368E0">
              <w:rPr>
                <w:rFonts w:ascii="Arial" w:hAnsi="Arial" w:cs="Arial"/>
                <w:webHidden/>
              </w:rPr>
              <w:fldChar w:fldCharType="end"/>
            </w:r>
          </w:hyperlink>
        </w:p>
        <w:p w14:paraId="33C3F32E" w14:textId="4EBE6FF2"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902" w:history="1">
            <w:r w:rsidR="006E54F2" w:rsidRPr="00E368E0">
              <w:rPr>
                <w:rStyle w:val="Hyperlink"/>
                <w:rFonts w:ascii="Arial" w:eastAsiaTheme="minorHAnsi" w:hAnsi="Arial" w:cs="Arial"/>
                <w:lang w:val="en-US"/>
              </w:rPr>
              <w:t>8.3.</w:t>
            </w:r>
            <w:r w:rsidR="006E54F2" w:rsidRPr="00E368E0">
              <w:rPr>
                <w:rFonts w:ascii="Arial" w:eastAsiaTheme="minorEastAsia" w:hAnsi="Arial" w:cs="Arial"/>
              </w:rPr>
              <w:tab/>
            </w:r>
            <w:r w:rsidR="006E54F2" w:rsidRPr="00E368E0">
              <w:rPr>
                <w:rStyle w:val="Hyperlink"/>
                <w:rFonts w:ascii="Arial" w:eastAsiaTheme="minorHAnsi" w:hAnsi="Arial" w:cs="Arial"/>
                <w:lang w:val="en-US"/>
              </w:rPr>
              <w:t>Scientific Experts</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_Toc135409902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25</w:t>
            </w:r>
            <w:r w:rsidR="006E54F2" w:rsidRPr="00E368E0">
              <w:rPr>
                <w:rFonts w:ascii="Arial" w:hAnsi="Arial" w:cs="Arial"/>
                <w:webHidden/>
              </w:rPr>
              <w:fldChar w:fldCharType="end"/>
            </w:r>
          </w:hyperlink>
        </w:p>
        <w:p w14:paraId="7F5505D9" w14:textId="04C15707"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903" w:history="1">
            <w:r w:rsidR="006E54F2" w:rsidRPr="00E368E0">
              <w:rPr>
                <w:rStyle w:val="Hyperlink"/>
                <w:rFonts w:ascii="Arial" w:eastAsiaTheme="minorHAnsi" w:hAnsi="Arial" w:cs="Arial"/>
                <w:lang w:val="en-US"/>
              </w:rPr>
              <w:t>8.4.</w:t>
            </w:r>
            <w:r w:rsidR="006E54F2" w:rsidRPr="00E368E0">
              <w:rPr>
                <w:rFonts w:ascii="Arial" w:eastAsiaTheme="minorEastAsia" w:hAnsi="Arial" w:cs="Arial"/>
              </w:rPr>
              <w:tab/>
            </w:r>
            <w:r w:rsidR="006E54F2" w:rsidRPr="00E368E0">
              <w:rPr>
                <w:rStyle w:val="Hyperlink"/>
                <w:rFonts w:ascii="Arial" w:eastAsiaTheme="minorHAnsi" w:hAnsi="Arial" w:cs="Arial"/>
                <w:lang w:val="en-US"/>
              </w:rPr>
              <w:t>Objectives</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_Toc135409903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25</w:t>
            </w:r>
            <w:r w:rsidR="006E54F2" w:rsidRPr="00E368E0">
              <w:rPr>
                <w:rFonts w:ascii="Arial" w:hAnsi="Arial" w:cs="Arial"/>
                <w:webHidden/>
              </w:rPr>
              <w:fldChar w:fldCharType="end"/>
            </w:r>
          </w:hyperlink>
        </w:p>
        <w:p w14:paraId="7BCE4360" w14:textId="5C131ACC"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904" w:history="1">
            <w:r w:rsidR="006E54F2" w:rsidRPr="00E368E0">
              <w:rPr>
                <w:rStyle w:val="Hyperlink"/>
                <w:rFonts w:ascii="Arial" w:eastAsiaTheme="minorHAnsi" w:hAnsi="Arial" w:cs="Arial"/>
                <w:lang w:val="en-US"/>
              </w:rPr>
              <w:t>8.5.</w:t>
            </w:r>
            <w:r w:rsidR="006E54F2" w:rsidRPr="00E368E0">
              <w:rPr>
                <w:rFonts w:ascii="Arial" w:eastAsiaTheme="minorEastAsia" w:hAnsi="Arial" w:cs="Arial"/>
              </w:rPr>
              <w:tab/>
            </w:r>
            <w:r w:rsidR="006E54F2" w:rsidRPr="00E368E0">
              <w:rPr>
                <w:rStyle w:val="Hyperlink"/>
                <w:rFonts w:ascii="Arial" w:eastAsiaTheme="minorHAnsi" w:hAnsi="Arial" w:cs="Arial"/>
                <w:lang w:val="en-US"/>
              </w:rPr>
              <w:t>Mutual evaluation rounds and follow-up procedures</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_Toc135409904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26</w:t>
            </w:r>
            <w:r w:rsidR="006E54F2" w:rsidRPr="00E368E0">
              <w:rPr>
                <w:rFonts w:ascii="Arial" w:hAnsi="Arial" w:cs="Arial"/>
                <w:webHidden/>
              </w:rPr>
              <w:fldChar w:fldCharType="end"/>
            </w:r>
          </w:hyperlink>
        </w:p>
        <w:p w14:paraId="32FBA94B" w14:textId="388BB39F" w:rsidR="006E54F2" w:rsidRPr="00E368E0" w:rsidRDefault="00000000" w:rsidP="000A1889">
          <w:pPr>
            <w:pStyle w:val="TOC2"/>
            <w:tabs>
              <w:tab w:val="clear" w:pos="400"/>
              <w:tab w:val="clear" w:pos="9628"/>
              <w:tab w:val="left" w:pos="709"/>
              <w:tab w:val="right" w:leader="dot" w:pos="9639"/>
            </w:tabs>
            <w:rPr>
              <w:rFonts w:ascii="Arial" w:eastAsiaTheme="minorEastAsia" w:hAnsi="Arial" w:cs="Arial"/>
            </w:rPr>
          </w:pPr>
          <w:hyperlink w:anchor="_Toc135409905" w:history="1">
            <w:r w:rsidR="006E54F2" w:rsidRPr="00E368E0">
              <w:rPr>
                <w:rStyle w:val="Hyperlink"/>
                <w:rFonts w:ascii="Arial" w:eastAsiaTheme="minorHAnsi" w:hAnsi="Arial" w:cs="Arial"/>
                <w:lang w:val="en-US"/>
              </w:rPr>
              <w:t>8.6.</w:t>
            </w:r>
            <w:r w:rsidR="006E54F2" w:rsidRPr="00E368E0">
              <w:rPr>
                <w:rFonts w:ascii="Arial" w:eastAsiaTheme="minorEastAsia" w:hAnsi="Arial" w:cs="Arial"/>
              </w:rPr>
              <w:tab/>
            </w:r>
            <w:r w:rsidR="006E54F2" w:rsidRPr="00E368E0">
              <w:rPr>
                <w:rStyle w:val="Hyperlink"/>
                <w:rFonts w:ascii="Arial" w:eastAsiaTheme="minorHAnsi" w:hAnsi="Arial" w:cs="Arial"/>
                <w:lang w:val="en-US"/>
              </w:rPr>
              <w:t>Compliance enhancing procedures</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_Toc135409905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26</w:t>
            </w:r>
            <w:r w:rsidR="006E54F2" w:rsidRPr="00E368E0">
              <w:rPr>
                <w:rFonts w:ascii="Arial" w:hAnsi="Arial" w:cs="Arial"/>
                <w:webHidden/>
              </w:rPr>
              <w:fldChar w:fldCharType="end"/>
            </w:r>
          </w:hyperlink>
        </w:p>
        <w:p w14:paraId="7B9A7FFA" w14:textId="7CA56483" w:rsidR="006E54F2" w:rsidRPr="00E368E0" w:rsidRDefault="00000000" w:rsidP="000A1889">
          <w:pPr>
            <w:pStyle w:val="TOC2"/>
            <w:tabs>
              <w:tab w:val="clear" w:pos="400"/>
              <w:tab w:val="clear" w:pos="9628"/>
              <w:tab w:val="left" w:pos="709"/>
              <w:tab w:val="right" w:leader="dot" w:pos="9639"/>
            </w:tabs>
            <w:spacing w:before="120"/>
            <w:rPr>
              <w:rFonts w:ascii="Arial" w:eastAsiaTheme="minorEastAsia" w:hAnsi="Arial" w:cs="Arial"/>
            </w:rPr>
          </w:pPr>
          <w:hyperlink w:anchor="_Toc135409906" w:history="1">
            <w:r w:rsidR="006E54F2" w:rsidRPr="00E368E0">
              <w:rPr>
                <w:rStyle w:val="Hyperlink"/>
                <w:rFonts w:ascii="Arial" w:hAnsi="Arial" w:cs="Arial"/>
              </w:rPr>
              <w:t>APPENDICES</w:t>
            </w:r>
            <w:r w:rsidR="006E54F2" w:rsidRPr="00E368E0">
              <w:rPr>
                <w:rFonts w:ascii="Arial" w:hAnsi="Arial" w:cs="Arial"/>
                <w:webHidden/>
              </w:rPr>
              <w:tab/>
            </w:r>
            <w:r w:rsidR="006E54F2" w:rsidRPr="00E368E0">
              <w:rPr>
                <w:rFonts w:ascii="Arial" w:hAnsi="Arial" w:cs="Arial"/>
                <w:webHidden/>
              </w:rPr>
              <w:fldChar w:fldCharType="begin"/>
            </w:r>
            <w:r w:rsidR="006E54F2" w:rsidRPr="00E368E0">
              <w:rPr>
                <w:rFonts w:ascii="Arial" w:hAnsi="Arial" w:cs="Arial"/>
                <w:webHidden/>
              </w:rPr>
              <w:instrText xml:space="preserve"> PAGEREF _Toc135409906 \h </w:instrText>
            </w:r>
            <w:r w:rsidR="006E54F2" w:rsidRPr="00E368E0">
              <w:rPr>
                <w:rFonts w:ascii="Arial" w:hAnsi="Arial" w:cs="Arial"/>
                <w:webHidden/>
              </w:rPr>
            </w:r>
            <w:r w:rsidR="006E54F2" w:rsidRPr="00E368E0">
              <w:rPr>
                <w:rFonts w:ascii="Arial" w:hAnsi="Arial" w:cs="Arial"/>
                <w:webHidden/>
              </w:rPr>
              <w:fldChar w:fldCharType="separate"/>
            </w:r>
            <w:r w:rsidR="007D5162">
              <w:rPr>
                <w:rFonts w:ascii="Arial" w:hAnsi="Arial" w:cs="Arial"/>
                <w:webHidden/>
              </w:rPr>
              <w:t>28</w:t>
            </w:r>
            <w:r w:rsidR="006E54F2" w:rsidRPr="00E368E0">
              <w:rPr>
                <w:rFonts w:ascii="Arial" w:hAnsi="Arial" w:cs="Arial"/>
                <w:webHidden/>
              </w:rPr>
              <w:fldChar w:fldCharType="end"/>
            </w:r>
          </w:hyperlink>
        </w:p>
        <w:p w14:paraId="72D657F2" w14:textId="712CA2F0" w:rsidR="005037AC" w:rsidRPr="00E73BD4" w:rsidRDefault="005037AC" w:rsidP="000A1889">
          <w:pPr>
            <w:tabs>
              <w:tab w:val="left" w:pos="709"/>
              <w:tab w:val="right" w:leader="dot" w:pos="9639"/>
            </w:tabs>
            <w:rPr>
              <w:rFonts w:cs="Arial"/>
              <w:szCs w:val="20"/>
            </w:rPr>
          </w:pPr>
          <w:r w:rsidRPr="00E368E0">
            <w:rPr>
              <w:rFonts w:cs="Arial"/>
              <w:b/>
              <w:bCs/>
              <w:noProof/>
              <w:szCs w:val="20"/>
            </w:rPr>
            <w:fldChar w:fldCharType="end"/>
          </w:r>
        </w:p>
      </w:sdtContent>
    </w:sdt>
    <w:p w14:paraId="2E5807F5" w14:textId="77777777" w:rsidR="00277C14" w:rsidRPr="00E73BD4" w:rsidRDefault="00277C14" w:rsidP="00E73BD4">
      <w:pPr>
        <w:tabs>
          <w:tab w:val="left" w:pos="709"/>
          <w:tab w:val="right" w:leader="dot" w:pos="9639"/>
        </w:tabs>
        <w:ind w:left="709"/>
        <w:rPr>
          <w:rFonts w:cs="Arial"/>
          <w:szCs w:val="20"/>
          <w:lang w:eastAsia="fr-FR"/>
        </w:rPr>
      </w:pPr>
    </w:p>
    <w:p w14:paraId="22E75091" w14:textId="77777777" w:rsidR="00277C14" w:rsidRPr="00E73BD4" w:rsidRDefault="00277C14" w:rsidP="00277C14">
      <w:pPr>
        <w:rPr>
          <w:rFonts w:eastAsia="Times New Roman" w:cs="Arial"/>
          <w:b/>
          <w:bCs/>
          <w:caps/>
          <w:color w:val="4F81BD" w:themeColor="accent1"/>
          <w:w w:val="105"/>
          <w:kern w:val="28"/>
          <w:szCs w:val="20"/>
          <w:lang w:eastAsia="zh-CN"/>
        </w:rPr>
      </w:pPr>
      <w:r w:rsidRPr="00E73BD4">
        <w:rPr>
          <w:rFonts w:eastAsia="Times New Roman" w:cs="Arial"/>
          <w:b/>
          <w:bCs/>
          <w:caps/>
          <w:color w:val="4F81BD" w:themeColor="accent1"/>
          <w:w w:val="105"/>
          <w:kern w:val="28"/>
          <w:szCs w:val="20"/>
          <w:lang w:eastAsia="zh-CN"/>
        </w:rPr>
        <w:br w:type="page"/>
      </w:r>
    </w:p>
    <w:p w14:paraId="1F0A8559" w14:textId="61EB1154" w:rsidR="00277C14" w:rsidRPr="00E73BD4" w:rsidRDefault="00277C14" w:rsidP="000C5B9D">
      <w:pPr>
        <w:pStyle w:val="Title1"/>
        <w:spacing w:before="0" w:after="0"/>
      </w:pPr>
      <w:bookmarkStart w:id="0" w:name="_Toc135409874"/>
      <w:r w:rsidRPr="00E73BD4">
        <w:lastRenderedPageBreak/>
        <w:t>FREQUENTLY USED ABBREVIATIONS</w:t>
      </w:r>
      <w:r w:rsidR="00766613">
        <w:t xml:space="preserve"> AND</w:t>
      </w:r>
      <w:r w:rsidRPr="00E73BD4">
        <w:t xml:space="preserve"> ACCRONYMS </w:t>
      </w:r>
      <w:bookmarkEnd w:id="0"/>
    </w:p>
    <w:p w14:paraId="71AA636C" w14:textId="77777777" w:rsidR="00277C14" w:rsidRPr="00E73BD4" w:rsidRDefault="00277C14" w:rsidP="000C5B9D">
      <w:pPr>
        <w:pStyle w:val="LDHeading1"/>
        <w:spacing w:after="0"/>
        <w:jc w:val="both"/>
        <w:rPr>
          <w:b w:val="0"/>
          <w:color w:val="auto"/>
          <w:sz w:val="20"/>
        </w:rPr>
      </w:pPr>
    </w:p>
    <w:tbl>
      <w:tblPr>
        <w:tblW w:w="9883" w:type="dxa"/>
        <w:jc w:val="center"/>
        <w:tblLayout w:type="fixed"/>
        <w:tblLook w:val="01E0" w:firstRow="1" w:lastRow="1" w:firstColumn="1" w:lastColumn="1" w:noHBand="0" w:noVBand="0"/>
      </w:tblPr>
      <w:tblGrid>
        <w:gridCol w:w="2914"/>
        <w:gridCol w:w="6969"/>
      </w:tblGrid>
      <w:tr w:rsidR="00277C14" w:rsidRPr="00E73BD4" w14:paraId="2D5AA0D5" w14:textId="77777777" w:rsidTr="00277C14">
        <w:trPr>
          <w:jc w:val="center"/>
        </w:trPr>
        <w:tc>
          <w:tcPr>
            <w:tcW w:w="2914" w:type="dxa"/>
          </w:tcPr>
          <w:p w14:paraId="30B51A00" w14:textId="77777777" w:rsidR="00277C14" w:rsidRPr="00E73BD4" w:rsidRDefault="00277C14" w:rsidP="00277C14">
            <w:pPr>
              <w:rPr>
                <w:rFonts w:cs="Arial"/>
                <w:szCs w:val="20"/>
              </w:rPr>
            </w:pPr>
            <w:r w:rsidRPr="00E73BD4">
              <w:rPr>
                <w:rFonts w:cs="Arial"/>
                <w:szCs w:val="20"/>
              </w:rPr>
              <w:t>AML</w:t>
            </w:r>
          </w:p>
        </w:tc>
        <w:tc>
          <w:tcPr>
            <w:tcW w:w="6969" w:type="dxa"/>
          </w:tcPr>
          <w:p w14:paraId="2EB33DE7" w14:textId="77777777" w:rsidR="00277C14" w:rsidRPr="00E73BD4" w:rsidRDefault="00277C14" w:rsidP="00277C14">
            <w:pPr>
              <w:rPr>
                <w:rFonts w:cs="Arial"/>
                <w:szCs w:val="20"/>
              </w:rPr>
            </w:pPr>
            <w:r w:rsidRPr="00E73BD4">
              <w:rPr>
                <w:rFonts w:cs="Arial"/>
                <w:szCs w:val="20"/>
              </w:rPr>
              <w:t xml:space="preserve">Anti-money laundering </w:t>
            </w:r>
          </w:p>
        </w:tc>
      </w:tr>
      <w:tr w:rsidR="00277C14" w:rsidRPr="00E73BD4" w14:paraId="54291B58" w14:textId="77777777" w:rsidTr="00277C14">
        <w:trPr>
          <w:jc w:val="center"/>
        </w:trPr>
        <w:tc>
          <w:tcPr>
            <w:tcW w:w="2914" w:type="dxa"/>
          </w:tcPr>
          <w:p w14:paraId="4DE07273" w14:textId="77777777" w:rsidR="00277C14" w:rsidRPr="00E73BD4" w:rsidRDefault="00277C14" w:rsidP="00277C14">
            <w:pPr>
              <w:rPr>
                <w:rFonts w:cs="Arial"/>
                <w:szCs w:val="20"/>
              </w:rPr>
            </w:pPr>
            <w:r w:rsidRPr="00E73BD4">
              <w:rPr>
                <w:rFonts w:cs="Arial"/>
                <w:szCs w:val="20"/>
              </w:rPr>
              <w:t>CDPC</w:t>
            </w:r>
          </w:p>
        </w:tc>
        <w:tc>
          <w:tcPr>
            <w:tcW w:w="6969" w:type="dxa"/>
          </w:tcPr>
          <w:p w14:paraId="36938383" w14:textId="77777777" w:rsidR="00277C14" w:rsidRPr="00E73BD4" w:rsidRDefault="00277C14" w:rsidP="00277C14">
            <w:pPr>
              <w:rPr>
                <w:rFonts w:cs="Arial"/>
                <w:szCs w:val="20"/>
              </w:rPr>
            </w:pPr>
            <w:r w:rsidRPr="00E73BD4">
              <w:rPr>
                <w:rFonts w:cs="Arial"/>
                <w:szCs w:val="20"/>
              </w:rPr>
              <w:t>European Committee on Crime Problems</w:t>
            </w:r>
          </w:p>
        </w:tc>
      </w:tr>
      <w:tr w:rsidR="00277C14" w:rsidRPr="00E73BD4" w14:paraId="7283CFE0" w14:textId="77777777" w:rsidTr="00277C14">
        <w:trPr>
          <w:jc w:val="center"/>
        </w:trPr>
        <w:tc>
          <w:tcPr>
            <w:tcW w:w="2914" w:type="dxa"/>
          </w:tcPr>
          <w:p w14:paraId="480AE83E" w14:textId="77777777" w:rsidR="00277C14" w:rsidRPr="00E73BD4" w:rsidRDefault="00277C14" w:rsidP="00277C14">
            <w:pPr>
              <w:rPr>
                <w:rFonts w:cs="Arial"/>
                <w:szCs w:val="20"/>
              </w:rPr>
            </w:pPr>
            <w:r w:rsidRPr="00E73BD4">
              <w:rPr>
                <w:rFonts w:cs="Arial"/>
                <w:szCs w:val="20"/>
              </w:rPr>
              <w:t>CEPs</w:t>
            </w:r>
          </w:p>
        </w:tc>
        <w:tc>
          <w:tcPr>
            <w:tcW w:w="6969" w:type="dxa"/>
          </w:tcPr>
          <w:p w14:paraId="657C743A" w14:textId="77777777" w:rsidR="00277C14" w:rsidRPr="00E73BD4" w:rsidRDefault="00277C14" w:rsidP="00277C14">
            <w:pPr>
              <w:rPr>
                <w:rFonts w:cs="Arial"/>
                <w:szCs w:val="20"/>
              </w:rPr>
            </w:pPr>
            <w:r w:rsidRPr="00E73BD4">
              <w:rPr>
                <w:rFonts w:cs="Arial"/>
                <w:szCs w:val="20"/>
              </w:rPr>
              <w:t>Compliance Enhancing Procedures</w:t>
            </w:r>
          </w:p>
        </w:tc>
      </w:tr>
      <w:tr w:rsidR="00277C14" w:rsidRPr="00E73BD4" w14:paraId="34A0471C" w14:textId="77777777" w:rsidTr="00277C14">
        <w:trPr>
          <w:jc w:val="center"/>
        </w:trPr>
        <w:tc>
          <w:tcPr>
            <w:tcW w:w="2914" w:type="dxa"/>
          </w:tcPr>
          <w:p w14:paraId="45CAB96A" w14:textId="77777777" w:rsidR="00277C14" w:rsidRPr="00E73BD4" w:rsidRDefault="00277C14" w:rsidP="00277C14">
            <w:pPr>
              <w:rPr>
                <w:rFonts w:cs="Arial"/>
                <w:szCs w:val="20"/>
              </w:rPr>
            </w:pPr>
            <w:r w:rsidRPr="00E73BD4">
              <w:rPr>
                <w:rFonts w:cs="Arial"/>
                <w:szCs w:val="20"/>
              </w:rPr>
              <w:t>CETS 198</w:t>
            </w:r>
          </w:p>
        </w:tc>
        <w:tc>
          <w:tcPr>
            <w:tcW w:w="6969" w:type="dxa"/>
          </w:tcPr>
          <w:p w14:paraId="0D37E6DC" w14:textId="77777777" w:rsidR="00277C14" w:rsidRPr="00E73BD4" w:rsidRDefault="00277C14" w:rsidP="00277C14">
            <w:pPr>
              <w:rPr>
                <w:rFonts w:cs="Arial"/>
                <w:szCs w:val="20"/>
              </w:rPr>
            </w:pPr>
            <w:r w:rsidRPr="00E73BD4">
              <w:rPr>
                <w:rFonts w:cs="Arial"/>
                <w:szCs w:val="20"/>
              </w:rPr>
              <w:t>2005 Council of Europe Convention on Laundering, Search, Seizure and Confiscation of the Proceeds from Crime and on the Financing of Terrorism – the Warsaw Convention</w:t>
            </w:r>
          </w:p>
        </w:tc>
      </w:tr>
      <w:tr w:rsidR="00277C14" w:rsidRPr="00E73BD4" w14:paraId="7CC55FB2" w14:textId="77777777" w:rsidTr="00277C14">
        <w:trPr>
          <w:jc w:val="center"/>
        </w:trPr>
        <w:tc>
          <w:tcPr>
            <w:tcW w:w="2914" w:type="dxa"/>
          </w:tcPr>
          <w:p w14:paraId="03D4D810" w14:textId="77777777" w:rsidR="00277C14" w:rsidRPr="00E73BD4" w:rsidRDefault="00277C14" w:rsidP="00277C14">
            <w:pPr>
              <w:rPr>
                <w:rFonts w:cs="Arial"/>
                <w:szCs w:val="20"/>
              </w:rPr>
            </w:pPr>
            <w:r w:rsidRPr="00E73BD4">
              <w:rPr>
                <w:rFonts w:cs="Arial"/>
                <w:szCs w:val="20"/>
              </w:rPr>
              <w:t>CFT</w:t>
            </w:r>
          </w:p>
        </w:tc>
        <w:tc>
          <w:tcPr>
            <w:tcW w:w="6969" w:type="dxa"/>
          </w:tcPr>
          <w:p w14:paraId="17719DF4" w14:textId="77777777" w:rsidR="00277C14" w:rsidRPr="00E73BD4" w:rsidRDefault="00277C14" w:rsidP="00277C14">
            <w:pPr>
              <w:rPr>
                <w:rFonts w:cs="Arial"/>
                <w:szCs w:val="20"/>
              </w:rPr>
            </w:pPr>
            <w:r w:rsidRPr="00E73BD4">
              <w:rPr>
                <w:rFonts w:cs="Arial"/>
                <w:szCs w:val="20"/>
              </w:rPr>
              <w:t>Countering the financing of terrorism</w:t>
            </w:r>
          </w:p>
        </w:tc>
      </w:tr>
      <w:tr w:rsidR="00277C14" w:rsidRPr="00E73BD4" w14:paraId="13F49F37" w14:textId="77777777" w:rsidTr="00277C14">
        <w:trPr>
          <w:jc w:val="center"/>
        </w:trPr>
        <w:tc>
          <w:tcPr>
            <w:tcW w:w="2914" w:type="dxa"/>
          </w:tcPr>
          <w:p w14:paraId="3AF52980" w14:textId="77777777" w:rsidR="00277C14" w:rsidRPr="00E73BD4" w:rsidRDefault="00277C14" w:rsidP="00277C14">
            <w:pPr>
              <w:rPr>
                <w:rFonts w:cs="Arial"/>
                <w:szCs w:val="20"/>
              </w:rPr>
            </w:pPr>
            <w:r w:rsidRPr="00E73BD4">
              <w:rPr>
                <w:rFonts w:cs="Arial"/>
                <w:szCs w:val="20"/>
              </w:rPr>
              <w:t>COP</w:t>
            </w:r>
          </w:p>
        </w:tc>
        <w:tc>
          <w:tcPr>
            <w:tcW w:w="6969" w:type="dxa"/>
          </w:tcPr>
          <w:p w14:paraId="6A45D476" w14:textId="77777777" w:rsidR="00277C14" w:rsidRPr="00E73BD4" w:rsidRDefault="00277C14" w:rsidP="00277C14">
            <w:pPr>
              <w:rPr>
                <w:rFonts w:cs="Arial"/>
                <w:szCs w:val="20"/>
              </w:rPr>
            </w:pPr>
            <w:r w:rsidRPr="00E73BD4">
              <w:rPr>
                <w:rFonts w:cs="Arial"/>
                <w:szCs w:val="20"/>
              </w:rPr>
              <w:t>Conference of the Parties to the 2005 Council of Europe Convention on Laundering, Search, Seizure and Confiscation of the Proceeds from Crime and on the Financing of Terrorism – the Warsaw Convention (CETS 198)</w:t>
            </w:r>
          </w:p>
        </w:tc>
      </w:tr>
      <w:tr w:rsidR="00277C14" w:rsidRPr="00E73BD4" w14:paraId="31FEB3A7" w14:textId="77777777" w:rsidTr="00277C14">
        <w:trPr>
          <w:jc w:val="center"/>
        </w:trPr>
        <w:tc>
          <w:tcPr>
            <w:tcW w:w="2914" w:type="dxa"/>
          </w:tcPr>
          <w:p w14:paraId="1DE7CDB0" w14:textId="77777777" w:rsidR="00277C14" w:rsidRPr="00E73BD4" w:rsidRDefault="00277C14" w:rsidP="00277C14">
            <w:pPr>
              <w:rPr>
                <w:rFonts w:cs="Arial"/>
                <w:szCs w:val="20"/>
              </w:rPr>
            </w:pPr>
            <w:r w:rsidRPr="00E73BD4">
              <w:rPr>
                <w:rFonts w:cs="Arial"/>
                <w:szCs w:val="20"/>
              </w:rPr>
              <w:t>DNFBPs</w:t>
            </w:r>
          </w:p>
          <w:p w14:paraId="565F85D5" w14:textId="55F46D19" w:rsidR="00277C14" w:rsidRPr="00E73BD4" w:rsidRDefault="00277C14" w:rsidP="00277C14">
            <w:pPr>
              <w:rPr>
                <w:rFonts w:cs="Arial"/>
                <w:szCs w:val="20"/>
              </w:rPr>
            </w:pPr>
            <w:r w:rsidRPr="00E73BD4">
              <w:rPr>
                <w:rFonts w:cs="Arial"/>
                <w:szCs w:val="20"/>
              </w:rPr>
              <w:t>EAG</w:t>
            </w:r>
          </w:p>
        </w:tc>
        <w:tc>
          <w:tcPr>
            <w:tcW w:w="6969" w:type="dxa"/>
          </w:tcPr>
          <w:p w14:paraId="299E255B" w14:textId="77777777" w:rsidR="00277C14" w:rsidRPr="00E73BD4" w:rsidRDefault="00277C14" w:rsidP="00277C14">
            <w:pPr>
              <w:rPr>
                <w:rFonts w:cs="Arial"/>
                <w:szCs w:val="20"/>
              </w:rPr>
            </w:pPr>
            <w:r w:rsidRPr="00E73BD4">
              <w:rPr>
                <w:rFonts w:cs="Arial"/>
                <w:szCs w:val="20"/>
              </w:rPr>
              <w:t>Designated non-financial businesses and professions</w:t>
            </w:r>
          </w:p>
          <w:p w14:paraId="68B2E4C1" w14:textId="07A1F9DD" w:rsidR="00277C14" w:rsidRPr="00E73BD4" w:rsidRDefault="00277C14" w:rsidP="00277C14">
            <w:pPr>
              <w:rPr>
                <w:rFonts w:cs="Arial"/>
                <w:szCs w:val="20"/>
              </w:rPr>
            </w:pPr>
            <w:r w:rsidRPr="00E73BD4">
              <w:rPr>
                <w:rFonts w:cs="Arial"/>
                <w:szCs w:val="20"/>
              </w:rPr>
              <w:t>Eurasian Group on Combating ML/T</w:t>
            </w:r>
          </w:p>
        </w:tc>
      </w:tr>
      <w:tr w:rsidR="00277C14" w:rsidRPr="00E73BD4" w14:paraId="77C852E9" w14:textId="77777777" w:rsidTr="00277C14">
        <w:trPr>
          <w:jc w:val="center"/>
        </w:trPr>
        <w:tc>
          <w:tcPr>
            <w:tcW w:w="2914" w:type="dxa"/>
          </w:tcPr>
          <w:p w14:paraId="133EEAF5" w14:textId="77777777" w:rsidR="00277C14" w:rsidRPr="00E73BD4" w:rsidRDefault="00277C14" w:rsidP="00277C14">
            <w:pPr>
              <w:rPr>
                <w:rFonts w:cs="Arial"/>
                <w:szCs w:val="20"/>
              </w:rPr>
            </w:pPr>
            <w:r w:rsidRPr="00E73BD4">
              <w:rPr>
                <w:rFonts w:cs="Arial"/>
                <w:szCs w:val="20"/>
              </w:rPr>
              <w:t>EU</w:t>
            </w:r>
          </w:p>
        </w:tc>
        <w:tc>
          <w:tcPr>
            <w:tcW w:w="6969" w:type="dxa"/>
          </w:tcPr>
          <w:p w14:paraId="6FC871F2" w14:textId="77777777" w:rsidR="00277C14" w:rsidRPr="00E73BD4" w:rsidRDefault="00277C14" w:rsidP="00277C14">
            <w:pPr>
              <w:rPr>
                <w:rFonts w:cs="Arial"/>
                <w:szCs w:val="20"/>
              </w:rPr>
            </w:pPr>
            <w:r w:rsidRPr="00E73BD4">
              <w:rPr>
                <w:rFonts w:cs="Arial"/>
                <w:szCs w:val="20"/>
              </w:rPr>
              <w:t>European Union</w:t>
            </w:r>
          </w:p>
        </w:tc>
      </w:tr>
      <w:tr w:rsidR="00277C14" w:rsidRPr="00E73BD4" w14:paraId="2DA10FD1" w14:textId="77777777" w:rsidTr="00277C14">
        <w:trPr>
          <w:jc w:val="center"/>
        </w:trPr>
        <w:tc>
          <w:tcPr>
            <w:tcW w:w="2914" w:type="dxa"/>
          </w:tcPr>
          <w:p w14:paraId="5B21BA8A" w14:textId="77777777" w:rsidR="00277C14" w:rsidRPr="00E73BD4" w:rsidRDefault="00277C14" w:rsidP="00277C14">
            <w:pPr>
              <w:rPr>
                <w:rFonts w:cs="Arial"/>
                <w:szCs w:val="20"/>
              </w:rPr>
            </w:pPr>
            <w:r w:rsidRPr="00E73BD4">
              <w:rPr>
                <w:rFonts w:cs="Arial"/>
                <w:szCs w:val="20"/>
              </w:rPr>
              <w:t>FATF</w:t>
            </w:r>
          </w:p>
        </w:tc>
        <w:tc>
          <w:tcPr>
            <w:tcW w:w="6969" w:type="dxa"/>
          </w:tcPr>
          <w:p w14:paraId="37FE30C0" w14:textId="77777777" w:rsidR="00277C14" w:rsidRPr="00E73BD4" w:rsidRDefault="00277C14" w:rsidP="00277C14">
            <w:pPr>
              <w:rPr>
                <w:rFonts w:cs="Arial"/>
                <w:szCs w:val="20"/>
              </w:rPr>
            </w:pPr>
            <w:r w:rsidRPr="00E73BD4">
              <w:rPr>
                <w:rFonts w:cs="Arial"/>
                <w:szCs w:val="20"/>
              </w:rPr>
              <w:t>Financial Action Task Force</w:t>
            </w:r>
          </w:p>
        </w:tc>
      </w:tr>
      <w:tr w:rsidR="00277C14" w:rsidRPr="00E73BD4" w14:paraId="05DA7229" w14:textId="77777777" w:rsidTr="00277C14">
        <w:trPr>
          <w:jc w:val="center"/>
        </w:trPr>
        <w:tc>
          <w:tcPr>
            <w:tcW w:w="2914" w:type="dxa"/>
          </w:tcPr>
          <w:p w14:paraId="16E88524" w14:textId="77777777" w:rsidR="00277C14" w:rsidRPr="00E73BD4" w:rsidRDefault="00277C14" w:rsidP="00277C14">
            <w:pPr>
              <w:rPr>
                <w:rFonts w:cs="Arial"/>
                <w:szCs w:val="20"/>
              </w:rPr>
            </w:pPr>
            <w:r w:rsidRPr="00E73BD4">
              <w:rPr>
                <w:rFonts w:cs="Arial"/>
                <w:szCs w:val="20"/>
              </w:rPr>
              <w:t>FIU</w:t>
            </w:r>
          </w:p>
        </w:tc>
        <w:tc>
          <w:tcPr>
            <w:tcW w:w="6969" w:type="dxa"/>
          </w:tcPr>
          <w:p w14:paraId="7148831A" w14:textId="77777777" w:rsidR="00277C14" w:rsidRPr="00E73BD4" w:rsidRDefault="00277C14" w:rsidP="00277C14">
            <w:pPr>
              <w:rPr>
                <w:rFonts w:cs="Arial"/>
                <w:szCs w:val="20"/>
              </w:rPr>
            </w:pPr>
            <w:r w:rsidRPr="00E73BD4">
              <w:rPr>
                <w:rFonts w:cs="Arial"/>
                <w:szCs w:val="20"/>
              </w:rPr>
              <w:t>Financial intelligence unit</w:t>
            </w:r>
          </w:p>
        </w:tc>
      </w:tr>
      <w:tr w:rsidR="00277C14" w:rsidRPr="00E73BD4" w14:paraId="4A2FE858" w14:textId="77777777" w:rsidTr="00277C14">
        <w:trPr>
          <w:jc w:val="center"/>
        </w:trPr>
        <w:tc>
          <w:tcPr>
            <w:tcW w:w="2914" w:type="dxa"/>
          </w:tcPr>
          <w:p w14:paraId="285A5029" w14:textId="77777777" w:rsidR="00277C14" w:rsidRPr="00E73BD4" w:rsidRDefault="00277C14" w:rsidP="00277C14">
            <w:pPr>
              <w:rPr>
                <w:rFonts w:cs="Arial"/>
                <w:szCs w:val="20"/>
              </w:rPr>
            </w:pPr>
            <w:r w:rsidRPr="00E73BD4">
              <w:rPr>
                <w:rFonts w:cs="Arial"/>
                <w:szCs w:val="20"/>
              </w:rPr>
              <w:t>FSRB</w:t>
            </w:r>
          </w:p>
        </w:tc>
        <w:tc>
          <w:tcPr>
            <w:tcW w:w="6969" w:type="dxa"/>
          </w:tcPr>
          <w:p w14:paraId="2BC1F064" w14:textId="77777777" w:rsidR="00277C14" w:rsidRPr="00E73BD4" w:rsidRDefault="00277C14" w:rsidP="00277C14">
            <w:pPr>
              <w:rPr>
                <w:rFonts w:cs="Arial"/>
                <w:szCs w:val="20"/>
              </w:rPr>
            </w:pPr>
            <w:r w:rsidRPr="00E73BD4">
              <w:rPr>
                <w:rFonts w:cs="Arial"/>
                <w:szCs w:val="20"/>
              </w:rPr>
              <w:t>FATF-Style Regional Body</w:t>
            </w:r>
          </w:p>
        </w:tc>
      </w:tr>
      <w:tr w:rsidR="00277C14" w:rsidRPr="00E73BD4" w14:paraId="46BB41BD" w14:textId="77777777" w:rsidTr="00277C14">
        <w:trPr>
          <w:jc w:val="center"/>
        </w:trPr>
        <w:tc>
          <w:tcPr>
            <w:tcW w:w="2914" w:type="dxa"/>
          </w:tcPr>
          <w:p w14:paraId="2AF164C4" w14:textId="77777777" w:rsidR="00277C14" w:rsidRPr="00E73BD4" w:rsidRDefault="00277C14" w:rsidP="00277C14">
            <w:pPr>
              <w:rPr>
                <w:rFonts w:cs="Arial"/>
                <w:szCs w:val="20"/>
              </w:rPr>
            </w:pPr>
            <w:r w:rsidRPr="00E73BD4">
              <w:rPr>
                <w:rFonts w:cs="Arial"/>
                <w:szCs w:val="20"/>
              </w:rPr>
              <w:t>FT</w:t>
            </w:r>
          </w:p>
        </w:tc>
        <w:tc>
          <w:tcPr>
            <w:tcW w:w="6969" w:type="dxa"/>
          </w:tcPr>
          <w:p w14:paraId="09B38328" w14:textId="77777777" w:rsidR="00277C14" w:rsidRPr="00E73BD4" w:rsidRDefault="00277C14" w:rsidP="00277C14">
            <w:pPr>
              <w:rPr>
                <w:rFonts w:cs="Arial"/>
                <w:szCs w:val="20"/>
              </w:rPr>
            </w:pPr>
            <w:r w:rsidRPr="00E73BD4">
              <w:rPr>
                <w:rFonts w:cs="Arial"/>
                <w:szCs w:val="20"/>
              </w:rPr>
              <w:t>Financing of terrorism</w:t>
            </w:r>
          </w:p>
        </w:tc>
      </w:tr>
      <w:tr w:rsidR="00277C14" w:rsidRPr="00E73BD4" w14:paraId="0D9AD4F9" w14:textId="77777777" w:rsidTr="00277C14">
        <w:trPr>
          <w:jc w:val="center"/>
        </w:trPr>
        <w:tc>
          <w:tcPr>
            <w:tcW w:w="2914" w:type="dxa"/>
          </w:tcPr>
          <w:p w14:paraId="18D5CFF2" w14:textId="77777777" w:rsidR="00277C14" w:rsidRPr="00E73BD4" w:rsidRDefault="00277C14" w:rsidP="00277C14">
            <w:pPr>
              <w:rPr>
                <w:rFonts w:cs="Arial"/>
                <w:szCs w:val="20"/>
              </w:rPr>
            </w:pPr>
            <w:r w:rsidRPr="00E73BD4">
              <w:rPr>
                <w:rFonts w:cs="Arial"/>
                <w:szCs w:val="20"/>
              </w:rPr>
              <w:t>ICRG</w:t>
            </w:r>
          </w:p>
        </w:tc>
        <w:tc>
          <w:tcPr>
            <w:tcW w:w="6969" w:type="dxa"/>
          </w:tcPr>
          <w:p w14:paraId="5D973A0C" w14:textId="77777777" w:rsidR="00277C14" w:rsidRPr="00E73BD4" w:rsidRDefault="00277C14" w:rsidP="00277C14">
            <w:pPr>
              <w:rPr>
                <w:rFonts w:cs="Arial"/>
                <w:szCs w:val="20"/>
              </w:rPr>
            </w:pPr>
            <w:r w:rsidRPr="00E73BD4">
              <w:rPr>
                <w:rFonts w:cs="Arial"/>
                <w:szCs w:val="20"/>
              </w:rPr>
              <w:t>International Co-operation Review Group of the FATF</w:t>
            </w:r>
          </w:p>
        </w:tc>
      </w:tr>
      <w:tr w:rsidR="00277C14" w:rsidRPr="00E73BD4" w14:paraId="229BFA76" w14:textId="77777777" w:rsidTr="00277C14">
        <w:trPr>
          <w:jc w:val="center"/>
        </w:trPr>
        <w:tc>
          <w:tcPr>
            <w:tcW w:w="2914" w:type="dxa"/>
          </w:tcPr>
          <w:p w14:paraId="07E91C8B" w14:textId="77777777" w:rsidR="00277C14" w:rsidRPr="00E73BD4" w:rsidRDefault="00277C14" w:rsidP="00277C14">
            <w:pPr>
              <w:rPr>
                <w:rFonts w:cs="Arial"/>
                <w:szCs w:val="20"/>
              </w:rPr>
            </w:pPr>
            <w:r w:rsidRPr="00E73BD4">
              <w:rPr>
                <w:rFonts w:cs="Arial"/>
                <w:szCs w:val="20"/>
              </w:rPr>
              <w:t>IFIs</w:t>
            </w:r>
          </w:p>
        </w:tc>
        <w:tc>
          <w:tcPr>
            <w:tcW w:w="6969" w:type="dxa"/>
          </w:tcPr>
          <w:p w14:paraId="14F8A9EF" w14:textId="77777777" w:rsidR="00277C14" w:rsidRPr="00E73BD4" w:rsidRDefault="00277C14" w:rsidP="00277C14">
            <w:pPr>
              <w:rPr>
                <w:rFonts w:cs="Arial"/>
                <w:szCs w:val="20"/>
              </w:rPr>
            </w:pPr>
            <w:r w:rsidRPr="00E73BD4">
              <w:rPr>
                <w:rFonts w:cs="Arial"/>
                <w:szCs w:val="20"/>
              </w:rPr>
              <w:t>International financial institutions – IMF and World Bank</w:t>
            </w:r>
          </w:p>
        </w:tc>
      </w:tr>
      <w:tr w:rsidR="00277C14" w:rsidRPr="00E73BD4" w14:paraId="2B37B08A" w14:textId="77777777" w:rsidTr="00277C14">
        <w:trPr>
          <w:jc w:val="center"/>
        </w:trPr>
        <w:tc>
          <w:tcPr>
            <w:tcW w:w="2914" w:type="dxa"/>
          </w:tcPr>
          <w:p w14:paraId="54E44307" w14:textId="77777777" w:rsidR="00277C14" w:rsidRPr="00E73BD4" w:rsidRDefault="00277C14" w:rsidP="00277C14">
            <w:pPr>
              <w:rPr>
                <w:rFonts w:cs="Arial"/>
                <w:szCs w:val="20"/>
              </w:rPr>
            </w:pPr>
            <w:r w:rsidRPr="00E73BD4">
              <w:rPr>
                <w:rFonts w:cs="Arial"/>
                <w:szCs w:val="20"/>
              </w:rPr>
              <w:t>IMF</w:t>
            </w:r>
          </w:p>
        </w:tc>
        <w:tc>
          <w:tcPr>
            <w:tcW w:w="6969" w:type="dxa"/>
          </w:tcPr>
          <w:p w14:paraId="53EC4C4B" w14:textId="77777777" w:rsidR="00277C14" w:rsidRPr="00E73BD4" w:rsidRDefault="00277C14" w:rsidP="00277C14">
            <w:pPr>
              <w:rPr>
                <w:rFonts w:cs="Arial"/>
                <w:szCs w:val="20"/>
              </w:rPr>
            </w:pPr>
            <w:r w:rsidRPr="00E73BD4">
              <w:rPr>
                <w:rFonts w:cs="Arial"/>
                <w:szCs w:val="20"/>
              </w:rPr>
              <w:t>International Monetary Fund</w:t>
            </w:r>
          </w:p>
        </w:tc>
      </w:tr>
      <w:tr w:rsidR="00277C14" w:rsidRPr="00E73BD4" w14:paraId="652C4422" w14:textId="77777777" w:rsidTr="00277C14">
        <w:trPr>
          <w:jc w:val="center"/>
        </w:trPr>
        <w:tc>
          <w:tcPr>
            <w:tcW w:w="2914" w:type="dxa"/>
          </w:tcPr>
          <w:p w14:paraId="127C6910" w14:textId="77777777" w:rsidR="00277C14" w:rsidRPr="00E73BD4" w:rsidRDefault="00277C14" w:rsidP="00277C14">
            <w:pPr>
              <w:rPr>
                <w:rFonts w:cs="Arial"/>
                <w:szCs w:val="20"/>
              </w:rPr>
            </w:pPr>
            <w:r w:rsidRPr="00E73BD4">
              <w:rPr>
                <w:rFonts w:cs="Arial"/>
                <w:szCs w:val="20"/>
              </w:rPr>
              <w:t>LEAs</w:t>
            </w:r>
          </w:p>
        </w:tc>
        <w:tc>
          <w:tcPr>
            <w:tcW w:w="6969" w:type="dxa"/>
          </w:tcPr>
          <w:p w14:paraId="49D756DD" w14:textId="77777777" w:rsidR="00277C14" w:rsidRPr="00E73BD4" w:rsidRDefault="00277C14" w:rsidP="00277C14">
            <w:pPr>
              <w:rPr>
                <w:rFonts w:cs="Arial"/>
                <w:szCs w:val="20"/>
              </w:rPr>
            </w:pPr>
            <w:r w:rsidRPr="00E73BD4">
              <w:rPr>
                <w:rFonts w:cs="Arial"/>
                <w:szCs w:val="20"/>
              </w:rPr>
              <w:t>Law enforcement authorities</w:t>
            </w:r>
          </w:p>
        </w:tc>
      </w:tr>
      <w:tr w:rsidR="00277C14" w:rsidRPr="00E73BD4" w14:paraId="5F71E024" w14:textId="77777777" w:rsidTr="00277C14">
        <w:trPr>
          <w:jc w:val="center"/>
        </w:trPr>
        <w:tc>
          <w:tcPr>
            <w:tcW w:w="2914" w:type="dxa"/>
          </w:tcPr>
          <w:p w14:paraId="6E3EC31C" w14:textId="77777777" w:rsidR="00277C14" w:rsidRPr="00E73BD4" w:rsidRDefault="00277C14" w:rsidP="00277C14">
            <w:pPr>
              <w:rPr>
                <w:rFonts w:cs="Arial"/>
                <w:szCs w:val="20"/>
              </w:rPr>
            </w:pPr>
            <w:r w:rsidRPr="00E73BD4">
              <w:rPr>
                <w:rFonts w:cs="Arial"/>
                <w:szCs w:val="20"/>
              </w:rPr>
              <w:t>MER</w:t>
            </w:r>
          </w:p>
        </w:tc>
        <w:tc>
          <w:tcPr>
            <w:tcW w:w="6969" w:type="dxa"/>
          </w:tcPr>
          <w:p w14:paraId="78D0058D" w14:textId="77777777" w:rsidR="00277C14" w:rsidRPr="00E73BD4" w:rsidRDefault="00277C14" w:rsidP="00277C14">
            <w:pPr>
              <w:rPr>
                <w:rFonts w:cs="Arial"/>
                <w:szCs w:val="20"/>
              </w:rPr>
            </w:pPr>
            <w:r w:rsidRPr="00E73BD4">
              <w:rPr>
                <w:rFonts w:cs="Arial"/>
                <w:szCs w:val="20"/>
              </w:rPr>
              <w:t>Mutual evaluation report</w:t>
            </w:r>
          </w:p>
        </w:tc>
      </w:tr>
      <w:tr w:rsidR="00277C14" w:rsidRPr="00E73BD4" w14:paraId="6E2D1824" w14:textId="77777777" w:rsidTr="00277C14">
        <w:trPr>
          <w:jc w:val="center"/>
        </w:trPr>
        <w:tc>
          <w:tcPr>
            <w:tcW w:w="2914" w:type="dxa"/>
          </w:tcPr>
          <w:p w14:paraId="2EB0B0E7" w14:textId="77777777" w:rsidR="00277C14" w:rsidRPr="00E73BD4" w:rsidRDefault="00277C14" w:rsidP="00277C14">
            <w:pPr>
              <w:rPr>
                <w:rFonts w:cs="Arial"/>
                <w:szCs w:val="20"/>
              </w:rPr>
            </w:pPr>
            <w:r w:rsidRPr="00E73BD4">
              <w:rPr>
                <w:rFonts w:cs="Arial"/>
                <w:szCs w:val="20"/>
              </w:rPr>
              <w:t>ML</w:t>
            </w:r>
          </w:p>
        </w:tc>
        <w:tc>
          <w:tcPr>
            <w:tcW w:w="6969" w:type="dxa"/>
          </w:tcPr>
          <w:p w14:paraId="4B7F5001" w14:textId="77777777" w:rsidR="00277C14" w:rsidRPr="00E73BD4" w:rsidRDefault="00277C14" w:rsidP="00277C14">
            <w:pPr>
              <w:rPr>
                <w:rFonts w:cs="Arial"/>
                <w:szCs w:val="20"/>
              </w:rPr>
            </w:pPr>
            <w:r w:rsidRPr="00E73BD4">
              <w:rPr>
                <w:rFonts w:cs="Arial"/>
                <w:szCs w:val="20"/>
              </w:rPr>
              <w:t>Money laundering</w:t>
            </w:r>
          </w:p>
        </w:tc>
      </w:tr>
      <w:tr w:rsidR="00277C14" w:rsidRPr="00E73BD4" w14:paraId="5A2C621C" w14:textId="77777777" w:rsidTr="00277C14">
        <w:trPr>
          <w:jc w:val="center"/>
        </w:trPr>
        <w:tc>
          <w:tcPr>
            <w:tcW w:w="2914" w:type="dxa"/>
          </w:tcPr>
          <w:p w14:paraId="53041EDA" w14:textId="77777777" w:rsidR="00277C14" w:rsidRPr="00E73BD4" w:rsidRDefault="00277C14" w:rsidP="00277C14">
            <w:pPr>
              <w:rPr>
                <w:rFonts w:cs="Arial"/>
                <w:szCs w:val="20"/>
              </w:rPr>
            </w:pPr>
            <w:r w:rsidRPr="00E73BD4">
              <w:rPr>
                <w:rFonts w:cs="Arial"/>
                <w:szCs w:val="20"/>
              </w:rPr>
              <w:t>MLA</w:t>
            </w:r>
          </w:p>
        </w:tc>
        <w:tc>
          <w:tcPr>
            <w:tcW w:w="6969" w:type="dxa"/>
          </w:tcPr>
          <w:p w14:paraId="6020821C" w14:textId="77777777" w:rsidR="00277C14" w:rsidRPr="00E73BD4" w:rsidRDefault="00277C14" w:rsidP="00277C14">
            <w:pPr>
              <w:rPr>
                <w:rFonts w:cs="Arial"/>
                <w:szCs w:val="20"/>
              </w:rPr>
            </w:pPr>
            <w:r w:rsidRPr="00E73BD4">
              <w:rPr>
                <w:rFonts w:cs="Arial"/>
                <w:szCs w:val="20"/>
              </w:rPr>
              <w:t>Mutual legal assistance</w:t>
            </w:r>
          </w:p>
        </w:tc>
      </w:tr>
      <w:tr w:rsidR="00277C14" w:rsidRPr="00E73BD4" w14:paraId="4298FBB3" w14:textId="77777777" w:rsidTr="00277C14">
        <w:trPr>
          <w:jc w:val="center"/>
        </w:trPr>
        <w:tc>
          <w:tcPr>
            <w:tcW w:w="2914" w:type="dxa"/>
          </w:tcPr>
          <w:p w14:paraId="26A9D93B" w14:textId="253F9D6D" w:rsidR="00277C14" w:rsidRPr="00E73BD4" w:rsidRDefault="00277C14" w:rsidP="00277C14">
            <w:pPr>
              <w:rPr>
                <w:rFonts w:cs="Arial"/>
                <w:szCs w:val="20"/>
              </w:rPr>
            </w:pPr>
            <w:r w:rsidRPr="00E73BD4">
              <w:rPr>
                <w:rFonts w:cs="Arial"/>
                <w:szCs w:val="20"/>
              </w:rPr>
              <w:t>NP</w:t>
            </w:r>
            <w:r w:rsidR="006E54F2">
              <w:rPr>
                <w:rFonts w:cs="Arial"/>
                <w:szCs w:val="20"/>
              </w:rPr>
              <w:t>O</w:t>
            </w:r>
          </w:p>
        </w:tc>
        <w:tc>
          <w:tcPr>
            <w:tcW w:w="6969" w:type="dxa"/>
          </w:tcPr>
          <w:p w14:paraId="4E202785" w14:textId="2F8BCBC3" w:rsidR="00277C14" w:rsidRPr="00E73BD4" w:rsidRDefault="00277C14" w:rsidP="006E54F2">
            <w:pPr>
              <w:rPr>
                <w:rFonts w:cs="Arial"/>
                <w:szCs w:val="20"/>
                <w:lang w:val="fr-FR"/>
              </w:rPr>
            </w:pPr>
            <w:r w:rsidRPr="00E73BD4">
              <w:rPr>
                <w:rFonts w:cs="Arial"/>
                <w:szCs w:val="20"/>
                <w:lang w:val="fr-FR"/>
              </w:rPr>
              <w:t>Non-profit organisation</w:t>
            </w:r>
          </w:p>
        </w:tc>
      </w:tr>
      <w:tr w:rsidR="00277C14" w:rsidRPr="00E73BD4" w14:paraId="6314F27F" w14:textId="77777777" w:rsidTr="00277C14">
        <w:trPr>
          <w:jc w:val="center"/>
        </w:trPr>
        <w:tc>
          <w:tcPr>
            <w:tcW w:w="2914" w:type="dxa"/>
          </w:tcPr>
          <w:p w14:paraId="01FCC877" w14:textId="77777777" w:rsidR="00277C14" w:rsidRPr="00E73BD4" w:rsidRDefault="00277C14" w:rsidP="00277C14">
            <w:pPr>
              <w:rPr>
                <w:rFonts w:cs="Arial"/>
                <w:szCs w:val="20"/>
              </w:rPr>
            </w:pPr>
            <w:r w:rsidRPr="00E73BD4">
              <w:rPr>
                <w:rFonts w:cs="Arial"/>
                <w:szCs w:val="20"/>
              </w:rPr>
              <w:t>OSCE</w:t>
            </w:r>
          </w:p>
        </w:tc>
        <w:tc>
          <w:tcPr>
            <w:tcW w:w="6969" w:type="dxa"/>
          </w:tcPr>
          <w:p w14:paraId="59A326D0" w14:textId="77777777" w:rsidR="00277C14" w:rsidRPr="00E73BD4" w:rsidRDefault="00277C14" w:rsidP="00277C14">
            <w:pPr>
              <w:rPr>
                <w:rFonts w:cs="Arial"/>
                <w:szCs w:val="20"/>
              </w:rPr>
            </w:pPr>
            <w:r w:rsidRPr="00E73BD4">
              <w:rPr>
                <w:rFonts w:cs="Arial"/>
                <w:szCs w:val="20"/>
              </w:rPr>
              <w:t>Organisation for Security and Co-operation in Europe</w:t>
            </w:r>
          </w:p>
        </w:tc>
      </w:tr>
      <w:tr w:rsidR="00277C14" w:rsidRPr="00E73BD4" w14:paraId="33C9D532" w14:textId="77777777" w:rsidTr="00277C14">
        <w:trPr>
          <w:jc w:val="center"/>
        </w:trPr>
        <w:tc>
          <w:tcPr>
            <w:tcW w:w="2914" w:type="dxa"/>
          </w:tcPr>
          <w:p w14:paraId="35A7E96C" w14:textId="77777777" w:rsidR="00277C14" w:rsidRPr="00E73BD4" w:rsidRDefault="00277C14" w:rsidP="00277C14">
            <w:pPr>
              <w:rPr>
                <w:rFonts w:cs="Arial"/>
                <w:szCs w:val="20"/>
              </w:rPr>
            </w:pPr>
            <w:r w:rsidRPr="00E73BD4">
              <w:rPr>
                <w:rFonts w:cs="Arial"/>
                <w:szCs w:val="20"/>
              </w:rPr>
              <w:t>PACE</w:t>
            </w:r>
          </w:p>
        </w:tc>
        <w:tc>
          <w:tcPr>
            <w:tcW w:w="6969" w:type="dxa"/>
          </w:tcPr>
          <w:p w14:paraId="05B2B4AC" w14:textId="77777777" w:rsidR="00277C14" w:rsidRPr="00E73BD4" w:rsidRDefault="00277C14" w:rsidP="00277C14">
            <w:pPr>
              <w:rPr>
                <w:rFonts w:cs="Arial"/>
                <w:szCs w:val="20"/>
              </w:rPr>
            </w:pPr>
            <w:r w:rsidRPr="00E73BD4">
              <w:rPr>
                <w:rFonts w:cs="Arial"/>
                <w:szCs w:val="20"/>
              </w:rPr>
              <w:t>Parliamentary Assembly of the Council of Europe</w:t>
            </w:r>
          </w:p>
        </w:tc>
      </w:tr>
      <w:tr w:rsidR="00277C14" w:rsidRPr="00E73BD4" w14:paraId="4AB685B1" w14:textId="77777777" w:rsidTr="00277C14">
        <w:trPr>
          <w:jc w:val="center"/>
        </w:trPr>
        <w:tc>
          <w:tcPr>
            <w:tcW w:w="2914" w:type="dxa"/>
          </w:tcPr>
          <w:p w14:paraId="0A8E0BD1" w14:textId="77777777" w:rsidR="00277C14" w:rsidRPr="00E73BD4" w:rsidRDefault="00277C14" w:rsidP="00277C14">
            <w:pPr>
              <w:rPr>
                <w:rFonts w:cs="Arial"/>
                <w:szCs w:val="20"/>
              </w:rPr>
            </w:pPr>
            <w:r w:rsidRPr="00E73BD4">
              <w:rPr>
                <w:rFonts w:cs="Arial"/>
                <w:szCs w:val="20"/>
              </w:rPr>
              <w:t>R.</w:t>
            </w:r>
          </w:p>
        </w:tc>
        <w:tc>
          <w:tcPr>
            <w:tcW w:w="6969" w:type="dxa"/>
          </w:tcPr>
          <w:p w14:paraId="62AE105C" w14:textId="77777777" w:rsidR="00277C14" w:rsidRPr="00E73BD4" w:rsidRDefault="00277C14" w:rsidP="00277C14">
            <w:pPr>
              <w:rPr>
                <w:rFonts w:cs="Arial"/>
                <w:szCs w:val="20"/>
              </w:rPr>
            </w:pPr>
            <w:r w:rsidRPr="00E73BD4">
              <w:rPr>
                <w:rFonts w:cs="Arial"/>
                <w:szCs w:val="20"/>
              </w:rPr>
              <w:t>Recommendation</w:t>
            </w:r>
          </w:p>
        </w:tc>
      </w:tr>
      <w:tr w:rsidR="00277C14" w:rsidRPr="00E73BD4" w14:paraId="71BDE8C1" w14:textId="77777777" w:rsidTr="00277C14">
        <w:trPr>
          <w:jc w:val="center"/>
        </w:trPr>
        <w:tc>
          <w:tcPr>
            <w:tcW w:w="2914" w:type="dxa"/>
          </w:tcPr>
          <w:p w14:paraId="5733C332" w14:textId="77777777" w:rsidR="00277C14" w:rsidRPr="00E73BD4" w:rsidRDefault="00277C14" w:rsidP="00277C14">
            <w:pPr>
              <w:rPr>
                <w:rFonts w:cs="Arial"/>
                <w:szCs w:val="20"/>
              </w:rPr>
            </w:pPr>
            <w:r w:rsidRPr="00E73BD4">
              <w:rPr>
                <w:rFonts w:cs="Arial"/>
                <w:szCs w:val="20"/>
              </w:rPr>
              <w:t>SAR</w:t>
            </w:r>
          </w:p>
          <w:p w14:paraId="77D44494" w14:textId="77777777" w:rsidR="00277C14" w:rsidRPr="00E73BD4" w:rsidRDefault="00277C14" w:rsidP="00277C14">
            <w:pPr>
              <w:rPr>
                <w:rFonts w:cs="Arial"/>
                <w:szCs w:val="20"/>
              </w:rPr>
            </w:pPr>
            <w:r w:rsidRPr="00E73BD4">
              <w:rPr>
                <w:rFonts w:cs="Arial"/>
                <w:szCs w:val="20"/>
              </w:rPr>
              <w:t>SR.</w:t>
            </w:r>
          </w:p>
        </w:tc>
        <w:tc>
          <w:tcPr>
            <w:tcW w:w="6969" w:type="dxa"/>
          </w:tcPr>
          <w:p w14:paraId="2557E5CB" w14:textId="77777777" w:rsidR="00277C14" w:rsidRPr="00E73BD4" w:rsidRDefault="00277C14" w:rsidP="00277C14">
            <w:pPr>
              <w:rPr>
                <w:rFonts w:cs="Arial"/>
                <w:szCs w:val="20"/>
              </w:rPr>
            </w:pPr>
            <w:r w:rsidRPr="00E73BD4">
              <w:rPr>
                <w:rFonts w:cs="Arial"/>
                <w:szCs w:val="20"/>
              </w:rPr>
              <w:t>Suspicious activity report</w:t>
            </w:r>
          </w:p>
          <w:p w14:paraId="38175252" w14:textId="77777777" w:rsidR="00277C14" w:rsidRPr="00E73BD4" w:rsidRDefault="00277C14" w:rsidP="00277C14">
            <w:pPr>
              <w:rPr>
                <w:rFonts w:cs="Arial"/>
                <w:szCs w:val="20"/>
              </w:rPr>
            </w:pPr>
            <w:r w:rsidRPr="00E73BD4">
              <w:rPr>
                <w:rFonts w:cs="Arial"/>
                <w:szCs w:val="20"/>
              </w:rPr>
              <w:t>Special Recommendation</w:t>
            </w:r>
          </w:p>
        </w:tc>
      </w:tr>
      <w:tr w:rsidR="00277C14" w:rsidRPr="00E73BD4" w14:paraId="2A768258" w14:textId="77777777" w:rsidTr="00277C14">
        <w:trPr>
          <w:jc w:val="center"/>
        </w:trPr>
        <w:tc>
          <w:tcPr>
            <w:tcW w:w="2914" w:type="dxa"/>
          </w:tcPr>
          <w:p w14:paraId="4CA21A77" w14:textId="66AB7FAE" w:rsidR="00277C14" w:rsidRPr="00E73BD4" w:rsidRDefault="00277C14" w:rsidP="00277C14">
            <w:pPr>
              <w:rPr>
                <w:rFonts w:cs="Arial"/>
                <w:szCs w:val="20"/>
              </w:rPr>
            </w:pPr>
            <w:r w:rsidRPr="00E73BD4">
              <w:rPr>
                <w:rFonts w:cs="Arial"/>
                <w:szCs w:val="20"/>
              </w:rPr>
              <w:t>STR</w:t>
            </w:r>
          </w:p>
        </w:tc>
        <w:tc>
          <w:tcPr>
            <w:tcW w:w="6969" w:type="dxa"/>
          </w:tcPr>
          <w:p w14:paraId="430ED10C" w14:textId="6E7A00F8" w:rsidR="00277C14" w:rsidRPr="00E73BD4" w:rsidRDefault="00277C14" w:rsidP="00277C14">
            <w:pPr>
              <w:rPr>
                <w:rFonts w:cs="Arial"/>
                <w:szCs w:val="20"/>
              </w:rPr>
            </w:pPr>
            <w:r w:rsidRPr="00E73BD4">
              <w:rPr>
                <w:rFonts w:cs="Arial"/>
                <w:szCs w:val="20"/>
              </w:rPr>
              <w:t>Suspicious transaction report</w:t>
            </w:r>
          </w:p>
        </w:tc>
      </w:tr>
      <w:tr w:rsidR="00277C14" w:rsidRPr="00E73BD4" w14:paraId="11E7278E" w14:textId="77777777" w:rsidTr="00277C14">
        <w:trPr>
          <w:jc w:val="center"/>
        </w:trPr>
        <w:tc>
          <w:tcPr>
            <w:tcW w:w="2914" w:type="dxa"/>
          </w:tcPr>
          <w:p w14:paraId="21372DD1" w14:textId="48AF9177" w:rsidR="00277C14" w:rsidRPr="00E73BD4" w:rsidRDefault="00277C14" w:rsidP="00277C14">
            <w:pPr>
              <w:rPr>
                <w:rFonts w:cs="Arial"/>
                <w:szCs w:val="20"/>
              </w:rPr>
            </w:pPr>
            <w:r w:rsidRPr="00E73BD4">
              <w:rPr>
                <w:rFonts w:cs="Arial"/>
                <w:szCs w:val="20"/>
              </w:rPr>
              <w:t>TF</w:t>
            </w:r>
          </w:p>
        </w:tc>
        <w:tc>
          <w:tcPr>
            <w:tcW w:w="6969" w:type="dxa"/>
          </w:tcPr>
          <w:p w14:paraId="6962E48F" w14:textId="0B198AD9" w:rsidR="00277C14" w:rsidRPr="00E73BD4" w:rsidRDefault="00277C14" w:rsidP="00277C14">
            <w:pPr>
              <w:rPr>
                <w:rFonts w:cs="Arial"/>
                <w:szCs w:val="20"/>
              </w:rPr>
            </w:pPr>
            <w:r w:rsidRPr="00E73BD4">
              <w:rPr>
                <w:rFonts w:cs="Arial"/>
                <w:szCs w:val="20"/>
              </w:rPr>
              <w:t>Terrorist financing</w:t>
            </w:r>
          </w:p>
        </w:tc>
      </w:tr>
      <w:tr w:rsidR="00277C14" w:rsidRPr="00E73BD4" w14:paraId="22B1C688" w14:textId="77777777" w:rsidTr="00277C14">
        <w:trPr>
          <w:jc w:val="center"/>
        </w:trPr>
        <w:tc>
          <w:tcPr>
            <w:tcW w:w="2914" w:type="dxa"/>
          </w:tcPr>
          <w:p w14:paraId="6FD5C875" w14:textId="32899761" w:rsidR="00766613" w:rsidRDefault="00766613" w:rsidP="00277C14">
            <w:pPr>
              <w:rPr>
                <w:rFonts w:cs="Arial"/>
                <w:szCs w:val="20"/>
              </w:rPr>
            </w:pPr>
            <w:r>
              <w:rPr>
                <w:rFonts w:cs="Arial"/>
                <w:szCs w:val="20"/>
              </w:rPr>
              <w:t>TFS</w:t>
            </w:r>
          </w:p>
          <w:p w14:paraId="6BE531C0" w14:textId="77757350" w:rsidR="00277C14" w:rsidRPr="00E73BD4" w:rsidRDefault="00277C14" w:rsidP="00277C14">
            <w:pPr>
              <w:rPr>
                <w:rFonts w:cs="Arial"/>
                <w:szCs w:val="20"/>
              </w:rPr>
            </w:pPr>
            <w:r w:rsidRPr="00E73BD4">
              <w:rPr>
                <w:rFonts w:cs="Arial"/>
                <w:szCs w:val="20"/>
              </w:rPr>
              <w:t>UN</w:t>
            </w:r>
          </w:p>
        </w:tc>
        <w:tc>
          <w:tcPr>
            <w:tcW w:w="6969" w:type="dxa"/>
          </w:tcPr>
          <w:p w14:paraId="6DDBB218" w14:textId="76DCF4FF" w:rsidR="00766613" w:rsidRDefault="00766613" w:rsidP="00277C14">
            <w:pPr>
              <w:rPr>
                <w:rFonts w:cs="Arial"/>
                <w:szCs w:val="20"/>
              </w:rPr>
            </w:pPr>
            <w:r>
              <w:rPr>
                <w:rFonts w:cs="Arial"/>
                <w:szCs w:val="20"/>
              </w:rPr>
              <w:t>Targeted financial sanctions</w:t>
            </w:r>
          </w:p>
          <w:p w14:paraId="52B2714F" w14:textId="63812E57" w:rsidR="00277C14" w:rsidRPr="00E73BD4" w:rsidRDefault="00277C14" w:rsidP="00277C14">
            <w:pPr>
              <w:rPr>
                <w:rFonts w:cs="Arial"/>
                <w:szCs w:val="20"/>
              </w:rPr>
            </w:pPr>
            <w:r w:rsidRPr="00E73BD4">
              <w:rPr>
                <w:rFonts w:cs="Arial"/>
                <w:szCs w:val="20"/>
              </w:rPr>
              <w:t>United Nations</w:t>
            </w:r>
          </w:p>
        </w:tc>
      </w:tr>
      <w:tr w:rsidR="00277C14" w:rsidRPr="00E73BD4" w14:paraId="1C3D57A1" w14:textId="77777777" w:rsidTr="00277C14">
        <w:trPr>
          <w:jc w:val="center"/>
        </w:trPr>
        <w:tc>
          <w:tcPr>
            <w:tcW w:w="2914" w:type="dxa"/>
          </w:tcPr>
          <w:p w14:paraId="191A194A" w14:textId="77777777" w:rsidR="00277C14" w:rsidRPr="00E73BD4" w:rsidRDefault="00277C14" w:rsidP="00277C14">
            <w:pPr>
              <w:rPr>
                <w:rFonts w:cs="Arial"/>
                <w:szCs w:val="20"/>
              </w:rPr>
            </w:pPr>
            <w:r w:rsidRPr="00E73BD4">
              <w:rPr>
                <w:rFonts w:cs="Arial"/>
                <w:szCs w:val="20"/>
              </w:rPr>
              <w:t>UNCTC</w:t>
            </w:r>
          </w:p>
        </w:tc>
        <w:tc>
          <w:tcPr>
            <w:tcW w:w="6969" w:type="dxa"/>
          </w:tcPr>
          <w:p w14:paraId="1948E31C" w14:textId="77777777" w:rsidR="00277C14" w:rsidRPr="00E73BD4" w:rsidRDefault="00277C14" w:rsidP="00277C14">
            <w:pPr>
              <w:rPr>
                <w:rFonts w:cs="Arial"/>
                <w:szCs w:val="20"/>
              </w:rPr>
            </w:pPr>
            <w:r w:rsidRPr="00E73BD4">
              <w:rPr>
                <w:rFonts w:cs="Arial"/>
                <w:szCs w:val="20"/>
              </w:rPr>
              <w:t>United Nations Counter-Terrorism Committee</w:t>
            </w:r>
          </w:p>
        </w:tc>
      </w:tr>
      <w:tr w:rsidR="00277C14" w:rsidRPr="00E73BD4" w14:paraId="1B9ABD69" w14:textId="77777777" w:rsidTr="00277C14">
        <w:trPr>
          <w:jc w:val="center"/>
        </w:trPr>
        <w:tc>
          <w:tcPr>
            <w:tcW w:w="2914" w:type="dxa"/>
          </w:tcPr>
          <w:p w14:paraId="785786A3" w14:textId="77777777" w:rsidR="00277C14" w:rsidRPr="00E73BD4" w:rsidRDefault="00277C14" w:rsidP="00277C14">
            <w:pPr>
              <w:rPr>
                <w:rFonts w:cs="Arial"/>
                <w:szCs w:val="20"/>
              </w:rPr>
            </w:pPr>
            <w:r w:rsidRPr="00E73BD4">
              <w:rPr>
                <w:rFonts w:cs="Arial"/>
                <w:szCs w:val="20"/>
              </w:rPr>
              <w:t>UNODC</w:t>
            </w:r>
          </w:p>
        </w:tc>
        <w:tc>
          <w:tcPr>
            <w:tcW w:w="6969" w:type="dxa"/>
          </w:tcPr>
          <w:p w14:paraId="50D52289" w14:textId="77777777" w:rsidR="00277C14" w:rsidRPr="00E73BD4" w:rsidRDefault="00277C14" w:rsidP="00277C14">
            <w:pPr>
              <w:rPr>
                <w:rFonts w:cs="Arial"/>
                <w:szCs w:val="20"/>
              </w:rPr>
            </w:pPr>
            <w:r w:rsidRPr="00E73BD4">
              <w:rPr>
                <w:rFonts w:cs="Arial"/>
                <w:szCs w:val="20"/>
              </w:rPr>
              <w:t>United Nations Office on Drugs and Crime</w:t>
            </w:r>
          </w:p>
        </w:tc>
      </w:tr>
      <w:tr w:rsidR="00277C14" w:rsidRPr="00E73BD4" w14:paraId="77007A2E" w14:textId="77777777" w:rsidTr="00277C14">
        <w:trPr>
          <w:jc w:val="center"/>
        </w:trPr>
        <w:tc>
          <w:tcPr>
            <w:tcW w:w="2914" w:type="dxa"/>
          </w:tcPr>
          <w:p w14:paraId="1A611E3E" w14:textId="77777777" w:rsidR="00277C14" w:rsidRPr="00E73BD4" w:rsidRDefault="00277C14" w:rsidP="00277C14">
            <w:pPr>
              <w:rPr>
                <w:rFonts w:cs="Arial"/>
                <w:szCs w:val="20"/>
              </w:rPr>
            </w:pPr>
            <w:r w:rsidRPr="00E73BD4">
              <w:rPr>
                <w:rFonts w:cs="Arial"/>
                <w:szCs w:val="20"/>
              </w:rPr>
              <w:t>UNSCR</w:t>
            </w:r>
          </w:p>
          <w:p w14:paraId="1745B207" w14:textId="0C6EF173" w:rsidR="00766613" w:rsidRDefault="00766613" w:rsidP="00277C14">
            <w:pPr>
              <w:rPr>
                <w:rFonts w:cs="Arial"/>
                <w:szCs w:val="20"/>
              </w:rPr>
            </w:pPr>
            <w:r>
              <w:rPr>
                <w:rFonts w:cs="Arial"/>
                <w:szCs w:val="20"/>
              </w:rPr>
              <w:t>VASPs</w:t>
            </w:r>
          </w:p>
          <w:p w14:paraId="1AD1F3BD" w14:textId="15AFE089" w:rsidR="00277C14" w:rsidRPr="00E73BD4" w:rsidRDefault="00277C14" w:rsidP="00277C14">
            <w:pPr>
              <w:rPr>
                <w:rFonts w:cs="Arial"/>
                <w:szCs w:val="20"/>
              </w:rPr>
            </w:pPr>
            <w:r w:rsidRPr="00E73BD4">
              <w:rPr>
                <w:rFonts w:cs="Arial"/>
                <w:szCs w:val="20"/>
              </w:rPr>
              <w:t>VTC</w:t>
            </w:r>
          </w:p>
        </w:tc>
        <w:tc>
          <w:tcPr>
            <w:tcW w:w="6969" w:type="dxa"/>
          </w:tcPr>
          <w:p w14:paraId="03804A84" w14:textId="77777777" w:rsidR="00277C14" w:rsidRPr="00E73BD4" w:rsidRDefault="00277C14" w:rsidP="00277C14">
            <w:pPr>
              <w:rPr>
                <w:rFonts w:cs="Arial"/>
                <w:szCs w:val="20"/>
              </w:rPr>
            </w:pPr>
            <w:r w:rsidRPr="00E73BD4">
              <w:rPr>
                <w:rFonts w:cs="Arial"/>
                <w:szCs w:val="20"/>
              </w:rPr>
              <w:t>United Nations Security Council Resolution</w:t>
            </w:r>
          </w:p>
          <w:p w14:paraId="628F433B" w14:textId="0F79FB92" w:rsidR="00766613" w:rsidRDefault="00766613" w:rsidP="00277C14">
            <w:pPr>
              <w:rPr>
                <w:rFonts w:cs="Arial"/>
                <w:szCs w:val="20"/>
              </w:rPr>
            </w:pPr>
            <w:r>
              <w:rPr>
                <w:rFonts w:cs="Arial"/>
                <w:szCs w:val="20"/>
              </w:rPr>
              <w:t>Virtual asset service provider</w:t>
            </w:r>
          </w:p>
          <w:p w14:paraId="6BB76DE9" w14:textId="17318A31" w:rsidR="00277C14" w:rsidRPr="00E73BD4" w:rsidRDefault="00277C14" w:rsidP="00277C14">
            <w:pPr>
              <w:rPr>
                <w:rFonts w:cs="Arial"/>
                <w:szCs w:val="20"/>
              </w:rPr>
            </w:pPr>
            <w:r w:rsidRPr="00E73BD4">
              <w:rPr>
                <w:rFonts w:cs="Arial"/>
                <w:szCs w:val="20"/>
              </w:rPr>
              <w:t>Voluntary tax compliance</w:t>
            </w:r>
          </w:p>
        </w:tc>
      </w:tr>
    </w:tbl>
    <w:p w14:paraId="685C1E56" w14:textId="77777777" w:rsidR="00277C14" w:rsidRPr="00E73BD4" w:rsidRDefault="00277C14" w:rsidP="00277C14">
      <w:pPr>
        <w:keepNext/>
        <w:widowControl w:val="0"/>
        <w:ind w:right="284"/>
        <w:outlineLvl w:val="1"/>
        <w:rPr>
          <w:rFonts w:cs="Arial"/>
          <w:b/>
          <w:bCs/>
          <w:smallCaps/>
          <w:w w:val="105"/>
          <w:kern w:val="28"/>
          <w:szCs w:val="20"/>
          <w:lang w:eastAsia="zh-CN"/>
        </w:rPr>
      </w:pPr>
      <w:bookmarkStart w:id="1" w:name="_Toc446602090"/>
    </w:p>
    <w:p w14:paraId="3104AB2D" w14:textId="77777777" w:rsidR="00277C14" w:rsidRPr="00E73BD4" w:rsidRDefault="00277C14" w:rsidP="00277C14">
      <w:pPr>
        <w:rPr>
          <w:rFonts w:eastAsia="Times New Roman" w:cs="Arial"/>
          <w:b/>
          <w:bCs/>
          <w:color w:val="000000"/>
          <w:w w:val="105"/>
          <w:kern w:val="28"/>
          <w:szCs w:val="20"/>
          <w:lang w:eastAsia="zh-CN"/>
        </w:rPr>
      </w:pPr>
      <w:bookmarkStart w:id="2" w:name="_Toc66712409"/>
      <w:r w:rsidRPr="00E73BD4">
        <w:rPr>
          <w:rFonts w:cs="Arial"/>
          <w:szCs w:val="20"/>
        </w:rPr>
        <w:br w:type="page"/>
      </w:r>
    </w:p>
    <w:bookmarkEnd w:id="2"/>
    <w:p w14:paraId="4527E362" w14:textId="77777777" w:rsidR="00394957" w:rsidRPr="00E73BD4" w:rsidRDefault="00394957" w:rsidP="00394957">
      <w:pPr>
        <w:pStyle w:val="Title1"/>
        <w:spacing w:before="0" w:after="0"/>
      </w:pPr>
    </w:p>
    <w:p w14:paraId="7AA0C6C1" w14:textId="77777777" w:rsidR="00A77BA6" w:rsidRPr="00E73BD4" w:rsidRDefault="00A77BA6" w:rsidP="00A77BA6">
      <w:pPr>
        <w:pStyle w:val="Title1"/>
        <w:spacing w:before="0" w:after="0"/>
      </w:pPr>
      <w:bookmarkStart w:id="3" w:name="_Toc96007488"/>
      <w:bookmarkStart w:id="4" w:name="_Toc135409875"/>
      <w:r w:rsidRPr="00E73BD4">
        <w:t>INTRODUCTION FROM THE CHAIR</w:t>
      </w:r>
      <w:bookmarkEnd w:id="3"/>
      <w:bookmarkEnd w:id="4"/>
    </w:p>
    <w:p w14:paraId="04F5C0B2" w14:textId="77777777" w:rsidR="00A77BA6" w:rsidRPr="00E73BD4" w:rsidRDefault="00A77BA6" w:rsidP="00A77BA6">
      <w:pPr>
        <w:pStyle w:val="Title1"/>
        <w:spacing w:before="0" w:after="0"/>
      </w:pPr>
    </w:p>
    <w:p w14:paraId="06AD10C8" w14:textId="77777777" w:rsidR="00AB25B8" w:rsidRDefault="00AB25B8" w:rsidP="00AB25B8">
      <w:pPr>
        <w:widowControl w:val="0"/>
        <w:autoSpaceDE w:val="0"/>
        <w:autoSpaceDN w:val="0"/>
        <w:adjustRightInd w:val="0"/>
        <w:jc w:val="both"/>
        <w:rPr>
          <w:rFonts w:cs="Arial"/>
          <w:szCs w:val="20"/>
        </w:rPr>
      </w:pPr>
      <w:bookmarkStart w:id="5" w:name="_Toc66712410"/>
      <w:r>
        <w:rPr>
          <w:rFonts w:cs="Arial"/>
          <w:szCs w:val="20"/>
        </w:rPr>
        <w:t xml:space="preserve">I am pleased to introduce the annual report of MONEYVAL, which highlights MONEYVAL’s achievements in 2022. </w:t>
      </w:r>
    </w:p>
    <w:p w14:paraId="38698221" w14:textId="77777777" w:rsidR="00AB25B8" w:rsidRDefault="00AB25B8" w:rsidP="00AB25B8">
      <w:pPr>
        <w:widowControl w:val="0"/>
        <w:autoSpaceDE w:val="0"/>
        <w:autoSpaceDN w:val="0"/>
        <w:adjustRightInd w:val="0"/>
        <w:rPr>
          <w:rFonts w:cs="Arial"/>
          <w:szCs w:val="20"/>
        </w:rPr>
      </w:pPr>
    </w:p>
    <w:p w14:paraId="42B1EBAD" w14:textId="1262A805" w:rsidR="00AB25B8" w:rsidRDefault="00AB25B8" w:rsidP="00AB25B8">
      <w:pPr>
        <w:widowControl w:val="0"/>
        <w:autoSpaceDE w:val="0"/>
        <w:autoSpaceDN w:val="0"/>
        <w:adjustRightInd w:val="0"/>
        <w:rPr>
          <w:rFonts w:cs="Arial"/>
          <w:szCs w:val="20"/>
        </w:rPr>
      </w:pPr>
      <w:r>
        <w:rPr>
          <w:rFonts w:cs="Arial"/>
          <w:szCs w:val="20"/>
        </w:rPr>
        <w:t>2022 was marked by significant challenges in global affairs, impacting efforts to combat money laundering and the financing of terrorism. The global community and multiple international organisations involved in anti-money</w:t>
      </w:r>
      <w:r w:rsidRPr="00830453">
        <w:rPr>
          <w:rFonts w:cs="Arial"/>
          <w:szCs w:val="20"/>
        </w:rPr>
        <w:t xml:space="preserve">-laundering and counter terrorism financing </w:t>
      </w:r>
      <w:r>
        <w:rPr>
          <w:rFonts w:cs="Arial"/>
          <w:szCs w:val="20"/>
        </w:rPr>
        <w:t>responded to</w:t>
      </w:r>
      <w:r w:rsidRPr="00830453">
        <w:rPr>
          <w:rFonts w:cs="Arial"/>
          <w:szCs w:val="20"/>
        </w:rPr>
        <w:t xml:space="preserve"> </w:t>
      </w:r>
      <w:r>
        <w:rPr>
          <w:rFonts w:cs="Arial"/>
          <w:szCs w:val="20"/>
        </w:rPr>
        <w:t xml:space="preserve">the </w:t>
      </w:r>
      <w:r w:rsidRPr="00830453">
        <w:rPr>
          <w:rFonts w:cs="Arial"/>
          <w:szCs w:val="20"/>
        </w:rPr>
        <w:t>Russian Federation’s aggression against Ukraine</w:t>
      </w:r>
      <w:r>
        <w:rPr>
          <w:rFonts w:cs="Arial"/>
          <w:szCs w:val="20"/>
        </w:rPr>
        <w:t xml:space="preserve">. After </w:t>
      </w:r>
      <w:r w:rsidRPr="00830453">
        <w:rPr>
          <w:rFonts w:cs="Arial"/>
          <w:szCs w:val="20"/>
        </w:rPr>
        <w:t xml:space="preserve">the expulsion of </w:t>
      </w:r>
      <w:r>
        <w:rPr>
          <w:rFonts w:cs="Arial"/>
          <w:szCs w:val="20"/>
        </w:rPr>
        <w:t xml:space="preserve">the Russian Federation </w:t>
      </w:r>
      <w:r w:rsidRPr="00830453">
        <w:rPr>
          <w:rFonts w:cs="Arial"/>
          <w:szCs w:val="20"/>
        </w:rPr>
        <w:t xml:space="preserve">from the Council of Europe and MONEYVAL, </w:t>
      </w:r>
      <w:r w:rsidRPr="00F601D4">
        <w:rPr>
          <w:rFonts w:cs="Arial"/>
          <w:szCs w:val="20"/>
        </w:rPr>
        <w:t xml:space="preserve">its participation </w:t>
      </w:r>
      <w:r>
        <w:rPr>
          <w:rFonts w:cs="Arial"/>
          <w:szCs w:val="20"/>
        </w:rPr>
        <w:t xml:space="preserve">was also </w:t>
      </w:r>
      <w:r w:rsidRPr="00830453">
        <w:rPr>
          <w:rFonts w:cs="Arial"/>
          <w:szCs w:val="20"/>
        </w:rPr>
        <w:t>limited in other international organisations</w:t>
      </w:r>
      <w:r>
        <w:rPr>
          <w:rFonts w:cs="Arial"/>
          <w:szCs w:val="20"/>
        </w:rPr>
        <w:t xml:space="preserve">, including the </w:t>
      </w:r>
      <w:r w:rsidRPr="0073177E">
        <w:rPr>
          <w:rFonts w:cs="Arial"/>
          <w:szCs w:val="20"/>
        </w:rPr>
        <w:t>Financial Action Task Force (FATF</w:t>
      </w:r>
      <w:r>
        <w:rPr>
          <w:rFonts w:cs="Arial"/>
          <w:szCs w:val="20"/>
        </w:rPr>
        <w:t>)</w:t>
      </w:r>
      <w:r w:rsidRPr="00F601D4">
        <w:rPr>
          <w:rFonts w:cs="Arial"/>
          <w:szCs w:val="20"/>
        </w:rPr>
        <w:t>.</w:t>
      </w:r>
      <w:r w:rsidRPr="00830453">
        <w:rPr>
          <w:rFonts w:cs="Arial"/>
          <w:szCs w:val="20"/>
        </w:rPr>
        <w:t xml:space="preserve"> </w:t>
      </w:r>
      <w:r>
        <w:rPr>
          <w:rFonts w:cs="Arial"/>
          <w:szCs w:val="20"/>
        </w:rPr>
        <w:t>Given t</w:t>
      </w:r>
      <w:r w:rsidRPr="00830453">
        <w:rPr>
          <w:rFonts w:cs="Arial"/>
          <w:szCs w:val="20"/>
        </w:rPr>
        <w:t>he</w:t>
      </w:r>
      <w:r>
        <w:rPr>
          <w:rFonts w:cs="Arial"/>
          <w:szCs w:val="20"/>
        </w:rPr>
        <w:t xml:space="preserve"> ties between AML/CFT efforts and sanctions policies, significant resources within competent authorities were reoriented towards tracing and freezing any funds and other assets of designated persons or entities. MONEYVAL was quick to adapt to these challenges and </w:t>
      </w:r>
      <w:proofErr w:type="gramStart"/>
      <w:r>
        <w:rPr>
          <w:rFonts w:cs="Arial"/>
          <w:szCs w:val="20"/>
        </w:rPr>
        <w:t>made adjustments to</w:t>
      </w:r>
      <w:proofErr w:type="gramEnd"/>
      <w:r>
        <w:rPr>
          <w:rFonts w:cs="Arial"/>
          <w:szCs w:val="20"/>
        </w:rPr>
        <w:t xml:space="preserve"> its mutual evaluation programme, where necessary. </w:t>
      </w:r>
    </w:p>
    <w:p w14:paraId="3EAB34D3" w14:textId="77777777" w:rsidR="00AB25B8" w:rsidRPr="004C7DDD" w:rsidRDefault="00AB25B8" w:rsidP="00AB25B8">
      <w:pPr>
        <w:widowControl w:val="0"/>
        <w:autoSpaceDE w:val="0"/>
        <w:autoSpaceDN w:val="0"/>
        <w:adjustRightInd w:val="0"/>
        <w:rPr>
          <w:rFonts w:cs="Arial"/>
          <w:szCs w:val="20"/>
        </w:rPr>
      </w:pPr>
    </w:p>
    <w:p w14:paraId="4916487C" w14:textId="604FCA27" w:rsidR="00AB25B8" w:rsidRDefault="00AB25B8" w:rsidP="00AB25B8">
      <w:pPr>
        <w:widowControl w:val="0"/>
        <w:autoSpaceDE w:val="0"/>
        <w:autoSpaceDN w:val="0"/>
        <w:adjustRightInd w:val="0"/>
        <w:rPr>
          <w:rFonts w:cs="Arial"/>
          <w:szCs w:val="20"/>
        </w:rPr>
      </w:pPr>
      <w:r w:rsidRPr="004C7DDD">
        <w:rPr>
          <w:rFonts w:cs="Arial"/>
          <w:szCs w:val="20"/>
        </w:rPr>
        <w:t>Russia’s aggression against Ukraine highlighted the link between authoritarian regimes</w:t>
      </w:r>
      <w:r>
        <w:rPr>
          <w:rFonts w:cs="Arial"/>
          <w:szCs w:val="20"/>
        </w:rPr>
        <w:t xml:space="preserve">, corrupt </w:t>
      </w:r>
      <w:proofErr w:type="gramStart"/>
      <w:r>
        <w:rPr>
          <w:rFonts w:cs="Arial"/>
          <w:szCs w:val="20"/>
        </w:rPr>
        <w:t>actors</w:t>
      </w:r>
      <w:proofErr w:type="gramEnd"/>
      <w:r>
        <w:rPr>
          <w:rFonts w:cs="Arial"/>
          <w:szCs w:val="20"/>
        </w:rPr>
        <w:t xml:space="preserve"> </w:t>
      </w:r>
      <w:r w:rsidRPr="004C7DDD">
        <w:rPr>
          <w:rFonts w:cs="Arial"/>
          <w:szCs w:val="20"/>
        </w:rPr>
        <w:t xml:space="preserve">and </w:t>
      </w:r>
      <w:r>
        <w:rPr>
          <w:rFonts w:cs="Arial"/>
          <w:szCs w:val="20"/>
        </w:rPr>
        <w:t>illicit financial flows. The</w:t>
      </w:r>
      <w:r w:rsidRPr="004C7DDD">
        <w:rPr>
          <w:rFonts w:cs="Arial"/>
          <w:szCs w:val="20"/>
        </w:rPr>
        <w:t xml:space="preserve"> need </w:t>
      </w:r>
      <w:r>
        <w:rPr>
          <w:rFonts w:cs="Arial"/>
          <w:szCs w:val="20"/>
        </w:rPr>
        <w:t xml:space="preserve">to </w:t>
      </w:r>
      <w:r w:rsidRPr="004C7DDD">
        <w:rPr>
          <w:rFonts w:cs="Arial"/>
          <w:szCs w:val="20"/>
        </w:rPr>
        <w:t xml:space="preserve">deny illicit actors access to the funds and resources </w:t>
      </w:r>
      <w:r>
        <w:rPr>
          <w:rFonts w:cs="Arial"/>
          <w:szCs w:val="20"/>
        </w:rPr>
        <w:t xml:space="preserve">used </w:t>
      </w:r>
      <w:r w:rsidRPr="004C7DDD">
        <w:rPr>
          <w:rFonts w:cs="Arial"/>
          <w:szCs w:val="20"/>
        </w:rPr>
        <w:t xml:space="preserve">to </w:t>
      </w:r>
      <w:r>
        <w:rPr>
          <w:rFonts w:cs="Arial"/>
          <w:szCs w:val="20"/>
        </w:rPr>
        <w:t xml:space="preserve">facilitate </w:t>
      </w:r>
      <w:r w:rsidRPr="004C7DDD">
        <w:rPr>
          <w:rFonts w:cs="Arial"/>
          <w:szCs w:val="20"/>
        </w:rPr>
        <w:t>harmful activities</w:t>
      </w:r>
      <w:r>
        <w:rPr>
          <w:rFonts w:cs="Arial"/>
          <w:szCs w:val="20"/>
        </w:rPr>
        <w:t>,</w:t>
      </w:r>
      <w:r w:rsidRPr="004C7DDD">
        <w:rPr>
          <w:rFonts w:cs="Arial"/>
          <w:szCs w:val="20"/>
        </w:rPr>
        <w:t xml:space="preserve"> including those that can undermine European security and </w:t>
      </w:r>
      <w:r>
        <w:rPr>
          <w:rFonts w:cs="Arial"/>
          <w:szCs w:val="20"/>
        </w:rPr>
        <w:t>stability, became even more apparent</w:t>
      </w:r>
      <w:r w:rsidRPr="004C7DDD">
        <w:rPr>
          <w:rFonts w:cs="Arial"/>
          <w:szCs w:val="20"/>
        </w:rPr>
        <w:t xml:space="preserve">. Money laundering and corruption undermine the rule of law and erode public trust in key institutions. This calls for governments to </w:t>
      </w:r>
      <w:r>
        <w:rPr>
          <w:rFonts w:cs="Arial"/>
          <w:szCs w:val="20"/>
        </w:rPr>
        <w:t>invest more in their</w:t>
      </w:r>
      <w:r w:rsidRPr="004C7DDD">
        <w:rPr>
          <w:rFonts w:cs="Arial"/>
          <w:szCs w:val="20"/>
        </w:rPr>
        <w:t xml:space="preserve"> AML/CFT </w:t>
      </w:r>
      <w:proofErr w:type="gramStart"/>
      <w:r w:rsidRPr="004C7DDD">
        <w:rPr>
          <w:rFonts w:cs="Arial"/>
          <w:szCs w:val="20"/>
        </w:rPr>
        <w:t>programmes, and</w:t>
      </w:r>
      <w:proofErr w:type="gramEnd"/>
      <w:r w:rsidRPr="004C7DDD">
        <w:rPr>
          <w:rFonts w:cs="Arial"/>
          <w:szCs w:val="20"/>
        </w:rPr>
        <w:t xml:space="preserve"> adopt stricter policies to prevent the laundering of proceeds associated with corrupt regimes. </w:t>
      </w:r>
    </w:p>
    <w:p w14:paraId="76E7A1F9" w14:textId="77777777" w:rsidR="00AB25B8" w:rsidRDefault="00AB25B8" w:rsidP="00AB25B8">
      <w:pPr>
        <w:widowControl w:val="0"/>
        <w:autoSpaceDE w:val="0"/>
        <w:autoSpaceDN w:val="0"/>
        <w:adjustRightInd w:val="0"/>
        <w:rPr>
          <w:rFonts w:cs="Arial"/>
          <w:szCs w:val="20"/>
        </w:rPr>
      </w:pPr>
    </w:p>
    <w:p w14:paraId="2F3DC0FF" w14:textId="05863FBB" w:rsidR="00AB25B8" w:rsidRDefault="00AB25B8" w:rsidP="00AB25B8">
      <w:pPr>
        <w:widowControl w:val="0"/>
        <w:autoSpaceDE w:val="0"/>
        <w:autoSpaceDN w:val="0"/>
        <w:adjustRightInd w:val="0"/>
        <w:rPr>
          <w:rFonts w:cs="Arial"/>
          <w:szCs w:val="20"/>
        </w:rPr>
      </w:pPr>
      <w:r w:rsidRPr="004C7DDD">
        <w:rPr>
          <w:rFonts w:cs="Arial"/>
          <w:szCs w:val="20"/>
        </w:rPr>
        <w:t>Recovery of criminal proceeds remains insufficient, further action is required from MONEYVAL</w:t>
      </w:r>
      <w:r>
        <w:rPr>
          <w:rFonts w:cs="Arial"/>
          <w:szCs w:val="20"/>
        </w:rPr>
        <w:t xml:space="preserve"> </w:t>
      </w:r>
      <w:r w:rsidRPr="004C7DDD">
        <w:rPr>
          <w:rFonts w:cs="Arial"/>
          <w:szCs w:val="20"/>
        </w:rPr>
        <w:t xml:space="preserve">to strengthen countries’ frameworks for asset management and effective recovery. </w:t>
      </w:r>
      <w:r>
        <w:rPr>
          <w:rFonts w:cs="Arial"/>
          <w:szCs w:val="20"/>
        </w:rPr>
        <w:t xml:space="preserve">Recognising that this is also a priority for the FATF, </w:t>
      </w:r>
      <w:r w:rsidRPr="004C7DDD">
        <w:rPr>
          <w:rFonts w:cs="Arial"/>
          <w:szCs w:val="20"/>
        </w:rPr>
        <w:t xml:space="preserve">MONEYVAL will continue to </w:t>
      </w:r>
      <w:r>
        <w:rPr>
          <w:rFonts w:cs="Arial"/>
          <w:szCs w:val="20"/>
        </w:rPr>
        <w:t>make active contribution to</w:t>
      </w:r>
      <w:r w:rsidRPr="004C7DDD">
        <w:rPr>
          <w:rFonts w:cs="Arial"/>
          <w:szCs w:val="20"/>
        </w:rPr>
        <w:t xml:space="preserve"> international initiatives </w:t>
      </w:r>
      <w:r>
        <w:rPr>
          <w:rFonts w:cs="Arial"/>
          <w:szCs w:val="20"/>
        </w:rPr>
        <w:t xml:space="preserve">on this </w:t>
      </w:r>
      <w:proofErr w:type="gramStart"/>
      <w:r>
        <w:rPr>
          <w:rFonts w:cs="Arial"/>
          <w:szCs w:val="20"/>
        </w:rPr>
        <w:t>area, and</w:t>
      </w:r>
      <w:proofErr w:type="gramEnd"/>
      <w:r>
        <w:rPr>
          <w:rFonts w:cs="Arial"/>
          <w:szCs w:val="20"/>
        </w:rPr>
        <w:t xml:space="preserve"> support any </w:t>
      </w:r>
      <w:r w:rsidRPr="004C7DDD">
        <w:rPr>
          <w:rFonts w:cs="Arial"/>
          <w:szCs w:val="20"/>
        </w:rPr>
        <w:t>Council of Europe action</w:t>
      </w:r>
      <w:r>
        <w:rPr>
          <w:rFonts w:cs="Arial"/>
          <w:szCs w:val="20"/>
        </w:rPr>
        <w:t>s</w:t>
      </w:r>
      <w:r w:rsidRPr="004C7DDD">
        <w:rPr>
          <w:rFonts w:cs="Arial"/>
          <w:szCs w:val="20"/>
        </w:rPr>
        <w:t xml:space="preserve"> </w:t>
      </w:r>
      <w:r>
        <w:rPr>
          <w:rFonts w:cs="Arial"/>
          <w:szCs w:val="20"/>
        </w:rPr>
        <w:t>relevant to asset recovery</w:t>
      </w:r>
      <w:r w:rsidRPr="004C7DDD">
        <w:rPr>
          <w:rFonts w:cs="Arial"/>
          <w:szCs w:val="20"/>
        </w:rPr>
        <w:t>.</w:t>
      </w:r>
      <w:r>
        <w:rPr>
          <w:rFonts w:cs="Arial"/>
          <w:szCs w:val="20"/>
        </w:rPr>
        <w:t xml:space="preserve"> </w:t>
      </w:r>
    </w:p>
    <w:p w14:paraId="6F21D412" w14:textId="77777777" w:rsidR="00AB25B8" w:rsidRDefault="00AB25B8" w:rsidP="00AB25B8">
      <w:pPr>
        <w:widowControl w:val="0"/>
        <w:autoSpaceDE w:val="0"/>
        <w:autoSpaceDN w:val="0"/>
        <w:adjustRightInd w:val="0"/>
        <w:rPr>
          <w:rFonts w:cs="Arial"/>
          <w:szCs w:val="20"/>
        </w:rPr>
      </w:pPr>
    </w:p>
    <w:p w14:paraId="7FD1A3C8" w14:textId="09ECA5EF" w:rsidR="00AB25B8" w:rsidRDefault="00AB25B8" w:rsidP="00AB25B8">
      <w:pPr>
        <w:widowControl w:val="0"/>
        <w:autoSpaceDE w:val="0"/>
        <w:autoSpaceDN w:val="0"/>
        <w:adjustRightInd w:val="0"/>
        <w:rPr>
          <w:rFonts w:cs="Arial"/>
          <w:szCs w:val="20"/>
        </w:rPr>
      </w:pPr>
      <w:r>
        <w:rPr>
          <w:rFonts w:cs="Arial"/>
          <w:szCs w:val="20"/>
        </w:rPr>
        <w:t xml:space="preserve">The weakest links in the international financial system are its gatekeepers, the so-called designated non-financial </w:t>
      </w:r>
      <w:proofErr w:type="gramStart"/>
      <w:r>
        <w:rPr>
          <w:rFonts w:cs="Arial"/>
          <w:szCs w:val="20"/>
        </w:rPr>
        <w:t>businesses</w:t>
      </w:r>
      <w:proofErr w:type="gramEnd"/>
      <w:r>
        <w:rPr>
          <w:rFonts w:cs="Arial"/>
          <w:szCs w:val="20"/>
        </w:rPr>
        <w:t xml:space="preserve"> and professions, including lawyers, notaries, accountants and specialised entities providing services for trusts and companies. Professional enablers guide money launderers in setting up complex schemes through multiple jurisdictions across the globe. Following two years of dedicated efforts by MONEYVAL, they have also become the object of special interest of the FATF and will become a focus of the next global round of mutual evaluations to start in 2024. </w:t>
      </w:r>
    </w:p>
    <w:p w14:paraId="28852991" w14:textId="77777777" w:rsidR="00AB25B8" w:rsidRDefault="00AB25B8" w:rsidP="00AB25B8">
      <w:pPr>
        <w:widowControl w:val="0"/>
        <w:autoSpaceDE w:val="0"/>
        <w:autoSpaceDN w:val="0"/>
        <w:adjustRightInd w:val="0"/>
        <w:rPr>
          <w:rFonts w:cs="Arial"/>
          <w:szCs w:val="20"/>
        </w:rPr>
      </w:pPr>
    </w:p>
    <w:p w14:paraId="17986789" w14:textId="0547A934" w:rsidR="00AB25B8" w:rsidRDefault="00AB25B8" w:rsidP="00AB25B8">
      <w:pPr>
        <w:widowControl w:val="0"/>
        <w:autoSpaceDE w:val="0"/>
        <w:autoSpaceDN w:val="0"/>
        <w:adjustRightInd w:val="0"/>
        <w:rPr>
          <w:rFonts w:cs="Arial"/>
          <w:szCs w:val="20"/>
        </w:rPr>
      </w:pPr>
      <w:r>
        <w:rPr>
          <w:rFonts w:cs="Arial"/>
          <w:szCs w:val="20"/>
        </w:rPr>
        <w:t>The international community and its institutions are moving in lockstep to tackle other systemic and emerging challenges. The digital transformation of society and economy is leading AML/CFT authorities and the private sector to adopt more advanced tools and propose new methods for monitoring transactions. Notwithstanding the advantages that new technologies bring</w:t>
      </w:r>
      <w:r w:rsidRPr="0078758E">
        <w:rPr>
          <w:rFonts w:cs="Arial"/>
          <w:szCs w:val="20"/>
        </w:rPr>
        <w:t xml:space="preserve"> </w:t>
      </w:r>
      <w:r>
        <w:rPr>
          <w:rFonts w:cs="Arial"/>
          <w:szCs w:val="20"/>
        </w:rPr>
        <w:t xml:space="preserve">for improved AML/CFT detection and compliance performance, in particular artificial intelligence, they also trigger numerous regulatory and operational challenges in member states. MONEYVAL should guide its members </w:t>
      </w:r>
      <w:proofErr w:type="gramStart"/>
      <w:r>
        <w:rPr>
          <w:rFonts w:cs="Arial"/>
          <w:szCs w:val="20"/>
        </w:rPr>
        <w:t>in order to</w:t>
      </w:r>
      <w:proofErr w:type="gramEnd"/>
      <w:r>
        <w:rPr>
          <w:rFonts w:cs="Arial"/>
          <w:szCs w:val="20"/>
        </w:rPr>
        <w:t xml:space="preserve"> ensure that the introduction and use of such technologies is compatible with relevant international and European standards, including in the area of data protection, privacy and cybersecurity. Data protection, a central theme of our efforts in the Council of Europe, should remain a key consideration in this regard. It is also essential to ensure a human rights-based approach within the financial sector, as artificial intelligence increasingly takes hold. A related risk is the abuse of cryptocurrencies and the increasing threat of cybercrime which requires the active involvement and greater capacity building of AML/CFT authorities </w:t>
      </w:r>
      <w:proofErr w:type="gramStart"/>
      <w:r>
        <w:rPr>
          <w:rFonts w:cs="Arial"/>
          <w:szCs w:val="20"/>
        </w:rPr>
        <w:t>in order to</w:t>
      </w:r>
      <w:proofErr w:type="gramEnd"/>
      <w:r>
        <w:rPr>
          <w:rFonts w:cs="Arial"/>
          <w:szCs w:val="20"/>
        </w:rPr>
        <w:t xml:space="preserve"> be addressed. We are developing partnerships with the respective Council of Europe committees to jointly tackle these challenges. </w:t>
      </w:r>
    </w:p>
    <w:p w14:paraId="4CC8ADAA" w14:textId="77777777" w:rsidR="00AB25B8" w:rsidRDefault="00AB25B8" w:rsidP="00AB25B8">
      <w:pPr>
        <w:widowControl w:val="0"/>
        <w:autoSpaceDE w:val="0"/>
        <w:autoSpaceDN w:val="0"/>
        <w:adjustRightInd w:val="0"/>
        <w:rPr>
          <w:rFonts w:cs="Arial"/>
          <w:szCs w:val="20"/>
        </w:rPr>
      </w:pPr>
    </w:p>
    <w:p w14:paraId="49BB23C1" w14:textId="2B80A780" w:rsidR="00AB25B8" w:rsidRDefault="00AB25B8" w:rsidP="00AB25B8">
      <w:pPr>
        <w:widowControl w:val="0"/>
        <w:autoSpaceDE w:val="0"/>
        <w:autoSpaceDN w:val="0"/>
        <w:adjustRightInd w:val="0"/>
        <w:rPr>
          <w:rFonts w:cs="Arial"/>
          <w:szCs w:val="20"/>
        </w:rPr>
      </w:pPr>
      <w:r w:rsidRPr="00BB6E13">
        <w:rPr>
          <w:rFonts w:cs="Arial"/>
          <w:szCs w:val="20"/>
        </w:rPr>
        <w:t xml:space="preserve">As we move towards the conclusion of our 5th mutual evaluation cycle, ending in 2024, it is a moment of strategic reflection and intense deliberations within MONEYVAL on the way forward. </w:t>
      </w:r>
      <w:r>
        <w:rPr>
          <w:rFonts w:cs="Arial"/>
          <w:szCs w:val="20"/>
        </w:rPr>
        <w:t xml:space="preserve">Across the </w:t>
      </w:r>
      <w:r w:rsidRPr="00BB6E13">
        <w:rPr>
          <w:rFonts w:cs="Arial"/>
          <w:szCs w:val="20"/>
        </w:rPr>
        <w:t xml:space="preserve">Global Network led by the FATF, our </w:t>
      </w:r>
      <w:proofErr w:type="gramStart"/>
      <w:r w:rsidRPr="00BB6E13">
        <w:rPr>
          <w:rFonts w:cs="Arial"/>
          <w:szCs w:val="20"/>
        </w:rPr>
        <w:t>Committee</w:t>
      </w:r>
      <w:proofErr w:type="gramEnd"/>
      <w:r w:rsidRPr="00BB6E13">
        <w:rPr>
          <w:rFonts w:cs="Arial"/>
          <w:szCs w:val="20"/>
        </w:rPr>
        <w:t xml:space="preserve"> was recognised in the top-tier of global performers, according to the most recent internal FATF ranking. We have </w:t>
      </w:r>
      <w:r>
        <w:rPr>
          <w:rFonts w:cs="Arial"/>
          <w:szCs w:val="20"/>
        </w:rPr>
        <w:t xml:space="preserve">strong </w:t>
      </w:r>
      <w:r w:rsidRPr="00BB6E13">
        <w:rPr>
          <w:rFonts w:cs="Arial"/>
          <w:szCs w:val="20"/>
        </w:rPr>
        <w:t>expertise among delegations and within the Secretariat</w:t>
      </w:r>
      <w:r w:rsidRPr="00BB6E13" w:rsidDel="00BB6E13">
        <w:rPr>
          <w:rFonts w:cs="Arial"/>
          <w:szCs w:val="20"/>
        </w:rPr>
        <w:t xml:space="preserve"> </w:t>
      </w:r>
      <w:r>
        <w:rPr>
          <w:rFonts w:cs="Arial"/>
          <w:szCs w:val="20"/>
        </w:rPr>
        <w:t>and delivered high-quality</w:t>
      </w:r>
      <w:r w:rsidRPr="00BB6E13">
        <w:rPr>
          <w:rFonts w:cs="Arial"/>
          <w:szCs w:val="20"/>
        </w:rPr>
        <w:t xml:space="preserve"> assessments. This is, in no doubt, the result of continuous efforts by several generations of AML/CFT experts actively taking part in the work of our </w:t>
      </w:r>
      <w:proofErr w:type="gramStart"/>
      <w:r w:rsidRPr="00BB6E13">
        <w:rPr>
          <w:rFonts w:cs="Arial"/>
          <w:szCs w:val="20"/>
        </w:rPr>
        <w:t>Committee</w:t>
      </w:r>
      <w:proofErr w:type="gramEnd"/>
      <w:r w:rsidRPr="00BB6E13">
        <w:rPr>
          <w:rFonts w:cs="Arial"/>
          <w:szCs w:val="20"/>
        </w:rPr>
        <w:t>. Having just marked our 25-year anniversary in December 2022, I take this opportunity to thank all colleagues involved in the successful development of MONEYVAL since its establishment in 1997.</w:t>
      </w:r>
    </w:p>
    <w:p w14:paraId="2B578A84" w14:textId="77777777" w:rsidR="00AB25B8" w:rsidRDefault="00AB25B8" w:rsidP="00AB25B8">
      <w:pPr>
        <w:widowControl w:val="0"/>
        <w:autoSpaceDE w:val="0"/>
        <w:autoSpaceDN w:val="0"/>
        <w:adjustRightInd w:val="0"/>
        <w:rPr>
          <w:rFonts w:cs="Arial"/>
          <w:szCs w:val="20"/>
        </w:rPr>
      </w:pPr>
    </w:p>
    <w:p w14:paraId="1AC83108" w14:textId="77777777" w:rsidR="004D5F3C" w:rsidRDefault="004D5F3C">
      <w:pPr>
        <w:rPr>
          <w:rFonts w:cs="Arial"/>
          <w:szCs w:val="20"/>
        </w:rPr>
      </w:pPr>
      <w:r>
        <w:rPr>
          <w:rFonts w:cs="Arial"/>
          <w:szCs w:val="20"/>
        </w:rPr>
        <w:br w:type="page"/>
      </w:r>
    </w:p>
    <w:p w14:paraId="5869B6E7" w14:textId="68EA07A7" w:rsidR="00AB25B8" w:rsidRDefault="00AB25B8" w:rsidP="00AB25B8">
      <w:pPr>
        <w:widowControl w:val="0"/>
        <w:autoSpaceDE w:val="0"/>
        <w:autoSpaceDN w:val="0"/>
        <w:adjustRightInd w:val="0"/>
        <w:rPr>
          <w:rFonts w:cs="Arial"/>
          <w:szCs w:val="20"/>
        </w:rPr>
      </w:pPr>
      <w:r>
        <w:rPr>
          <w:rFonts w:cs="Arial"/>
          <w:szCs w:val="20"/>
        </w:rPr>
        <w:lastRenderedPageBreak/>
        <w:t>Having efficiently overcome the challenges of C</w:t>
      </w:r>
      <w:r w:rsidR="004C7EF8">
        <w:rPr>
          <w:rFonts w:cs="Arial"/>
          <w:szCs w:val="20"/>
        </w:rPr>
        <w:t>ovid</w:t>
      </w:r>
      <w:r>
        <w:rPr>
          <w:rFonts w:cs="Arial"/>
          <w:szCs w:val="20"/>
        </w:rPr>
        <w:t xml:space="preserve"> pandemic and barriers it created to MONEYVAL operations, </w:t>
      </w:r>
      <w:r w:rsidR="007A08B3">
        <w:rPr>
          <w:rFonts w:cs="Arial"/>
          <w:szCs w:val="20"/>
        </w:rPr>
        <w:t xml:space="preserve">our monitoring body has </w:t>
      </w:r>
      <w:r>
        <w:rPr>
          <w:rFonts w:cs="Arial"/>
          <w:szCs w:val="20"/>
        </w:rPr>
        <w:t xml:space="preserve">emerged as the leader among its global peers on the total count of mutual evaluations completed in the last 3 years. As a result, we have been entrusted by the FATF to be the first in </w:t>
      </w:r>
      <w:r w:rsidR="007A08B3">
        <w:rPr>
          <w:rFonts w:cs="Arial"/>
          <w:szCs w:val="20"/>
        </w:rPr>
        <w:t>initiating</w:t>
      </w:r>
      <w:r>
        <w:rPr>
          <w:rFonts w:cs="Arial"/>
          <w:szCs w:val="20"/>
        </w:rPr>
        <w:t xml:space="preserve"> mutual evaluations in the new global round as of 2024. This is a privilege and our key priority. </w:t>
      </w:r>
    </w:p>
    <w:p w14:paraId="6A9AAAA9" w14:textId="77777777" w:rsidR="00AB25B8" w:rsidRDefault="00AB25B8" w:rsidP="00AB25B8">
      <w:pPr>
        <w:widowControl w:val="0"/>
        <w:autoSpaceDE w:val="0"/>
        <w:autoSpaceDN w:val="0"/>
        <w:adjustRightInd w:val="0"/>
        <w:rPr>
          <w:rFonts w:cs="Arial"/>
          <w:szCs w:val="20"/>
        </w:rPr>
      </w:pPr>
    </w:p>
    <w:p w14:paraId="4A920111" w14:textId="2A106E3D" w:rsidR="00AB25B8" w:rsidRDefault="00AB25B8" w:rsidP="00AB25B8">
      <w:pPr>
        <w:widowControl w:val="0"/>
        <w:autoSpaceDE w:val="0"/>
        <w:autoSpaceDN w:val="0"/>
        <w:adjustRightInd w:val="0"/>
        <w:rPr>
          <w:rFonts w:cs="Arial"/>
          <w:szCs w:val="20"/>
        </w:rPr>
      </w:pPr>
      <w:r>
        <w:rPr>
          <w:rFonts w:cs="Arial"/>
          <w:szCs w:val="20"/>
        </w:rPr>
        <w:t xml:space="preserve">Our efforts in the coming years will be focused on preparing and rolling out the new assessment round and launching the next ambitious chapter in our work, based on the Warsaw Strategy (2023-2027), recently adopted by MONEYVAL’s members’ ministers and high-level officials.  We will continue to focus our efforts on our primary goal, to enhance AML/CFT systems and their effectiveness in countries and territories assessed by MONEYVAL. We also aim to expand the regional role of MONEYVAL, enhance its partnership with European Union institutions and a ensure it engages in regular dialogue with the private sector and civil society. </w:t>
      </w:r>
    </w:p>
    <w:p w14:paraId="5E3FC3B0" w14:textId="77777777" w:rsidR="00AB25B8" w:rsidRDefault="00AB25B8" w:rsidP="00AB25B8">
      <w:pPr>
        <w:widowControl w:val="0"/>
        <w:autoSpaceDE w:val="0"/>
        <w:autoSpaceDN w:val="0"/>
        <w:adjustRightInd w:val="0"/>
        <w:rPr>
          <w:rFonts w:cs="Arial"/>
          <w:szCs w:val="20"/>
        </w:rPr>
      </w:pPr>
    </w:p>
    <w:p w14:paraId="4F4320F6" w14:textId="40879C38" w:rsidR="00AB25B8" w:rsidRDefault="00AB25B8" w:rsidP="00AB25B8">
      <w:pPr>
        <w:widowControl w:val="0"/>
        <w:autoSpaceDE w:val="0"/>
        <w:autoSpaceDN w:val="0"/>
        <w:adjustRightInd w:val="0"/>
        <w:rPr>
          <w:rFonts w:cs="Arial"/>
          <w:szCs w:val="20"/>
        </w:rPr>
      </w:pPr>
      <w:r>
        <w:rPr>
          <w:rFonts w:cs="Arial"/>
          <w:szCs w:val="20"/>
        </w:rPr>
        <w:t xml:space="preserve">In 2023, I am concluding the 4-year Polish Presidency of MONEYVAL, which resulted in important achievements for the Committee, and defined a clear path for its development, based on support from its membership and the FATF. The High-level meeting of MONEYVAL held in Warsaw on 25 April 2023 is a key historic milestone in our efforts to enhance political and ministerial involvement in AML/CFT and to ensure that our common efforts lead to tangible results, as our members face new and emerging challenges. </w:t>
      </w:r>
    </w:p>
    <w:p w14:paraId="5D545807" w14:textId="77777777" w:rsidR="00AB25B8" w:rsidRDefault="00AB25B8" w:rsidP="00AB25B8">
      <w:pPr>
        <w:widowControl w:val="0"/>
        <w:autoSpaceDE w:val="0"/>
        <w:autoSpaceDN w:val="0"/>
        <w:adjustRightInd w:val="0"/>
        <w:rPr>
          <w:rFonts w:cs="Arial"/>
          <w:szCs w:val="20"/>
        </w:rPr>
      </w:pPr>
    </w:p>
    <w:p w14:paraId="07C1FC82" w14:textId="638D261E" w:rsidR="00AB25B8" w:rsidRDefault="00AB25B8" w:rsidP="00AB25B8">
      <w:pPr>
        <w:widowControl w:val="0"/>
        <w:autoSpaceDE w:val="0"/>
        <w:autoSpaceDN w:val="0"/>
        <w:adjustRightInd w:val="0"/>
        <w:rPr>
          <w:rFonts w:cs="Arial"/>
          <w:szCs w:val="20"/>
        </w:rPr>
      </w:pPr>
      <w:r>
        <w:rPr>
          <w:rFonts w:cs="Arial"/>
          <w:szCs w:val="20"/>
        </w:rPr>
        <w:t xml:space="preserve">I take this opportunity to </w:t>
      </w:r>
      <w:r w:rsidRPr="00E50881">
        <w:rPr>
          <w:rFonts w:cs="Arial"/>
          <w:szCs w:val="20"/>
        </w:rPr>
        <w:t xml:space="preserve">express my sincere appreciation to </w:t>
      </w:r>
      <w:r>
        <w:rPr>
          <w:rFonts w:cs="Arial"/>
          <w:szCs w:val="20"/>
        </w:rPr>
        <w:t xml:space="preserve">our European and international stakeholders </w:t>
      </w:r>
      <w:r w:rsidRPr="00E50881">
        <w:rPr>
          <w:rFonts w:cs="Arial"/>
          <w:szCs w:val="20"/>
        </w:rPr>
        <w:t>for their</w:t>
      </w:r>
      <w:r>
        <w:rPr>
          <w:rFonts w:cs="Arial"/>
          <w:szCs w:val="20"/>
        </w:rPr>
        <w:t xml:space="preserve"> </w:t>
      </w:r>
      <w:r w:rsidRPr="00E50881">
        <w:rPr>
          <w:rFonts w:cs="Arial"/>
          <w:szCs w:val="20"/>
        </w:rPr>
        <w:t xml:space="preserve">support </w:t>
      </w:r>
      <w:r>
        <w:rPr>
          <w:rFonts w:cs="Arial"/>
          <w:szCs w:val="20"/>
        </w:rPr>
        <w:t>and engagement with</w:t>
      </w:r>
      <w:r w:rsidRPr="00E50881">
        <w:rPr>
          <w:rFonts w:cs="Arial"/>
          <w:szCs w:val="20"/>
        </w:rPr>
        <w:t xml:space="preserve"> MONEYVAL</w:t>
      </w:r>
      <w:r>
        <w:rPr>
          <w:rFonts w:cs="Arial"/>
          <w:szCs w:val="20"/>
        </w:rPr>
        <w:t xml:space="preserve"> as we continue our joint efforts to tackle money laundering, terrorism financing and the proliferation of weapons of mass destruction. </w:t>
      </w:r>
    </w:p>
    <w:p w14:paraId="3800B349" w14:textId="77777777" w:rsidR="00AB25B8" w:rsidRDefault="00AB25B8" w:rsidP="00AB25B8">
      <w:pPr>
        <w:widowControl w:val="0"/>
        <w:autoSpaceDE w:val="0"/>
        <w:autoSpaceDN w:val="0"/>
        <w:adjustRightInd w:val="0"/>
        <w:rPr>
          <w:rFonts w:cs="Arial"/>
          <w:szCs w:val="20"/>
        </w:rPr>
      </w:pPr>
    </w:p>
    <w:p w14:paraId="0C2259D1" w14:textId="56442CF7" w:rsidR="007A08B3" w:rsidRDefault="00AB25B8" w:rsidP="007A08B3">
      <w:pPr>
        <w:rPr>
          <w:rFonts w:cs="Arial"/>
          <w:b/>
          <w:bCs/>
          <w:i/>
          <w:iCs/>
          <w:szCs w:val="20"/>
        </w:rPr>
      </w:pPr>
      <w:proofErr w:type="spellStart"/>
      <w:r>
        <w:rPr>
          <w:rFonts w:cs="Arial"/>
          <w:b/>
          <w:bCs/>
          <w:i/>
          <w:iCs/>
          <w:szCs w:val="20"/>
        </w:rPr>
        <w:t>Elżbieta</w:t>
      </w:r>
      <w:proofErr w:type="spellEnd"/>
      <w:r>
        <w:rPr>
          <w:rFonts w:cs="Arial"/>
          <w:b/>
          <w:bCs/>
          <w:i/>
          <w:iCs/>
          <w:szCs w:val="20"/>
        </w:rPr>
        <w:t xml:space="preserve"> </w:t>
      </w:r>
      <w:proofErr w:type="spellStart"/>
      <w:r>
        <w:rPr>
          <w:rFonts w:cs="Arial"/>
          <w:b/>
          <w:bCs/>
          <w:i/>
          <w:iCs/>
          <w:szCs w:val="20"/>
        </w:rPr>
        <w:t>Frankó</w:t>
      </w:r>
      <w:r w:rsidRPr="00E50881">
        <w:rPr>
          <w:rFonts w:cs="Arial"/>
          <w:b/>
          <w:bCs/>
          <w:i/>
          <w:iCs/>
          <w:szCs w:val="20"/>
        </w:rPr>
        <w:t>w-Jaśkiewicz</w:t>
      </w:r>
      <w:proofErr w:type="spellEnd"/>
    </w:p>
    <w:p w14:paraId="318B53C6" w14:textId="77777777" w:rsidR="007A08B3" w:rsidRPr="007A08B3" w:rsidRDefault="007A08B3" w:rsidP="007A08B3">
      <w:pPr>
        <w:rPr>
          <w:rFonts w:cs="Arial"/>
          <w:b/>
          <w:bCs/>
          <w:i/>
          <w:iCs/>
          <w:szCs w:val="20"/>
        </w:rPr>
      </w:pPr>
    </w:p>
    <w:p w14:paraId="1FF9621C" w14:textId="4D5E3104" w:rsidR="00AB25B8" w:rsidRPr="007A08B3" w:rsidRDefault="00AB25B8" w:rsidP="007A08B3">
      <w:pPr>
        <w:rPr>
          <w:rFonts w:cs="Arial"/>
          <w:b/>
          <w:bCs/>
          <w:i/>
          <w:iCs/>
          <w:szCs w:val="20"/>
        </w:rPr>
      </w:pPr>
      <w:r w:rsidRPr="007A08B3">
        <w:rPr>
          <w:rFonts w:cs="Arial"/>
          <w:b/>
          <w:bCs/>
          <w:i/>
          <w:iCs/>
          <w:szCs w:val="20"/>
        </w:rPr>
        <w:t>MONEYVAL Chair</w:t>
      </w:r>
    </w:p>
    <w:p w14:paraId="4D985963" w14:textId="47E4C6ED" w:rsidR="00AB25B8" w:rsidRDefault="00AB25B8" w:rsidP="00394957">
      <w:pPr>
        <w:pStyle w:val="Title1"/>
        <w:spacing w:before="0" w:after="0"/>
      </w:pPr>
    </w:p>
    <w:p w14:paraId="46265400" w14:textId="77777777" w:rsidR="00B81966" w:rsidRDefault="00B81966" w:rsidP="00394957">
      <w:pPr>
        <w:pStyle w:val="Title1"/>
        <w:spacing w:before="0" w:after="0"/>
      </w:pPr>
    </w:p>
    <w:p w14:paraId="65743865" w14:textId="77777777" w:rsidR="00B81966" w:rsidRDefault="00B81966" w:rsidP="00394957">
      <w:pPr>
        <w:pStyle w:val="Title1"/>
        <w:spacing w:before="0" w:after="0"/>
      </w:pPr>
    </w:p>
    <w:p w14:paraId="59B8F22A" w14:textId="77777777" w:rsidR="00B81966" w:rsidRDefault="00B81966" w:rsidP="00394957">
      <w:pPr>
        <w:pStyle w:val="Title1"/>
        <w:spacing w:before="0" w:after="0"/>
      </w:pPr>
    </w:p>
    <w:p w14:paraId="5D30055B" w14:textId="24B3189E" w:rsidR="007A08B3" w:rsidRDefault="007A08B3">
      <w:pPr>
        <w:rPr>
          <w:rFonts w:eastAsia="Times New Roman" w:cs="Arial"/>
          <w:b/>
          <w:bCs/>
          <w:color w:val="000000"/>
          <w:w w:val="105"/>
          <w:kern w:val="28"/>
          <w:szCs w:val="20"/>
          <w:lang w:eastAsia="zh-CN"/>
        </w:rPr>
      </w:pPr>
      <w:r>
        <w:br w:type="page"/>
      </w:r>
    </w:p>
    <w:p w14:paraId="05C42611" w14:textId="77777777" w:rsidR="00B81966" w:rsidRDefault="00B81966" w:rsidP="00394957">
      <w:pPr>
        <w:pStyle w:val="Title1"/>
        <w:spacing w:before="0" w:after="0"/>
      </w:pPr>
    </w:p>
    <w:p w14:paraId="2CCF8C95" w14:textId="77777777" w:rsidR="00B81966" w:rsidRDefault="00B81966" w:rsidP="00394957">
      <w:pPr>
        <w:pStyle w:val="Title1"/>
        <w:spacing w:before="0" w:after="0"/>
      </w:pPr>
    </w:p>
    <w:p w14:paraId="5CA7D6B2" w14:textId="4DF9D26C" w:rsidR="00277C14" w:rsidRDefault="00277C14" w:rsidP="00394957">
      <w:pPr>
        <w:pStyle w:val="Title1"/>
        <w:spacing w:before="0" w:after="0"/>
      </w:pPr>
      <w:bookmarkStart w:id="6" w:name="_Toc135409876"/>
      <w:r w:rsidRPr="00277C14">
        <w:t>EXECUTIVE SUMMARY</w:t>
      </w:r>
      <w:bookmarkEnd w:id="1"/>
      <w:bookmarkEnd w:id="5"/>
      <w:bookmarkEnd w:id="6"/>
    </w:p>
    <w:p w14:paraId="508847F2" w14:textId="77777777" w:rsidR="00394957" w:rsidRPr="00277C14" w:rsidRDefault="00394957" w:rsidP="00394957">
      <w:pPr>
        <w:pStyle w:val="Title1"/>
        <w:spacing w:before="0" w:after="0"/>
      </w:pPr>
    </w:p>
    <w:p w14:paraId="2DE4588C" w14:textId="21D48C72" w:rsidR="00277C14" w:rsidRPr="00277C14" w:rsidRDefault="00277C14" w:rsidP="00394957">
      <w:pPr>
        <w:widowControl w:val="0"/>
        <w:autoSpaceDE w:val="0"/>
        <w:autoSpaceDN w:val="0"/>
        <w:adjustRightInd w:val="0"/>
        <w:rPr>
          <w:rFonts w:cs="Arial"/>
          <w:szCs w:val="20"/>
        </w:rPr>
      </w:pPr>
      <w:r w:rsidRPr="00277C14">
        <w:rPr>
          <w:rFonts w:cs="Arial"/>
          <w:szCs w:val="20"/>
        </w:rPr>
        <w:t>The Committee of Experts on the Evaluation of anti-money laundering measures and the financing of terrorism (MONEYVAL) is a monitoring body of the Council of Europe, which includes 3</w:t>
      </w:r>
      <w:r w:rsidR="003A55B5">
        <w:rPr>
          <w:rFonts w:cs="Arial"/>
          <w:szCs w:val="20"/>
        </w:rPr>
        <w:t>5</w:t>
      </w:r>
      <w:r w:rsidRPr="00277C14">
        <w:rPr>
          <w:rFonts w:cs="Arial"/>
          <w:szCs w:val="20"/>
        </w:rPr>
        <w:t xml:space="preserve"> member States and jurisdictions. MONEYVAL peer pressure motivates </w:t>
      </w:r>
      <w:r w:rsidR="00991FD2">
        <w:rPr>
          <w:rFonts w:cs="Arial"/>
          <w:szCs w:val="20"/>
        </w:rPr>
        <w:t xml:space="preserve">its </w:t>
      </w:r>
      <w:r w:rsidRPr="00277C14">
        <w:rPr>
          <w:rFonts w:cs="Arial"/>
          <w:szCs w:val="20"/>
        </w:rPr>
        <w:t xml:space="preserve">members to constantly update their anti-money laundering and counter-terrorist financing (AML/CFT) legislation, </w:t>
      </w:r>
      <w:proofErr w:type="gramStart"/>
      <w:r w:rsidRPr="00277C14">
        <w:rPr>
          <w:rFonts w:cs="Arial"/>
          <w:szCs w:val="20"/>
        </w:rPr>
        <w:t>institutions</w:t>
      </w:r>
      <w:proofErr w:type="gramEnd"/>
      <w:r w:rsidRPr="00277C14">
        <w:rPr>
          <w:rFonts w:cs="Arial"/>
          <w:szCs w:val="20"/>
        </w:rPr>
        <w:t xml:space="preserve"> and operational practices. MONEYVAL’s reports are public and widely used by financial institutions around the globe in determining whether to conduct business in a jurisdiction. The international AML/CFT standards monitored by MONEYVAL are defined by the Financial Action Task Force (FATF). MONEYVAL is an FATF-style regional body (FSRB) and an associate member of the FATF. </w:t>
      </w:r>
    </w:p>
    <w:p w14:paraId="2C25C7FB" w14:textId="77777777" w:rsidR="00277C14" w:rsidRPr="00277C14" w:rsidRDefault="00277C14" w:rsidP="00394957">
      <w:pPr>
        <w:widowControl w:val="0"/>
        <w:autoSpaceDE w:val="0"/>
        <w:autoSpaceDN w:val="0"/>
        <w:adjustRightInd w:val="0"/>
        <w:rPr>
          <w:rFonts w:cs="Arial"/>
          <w:szCs w:val="20"/>
        </w:rPr>
      </w:pPr>
    </w:p>
    <w:p w14:paraId="4075A8D9" w14:textId="25CAD2ED" w:rsidR="00277C14" w:rsidRPr="00277C14" w:rsidRDefault="00277C14" w:rsidP="00277C14">
      <w:pPr>
        <w:rPr>
          <w:rFonts w:cs="Arial"/>
          <w:szCs w:val="20"/>
        </w:rPr>
      </w:pPr>
      <w:r w:rsidRPr="00277C14">
        <w:rPr>
          <w:rFonts w:cs="Arial"/>
          <w:szCs w:val="20"/>
        </w:rPr>
        <w:t xml:space="preserve">This Annual Report provides a comprehensive overview of key compliance trends in </w:t>
      </w:r>
      <w:r w:rsidR="00991FD2">
        <w:rPr>
          <w:rFonts w:cs="Arial"/>
          <w:szCs w:val="20"/>
        </w:rPr>
        <w:t xml:space="preserve">the </w:t>
      </w:r>
      <w:r w:rsidRPr="00277C14">
        <w:rPr>
          <w:rFonts w:cs="Arial"/>
          <w:szCs w:val="20"/>
        </w:rPr>
        <w:t>MONEYVAL member-</w:t>
      </w:r>
      <w:proofErr w:type="gramStart"/>
      <w:r w:rsidRPr="00277C14">
        <w:rPr>
          <w:rFonts w:cs="Arial"/>
          <w:szCs w:val="20"/>
        </w:rPr>
        <w:t>jurisdictions, and</w:t>
      </w:r>
      <w:proofErr w:type="gramEnd"/>
      <w:r w:rsidRPr="00277C14">
        <w:rPr>
          <w:rFonts w:cs="Arial"/>
          <w:szCs w:val="20"/>
        </w:rPr>
        <w:t xml:space="preserve"> presents major MONEYVAL activities and results achieved in 202</w:t>
      </w:r>
      <w:r w:rsidR="00322994">
        <w:rPr>
          <w:rFonts w:cs="Arial"/>
          <w:szCs w:val="20"/>
        </w:rPr>
        <w:t>2</w:t>
      </w:r>
      <w:r w:rsidRPr="00277C14">
        <w:rPr>
          <w:rFonts w:cs="Arial"/>
          <w:szCs w:val="20"/>
        </w:rPr>
        <w:t xml:space="preserve"> in the area of mutual evaluations</w:t>
      </w:r>
      <w:r w:rsidR="005A142F">
        <w:rPr>
          <w:rFonts w:cs="Arial"/>
          <w:szCs w:val="20"/>
        </w:rPr>
        <w:t>,</w:t>
      </w:r>
      <w:r w:rsidRPr="00277C14">
        <w:rPr>
          <w:rFonts w:cs="Arial"/>
          <w:szCs w:val="20"/>
        </w:rPr>
        <w:t xml:space="preserve"> follow-up</w:t>
      </w:r>
      <w:r w:rsidR="005A142F">
        <w:rPr>
          <w:rFonts w:cs="Arial"/>
          <w:szCs w:val="20"/>
        </w:rPr>
        <w:t xml:space="preserve">, research typologies, training, </w:t>
      </w:r>
      <w:r w:rsidR="00991FD2">
        <w:rPr>
          <w:rFonts w:cs="Arial"/>
          <w:szCs w:val="20"/>
        </w:rPr>
        <w:t xml:space="preserve">as well as </w:t>
      </w:r>
      <w:r w:rsidR="005A142F">
        <w:rPr>
          <w:rFonts w:cs="Arial"/>
          <w:szCs w:val="20"/>
        </w:rPr>
        <w:t>external and internal engagement.</w:t>
      </w:r>
    </w:p>
    <w:p w14:paraId="7CDB5D4D" w14:textId="77777777" w:rsidR="00277C14" w:rsidRPr="00277C14" w:rsidRDefault="00277C14" w:rsidP="00277C14">
      <w:pPr>
        <w:rPr>
          <w:rFonts w:cs="Arial"/>
          <w:szCs w:val="20"/>
        </w:rPr>
      </w:pPr>
    </w:p>
    <w:p w14:paraId="06975653" w14:textId="67D222BD" w:rsidR="00277C14" w:rsidRDefault="00277C14" w:rsidP="00277C14">
      <w:pPr>
        <w:rPr>
          <w:rFonts w:cs="Arial"/>
          <w:szCs w:val="20"/>
        </w:rPr>
      </w:pPr>
      <w:bookmarkStart w:id="7" w:name="_Hlk66644770"/>
      <w:r w:rsidRPr="00277C14">
        <w:rPr>
          <w:rFonts w:cs="Arial"/>
          <w:szCs w:val="20"/>
        </w:rPr>
        <w:t xml:space="preserve">MONEYVAL member </w:t>
      </w:r>
      <w:r w:rsidR="00344B93">
        <w:rPr>
          <w:rFonts w:cs="Arial"/>
          <w:szCs w:val="20"/>
        </w:rPr>
        <w:t>State</w:t>
      </w:r>
      <w:r w:rsidRPr="00277C14">
        <w:rPr>
          <w:rFonts w:cs="Arial"/>
          <w:szCs w:val="20"/>
        </w:rPr>
        <w:t xml:space="preserve">s and jurisdictions </w:t>
      </w:r>
      <w:proofErr w:type="gramStart"/>
      <w:r w:rsidRPr="00277C14">
        <w:rPr>
          <w:rFonts w:cs="Arial"/>
          <w:szCs w:val="20"/>
        </w:rPr>
        <w:t>continue on</w:t>
      </w:r>
      <w:proofErr w:type="gramEnd"/>
      <w:r w:rsidRPr="00277C14">
        <w:rPr>
          <w:rFonts w:cs="Arial"/>
          <w:szCs w:val="20"/>
        </w:rPr>
        <w:t xml:space="preserve"> average to demonstrate a </w:t>
      </w:r>
      <w:r w:rsidRPr="00277C14">
        <w:rPr>
          <w:rFonts w:cs="Arial"/>
          <w:b/>
          <w:bCs/>
          <w:szCs w:val="20"/>
        </w:rPr>
        <w:t>moderate level of effectiveness</w:t>
      </w:r>
      <w:r w:rsidRPr="00277C14">
        <w:rPr>
          <w:rFonts w:cs="Arial"/>
          <w:szCs w:val="20"/>
        </w:rPr>
        <w:t xml:space="preserve"> in their AML/CFT efforts. Thus, the median level of compliance </w:t>
      </w:r>
      <w:r w:rsidRPr="00277C14">
        <w:rPr>
          <w:rFonts w:cs="Arial"/>
          <w:b/>
          <w:bCs/>
          <w:szCs w:val="20"/>
        </w:rPr>
        <w:t>is below the satisfactory threshold</w:t>
      </w:r>
      <w:r w:rsidRPr="00277C14">
        <w:rPr>
          <w:rFonts w:cs="Arial"/>
          <w:szCs w:val="20"/>
        </w:rPr>
        <w:t xml:space="preserve">. </w:t>
      </w:r>
      <w:r w:rsidR="007A08B3">
        <w:rPr>
          <w:rFonts w:cs="Arial"/>
          <w:szCs w:val="20"/>
        </w:rPr>
        <w:t>T</w:t>
      </w:r>
      <w:r w:rsidRPr="00277C14">
        <w:rPr>
          <w:rFonts w:cs="Arial"/>
          <w:szCs w:val="20"/>
        </w:rPr>
        <w:t xml:space="preserve">he best results </w:t>
      </w:r>
      <w:r w:rsidR="007A08B3">
        <w:rPr>
          <w:rFonts w:cs="Arial"/>
          <w:szCs w:val="20"/>
        </w:rPr>
        <w:t xml:space="preserve">are achieved </w:t>
      </w:r>
      <w:r w:rsidRPr="00277C14">
        <w:rPr>
          <w:rFonts w:cs="Arial"/>
          <w:szCs w:val="20"/>
        </w:rPr>
        <w:t xml:space="preserve">in the areas of risk assessment, international </w:t>
      </w:r>
      <w:proofErr w:type="gramStart"/>
      <w:r w:rsidRPr="00277C14">
        <w:rPr>
          <w:rFonts w:cs="Arial"/>
          <w:szCs w:val="20"/>
        </w:rPr>
        <w:t>co</w:t>
      </w:r>
      <w:r w:rsidR="002F5F50">
        <w:rPr>
          <w:rFonts w:cs="Arial"/>
          <w:szCs w:val="20"/>
        </w:rPr>
        <w:t>-</w:t>
      </w:r>
      <w:r w:rsidRPr="00277C14">
        <w:rPr>
          <w:rFonts w:cs="Arial"/>
          <w:szCs w:val="20"/>
        </w:rPr>
        <w:t>operation</w:t>
      </w:r>
      <w:proofErr w:type="gramEnd"/>
      <w:r w:rsidRPr="00277C14">
        <w:rPr>
          <w:rFonts w:cs="Arial"/>
          <w:szCs w:val="20"/>
        </w:rPr>
        <w:t xml:space="preserve"> and use of financial intelligence. Effectiveness remains particularly weak in financial sector supervision, private sector compliance, transparency of legal persons, money laundering convictions and confiscations, </w:t>
      </w:r>
      <w:r w:rsidR="00991FD2">
        <w:rPr>
          <w:rFonts w:cs="Arial"/>
          <w:szCs w:val="20"/>
        </w:rPr>
        <w:t xml:space="preserve">and </w:t>
      </w:r>
      <w:r w:rsidRPr="00277C14">
        <w:rPr>
          <w:rFonts w:cs="Arial"/>
          <w:szCs w:val="20"/>
        </w:rPr>
        <w:t xml:space="preserve">financial sanctions for terrorism and proliferation of weapons of mass destruction. </w:t>
      </w:r>
    </w:p>
    <w:p w14:paraId="485BA420" w14:textId="6095273D" w:rsidR="00E82063" w:rsidRDefault="00E82063" w:rsidP="00277C14">
      <w:pPr>
        <w:rPr>
          <w:rFonts w:cs="Arial"/>
          <w:szCs w:val="20"/>
        </w:rPr>
      </w:pPr>
    </w:p>
    <w:p w14:paraId="550F270D" w14:textId="14AC5DD6" w:rsidR="00E82063" w:rsidRPr="00330786" w:rsidRDefault="00E82063" w:rsidP="00277C14">
      <w:pPr>
        <w:rPr>
          <w:rFonts w:cs="Arial"/>
          <w:szCs w:val="20"/>
        </w:rPr>
      </w:pPr>
      <w:r w:rsidRPr="00330786">
        <w:rPr>
          <w:rFonts w:cs="Arial"/>
          <w:szCs w:val="20"/>
        </w:rPr>
        <w:t>At the same time, MONEYVAL members demonstrate impressive results, when it comes to the pace of implement</w:t>
      </w:r>
      <w:r w:rsidR="00242284" w:rsidRPr="00330786">
        <w:rPr>
          <w:rFonts w:cs="Arial"/>
          <w:szCs w:val="20"/>
        </w:rPr>
        <w:t>ing</w:t>
      </w:r>
      <w:r w:rsidRPr="00330786">
        <w:rPr>
          <w:rFonts w:cs="Arial"/>
          <w:szCs w:val="20"/>
        </w:rPr>
        <w:t xml:space="preserve"> recommendations</w:t>
      </w:r>
      <w:r w:rsidR="00242284" w:rsidRPr="00330786">
        <w:rPr>
          <w:rFonts w:cs="Arial"/>
          <w:szCs w:val="20"/>
        </w:rPr>
        <w:t xml:space="preserve"> in the technical compliance field covering legislative and institutional reforms. This average overall indicator has reached </w:t>
      </w:r>
      <w:r w:rsidRPr="00330786">
        <w:rPr>
          <w:rFonts w:cs="Arial"/>
          <w:szCs w:val="20"/>
        </w:rPr>
        <w:t>72%</w:t>
      </w:r>
      <w:r w:rsidR="00FA5D5D" w:rsidRPr="00330786">
        <w:rPr>
          <w:rFonts w:cs="Arial"/>
          <w:szCs w:val="20"/>
        </w:rPr>
        <w:t xml:space="preserve"> in the current round</w:t>
      </w:r>
      <w:r w:rsidRPr="00330786">
        <w:rPr>
          <w:rFonts w:cs="Arial"/>
          <w:szCs w:val="20"/>
        </w:rPr>
        <w:t xml:space="preserve">, which is the highest in the FATF-led Global Network and on par with the FATF itself. </w:t>
      </w:r>
    </w:p>
    <w:p w14:paraId="339894E3" w14:textId="7F94A081" w:rsidR="00C53A5E" w:rsidRPr="00330786" w:rsidRDefault="00C53A5E" w:rsidP="00277C14">
      <w:pPr>
        <w:rPr>
          <w:rFonts w:cs="Arial"/>
          <w:szCs w:val="20"/>
        </w:rPr>
      </w:pPr>
    </w:p>
    <w:p w14:paraId="17C4F14E" w14:textId="6D92D442" w:rsidR="00BC25F6" w:rsidRPr="00330786" w:rsidRDefault="00BC25F6" w:rsidP="00BC25F6">
      <w:pPr>
        <w:autoSpaceDE w:val="0"/>
        <w:autoSpaceDN w:val="0"/>
        <w:adjustRightInd w:val="0"/>
        <w:rPr>
          <w:rFonts w:cs="Arial"/>
          <w:color w:val="000000"/>
          <w:szCs w:val="20"/>
          <w:lang w:eastAsia="en-GB"/>
        </w:rPr>
      </w:pPr>
      <w:r w:rsidRPr="00330786">
        <w:rPr>
          <w:rFonts w:cs="Arial"/>
          <w:szCs w:val="20"/>
        </w:rPr>
        <w:t xml:space="preserve">Covid-related working methods were still in use in the first part of 2022, including hybrid tools for mutual evaluations, but were generally discontinued in the second semester. Certain adjustments were made to the mutual evaluation schedule to </w:t>
      </w:r>
      <w:proofErr w:type="gramStart"/>
      <w:r w:rsidRPr="00330786">
        <w:rPr>
          <w:rFonts w:cs="Arial"/>
          <w:szCs w:val="20"/>
        </w:rPr>
        <w:t>take into account</w:t>
      </w:r>
      <w:proofErr w:type="gramEnd"/>
      <w:r w:rsidRPr="00330786">
        <w:rPr>
          <w:rFonts w:cs="Arial"/>
          <w:szCs w:val="20"/>
        </w:rPr>
        <w:t xml:space="preserve"> the consequences of Russia’s aggression against Ukraine, including a delay requested by Estonia for its on-site visit, and a temporary suspension of monitoring for Ukraine. Despite these additional complications in its region, </w:t>
      </w:r>
      <w:r w:rsidRPr="00330786">
        <w:rPr>
          <w:rFonts w:cs="Arial"/>
          <w:color w:val="000000"/>
          <w:szCs w:val="20"/>
          <w:lang w:eastAsia="en-GB"/>
        </w:rPr>
        <w:t xml:space="preserve">MONEYVAL continued to lead among its international peers in the overall count of completed mutual evaluations, reaching a total of ten since the start of the pandemic – the highest number in the FATF-led Global AML/CFT Network. </w:t>
      </w:r>
    </w:p>
    <w:p w14:paraId="796A081C" w14:textId="77777777" w:rsidR="00BC25F6" w:rsidRPr="00330786" w:rsidRDefault="00BC25F6" w:rsidP="00BC25F6">
      <w:pPr>
        <w:autoSpaceDE w:val="0"/>
        <w:autoSpaceDN w:val="0"/>
        <w:adjustRightInd w:val="0"/>
        <w:rPr>
          <w:rFonts w:cs="Arial"/>
          <w:color w:val="000000"/>
          <w:szCs w:val="20"/>
          <w:lang w:eastAsia="en-GB"/>
        </w:rPr>
      </w:pPr>
    </w:p>
    <w:p w14:paraId="177F0BF9" w14:textId="78EADEFF" w:rsidR="002A6779" w:rsidRPr="00330786" w:rsidRDefault="002A6779" w:rsidP="002A6779">
      <w:pPr>
        <w:autoSpaceDE w:val="0"/>
        <w:autoSpaceDN w:val="0"/>
        <w:adjustRightInd w:val="0"/>
        <w:rPr>
          <w:rFonts w:cs="Arial"/>
          <w:color w:val="000000"/>
          <w:szCs w:val="20"/>
          <w:lang w:eastAsia="en-GB"/>
        </w:rPr>
      </w:pPr>
      <w:r w:rsidRPr="00330786">
        <w:rPr>
          <w:rFonts w:cs="Arial"/>
          <w:szCs w:val="20"/>
        </w:rPr>
        <w:t xml:space="preserve">Throughout 2022 a total of </w:t>
      </w:r>
      <w:r w:rsidR="007A08B3" w:rsidRPr="00330786">
        <w:rPr>
          <w:rFonts w:cs="Arial"/>
          <w:szCs w:val="20"/>
        </w:rPr>
        <w:t>twenty</w:t>
      </w:r>
      <w:r w:rsidRPr="00330786">
        <w:rPr>
          <w:rFonts w:cs="Arial"/>
          <w:szCs w:val="20"/>
        </w:rPr>
        <w:t xml:space="preserve"> MONEYVAL States </w:t>
      </w:r>
      <w:r w:rsidR="007A08B3" w:rsidRPr="00330786">
        <w:rPr>
          <w:rFonts w:cs="Arial"/>
          <w:szCs w:val="20"/>
        </w:rPr>
        <w:t>and</w:t>
      </w:r>
      <w:r w:rsidRPr="00330786">
        <w:rPr>
          <w:rFonts w:cs="Arial"/>
          <w:szCs w:val="20"/>
        </w:rPr>
        <w:t xml:space="preserve"> territories were subject to active monitoring processes</w:t>
      </w:r>
      <w:r w:rsidR="007A08B3" w:rsidRPr="00330786">
        <w:rPr>
          <w:rFonts w:cs="Arial"/>
          <w:szCs w:val="20"/>
        </w:rPr>
        <w:t xml:space="preserve">, </w:t>
      </w:r>
      <w:r w:rsidRPr="00330786">
        <w:rPr>
          <w:rFonts w:cs="Arial"/>
          <w:szCs w:val="20"/>
        </w:rPr>
        <w:t xml:space="preserve">through onsite visits, adopted reports, </w:t>
      </w:r>
      <w:proofErr w:type="gramStart"/>
      <w:r w:rsidRPr="00330786">
        <w:rPr>
          <w:rFonts w:cs="Arial"/>
          <w:szCs w:val="20"/>
        </w:rPr>
        <w:t>follow-up</w:t>
      </w:r>
      <w:proofErr w:type="gramEnd"/>
      <w:r w:rsidRPr="00330786">
        <w:rPr>
          <w:rFonts w:cs="Arial"/>
          <w:szCs w:val="20"/>
        </w:rPr>
        <w:t xml:space="preserve"> and compliance procedures. MONEYVAL continued its 5</w:t>
      </w:r>
      <w:r w:rsidRPr="00330786">
        <w:rPr>
          <w:rFonts w:cs="Arial"/>
          <w:szCs w:val="20"/>
          <w:vertAlign w:val="superscript"/>
        </w:rPr>
        <w:t>th</w:t>
      </w:r>
      <w:r w:rsidRPr="00330786">
        <w:rPr>
          <w:rFonts w:cs="Arial"/>
          <w:szCs w:val="20"/>
        </w:rPr>
        <w:t xml:space="preserve"> round of mutual evaluations by adopting four mutual evaluation reports for </w:t>
      </w:r>
      <w:r w:rsidR="003524AE" w:rsidRPr="00330786">
        <w:rPr>
          <w:rFonts w:cs="Arial"/>
          <w:szCs w:val="20"/>
        </w:rPr>
        <w:t>Bulgaria</w:t>
      </w:r>
      <w:r w:rsidRPr="00330786">
        <w:rPr>
          <w:rFonts w:cs="Arial"/>
          <w:szCs w:val="20"/>
        </w:rPr>
        <w:t xml:space="preserve">, </w:t>
      </w:r>
      <w:r w:rsidR="003524AE" w:rsidRPr="00330786">
        <w:rPr>
          <w:rFonts w:cs="Arial"/>
          <w:szCs w:val="20"/>
        </w:rPr>
        <w:t xml:space="preserve">Estonia, </w:t>
      </w:r>
      <w:proofErr w:type="gramStart"/>
      <w:r w:rsidR="003524AE" w:rsidRPr="00330786">
        <w:rPr>
          <w:rFonts w:cs="Arial"/>
          <w:szCs w:val="20"/>
        </w:rPr>
        <w:t>Liechtenstein</w:t>
      </w:r>
      <w:proofErr w:type="gramEnd"/>
      <w:r w:rsidRPr="00330786">
        <w:rPr>
          <w:rFonts w:cs="Arial"/>
          <w:szCs w:val="20"/>
        </w:rPr>
        <w:t xml:space="preserve"> and </w:t>
      </w:r>
      <w:r w:rsidR="003524AE" w:rsidRPr="00330786">
        <w:rPr>
          <w:rFonts w:cs="Arial"/>
          <w:szCs w:val="20"/>
        </w:rPr>
        <w:t xml:space="preserve">Monaco, </w:t>
      </w:r>
      <w:r w:rsidRPr="00330786">
        <w:rPr>
          <w:rFonts w:cs="Arial"/>
          <w:szCs w:val="20"/>
        </w:rPr>
        <w:t>and conducting on-site visits for</w:t>
      </w:r>
      <w:r w:rsidR="003524AE" w:rsidRPr="00330786">
        <w:rPr>
          <w:rFonts w:cs="Arial"/>
          <w:szCs w:val="20"/>
        </w:rPr>
        <w:t xml:space="preserve"> the evaluations of Romania and North Macedonia</w:t>
      </w:r>
      <w:r w:rsidR="00BC25F6" w:rsidRPr="00330786">
        <w:rPr>
          <w:rFonts w:cs="Arial"/>
          <w:szCs w:val="20"/>
        </w:rPr>
        <w:t>,</w:t>
      </w:r>
      <w:r w:rsidR="003524AE" w:rsidRPr="00330786">
        <w:rPr>
          <w:rFonts w:cs="Arial"/>
          <w:szCs w:val="20"/>
        </w:rPr>
        <w:t xml:space="preserve"> to be completed in 2023</w:t>
      </w:r>
      <w:r w:rsidRPr="00330786">
        <w:rPr>
          <w:rFonts w:cs="Arial"/>
          <w:szCs w:val="20"/>
        </w:rPr>
        <w:t xml:space="preserve">. The mutual evaluation process was launched for </w:t>
      </w:r>
      <w:r w:rsidR="003524AE" w:rsidRPr="00330786">
        <w:rPr>
          <w:rFonts w:cs="Arial"/>
          <w:szCs w:val="20"/>
        </w:rPr>
        <w:t>four</w:t>
      </w:r>
      <w:r w:rsidRPr="00330786">
        <w:rPr>
          <w:rFonts w:cs="Arial"/>
          <w:szCs w:val="20"/>
        </w:rPr>
        <w:t xml:space="preserve"> other members (</w:t>
      </w:r>
      <w:r w:rsidR="003524AE" w:rsidRPr="00330786">
        <w:rPr>
          <w:rFonts w:cs="Arial"/>
          <w:szCs w:val="20"/>
        </w:rPr>
        <w:t xml:space="preserve">Azerbaijan, Bosnia and Herzegovina, </w:t>
      </w:r>
      <w:proofErr w:type="gramStart"/>
      <w:r w:rsidR="003524AE" w:rsidRPr="00330786">
        <w:rPr>
          <w:rFonts w:cs="Arial"/>
          <w:szCs w:val="20"/>
        </w:rPr>
        <w:t>Jersey</w:t>
      </w:r>
      <w:proofErr w:type="gramEnd"/>
      <w:r w:rsidR="003524AE" w:rsidRPr="00330786">
        <w:rPr>
          <w:rFonts w:cs="Arial"/>
          <w:szCs w:val="20"/>
        </w:rPr>
        <w:t xml:space="preserve"> and Montenegro</w:t>
      </w:r>
      <w:r w:rsidRPr="00330786">
        <w:rPr>
          <w:rFonts w:cs="Arial"/>
          <w:szCs w:val="20"/>
        </w:rPr>
        <w:t xml:space="preserve">). The Committee adopted </w:t>
      </w:r>
      <w:r w:rsidR="00FE0529" w:rsidRPr="00330786">
        <w:rPr>
          <w:rFonts w:cs="Arial"/>
          <w:szCs w:val="20"/>
        </w:rPr>
        <w:t xml:space="preserve">ten </w:t>
      </w:r>
      <w:r w:rsidRPr="00330786">
        <w:rPr>
          <w:rFonts w:cs="Arial"/>
          <w:szCs w:val="20"/>
        </w:rPr>
        <w:t>follow-up reports under the 5</w:t>
      </w:r>
      <w:r w:rsidRPr="00330786">
        <w:rPr>
          <w:rFonts w:cs="Arial"/>
          <w:szCs w:val="20"/>
          <w:vertAlign w:val="superscript"/>
        </w:rPr>
        <w:t>th</w:t>
      </w:r>
      <w:r w:rsidRPr="00330786">
        <w:rPr>
          <w:rFonts w:cs="Arial"/>
          <w:szCs w:val="20"/>
        </w:rPr>
        <w:t xml:space="preserve"> Round of Mutual evaluations. </w:t>
      </w:r>
    </w:p>
    <w:p w14:paraId="5C58D4BC" w14:textId="77777777" w:rsidR="002A6779" w:rsidRPr="00330786" w:rsidRDefault="002A6779" w:rsidP="002A6779">
      <w:pPr>
        <w:autoSpaceDE w:val="0"/>
        <w:autoSpaceDN w:val="0"/>
        <w:adjustRightInd w:val="0"/>
        <w:rPr>
          <w:rFonts w:cs="Arial"/>
          <w:color w:val="000000"/>
          <w:szCs w:val="20"/>
          <w:lang w:eastAsia="en-GB"/>
        </w:rPr>
      </w:pPr>
    </w:p>
    <w:p w14:paraId="6CDB68CB" w14:textId="1FBFC104" w:rsidR="00A50AF6" w:rsidRPr="00330786" w:rsidRDefault="00C53A5E" w:rsidP="00277C14">
      <w:pPr>
        <w:rPr>
          <w:rFonts w:cs="Arial"/>
          <w:szCs w:val="20"/>
        </w:rPr>
      </w:pPr>
      <w:r w:rsidRPr="00330786">
        <w:rPr>
          <w:rFonts w:cs="Arial"/>
          <w:szCs w:val="20"/>
        </w:rPr>
        <w:t xml:space="preserve">In the course of 2022, a total of five MONEYVAL members were under various stages of consideration by the FATF International </w:t>
      </w:r>
      <w:r w:rsidR="003654E4">
        <w:rPr>
          <w:rFonts w:cs="Arial"/>
          <w:szCs w:val="20"/>
        </w:rPr>
        <w:t>Co-op</w:t>
      </w:r>
      <w:r w:rsidRPr="00330786">
        <w:rPr>
          <w:rFonts w:cs="Arial"/>
          <w:szCs w:val="20"/>
        </w:rPr>
        <w:t>eration Review Group (ICRG). Among them, Albania remained in the FATF “grey list” throughout the entire year, with the last remaining concern related to its initiative to undertake a voluntary tax compliance programme</w:t>
      </w:r>
      <w:r w:rsidR="007A08B3" w:rsidRPr="00330786">
        <w:rPr>
          <w:rFonts w:cs="Arial"/>
          <w:szCs w:val="20"/>
        </w:rPr>
        <w:t xml:space="preserve"> which did not comply with the FATF principles in this area</w:t>
      </w:r>
      <w:r w:rsidRPr="00330786">
        <w:rPr>
          <w:rFonts w:cs="Arial"/>
          <w:szCs w:val="20"/>
        </w:rPr>
        <w:t xml:space="preserve">. Malta was successfully removed from the FATF “grey list”, </w:t>
      </w:r>
      <w:r w:rsidR="00BC25F6" w:rsidRPr="00330786">
        <w:rPr>
          <w:rFonts w:cs="Arial"/>
          <w:szCs w:val="20"/>
        </w:rPr>
        <w:t xml:space="preserve">while </w:t>
      </w:r>
      <w:r w:rsidRPr="00330786">
        <w:rPr>
          <w:rFonts w:cs="Arial"/>
          <w:szCs w:val="20"/>
        </w:rPr>
        <w:t>Gibraltar was listed by the FATF</w:t>
      </w:r>
      <w:r w:rsidR="00BC25F6" w:rsidRPr="00330786">
        <w:rPr>
          <w:rFonts w:cs="Arial"/>
          <w:szCs w:val="20"/>
        </w:rPr>
        <w:t>, in June 2022.</w:t>
      </w:r>
      <w:r w:rsidRPr="00330786">
        <w:rPr>
          <w:rFonts w:cs="Arial"/>
          <w:szCs w:val="20"/>
        </w:rPr>
        <w:t xml:space="preserve"> Bulgaria</w:t>
      </w:r>
      <w:r w:rsidR="002A6779" w:rsidRPr="00330786">
        <w:rPr>
          <w:rFonts w:cs="Arial"/>
          <w:szCs w:val="20"/>
        </w:rPr>
        <w:t xml:space="preserve"> and</w:t>
      </w:r>
      <w:r w:rsidRPr="00330786">
        <w:rPr>
          <w:rFonts w:cs="Arial"/>
          <w:szCs w:val="20"/>
        </w:rPr>
        <w:t xml:space="preserve"> Croatia</w:t>
      </w:r>
      <w:r w:rsidR="002A6779" w:rsidRPr="00330786">
        <w:rPr>
          <w:rFonts w:cs="Arial"/>
          <w:szCs w:val="20"/>
        </w:rPr>
        <w:t xml:space="preserve"> remained in an observation period awaiting </w:t>
      </w:r>
      <w:r w:rsidR="00BC25F6" w:rsidRPr="00330786">
        <w:rPr>
          <w:rFonts w:cs="Arial"/>
          <w:szCs w:val="20"/>
        </w:rPr>
        <w:t>the FATF’s</w:t>
      </w:r>
      <w:r w:rsidR="002A6779" w:rsidRPr="00330786">
        <w:rPr>
          <w:rFonts w:cs="Arial"/>
          <w:szCs w:val="20"/>
        </w:rPr>
        <w:t xml:space="preserve"> decision in 2023</w:t>
      </w:r>
      <w:r w:rsidR="00FC2E59">
        <w:rPr>
          <w:rFonts w:cs="Arial"/>
          <w:szCs w:val="20"/>
        </w:rPr>
        <w:t>, which will be taken considering progress achieved during this period.</w:t>
      </w:r>
    </w:p>
    <w:p w14:paraId="3A095B99" w14:textId="140BC916" w:rsidR="00A50AF6" w:rsidRPr="00330786" w:rsidRDefault="00A50AF6" w:rsidP="00277C14">
      <w:pPr>
        <w:rPr>
          <w:rFonts w:cs="Arial"/>
          <w:szCs w:val="20"/>
        </w:rPr>
      </w:pPr>
    </w:p>
    <w:p w14:paraId="64CF43EE" w14:textId="4FB5FF5B" w:rsidR="004D5F3C" w:rsidRDefault="00A50AF6" w:rsidP="00277C14">
      <w:pPr>
        <w:rPr>
          <w:rFonts w:cs="Arial"/>
          <w:szCs w:val="20"/>
        </w:rPr>
      </w:pPr>
      <w:r w:rsidRPr="00330786">
        <w:rPr>
          <w:rFonts w:cs="Arial"/>
          <w:szCs w:val="20"/>
        </w:rPr>
        <w:t>In 2022 MONEYVAL concluded the implementation of its first Strategy for 2020-2022, successfully executing all priorities set out in that document</w:t>
      </w:r>
      <w:r w:rsidR="00BC25F6" w:rsidRPr="00330786">
        <w:rPr>
          <w:rFonts w:cs="Arial"/>
          <w:szCs w:val="20"/>
        </w:rPr>
        <w:t xml:space="preserve">, </w:t>
      </w:r>
      <w:proofErr w:type="gramStart"/>
      <w:r w:rsidR="00BC25F6" w:rsidRPr="00330786">
        <w:rPr>
          <w:rFonts w:cs="Arial"/>
          <w:szCs w:val="20"/>
        </w:rPr>
        <w:t>with the exception of</w:t>
      </w:r>
      <w:proofErr w:type="gramEnd"/>
      <w:r w:rsidR="00BC25F6" w:rsidRPr="00330786">
        <w:rPr>
          <w:rFonts w:cs="Arial"/>
          <w:szCs w:val="20"/>
        </w:rPr>
        <w:t xml:space="preserve"> the High-level meeting in Warsaw delayed to April 2023 due to C</w:t>
      </w:r>
      <w:r w:rsidR="004C7EF8">
        <w:rPr>
          <w:rFonts w:cs="Arial"/>
          <w:szCs w:val="20"/>
        </w:rPr>
        <w:t>ovid</w:t>
      </w:r>
      <w:r w:rsidR="00BC25F6" w:rsidRPr="00330786">
        <w:rPr>
          <w:rFonts w:cs="Arial"/>
          <w:szCs w:val="20"/>
        </w:rPr>
        <w:t xml:space="preserve"> and the regi</w:t>
      </w:r>
      <w:r w:rsidR="007A08B3" w:rsidRPr="00330786">
        <w:rPr>
          <w:rFonts w:cs="Arial"/>
          <w:szCs w:val="20"/>
        </w:rPr>
        <w:t>o</w:t>
      </w:r>
      <w:r w:rsidR="00BC25F6" w:rsidRPr="00330786">
        <w:rPr>
          <w:rFonts w:cs="Arial"/>
          <w:szCs w:val="20"/>
        </w:rPr>
        <w:t>nal security situation</w:t>
      </w:r>
      <w:r w:rsidRPr="00330786">
        <w:rPr>
          <w:rFonts w:cs="Arial"/>
          <w:szCs w:val="20"/>
        </w:rPr>
        <w:t>. The Committee conducted preparations of its next strategic cycle for 2023-2027 and its 6</w:t>
      </w:r>
      <w:r w:rsidRPr="00330786">
        <w:rPr>
          <w:rFonts w:cs="Arial"/>
          <w:szCs w:val="20"/>
          <w:vertAlign w:val="superscript"/>
        </w:rPr>
        <w:t>th</w:t>
      </w:r>
      <w:r w:rsidRPr="00330786">
        <w:rPr>
          <w:rFonts w:cs="Arial"/>
          <w:szCs w:val="20"/>
        </w:rPr>
        <w:t xml:space="preserve"> mutual evaluations round</w:t>
      </w:r>
      <w:r w:rsidR="007A08B3" w:rsidRPr="00330786">
        <w:rPr>
          <w:rFonts w:cs="Arial"/>
          <w:szCs w:val="20"/>
        </w:rPr>
        <w:t>,</w:t>
      </w:r>
      <w:r w:rsidRPr="00330786">
        <w:rPr>
          <w:rFonts w:cs="Arial"/>
          <w:szCs w:val="20"/>
        </w:rPr>
        <w:t xml:space="preserve"> due to start in 2024. A comprehensive dialogue </w:t>
      </w:r>
      <w:r w:rsidR="00BC25F6" w:rsidRPr="00330786">
        <w:rPr>
          <w:rFonts w:cs="Arial"/>
          <w:szCs w:val="20"/>
        </w:rPr>
        <w:t xml:space="preserve">on these matters </w:t>
      </w:r>
      <w:r w:rsidRPr="00330786">
        <w:rPr>
          <w:rFonts w:cs="Arial"/>
          <w:szCs w:val="20"/>
        </w:rPr>
        <w:t>was held with its members and former</w:t>
      </w:r>
      <w:r w:rsidR="00BC25F6" w:rsidRPr="00330786">
        <w:rPr>
          <w:rFonts w:cs="Arial"/>
          <w:szCs w:val="20"/>
        </w:rPr>
        <w:t xml:space="preserve"> MONEYVAL</w:t>
      </w:r>
      <w:r w:rsidRPr="00330786">
        <w:rPr>
          <w:rFonts w:cs="Arial"/>
          <w:szCs w:val="20"/>
        </w:rPr>
        <w:t xml:space="preserve"> </w:t>
      </w:r>
    </w:p>
    <w:p w14:paraId="5C20557D" w14:textId="77777777" w:rsidR="004D5F3C" w:rsidRDefault="004D5F3C">
      <w:pPr>
        <w:rPr>
          <w:rFonts w:cs="Arial"/>
          <w:szCs w:val="20"/>
        </w:rPr>
      </w:pPr>
      <w:r>
        <w:rPr>
          <w:rFonts w:cs="Arial"/>
          <w:szCs w:val="20"/>
        </w:rPr>
        <w:br w:type="page"/>
      </w:r>
    </w:p>
    <w:p w14:paraId="232E15EE" w14:textId="7E6DFA18" w:rsidR="00A50AF6" w:rsidRPr="00330786" w:rsidRDefault="00A50AF6" w:rsidP="00277C14">
      <w:pPr>
        <w:rPr>
          <w:rFonts w:cs="Arial"/>
          <w:szCs w:val="20"/>
        </w:rPr>
      </w:pPr>
      <w:r w:rsidRPr="00330786">
        <w:rPr>
          <w:rFonts w:cs="Arial"/>
          <w:szCs w:val="20"/>
        </w:rPr>
        <w:lastRenderedPageBreak/>
        <w:t>chairs</w:t>
      </w:r>
      <w:r w:rsidR="003D3038" w:rsidRPr="00330786">
        <w:rPr>
          <w:rFonts w:cs="Arial"/>
          <w:szCs w:val="20"/>
        </w:rPr>
        <w:t xml:space="preserve"> at the occasion of the 25</w:t>
      </w:r>
      <w:r w:rsidR="003D3038" w:rsidRPr="00330786">
        <w:rPr>
          <w:rFonts w:cs="Arial"/>
          <w:szCs w:val="20"/>
          <w:vertAlign w:val="superscript"/>
        </w:rPr>
        <w:t>th</w:t>
      </w:r>
      <w:r w:rsidR="003D3038" w:rsidRPr="00330786">
        <w:rPr>
          <w:rFonts w:cs="Arial"/>
          <w:szCs w:val="20"/>
        </w:rPr>
        <w:t xml:space="preserve"> </w:t>
      </w:r>
      <w:r w:rsidR="00BC25F6" w:rsidRPr="00330786">
        <w:rPr>
          <w:rFonts w:cs="Arial"/>
          <w:szCs w:val="20"/>
        </w:rPr>
        <w:t>a</w:t>
      </w:r>
      <w:r w:rsidR="003D3038" w:rsidRPr="00330786">
        <w:rPr>
          <w:rFonts w:cs="Arial"/>
          <w:szCs w:val="20"/>
        </w:rPr>
        <w:t xml:space="preserve">nniversary of MONEYVAL </w:t>
      </w:r>
      <w:r w:rsidR="00BC25F6" w:rsidRPr="00330786">
        <w:rPr>
          <w:rFonts w:cs="Arial"/>
          <w:szCs w:val="20"/>
        </w:rPr>
        <w:t>celebrated</w:t>
      </w:r>
      <w:r w:rsidR="003D3038" w:rsidRPr="00330786">
        <w:rPr>
          <w:rFonts w:cs="Arial"/>
          <w:szCs w:val="20"/>
        </w:rPr>
        <w:t xml:space="preserve"> by the Committee in December 2022</w:t>
      </w:r>
      <w:r w:rsidRPr="00330786">
        <w:rPr>
          <w:rFonts w:cs="Arial"/>
          <w:szCs w:val="20"/>
        </w:rPr>
        <w:t xml:space="preserve">.  </w:t>
      </w:r>
    </w:p>
    <w:p w14:paraId="751B995E" w14:textId="3ED7A475" w:rsidR="00D2467F" w:rsidRPr="00330786" w:rsidRDefault="00D2467F" w:rsidP="00277C14">
      <w:pPr>
        <w:rPr>
          <w:rFonts w:cs="Arial"/>
          <w:szCs w:val="20"/>
        </w:rPr>
      </w:pPr>
    </w:p>
    <w:bookmarkEnd w:id="7"/>
    <w:p w14:paraId="202DC39E" w14:textId="08C745A0" w:rsidR="00F40EC3" w:rsidRPr="00330786" w:rsidRDefault="00277C14" w:rsidP="00277C14">
      <w:pPr>
        <w:autoSpaceDE w:val="0"/>
        <w:autoSpaceDN w:val="0"/>
        <w:adjustRightInd w:val="0"/>
        <w:rPr>
          <w:rFonts w:cs="Arial"/>
          <w:color w:val="000000"/>
          <w:szCs w:val="20"/>
          <w:lang w:eastAsia="en-GB"/>
        </w:rPr>
      </w:pPr>
      <w:r w:rsidRPr="00330786">
        <w:rPr>
          <w:rFonts w:cs="Arial"/>
          <w:color w:val="000000"/>
          <w:szCs w:val="20"/>
          <w:lang w:eastAsia="en-GB"/>
        </w:rPr>
        <w:t xml:space="preserve">MONEYVAL </w:t>
      </w:r>
      <w:r w:rsidR="00B76132" w:rsidRPr="00330786">
        <w:rPr>
          <w:rFonts w:cs="Arial"/>
          <w:color w:val="000000"/>
          <w:szCs w:val="20"/>
          <w:lang w:eastAsia="en-GB"/>
        </w:rPr>
        <w:t>continued to expand</w:t>
      </w:r>
      <w:r w:rsidRPr="00330786">
        <w:rPr>
          <w:rFonts w:cs="Arial"/>
          <w:color w:val="000000"/>
          <w:szCs w:val="20"/>
          <w:lang w:eastAsia="en-GB"/>
        </w:rPr>
        <w:t xml:space="preserve"> </w:t>
      </w:r>
      <w:r w:rsidR="00B76132" w:rsidRPr="00330786">
        <w:rPr>
          <w:rFonts w:cs="Arial"/>
          <w:color w:val="000000"/>
          <w:szCs w:val="20"/>
          <w:lang w:eastAsia="en-GB"/>
        </w:rPr>
        <w:t>its</w:t>
      </w:r>
      <w:r w:rsidRPr="00330786">
        <w:rPr>
          <w:rFonts w:cs="Arial"/>
          <w:color w:val="000000"/>
          <w:szCs w:val="20"/>
          <w:lang w:eastAsia="en-GB"/>
        </w:rPr>
        <w:t xml:space="preserve"> engagement with the FATF</w:t>
      </w:r>
      <w:r w:rsidR="004A56BF" w:rsidRPr="00330786">
        <w:rPr>
          <w:rFonts w:cs="Arial"/>
          <w:color w:val="000000"/>
          <w:szCs w:val="20"/>
          <w:lang w:eastAsia="en-GB"/>
        </w:rPr>
        <w:t xml:space="preserve"> and </w:t>
      </w:r>
      <w:r w:rsidR="00BC25F6" w:rsidRPr="00330786">
        <w:rPr>
          <w:rFonts w:cs="Arial"/>
          <w:color w:val="000000"/>
          <w:szCs w:val="20"/>
          <w:lang w:eastAsia="en-GB"/>
        </w:rPr>
        <w:t xml:space="preserve">its regional bodies, developing new </w:t>
      </w:r>
      <w:r w:rsidR="00F40EC3" w:rsidRPr="00330786">
        <w:rPr>
          <w:rFonts w:cs="Arial"/>
          <w:color w:val="000000"/>
          <w:szCs w:val="20"/>
          <w:lang w:eastAsia="en-GB"/>
        </w:rPr>
        <w:t>partnerships</w:t>
      </w:r>
      <w:r w:rsidR="00BC25F6" w:rsidRPr="00330786">
        <w:rPr>
          <w:rFonts w:cs="Arial"/>
          <w:color w:val="000000"/>
          <w:szCs w:val="20"/>
          <w:lang w:eastAsia="en-GB"/>
        </w:rPr>
        <w:t xml:space="preserve"> with the Caribbean and Latin American regions, and continuing the development of ties with Central Asia, North </w:t>
      </w:r>
      <w:proofErr w:type="gramStart"/>
      <w:r w:rsidR="00BC25F6" w:rsidRPr="00330786">
        <w:rPr>
          <w:rFonts w:cs="Arial"/>
          <w:color w:val="000000"/>
          <w:szCs w:val="20"/>
          <w:lang w:eastAsia="en-GB"/>
        </w:rPr>
        <w:t>Africa</w:t>
      </w:r>
      <w:proofErr w:type="gramEnd"/>
      <w:r w:rsidR="00BC25F6" w:rsidRPr="00330786">
        <w:rPr>
          <w:rFonts w:cs="Arial"/>
          <w:color w:val="000000"/>
          <w:szCs w:val="20"/>
          <w:lang w:eastAsia="en-GB"/>
        </w:rPr>
        <w:t xml:space="preserve"> and the Middle East. </w:t>
      </w:r>
      <w:r w:rsidR="00F40EC3" w:rsidRPr="00330786">
        <w:rPr>
          <w:rFonts w:cs="Arial"/>
          <w:color w:val="000000"/>
          <w:szCs w:val="20"/>
          <w:lang w:eastAsia="en-GB"/>
        </w:rPr>
        <w:t>T</w:t>
      </w:r>
      <w:r w:rsidR="00BC25F6" w:rsidRPr="00330786">
        <w:rPr>
          <w:rFonts w:cs="Arial"/>
          <w:color w:val="000000"/>
          <w:szCs w:val="20"/>
          <w:lang w:eastAsia="en-GB"/>
        </w:rPr>
        <w:t xml:space="preserve">he </w:t>
      </w:r>
      <w:r w:rsidR="00F40EC3" w:rsidRPr="00330786">
        <w:rPr>
          <w:rFonts w:cs="Arial"/>
          <w:color w:val="000000"/>
          <w:szCs w:val="20"/>
          <w:lang w:eastAsia="en-GB"/>
        </w:rPr>
        <w:t>Islamic Development Bank was granted observer status</w:t>
      </w:r>
      <w:r w:rsidR="007A08B3" w:rsidRPr="00330786">
        <w:rPr>
          <w:rFonts w:cs="Arial"/>
          <w:color w:val="000000"/>
          <w:szCs w:val="20"/>
          <w:lang w:eastAsia="en-GB"/>
        </w:rPr>
        <w:t xml:space="preserve"> in 2022</w:t>
      </w:r>
      <w:r w:rsidR="00F40EC3" w:rsidRPr="00330786">
        <w:rPr>
          <w:rFonts w:cs="Arial"/>
          <w:color w:val="000000"/>
          <w:szCs w:val="20"/>
          <w:lang w:eastAsia="en-GB"/>
        </w:rPr>
        <w:t xml:space="preserve">. </w:t>
      </w:r>
      <w:bookmarkStart w:id="8" w:name="_Hlk95233730"/>
      <w:r w:rsidR="00F40EC3" w:rsidRPr="00330786">
        <w:rPr>
          <w:rFonts w:cs="Arial"/>
          <w:color w:val="000000"/>
          <w:szCs w:val="20"/>
          <w:lang w:eastAsia="en-GB"/>
        </w:rPr>
        <w:t>In February 2022</w:t>
      </w:r>
      <w:r w:rsidR="007A08B3" w:rsidRPr="00330786">
        <w:rPr>
          <w:rFonts w:cs="Arial"/>
          <w:color w:val="000000"/>
          <w:szCs w:val="20"/>
          <w:lang w:eastAsia="en-GB"/>
        </w:rPr>
        <w:t>,</w:t>
      </w:r>
      <w:r w:rsidR="00F40EC3" w:rsidRPr="00330786">
        <w:rPr>
          <w:rFonts w:cs="Arial"/>
          <w:color w:val="000000"/>
          <w:szCs w:val="20"/>
          <w:lang w:eastAsia="en-GB"/>
        </w:rPr>
        <w:t xml:space="preserve"> the Council of Europe was itself granted observer status in the Financial Action Task </w:t>
      </w:r>
      <w:proofErr w:type="gramStart"/>
      <w:r w:rsidR="00F40EC3" w:rsidRPr="00330786">
        <w:rPr>
          <w:rFonts w:cs="Arial"/>
          <w:color w:val="000000"/>
          <w:szCs w:val="20"/>
          <w:lang w:eastAsia="en-GB"/>
        </w:rPr>
        <w:t>Force, and</w:t>
      </w:r>
      <w:proofErr w:type="gramEnd"/>
      <w:r w:rsidR="00F40EC3" w:rsidRPr="00330786">
        <w:rPr>
          <w:rFonts w:cs="Arial"/>
          <w:color w:val="000000"/>
          <w:szCs w:val="20"/>
          <w:lang w:eastAsia="en-GB"/>
        </w:rPr>
        <w:t xml:space="preserve"> took part in the FATF Plenary meetings in June and October 2022. Since then, several thematic engagements between the FATF and various CoE bodies took place. </w:t>
      </w:r>
    </w:p>
    <w:p w14:paraId="4261212D" w14:textId="2342A346" w:rsidR="00DA309F" w:rsidRPr="00330786" w:rsidRDefault="00DA309F" w:rsidP="00277C14">
      <w:pPr>
        <w:autoSpaceDE w:val="0"/>
        <w:autoSpaceDN w:val="0"/>
        <w:adjustRightInd w:val="0"/>
        <w:rPr>
          <w:rFonts w:cs="Arial"/>
          <w:color w:val="000000"/>
          <w:szCs w:val="20"/>
          <w:lang w:eastAsia="en-GB"/>
        </w:rPr>
      </w:pPr>
    </w:p>
    <w:p w14:paraId="4E7E8BCC" w14:textId="18316F92" w:rsidR="00DA309F" w:rsidRDefault="00DA309F" w:rsidP="00277C14">
      <w:pPr>
        <w:autoSpaceDE w:val="0"/>
        <w:autoSpaceDN w:val="0"/>
        <w:adjustRightInd w:val="0"/>
        <w:rPr>
          <w:rFonts w:cs="Arial"/>
          <w:color w:val="000000"/>
          <w:szCs w:val="20"/>
          <w:lang w:eastAsia="en-GB"/>
        </w:rPr>
      </w:pPr>
      <w:r w:rsidRPr="00330786">
        <w:rPr>
          <w:rFonts w:cs="Arial"/>
          <w:color w:val="000000"/>
          <w:szCs w:val="20"/>
          <w:lang w:eastAsia="en-GB"/>
        </w:rPr>
        <w:t xml:space="preserve">The aggression of the Russian Federation against Ukraine was prominent in the international AML/CFT agenda, with </w:t>
      </w:r>
      <w:proofErr w:type="gramStart"/>
      <w:r w:rsidRPr="00330786">
        <w:rPr>
          <w:rFonts w:cs="Arial"/>
          <w:color w:val="000000"/>
          <w:szCs w:val="20"/>
          <w:lang w:eastAsia="en-GB"/>
        </w:rPr>
        <w:t>a number of</w:t>
      </w:r>
      <w:proofErr w:type="gramEnd"/>
      <w:r w:rsidRPr="00330786">
        <w:rPr>
          <w:rFonts w:cs="Arial"/>
          <w:color w:val="000000"/>
          <w:szCs w:val="20"/>
          <w:lang w:eastAsia="en-GB"/>
        </w:rPr>
        <w:t xml:space="preserve"> regional bodies, such as the Asia-Pacific Group and the Caribbean Financial Action Task Force suspending Russia’s observer participation. Ukraine launched a nomination of the Russian Federation for potential listing by the FATF, pending decision in 2023.</w:t>
      </w:r>
      <w:r>
        <w:rPr>
          <w:rFonts w:cs="Arial"/>
          <w:color w:val="000000"/>
          <w:szCs w:val="20"/>
          <w:lang w:eastAsia="en-GB"/>
        </w:rPr>
        <w:t xml:space="preserve"> </w:t>
      </w:r>
    </w:p>
    <w:p w14:paraId="6B309403" w14:textId="77777777" w:rsidR="00F40EC3" w:rsidRDefault="00F40EC3" w:rsidP="00277C14">
      <w:pPr>
        <w:autoSpaceDE w:val="0"/>
        <w:autoSpaceDN w:val="0"/>
        <w:adjustRightInd w:val="0"/>
        <w:rPr>
          <w:rFonts w:cs="Arial"/>
          <w:color w:val="000000"/>
          <w:szCs w:val="20"/>
          <w:lang w:eastAsia="en-GB"/>
        </w:rPr>
      </w:pPr>
    </w:p>
    <w:bookmarkEnd w:id="8"/>
    <w:p w14:paraId="5BEA4C84" w14:textId="17287388" w:rsidR="00277C14" w:rsidRPr="00277C14" w:rsidRDefault="00277C14" w:rsidP="00277C14">
      <w:pPr>
        <w:autoSpaceDE w:val="0"/>
        <w:autoSpaceDN w:val="0"/>
        <w:adjustRightInd w:val="0"/>
        <w:rPr>
          <w:rFonts w:cs="Arial"/>
          <w:color w:val="000000"/>
          <w:szCs w:val="20"/>
        </w:rPr>
      </w:pPr>
    </w:p>
    <w:p w14:paraId="4E3E3887" w14:textId="5DEFD3EA" w:rsidR="00394957" w:rsidRDefault="00BA071E" w:rsidP="00C92E41">
      <w:pPr>
        <w:pStyle w:val="Heading1"/>
        <w:numPr>
          <w:ilvl w:val="0"/>
          <w:numId w:val="37"/>
        </w:numPr>
        <w:spacing w:before="0"/>
        <w:rPr>
          <w:rFonts w:ascii="Arial" w:eastAsiaTheme="minorHAnsi" w:hAnsi="Arial" w:cs="Times New Roman"/>
          <w:b/>
          <w:bCs/>
          <w:color w:val="auto"/>
          <w:kern w:val="28"/>
          <w:sz w:val="20"/>
          <w:szCs w:val="20"/>
        </w:rPr>
      </w:pPr>
      <w:bookmarkStart w:id="9" w:name="_Toc135409877"/>
      <w:r>
        <w:rPr>
          <w:rFonts w:ascii="Arial" w:eastAsiaTheme="minorHAnsi" w:hAnsi="Arial" w:cs="Times New Roman"/>
          <w:b/>
          <w:bCs/>
          <w:color w:val="auto"/>
          <w:kern w:val="28"/>
          <w:sz w:val="20"/>
          <w:szCs w:val="20"/>
        </w:rPr>
        <w:t>STRATEGIC OUTLOOK</w:t>
      </w:r>
      <w:bookmarkEnd w:id="9"/>
    </w:p>
    <w:p w14:paraId="4DB0CDEA" w14:textId="77777777" w:rsidR="00394957" w:rsidRPr="00394957" w:rsidRDefault="00394957" w:rsidP="00394957"/>
    <w:p w14:paraId="27032629" w14:textId="39E85114" w:rsidR="00277C14" w:rsidRPr="00277C14" w:rsidRDefault="00277C14" w:rsidP="00277C14">
      <w:pPr>
        <w:rPr>
          <w:rFonts w:cs="Arial"/>
          <w:szCs w:val="20"/>
        </w:rPr>
      </w:pPr>
      <w:r w:rsidRPr="00277C14">
        <w:rPr>
          <w:rFonts w:cs="Arial"/>
          <w:szCs w:val="20"/>
        </w:rPr>
        <w:t xml:space="preserve">Money laundering is </w:t>
      </w:r>
      <w:r w:rsidRPr="00277C14">
        <w:rPr>
          <w:rFonts w:cs="Arial"/>
          <w:iCs/>
          <w:szCs w:val="20"/>
        </w:rPr>
        <w:t>the process through which criminals give the appearance of legitimacy to proceeds of crime. It is</w:t>
      </w:r>
      <w:r w:rsidRPr="00277C14">
        <w:rPr>
          <w:rFonts w:cs="Arial"/>
          <w:szCs w:val="20"/>
        </w:rPr>
        <w:t xml:space="preserve"> an expanding and increasingly international phenomenon, with current estimates of money laundered worldwide ranging from $500 billion to a staggering $1 trillion, with disastrous effects on the global economy and </w:t>
      </w:r>
      <w:r w:rsidR="001F36B5">
        <w:rPr>
          <w:rFonts w:cs="Arial"/>
          <w:szCs w:val="20"/>
        </w:rPr>
        <w:t xml:space="preserve">on </w:t>
      </w:r>
      <w:r w:rsidRPr="00277C14">
        <w:rPr>
          <w:rFonts w:cs="Arial"/>
          <w:szCs w:val="20"/>
        </w:rPr>
        <w:t xml:space="preserve">society. Terrorism financing is the pre-requisite of all terrorist activity in its organised forms, and as such it is a principal threat to the safety and security of society and populations. </w:t>
      </w:r>
    </w:p>
    <w:p w14:paraId="3EDBC40B" w14:textId="77777777" w:rsidR="00277C14" w:rsidRPr="00277C14" w:rsidRDefault="00277C14" w:rsidP="00277C14">
      <w:pPr>
        <w:rPr>
          <w:rFonts w:cs="Arial"/>
          <w:szCs w:val="20"/>
        </w:rPr>
      </w:pPr>
    </w:p>
    <w:p w14:paraId="0FFCA8F9" w14:textId="3C4A9FA2" w:rsidR="00277C14" w:rsidRPr="00277C14" w:rsidRDefault="00277C14" w:rsidP="00277C14">
      <w:pPr>
        <w:rPr>
          <w:rFonts w:cs="Arial"/>
          <w:szCs w:val="20"/>
        </w:rPr>
      </w:pPr>
      <w:r w:rsidRPr="00277C14">
        <w:rPr>
          <w:rFonts w:cs="Arial"/>
          <w:szCs w:val="20"/>
        </w:rPr>
        <w:t xml:space="preserve">The international standards to combat the dual threats of money laundering and terrorism financing have been developed by the </w:t>
      </w:r>
      <w:proofErr w:type="gramStart"/>
      <w:r w:rsidRPr="00277C14">
        <w:rPr>
          <w:rFonts w:cs="Arial"/>
          <w:szCs w:val="20"/>
        </w:rPr>
        <w:t>FATF, and</w:t>
      </w:r>
      <w:proofErr w:type="gramEnd"/>
      <w:r w:rsidRPr="00277C14">
        <w:rPr>
          <w:rFonts w:cs="Arial"/>
          <w:szCs w:val="20"/>
        </w:rPr>
        <w:t xml:space="preserve"> consist of 40 Recommendations covering the legal and institutional aspects of compliance, as well as 11 Immediate Outcomes on effectiveness. The FATF Standards establish requirements for law enforcement, </w:t>
      </w:r>
      <w:r w:rsidR="001F36B5">
        <w:rPr>
          <w:rFonts w:cs="Arial"/>
          <w:szCs w:val="20"/>
        </w:rPr>
        <w:t xml:space="preserve">the </w:t>
      </w:r>
      <w:r w:rsidRPr="00277C14">
        <w:rPr>
          <w:rFonts w:cs="Arial"/>
          <w:szCs w:val="20"/>
        </w:rPr>
        <w:t xml:space="preserve">judiciary, financial intelligence units (FIUs), </w:t>
      </w:r>
      <w:r w:rsidR="001F36B5">
        <w:rPr>
          <w:rFonts w:cs="Arial"/>
          <w:szCs w:val="20"/>
        </w:rPr>
        <w:t xml:space="preserve">and the </w:t>
      </w:r>
      <w:r w:rsidRPr="00277C14">
        <w:rPr>
          <w:rFonts w:cs="Arial"/>
          <w:szCs w:val="20"/>
        </w:rPr>
        <w:t xml:space="preserve">private sector and its supervisors (see full list of FATF Standards in Appendix I). MONEYVAL monitors the application of these requirements for its </w:t>
      </w:r>
      <w:r w:rsidR="00154234">
        <w:rPr>
          <w:rFonts w:cs="Arial"/>
          <w:szCs w:val="20"/>
        </w:rPr>
        <w:t>3</w:t>
      </w:r>
      <w:r w:rsidR="00B37BCF">
        <w:rPr>
          <w:rFonts w:cs="Arial"/>
          <w:szCs w:val="20"/>
        </w:rPr>
        <w:t>3</w:t>
      </w:r>
      <w:r w:rsidR="00154234" w:rsidRPr="00277C14">
        <w:rPr>
          <w:rFonts w:cs="Arial"/>
          <w:szCs w:val="20"/>
        </w:rPr>
        <w:t xml:space="preserve"> </w:t>
      </w:r>
      <w:r w:rsidRPr="00277C14">
        <w:rPr>
          <w:rFonts w:cs="Arial"/>
          <w:szCs w:val="20"/>
        </w:rPr>
        <w:t>member</w:t>
      </w:r>
      <w:r w:rsidR="0018309A">
        <w:rPr>
          <w:rFonts w:cs="Arial"/>
          <w:szCs w:val="20"/>
        </w:rPr>
        <w:t xml:space="preserve"> </w:t>
      </w:r>
      <w:r w:rsidR="00344B93">
        <w:rPr>
          <w:rFonts w:cs="Arial"/>
          <w:szCs w:val="20"/>
        </w:rPr>
        <w:t>S</w:t>
      </w:r>
      <w:r w:rsidRPr="00277C14">
        <w:rPr>
          <w:rFonts w:cs="Arial"/>
          <w:szCs w:val="20"/>
        </w:rPr>
        <w:t xml:space="preserve">tates and territories (see full list in Section </w:t>
      </w:r>
      <w:r w:rsidR="00330786">
        <w:rPr>
          <w:rFonts w:cs="Arial"/>
          <w:szCs w:val="20"/>
        </w:rPr>
        <w:t>8</w:t>
      </w:r>
      <w:r w:rsidRPr="00277C14">
        <w:rPr>
          <w:rFonts w:cs="Arial"/>
          <w:szCs w:val="20"/>
        </w:rPr>
        <w:t>). The effectiveness cycle of AML/CFT measures is presented below:</w:t>
      </w:r>
    </w:p>
    <w:p w14:paraId="6AEB1D2A" w14:textId="77777777" w:rsidR="00277C14" w:rsidRPr="00277C14" w:rsidRDefault="00277C14" w:rsidP="00277C14">
      <w:pPr>
        <w:keepNext/>
        <w:widowControl w:val="0"/>
        <w:ind w:right="284"/>
        <w:outlineLvl w:val="1"/>
        <w:rPr>
          <w:rFonts w:eastAsia="Times New Roman" w:cs="Arial"/>
          <w:b/>
          <w:bCs/>
          <w:color w:val="000000"/>
          <w:w w:val="105"/>
          <w:kern w:val="28"/>
          <w:szCs w:val="20"/>
          <w:lang w:eastAsia="zh-CN"/>
        </w:rPr>
      </w:pPr>
    </w:p>
    <w:p w14:paraId="58CAC3C0" w14:textId="7DE0B06F" w:rsidR="00277C14" w:rsidRDefault="009E3C3C" w:rsidP="00277C14">
      <w:pPr>
        <w:rPr>
          <w:rFonts w:cs="Arial"/>
          <w:noProof/>
          <w:szCs w:val="20"/>
        </w:rPr>
      </w:pPr>
      <w:r>
        <w:rPr>
          <w:noProof/>
        </w:rPr>
        <w:drawing>
          <wp:inline distT="0" distB="0" distL="0" distR="0" wp14:anchorId="2FDD9275" wp14:editId="38E7D608">
            <wp:extent cx="6067425" cy="43307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7425" cy="4330700"/>
                    </a:xfrm>
                    <a:prstGeom prst="rect">
                      <a:avLst/>
                    </a:prstGeom>
                    <a:noFill/>
                    <a:ln>
                      <a:noFill/>
                    </a:ln>
                  </pic:spPr>
                </pic:pic>
              </a:graphicData>
            </a:graphic>
          </wp:inline>
        </w:drawing>
      </w:r>
    </w:p>
    <w:p w14:paraId="3F706CBF" w14:textId="77777777" w:rsidR="009E3C3C" w:rsidRPr="00277C14" w:rsidRDefault="009E3C3C" w:rsidP="00277C14">
      <w:pPr>
        <w:rPr>
          <w:rFonts w:cs="Arial"/>
          <w:szCs w:val="20"/>
        </w:rPr>
      </w:pPr>
    </w:p>
    <w:p w14:paraId="49A54F50" w14:textId="77777777" w:rsidR="004D5F3C" w:rsidRDefault="004D5F3C">
      <w:pPr>
        <w:rPr>
          <w:rStyle w:val="Emphasis"/>
          <w:rFonts w:eastAsiaTheme="minorHAnsi"/>
          <w:b/>
          <w:bCs/>
          <w:i w:val="0"/>
          <w:iCs w:val="0"/>
          <w:color w:val="000000" w:themeColor="text1"/>
          <w:szCs w:val="20"/>
        </w:rPr>
      </w:pPr>
      <w:bookmarkStart w:id="10" w:name="_Toc66712412"/>
      <w:bookmarkStart w:id="11" w:name="_Toc135409878"/>
      <w:r>
        <w:rPr>
          <w:rStyle w:val="Emphasis"/>
          <w:rFonts w:eastAsiaTheme="minorHAnsi"/>
          <w:b/>
          <w:bCs/>
          <w:i w:val="0"/>
          <w:iCs w:val="0"/>
          <w:color w:val="000000" w:themeColor="text1"/>
          <w:szCs w:val="20"/>
        </w:rPr>
        <w:br w:type="page"/>
      </w:r>
    </w:p>
    <w:p w14:paraId="75C48160" w14:textId="5F7C9677" w:rsidR="00277C14" w:rsidRDefault="00277C14" w:rsidP="00C92E41">
      <w:pPr>
        <w:pStyle w:val="Heading2"/>
        <w:keepLines w:val="0"/>
        <w:numPr>
          <w:ilvl w:val="1"/>
          <w:numId w:val="38"/>
        </w:numPr>
        <w:spacing w:before="0"/>
        <w:ind w:right="680" w:firstLine="0"/>
        <w:jc w:val="both"/>
        <w:rPr>
          <w:rStyle w:val="Emphasis"/>
          <w:rFonts w:ascii="Arial" w:eastAsiaTheme="minorHAnsi" w:hAnsi="Arial" w:cs="Times New Roman"/>
          <w:b/>
          <w:bCs/>
          <w:i w:val="0"/>
          <w:iCs w:val="0"/>
          <w:color w:val="000000" w:themeColor="text1"/>
          <w:sz w:val="20"/>
          <w:szCs w:val="20"/>
        </w:rPr>
      </w:pPr>
      <w:r w:rsidRPr="00394957">
        <w:rPr>
          <w:rStyle w:val="Emphasis"/>
          <w:rFonts w:ascii="Arial" w:eastAsiaTheme="minorHAnsi" w:hAnsi="Arial" w:cs="Times New Roman"/>
          <w:b/>
          <w:bCs/>
          <w:i w:val="0"/>
          <w:iCs w:val="0"/>
          <w:color w:val="000000" w:themeColor="text1"/>
          <w:sz w:val="20"/>
          <w:szCs w:val="20"/>
        </w:rPr>
        <w:lastRenderedPageBreak/>
        <w:t>Compliance trends</w:t>
      </w:r>
      <w:bookmarkEnd w:id="10"/>
      <w:bookmarkEnd w:id="11"/>
      <w:r w:rsidRPr="00394957">
        <w:rPr>
          <w:rStyle w:val="Emphasis"/>
          <w:rFonts w:ascii="Arial" w:eastAsiaTheme="minorHAnsi" w:hAnsi="Arial" w:cs="Times New Roman"/>
          <w:b/>
          <w:bCs/>
          <w:i w:val="0"/>
          <w:iCs w:val="0"/>
          <w:color w:val="000000" w:themeColor="text1"/>
          <w:sz w:val="20"/>
          <w:szCs w:val="20"/>
        </w:rPr>
        <w:t xml:space="preserve"> </w:t>
      </w:r>
    </w:p>
    <w:p w14:paraId="083163C2" w14:textId="77777777" w:rsidR="001B19B8" w:rsidRPr="001B19B8" w:rsidRDefault="001B19B8" w:rsidP="001B19B8"/>
    <w:p w14:paraId="0EA43DE8" w14:textId="59F6BBF8" w:rsidR="00277C14" w:rsidRPr="00277C14" w:rsidRDefault="00277C14" w:rsidP="001B19B8">
      <w:pPr>
        <w:rPr>
          <w:rFonts w:cs="Arial"/>
          <w:szCs w:val="20"/>
        </w:rPr>
      </w:pPr>
      <w:r w:rsidRPr="00277C14">
        <w:rPr>
          <w:rFonts w:cs="Arial"/>
          <w:szCs w:val="20"/>
        </w:rPr>
        <w:t xml:space="preserve">MONEYVAL </w:t>
      </w:r>
      <w:r w:rsidR="003A5046">
        <w:rPr>
          <w:rFonts w:cs="Arial"/>
          <w:szCs w:val="20"/>
        </w:rPr>
        <w:t xml:space="preserve">continued its </w:t>
      </w:r>
      <w:r w:rsidRPr="00277C14">
        <w:rPr>
          <w:rFonts w:cs="Arial"/>
          <w:szCs w:val="20"/>
        </w:rPr>
        <w:t>horizontal review of implementation of the FATF Recommendations by its member-jurisdictions</w:t>
      </w:r>
      <w:r w:rsidR="00BA071E">
        <w:rPr>
          <w:rFonts w:cs="Arial"/>
          <w:szCs w:val="20"/>
        </w:rPr>
        <w:t xml:space="preserve"> in 202</w:t>
      </w:r>
      <w:r w:rsidR="00AF6E2B">
        <w:rPr>
          <w:rFonts w:cs="Arial"/>
          <w:szCs w:val="20"/>
        </w:rPr>
        <w:t>2</w:t>
      </w:r>
      <w:r w:rsidR="00BA071E">
        <w:rPr>
          <w:rFonts w:cs="Arial"/>
          <w:szCs w:val="20"/>
        </w:rPr>
        <w:t xml:space="preserve"> by systematising and incorporating the results of the most recent mutual evaluations</w:t>
      </w:r>
      <w:r w:rsidRPr="00277C14">
        <w:rPr>
          <w:rFonts w:cs="Arial"/>
          <w:szCs w:val="20"/>
        </w:rPr>
        <w:t>.</w:t>
      </w:r>
      <w:r w:rsidRPr="00277C14">
        <w:rPr>
          <w:rFonts w:cs="Arial"/>
          <w:szCs w:val="20"/>
          <w:vertAlign w:val="superscript"/>
        </w:rPr>
        <w:footnoteReference w:id="2"/>
      </w:r>
      <w:r w:rsidRPr="00277C14">
        <w:rPr>
          <w:rFonts w:cs="Arial"/>
          <w:szCs w:val="20"/>
        </w:rPr>
        <w:t xml:space="preserve"> The analysis below represents preliminary compliance trends in these MONEYVAL member jurisdictions. </w:t>
      </w:r>
    </w:p>
    <w:p w14:paraId="4DE7B4D6" w14:textId="77777777" w:rsidR="00277C14" w:rsidRPr="00277C14" w:rsidRDefault="00277C14" w:rsidP="00277C14">
      <w:pPr>
        <w:rPr>
          <w:rFonts w:cs="Arial"/>
          <w:szCs w:val="20"/>
        </w:rPr>
      </w:pPr>
    </w:p>
    <w:p w14:paraId="4D11617D" w14:textId="5E48FB02" w:rsidR="00277C14" w:rsidRPr="00277C14" w:rsidRDefault="00277C14" w:rsidP="00277C14">
      <w:pPr>
        <w:rPr>
          <w:rFonts w:cs="Arial"/>
          <w:szCs w:val="20"/>
        </w:rPr>
      </w:pPr>
      <w:r w:rsidRPr="00277C14">
        <w:rPr>
          <w:rFonts w:cs="Arial"/>
          <w:szCs w:val="20"/>
        </w:rPr>
        <w:t xml:space="preserve">It can be observed that MONEYVAL member </w:t>
      </w:r>
      <w:r w:rsidR="00344B93">
        <w:rPr>
          <w:rFonts w:cs="Arial"/>
          <w:szCs w:val="20"/>
        </w:rPr>
        <w:t>S</w:t>
      </w:r>
      <w:r w:rsidRPr="00277C14">
        <w:rPr>
          <w:rFonts w:cs="Arial"/>
          <w:szCs w:val="20"/>
        </w:rPr>
        <w:t xml:space="preserve">tates and jurisdictions </w:t>
      </w:r>
      <w:proofErr w:type="gramStart"/>
      <w:r w:rsidRPr="00277C14">
        <w:rPr>
          <w:rFonts w:cs="Arial"/>
          <w:szCs w:val="20"/>
        </w:rPr>
        <w:t>continue on</w:t>
      </w:r>
      <w:proofErr w:type="gramEnd"/>
      <w:r w:rsidRPr="00277C14">
        <w:rPr>
          <w:rFonts w:cs="Arial"/>
          <w:szCs w:val="20"/>
        </w:rPr>
        <w:t xml:space="preserve"> average to demonstrate a </w:t>
      </w:r>
      <w:r w:rsidRPr="00A37214">
        <w:rPr>
          <w:rFonts w:cs="Arial"/>
          <w:szCs w:val="20"/>
        </w:rPr>
        <w:t xml:space="preserve">moderate level of effectiveness in their anti-money laundering and combating the financing of terrorism efforts. Thus, the median level of compliance </w:t>
      </w:r>
      <w:r w:rsidR="00BA071E" w:rsidRPr="00A37214">
        <w:rPr>
          <w:rFonts w:cs="Arial"/>
          <w:szCs w:val="20"/>
        </w:rPr>
        <w:t>continues to be</w:t>
      </w:r>
      <w:r w:rsidRPr="00A37214">
        <w:rPr>
          <w:rFonts w:cs="Arial"/>
          <w:szCs w:val="20"/>
        </w:rPr>
        <w:t xml:space="preserve"> below the satisfactory threshold</w:t>
      </w:r>
      <w:r w:rsidR="00C71F19" w:rsidRPr="00A37214">
        <w:rPr>
          <w:rFonts w:cs="Arial"/>
          <w:szCs w:val="20"/>
        </w:rPr>
        <w:t xml:space="preserve">. </w:t>
      </w:r>
      <w:r w:rsidRPr="00A37214">
        <w:rPr>
          <w:rFonts w:cs="Arial"/>
          <w:szCs w:val="20"/>
        </w:rPr>
        <w:t xml:space="preserve">MONEYVAL members demonstrate the best results in the areas of risk assessment, international </w:t>
      </w:r>
      <w:proofErr w:type="gramStart"/>
      <w:r w:rsidRPr="00A37214">
        <w:rPr>
          <w:rFonts w:cs="Arial"/>
          <w:szCs w:val="20"/>
        </w:rPr>
        <w:t>co</w:t>
      </w:r>
      <w:r w:rsidR="002F5F50" w:rsidRPr="00A37214">
        <w:rPr>
          <w:rFonts w:cs="Arial"/>
          <w:szCs w:val="20"/>
        </w:rPr>
        <w:t>-</w:t>
      </w:r>
      <w:r w:rsidRPr="00A37214">
        <w:rPr>
          <w:rFonts w:cs="Arial"/>
          <w:szCs w:val="20"/>
        </w:rPr>
        <w:t>operation</w:t>
      </w:r>
      <w:proofErr w:type="gramEnd"/>
      <w:r w:rsidRPr="00A37214">
        <w:rPr>
          <w:rFonts w:cs="Arial"/>
          <w:szCs w:val="20"/>
        </w:rPr>
        <w:t xml:space="preserve"> and use of financial intelligence. Effectiveness remains particularly weak in financial sector supervision, private </w:t>
      </w:r>
      <w:r w:rsidRPr="00330786">
        <w:rPr>
          <w:rFonts w:cs="Arial"/>
          <w:szCs w:val="20"/>
        </w:rPr>
        <w:t>sector compliance, transparency of legal persons, money laundering convictions and confiscations, financial sanctions for terrorism and proliferation of weapons of mass destruction.</w:t>
      </w:r>
      <w:r w:rsidR="00C71F19" w:rsidRPr="00330786">
        <w:rPr>
          <w:rFonts w:cs="Arial"/>
          <w:szCs w:val="20"/>
        </w:rPr>
        <w:t xml:space="preserve"> The latest evaluations adopted in 202</w:t>
      </w:r>
      <w:r w:rsidR="005C3C4A" w:rsidRPr="00330786">
        <w:rPr>
          <w:rFonts w:cs="Arial"/>
          <w:szCs w:val="20"/>
        </w:rPr>
        <w:t>2</w:t>
      </w:r>
      <w:r w:rsidR="00C71F19" w:rsidRPr="00330786">
        <w:rPr>
          <w:rFonts w:cs="Arial"/>
          <w:szCs w:val="20"/>
        </w:rPr>
        <w:t xml:space="preserve"> have improved the average median of compliance in </w:t>
      </w:r>
      <w:proofErr w:type="gramStart"/>
      <w:r w:rsidR="00C71F19" w:rsidRPr="00330786">
        <w:rPr>
          <w:rFonts w:cs="Arial"/>
          <w:szCs w:val="20"/>
        </w:rPr>
        <w:t>a number of</w:t>
      </w:r>
      <w:proofErr w:type="gramEnd"/>
      <w:r w:rsidR="00C71F19" w:rsidRPr="00330786">
        <w:rPr>
          <w:rFonts w:cs="Arial"/>
          <w:szCs w:val="20"/>
        </w:rPr>
        <w:t xml:space="preserve"> areas, namely international co</w:t>
      </w:r>
      <w:r w:rsidR="00E73BD4" w:rsidRPr="00330786">
        <w:rPr>
          <w:rFonts w:cs="Arial"/>
          <w:szCs w:val="20"/>
        </w:rPr>
        <w:noBreakHyphen/>
      </w:r>
      <w:r w:rsidR="00C71F19" w:rsidRPr="00330786">
        <w:rPr>
          <w:rFonts w:cs="Arial"/>
          <w:szCs w:val="20"/>
        </w:rPr>
        <w:t xml:space="preserve">operation, </w:t>
      </w:r>
      <w:r w:rsidR="006B2486" w:rsidRPr="00330786">
        <w:rPr>
          <w:rFonts w:cs="Arial"/>
          <w:szCs w:val="20"/>
        </w:rPr>
        <w:t xml:space="preserve">the use of </w:t>
      </w:r>
      <w:r w:rsidR="009C759A" w:rsidRPr="00330786">
        <w:rPr>
          <w:rFonts w:cs="Arial"/>
          <w:szCs w:val="20"/>
        </w:rPr>
        <w:t xml:space="preserve">financial intelligence </w:t>
      </w:r>
      <w:r w:rsidR="00C71F19" w:rsidRPr="00330786">
        <w:rPr>
          <w:rFonts w:cs="Arial"/>
          <w:szCs w:val="20"/>
        </w:rPr>
        <w:t xml:space="preserve">and </w:t>
      </w:r>
      <w:r w:rsidR="009C759A" w:rsidRPr="00330786">
        <w:rPr>
          <w:rFonts w:cs="Arial"/>
          <w:szCs w:val="20"/>
        </w:rPr>
        <w:t>TF prosecution</w:t>
      </w:r>
      <w:r w:rsidR="00C71F19" w:rsidRPr="00330786">
        <w:rPr>
          <w:rFonts w:cs="Arial"/>
          <w:szCs w:val="20"/>
        </w:rPr>
        <w:t>. However, the field of international co</w:t>
      </w:r>
      <w:r w:rsidR="00E73BD4" w:rsidRPr="00330786">
        <w:rPr>
          <w:rFonts w:cs="Arial"/>
          <w:szCs w:val="20"/>
        </w:rPr>
        <w:t>-</w:t>
      </w:r>
      <w:r w:rsidR="00C71F19" w:rsidRPr="00330786">
        <w:rPr>
          <w:rFonts w:cs="Arial"/>
          <w:szCs w:val="20"/>
        </w:rPr>
        <w:t>operation remains the only area where average compliance is above the satisfactory threshold across the MONEYVAL membership.</w:t>
      </w:r>
      <w:r w:rsidR="00C71F19">
        <w:rPr>
          <w:rFonts w:cs="Arial"/>
          <w:szCs w:val="20"/>
        </w:rPr>
        <w:t xml:space="preserve">  </w:t>
      </w:r>
    </w:p>
    <w:p w14:paraId="703A1A23" w14:textId="77777777" w:rsidR="001B19B8" w:rsidRDefault="001B19B8">
      <w:pPr>
        <w:rPr>
          <w:rFonts w:eastAsiaTheme="minorEastAsia" w:cs="Arial"/>
          <w:szCs w:val="20"/>
          <w:lang w:eastAsia="fr-FR"/>
        </w:rPr>
      </w:pPr>
    </w:p>
    <w:p w14:paraId="2FD5B7BF" w14:textId="5EB1ED47" w:rsidR="00C71F19" w:rsidRDefault="00C71F19" w:rsidP="00277C14">
      <w:pPr>
        <w:rPr>
          <w:rFonts w:cs="Arial"/>
          <w:szCs w:val="20"/>
        </w:rPr>
      </w:pPr>
      <w:r w:rsidRPr="00277C14">
        <w:rPr>
          <w:rFonts w:cs="Arial"/>
          <w:noProof/>
          <w:szCs w:val="20"/>
          <w:lang w:val="en-US"/>
        </w:rPr>
        <w:drawing>
          <wp:inline distT="0" distB="0" distL="0" distR="0" wp14:anchorId="6AE89B46" wp14:editId="510901F9">
            <wp:extent cx="5762445" cy="4079875"/>
            <wp:effectExtent l="0" t="0" r="10160" b="1587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E0D48E1" w14:textId="5F1B4A0D" w:rsidR="00C71F19" w:rsidRDefault="00C71F19" w:rsidP="00277C14">
      <w:pPr>
        <w:rPr>
          <w:rFonts w:cs="Arial"/>
          <w:szCs w:val="20"/>
        </w:rPr>
      </w:pPr>
    </w:p>
    <w:p w14:paraId="64F7FBE3" w14:textId="3813D26A" w:rsidR="00A37214" w:rsidRPr="00277C14" w:rsidRDefault="00A37214" w:rsidP="00A37214">
      <w:pPr>
        <w:rPr>
          <w:rFonts w:cs="Arial"/>
          <w:szCs w:val="20"/>
        </w:rPr>
      </w:pPr>
      <w:r w:rsidRPr="00277C14">
        <w:rPr>
          <w:rFonts w:cs="Arial"/>
          <w:szCs w:val="20"/>
        </w:rPr>
        <w:t xml:space="preserve">Risk understanding is the central pillar of a robust AML/CFT system. An inadequate understanding of country </w:t>
      </w:r>
      <w:r w:rsidRPr="00330786">
        <w:rPr>
          <w:rFonts w:cs="Arial"/>
          <w:szCs w:val="20"/>
        </w:rPr>
        <w:t xml:space="preserve">risks </w:t>
      </w:r>
      <w:r w:rsidR="001F36B5" w:rsidRPr="00330786">
        <w:rPr>
          <w:rFonts w:cs="Arial"/>
          <w:szCs w:val="20"/>
        </w:rPr>
        <w:t xml:space="preserve">is likely to </w:t>
      </w:r>
      <w:r w:rsidRPr="00330786">
        <w:rPr>
          <w:rFonts w:cs="Arial"/>
          <w:szCs w:val="20"/>
        </w:rPr>
        <w:t>lead to inappropriate policies. In almost 9</w:t>
      </w:r>
      <w:r w:rsidR="009C759A" w:rsidRPr="00330786">
        <w:rPr>
          <w:rFonts w:cs="Arial"/>
          <w:szCs w:val="20"/>
        </w:rPr>
        <w:t>2</w:t>
      </w:r>
      <w:r w:rsidRPr="00330786">
        <w:rPr>
          <w:rFonts w:cs="Arial"/>
          <w:szCs w:val="20"/>
        </w:rPr>
        <w:t>% of the assessed countries, the analysis highlights the absence of in-depth assessment of certain specific risks, such as terrorism financing</w:t>
      </w:r>
      <w:r w:rsidR="009C759A" w:rsidRPr="00330786">
        <w:rPr>
          <w:rFonts w:cs="Arial"/>
          <w:szCs w:val="20"/>
        </w:rPr>
        <w:t>, VASP sector</w:t>
      </w:r>
      <w:r w:rsidRPr="00330786">
        <w:rPr>
          <w:rFonts w:cs="Arial"/>
          <w:szCs w:val="20"/>
        </w:rPr>
        <w:t xml:space="preserve"> and offshore money laundering, where relevant to the </w:t>
      </w:r>
      <w:proofErr w:type="gramStart"/>
      <w:r w:rsidRPr="00330786">
        <w:rPr>
          <w:rFonts w:cs="Arial"/>
          <w:szCs w:val="20"/>
        </w:rPr>
        <w:t>particular context</w:t>
      </w:r>
      <w:proofErr w:type="gramEnd"/>
      <w:r w:rsidRPr="00330786">
        <w:rPr>
          <w:rFonts w:cs="Arial"/>
          <w:szCs w:val="20"/>
        </w:rPr>
        <w:t xml:space="preserve"> of a jurisdiction. Moreover, when the assessment of risks is not thorough, risk-based responses cannot be adequate. </w:t>
      </w:r>
      <w:r w:rsidR="001F36B5" w:rsidRPr="00330786">
        <w:rPr>
          <w:rFonts w:cs="Arial"/>
          <w:szCs w:val="20"/>
        </w:rPr>
        <w:t>Indeed, t</w:t>
      </w:r>
      <w:r w:rsidRPr="00330786">
        <w:rPr>
          <w:rFonts w:cs="Arial"/>
          <w:szCs w:val="20"/>
        </w:rPr>
        <w:t xml:space="preserve">he analysis points </w:t>
      </w:r>
      <w:r w:rsidR="001F36B5" w:rsidRPr="00330786">
        <w:rPr>
          <w:rFonts w:cs="Arial"/>
          <w:szCs w:val="20"/>
        </w:rPr>
        <w:t xml:space="preserve">to </w:t>
      </w:r>
      <w:r w:rsidRPr="00330786">
        <w:rPr>
          <w:rFonts w:cs="Arial"/>
          <w:szCs w:val="20"/>
        </w:rPr>
        <w:t xml:space="preserve">the difficulty of </w:t>
      </w:r>
      <w:r w:rsidR="009C759A" w:rsidRPr="00330786">
        <w:rPr>
          <w:rFonts w:cs="Arial"/>
          <w:szCs w:val="20"/>
        </w:rPr>
        <w:t>7</w:t>
      </w:r>
      <w:r w:rsidR="004356CC" w:rsidRPr="00330786">
        <w:rPr>
          <w:rFonts w:cs="Arial"/>
          <w:szCs w:val="20"/>
        </w:rPr>
        <w:t xml:space="preserve"> </w:t>
      </w:r>
      <w:r w:rsidRPr="00330786">
        <w:rPr>
          <w:rFonts w:cs="Arial"/>
          <w:szCs w:val="20"/>
        </w:rPr>
        <w:t>countries (26%) to successfully apply a risk-based</w:t>
      </w:r>
      <w:r w:rsidRPr="00277C14">
        <w:rPr>
          <w:rFonts w:cs="Arial"/>
          <w:szCs w:val="20"/>
        </w:rPr>
        <w:t xml:space="preserve"> approach to </w:t>
      </w:r>
      <w:r w:rsidR="00FF04EF">
        <w:rPr>
          <w:rFonts w:cs="Arial"/>
          <w:szCs w:val="20"/>
        </w:rPr>
        <w:t>non-profit organisations (NPOs)</w:t>
      </w:r>
      <w:r w:rsidR="00FF04EF" w:rsidRPr="00277C14">
        <w:rPr>
          <w:rFonts w:cs="Arial"/>
          <w:szCs w:val="20"/>
        </w:rPr>
        <w:t xml:space="preserve"> </w:t>
      </w:r>
      <w:r w:rsidRPr="00277C14">
        <w:rPr>
          <w:rFonts w:cs="Arial"/>
          <w:szCs w:val="20"/>
        </w:rPr>
        <w:t>potentially at risk of misuse for terrorism financing purposes.</w:t>
      </w:r>
    </w:p>
    <w:p w14:paraId="18872103" w14:textId="77777777" w:rsidR="00A37214" w:rsidRPr="00277C14" w:rsidRDefault="00A37214" w:rsidP="00A37214">
      <w:pPr>
        <w:rPr>
          <w:rFonts w:cs="Arial"/>
          <w:szCs w:val="20"/>
        </w:rPr>
      </w:pPr>
    </w:p>
    <w:p w14:paraId="0E83B065" w14:textId="77777777" w:rsidR="004D5F3C" w:rsidRDefault="004D5F3C">
      <w:pPr>
        <w:rPr>
          <w:rFonts w:cs="Arial"/>
          <w:szCs w:val="20"/>
        </w:rPr>
      </w:pPr>
      <w:r>
        <w:rPr>
          <w:rFonts w:cs="Arial"/>
          <w:szCs w:val="20"/>
        </w:rPr>
        <w:br w:type="page"/>
      </w:r>
    </w:p>
    <w:p w14:paraId="130A3900" w14:textId="48A574EE" w:rsidR="00A37214" w:rsidRPr="00277C14" w:rsidRDefault="00A37214" w:rsidP="00A37214">
      <w:pPr>
        <w:rPr>
          <w:rFonts w:cs="Arial"/>
          <w:szCs w:val="20"/>
        </w:rPr>
      </w:pPr>
      <w:r w:rsidRPr="00277C14">
        <w:rPr>
          <w:rFonts w:cs="Arial"/>
          <w:szCs w:val="20"/>
        </w:rPr>
        <w:lastRenderedPageBreak/>
        <w:t>A proper risk assessment cannot be conducted, and the performance of the regime cannot be evaluated</w:t>
      </w:r>
      <w:r w:rsidR="001F36B5">
        <w:rPr>
          <w:rFonts w:cs="Arial"/>
          <w:szCs w:val="20"/>
        </w:rPr>
        <w:t>,</w:t>
      </w:r>
      <w:r w:rsidRPr="00277C14">
        <w:rPr>
          <w:rFonts w:cs="Arial"/>
          <w:szCs w:val="20"/>
        </w:rPr>
        <w:t xml:space="preserve"> without proper ML/TF statistics. All countries assessed </w:t>
      </w:r>
      <w:r w:rsidR="001F36B5">
        <w:rPr>
          <w:rFonts w:cs="Arial"/>
          <w:szCs w:val="20"/>
        </w:rPr>
        <w:t>so</w:t>
      </w:r>
      <w:r w:rsidR="001F36B5" w:rsidRPr="00277C14">
        <w:rPr>
          <w:rFonts w:cs="Arial"/>
          <w:szCs w:val="20"/>
        </w:rPr>
        <w:t xml:space="preserve"> </w:t>
      </w:r>
      <w:r w:rsidRPr="00277C14">
        <w:rPr>
          <w:rFonts w:cs="Arial"/>
          <w:szCs w:val="20"/>
        </w:rPr>
        <w:t xml:space="preserve">far have room for improvement in gathering and maintaining high-quality and reliable ML/TF statistics. Countries should engage </w:t>
      </w:r>
      <w:r w:rsidR="001F36B5">
        <w:rPr>
          <w:rFonts w:cs="Arial"/>
          <w:szCs w:val="20"/>
        </w:rPr>
        <w:t xml:space="preserve">further </w:t>
      </w:r>
      <w:r w:rsidRPr="00277C14">
        <w:rPr>
          <w:rFonts w:cs="Arial"/>
          <w:szCs w:val="20"/>
        </w:rPr>
        <w:t xml:space="preserve">with the private sector in the risk assessment process </w:t>
      </w:r>
      <w:proofErr w:type="gramStart"/>
      <w:r w:rsidRPr="00277C14">
        <w:rPr>
          <w:rFonts w:cs="Arial"/>
          <w:szCs w:val="20"/>
        </w:rPr>
        <w:t>in order to</w:t>
      </w:r>
      <w:proofErr w:type="gramEnd"/>
      <w:r w:rsidRPr="00277C14">
        <w:rPr>
          <w:rFonts w:cs="Arial"/>
          <w:szCs w:val="20"/>
        </w:rPr>
        <w:t xml:space="preserve"> develop a </w:t>
      </w:r>
      <w:r w:rsidR="001F36B5">
        <w:rPr>
          <w:rFonts w:cs="Arial"/>
          <w:szCs w:val="20"/>
        </w:rPr>
        <w:t xml:space="preserve">fuller and </w:t>
      </w:r>
      <w:r w:rsidRPr="00277C14">
        <w:rPr>
          <w:rFonts w:cs="Arial"/>
          <w:szCs w:val="20"/>
        </w:rPr>
        <w:t>more accurate picture of ML/TF threats.</w:t>
      </w:r>
    </w:p>
    <w:p w14:paraId="0A395E5D" w14:textId="77777777" w:rsidR="00A37214" w:rsidRPr="00277C14" w:rsidRDefault="00A37214" w:rsidP="00A37214">
      <w:pPr>
        <w:rPr>
          <w:rFonts w:cs="Arial"/>
          <w:szCs w:val="20"/>
        </w:rPr>
      </w:pPr>
    </w:p>
    <w:p w14:paraId="55E5D373" w14:textId="73CF38EF" w:rsidR="00A37214" w:rsidRPr="00277C14" w:rsidRDefault="00A37214" w:rsidP="00A37214">
      <w:pPr>
        <w:rPr>
          <w:rFonts w:cs="Arial"/>
          <w:szCs w:val="20"/>
        </w:rPr>
      </w:pPr>
      <w:r w:rsidRPr="00277C14">
        <w:rPr>
          <w:rFonts w:cs="Arial"/>
          <w:szCs w:val="20"/>
        </w:rPr>
        <w:t>Given the nature of money laundering and financing of terrorism, solid international co</w:t>
      </w:r>
      <w:r>
        <w:rPr>
          <w:rFonts w:cs="Arial"/>
          <w:szCs w:val="20"/>
        </w:rPr>
        <w:t>-</w:t>
      </w:r>
      <w:r w:rsidRPr="00277C14">
        <w:rPr>
          <w:rFonts w:cs="Arial"/>
          <w:szCs w:val="20"/>
        </w:rPr>
        <w:t>operation is key to effective implementation of AML/CFT. The FATF Standards call for mutual legal assistance (MLA) and other forms of international co</w:t>
      </w:r>
      <w:r>
        <w:rPr>
          <w:rFonts w:cs="Arial"/>
          <w:szCs w:val="20"/>
        </w:rPr>
        <w:t>-</w:t>
      </w:r>
      <w:r w:rsidRPr="00277C14">
        <w:rPr>
          <w:rFonts w:cs="Arial"/>
          <w:szCs w:val="20"/>
        </w:rPr>
        <w:t xml:space="preserve">operation to the </w:t>
      </w:r>
      <w:r w:rsidRPr="006E54F2">
        <w:rPr>
          <w:rFonts w:cs="Arial"/>
          <w:szCs w:val="20"/>
        </w:rPr>
        <w:t xml:space="preserve">greatest extent possible and an established system for expeditious actions to be taken in response to requests made by foreign countries. International co-operation and information exchange are the strongest point of MONEYVAL members. </w:t>
      </w:r>
      <w:r w:rsidR="00022501" w:rsidRPr="006E54F2">
        <w:rPr>
          <w:rFonts w:cs="Arial"/>
          <w:szCs w:val="20"/>
        </w:rPr>
        <w:t>Twenty-one</w:t>
      </w:r>
      <w:r w:rsidR="001F36B5" w:rsidRPr="006E54F2">
        <w:rPr>
          <w:rFonts w:cs="Arial"/>
          <w:szCs w:val="20"/>
        </w:rPr>
        <w:t xml:space="preserve"> </w:t>
      </w:r>
      <w:r w:rsidRPr="006E54F2">
        <w:rPr>
          <w:rFonts w:cs="Arial"/>
          <w:szCs w:val="20"/>
        </w:rPr>
        <w:t>(8</w:t>
      </w:r>
      <w:r w:rsidR="00022501" w:rsidRPr="006E54F2">
        <w:rPr>
          <w:rFonts w:cs="Arial"/>
          <w:szCs w:val="20"/>
        </w:rPr>
        <w:t>0</w:t>
      </w:r>
      <w:r w:rsidRPr="006E54F2">
        <w:rPr>
          <w:rFonts w:cs="Arial"/>
          <w:szCs w:val="20"/>
        </w:rPr>
        <w:t xml:space="preserve">%) of the jurisdictions assessed by MONEYVAL proactively pursue international co-operation, </w:t>
      </w:r>
      <w:r w:rsidR="001F36B5" w:rsidRPr="006E54F2">
        <w:rPr>
          <w:rFonts w:cs="Arial"/>
          <w:szCs w:val="20"/>
        </w:rPr>
        <w:t xml:space="preserve">and </w:t>
      </w:r>
      <w:r w:rsidRPr="006E54F2">
        <w:rPr>
          <w:rFonts w:cs="Arial"/>
          <w:szCs w:val="20"/>
        </w:rPr>
        <w:t xml:space="preserve">only </w:t>
      </w:r>
      <w:r w:rsidR="00022501" w:rsidRPr="006E54F2">
        <w:rPr>
          <w:rFonts w:cs="Arial"/>
          <w:szCs w:val="20"/>
        </w:rPr>
        <w:t>5</w:t>
      </w:r>
      <w:r w:rsidR="004356CC" w:rsidRPr="006E54F2">
        <w:rPr>
          <w:rFonts w:cs="Arial"/>
          <w:szCs w:val="20"/>
        </w:rPr>
        <w:t xml:space="preserve"> </w:t>
      </w:r>
      <w:r w:rsidRPr="006E54F2">
        <w:rPr>
          <w:rFonts w:cs="Arial"/>
          <w:szCs w:val="20"/>
        </w:rPr>
        <w:t>(13%) face difficulties in sending and receiving MLA requests, lack</w:t>
      </w:r>
      <w:r w:rsidR="00022501" w:rsidRPr="006E54F2">
        <w:rPr>
          <w:rFonts w:cs="Arial"/>
          <w:szCs w:val="20"/>
        </w:rPr>
        <w:t>ing</w:t>
      </w:r>
      <w:r w:rsidRPr="006E54F2">
        <w:rPr>
          <w:rFonts w:cs="Arial"/>
          <w:szCs w:val="20"/>
        </w:rPr>
        <w:t xml:space="preserve"> prioritisation mechanisms or cannot guarantee the provision of information in a timely manner.</w:t>
      </w:r>
      <w:r w:rsidRPr="00277C14">
        <w:rPr>
          <w:rFonts w:cs="Arial"/>
          <w:szCs w:val="20"/>
        </w:rPr>
        <w:t xml:space="preserve"> </w:t>
      </w:r>
    </w:p>
    <w:p w14:paraId="6CEDCF6C" w14:textId="77777777" w:rsidR="00A37214" w:rsidRPr="00277C14" w:rsidRDefault="00A37214" w:rsidP="00A37214">
      <w:pPr>
        <w:rPr>
          <w:rFonts w:cs="Arial"/>
          <w:szCs w:val="20"/>
        </w:rPr>
      </w:pPr>
    </w:p>
    <w:p w14:paraId="4B7D1E02" w14:textId="75B74CE8" w:rsidR="00A37214" w:rsidRPr="006E54F2" w:rsidRDefault="00A37214" w:rsidP="00A37214">
      <w:pPr>
        <w:rPr>
          <w:rFonts w:cs="Arial"/>
          <w:szCs w:val="20"/>
        </w:rPr>
      </w:pPr>
      <w:r w:rsidRPr="00277C14">
        <w:rPr>
          <w:rFonts w:cs="Arial"/>
          <w:szCs w:val="20"/>
        </w:rPr>
        <w:t>Efficient supervision of the private sector lies at the basis of an effective AML/CFT regime. However,</w:t>
      </w:r>
      <w:r w:rsidR="001F36B5">
        <w:rPr>
          <w:rFonts w:cs="Arial"/>
          <w:szCs w:val="20"/>
        </w:rPr>
        <w:t xml:space="preserve"> </w:t>
      </w:r>
      <w:r w:rsidR="001F36B5" w:rsidRPr="00277C14">
        <w:rPr>
          <w:rFonts w:cs="Arial"/>
          <w:szCs w:val="20"/>
        </w:rPr>
        <w:t>no country was awarded a high effectiveness rating so far</w:t>
      </w:r>
      <w:r w:rsidR="001F36B5">
        <w:rPr>
          <w:rFonts w:cs="Arial"/>
          <w:szCs w:val="20"/>
        </w:rPr>
        <w:t>, and</w:t>
      </w:r>
      <w:r w:rsidRPr="00277C14">
        <w:rPr>
          <w:rFonts w:cs="Arial"/>
          <w:szCs w:val="20"/>
        </w:rPr>
        <w:t xml:space="preserve"> supervision is one of the areas where countries are less effective. The analysis underlines the significant differences in the global risk understanding among the supervisors, </w:t>
      </w:r>
      <w:r w:rsidR="00675DE7">
        <w:rPr>
          <w:rFonts w:cs="Arial"/>
          <w:szCs w:val="20"/>
        </w:rPr>
        <w:t>that is</w:t>
      </w:r>
      <w:r w:rsidR="00675DE7" w:rsidRPr="00277C14">
        <w:rPr>
          <w:rFonts w:cs="Arial"/>
          <w:szCs w:val="20"/>
        </w:rPr>
        <w:t xml:space="preserve"> </w:t>
      </w:r>
      <w:r w:rsidRPr="00277C14">
        <w:rPr>
          <w:rFonts w:cs="Arial"/>
          <w:szCs w:val="20"/>
        </w:rPr>
        <w:t xml:space="preserve">the supervisors of the designated non-financial sectors (lawyers, notaries, accountants, casinos, trust and company service providers, real estate agents, dealers in precious metals </w:t>
      </w:r>
      <w:r w:rsidRPr="006E54F2">
        <w:rPr>
          <w:rFonts w:cs="Arial"/>
          <w:szCs w:val="20"/>
        </w:rPr>
        <w:t>and stones). In all countries, having a sole supervisor for the different non-financial sectors passably enhances effectiveness, if and only if the supervisor benefits from adequate powers and resources; yet insufficient resources have been noted for 7</w:t>
      </w:r>
      <w:r w:rsidR="004B25BB" w:rsidRPr="006E54F2">
        <w:rPr>
          <w:rFonts w:cs="Arial"/>
          <w:szCs w:val="20"/>
        </w:rPr>
        <w:t>3</w:t>
      </w:r>
      <w:r w:rsidRPr="006E54F2">
        <w:rPr>
          <w:rFonts w:cs="Arial"/>
          <w:szCs w:val="20"/>
        </w:rPr>
        <w:t>% of the assessed jurisdictions.</w:t>
      </w:r>
    </w:p>
    <w:p w14:paraId="6AE41D4F" w14:textId="77777777" w:rsidR="00A37214" w:rsidRPr="006E54F2" w:rsidRDefault="00A37214" w:rsidP="00A37214">
      <w:pPr>
        <w:rPr>
          <w:rFonts w:cs="Arial"/>
          <w:szCs w:val="20"/>
        </w:rPr>
      </w:pPr>
    </w:p>
    <w:p w14:paraId="560B5111" w14:textId="624EA3B7" w:rsidR="00A37214" w:rsidRPr="006E54F2" w:rsidRDefault="00A37214" w:rsidP="00A37214">
      <w:pPr>
        <w:rPr>
          <w:rFonts w:cs="Arial"/>
          <w:szCs w:val="20"/>
        </w:rPr>
      </w:pPr>
      <w:r w:rsidRPr="006E54F2">
        <w:rPr>
          <w:rFonts w:cs="Arial"/>
          <w:szCs w:val="20"/>
        </w:rPr>
        <w:t xml:space="preserve">Actionable financial intelligence is a fundamental </w:t>
      </w:r>
      <w:r w:rsidR="00DF5CD6" w:rsidRPr="006E54F2">
        <w:rPr>
          <w:rFonts w:cs="Arial"/>
          <w:szCs w:val="20"/>
        </w:rPr>
        <w:t xml:space="preserve">component </w:t>
      </w:r>
      <w:r w:rsidRPr="006E54F2">
        <w:rPr>
          <w:rFonts w:cs="Arial"/>
          <w:szCs w:val="20"/>
        </w:rPr>
        <w:t>of an effective AML/CFT regime, as it provides law enforcement authorities with valuable elements for their financial investigations. When the private sector is poorly supervised and not committed to putting efforts in</w:t>
      </w:r>
      <w:r w:rsidR="00DF5CD6" w:rsidRPr="006E54F2">
        <w:rPr>
          <w:rFonts w:cs="Arial"/>
          <w:szCs w:val="20"/>
        </w:rPr>
        <w:t>to</w:t>
      </w:r>
      <w:r w:rsidRPr="006E54F2">
        <w:rPr>
          <w:rFonts w:cs="Arial"/>
          <w:szCs w:val="20"/>
        </w:rPr>
        <w:t xml:space="preserve"> disrupting financial crime, it produces low quality </w:t>
      </w:r>
      <w:r w:rsidR="00FF04EF" w:rsidRPr="006E54F2">
        <w:rPr>
          <w:rFonts w:cs="Arial"/>
          <w:szCs w:val="20"/>
        </w:rPr>
        <w:t>suspicious transaction reports</w:t>
      </w:r>
      <w:r w:rsidRPr="006E54F2">
        <w:rPr>
          <w:rFonts w:cs="Arial"/>
          <w:szCs w:val="20"/>
        </w:rPr>
        <w:t xml:space="preserve">, or </w:t>
      </w:r>
      <w:proofErr w:type="gramStart"/>
      <w:r w:rsidRPr="006E54F2">
        <w:rPr>
          <w:rFonts w:cs="Arial"/>
          <w:szCs w:val="20"/>
        </w:rPr>
        <w:t>none at all</w:t>
      </w:r>
      <w:proofErr w:type="gramEnd"/>
      <w:r w:rsidRPr="006E54F2">
        <w:rPr>
          <w:rFonts w:cs="Arial"/>
          <w:szCs w:val="20"/>
        </w:rPr>
        <w:t xml:space="preserve">. For </w:t>
      </w:r>
      <w:r w:rsidR="00822AC9" w:rsidRPr="006E54F2">
        <w:rPr>
          <w:rFonts w:cs="Arial"/>
          <w:szCs w:val="20"/>
        </w:rPr>
        <w:t>10</w:t>
      </w:r>
      <w:r w:rsidR="004356CC" w:rsidRPr="006E54F2">
        <w:rPr>
          <w:rFonts w:cs="Arial"/>
          <w:szCs w:val="20"/>
        </w:rPr>
        <w:t xml:space="preserve"> </w:t>
      </w:r>
      <w:r w:rsidRPr="006E54F2">
        <w:rPr>
          <w:rFonts w:cs="Arial"/>
          <w:szCs w:val="20"/>
        </w:rPr>
        <w:t>countries (</w:t>
      </w:r>
      <w:r w:rsidR="00822AC9" w:rsidRPr="006E54F2">
        <w:rPr>
          <w:rFonts w:cs="Arial"/>
          <w:szCs w:val="20"/>
        </w:rPr>
        <w:t>38</w:t>
      </w:r>
      <w:r w:rsidRPr="006E54F2">
        <w:rPr>
          <w:rFonts w:cs="Arial"/>
          <w:szCs w:val="20"/>
        </w:rPr>
        <w:t>% of the sample), the analysis strongly recommends addressing the lack of feedback provided by the FIUs) to the private sector. It also highlights the low quality of internal controls in the non-financial sector for 7</w:t>
      </w:r>
      <w:r w:rsidR="00233725" w:rsidRPr="006E54F2">
        <w:rPr>
          <w:rFonts w:cs="Arial"/>
          <w:szCs w:val="20"/>
        </w:rPr>
        <w:t>0</w:t>
      </w:r>
      <w:r w:rsidRPr="006E54F2">
        <w:rPr>
          <w:rFonts w:cs="Arial"/>
          <w:szCs w:val="20"/>
        </w:rPr>
        <w:t>% of the countries.</w:t>
      </w:r>
    </w:p>
    <w:p w14:paraId="0B31EEE4" w14:textId="77777777" w:rsidR="00A37214" w:rsidRPr="006E54F2" w:rsidRDefault="00A37214" w:rsidP="00A37214">
      <w:pPr>
        <w:rPr>
          <w:rFonts w:cs="Arial"/>
          <w:szCs w:val="20"/>
        </w:rPr>
      </w:pPr>
    </w:p>
    <w:p w14:paraId="15A66205" w14:textId="47567C7A" w:rsidR="00A37214" w:rsidRPr="006E54F2" w:rsidRDefault="00A37214" w:rsidP="00A37214">
      <w:pPr>
        <w:rPr>
          <w:rFonts w:cs="Arial"/>
          <w:szCs w:val="20"/>
        </w:rPr>
      </w:pPr>
      <w:r w:rsidRPr="006E54F2">
        <w:rPr>
          <w:rFonts w:cs="Arial"/>
          <w:szCs w:val="20"/>
        </w:rPr>
        <w:t xml:space="preserve">Another condition for law enforcement authorities to successfully conduct their financial investigations is their ability to easily obtain beneficial ownership information in a timely manner. Nevertheless, the analysis shows that countries generally apply insufficient measures to ensure that this information is accurate and up to date. Maintaining beneficial ownership registers is one of the tools frequently used </w:t>
      </w:r>
      <w:r w:rsidR="00DF5CD6" w:rsidRPr="006E54F2">
        <w:rPr>
          <w:rFonts w:cs="Arial"/>
          <w:szCs w:val="20"/>
        </w:rPr>
        <w:t>i</w:t>
      </w:r>
      <w:r w:rsidRPr="006E54F2">
        <w:rPr>
          <w:rFonts w:cs="Arial"/>
          <w:szCs w:val="20"/>
        </w:rPr>
        <w:t xml:space="preserve">n the European space, and </w:t>
      </w:r>
      <w:r w:rsidR="00233725" w:rsidRPr="006E54F2">
        <w:rPr>
          <w:rFonts w:cs="Arial"/>
          <w:szCs w:val="20"/>
        </w:rPr>
        <w:t>eleven</w:t>
      </w:r>
      <w:r w:rsidR="004356CC" w:rsidRPr="006E54F2">
        <w:rPr>
          <w:rFonts w:cs="Arial"/>
          <w:szCs w:val="20"/>
        </w:rPr>
        <w:t xml:space="preserve"> </w:t>
      </w:r>
      <w:r w:rsidRPr="006E54F2">
        <w:rPr>
          <w:rFonts w:cs="Arial"/>
          <w:szCs w:val="20"/>
        </w:rPr>
        <w:t xml:space="preserve">countries assessed </w:t>
      </w:r>
      <w:r w:rsidR="00DF5CD6" w:rsidRPr="006E54F2">
        <w:rPr>
          <w:rFonts w:cs="Arial"/>
          <w:szCs w:val="20"/>
        </w:rPr>
        <w:t xml:space="preserve">so </w:t>
      </w:r>
      <w:r w:rsidRPr="006E54F2">
        <w:rPr>
          <w:rFonts w:cs="Arial"/>
          <w:szCs w:val="20"/>
        </w:rPr>
        <w:t xml:space="preserve">far have operational beneficial </w:t>
      </w:r>
      <w:proofErr w:type="gramStart"/>
      <w:r w:rsidRPr="006E54F2">
        <w:rPr>
          <w:rFonts w:cs="Arial"/>
          <w:szCs w:val="20"/>
        </w:rPr>
        <w:t>owners</w:t>
      </w:r>
      <w:proofErr w:type="gramEnd"/>
      <w:r w:rsidRPr="006E54F2">
        <w:rPr>
          <w:rFonts w:cs="Arial"/>
          <w:szCs w:val="20"/>
        </w:rPr>
        <w:t xml:space="preserve"> registers. At the same time</w:t>
      </w:r>
      <w:r w:rsidR="00DF5CD6" w:rsidRPr="006E54F2">
        <w:rPr>
          <w:rFonts w:cs="Arial"/>
          <w:szCs w:val="20"/>
        </w:rPr>
        <w:t>,</w:t>
      </w:r>
      <w:r w:rsidRPr="006E54F2">
        <w:rPr>
          <w:rFonts w:cs="Arial"/>
          <w:szCs w:val="20"/>
        </w:rPr>
        <w:t xml:space="preserve"> only </w:t>
      </w:r>
      <w:r w:rsidR="00233725" w:rsidRPr="006E54F2">
        <w:rPr>
          <w:rFonts w:cs="Arial"/>
          <w:szCs w:val="20"/>
        </w:rPr>
        <w:t>six</w:t>
      </w:r>
      <w:r w:rsidR="004356CC" w:rsidRPr="006E54F2">
        <w:rPr>
          <w:rFonts w:cs="Arial"/>
          <w:szCs w:val="20"/>
        </w:rPr>
        <w:t xml:space="preserve"> </w:t>
      </w:r>
      <w:r w:rsidRPr="006E54F2">
        <w:rPr>
          <w:rFonts w:cs="Arial"/>
          <w:szCs w:val="20"/>
        </w:rPr>
        <w:t>of them (22%) have efficient mechanisms to verify the information contained in th</w:t>
      </w:r>
      <w:r w:rsidR="00DF5CD6" w:rsidRPr="006E54F2">
        <w:rPr>
          <w:rFonts w:cs="Arial"/>
          <w:szCs w:val="20"/>
        </w:rPr>
        <w:t>o</w:t>
      </w:r>
      <w:r w:rsidRPr="006E54F2">
        <w:rPr>
          <w:rFonts w:cs="Arial"/>
          <w:szCs w:val="20"/>
        </w:rPr>
        <w:t>se registers.</w:t>
      </w:r>
    </w:p>
    <w:p w14:paraId="2B0B0E58" w14:textId="77777777" w:rsidR="00A37214" w:rsidRPr="006E54F2" w:rsidRDefault="00A37214" w:rsidP="00A37214">
      <w:pPr>
        <w:rPr>
          <w:rFonts w:cs="Arial"/>
          <w:szCs w:val="20"/>
        </w:rPr>
      </w:pPr>
    </w:p>
    <w:p w14:paraId="6232061B" w14:textId="4F95500C" w:rsidR="00A37214" w:rsidRPr="006E54F2" w:rsidRDefault="00A37214" w:rsidP="00A37214">
      <w:pPr>
        <w:rPr>
          <w:rFonts w:cs="Arial"/>
          <w:szCs w:val="20"/>
        </w:rPr>
      </w:pPr>
      <w:r w:rsidRPr="006E54F2">
        <w:rPr>
          <w:rFonts w:cs="Arial"/>
          <w:szCs w:val="20"/>
        </w:rPr>
        <w:t xml:space="preserve">Regarding convictions for serious and complex money laundering offences, they still appear to be rare, and this is reflected in the effectiveness ratings: </w:t>
      </w:r>
      <w:r w:rsidR="00137BCE" w:rsidRPr="006E54F2">
        <w:rPr>
          <w:rFonts w:cs="Arial"/>
          <w:szCs w:val="20"/>
        </w:rPr>
        <w:t>twelve</w:t>
      </w:r>
      <w:r w:rsidR="004356CC" w:rsidRPr="006E54F2">
        <w:rPr>
          <w:rFonts w:cs="Arial"/>
          <w:szCs w:val="20"/>
        </w:rPr>
        <w:t xml:space="preserve"> </w:t>
      </w:r>
      <w:r w:rsidRPr="006E54F2">
        <w:rPr>
          <w:rFonts w:cs="Arial"/>
          <w:szCs w:val="20"/>
        </w:rPr>
        <w:t>countries (</w:t>
      </w:r>
      <w:r w:rsidR="00137BCE" w:rsidRPr="006E54F2">
        <w:rPr>
          <w:rFonts w:cs="Arial"/>
          <w:szCs w:val="20"/>
        </w:rPr>
        <w:t>46</w:t>
      </w:r>
      <w:r w:rsidRPr="006E54F2">
        <w:rPr>
          <w:rFonts w:cs="Arial"/>
          <w:szCs w:val="20"/>
        </w:rPr>
        <w:t xml:space="preserve">%) have been given a Low rating. Money laundering is mostly treated </w:t>
      </w:r>
      <w:proofErr w:type="gramStart"/>
      <w:r w:rsidRPr="006E54F2">
        <w:rPr>
          <w:rFonts w:cs="Arial"/>
          <w:szCs w:val="20"/>
        </w:rPr>
        <w:t>as a consequence of</w:t>
      </w:r>
      <w:proofErr w:type="gramEnd"/>
      <w:r w:rsidRPr="006E54F2">
        <w:rPr>
          <w:rFonts w:cs="Arial"/>
          <w:szCs w:val="20"/>
        </w:rPr>
        <w:t xml:space="preserve"> the underlying criminal activity, as illustrated by the lack of pursuit of systematic parallel financial investigations in </w:t>
      </w:r>
      <w:r w:rsidR="00137BCE" w:rsidRPr="006E54F2">
        <w:rPr>
          <w:rFonts w:cs="Arial"/>
          <w:szCs w:val="20"/>
        </w:rPr>
        <w:t>14</w:t>
      </w:r>
      <w:r w:rsidRPr="006E54F2">
        <w:rPr>
          <w:rFonts w:cs="Arial"/>
          <w:szCs w:val="20"/>
        </w:rPr>
        <w:t xml:space="preserve"> countries (5</w:t>
      </w:r>
      <w:r w:rsidR="00137BCE" w:rsidRPr="006E54F2">
        <w:rPr>
          <w:rFonts w:cs="Arial"/>
          <w:szCs w:val="20"/>
        </w:rPr>
        <w:t>3</w:t>
      </w:r>
      <w:r w:rsidRPr="006E54F2">
        <w:rPr>
          <w:rFonts w:cs="Arial"/>
          <w:szCs w:val="20"/>
        </w:rPr>
        <w:t xml:space="preserve">%). </w:t>
      </w:r>
    </w:p>
    <w:p w14:paraId="3421263B" w14:textId="77777777" w:rsidR="00A37214" w:rsidRPr="006E54F2" w:rsidRDefault="00A37214" w:rsidP="00A37214">
      <w:pPr>
        <w:rPr>
          <w:rFonts w:cs="Arial"/>
          <w:szCs w:val="20"/>
        </w:rPr>
      </w:pPr>
    </w:p>
    <w:p w14:paraId="76C478E7" w14:textId="7F49AF7F" w:rsidR="00A37214" w:rsidRPr="00277C14" w:rsidRDefault="00A37214" w:rsidP="00A37214">
      <w:pPr>
        <w:rPr>
          <w:rFonts w:cs="Arial"/>
          <w:szCs w:val="20"/>
        </w:rPr>
      </w:pPr>
      <w:r w:rsidRPr="006E54F2">
        <w:rPr>
          <w:rFonts w:cs="Arial"/>
          <w:szCs w:val="20"/>
        </w:rPr>
        <w:t xml:space="preserve">The same can be noted for terrorism financing prosecutions: in </w:t>
      </w:r>
      <w:r w:rsidR="00B303E8" w:rsidRPr="006E54F2">
        <w:rPr>
          <w:rFonts w:cs="Arial"/>
          <w:szCs w:val="20"/>
        </w:rPr>
        <w:t>16</w:t>
      </w:r>
      <w:r w:rsidRPr="006E54F2">
        <w:rPr>
          <w:rFonts w:cs="Arial"/>
          <w:szCs w:val="20"/>
        </w:rPr>
        <w:t xml:space="preserve"> countries (</w:t>
      </w:r>
      <w:r w:rsidR="00B303E8" w:rsidRPr="006E54F2">
        <w:rPr>
          <w:rFonts w:cs="Arial"/>
          <w:szCs w:val="20"/>
        </w:rPr>
        <w:t>62</w:t>
      </w:r>
      <w:r w:rsidRPr="006E54F2">
        <w:rPr>
          <w:rFonts w:cs="Arial"/>
          <w:szCs w:val="20"/>
        </w:rPr>
        <w:t>%) financing of terrorism investigations are either not systematically carried out in the context of terrorism investigations, or financing aspects are lacking in the investigations. For both ML and TF, this leads to a lack of robust jurisprudence,</w:t>
      </w:r>
      <w:r w:rsidRPr="00277C14">
        <w:rPr>
          <w:rFonts w:cs="Arial"/>
          <w:szCs w:val="20"/>
        </w:rPr>
        <w:t xml:space="preserve"> which is needed to facilitate the convictions of these crimes.</w:t>
      </w:r>
    </w:p>
    <w:p w14:paraId="6A5F1D18" w14:textId="77777777" w:rsidR="00A37214" w:rsidRPr="00277C14" w:rsidRDefault="00A37214" w:rsidP="00A37214">
      <w:pPr>
        <w:rPr>
          <w:rFonts w:cs="Arial"/>
          <w:szCs w:val="20"/>
        </w:rPr>
      </w:pPr>
    </w:p>
    <w:p w14:paraId="5DEC0034" w14:textId="26BF5BD1" w:rsidR="00A37214" w:rsidRPr="006E54F2" w:rsidRDefault="00A37214" w:rsidP="00A37214">
      <w:pPr>
        <w:rPr>
          <w:rFonts w:cs="Arial"/>
          <w:szCs w:val="20"/>
        </w:rPr>
      </w:pPr>
      <w:r w:rsidRPr="00277C14">
        <w:rPr>
          <w:rFonts w:cs="Arial"/>
          <w:szCs w:val="20"/>
        </w:rPr>
        <w:t xml:space="preserve">Targeted financial sanctions (TFS) </w:t>
      </w:r>
      <w:r w:rsidRPr="006E54F2">
        <w:rPr>
          <w:rFonts w:cs="Arial"/>
          <w:szCs w:val="20"/>
        </w:rPr>
        <w:t xml:space="preserve">prevent assets from being available to listed persons and entities such as terrorists and other designated criminals. </w:t>
      </w:r>
      <w:r w:rsidR="00DF5CD6" w:rsidRPr="006E54F2">
        <w:rPr>
          <w:rFonts w:cs="Arial"/>
          <w:szCs w:val="20"/>
        </w:rPr>
        <w:t xml:space="preserve">It can be noted that </w:t>
      </w:r>
      <w:r w:rsidRPr="006E54F2">
        <w:rPr>
          <w:rFonts w:cs="Arial"/>
          <w:szCs w:val="20"/>
        </w:rPr>
        <w:t>9</w:t>
      </w:r>
      <w:r w:rsidR="00B303E8" w:rsidRPr="006E54F2">
        <w:rPr>
          <w:rFonts w:cs="Arial"/>
          <w:szCs w:val="20"/>
        </w:rPr>
        <w:t>2</w:t>
      </w:r>
      <w:r w:rsidRPr="006E54F2">
        <w:rPr>
          <w:rFonts w:cs="Arial"/>
          <w:szCs w:val="20"/>
        </w:rPr>
        <w:t xml:space="preserve">% of the countries have received a moderate or a low rating for their TFS regime. </w:t>
      </w:r>
      <w:r w:rsidR="00B303E8" w:rsidRPr="006E54F2">
        <w:rPr>
          <w:rFonts w:cs="Arial"/>
          <w:szCs w:val="20"/>
        </w:rPr>
        <w:t>Seven</w:t>
      </w:r>
      <w:r w:rsidRPr="006E54F2">
        <w:rPr>
          <w:rFonts w:cs="Arial"/>
          <w:szCs w:val="20"/>
        </w:rPr>
        <w:t xml:space="preserve"> countries (26%) fail in the timely transposition of international official designations in their national framework. Besides, adequate measures to freeze, and even to identify funds, are often not taken.</w:t>
      </w:r>
    </w:p>
    <w:p w14:paraId="41D0A69A" w14:textId="77777777" w:rsidR="00A37214" w:rsidRPr="006E54F2" w:rsidRDefault="00A37214" w:rsidP="00A37214">
      <w:pPr>
        <w:rPr>
          <w:rFonts w:cs="Arial"/>
          <w:szCs w:val="20"/>
        </w:rPr>
      </w:pPr>
    </w:p>
    <w:p w14:paraId="26856C49" w14:textId="77777777" w:rsidR="004D5F3C" w:rsidRDefault="004D5F3C">
      <w:pPr>
        <w:rPr>
          <w:rFonts w:cs="Arial"/>
          <w:szCs w:val="20"/>
        </w:rPr>
      </w:pPr>
      <w:r>
        <w:rPr>
          <w:rFonts w:cs="Arial"/>
          <w:szCs w:val="20"/>
        </w:rPr>
        <w:br w:type="page"/>
      </w:r>
    </w:p>
    <w:p w14:paraId="7C94485E" w14:textId="31E48314" w:rsidR="00A37214" w:rsidRPr="00277C14" w:rsidRDefault="00A37214" w:rsidP="00A37214">
      <w:pPr>
        <w:rPr>
          <w:rFonts w:cs="Arial"/>
          <w:szCs w:val="20"/>
        </w:rPr>
      </w:pPr>
      <w:r w:rsidRPr="006E54F2">
        <w:rPr>
          <w:rFonts w:cs="Arial"/>
          <w:szCs w:val="20"/>
        </w:rPr>
        <w:lastRenderedPageBreak/>
        <w:t xml:space="preserve">Urgent improvement is required regarding overall sanctioning, </w:t>
      </w:r>
      <w:r w:rsidR="00DF5CD6" w:rsidRPr="006E54F2">
        <w:rPr>
          <w:rFonts w:cs="Arial"/>
          <w:szCs w:val="20"/>
        </w:rPr>
        <w:t xml:space="preserve">that is </w:t>
      </w:r>
      <w:r w:rsidRPr="006E54F2">
        <w:rPr>
          <w:rFonts w:cs="Arial"/>
          <w:szCs w:val="20"/>
        </w:rPr>
        <w:t xml:space="preserve">when supervising the private sector, legal </w:t>
      </w:r>
      <w:proofErr w:type="gramStart"/>
      <w:r w:rsidRPr="006E54F2">
        <w:rPr>
          <w:rFonts w:cs="Arial"/>
          <w:szCs w:val="20"/>
        </w:rPr>
        <w:t>persons</w:t>
      </w:r>
      <w:proofErr w:type="gramEnd"/>
      <w:r w:rsidRPr="006E54F2">
        <w:rPr>
          <w:rFonts w:cs="Arial"/>
          <w:szCs w:val="20"/>
        </w:rPr>
        <w:t xml:space="preserve"> and arrangements</w:t>
      </w:r>
      <w:r w:rsidR="00855571" w:rsidRPr="006E54F2">
        <w:rPr>
          <w:rFonts w:cs="Arial"/>
          <w:szCs w:val="20"/>
        </w:rPr>
        <w:t>, such as trusts</w:t>
      </w:r>
      <w:r w:rsidRPr="006E54F2">
        <w:rPr>
          <w:rFonts w:cs="Arial"/>
          <w:szCs w:val="20"/>
        </w:rPr>
        <w:t>. The analysis demonstrates that</w:t>
      </w:r>
      <w:r w:rsidR="00DF5CD6" w:rsidRPr="006E54F2">
        <w:rPr>
          <w:rFonts w:cs="Arial"/>
          <w:szCs w:val="20"/>
        </w:rPr>
        <w:t>,</w:t>
      </w:r>
      <w:r w:rsidRPr="006E54F2">
        <w:rPr>
          <w:rFonts w:cs="Arial"/>
          <w:szCs w:val="20"/>
        </w:rPr>
        <w:t xml:space="preserve"> in many cases, sanctions are either not proportionate, dissuasive, and effective enough, </w:t>
      </w:r>
      <w:r w:rsidR="00DF5CD6" w:rsidRPr="006E54F2">
        <w:rPr>
          <w:rFonts w:cs="Arial"/>
          <w:szCs w:val="20"/>
        </w:rPr>
        <w:t xml:space="preserve">and </w:t>
      </w:r>
      <w:r w:rsidRPr="006E54F2">
        <w:rPr>
          <w:rFonts w:cs="Arial"/>
          <w:szCs w:val="20"/>
        </w:rPr>
        <w:t xml:space="preserve">in many </w:t>
      </w:r>
      <w:proofErr w:type="gramStart"/>
      <w:r w:rsidRPr="006E54F2">
        <w:rPr>
          <w:rFonts w:cs="Arial"/>
          <w:szCs w:val="20"/>
        </w:rPr>
        <w:t>cases</w:t>
      </w:r>
      <w:proofErr w:type="gramEnd"/>
      <w:r w:rsidRPr="006E54F2">
        <w:rPr>
          <w:rFonts w:cs="Arial"/>
          <w:szCs w:val="20"/>
        </w:rPr>
        <w:t xml:space="preserve"> they are not applied</w:t>
      </w:r>
      <w:r w:rsidR="00DF5CD6" w:rsidRPr="006E54F2">
        <w:rPr>
          <w:rFonts w:cs="Arial"/>
          <w:szCs w:val="20"/>
        </w:rPr>
        <w:t xml:space="preserve"> by</w:t>
      </w:r>
      <w:r w:rsidRPr="006E54F2">
        <w:rPr>
          <w:rFonts w:cs="Arial"/>
          <w:szCs w:val="20"/>
        </w:rPr>
        <w:t>, or not even available to</w:t>
      </w:r>
      <w:r w:rsidR="00DF5CD6" w:rsidRPr="006E54F2">
        <w:rPr>
          <w:rFonts w:cs="Arial"/>
          <w:szCs w:val="20"/>
        </w:rPr>
        <w:t>,</w:t>
      </w:r>
      <w:r w:rsidRPr="006E54F2">
        <w:rPr>
          <w:rFonts w:cs="Arial"/>
          <w:szCs w:val="20"/>
        </w:rPr>
        <w:t xml:space="preserve"> </w:t>
      </w:r>
      <w:r w:rsidR="00DF5CD6" w:rsidRPr="006E54F2">
        <w:rPr>
          <w:rFonts w:cs="Arial"/>
          <w:szCs w:val="20"/>
        </w:rPr>
        <w:t xml:space="preserve">the </w:t>
      </w:r>
      <w:r w:rsidRPr="006E54F2">
        <w:rPr>
          <w:rFonts w:cs="Arial"/>
          <w:szCs w:val="20"/>
        </w:rPr>
        <w:t xml:space="preserve">competent authorities. Indeed, only </w:t>
      </w:r>
      <w:r w:rsidR="00DF5CD6" w:rsidRPr="006E54F2">
        <w:rPr>
          <w:rFonts w:cs="Arial"/>
          <w:szCs w:val="20"/>
        </w:rPr>
        <w:t xml:space="preserve">in </w:t>
      </w:r>
      <w:r w:rsidR="004356CC" w:rsidRPr="006E54F2">
        <w:rPr>
          <w:rFonts w:cs="Arial"/>
          <w:szCs w:val="20"/>
        </w:rPr>
        <w:t xml:space="preserve">three </w:t>
      </w:r>
      <w:r w:rsidRPr="006E54F2">
        <w:rPr>
          <w:rFonts w:cs="Arial"/>
          <w:szCs w:val="20"/>
        </w:rPr>
        <w:t xml:space="preserve">jurisdictions (13%) </w:t>
      </w:r>
      <w:r w:rsidR="00DF5CD6" w:rsidRPr="006E54F2">
        <w:rPr>
          <w:rFonts w:cs="Arial"/>
          <w:szCs w:val="20"/>
        </w:rPr>
        <w:t xml:space="preserve">was </w:t>
      </w:r>
      <w:r w:rsidRPr="006E54F2">
        <w:rPr>
          <w:rFonts w:cs="Arial"/>
          <w:szCs w:val="20"/>
        </w:rPr>
        <w:t xml:space="preserve">the sanctioning regime for banks considered effective. Sanctioning of non-financial institutions was not considered effective in any jurisdiction, whilst in </w:t>
      </w:r>
      <w:r w:rsidR="00B303E8" w:rsidRPr="006E54F2">
        <w:rPr>
          <w:rFonts w:cs="Arial"/>
          <w:szCs w:val="20"/>
        </w:rPr>
        <w:t>19</w:t>
      </w:r>
      <w:r w:rsidRPr="006E54F2">
        <w:rPr>
          <w:rFonts w:cs="Arial"/>
          <w:szCs w:val="20"/>
        </w:rPr>
        <w:t xml:space="preserve"> jurisdictions (</w:t>
      </w:r>
      <w:r w:rsidR="00B303E8" w:rsidRPr="006E54F2">
        <w:rPr>
          <w:rFonts w:cs="Arial"/>
          <w:szCs w:val="20"/>
        </w:rPr>
        <w:t>73</w:t>
      </w:r>
      <w:r w:rsidRPr="006E54F2">
        <w:rPr>
          <w:rFonts w:cs="Arial"/>
          <w:szCs w:val="20"/>
        </w:rPr>
        <w:t>%) it was considered as fully ineffective.</w:t>
      </w:r>
    </w:p>
    <w:p w14:paraId="5FA949F7" w14:textId="77777777" w:rsidR="00A37214" w:rsidRPr="00277C14" w:rsidRDefault="00A37214" w:rsidP="00A37214">
      <w:pPr>
        <w:rPr>
          <w:rFonts w:cs="Arial"/>
          <w:szCs w:val="20"/>
        </w:rPr>
      </w:pPr>
    </w:p>
    <w:p w14:paraId="7C876078" w14:textId="4660EDF5" w:rsidR="00A37214" w:rsidRPr="00B069FB" w:rsidRDefault="00DF5CD6" w:rsidP="00A37214">
      <w:pPr>
        <w:rPr>
          <w:rFonts w:cs="Arial"/>
          <w:szCs w:val="20"/>
        </w:rPr>
      </w:pPr>
      <w:r>
        <w:rPr>
          <w:rFonts w:cs="Arial"/>
          <w:szCs w:val="20"/>
        </w:rPr>
        <w:t>Moreover</w:t>
      </w:r>
      <w:r w:rsidR="00A37214" w:rsidRPr="00277C14">
        <w:rPr>
          <w:rFonts w:cs="Arial"/>
          <w:szCs w:val="20"/>
        </w:rPr>
        <w:t>, successful confiscations of ill-gotten funds as a criminal measure are rather rare in comparison with the estimates of the proceeds of crime</w:t>
      </w:r>
      <w:r w:rsidR="00A37214" w:rsidRPr="00B069FB">
        <w:rPr>
          <w:rFonts w:cs="Arial"/>
          <w:szCs w:val="20"/>
        </w:rPr>
        <w:t xml:space="preserve">.  Countries should resort not only to freezing but also to seizure and confiscation of criminal funds. In at least </w:t>
      </w:r>
      <w:r w:rsidR="00163947" w:rsidRPr="00B069FB">
        <w:rPr>
          <w:rFonts w:cs="Arial"/>
          <w:szCs w:val="20"/>
        </w:rPr>
        <w:t>ten</w:t>
      </w:r>
      <w:r w:rsidR="00A37214" w:rsidRPr="00B069FB">
        <w:rPr>
          <w:rFonts w:cs="Arial"/>
          <w:szCs w:val="20"/>
        </w:rPr>
        <w:t xml:space="preserve"> countries (</w:t>
      </w:r>
      <w:r w:rsidR="00CA7DC8" w:rsidRPr="00B069FB">
        <w:rPr>
          <w:rFonts w:cs="Arial"/>
          <w:szCs w:val="20"/>
        </w:rPr>
        <w:t>39</w:t>
      </w:r>
      <w:r w:rsidR="00A37214" w:rsidRPr="00B069FB">
        <w:rPr>
          <w:rFonts w:cs="Arial"/>
          <w:szCs w:val="20"/>
        </w:rPr>
        <w:t>%), enhancing</w:t>
      </w:r>
      <w:r w:rsidRPr="00B069FB">
        <w:rPr>
          <w:rFonts w:cs="Arial"/>
          <w:szCs w:val="20"/>
        </w:rPr>
        <w:t xml:space="preserve"> the</w:t>
      </w:r>
      <w:r w:rsidR="00A37214" w:rsidRPr="00B069FB">
        <w:rPr>
          <w:rFonts w:cs="Arial"/>
          <w:szCs w:val="20"/>
        </w:rPr>
        <w:t xml:space="preserve"> powers and resources of the countries’ asset recovery and management offices </w:t>
      </w:r>
      <w:r w:rsidRPr="00B069FB">
        <w:rPr>
          <w:rFonts w:cs="Arial"/>
          <w:szCs w:val="20"/>
        </w:rPr>
        <w:t>will be</w:t>
      </w:r>
      <w:r w:rsidR="00A37214" w:rsidRPr="00B069FB">
        <w:rPr>
          <w:rFonts w:cs="Arial"/>
          <w:szCs w:val="20"/>
        </w:rPr>
        <w:t xml:space="preserve"> crucial </w:t>
      </w:r>
      <w:r w:rsidRPr="00B069FB">
        <w:rPr>
          <w:rFonts w:cs="Arial"/>
          <w:szCs w:val="20"/>
        </w:rPr>
        <w:t>to</w:t>
      </w:r>
      <w:r w:rsidR="00A37214" w:rsidRPr="00B069FB">
        <w:rPr>
          <w:rFonts w:cs="Arial"/>
          <w:szCs w:val="20"/>
        </w:rPr>
        <w:t xml:space="preserve"> improving their effectiveness.</w:t>
      </w:r>
    </w:p>
    <w:p w14:paraId="708CD054" w14:textId="77777777" w:rsidR="00A37214" w:rsidRPr="00B069FB" w:rsidRDefault="00A37214" w:rsidP="00A37214">
      <w:pPr>
        <w:rPr>
          <w:rFonts w:cs="Arial"/>
          <w:szCs w:val="20"/>
        </w:rPr>
      </w:pPr>
    </w:p>
    <w:p w14:paraId="652126B7" w14:textId="2BC4C891" w:rsidR="00A37214" w:rsidRPr="00277C14" w:rsidRDefault="00A37214" w:rsidP="00A37214">
      <w:pPr>
        <w:rPr>
          <w:rFonts w:cs="Arial"/>
          <w:szCs w:val="20"/>
        </w:rPr>
      </w:pPr>
      <w:r w:rsidRPr="00B069FB">
        <w:rPr>
          <w:rFonts w:cs="Arial"/>
          <w:szCs w:val="20"/>
        </w:rPr>
        <w:t>Lack of adequate human resources and expertise o</w:t>
      </w:r>
      <w:r w:rsidR="008B7D7A" w:rsidRPr="00B069FB">
        <w:rPr>
          <w:rFonts w:cs="Arial"/>
          <w:szCs w:val="20"/>
        </w:rPr>
        <w:t xml:space="preserve">n the part of the </w:t>
      </w:r>
      <w:r w:rsidRPr="00B069FB">
        <w:rPr>
          <w:rFonts w:cs="Arial"/>
          <w:szCs w:val="20"/>
        </w:rPr>
        <w:t xml:space="preserve">competent authorities is a cross-cutting issue in </w:t>
      </w:r>
      <w:proofErr w:type="gramStart"/>
      <w:r w:rsidRPr="00B069FB">
        <w:rPr>
          <w:rFonts w:cs="Arial"/>
          <w:szCs w:val="20"/>
        </w:rPr>
        <w:t>the majority of</w:t>
      </w:r>
      <w:proofErr w:type="gramEnd"/>
      <w:r w:rsidRPr="00B069FB">
        <w:rPr>
          <w:rFonts w:cs="Arial"/>
          <w:szCs w:val="20"/>
        </w:rPr>
        <w:t xml:space="preserve"> assessed countries. As regards supervisors, the analysis highlights insufficient resources and/or expertise in 15 (65%) of the assessed jurisdictions. Countries should therefore consider continuously strengthening their human resources capacities and </w:t>
      </w:r>
      <w:r w:rsidR="008B7D7A" w:rsidRPr="00B069FB">
        <w:rPr>
          <w:rFonts w:cs="Arial"/>
          <w:szCs w:val="20"/>
        </w:rPr>
        <w:t xml:space="preserve">the </w:t>
      </w:r>
      <w:r w:rsidRPr="00B069FB">
        <w:rPr>
          <w:rFonts w:cs="Arial"/>
          <w:szCs w:val="20"/>
        </w:rPr>
        <w:t>development of skills.</w:t>
      </w:r>
    </w:p>
    <w:p w14:paraId="34F4BC46" w14:textId="03927986" w:rsidR="00C71F19" w:rsidRDefault="00C71F19" w:rsidP="00277C14">
      <w:pPr>
        <w:rPr>
          <w:rFonts w:cs="Arial"/>
          <w:szCs w:val="20"/>
        </w:rPr>
      </w:pPr>
    </w:p>
    <w:p w14:paraId="66D47D45" w14:textId="36E5EAF7" w:rsidR="00C74775" w:rsidRPr="00B069FB" w:rsidRDefault="00C74775" w:rsidP="00C74775">
      <w:pPr>
        <w:pStyle w:val="Heading2"/>
        <w:tabs>
          <w:tab w:val="left" w:pos="709"/>
        </w:tabs>
        <w:spacing w:before="0"/>
        <w:jc w:val="both"/>
        <w:rPr>
          <w:rFonts w:ascii="Arial" w:eastAsiaTheme="minorHAnsi" w:hAnsi="Arial" w:cs="Times New Roman"/>
          <w:b/>
          <w:bCs/>
          <w:color w:val="auto"/>
          <w:kern w:val="28"/>
          <w:sz w:val="20"/>
          <w:szCs w:val="20"/>
          <w:lang w:val="en-US"/>
        </w:rPr>
      </w:pPr>
      <w:bookmarkStart w:id="12" w:name="_Toc135409879"/>
      <w:r w:rsidRPr="00B069FB">
        <w:rPr>
          <w:rFonts w:ascii="Arial" w:eastAsiaTheme="minorHAnsi" w:hAnsi="Arial" w:cs="Times New Roman"/>
          <w:b/>
          <w:bCs/>
          <w:color w:val="auto"/>
          <w:kern w:val="28"/>
          <w:sz w:val="20"/>
          <w:szCs w:val="20"/>
          <w:lang w:val="en-US"/>
        </w:rPr>
        <w:t>1.2</w:t>
      </w:r>
      <w:r w:rsidR="004D5F3C">
        <w:rPr>
          <w:rFonts w:ascii="Arial" w:eastAsiaTheme="minorHAnsi" w:hAnsi="Arial" w:cs="Times New Roman"/>
          <w:b/>
          <w:bCs/>
          <w:color w:val="auto"/>
          <w:kern w:val="28"/>
          <w:sz w:val="20"/>
          <w:szCs w:val="20"/>
          <w:lang w:val="en-US"/>
        </w:rPr>
        <w:tab/>
      </w:r>
      <w:r w:rsidR="00C36CF5" w:rsidRPr="00B069FB">
        <w:rPr>
          <w:rFonts w:ascii="Arial" w:eastAsiaTheme="minorHAnsi" w:hAnsi="Arial" w:cs="Times New Roman"/>
          <w:b/>
          <w:bCs/>
          <w:color w:val="auto"/>
          <w:kern w:val="28"/>
          <w:sz w:val="20"/>
          <w:szCs w:val="20"/>
          <w:lang w:val="en-US"/>
        </w:rPr>
        <w:t>K</w:t>
      </w:r>
      <w:r w:rsidR="00125781" w:rsidRPr="00B069FB">
        <w:rPr>
          <w:rFonts w:ascii="Arial" w:eastAsiaTheme="minorHAnsi" w:hAnsi="Arial" w:cs="Times New Roman"/>
          <w:b/>
          <w:bCs/>
          <w:color w:val="auto"/>
          <w:kern w:val="28"/>
          <w:sz w:val="20"/>
          <w:szCs w:val="20"/>
          <w:lang w:val="en-US"/>
        </w:rPr>
        <w:t>ey r</w:t>
      </w:r>
      <w:r w:rsidR="0066578D" w:rsidRPr="00B069FB">
        <w:rPr>
          <w:rFonts w:ascii="Arial" w:eastAsiaTheme="minorHAnsi" w:hAnsi="Arial" w:cs="Times New Roman"/>
          <w:b/>
          <w:bCs/>
          <w:color w:val="auto"/>
          <w:kern w:val="28"/>
          <w:sz w:val="20"/>
          <w:szCs w:val="20"/>
          <w:lang w:val="en-US"/>
        </w:rPr>
        <w:t>esults of the 2020-2022 Strategy</w:t>
      </w:r>
      <w:bookmarkEnd w:id="12"/>
    </w:p>
    <w:p w14:paraId="584F562B" w14:textId="59D86196" w:rsidR="0066578D" w:rsidRPr="00B069FB" w:rsidRDefault="0066578D" w:rsidP="0066578D">
      <w:pPr>
        <w:rPr>
          <w:lang w:val="en-US"/>
        </w:rPr>
      </w:pPr>
    </w:p>
    <w:p w14:paraId="5D24A9AE" w14:textId="7E6273DD" w:rsidR="0066578D" w:rsidRPr="00B069FB" w:rsidRDefault="0066578D" w:rsidP="00B069FB">
      <w:pPr>
        <w:rPr>
          <w:lang w:val="en-US"/>
        </w:rPr>
      </w:pPr>
      <w:r w:rsidRPr="00B069FB">
        <w:rPr>
          <w:lang w:val="en-US"/>
        </w:rPr>
        <w:t>This section summarizes the main results achieved by MONEYVAL in the implementation of its 2020-2022 Strategy, as presented to the MONEYVAL Plenary meeting in December 2022.</w:t>
      </w:r>
    </w:p>
    <w:p w14:paraId="2203DD53" w14:textId="4A0E84BC" w:rsidR="0066578D" w:rsidRPr="00B069FB" w:rsidRDefault="0066578D" w:rsidP="00B069FB">
      <w:pPr>
        <w:rPr>
          <w:lang w:val="en-US"/>
        </w:rPr>
      </w:pPr>
    </w:p>
    <w:p w14:paraId="406ED94C" w14:textId="6B56B4AC" w:rsidR="0066578D" w:rsidRPr="00B069FB" w:rsidRDefault="0066578D" w:rsidP="00B069FB">
      <w:pPr>
        <w:rPr>
          <w:rFonts w:eastAsiaTheme="minorHAnsi" w:cs="Arial"/>
          <w:szCs w:val="20"/>
          <w:lang w:eastAsia="fr-FR"/>
        </w:rPr>
      </w:pPr>
      <w:r w:rsidRPr="00B069FB">
        <w:rPr>
          <w:rFonts w:eastAsiaTheme="minorHAnsi" w:cs="Arial"/>
          <w:szCs w:val="20"/>
          <w:lang w:eastAsia="fr-FR"/>
        </w:rPr>
        <w:t>The MONEYVAL Strategy for 2020-2022, adopted in December 2019</w:t>
      </w:r>
      <w:r w:rsidR="006E54F2">
        <w:rPr>
          <w:rFonts w:eastAsiaTheme="minorHAnsi" w:cs="Arial"/>
          <w:szCs w:val="20"/>
          <w:lang w:eastAsia="fr-FR"/>
        </w:rPr>
        <w:t>,</w:t>
      </w:r>
      <w:r w:rsidRPr="00B069FB">
        <w:rPr>
          <w:rFonts w:eastAsiaTheme="minorHAnsi" w:cs="Arial"/>
          <w:szCs w:val="20"/>
          <w:lang w:eastAsia="fr-FR"/>
        </w:rPr>
        <w:t xml:space="preserve"> was the first MONEYVAL strategic document - a key first step in the development of long-term planning. It took stock of the key workstreams of MONEYVAL and set general and specific targets in the </w:t>
      </w:r>
      <w:r w:rsidR="007E49E1" w:rsidRPr="00B069FB">
        <w:rPr>
          <w:rFonts w:eastAsiaTheme="minorHAnsi" w:cs="Arial"/>
          <w:szCs w:val="20"/>
          <w:lang w:eastAsia="fr-FR"/>
        </w:rPr>
        <w:t>various</w:t>
      </w:r>
      <w:r w:rsidRPr="00B069FB">
        <w:rPr>
          <w:rFonts w:eastAsiaTheme="minorHAnsi" w:cs="Arial"/>
          <w:szCs w:val="20"/>
          <w:lang w:eastAsia="fr-FR"/>
        </w:rPr>
        <w:t xml:space="preserve"> areas. </w:t>
      </w:r>
    </w:p>
    <w:p w14:paraId="779308A1" w14:textId="77777777" w:rsidR="0066578D" w:rsidRPr="00B069FB" w:rsidRDefault="0066578D" w:rsidP="00B069FB">
      <w:pPr>
        <w:rPr>
          <w:rFonts w:eastAsiaTheme="minorHAnsi" w:cs="Arial"/>
          <w:szCs w:val="20"/>
          <w:lang w:eastAsia="fr-FR"/>
        </w:rPr>
      </w:pPr>
    </w:p>
    <w:p w14:paraId="7B354527" w14:textId="77777777" w:rsidR="0066578D" w:rsidRPr="00B069FB" w:rsidRDefault="0066578D" w:rsidP="00B069FB">
      <w:pPr>
        <w:contextualSpacing/>
        <w:rPr>
          <w:rFonts w:eastAsiaTheme="minorHAnsi" w:cs="Arial"/>
          <w:szCs w:val="20"/>
          <w:lang w:eastAsia="fr-FR"/>
        </w:rPr>
      </w:pPr>
      <w:r w:rsidRPr="00B069FB">
        <w:rPr>
          <w:rFonts w:eastAsiaTheme="minorHAnsi" w:cs="Arial"/>
          <w:szCs w:val="20"/>
          <w:lang w:eastAsia="fr-FR"/>
        </w:rPr>
        <w:t>The Strategy identified the following strategic goals for the period 2020-2022:</w:t>
      </w:r>
    </w:p>
    <w:p w14:paraId="45AAD823" w14:textId="77777777" w:rsidR="0066578D" w:rsidRPr="00B069FB" w:rsidRDefault="0066578D" w:rsidP="00B069FB">
      <w:pPr>
        <w:rPr>
          <w:rFonts w:eastAsiaTheme="minorHAnsi" w:cs="Arial"/>
          <w:szCs w:val="20"/>
          <w:lang w:eastAsia="fr-FR"/>
        </w:rPr>
      </w:pPr>
    </w:p>
    <w:p w14:paraId="46329101" w14:textId="77777777" w:rsidR="0066578D" w:rsidRPr="00B069FB" w:rsidRDefault="0066578D" w:rsidP="00B069FB">
      <w:pPr>
        <w:numPr>
          <w:ilvl w:val="0"/>
          <w:numId w:val="45"/>
        </w:numPr>
        <w:spacing w:after="100" w:afterAutospacing="1"/>
        <w:ind w:left="714" w:hanging="357"/>
        <w:contextualSpacing/>
        <w:rPr>
          <w:rFonts w:eastAsiaTheme="minorHAnsi" w:cs="Arial"/>
          <w:szCs w:val="20"/>
          <w:lang w:eastAsia="fr-FR"/>
        </w:rPr>
      </w:pPr>
      <w:r w:rsidRPr="00B069FB">
        <w:rPr>
          <w:rFonts w:eastAsiaTheme="minorHAnsi" w:cs="Arial"/>
          <w:szCs w:val="20"/>
          <w:lang w:eastAsia="fr-FR"/>
        </w:rPr>
        <w:t xml:space="preserve">Sustaining MONEYVAL’s monitoring and other </w:t>
      </w:r>
      <w:proofErr w:type="gramStart"/>
      <w:r w:rsidRPr="00B069FB">
        <w:rPr>
          <w:rFonts w:eastAsiaTheme="minorHAnsi" w:cs="Arial"/>
          <w:szCs w:val="20"/>
          <w:lang w:eastAsia="fr-FR"/>
        </w:rPr>
        <w:t>activities;</w:t>
      </w:r>
      <w:proofErr w:type="gramEnd"/>
    </w:p>
    <w:p w14:paraId="1CF1A87C" w14:textId="77777777" w:rsidR="0066578D" w:rsidRPr="00B069FB" w:rsidRDefault="0066578D" w:rsidP="00B069FB">
      <w:pPr>
        <w:numPr>
          <w:ilvl w:val="0"/>
          <w:numId w:val="45"/>
        </w:numPr>
        <w:spacing w:after="100" w:afterAutospacing="1"/>
        <w:ind w:left="714" w:hanging="357"/>
        <w:contextualSpacing/>
        <w:rPr>
          <w:rFonts w:eastAsiaTheme="minorHAnsi" w:cs="Arial"/>
          <w:szCs w:val="20"/>
          <w:lang w:eastAsia="fr-FR"/>
        </w:rPr>
      </w:pPr>
      <w:r w:rsidRPr="00B069FB">
        <w:rPr>
          <w:rFonts w:eastAsiaTheme="minorHAnsi" w:cs="Arial"/>
          <w:szCs w:val="20"/>
          <w:lang w:eastAsia="fr-FR"/>
        </w:rPr>
        <w:t xml:space="preserve">Strengthening the capacities of MONEYVAL members by training its members on the FATF </w:t>
      </w:r>
      <w:proofErr w:type="gramStart"/>
      <w:r w:rsidRPr="00B069FB">
        <w:rPr>
          <w:rFonts w:eastAsiaTheme="minorHAnsi" w:cs="Arial"/>
          <w:szCs w:val="20"/>
          <w:lang w:eastAsia="fr-FR"/>
        </w:rPr>
        <w:t>Standards;</w:t>
      </w:r>
      <w:proofErr w:type="gramEnd"/>
    </w:p>
    <w:p w14:paraId="7DD95DB5" w14:textId="77777777" w:rsidR="0066578D" w:rsidRPr="00B069FB" w:rsidRDefault="0066578D" w:rsidP="00B069FB">
      <w:pPr>
        <w:numPr>
          <w:ilvl w:val="0"/>
          <w:numId w:val="45"/>
        </w:numPr>
        <w:spacing w:after="100" w:afterAutospacing="1"/>
        <w:ind w:left="714" w:hanging="357"/>
        <w:contextualSpacing/>
        <w:rPr>
          <w:rFonts w:eastAsiaTheme="minorHAnsi" w:cs="Arial"/>
          <w:szCs w:val="20"/>
          <w:lang w:eastAsia="fr-FR"/>
        </w:rPr>
      </w:pPr>
      <w:r w:rsidRPr="00B069FB">
        <w:rPr>
          <w:rFonts w:eastAsiaTheme="minorHAnsi" w:cs="Arial"/>
          <w:szCs w:val="20"/>
          <w:lang w:eastAsia="fr-FR"/>
        </w:rPr>
        <w:t xml:space="preserve">Enhancing MONEYVAL’s involvement in the global AML/CFT </w:t>
      </w:r>
      <w:proofErr w:type="gramStart"/>
      <w:r w:rsidRPr="00B069FB">
        <w:rPr>
          <w:rFonts w:eastAsiaTheme="minorHAnsi" w:cs="Arial"/>
          <w:szCs w:val="20"/>
          <w:lang w:eastAsia="fr-FR"/>
        </w:rPr>
        <w:t>network;</w:t>
      </w:r>
      <w:proofErr w:type="gramEnd"/>
    </w:p>
    <w:p w14:paraId="16ECDF98" w14:textId="77777777" w:rsidR="0066578D" w:rsidRPr="00B069FB" w:rsidRDefault="0066578D" w:rsidP="00B069FB">
      <w:pPr>
        <w:numPr>
          <w:ilvl w:val="0"/>
          <w:numId w:val="45"/>
        </w:numPr>
        <w:spacing w:after="100" w:afterAutospacing="1"/>
        <w:ind w:left="714" w:hanging="357"/>
        <w:contextualSpacing/>
        <w:rPr>
          <w:rFonts w:eastAsiaTheme="minorHAnsi" w:cs="Arial"/>
          <w:szCs w:val="20"/>
          <w:lang w:eastAsia="fr-FR"/>
        </w:rPr>
      </w:pPr>
      <w:r w:rsidRPr="00B069FB">
        <w:rPr>
          <w:rFonts w:eastAsiaTheme="minorHAnsi" w:cs="Arial"/>
          <w:szCs w:val="20"/>
          <w:lang w:eastAsia="fr-FR"/>
        </w:rPr>
        <w:t xml:space="preserve">Strengthening MONEYVAL’s political </w:t>
      </w:r>
      <w:proofErr w:type="gramStart"/>
      <w:r w:rsidRPr="00B069FB">
        <w:rPr>
          <w:rFonts w:eastAsiaTheme="minorHAnsi" w:cs="Arial"/>
          <w:szCs w:val="20"/>
          <w:lang w:eastAsia="fr-FR"/>
        </w:rPr>
        <w:t>standing;</w:t>
      </w:r>
      <w:proofErr w:type="gramEnd"/>
    </w:p>
    <w:p w14:paraId="184A80FE" w14:textId="2BF4BBAC" w:rsidR="0066578D" w:rsidRPr="00B069FB" w:rsidRDefault="0066578D" w:rsidP="00B069FB">
      <w:pPr>
        <w:numPr>
          <w:ilvl w:val="0"/>
          <w:numId w:val="45"/>
        </w:numPr>
        <w:spacing w:after="100" w:afterAutospacing="1"/>
        <w:ind w:left="714" w:hanging="357"/>
        <w:contextualSpacing/>
        <w:rPr>
          <w:rFonts w:eastAsiaTheme="minorHAnsi" w:cs="Arial"/>
          <w:szCs w:val="20"/>
          <w:lang w:eastAsia="fr-FR"/>
        </w:rPr>
      </w:pPr>
      <w:r w:rsidRPr="00B069FB">
        <w:rPr>
          <w:rFonts w:eastAsiaTheme="minorHAnsi" w:cs="Arial"/>
          <w:szCs w:val="20"/>
          <w:lang w:eastAsia="fr-FR"/>
        </w:rPr>
        <w:t>Increasing the resources in the MONEYVAL Secretariat.</w:t>
      </w:r>
    </w:p>
    <w:p w14:paraId="66D087FA" w14:textId="77777777" w:rsidR="007E49E1" w:rsidRPr="00B069FB" w:rsidRDefault="007E49E1" w:rsidP="00B069FB">
      <w:pPr>
        <w:spacing w:after="100" w:afterAutospacing="1"/>
        <w:ind w:left="714"/>
        <w:contextualSpacing/>
        <w:rPr>
          <w:rFonts w:eastAsiaTheme="minorHAnsi" w:cs="Arial"/>
          <w:szCs w:val="20"/>
          <w:lang w:eastAsia="fr-FR"/>
        </w:rPr>
      </w:pPr>
    </w:p>
    <w:p w14:paraId="7D4361A4" w14:textId="0C188F52" w:rsidR="0066578D" w:rsidRPr="00B069FB" w:rsidRDefault="0066578D" w:rsidP="00B069FB">
      <w:pPr>
        <w:rPr>
          <w:rFonts w:eastAsiaTheme="minorHAnsi" w:cs="Arial"/>
          <w:szCs w:val="20"/>
          <w:lang w:eastAsia="fr-FR"/>
        </w:rPr>
      </w:pPr>
      <w:r w:rsidRPr="00B069FB">
        <w:rPr>
          <w:rFonts w:eastAsiaTheme="minorHAnsi" w:cs="Arial"/>
          <w:szCs w:val="20"/>
          <w:lang w:eastAsia="fr-FR"/>
        </w:rPr>
        <w:t xml:space="preserve">Overall, MONEYVAL has made significant advancements on </w:t>
      </w:r>
      <w:proofErr w:type="gramStart"/>
      <w:r w:rsidRPr="00B069FB">
        <w:rPr>
          <w:rFonts w:eastAsiaTheme="minorHAnsi" w:cs="Arial"/>
          <w:szCs w:val="20"/>
          <w:lang w:eastAsia="fr-FR"/>
        </w:rPr>
        <w:t>all of</w:t>
      </w:r>
      <w:proofErr w:type="gramEnd"/>
      <w:r w:rsidRPr="00B069FB">
        <w:rPr>
          <w:rFonts w:eastAsiaTheme="minorHAnsi" w:cs="Arial"/>
          <w:szCs w:val="20"/>
          <w:lang w:eastAsia="fr-FR"/>
        </w:rPr>
        <w:t xml:space="preserve"> these benchmarks, adapting to the constraints of the unprecedented and unexpected C</w:t>
      </w:r>
      <w:r w:rsidR="004C7EF8">
        <w:rPr>
          <w:rFonts w:eastAsiaTheme="minorHAnsi" w:cs="Arial"/>
          <w:szCs w:val="20"/>
          <w:lang w:eastAsia="fr-FR"/>
        </w:rPr>
        <w:t>ovid</w:t>
      </w:r>
      <w:r w:rsidRPr="00B069FB">
        <w:rPr>
          <w:rFonts w:eastAsiaTheme="minorHAnsi" w:cs="Arial"/>
          <w:szCs w:val="20"/>
          <w:lang w:eastAsia="fr-FR"/>
        </w:rPr>
        <w:t xml:space="preserve"> pandemic and other contextual factors. </w:t>
      </w:r>
    </w:p>
    <w:p w14:paraId="1D05DAD3" w14:textId="77777777" w:rsidR="0066578D" w:rsidRPr="00B069FB" w:rsidRDefault="0066578D" w:rsidP="00B069FB">
      <w:pPr>
        <w:contextualSpacing/>
        <w:rPr>
          <w:rFonts w:eastAsiaTheme="minorHAnsi" w:cs="Arial"/>
          <w:szCs w:val="20"/>
          <w:lang w:eastAsia="fr-FR"/>
        </w:rPr>
      </w:pPr>
    </w:p>
    <w:p w14:paraId="04A88914" w14:textId="77777777" w:rsidR="0066578D" w:rsidRPr="00B069FB" w:rsidRDefault="0066578D" w:rsidP="00B069FB">
      <w:pPr>
        <w:contextualSpacing/>
        <w:rPr>
          <w:rFonts w:eastAsiaTheme="minorHAnsi" w:cs="Arial"/>
          <w:szCs w:val="20"/>
          <w:lang w:eastAsia="fr-FR"/>
        </w:rPr>
      </w:pPr>
      <w:r w:rsidRPr="00B069FB">
        <w:rPr>
          <w:rFonts w:eastAsiaTheme="minorHAnsi" w:cs="Arial"/>
          <w:i/>
          <w:iCs/>
          <w:szCs w:val="20"/>
          <w:lang w:eastAsia="fr-FR"/>
        </w:rPr>
        <w:t xml:space="preserve">Sustaining MONEYVAL’s monitoring and other activities </w:t>
      </w:r>
    </w:p>
    <w:p w14:paraId="509F6F20" w14:textId="77777777" w:rsidR="0066578D" w:rsidRPr="00B069FB" w:rsidRDefault="0066578D" w:rsidP="00B069FB">
      <w:pPr>
        <w:contextualSpacing/>
        <w:rPr>
          <w:rFonts w:eastAsiaTheme="minorHAnsi" w:cs="Arial"/>
          <w:szCs w:val="20"/>
          <w:lang w:eastAsia="fr-FR"/>
        </w:rPr>
      </w:pPr>
    </w:p>
    <w:p w14:paraId="0F76F492" w14:textId="2539F974" w:rsidR="0066578D" w:rsidRPr="00B069FB" w:rsidRDefault="0066578D" w:rsidP="00B069FB">
      <w:pPr>
        <w:contextualSpacing/>
        <w:rPr>
          <w:rFonts w:eastAsiaTheme="minorHAnsi" w:cs="Arial"/>
          <w:szCs w:val="20"/>
          <w:lang w:eastAsia="fr-FR"/>
        </w:rPr>
      </w:pPr>
      <w:r w:rsidRPr="00B069FB">
        <w:rPr>
          <w:rFonts w:eastAsiaTheme="minorHAnsi" w:cs="Arial"/>
          <w:szCs w:val="20"/>
          <w:lang w:eastAsia="fr-FR"/>
        </w:rPr>
        <w:t xml:space="preserve">The years 2020-2022 were a significant challenge to the </w:t>
      </w:r>
      <w:r w:rsidRPr="00B069FB">
        <w:rPr>
          <w:rFonts w:eastAsiaTheme="minorHAnsi" w:cs="Arial"/>
          <w:b/>
          <w:bCs/>
          <w:szCs w:val="20"/>
          <w:lang w:eastAsia="fr-FR"/>
        </w:rPr>
        <w:t>mutual evaluations programme</w:t>
      </w:r>
      <w:r w:rsidRPr="00B069FB">
        <w:rPr>
          <w:rFonts w:eastAsiaTheme="minorHAnsi" w:cs="Arial"/>
          <w:szCs w:val="20"/>
          <w:lang w:eastAsia="fr-FR"/>
        </w:rPr>
        <w:t xml:space="preserve"> of MONEYVAL – its sustained delivery was under threat due to C</w:t>
      </w:r>
      <w:r w:rsidR="004C7EF8">
        <w:rPr>
          <w:rFonts w:eastAsiaTheme="minorHAnsi" w:cs="Arial"/>
          <w:szCs w:val="20"/>
          <w:lang w:eastAsia="fr-FR"/>
        </w:rPr>
        <w:t>ovid</w:t>
      </w:r>
      <w:r w:rsidRPr="00B069FB">
        <w:rPr>
          <w:rFonts w:eastAsiaTheme="minorHAnsi" w:cs="Arial"/>
          <w:szCs w:val="20"/>
          <w:lang w:eastAsia="fr-FR"/>
        </w:rPr>
        <w:t xml:space="preserve"> lockdowns. Ensuring continued roll-out of evaluations required major readjustments of evaluation methods, which was accompanied by increased strain on human resources in the Secretariat, Bureau and member states and territories. MONEYVAL successfully met the challenges by pioneering hybrid evaluation methods, and it remains the assessor body in the Global Network with the most evaluations completed since the start of the pandemic. </w:t>
      </w:r>
    </w:p>
    <w:p w14:paraId="619145A0" w14:textId="77777777" w:rsidR="0066578D" w:rsidRPr="00B069FB" w:rsidRDefault="0066578D" w:rsidP="00B069FB">
      <w:pPr>
        <w:contextualSpacing/>
        <w:rPr>
          <w:rFonts w:eastAsiaTheme="minorHAnsi" w:cs="Arial"/>
          <w:szCs w:val="20"/>
          <w:lang w:eastAsia="fr-FR"/>
        </w:rPr>
      </w:pPr>
    </w:p>
    <w:p w14:paraId="1D28FAFF" w14:textId="7CD87839" w:rsidR="0066578D" w:rsidRPr="00B069FB" w:rsidRDefault="0066578D" w:rsidP="00B069FB">
      <w:pPr>
        <w:contextualSpacing/>
        <w:rPr>
          <w:rFonts w:eastAsiaTheme="minorHAnsi" w:cs="Arial"/>
          <w:szCs w:val="20"/>
          <w:lang w:eastAsia="fr-FR"/>
        </w:rPr>
      </w:pPr>
      <w:r w:rsidRPr="00B069FB">
        <w:rPr>
          <w:rFonts w:eastAsiaTheme="minorHAnsi" w:cs="Arial"/>
          <w:szCs w:val="20"/>
          <w:lang w:eastAsia="fr-FR"/>
        </w:rPr>
        <w:t xml:space="preserve">As the FSRB with the largest number of non-FATF members MONEYVAL has gained significant experience in area of mutual evaluations, which serves as an excellent basis for further horizontal analysis and identification of trends. Based on this experience MONEYVAL launched </w:t>
      </w:r>
      <w:proofErr w:type="gramStart"/>
      <w:r w:rsidRPr="00B069FB">
        <w:rPr>
          <w:rFonts w:eastAsiaTheme="minorHAnsi" w:cs="Arial"/>
          <w:szCs w:val="20"/>
          <w:lang w:eastAsia="fr-FR"/>
        </w:rPr>
        <w:t>a number of</w:t>
      </w:r>
      <w:proofErr w:type="gramEnd"/>
      <w:r w:rsidRPr="00B069FB">
        <w:rPr>
          <w:rFonts w:eastAsiaTheme="minorHAnsi" w:cs="Arial"/>
          <w:szCs w:val="20"/>
          <w:lang w:eastAsia="fr-FR"/>
        </w:rPr>
        <w:t xml:space="preserve"> horizontal projects, including the Horizontal Review of mutual evaluations (presented to the 62</w:t>
      </w:r>
      <w:r w:rsidRPr="00B069FB">
        <w:rPr>
          <w:rFonts w:eastAsiaTheme="minorHAnsi" w:cs="Arial"/>
          <w:szCs w:val="20"/>
          <w:vertAlign w:val="superscript"/>
          <w:lang w:eastAsia="fr-FR"/>
        </w:rPr>
        <w:t>nd</w:t>
      </w:r>
      <w:r w:rsidRPr="00B069FB">
        <w:rPr>
          <w:rFonts w:eastAsiaTheme="minorHAnsi" w:cs="Arial"/>
          <w:szCs w:val="20"/>
          <w:lang w:eastAsia="fr-FR"/>
        </w:rPr>
        <w:t xml:space="preserve"> Plenary</w:t>
      </w:r>
      <w:r w:rsidR="007E49E1" w:rsidRPr="00B069FB">
        <w:rPr>
          <w:rFonts w:eastAsiaTheme="minorHAnsi" w:cs="Arial"/>
          <w:szCs w:val="20"/>
          <w:lang w:eastAsia="fr-FR"/>
        </w:rPr>
        <w:t xml:space="preserve"> in 2021</w:t>
      </w:r>
      <w:r w:rsidRPr="00B069FB">
        <w:rPr>
          <w:rFonts w:eastAsiaTheme="minorHAnsi" w:cs="Arial"/>
          <w:szCs w:val="20"/>
          <w:lang w:eastAsia="fr-FR"/>
        </w:rPr>
        <w:t xml:space="preserve">), analysis of materiality indicators (launched in January 2022), preparation of a detailed </w:t>
      </w:r>
      <w:r w:rsidR="007E49E1" w:rsidRPr="00B069FB">
        <w:rPr>
          <w:rFonts w:eastAsiaTheme="minorHAnsi" w:cs="Arial"/>
          <w:szCs w:val="20"/>
          <w:lang w:eastAsia="fr-FR"/>
        </w:rPr>
        <w:t>mutual evaluation report</w:t>
      </w:r>
      <w:r w:rsidRPr="00B069FB">
        <w:rPr>
          <w:rFonts w:eastAsiaTheme="minorHAnsi" w:cs="Arial"/>
          <w:szCs w:val="20"/>
          <w:lang w:eastAsia="fr-FR"/>
        </w:rPr>
        <w:t xml:space="preserve"> template. </w:t>
      </w:r>
      <w:r w:rsidR="00DD0B75" w:rsidRPr="00B069FB">
        <w:rPr>
          <w:rFonts w:eastAsiaTheme="minorHAnsi" w:cs="Arial"/>
          <w:szCs w:val="20"/>
          <w:lang w:eastAsia="fr-FR"/>
        </w:rPr>
        <w:t>T</w:t>
      </w:r>
      <w:r w:rsidRPr="00B069FB">
        <w:rPr>
          <w:rFonts w:eastAsiaTheme="minorHAnsi" w:cs="Arial"/>
          <w:szCs w:val="20"/>
          <w:lang w:eastAsia="fr-FR"/>
        </w:rPr>
        <w:t xml:space="preserve">hese projects </w:t>
      </w:r>
      <w:r w:rsidR="00DD0B75" w:rsidRPr="00B069FB">
        <w:rPr>
          <w:rFonts w:eastAsiaTheme="minorHAnsi" w:cs="Arial"/>
          <w:szCs w:val="20"/>
          <w:lang w:eastAsia="fr-FR"/>
        </w:rPr>
        <w:t xml:space="preserve">are leading to enhancements in the </w:t>
      </w:r>
      <w:r w:rsidRPr="00B069FB">
        <w:rPr>
          <w:rFonts w:eastAsiaTheme="minorHAnsi" w:cs="Arial"/>
          <w:szCs w:val="20"/>
          <w:lang w:eastAsia="fr-FR"/>
        </w:rPr>
        <w:t>quality and consistency of mutual evaluations,</w:t>
      </w:r>
      <w:r w:rsidR="00DD0B75" w:rsidRPr="00B069FB">
        <w:rPr>
          <w:rFonts w:eastAsiaTheme="minorHAnsi" w:cs="Arial"/>
          <w:szCs w:val="20"/>
          <w:lang w:eastAsia="fr-FR"/>
        </w:rPr>
        <w:t xml:space="preserve"> improved</w:t>
      </w:r>
      <w:r w:rsidRPr="00B069FB">
        <w:rPr>
          <w:rFonts w:eastAsiaTheme="minorHAnsi" w:cs="Arial"/>
          <w:szCs w:val="20"/>
          <w:lang w:eastAsia="fr-FR"/>
        </w:rPr>
        <w:t xml:space="preserve"> equal treatment </w:t>
      </w:r>
      <w:r w:rsidR="00DD0B75" w:rsidRPr="00B069FB">
        <w:rPr>
          <w:rFonts w:eastAsiaTheme="minorHAnsi" w:cs="Arial"/>
          <w:szCs w:val="20"/>
          <w:lang w:eastAsia="fr-FR"/>
        </w:rPr>
        <w:t xml:space="preserve">and expert support </w:t>
      </w:r>
      <w:r w:rsidRPr="00B069FB">
        <w:rPr>
          <w:rFonts w:eastAsiaTheme="minorHAnsi" w:cs="Arial"/>
          <w:szCs w:val="20"/>
          <w:lang w:eastAsia="fr-FR"/>
        </w:rPr>
        <w:t>of member</w:t>
      </w:r>
      <w:r w:rsidR="00DD0B75" w:rsidRPr="00B069FB">
        <w:rPr>
          <w:rFonts w:eastAsiaTheme="minorHAnsi" w:cs="Arial"/>
          <w:szCs w:val="20"/>
          <w:lang w:eastAsia="fr-FR"/>
        </w:rPr>
        <w:t xml:space="preserve"> jurisdictions</w:t>
      </w:r>
      <w:r w:rsidRPr="00B069FB">
        <w:rPr>
          <w:rFonts w:eastAsiaTheme="minorHAnsi" w:cs="Arial"/>
          <w:szCs w:val="20"/>
          <w:lang w:eastAsia="fr-FR"/>
        </w:rPr>
        <w:t xml:space="preserve">, </w:t>
      </w:r>
      <w:r w:rsidR="00DD0B75" w:rsidRPr="00B069FB">
        <w:rPr>
          <w:rFonts w:eastAsiaTheme="minorHAnsi" w:cs="Arial"/>
          <w:szCs w:val="20"/>
          <w:lang w:eastAsia="fr-FR"/>
        </w:rPr>
        <w:t xml:space="preserve">and </w:t>
      </w:r>
      <w:r w:rsidRPr="00B069FB">
        <w:rPr>
          <w:rFonts w:eastAsiaTheme="minorHAnsi" w:cs="Arial"/>
          <w:szCs w:val="20"/>
          <w:lang w:eastAsia="fr-FR"/>
        </w:rPr>
        <w:t>assessors</w:t>
      </w:r>
      <w:r w:rsidR="00DD0B75" w:rsidRPr="00B069FB">
        <w:rPr>
          <w:rFonts w:eastAsiaTheme="minorHAnsi" w:cs="Arial"/>
          <w:szCs w:val="20"/>
          <w:lang w:eastAsia="fr-FR"/>
        </w:rPr>
        <w:t xml:space="preserve">, as well as </w:t>
      </w:r>
      <w:r w:rsidRPr="00B069FB">
        <w:rPr>
          <w:rFonts w:eastAsiaTheme="minorHAnsi" w:cs="Arial"/>
          <w:szCs w:val="20"/>
          <w:lang w:eastAsia="fr-FR"/>
        </w:rPr>
        <w:t xml:space="preserve">resource efficiencies for national administrations and the MONEYVAL structures and Secretariat. </w:t>
      </w:r>
    </w:p>
    <w:p w14:paraId="4831C361" w14:textId="77777777" w:rsidR="0066578D" w:rsidRPr="00B069FB" w:rsidRDefault="0066578D" w:rsidP="00B069FB">
      <w:pPr>
        <w:contextualSpacing/>
        <w:rPr>
          <w:rFonts w:eastAsiaTheme="minorHAnsi" w:cs="Arial"/>
          <w:szCs w:val="20"/>
          <w:lang w:eastAsia="fr-FR"/>
        </w:rPr>
      </w:pPr>
    </w:p>
    <w:p w14:paraId="0A34C9ED" w14:textId="77777777" w:rsidR="004D5F3C" w:rsidRDefault="004D5F3C">
      <w:pPr>
        <w:rPr>
          <w:rFonts w:eastAsiaTheme="minorHAnsi" w:cs="Arial"/>
          <w:szCs w:val="20"/>
          <w:lang w:eastAsia="fr-FR"/>
        </w:rPr>
      </w:pPr>
      <w:bookmarkStart w:id="13" w:name="_Hlk119840482"/>
      <w:r>
        <w:rPr>
          <w:rFonts w:eastAsiaTheme="minorHAnsi" w:cs="Arial"/>
          <w:szCs w:val="20"/>
          <w:lang w:eastAsia="fr-FR"/>
        </w:rPr>
        <w:br w:type="page"/>
      </w:r>
    </w:p>
    <w:p w14:paraId="382149AA" w14:textId="586A89C9" w:rsidR="0066578D" w:rsidRPr="00B069FB" w:rsidRDefault="0066578D" w:rsidP="00B069FB">
      <w:pPr>
        <w:contextualSpacing/>
        <w:rPr>
          <w:rFonts w:eastAsiaTheme="minorHAnsi" w:cs="Arial"/>
          <w:szCs w:val="20"/>
          <w:lang w:eastAsia="fr-FR"/>
        </w:rPr>
      </w:pPr>
      <w:r w:rsidRPr="00B069FB">
        <w:rPr>
          <w:rFonts w:eastAsiaTheme="minorHAnsi" w:cs="Arial"/>
          <w:szCs w:val="20"/>
          <w:lang w:eastAsia="fr-FR"/>
        </w:rPr>
        <w:lastRenderedPageBreak/>
        <w:t xml:space="preserve">Between 2020 and 2022 MONEYVAL has </w:t>
      </w:r>
      <w:r w:rsidR="0032620A" w:rsidRPr="00B069FB">
        <w:rPr>
          <w:rFonts w:eastAsiaTheme="minorHAnsi" w:cs="Arial"/>
          <w:szCs w:val="20"/>
          <w:lang w:eastAsia="fr-FR"/>
        </w:rPr>
        <w:t>significantly streamlined</w:t>
      </w:r>
      <w:r w:rsidRPr="00B069FB">
        <w:rPr>
          <w:rFonts w:eastAsiaTheme="minorHAnsi" w:cs="Arial"/>
          <w:szCs w:val="20"/>
          <w:lang w:eastAsia="fr-FR"/>
        </w:rPr>
        <w:t xml:space="preserve"> its approach to </w:t>
      </w:r>
      <w:r w:rsidRPr="00B069FB">
        <w:rPr>
          <w:rFonts w:eastAsiaTheme="minorHAnsi" w:cs="Arial"/>
          <w:b/>
          <w:bCs/>
          <w:szCs w:val="20"/>
          <w:lang w:eastAsia="fr-FR"/>
        </w:rPr>
        <w:t>follow-up reporting</w:t>
      </w:r>
      <w:r w:rsidRPr="00B069FB">
        <w:rPr>
          <w:rFonts w:eastAsiaTheme="minorHAnsi" w:cs="Arial"/>
          <w:szCs w:val="20"/>
          <w:lang w:eastAsia="fr-FR"/>
        </w:rPr>
        <w:t xml:space="preserve">, in order </w:t>
      </w:r>
      <w:r w:rsidR="0032620A" w:rsidRPr="00B069FB">
        <w:rPr>
          <w:rFonts w:eastAsiaTheme="minorHAnsi" w:cs="Arial"/>
          <w:szCs w:val="20"/>
          <w:lang w:eastAsia="fr-FR"/>
        </w:rPr>
        <w:t>manage the</w:t>
      </w:r>
      <w:r w:rsidRPr="00B069FB">
        <w:rPr>
          <w:rFonts w:eastAsiaTheme="minorHAnsi" w:cs="Arial"/>
          <w:szCs w:val="20"/>
          <w:lang w:eastAsia="fr-FR"/>
        </w:rPr>
        <w:t xml:space="preserve"> increasing number of reports </w:t>
      </w:r>
      <w:r w:rsidR="0032620A" w:rsidRPr="00B069FB">
        <w:rPr>
          <w:rFonts w:eastAsiaTheme="minorHAnsi" w:cs="Arial"/>
          <w:szCs w:val="20"/>
          <w:lang w:eastAsia="fr-FR"/>
        </w:rPr>
        <w:t xml:space="preserve">accumulating </w:t>
      </w:r>
      <w:r w:rsidRPr="00B069FB">
        <w:rPr>
          <w:rFonts w:eastAsiaTheme="minorHAnsi" w:cs="Arial"/>
          <w:szCs w:val="20"/>
          <w:lang w:eastAsia="fr-FR"/>
        </w:rPr>
        <w:t xml:space="preserve">towards the end of the evaluation round. </w:t>
      </w:r>
      <w:r w:rsidR="0032620A" w:rsidRPr="00B069FB">
        <w:rPr>
          <w:rFonts w:eastAsiaTheme="minorHAnsi" w:cs="Arial"/>
          <w:szCs w:val="20"/>
          <w:lang w:eastAsia="fr-FR"/>
        </w:rPr>
        <w:t xml:space="preserve">This included a partial transition to written procedures, and efficiency adjustments in the reporting procedure. </w:t>
      </w:r>
      <w:r w:rsidRPr="00B069FB">
        <w:rPr>
          <w:rFonts w:eastAsiaTheme="minorHAnsi" w:cs="Arial"/>
          <w:szCs w:val="20"/>
          <w:lang w:eastAsia="fr-FR"/>
        </w:rPr>
        <w:t xml:space="preserve">The effectiveness of MONEYVAL’s follow-up reporting is </w:t>
      </w:r>
      <w:r w:rsidR="0032620A" w:rsidRPr="00B069FB">
        <w:rPr>
          <w:rFonts w:eastAsiaTheme="minorHAnsi" w:cs="Arial"/>
          <w:szCs w:val="20"/>
          <w:lang w:eastAsia="fr-FR"/>
        </w:rPr>
        <w:t xml:space="preserve">now </w:t>
      </w:r>
      <w:r w:rsidRPr="00B069FB">
        <w:rPr>
          <w:rFonts w:eastAsiaTheme="minorHAnsi" w:cs="Arial"/>
          <w:szCs w:val="20"/>
          <w:lang w:eastAsia="fr-FR"/>
        </w:rPr>
        <w:t>the highest among all assessor bodies</w:t>
      </w:r>
      <w:r w:rsidR="0032620A" w:rsidRPr="00B069FB">
        <w:rPr>
          <w:rFonts w:eastAsiaTheme="minorHAnsi" w:cs="Arial"/>
          <w:szCs w:val="20"/>
          <w:lang w:eastAsia="fr-FR"/>
        </w:rPr>
        <w:t xml:space="preserve"> </w:t>
      </w:r>
      <w:r w:rsidRPr="00B069FB">
        <w:rPr>
          <w:rFonts w:eastAsiaTheme="minorHAnsi" w:cs="Arial"/>
          <w:szCs w:val="20"/>
          <w:lang w:eastAsia="fr-FR"/>
        </w:rPr>
        <w:t xml:space="preserve">in the Global Network, according to a recent review carried out by the FATF. </w:t>
      </w:r>
      <w:r w:rsidR="0032620A" w:rsidRPr="00B069FB">
        <w:rPr>
          <w:rFonts w:eastAsiaTheme="minorHAnsi" w:cs="Arial"/>
          <w:szCs w:val="20"/>
          <w:lang w:eastAsia="fr-FR"/>
        </w:rPr>
        <w:t xml:space="preserve">It shows that 72% of MONEYVAL’s technical compliance recommendations are being implemented. </w:t>
      </w:r>
      <w:r w:rsidRPr="00B069FB">
        <w:rPr>
          <w:rFonts w:eastAsiaTheme="minorHAnsi" w:cs="Arial"/>
          <w:b/>
          <w:bCs/>
          <w:szCs w:val="20"/>
          <w:lang w:eastAsia="fr-FR"/>
        </w:rPr>
        <w:t>Compliance Enhancement Procedures (CEPs)</w:t>
      </w:r>
      <w:r w:rsidRPr="00B069FB">
        <w:rPr>
          <w:rFonts w:eastAsiaTheme="minorHAnsi" w:cs="Arial"/>
          <w:szCs w:val="20"/>
          <w:lang w:eastAsia="fr-FR"/>
        </w:rPr>
        <w:t xml:space="preserve"> are continuing to be an important tool to motivate assessed countries to make progress. </w:t>
      </w:r>
      <w:r w:rsidR="0032620A" w:rsidRPr="00B069FB">
        <w:rPr>
          <w:rFonts w:eastAsiaTheme="minorHAnsi" w:cs="Arial"/>
          <w:szCs w:val="20"/>
          <w:lang w:eastAsia="fr-FR"/>
        </w:rPr>
        <w:t>Their</w:t>
      </w:r>
      <w:r w:rsidRPr="00B069FB">
        <w:rPr>
          <w:rFonts w:eastAsiaTheme="minorHAnsi" w:cs="Arial"/>
          <w:szCs w:val="20"/>
          <w:lang w:eastAsia="fr-FR"/>
        </w:rPr>
        <w:t xml:space="preserve"> automatic integration with the follow-up process agreed by the 63</w:t>
      </w:r>
      <w:r w:rsidRPr="00B069FB">
        <w:rPr>
          <w:rFonts w:eastAsiaTheme="minorHAnsi" w:cs="Arial"/>
          <w:szCs w:val="20"/>
          <w:vertAlign w:val="superscript"/>
          <w:lang w:eastAsia="fr-FR"/>
        </w:rPr>
        <w:t>rd</w:t>
      </w:r>
      <w:r w:rsidRPr="00B069FB">
        <w:rPr>
          <w:rFonts w:eastAsiaTheme="minorHAnsi" w:cs="Arial"/>
          <w:szCs w:val="20"/>
          <w:lang w:eastAsia="fr-FR"/>
        </w:rPr>
        <w:t xml:space="preserve"> Plenary </w:t>
      </w:r>
      <w:r w:rsidR="0032620A" w:rsidRPr="00B069FB">
        <w:rPr>
          <w:rFonts w:eastAsiaTheme="minorHAnsi" w:cs="Arial"/>
          <w:szCs w:val="20"/>
          <w:lang w:eastAsia="fr-FR"/>
        </w:rPr>
        <w:t xml:space="preserve">now </w:t>
      </w:r>
      <w:r w:rsidRPr="00B069FB">
        <w:rPr>
          <w:rFonts w:eastAsiaTheme="minorHAnsi" w:cs="Arial"/>
          <w:szCs w:val="20"/>
          <w:lang w:eastAsia="fr-FR"/>
        </w:rPr>
        <w:t>further enhance</w:t>
      </w:r>
      <w:r w:rsidR="0032620A" w:rsidRPr="00B069FB">
        <w:rPr>
          <w:rFonts w:eastAsiaTheme="minorHAnsi" w:cs="Arial"/>
          <w:szCs w:val="20"/>
          <w:lang w:eastAsia="fr-FR"/>
        </w:rPr>
        <w:t>s</w:t>
      </w:r>
      <w:r w:rsidRPr="00B069FB">
        <w:rPr>
          <w:rFonts w:eastAsiaTheme="minorHAnsi" w:cs="Arial"/>
          <w:szCs w:val="20"/>
          <w:lang w:eastAsia="fr-FR"/>
        </w:rPr>
        <w:t xml:space="preserve"> the </w:t>
      </w:r>
      <w:r w:rsidR="0032620A" w:rsidRPr="00B069FB">
        <w:rPr>
          <w:rFonts w:eastAsiaTheme="minorHAnsi" w:cs="Arial"/>
          <w:szCs w:val="20"/>
          <w:lang w:eastAsia="fr-FR"/>
        </w:rPr>
        <w:t>peer pressure toolbox of MONEYVAL</w:t>
      </w:r>
      <w:r w:rsidRPr="00B069FB">
        <w:rPr>
          <w:rFonts w:eastAsiaTheme="minorHAnsi" w:cs="Arial"/>
          <w:szCs w:val="20"/>
          <w:lang w:eastAsia="fr-FR"/>
        </w:rPr>
        <w:t xml:space="preserve">. </w:t>
      </w:r>
    </w:p>
    <w:bookmarkEnd w:id="13"/>
    <w:p w14:paraId="60B0283D" w14:textId="77777777" w:rsidR="0066578D" w:rsidRPr="00C36CF5" w:rsidRDefault="0066578D" w:rsidP="0066578D">
      <w:pPr>
        <w:contextualSpacing/>
        <w:jc w:val="both"/>
        <w:rPr>
          <w:rFonts w:eastAsiaTheme="minorHAnsi" w:cs="Arial"/>
          <w:szCs w:val="20"/>
          <w:highlight w:val="yellow"/>
          <w:lang w:eastAsia="fr-FR"/>
        </w:rPr>
      </w:pPr>
    </w:p>
    <w:p w14:paraId="6104A1A5" w14:textId="77777777" w:rsidR="0066578D" w:rsidRPr="00B069FB" w:rsidRDefault="0066578D" w:rsidP="00B069FB">
      <w:pPr>
        <w:contextualSpacing/>
        <w:rPr>
          <w:rFonts w:eastAsiaTheme="minorHAnsi" w:cs="Arial"/>
          <w:i/>
          <w:iCs/>
          <w:szCs w:val="20"/>
          <w:lang w:eastAsia="fr-FR"/>
        </w:rPr>
      </w:pPr>
      <w:r w:rsidRPr="00B069FB">
        <w:rPr>
          <w:rFonts w:eastAsiaTheme="minorHAnsi" w:cs="Arial"/>
          <w:i/>
          <w:iCs/>
          <w:szCs w:val="20"/>
          <w:lang w:eastAsia="fr-FR"/>
        </w:rPr>
        <w:t xml:space="preserve">Capacities of MONEYVAL members – training &amp; typologies </w:t>
      </w:r>
    </w:p>
    <w:p w14:paraId="09BA2FF4" w14:textId="77777777" w:rsidR="0066578D" w:rsidRPr="00B069FB" w:rsidRDefault="0066578D" w:rsidP="00B069FB">
      <w:pPr>
        <w:contextualSpacing/>
        <w:rPr>
          <w:rFonts w:eastAsiaTheme="minorHAnsi" w:cs="Arial"/>
          <w:szCs w:val="20"/>
          <w:lang w:eastAsia="fr-FR"/>
        </w:rPr>
      </w:pPr>
    </w:p>
    <w:p w14:paraId="46CE6487" w14:textId="5B38F799" w:rsidR="0066578D" w:rsidRPr="00B069FB" w:rsidRDefault="0066578D" w:rsidP="00B069FB">
      <w:pPr>
        <w:contextualSpacing/>
        <w:rPr>
          <w:rFonts w:eastAsiaTheme="minorHAnsi" w:cs="Arial"/>
          <w:szCs w:val="20"/>
          <w:lang w:eastAsia="fr-FR"/>
        </w:rPr>
      </w:pPr>
      <w:r w:rsidRPr="00B069FB">
        <w:rPr>
          <w:rFonts w:eastAsiaTheme="minorHAnsi" w:cs="Arial"/>
          <w:szCs w:val="20"/>
          <w:lang w:eastAsia="fr-FR"/>
        </w:rPr>
        <w:t>During C</w:t>
      </w:r>
      <w:r w:rsidR="004C7EF8">
        <w:rPr>
          <w:rFonts w:eastAsiaTheme="minorHAnsi" w:cs="Arial"/>
          <w:szCs w:val="20"/>
          <w:lang w:eastAsia="fr-FR"/>
        </w:rPr>
        <w:t>ovid</w:t>
      </w:r>
      <w:r w:rsidRPr="00B069FB">
        <w:rPr>
          <w:rFonts w:eastAsiaTheme="minorHAnsi" w:cs="Arial"/>
          <w:szCs w:val="20"/>
          <w:lang w:eastAsia="fr-FR"/>
        </w:rPr>
        <w:t xml:space="preserve">, the </w:t>
      </w:r>
      <w:r w:rsidRPr="00B069FB">
        <w:rPr>
          <w:rFonts w:eastAsiaTheme="minorHAnsi" w:cs="Arial"/>
          <w:b/>
          <w:bCs/>
          <w:szCs w:val="20"/>
          <w:lang w:eastAsia="fr-FR"/>
        </w:rPr>
        <w:t>training programmes</w:t>
      </w:r>
      <w:r w:rsidRPr="00B069FB">
        <w:rPr>
          <w:rFonts w:eastAsiaTheme="minorHAnsi" w:cs="Arial"/>
          <w:szCs w:val="20"/>
          <w:lang w:eastAsia="fr-FR"/>
        </w:rPr>
        <w:t xml:space="preserve"> were adjusted to maximise the impact and utility for MONEYVAL. Assessor training needs were largely met through Joint Trainings with the FATF. Standards training was introduced in 2021 through a tailored workshop based on initial findings of the MONEYVAL horizontal review of mutual evaluations. A joint MONEYVAL/FATF standards training was subsequently held in 2022 based on a programme of the FATF Training Institute. </w:t>
      </w:r>
    </w:p>
    <w:p w14:paraId="76F3746B" w14:textId="77777777" w:rsidR="0066578D" w:rsidRPr="00B069FB" w:rsidRDefault="0066578D" w:rsidP="00B069FB">
      <w:pPr>
        <w:contextualSpacing/>
        <w:rPr>
          <w:rFonts w:eastAsiaTheme="minorHAnsi" w:cs="Arial"/>
          <w:szCs w:val="20"/>
          <w:lang w:eastAsia="fr-FR"/>
        </w:rPr>
      </w:pPr>
    </w:p>
    <w:p w14:paraId="74C623DB" w14:textId="68846739" w:rsidR="0066578D" w:rsidRPr="00B069FB" w:rsidRDefault="0066578D" w:rsidP="00B069FB">
      <w:pPr>
        <w:contextualSpacing/>
        <w:rPr>
          <w:rFonts w:eastAsiaTheme="minorHAnsi" w:cs="Arial"/>
          <w:szCs w:val="20"/>
          <w:lang w:eastAsia="fr-FR"/>
        </w:rPr>
      </w:pPr>
      <w:r w:rsidRPr="00B069FB">
        <w:rPr>
          <w:rFonts w:eastAsiaTheme="minorHAnsi" w:cs="Arial"/>
          <w:szCs w:val="20"/>
          <w:lang w:eastAsia="fr-FR"/>
        </w:rPr>
        <w:t xml:space="preserve">Between 2020 and 2022 the </w:t>
      </w:r>
      <w:r w:rsidRPr="00B069FB">
        <w:rPr>
          <w:rFonts w:eastAsiaTheme="minorHAnsi" w:cs="Arial"/>
          <w:b/>
          <w:bCs/>
          <w:szCs w:val="20"/>
          <w:lang w:eastAsia="fr-FR"/>
        </w:rPr>
        <w:t>typologies</w:t>
      </w:r>
      <w:r w:rsidRPr="00B069FB">
        <w:rPr>
          <w:rFonts w:eastAsiaTheme="minorHAnsi" w:cs="Arial"/>
          <w:szCs w:val="20"/>
          <w:lang w:eastAsia="fr-FR"/>
        </w:rPr>
        <w:t xml:space="preserve"> workstream largely had a focus on capacity-building. After a multi-year pause</w:t>
      </w:r>
      <w:r w:rsidR="005821FB" w:rsidRPr="00B069FB">
        <w:rPr>
          <w:rFonts w:eastAsiaTheme="minorHAnsi" w:cs="Arial"/>
          <w:szCs w:val="20"/>
          <w:lang w:eastAsia="fr-FR"/>
        </w:rPr>
        <w:t xml:space="preserve"> (between 2014 and 2020)</w:t>
      </w:r>
      <w:r w:rsidRPr="00B069FB">
        <w:rPr>
          <w:rFonts w:eastAsiaTheme="minorHAnsi" w:cs="Arial"/>
          <w:szCs w:val="20"/>
          <w:lang w:eastAsia="fr-FR"/>
        </w:rPr>
        <w:t>, this workstream was successfully re-launched and provided significant added benefit to the work of the Committee in the C</w:t>
      </w:r>
      <w:r w:rsidR="004C7EF8">
        <w:rPr>
          <w:rFonts w:eastAsiaTheme="minorHAnsi" w:cs="Arial"/>
          <w:szCs w:val="20"/>
          <w:lang w:eastAsia="fr-FR"/>
        </w:rPr>
        <w:t>ovid</w:t>
      </w:r>
      <w:r w:rsidRPr="00B069FB">
        <w:rPr>
          <w:rFonts w:eastAsiaTheme="minorHAnsi" w:cs="Arial"/>
          <w:szCs w:val="20"/>
          <w:lang w:eastAsia="fr-FR"/>
        </w:rPr>
        <w:t xml:space="preserve"> context. Typologies studies were focused on methods and trends, as well as indicators for authorities to handle C</w:t>
      </w:r>
      <w:r w:rsidR="004C7EF8">
        <w:rPr>
          <w:rFonts w:eastAsiaTheme="minorHAnsi" w:cs="Arial"/>
          <w:szCs w:val="20"/>
          <w:lang w:eastAsia="fr-FR"/>
        </w:rPr>
        <w:t>ovid</w:t>
      </w:r>
      <w:r w:rsidRPr="00B069FB">
        <w:rPr>
          <w:rFonts w:eastAsiaTheme="minorHAnsi" w:cs="Arial"/>
          <w:szCs w:val="20"/>
          <w:lang w:eastAsia="fr-FR"/>
        </w:rPr>
        <w:t xml:space="preserve">-related risk factors in general, and more specifically </w:t>
      </w:r>
      <w:proofErr w:type="gramStart"/>
      <w:r w:rsidRPr="00B069FB">
        <w:rPr>
          <w:rFonts w:eastAsiaTheme="minorHAnsi" w:cs="Arial"/>
          <w:szCs w:val="20"/>
          <w:lang w:eastAsia="fr-FR"/>
        </w:rPr>
        <w:t>in the area of</w:t>
      </w:r>
      <w:proofErr w:type="gramEnd"/>
      <w:r w:rsidRPr="00B069FB">
        <w:rPr>
          <w:rFonts w:eastAsiaTheme="minorHAnsi" w:cs="Arial"/>
          <w:szCs w:val="20"/>
          <w:lang w:eastAsia="fr-FR"/>
        </w:rPr>
        <w:t xml:space="preserve"> </w:t>
      </w:r>
      <w:r w:rsidR="005821FB" w:rsidRPr="00B069FB">
        <w:rPr>
          <w:rFonts w:eastAsiaTheme="minorHAnsi" w:cs="Arial"/>
          <w:szCs w:val="20"/>
          <w:lang w:eastAsia="fr-FR"/>
        </w:rPr>
        <w:t xml:space="preserve">financial </w:t>
      </w:r>
      <w:r w:rsidRPr="00B069FB">
        <w:rPr>
          <w:rFonts w:eastAsiaTheme="minorHAnsi" w:cs="Arial"/>
          <w:szCs w:val="20"/>
          <w:lang w:eastAsia="fr-FR"/>
        </w:rPr>
        <w:t xml:space="preserve">supervision. Typologies studies were frequently picked up by media </w:t>
      </w:r>
      <w:proofErr w:type="gramStart"/>
      <w:r w:rsidRPr="00B069FB">
        <w:rPr>
          <w:rFonts w:eastAsiaTheme="minorHAnsi" w:cs="Arial"/>
          <w:szCs w:val="20"/>
          <w:lang w:eastAsia="fr-FR"/>
        </w:rPr>
        <w:t>outlets, and</w:t>
      </w:r>
      <w:proofErr w:type="gramEnd"/>
      <w:r w:rsidRPr="00B069FB">
        <w:rPr>
          <w:rFonts w:eastAsiaTheme="minorHAnsi" w:cs="Arial"/>
          <w:szCs w:val="20"/>
          <w:lang w:eastAsia="fr-FR"/>
        </w:rPr>
        <w:t xml:space="preserve"> provided significant additional </w:t>
      </w:r>
      <w:r w:rsidRPr="00B069FB">
        <w:rPr>
          <w:rFonts w:eastAsiaTheme="minorHAnsi" w:cs="Arial"/>
          <w:b/>
          <w:bCs/>
          <w:szCs w:val="20"/>
          <w:lang w:eastAsia="fr-FR"/>
        </w:rPr>
        <w:t>visibility</w:t>
      </w:r>
      <w:r w:rsidRPr="00B069FB">
        <w:rPr>
          <w:rFonts w:eastAsiaTheme="minorHAnsi" w:cs="Arial"/>
          <w:szCs w:val="20"/>
          <w:lang w:eastAsia="fr-FR"/>
        </w:rPr>
        <w:t xml:space="preserve"> to the Committee. Since 2022 the use of typologies has been further expanded to build institutional co</w:t>
      </w:r>
      <w:r w:rsidR="003654E4">
        <w:rPr>
          <w:rFonts w:eastAsiaTheme="minorHAnsi" w:cs="Arial"/>
          <w:szCs w:val="20"/>
          <w:lang w:eastAsia="fr-FR"/>
        </w:rPr>
        <w:t>-</w:t>
      </w:r>
      <w:r w:rsidRPr="00B069FB">
        <w:rPr>
          <w:rFonts w:eastAsiaTheme="minorHAnsi" w:cs="Arial"/>
          <w:szCs w:val="20"/>
          <w:lang w:eastAsia="fr-FR"/>
        </w:rPr>
        <w:t xml:space="preserve">operation with other Committees of the Council of Europe, </w:t>
      </w:r>
      <w:proofErr w:type="gramStart"/>
      <w:r w:rsidRPr="00B069FB">
        <w:rPr>
          <w:rFonts w:eastAsiaTheme="minorHAnsi" w:cs="Arial"/>
          <w:szCs w:val="20"/>
          <w:lang w:eastAsia="fr-FR"/>
        </w:rPr>
        <w:t>in particular in</w:t>
      </w:r>
      <w:proofErr w:type="gramEnd"/>
      <w:r w:rsidRPr="00B069FB">
        <w:rPr>
          <w:rFonts w:eastAsiaTheme="minorHAnsi" w:cs="Arial"/>
          <w:szCs w:val="20"/>
          <w:lang w:eastAsia="fr-FR"/>
        </w:rPr>
        <w:t xml:space="preserve"> the field of cybercrime (with regard to virtual assets research). </w:t>
      </w:r>
    </w:p>
    <w:p w14:paraId="705A737B" w14:textId="77777777" w:rsidR="0066578D" w:rsidRPr="00B069FB" w:rsidRDefault="0066578D" w:rsidP="00B069FB">
      <w:pPr>
        <w:contextualSpacing/>
        <w:rPr>
          <w:rFonts w:eastAsiaTheme="minorHAnsi" w:cs="Arial"/>
          <w:szCs w:val="20"/>
          <w:lang w:eastAsia="fr-FR"/>
        </w:rPr>
      </w:pPr>
    </w:p>
    <w:p w14:paraId="590D1750" w14:textId="4BB29B1B" w:rsidR="0066578D" w:rsidRPr="00B069FB" w:rsidRDefault="0066578D" w:rsidP="00B069FB">
      <w:pPr>
        <w:rPr>
          <w:rFonts w:eastAsiaTheme="minorHAnsi" w:cs="Arial"/>
          <w:i/>
          <w:iCs/>
          <w:szCs w:val="20"/>
          <w:lang w:eastAsia="fr-FR"/>
        </w:rPr>
      </w:pPr>
      <w:r w:rsidRPr="00B069FB">
        <w:rPr>
          <w:rFonts w:eastAsiaTheme="minorHAnsi" w:cs="Arial"/>
          <w:i/>
          <w:iCs/>
          <w:szCs w:val="20"/>
          <w:lang w:eastAsia="fr-FR"/>
        </w:rPr>
        <w:t xml:space="preserve">Enhancing MONEYVAL’s involvement in the </w:t>
      </w:r>
      <w:r w:rsidR="00125781" w:rsidRPr="00B069FB">
        <w:rPr>
          <w:rFonts w:eastAsiaTheme="minorHAnsi" w:cs="Arial"/>
          <w:i/>
          <w:iCs/>
          <w:szCs w:val="20"/>
          <w:lang w:eastAsia="fr-FR"/>
        </w:rPr>
        <w:t>G</w:t>
      </w:r>
      <w:r w:rsidRPr="00B069FB">
        <w:rPr>
          <w:rFonts w:eastAsiaTheme="minorHAnsi" w:cs="Arial"/>
          <w:i/>
          <w:iCs/>
          <w:szCs w:val="20"/>
          <w:lang w:eastAsia="fr-FR"/>
        </w:rPr>
        <w:t>lobal AML/CFT network</w:t>
      </w:r>
    </w:p>
    <w:p w14:paraId="66444BF9" w14:textId="77777777" w:rsidR="0066578D" w:rsidRPr="00B069FB" w:rsidRDefault="0066578D" w:rsidP="00B069FB">
      <w:pPr>
        <w:contextualSpacing/>
        <w:rPr>
          <w:rFonts w:eastAsiaTheme="minorHAnsi" w:cs="Arial"/>
          <w:szCs w:val="20"/>
          <w:lang w:eastAsia="fr-FR"/>
        </w:rPr>
      </w:pPr>
    </w:p>
    <w:p w14:paraId="65238F95" w14:textId="7A76D228" w:rsidR="0066578D" w:rsidRPr="00B069FB" w:rsidRDefault="0066578D" w:rsidP="00B069FB">
      <w:pPr>
        <w:contextualSpacing/>
        <w:rPr>
          <w:rFonts w:eastAsiaTheme="minorHAnsi" w:cs="Arial"/>
          <w:szCs w:val="20"/>
          <w:lang w:eastAsia="fr-FR"/>
        </w:rPr>
      </w:pPr>
      <w:r w:rsidRPr="00B069FB">
        <w:rPr>
          <w:rFonts w:eastAsiaTheme="minorHAnsi" w:cs="Arial"/>
          <w:szCs w:val="20"/>
          <w:lang w:eastAsia="fr-FR"/>
        </w:rPr>
        <w:t xml:space="preserve">MONEYVAL achieved </w:t>
      </w:r>
      <w:r w:rsidR="00125781" w:rsidRPr="00B069FB">
        <w:rPr>
          <w:rFonts w:eastAsiaTheme="minorHAnsi" w:cs="Arial"/>
          <w:szCs w:val="20"/>
          <w:lang w:eastAsia="fr-FR"/>
        </w:rPr>
        <w:t>important</w:t>
      </w:r>
      <w:r w:rsidRPr="00B069FB">
        <w:rPr>
          <w:rFonts w:eastAsiaTheme="minorHAnsi" w:cs="Arial"/>
          <w:szCs w:val="20"/>
          <w:lang w:eastAsia="fr-FR"/>
        </w:rPr>
        <w:t xml:space="preserve"> results in expanding its engagement and role in the Global Network by promoting several strategic initiatives to reform the </w:t>
      </w:r>
      <w:r w:rsidR="005821FB" w:rsidRPr="00B069FB">
        <w:rPr>
          <w:rFonts w:eastAsiaTheme="minorHAnsi" w:cs="Arial"/>
          <w:szCs w:val="20"/>
          <w:lang w:eastAsia="fr-FR"/>
        </w:rPr>
        <w:t xml:space="preserve">relationship between the </w:t>
      </w:r>
      <w:r w:rsidRPr="00B069FB">
        <w:rPr>
          <w:rFonts w:eastAsiaTheme="minorHAnsi" w:cs="Arial"/>
          <w:szCs w:val="20"/>
          <w:lang w:eastAsia="fr-FR"/>
        </w:rPr>
        <w:t>FATF</w:t>
      </w:r>
      <w:r w:rsidR="005821FB" w:rsidRPr="00B069FB">
        <w:rPr>
          <w:rFonts w:eastAsiaTheme="minorHAnsi" w:cs="Arial"/>
          <w:szCs w:val="20"/>
          <w:lang w:eastAsia="fr-FR"/>
        </w:rPr>
        <w:t xml:space="preserve"> and FATF-style regional bodies (</w:t>
      </w:r>
      <w:r w:rsidRPr="00B069FB">
        <w:rPr>
          <w:rFonts w:eastAsiaTheme="minorHAnsi" w:cs="Arial"/>
          <w:szCs w:val="20"/>
          <w:lang w:eastAsia="fr-FR"/>
        </w:rPr>
        <w:t>FSRB</w:t>
      </w:r>
      <w:r w:rsidR="005821FB" w:rsidRPr="00B069FB">
        <w:rPr>
          <w:rFonts w:eastAsiaTheme="minorHAnsi" w:cs="Arial"/>
          <w:szCs w:val="20"/>
          <w:lang w:eastAsia="fr-FR"/>
        </w:rPr>
        <w:t>s)</w:t>
      </w:r>
      <w:r w:rsidRPr="00B069FB">
        <w:rPr>
          <w:rFonts w:eastAsiaTheme="minorHAnsi" w:cs="Arial"/>
          <w:szCs w:val="20"/>
          <w:lang w:eastAsia="fr-FR"/>
        </w:rPr>
        <w:t xml:space="preserve">. This includes the creation of a “feedback” mechanism allowing FSRBs to request FATF for an interpretation of the </w:t>
      </w:r>
      <w:r w:rsidR="00125781" w:rsidRPr="00B069FB">
        <w:rPr>
          <w:rFonts w:eastAsiaTheme="minorHAnsi" w:cs="Arial"/>
          <w:szCs w:val="20"/>
          <w:lang w:eastAsia="fr-FR"/>
        </w:rPr>
        <w:t xml:space="preserve">global </w:t>
      </w:r>
      <w:r w:rsidRPr="00B069FB">
        <w:rPr>
          <w:rFonts w:eastAsiaTheme="minorHAnsi" w:cs="Arial"/>
          <w:szCs w:val="20"/>
          <w:lang w:eastAsia="fr-FR"/>
        </w:rPr>
        <w:t>Standards</w:t>
      </w:r>
      <w:r w:rsidR="00BB3335" w:rsidRPr="00B069FB">
        <w:rPr>
          <w:rFonts w:eastAsiaTheme="minorHAnsi" w:cs="Arial"/>
          <w:szCs w:val="20"/>
          <w:lang w:eastAsia="fr-FR"/>
        </w:rPr>
        <w:t>. T</w:t>
      </w:r>
      <w:r w:rsidRPr="00B069FB">
        <w:rPr>
          <w:rFonts w:eastAsiaTheme="minorHAnsi" w:cs="Arial"/>
          <w:szCs w:val="20"/>
          <w:lang w:eastAsia="fr-FR"/>
        </w:rPr>
        <w:t>his mechanism has already been activated twice by MONEYVAL</w:t>
      </w:r>
      <w:r w:rsidR="00BB3335" w:rsidRPr="00B069FB">
        <w:rPr>
          <w:rFonts w:eastAsiaTheme="minorHAnsi" w:cs="Arial"/>
          <w:szCs w:val="20"/>
          <w:lang w:eastAsia="fr-FR"/>
        </w:rPr>
        <w:t xml:space="preserve">, resulting in changes to the FATF </w:t>
      </w:r>
      <w:r w:rsidR="00125781" w:rsidRPr="00B069FB">
        <w:rPr>
          <w:rFonts w:eastAsiaTheme="minorHAnsi" w:cs="Arial"/>
          <w:szCs w:val="20"/>
          <w:lang w:eastAsia="fr-FR"/>
        </w:rPr>
        <w:t>Recommendations</w:t>
      </w:r>
      <w:r w:rsidRPr="00B069FB">
        <w:rPr>
          <w:rFonts w:eastAsiaTheme="minorHAnsi" w:cs="Arial"/>
          <w:szCs w:val="20"/>
          <w:lang w:eastAsia="fr-FR"/>
        </w:rPr>
        <w:t xml:space="preserve">. Furthermore, a joint MONEYVAL initiative with other FSRBs was launched to develop and implement a new </w:t>
      </w:r>
      <w:r w:rsidR="00125781" w:rsidRPr="00B069FB">
        <w:rPr>
          <w:rFonts w:eastAsiaTheme="minorHAnsi" w:cs="Arial"/>
          <w:szCs w:val="20"/>
          <w:lang w:eastAsia="fr-FR"/>
        </w:rPr>
        <w:t xml:space="preserve">Global </w:t>
      </w:r>
      <w:r w:rsidRPr="00B069FB">
        <w:rPr>
          <w:rFonts w:eastAsiaTheme="minorHAnsi" w:cs="Arial"/>
          <w:szCs w:val="20"/>
          <w:lang w:eastAsia="fr-FR"/>
        </w:rPr>
        <w:t>Strategic vision, envisaging a higher degree of integration between the assessor bodies</w:t>
      </w:r>
      <w:r w:rsidR="00125781" w:rsidRPr="00B069FB">
        <w:rPr>
          <w:rFonts w:eastAsiaTheme="minorHAnsi" w:cs="Arial"/>
          <w:szCs w:val="20"/>
          <w:lang w:eastAsia="fr-FR"/>
        </w:rPr>
        <w:t>, and influence of the FSRBs on the FATF</w:t>
      </w:r>
      <w:r w:rsidRPr="00B069FB">
        <w:rPr>
          <w:rFonts w:eastAsiaTheme="minorHAnsi" w:cs="Arial"/>
          <w:szCs w:val="20"/>
          <w:lang w:eastAsia="fr-FR"/>
        </w:rPr>
        <w:t xml:space="preserve">. This long-standing project shall be implemented throughout 2022-2024. </w:t>
      </w:r>
    </w:p>
    <w:p w14:paraId="20483833" w14:textId="77777777" w:rsidR="0066578D" w:rsidRPr="00B069FB" w:rsidRDefault="0066578D" w:rsidP="00B069FB">
      <w:pPr>
        <w:contextualSpacing/>
        <w:rPr>
          <w:rFonts w:eastAsiaTheme="minorHAnsi" w:cs="Arial"/>
          <w:szCs w:val="20"/>
          <w:lang w:eastAsia="fr-FR"/>
        </w:rPr>
      </w:pPr>
    </w:p>
    <w:p w14:paraId="0DA0B3AE" w14:textId="3CA4DBC4" w:rsidR="0066578D" w:rsidRPr="00B069FB" w:rsidRDefault="0066578D" w:rsidP="00B069FB">
      <w:pPr>
        <w:contextualSpacing/>
        <w:rPr>
          <w:rFonts w:eastAsiaTheme="minorHAnsi" w:cs="Arial"/>
          <w:szCs w:val="20"/>
          <w:lang w:eastAsia="fr-FR"/>
        </w:rPr>
      </w:pPr>
      <w:r w:rsidRPr="00B069FB">
        <w:rPr>
          <w:rFonts w:eastAsiaTheme="minorHAnsi" w:cs="Arial"/>
          <w:szCs w:val="20"/>
          <w:lang w:eastAsia="fr-FR"/>
        </w:rPr>
        <w:t>Co</w:t>
      </w:r>
      <w:r w:rsidR="003654E4">
        <w:rPr>
          <w:rFonts w:eastAsiaTheme="minorHAnsi" w:cs="Arial"/>
          <w:szCs w:val="20"/>
          <w:lang w:eastAsia="fr-FR"/>
        </w:rPr>
        <w:t>-</w:t>
      </w:r>
      <w:r w:rsidRPr="00B069FB">
        <w:rPr>
          <w:rFonts w:eastAsiaTheme="minorHAnsi" w:cs="Arial"/>
          <w:szCs w:val="20"/>
          <w:lang w:eastAsia="fr-FR"/>
        </w:rPr>
        <w:t xml:space="preserve">operation with other FSRBs has been expanding through MONEYVAL’s engagement in the review of </w:t>
      </w:r>
      <w:r w:rsidR="00125781" w:rsidRPr="00B069FB">
        <w:rPr>
          <w:rFonts w:eastAsiaTheme="minorHAnsi" w:cs="Arial"/>
          <w:szCs w:val="20"/>
          <w:lang w:eastAsia="fr-FR"/>
        </w:rPr>
        <w:t>mutual evaluation reports</w:t>
      </w:r>
      <w:r w:rsidRPr="00B069FB">
        <w:rPr>
          <w:rFonts w:eastAsiaTheme="minorHAnsi" w:cs="Arial"/>
          <w:szCs w:val="20"/>
          <w:lang w:eastAsia="fr-FR"/>
        </w:rPr>
        <w:t xml:space="preserve"> and consultations on strategic issues. Initial discussions have taken place among FSRBs to increase cross-fertilisation through sharing assessors and exchange of secretariat staff for each other’s evaluations. </w:t>
      </w:r>
    </w:p>
    <w:p w14:paraId="623FCD8E" w14:textId="77777777" w:rsidR="0066578D" w:rsidRPr="00B069FB" w:rsidRDefault="0066578D" w:rsidP="00B069FB">
      <w:pPr>
        <w:contextualSpacing/>
        <w:rPr>
          <w:rFonts w:eastAsiaTheme="minorHAnsi" w:cs="Arial"/>
          <w:szCs w:val="20"/>
          <w:lang w:eastAsia="fr-FR"/>
        </w:rPr>
      </w:pPr>
    </w:p>
    <w:p w14:paraId="44BD9F98" w14:textId="178D38B3" w:rsidR="0066578D" w:rsidRPr="00B069FB" w:rsidRDefault="0066578D" w:rsidP="00B069FB">
      <w:pPr>
        <w:contextualSpacing/>
        <w:rPr>
          <w:rFonts w:eastAsiaTheme="minorHAnsi" w:cs="Arial"/>
          <w:szCs w:val="20"/>
          <w:lang w:eastAsia="fr-FR"/>
        </w:rPr>
      </w:pPr>
      <w:r w:rsidRPr="00B069FB">
        <w:rPr>
          <w:rFonts w:eastAsiaTheme="minorHAnsi" w:cs="Arial"/>
          <w:szCs w:val="20"/>
          <w:lang w:eastAsia="fr-FR"/>
        </w:rPr>
        <w:t xml:space="preserve">Concrete relationships have been developed by MONEYVAL with counterparts in the Council of Europe in the fields of data protection, counterterrorism, cybercrime, human </w:t>
      </w:r>
      <w:proofErr w:type="gramStart"/>
      <w:r w:rsidRPr="00B069FB">
        <w:rPr>
          <w:rFonts w:eastAsiaTheme="minorHAnsi" w:cs="Arial"/>
          <w:szCs w:val="20"/>
          <w:lang w:eastAsia="fr-FR"/>
        </w:rPr>
        <w:t>rights</w:t>
      </w:r>
      <w:proofErr w:type="gramEnd"/>
      <w:r w:rsidRPr="00B069FB">
        <w:rPr>
          <w:rFonts w:eastAsiaTheme="minorHAnsi" w:cs="Arial"/>
          <w:szCs w:val="20"/>
          <w:lang w:eastAsia="fr-FR"/>
        </w:rPr>
        <w:t xml:space="preserve"> and </w:t>
      </w:r>
      <w:r w:rsidR="00125781" w:rsidRPr="00B069FB">
        <w:rPr>
          <w:rFonts w:eastAsiaTheme="minorHAnsi" w:cs="Arial"/>
          <w:szCs w:val="20"/>
          <w:lang w:eastAsia="fr-FR"/>
        </w:rPr>
        <w:t>regulation of non-profit organisations</w:t>
      </w:r>
      <w:r w:rsidRPr="00B069FB">
        <w:rPr>
          <w:rFonts w:eastAsiaTheme="minorHAnsi" w:cs="Arial"/>
          <w:szCs w:val="20"/>
          <w:lang w:eastAsia="fr-FR"/>
        </w:rPr>
        <w:t xml:space="preserve">, including as regards unintended consequences of the FATF standards, and other areas. This </w:t>
      </w:r>
      <w:r w:rsidR="00125781" w:rsidRPr="00B069FB">
        <w:rPr>
          <w:rFonts w:eastAsiaTheme="minorHAnsi" w:cs="Arial"/>
          <w:szCs w:val="20"/>
          <w:lang w:eastAsia="fr-FR"/>
        </w:rPr>
        <w:t xml:space="preserve">produces unique synergies </w:t>
      </w:r>
      <w:r w:rsidRPr="00B069FB">
        <w:rPr>
          <w:rFonts w:eastAsiaTheme="minorHAnsi" w:cs="Arial"/>
          <w:szCs w:val="20"/>
          <w:lang w:eastAsia="fr-FR"/>
        </w:rPr>
        <w:t>which benefit MONEYVAL</w:t>
      </w:r>
      <w:r w:rsidR="00125781" w:rsidRPr="00B069FB">
        <w:rPr>
          <w:rFonts w:eastAsiaTheme="minorHAnsi" w:cs="Arial"/>
          <w:szCs w:val="20"/>
          <w:lang w:eastAsia="fr-FR"/>
        </w:rPr>
        <w:t xml:space="preserve"> and the Council of Europe as a whole</w:t>
      </w:r>
      <w:r w:rsidRPr="00B069FB">
        <w:rPr>
          <w:rFonts w:eastAsiaTheme="minorHAnsi" w:cs="Arial"/>
          <w:szCs w:val="20"/>
          <w:lang w:eastAsia="fr-FR"/>
        </w:rPr>
        <w:t>. The Committee also facilitat</w:t>
      </w:r>
      <w:r w:rsidR="00125781" w:rsidRPr="00B069FB">
        <w:rPr>
          <w:rFonts w:eastAsiaTheme="minorHAnsi" w:cs="Arial"/>
          <w:szCs w:val="20"/>
          <w:lang w:eastAsia="fr-FR"/>
        </w:rPr>
        <w:t>ed</w:t>
      </w:r>
      <w:r w:rsidRPr="00B069FB">
        <w:rPr>
          <w:rFonts w:eastAsiaTheme="minorHAnsi" w:cs="Arial"/>
          <w:szCs w:val="20"/>
          <w:lang w:eastAsia="fr-FR"/>
        </w:rPr>
        <w:t xml:space="preserve"> further synergies between interested CoE entities and the </w:t>
      </w:r>
      <w:proofErr w:type="gramStart"/>
      <w:r w:rsidRPr="00B069FB">
        <w:rPr>
          <w:rFonts w:eastAsiaTheme="minorHAnsi" w:cs="Arial"/>
          <w:szCs w:val="20"/>
          <w:lang w:eastAsia="fr-FR"/>
        </w:rPr>
        <w:t>FATF, and</w:t>
      </w:r>
      <w:proofErr w:type="gramEnd"/>
      <w:r w:rsidRPr="00B069FB">
        <w:rPr>
          <w:rFonts w:eastAsiaTheme="minorHAnsi" w:cs="Arial"/>
          <w:szCs w:val="20"/>
          <w:lang w:eastAsia="fr-FR"/>
        </w:rPr>
        <w:t xml:space="preserve"> supported the successful observer request of the Council of Europe to the FATF. MONEYVAL continues to prioritise engagement with the </w:t>
      </w:r>
      <w:r w:rsidR="00125781" w:rsidRPr="00B069FB">
        <w:rPr>
          <w:rFonts w:eastAsiaTheme="minorHAnsi" w:cs="Arial"/>
          <w:szCs w:val="20"/>
          <w:lang w:eastAsia="fr-FR"/>
        </w:rPr>
        <w:t>Conference of the Parties to the CETS 1</w:t>
      </w:r>
      <w:r w:rsidRPr="00B069FB">
        <w:rPr>
          <w:rFonts w:eastAsiaTheme="minorHAnsi" w:cs="Arial"/>
          <w:szCs w:val="20"/>
          <w:lang w:eastAsia="fr-FR"/>
        </w:rPr>
        <w:t>98</w:t>
      </w:r>
      <w:r w:rsidR="00125781" w:rsidRPr="00B069FB">
        <w:rPr>
          <w:rFonts w:eastAsiaTheme="minorHAnsi" w:cs="Arial"/>
          <w:szCs w:val="20"/>
          <w:lang w:eastAsia="fr-FR"/>
        </w:rPr>
        <w:t xml:space="preserve"> Convention</w:t>
      </w:r>
      <w:r w:rsidRPr="00B069FB">
        <w:rPr>
          <w:rFonts w:eastAsiaTheme="minorHAnsi" w:cs="Arial"/>
          <w:szCs w:val="20"/>
          <w:lang w:eastAsia="fr-FR"/>
        </w:rPr>
        <w:t xml:space="preserve"> and </w:t>
      </w:r>
      <w:r w:rsidR="00125781" w:rsidRPr="00B069FB">
        <w:rPr>
          <w:rFonts w:eastAsiaTheme="minorHAnsi" w:cs="Arial"/>
          <w:szCs w:val="20"/>
          <w:lang w:eastAsia="fr-FR"/>
        </w:rPr>
        <w:t xml:space="preserve">actively </w:t>
      </w:r>
      <w:r w:rsidRPr="00B069FB">
        <w:rPr>
          <w:rFonts w:eastAsiaTheme="minorHAnsi" w:cs="Arial"/>
          <w:szCs w:val="20"/>
          <w:lang w:eastAsia="fr-FR"/>
        </w:rPr>
        <w:t>promot</w:t>
      </w:r>
      <w:r w:rsidR="00125781" w:rsidRPr="00B069FB">
        <w:rPr>
          <w:rFonts w:eastAsiaTheme="minorHAnsi" w:cs="Arial"/>
          <w:szCs w:val="20"/>
          <w:lang w:eastAsia="fr-FR"/>
        </w:rPr>
        <w:t>es</w:t>
      </w:r>
      <w:r w:rsidRPr="00B069FB">
        <w:rPr>
          <w:rFonts w:eastAsiaTheme="minorHAnsi" w:cs="Arial"/>
          <w:szCs w:val="20"/>
          <w:lang w:eastAsia="fr-FR"/>
        </w:rPr>
        <w:t xml:space="preserve"> </w:t>
      </w:r>
      <w:r w:rsidR="00125781" w:rsidRPr="00B069FB">
        <w:rPr>
          <w:rFonts w:eastAsiaTheme="minorHAnsi" w:cs="Arial"/>
          <w:szCs w:val="20"/>
          <w:lang w:eastAsia="fr-FR"/>
        </w:rPr>
        <w:t>its</w:t>
      </w:r>
      <w:r w:rsidRPr="00B069FB">
        <w:rPr>
          <w:rFonts w:eastAsiaTheme="minorHAnsi" w:cs="Arial"/>
          <w:szCs w:val="20"/>
          <w:lang w:eastAsia="fr-FR"/>
        </w:rPr>
        <w:t xml:space="preserve"> standards at the </w:t>
      </w:r>
      <w:r w:rsidR="00125781" w:rsidRPr="00B069FB">
        <w:rPr>
          <w:rFonts w:eastAsiaTheme="minorHAnsi" w:cs="Arial"/>
          <w:szCs w:val="20"/>
          <w:lang w:eastAsia="fr-FR"/>
        </w:rPr>
        <w:t xml:space="preserve">FATF global </w:t>
      </w:r>
      <w:r w:rsidRPr="00B069FB">
        <w:rPr>
          <w:rFonts w:eastAsiaTheme="minorHAnsi" w:cs="Arial"/>
          <w:szCs w:val="20"/>
          <w:lang w:eastAsia="fr-FR"/>
        </w:rPr>
        <w:t>level</w:t>
      </w:r>
      <w:r w:rsidR="00125781" w:rsidRPr="00B069FB">
        <w:rPr>
          <w:rFonts w:eastAsiaTheme="minorHAnsi" w:cs="Arial"/>
          <w:szCs w:val="20"/>
          <w:lang w:eastAsia="fr-FR"/>
        </w:rPr>
        <w:t>.</w:t>
      </w:r>
    </w:p>
    <w:p w14:paraId="39A07059" w14:textId="77777777" w:rsidR="0066578D" w:rsidRPr="00B069FB" w:rsidRDefault="0066578D" w:rsidP="00B069FB">
      <w:pPr>
        <w:contextualSpacing/>
        <w:rPr>
          <w:rFonts w:eastAsiaTheme="minorHAnsi" w:cs="Arial"/>
          <w:szCs w:val="20"/>
          <w:lang w:eastAsia="fr-FR"/>
        </w:rPr>
      </w:pPr>
    </w:p>
    <w:p w14:paraId="5B02CFE9" w14:textId="77777777" w:rsidR="0066578D" w:rsidRPr="00B069FB" w:rsidRDefault="0066578D" w:rsidP="00B069FB">
      <w:pPr>
        <w:rPr>
          <w:rFonts w:eastAsiaTheme="minorHAnsi" w:cs="Arial"/>
          <w:i/>
          <w:iCs/>
          <w:szCs w:val="20"/>
          <w:lang w:eastAsia="fr-FR"/>
        </w:rPr>
      </w:pPr>
      <w:r w:rsidRPr="00B069FB">
        <w:rPr>
          <w:rFonts w:eastAsiaTheme="minorHAnsi" w:cs="Arial"/>
          <w:i/>
          <w:iCs/>
          <w:szCs w:val="20"/>
          <w:lang w:eastAsia="fr-FR"/>
        </w:rPr>
        <w:t>Strengthening MONEYVAL’s political standing</w:t>
      </w:r>
    </w:p>
    <w:p w14:paraId="15EF05B9" w14:textId="77777777" w:rsidR="0066578D" w:rsidRPr="00B069FB" w:rsidRDefault="0066578D" w:rsidP="00B069FB">
      <w:pPr>
        <w:contextualSpacing/>
        <w:rPr>
          <w:rFonts w:eastAsiaTheme="minorHAnsi" w:cs="Arial"/>
          <w:szCs w:val="20"/>
          <w:lang w:eastAsia="fr-FR"/>
        </w:rPr>
      </w:pPr>
    </w:p>
    <w:p w14:paraId="0DBB4926" w14:textId="0DF4DAA7" w:rsidR="0066578D" w:rsidRPr="00B069FB" w:rsidRDefault="0066578D" w:rsidP="00B069FB">
      <w:pPr>
        <w:contextualSpacing/>
        <w:rPr>
          <w:rFonts w:eastAsiaTheme="minorHAnsi" w:cs="Arial"/>
          <w:szCs w:val="20"/>
          <w:lang w:eastAsia="fr-FR"/>
        </w:rPr>
      </w:pPr>
      <w:r w:rsidRPr="00B069FB">
        <w:rPr>
          <w:rFonts w:eastAsiaTheme="minorHAnsi" w:cs="Arial"/>
          <w:szCs w:val="20"/>
          <w:lang w:eastAsia="fr-FR"/>
        </w:rPr>
        <w:t xml:space="preserve">Political engagement and visibility of MONEYVAL have increased, including through </w:t>
      </w:r>
      <w:r w:rsidR="00501A17" w:rsidRPr="00B069FB">
        <w:rPr>
          <w:rFonts w:eastAsiaTheme="minorHAnsi" w:cs="Arial"/>
          <w:szCs w:val="20"/>
          <w:lang w:eastAsia="fr-FR"/>
        </w:rPr>
        <w:t xml:space="preserve">high level </w:t>
      </w:r>
      <w:r w:rsidRPr="00B069FB">
        <w:rPr>
          <w:rFonts w:eastAsiaTheme="minorHAnsi" w:cs="Arial"/>
          <w:szCs w:val="20"/>
          <w:lang w:eastAsia="fr-FR"/>
        </w:rPr>
        <w:t xml:space="preserve">engagement with </w:t>
      </w:r>
      <w:r w:rsidR="001F473F" w:rsidRPr="00B069FB">
        <w:rPr>
          <w:rFonts w:eastAsiaTheme="minorHAnsi" w:cs="Arial"/>
          <w:szCs w:val="20"/>
          <w:lang w:eastAsia="fr-FR"/>
        </w:rPr>
        <w:t xml:space="preserve">national governments undergoing mutual evaluations. </w:t>
      </w:r>
      <w:r w:rsidR="00125781" w:rsidRPr="00B069FB">
        <w:rPr>
          <w:rFonts w:eastAsiaTheme="minorHAnsi" w:cs="Arial"/>
          <w:szCs w:val="20"/>
          <w:lang w:eastAsia="fr-FR"/>
        </w:rPr>
        <w:t>S</w:t>
      </w:r>
      <w:r w:rsidRPr="00B069FB">
        <w:rPr>
          <w:rFonts w:eastAsiaTheme="minorHAnsi" w:cs="Arial"/>
          <w:szCs w:val="20"/>
          <w:lang w:eastAsia="fr-FR"/>
        </w:rPr>
        <w:t xml:space="preserve">trategic consultations with ministers responsible for AML/CFT issues </w:t>
      </w:r>
      <w:r w:rsidR="00B069FB">
        <w:rPr>
          <w:rFonts w:eastAsiaTheme="minorHAnsi" w:cs="Arial"/>
          <w:szCs w:val="20"/>
          <w:lang w:eastAsia="fr-FR"/>
        </w:rPr>
        <w:t xml:space="preserve">were initiated </w:t>
      </w:r>
      <w:proofErr w:type="gramStart"/>
      <w:r w:rsidRPr="00B069FB">
        <w:rPr>
          <w:rFonts w:eastAsiaTheme="minorHAnsi" w:cs="Arial"/>
          <w:szCs w:val="20"/>
          <w:lang w:eastAsia="fr-FR"/>
        </w:rPr>
        <w:t>in order to</w:t>
      </w:r>
      <w:proofErr w:type="gramEnd"/>
      <w:r w:rsidRPr="00B069FB">
        <w:rPr>
          <w:rFonts w:eastAsiaTheme="minorHAnsi" w:cs="Arial"/>
          <w:szCs w:val="20"/>
          <w:lang w:eastAsia="fr-FR"/>
        </w:rPr>
        <w:t xml:space="preserve"> discuss and adopt the new Strategy</w:t>
      </w:r>
      <w:r w:rsidR="00B069FB">
        <w:rPr>
          <w:rFonts w:eastAsiaTheme="minorHAnsi" w:cs="Arial"/>
          <w:szCs w:val="20"/>
          <w:lang w:eastAsia="fr-FR"/>
        </w:rPr>
        <w:t xml:space="preserve"> in 2023</w:t>
      </w:r>
      <w:r w:rsidRPr="00B069FB">
        <w:rPr>
          <w:rFonts w:eastAsiaTheme="minorHAnsi" w:cs="Arial"/>
          <w:szCs w:val="20"/>
          <w:lang w:eastAsia="fr-FR"/>
        </w:rPr>
        <w:t xml:space="preserve">, agree on strategic resource commitments with regard to MONEYVAL and the parameters of its developing engagement in the Global Network. </w:t>
      </w:r>
    </w:p>
    <w:p w14:paraId="64F20075" w14:textId="77777777" w:rsidR="0066578D" w:rsidRPr="00B069FB" w:rsidRDefault="0066578D" w:rsidP="00B069FB">
      <w:pPr>
        <w:contextualSpacing/>
        <w:rPr>
          <w:rFonts w:eastAsiaTheme="minorHAnsi" w:cs="Arial"/>
          <w:szCs w:val="20"/>
          <w:lang w:eastAsia="fr-FR"/>
        </w:rPr>
      </w:pPr>
    </w:p>
    <w:p w14:paraId="55B66539" w14:textId="77777777" w:rsidR="004D5F3C" w:rsidRDefault="004D5F3C">
      <w:pPr>
        <w:rPr>
          <w:rFonts w:eastAsiaTheme="minorHAnsi" w:cs="Arial"/>
          <w:b/>
          <w:bCs/>
          <w:szCs w:val="20"/>
          <w:lang w:eastAsia="fr-FR"/>
        </w:rPr>
      </w:pPr>
      <w:r>
        <w:rPr>
          <w:rFonts w:eastAsiaTheme="minorHAnsi" w:cs="Arial"/>
          <w:b/>
          <w:bCs/>
          <w:szCs w:val="20"/>
          <w:lang w:eastAsia="fr-FR"/>
        </w:rPr>
        <w:br w:type="page"/>
      </w:r>
    </w:p>
    <w:p w14:paraId="18F62A99" w14:textId="65E9F194" w:rsidR="007E49E1" w:rsidRPr="00B069FB" w:rsidRDefault="007E49E1" w:rsidP="00B069FB">
      <w:pPr>
        <w:contextualSpacing/>
        <w:rPr>
          <w:rFonts w:eastAsiaTheme="minorHAnsi" w:cs="Arial"/>
          <w:b/>
          <w:bCs/>
          <w:szCs w:val="20"/>
          <w:lang w:eastAsia="fr-FR"/>
        </w:rPr>
      </w:pPr>
      <w:r w:rsidRPr="00B069FB">
        <w:rPr>
          <w:rFonts w:eastAsiaTheme="minorHAnsi" w:cs="Arial"/>
          <w:b/>
          <w:bCs/>
          <w:szCs w:val="20"/>
          <w:lang w:eastAsia="fr-FR"/>
        </w:rPr>
        <w:lastRenderedPageBreak/>
        <w:t>1.3</w:t>
      </w:r>
      <w:r w:rsidR="004D5F3C">
        <w:rPr>
          <w:rFonts w:eastAsiaTheme="minorHAnsi" w:cs="Arial"/>
          <w:b/>
          <w:bCs/>
          <w:szCs w:val="20"/>
          <w:lang w:eastAsia="fr-FR"/>
        </w:rPr>
        <w:tab/>
      </w:r>
      <w:r w:rsidRPr="00B069FB">
        <w:rPr>
          <w:rFonts w:eastAsiaTheme="minorHAnsi" w:cs="Arial"/>
          <w:b/>
          <w:bCs/>
          <w:szCs w:val="20"/>
          <w:lang w:eastAsia="fr-FR"/>
        </w:rPr>
        <w:t>Preparation of the Strategy for 2023-2027</w:t>
      </w:r>
    </w:p>
    <w:p w14:paraId="61BD2924" w14:textId="77777777" w:rsidR="007E49E1" w:rsidRPr="00B069FB" w:rsidRDefault="007E49E1" w:rsidP="00B069FB">
      <w:pPr>
        <w:contextualSpacing/>
        <w:rPr>
          <w:rFonts w:eastAsiaTheme="minorHAnsi" w:cs="Arial"/>
          <w:szCs w:val="20"/>
          <w:lang w:eastAsia="fr-FR"/>
        </w:rPr>
      </w:pPr>
    </w:p>
    <w:p w14:paraId="2C1A1CC0" w14:textId="77777777" w:rsidR="00A77EB8" w:rsidRPr="00B069FB" w:rsidRDefault="0066578D" w:rsidP="00B069FB">
      <w:pPr>
        <w:contextualSpacing/>
        <w:rPr>
          <w:rFonts w:eastAsiaTheme="minorHAnsi" w:cs="Arial"/>
          <w:szCs w:val="20"/>
          <w:lang w:eastAsia="fr-FR"/>
        </w:rPr>
      </w:pPr>
      <w:r w:rsidRPr="00B069FB">
        <w:rPr>
          <w:rFonts w:eastAsiaTheme="minorHAnsi" w:cs="Arial"/>
          <w:szCs w:val="20"/>
          <w:lang w:eastAsia="fr-FR"/>
        </w:rPr>
        <w:t xml:space="preserve">The implementation of the </w:t>
      </w:r>
      <w:r w:rsidR="007E49E1" w:rsidRPr="00B069FB">
        <w:rPr>
          <w:rFonts w:eastAsiaTheme="minorHAnsi" w:cs="Arial"/>
          <w:szCs w:val="20"/>
          <w:lang w:eastAsia="fr-FR"/>
        </w:rPr>
        <w:t xml:space="preserve">2020-2022 </w:t>
      </w:r>
      <w:r w:rsidRPr="00B069FB">
        <w:rPr>
          <w:rFonts w:eastAsiaTheme="minorHAnsi" w:cs="Arial"/>
          <w:szCs w:val="20"/>
          <w:lang w:eastAsia="fr-FR"/>
        </w:rPr>
        <w:t>Strategy allowed MONEYVAL, its governing bodies and Secretariat to further develop experience in strategic planning, thus setting the stage for the preparation of the new Strategy</w:t>
      </w:r>
      <w:r w:rsidR="007E49E1" w:rsidRPr="00B069FB">
        <w:rPr>
          <w:rFonts w:eastAsiaTheme="minorHAnsi" w:cs="Arial"/>
          <w:szCs w:val="20"/>
          <w:lang w:eastAsia="fr-FR"/>
        </w:rPr>
        <w:t xml:space="preserve"> for the period 2023-2027</w:t>
      </w:r>
      <w:r w:rsidRPr="00B069FB">
        <w:rPr>
          <w:rFonts w:eastAsiaTheme="minorHAnsi" w:cs="Arial"/>
          <w:szCs w:val="20"/>
          <w:lang w:eastAsia="fr-FR"/>
        </w:rPr>
        <w:t>.</w:t>
      </w:r>
      <w:r w:rsidR="00501A17" w:rsidRPr="00B069FB">
        <w:rPr>
          <w:rFonts w:eastAsiaTheme="minorHAnsi" w:cs="Arial"/>
          <w:szCs w:val="20"/>
          <w:lang w:eastAsia="fr-FR"/>
        </w:rPr>
        <w:t xml:space="preserve"> A dedicated Strategy group was created and held a meeting in October 2022 for this purpose. Its discussions were based on a detailed analysis of MONEYVAL’s strengths, weaknesses, </w:t>
      </w:r>
      <w:proofErr w:type="gramStart"/>
      <w:r w:rsidR="00501A17" w:rsidRPr="00B069FB">
        <w:rPr>
          <w:rFonts w:eastAsiaTheme="minorHAnsi" w:cs="Arial"/>
          <w:szCs w:val="20"/>
          <w:lang w:eastAsia="fr-FR"/>
        </w:rPr>
        <w:t>opportunities</w:t>
      </w:r>
      <w:proofErr w:type="gramEnd"/>
      <w:r w:rsidR="00501A17" w:rsidRPr="00B069FB">
        <w:rPr>
          <w:rFonts w:eastAsiaTheme="minorHAnsi" w:cs="Arial"/>
          <w:szCs w:val="20"/>
          <w:lang w:eastAsia="fr-FR"/>
        </w:rPr>
        <w:t xml:space="preserve"> and threats (SWOT), while taking into account the resource capacities of the Committee and the potential for </w:t>
      </w:r>
      <w:r w:rsidR="00A77EB8" w:rsidRPr="00B069FB">
        <w:rPr>
          <w:rFonts w:eastAsiaTheme="minorHAnsi" w:cs="Arial"/>
          <w:szCs w:val="20"/>
          <w:lang w:eastAsia="fr-FR"/>
        </w:rPr>
        <w:t xml:space="preserve">extrabudgetary support from the membership. </w:t>
      </w:r>
    </w:p>
    <w:p w14:paraId="6F050C84" w14:textId="77777777" w:rsidR="00A77EB8" w:rsidRPr="00B069FB" w:rsidRDefault="00A77EB8" w:rsidP="00B069FB">
      <w:pPr>
        <w:contextualSpacing/>
        <w:rPr>
          <w:rFonts w:eastAsiaTheme="minorHAnsi" w:cs="Arial"/>
          <w:szCs w:val="20"/>
          <w:lang w:eastAsia="fr-FR"/>
        </w:rPr>
      </w:pPr>
    </w:p>
    <w:p w14:paraId="5E567CA2" w14:textId="70377635" w:rsidR="00A77EB8" w:rsidRPr="00B069FB" w:rsidRDefault="00A77EB8" w:rsidP="00B069FB">
      <w:pPr>
        <w:contextualSpacing/>
        <w:rPr>
          <w:rFonts w:eastAsiaTheme="minorHAnsi" w:cs="Arial"/>
          <w:szCs w:val="20"/>
          <w:lang w:eastAsia="fr-FR"/>
        </w:rPr>
      </w:pPr>
      <w:r w:rsidRPr="00B069FB">
        <w:rPr>
          <w:rFonts w:eastAsiaTheme="minorHAnsi" w:cs="Arial"/>
          <w:szCs w:val="20"/>
          <w:lang w:eastAsia="fr-FR"/>
        </w:rPr>
        <w:t xml:space="preserve">The resulting draft Strategy aims to develop MONEYVAL in line with five Strategic Pillars, related to: further enhancing MONEYVAL’s monitoring mechanisms; enhancing the Committee’s role as a reference point for AML/CFT issues in the region; strengthening its role in the FATF Global Network; further developing synergies within the Council of Europe; developing MONEYVAL’s political standing and media visibility; and strengthening the Committee’s resources. </w:t>
      </w:r>
    </w:p>
    <w:p w14:paraId="660CADD0" w14:textId="0F4DFF0A" w:rsidR="00A77EB8" w:rsidRPr="00B069FB" w:rsidRDefault="00A77EB8" w:rsidP="00B069FB">
      <w:pPr>
        <w:contextualSpacing/>
        <w:rPr>
          <w:rFonts w:eastAsiaTheme="minorHAnsi" w:cs="Arial"/>
          <w:szCs w:val="20"/>
          <w:lang w:eastAsia="fr-FR"/>
        </w:rPr>
      </w:pPr>
    </w:p>
    <w:p w14:paraId="3E3DD1FD" w14:textId="64C97692" w:rsidR="00A77EB8" w:rsidRDefault="00A77EB8" w:rsidP="00B069FB">
      <w:pPr>
        <w:contextualSpacing/>
        <w:rPr>
          <w:rFonts w:eastAsiaTheme="minorHAnsi" w:cs="Arial"/>
          <w:szCs w:val="20"/>
          <w:lang w:eastAsia="fr-FR"/>
        </w:rPr>
      </w:pPr>
      <w:r w:rsidRPr="00B069FB">
        <w:rPr>
          <w:rFonts w:eastAsiaTheme="minorHAnsi" w:cs="Arial"/>
          <w:szCs w:val="20"/>
          <w:lang w:eastAsia="fr-FR"/>
        </w:rPr>
        <w:t>The new Strategy</w:t>
      </w:r>
      <w:r w:rsidR="00B069FB">
        <w:rPr>
          <w:rFonts w:eastAsiaTheme="minorHAnsi" w:cs="Arial"/>
          <w:szCs w:val="20"/>
          <w:lang w:eastAsia="fr-FR"/>
        </w:rPr>
        <w:t xml:space="preserve"> </w:t>
      </w:r>
      <w:r w:rsidR="00FC2E59">
        <w:rPr>
          <w:rFonts w:eastAsiaTheme="minorHAnsi" w:cs="Arial"/>
          <w:szCs w:val="20"/>
          <w:lang w:eastAsia="fr-FR"/>
        </w:rPr>
        <w:t xml:space="preserve">and a declaration were </w:t>
      </w:r>
      <w:r w:rsidR="00B069FB">
        <w:rPr>
          <w:rFonts w:eastAsiaTheme="minorHAnsi" w:cs="Arial"/>
          <w:szCs w:val="20"/>
          <w:lang w:eastAsia="fr-FR"/>
        </w:rPr>
        <w:t xml:space="preserve">adopted at </w:t>
      </w:r>
      <w:r w:rsidRPr="00B069FB">
        <w:rPr>
          <w:rFonts w:eastAsiaTheme="minorHAnsi" w:cs="Arial"/>
          <w:szCs w:val="20"/>
          <w:lang w:eastAsia="fr-FR"/>
        </w:rPr>
        <w:t xml:space="preserve">the High-level meeting </w:t>
      </w:r>
      <w:r w:rsidR="00B069FB">
        <w:rPr>
          <w:rFonts w:eastAsiaTheme="minorHAnsi" w:cs="Arial"/>
          <w:szCs w:val="20"/>
          <w:lang w:eastAsia="fr-FR"/>
        </w:rPr>
        <w:t xml:space="preserve">held </w:t>
      </w:r>
      <w:r w:rsidRPr="00B069FB">
        <w:rPr>
          <w:rFonts w:eastAsiaTheme="minorHAnsi" w:cs="Arial"/>
          <w:szCs w:val="20"/>
          <w:lang w:eastAsia="fr-FR"/>
        </w:rPr>
        <w:t>in Warsaw, Poland on 25</w:t>
      </w:r>
      <w:r w:rsidR="003654E4">
        <w:rPr>
          <w:rFonts w:eastAsiaTheme="minorHAnsi" w:cs="Arial"/>
          <w:szCs w:val="20"/>
          <w:lang w:eastAsia="fr-FR"/>
        </w:rPr>
        <w:t> </w:t>
      </w:r>
      <w:r w:rsidRPr="00B069FB">
        <w:rPr>
          <w:rFonts w:eastAsiaTheme="minorHAnsi" w:cs="Arial"/>
          <w:szCs w:val="20"/>
          <w:lang w:eastAsia="fr-FR"/>
        </w:rPr>
        <w:t>April 2023.</w:t>
      </w:r>
      <w:r w:rsidR="00FC2E59">
        <w:rPr>
          <w:rStyle w:val="FootnoteReference"/>
          <w:rFonts w:eastAsiaTheme="minorHAnsi" w:cs="Arial"/>
          <w:szCs w:val="20"/>
          <w:lang w:eastAsia="fr-FR"/>
        </w:rPr>
        <w:footnoteReference w:id="3"/>
      </w:r>
    </w:p>
    <w:p w14:paraId="0F53CE20" w14:textId="723B8252" w:rsidR="00A77EB8" w:rsidRDefault="00A77EB8" w:rsidP="0066578D">
      <w:pPr>
        <w:contextualSpacing/>
        <w:jc w:val="both"/>
        <w:rPr>
          <w:rFonts w:eastAsiaTheme="minorHAnsi" w:cs="Arial"/>
          <w:szCs w:val="20"/>
          <w:lang w:eastAsia="fr-FR"/>
        </w:rPr>
      </w:pPr>
    </w:p>
    <w:p w14:paraId="1343B6C2" w14:textId="57262C3D" w:rsidR="00277C14" w:rsidRDefault="00277C14" w:rsidP="000C5B9D">
      <w:pPr>
        <w:pStyle w:val="Heading1"/>
        <w:numPr>
          <w:ilvl w:val="0"/>
          <w:numId w:val="37"/>
        </w:numPr>
        <w:spacing w:before="0"/>
        <w:rPr>
          <w:rFonts w:ascii="Arial" w:eastAsiaTheme="minorHAnsi" w:hAnsi="Arial" w:cs="Times New Roman"/>
          <w:b/>
          <w:bCs/>
          <w:color w:val="auto"/>
          <w:kern w:val="28"/>
          <w:sz w:val="20"/>
          <w:szCs w:val="20"/>
        </w:rPr>
      </w:pPr>
      <w:bookmarkStart w:id="14" w:name="_Toc66712416"/>
      <w:bookmarkStart w:id="15" w:name="_Toc135409880"/>
      <w:r w:rsidRPr="000C5B9D">
        <w:rPr>
          <w:rFonts w:ascii="Arial" w:eastAsiaTheme="minorHAnsi" w:hAnsi="Arial" w:cs="Times New Roman"/>
          <w:b/>
          <w:bCs/>
          <w:color w:val="auto"/>
          <w:kern w:val="28"/>
          <w:sz w:val="20"/>
          <w:szCs w:val="20"/>
        </w:rPr>
        <w:t>MUTUAL EVALUATIONS AND FOLLOW-UP</w:t>
      </w:r>
      <w:bookmarkEnd w:id="14"/>
      <w:bookmarkEnd w:id="15"/>
    </w:p>
    <w:p w14:paraId="3A322D46" w14:textId="77777777" w:rsidR="000C5B9D" w:rsidRPr="000C5B9D" w:rsidRDefault="000C5B9D" w:rsidP="000C5B9D"/>
    <w:p w14:paraId="5BB85619" w14:textId="785E1734" w:rsidR="0074051E" w:rsidRDefault="0074051E" w:rsidP="0074051E">
      <w:pPr>
        <w:rPr>
          <w:rFonts w:cs="Arial"/>
          <w:szCs w:val="20"/>
        </w:rPr>
      </w:pPr>
      <w:r w:rsidRPr="0074051E">
        <w:rPr>
          <w:rFonts w:cs="Arial"/>
          <w:szCs w:val="20"/>
        </w:rPr>
        <w:t xml:space="preserve">Mutual evaluations are the central pillar of the MONEYVAL mandate. </w:t>
      </w:r>
      <w:r>
        <w:rPr>
          <w:rFonts w:cs="Arial"/>
          <w:szCs w:val="20"/>
        </w:rPr>
        <w:t xml:space="preserve">After </w:t>
      </w:r>
      <w:r w:rsidR="000307E9">
        <w:rPr>
          <w:rFonts w:cs="Arial"/>
          <w:szCs w:val="20"/>
        </w:rPr>
        <w:t>only a</w:t>
      </w:r>
      <w:r>
        <w:rPr>
          <w:rFonts w:cs="Arial"/>
          <w:szCs w:val="20"/>
        </w:rPr>
        <w:t xml:space="preserve"> </w:t>
      </w:r>
      <w:r w:rsidR="00205C94">
        <w:rPr>
          <w:rFonts w:cs="Arial"/>
          <w:szCs w:val="20"/>
        </w:rPr>
        <w:t>six</w:t>
      </w:r>
      <w:r>
        <w:rPr>
          <w:rFonts w:cs="Arial"/>
          <w:szCs w:val="20"/>
        </w:rPr>
        <w:t xml:space="preserve">-month delay caused by the </w:t>
      </w:r>
      <w:r w:rsidR="004356CC">
        <w:rPr>
          <w:rFonts w:cs="Arial"/>
          <w:szCs w:val="20"/>
        </w:rPr>
        <w:t>Covid</w:t>
      </w:r>
      <w:r>
        <w:rPr>
          <w:rFonts w:cs="Arial"/>
          <w:szCs w:val="20"/>
        </w:rPr>
        <w:t xml:space="preserve"> lockdown in 2020, the mutual evaluation programme </w:t>
      </w:r>
      <w:proofErr w:type="gramStart"/>
      <w:r>
        <w:rPr>
          <w:rFonts w:cs="Arial"/>
          <w:szCs w:val="20"/>
        </w:rPr>
        <w:t>continued on</w:t>
      </w:r>
      <w:proofErr w:type="gramEnd"/>
      <w:r>
        <w:rPr>
          <w:rFonts w:cs="Arial"/>
          <w:szCs w:val="20"/>
        </w:rPr>
        <w:t xml:space="preserve"> schedule in 2021, </w:t>
      </w:r>
      <w:r w:rsidR="000307E9">
        <w:rPr>
          <w:rFonts w:cs="Arial"/>
          <w:szCs w:val="20"/>
        </w:rPr>
        <w:t xml:space="preserve">and then subsequently in 2022 </w:t>
      </w:r>
      <w:r>
        <w:rPr>
          <w:rFonts w:cs="Arial"/>
          <w:szCs w:val="20"/>
        </w:rPr>
        <w:t>with four on-site visits carried out to</w:t>
      </w:r>
      <w:r w:rsidR="000307E9">
        <w:rPr>
          <w:rFonts w:cs="Arial"/>
          <w:szCs w:val="20"/>
        </w:rPr>
        <w:t xml:space="preserve"> Estonia, Monaco, North Macedonia and Romania</w:t>
      </w:r>
      <w:r>
        <w:rPr>
          <w:rFonts w:cs="Arial"/>
          <w:szCs w:val="20"/>
        </w:rPr>
        <w:t xml:space="preserve">, and four mutual evaluation reports adopted for </w:t>
      </w:r>
      <w:r w:rsidR="000307E9">
        <w:rPr>
          <w:rFonts w:cs="Arial"/>
          <w:szCs w:val="20"/>
        </w:rPr>
        <w:t>Bulgaria, Estonia, Liechtenstein and Monaco</w:t>
      </w:r>
      <w:r>
        <w:rPr>
          <w:rFonts w:cs="Arial"/>
          <w:szCs w:val="20"/>
        </w:rPr>
        <w:t xml:space="preserve">. </w:t>
      </w:r>
    </w:p>
    <w:p w14:paraId="2C6588E2" w14:textId="77777777" w:rsidR="0074051E" w:rsidRDefault="0074051E" w:rsidP="0074051E">
      <w:pPr>
        <w:rPr>
          <w:rFonts w:cs="Arial"/>
          <w:szCs w:val="20"/>
        </w:rPr>
      </w:pPr>
    </w:p>
    <w:p w14:paraId="61E6F4C7" w14:textId="3E51B42C" w:rsidR="00277C14" w:rsidRDefault="0074051E" w:rsidP="00277C14">
      <w:pPr>
        <w:rPr>
          <w:rFonts w:cs="Arial"/>
          <w:szCs w:val="20"/>
        </w:rPr>
      </w:pPr>
      <w:r>
        <w:rPr>
          <w:rFonts w:cs="Arial"/>
          <w:szCs w:val="20"/>
        </w:rPr>
        <w:t xml:space="preserve">MONEYVAL </w:t>
      </w:r>
      <w:r w:rsidR="00565570">
        <w:rPr>
          <w:rFonts w:cs="Arial"/>
          <w:szCs w:val="20"/>
        </w:rPr>
        <w:t xml:space="preserve">maintained the </w:t>
      </w:r>
      <w:r>
        <w:rPr>
          <w:rFonts w:cs="Arial"/>
          <w:szCs w:val="20"/>
        </w:rPr>
        <w:t xml:space="preserve">use </w:t>
      </w:r>
      <w:r w:rsidR="00565570">
        <w:rPr>
          <w:rFonts w:cs="Arial"/>
          <w:szCs w:val="20"/>
        </w:rPr>
        <w:t xml:space="preserve">of </w:t>
      </w:r>
      <w:r>
        <w:rPr>
          <w:rFonts w:cs="Arial"/>
          <w:szCs w:val="20"/>
        </w:rPr>
        <w:t>hybrid means for mutual evaluations</w:t>
      </w:r>
      <w:r w:rsidR="000307E9">
        <w:rPr>
          <w:rFonts w:cs="Arial"/>
          <w:szCs w:val="20"/>
        </w:rPr>
        <w:t xml:space="preserve"> only for the evaluation of Monaco</w:t>
      </w:r>
      <w:r>
        <w:rPr>
          <w:rFonts w:cs="Arial"/>
          <w:szCs w:val="20"/>
        </w:rPr>
        <w:t xml:space="preserve">, </w:t>
      </w:r>
      <w:proofErr w:type="gramStart"/>
      <w:r>
        <w:rPr>
          <w:rFonts w:cs="Arial"/>
          <w:szCs w:val="20"/>
        </w:rPr>
        <w:t>in order to</w:t>
      </w:r>
      <w:proofErr w:type="gramEnd"/>
      <w:r>
        <w:rPr>
          <w:rFonts w:cs="Arial"/>
          <w:szCs w:val="20"/>
        </w:rPr>
        <w:t xml:space="preserve"> mitigate risks related to </w:t>
      </w:r>
      <w:r w:rsidR="004356CC">
        <w:rPr>
          <w:rFonts w:cs="Arial"/>
          <w:szCs w:val="20"/>
        </w:rPr>
        <w:t>Covid</w:t>
      </w:r>
      <w:r>
        <w:rPr>
          <w:rFonts w:cs="Arial"/>
          <w:szCs w:val="20"/>
        </w:rPr>
        <w:t xml:space="preserve"> travel cancellations and possible infections</w:t>
      </w:r>
      <w:r w:rsidR="00565570">
        <w:rPr>
          <w:rFonts w:cs="Arial"/>
          <w:szCs w:val="20"/>
        </w:rPr>
        <w:t xml:space="preserve"> among evaluation team members</w:t>
      </w:r>
      <w:r>
        <w:rPr>
          <w:rFonts w:cs="Arial"/>
          <w:szCs w:val="20"/>
        </w:rPr>
        <w:t xml:space="preserve">. </w:t>
      </w:r>
      <w:r w:rsidR="000307E9">
        <w:rPr>
          <w:rFonts w:cs="Arial"/>
          <w:szCs w:val="20"/>
        </w:rPr>
        <w:t xml:space="preserve">Other evaluations were held in physical mode. </w:t>
      </w:r>
      <w:r w:rsidR="00277C14" w:rsidRPr="00277C14">
        <w:rPr>
          <w:rFonts w:cs="Arial"/>
          <w:szCs w:val="20"/>
        </w:rPr>
        <w:t xml:space="preserve">MONEYVAL </w:t>
      </w:r>
      <w:r>
        <w:rPr>
          <w:rFonts w:cs="Arial"/>
          <w:szCs w:val="20"/>
        </w:rPr>
        <w:t>continues to be the FATF-style regional body with the most mutual evaluations conducted in the Global Network of AML/CFT assessor bodies</w:t>
      </w:r>
      <w:r w:rsidR="00565570">
        <w:rPr>
          <w:rFonts w:cs="Arial"/>
          <w:szCs w:val="20"/>
        </w:rPr>
        <w:t xml:space="preserve"> since the start of the pandemic</w:t>
      </w:r>
      <w:r>
        <w:rPr>
          <w:rFonts w:cs="Arial"/>
          <w:szCs w:val="20"/>
        </w:rPr>
        <w:t xml:space="preserve">.  </w:t>
      </w:r>
      <w:r w:rsidR="00277C14" w:rsidRPr="00277C14">
        <w:rPr>
          <w:rFonts w:cs="Arial"/>
          <w:szCs w:val="20"/>
        </w:rPr>
        <w:t xml:space="preserve"> </w:t>
      </w:r>
    </w:p>
    <w:p w14:paraId="1FBE167C" w14:textId="77777777" w:rsidR="00933DF9" w:rsidRPr="00FC2E59" w:rsidRDefault="00933DF9" w:rsidP="00277C14">
      <w:pPr>
        <w:rPr>
          <w:rFonts w:cs="Arial"/>
          <w:szCs w:val="20"/>
          <w:lang w:val="en-US"/>
        </w:rPr>
      </w:pPr>
    </w:p>
    <w:p w14:paraId="744951C7" w14:textId="77777777" w:rsidR="00277C14" w:rsidRPr="00FC2E59" w:rsidRDefault="00277C14" w:rsidP="00277C14">
      <w:pPr>
        <w:rPr>
          <w:rFonts w:cs="Arial"/>
          <w:szCs w:val="20"/>
          <w:lang w:val="en-US"/>
        </w:rPr>
      </w:pPr>
    </w:p>
    <w:p w14:paraId="2C9F5A70" w14:textId="0A600F94" w:rsidR="003C2584" w:rsidRPr="00B069FB" w:rsidRDefault="000C5B9D" w:rsidP="003C2584">
      <w:pPr>
        <w:pStyle w:val="Heading2"/>
        <w:keepLines w:val="0"/>
        <w:tabs>
          <w:tab w:val="left" w:pos="709"/>
        </w:tabs>
        <w:spacing w:before="0"/>
        <w:ind w:right="680"/>
        <w:jc w:val="both"/>
        <w:rPr>
          <w:rFonts w:ascii="Arial" w:eastAsiaTheme="minorHAnsi" w:hAnsi="Arial" w:cs="Times New Roman"/>
          <w:b/>
          <w:bCs/>
          <w:color w:val="000000" w:themeColor="text1"/>
          <w:sz w:val="20"/>
          <w:szCs w:val="20"/>
          <w:lang w:val="en-US"/>
        </w:rPr>
      </w:pPr>
      <w:bookmarkStart w:id="16" w:name="_Toc135409881"/>
      <w:bookmarkStart w:id="17" w:name="_Toc66712417"/>
      <w:r w:rsidRPr="000C5B9D">
        <w:rPr>
          <w:rFonts w:ascii="Arial" w:eastAsiaTheme="minorHAnsi" w:hAnsi="Arial" w:cs="Times New Roman"/>
          <w:b/>
          <w:bCs/>
          <w:color w:val="000000" w:themeColor="text1"/>
          <w:sz w:val="20"/>
          <w:szCs w:val="20"/>
          <w:lang w:val="en-US"/>
        </w:rPr>
        <w:t>2.1.</w:t>
      </w:r>
      <w:r w:rsidRPr="000C5B9D">
        <w:rPr>
          <w:rFonts w:ascii="Arial" w:eastAsiaTheme="minorHAnsi" w:hAnsi="Arial" w:cs="Times New Roman"/>
          <w:b/>
          <w:bCs/>
          <w:color w:val="000000" w:themeColor="text1"/>
          <w:sz w:val="20"/>
          <w:szCs w:val="20"/>
          <w:lang w:val="en-US"/>
        </w:rPr>
        <w:tab/>
      </w:r>
      <w:r w:rsidR="003C2584" w:rsidRPr="00B069FB">
        <w:rPr>
          <w:rFonts w:ascii="Arial" w:eastAsiaTheme="minorHAnsi" w:hAnsi="Arial" w:cs="Times New Roman"/>
          <w:b/>
          <w:bCs/>
          <w:color w:val="000000" w:themeColor="text1"/>
          <w:sz w:val="20"/>
          <w:szCs w:val="20"/>
          <w:lang w:val="en-US"/>
        </w:rPr>
        <w:t>5</w:t>
      </w:r>
      <w:r w:rsidR="003C2584" w:rsidRPr="00B069FB">
        <w:rPr>
          <w:rFonts w:ascii="Arial" w:eastAsiaTheme="minorHAnsi" w:hAnsi="Arial" w:cs="Times New Roman"/>
          <w:b/>
          <w:bCs/>
          <w:color w:val="000000" w:themeColor="text1"/>
          <w:sz w:val="20"/>
          <w:szCs w:val="20"/>
          <w:vertAlign w:val="superscript"/>
          <w:lang w:val="en-US"/>
        </w:rPr>
        <w:t>th</w:t>
      </w:r>
      <w:r w:rsidR="003C2584" w:rsidRPr="00B069FB">
        <w:rPr>
          <w:rFonts w:ascii="Arial" w:eastAsiaTheme="minorHAnsi" w:hAnsi="Arial" w:cs="Times New Roman"/>
          <w:b/>
          <w:bCs/>
          <w:color w:val="000000" w:themeColor="text1"/>
          <w:sz w:val="20"/>
          <w:szCs w:val="20"/>
          <w:lang w:val="en-US"/>
        </w:rPr>
        <w:t> round mutual evaluation report of Bulgaria</w:t>
      </w:r>
      <w:bookmarkEnd w:id="16"/>
    </w:p>
    <w:p w14:paraId="1126A757" w14:textId="46B17ABD" w:rsidR="003C2584" w:rsidRPr="00B069FB" w:rsidRDefault="003C2584" w:rsidP="003C2584">
      <w:pPr>
        <w:rPr>
          <w:lang w:val="en-US"/>
        </w:rPr>
      </w:pPr>
    </w:p>
    <w:p w14:paraId="05E3139F" w14:textId="5F192CAB" w:rsidR="003C2584" w:rsidRPr="00B069FB" w:rsidRDefault="00744408" w:rsidP="003C2584">
      <w:pPr>
        <w:rPr>
          <w:lang w:val="en-US"/>
        </w:rPr>
      </w:pPr>
      <w:r w:rsidRPr="00B069FB">
        <w:rPr>
          <w:lang w:val="en-US"/>
        </w:rPr>
        <w:t>The 5</w:t>
      </w:r>
      <w:r w:rsidR="00EE5C37" w:rsidRPr="00EE5C37">
        <w:rPr>
          <w:vertAlign w:val="superscript"/>
          <w:lang w:val="en-US"/>
        </w:rPr>
        <w:t>th</w:t>
      </w:r>
      <w:r w:rsidR="00EE5C37">
        <w:rPr>
          <w:lang w:val="en-US"/>
        </w:rPr>
        <w:t xml:space="preserve"> </w:t>
      </w:r>
      <w:r w:rsidRPr="00B069FB">
        <w:rPr>
          <w:lang w:val="en-US"/>
        </w:rPr>
        <w:t>Round mutual evaluation report of Bulgaria was adopted at the 63</w:t>
      </w:r>
      <w:r w:rsidR="00EE5C37" w:rsidRPr="00EE5C37">
        <w:rPr>
          <w:vertAlign w:val="superscript"/>
          <w:lang w:val="en-US"/>
        </w:rPr>
        <w:t>rd</w:t>
      </w:r>
      <w:r w:rsidR="00EE5C37">
        <w:rPr>
          <w:lang w:val="en-US"/>
        </w:rPr>
        <w:t xml:space="preserve"> </w:t>
      </w:r>
      <w:r w:rsidRPr="00B069FB">
        <w:rPr>
          <w:lang w:val="en-US"/>
        </w:rPr>
        <w:t xml:space="preserve">Plenary meeting in May 2022. </w:t>
      </w:r>
      <w:r w:rsidR="003C2584" w:rsidRPr="00B069FB">
        <w:rPr>
          <w:lang w:val="en-US"/>
        </w:rPr>
        <w:t xml:space="preserve">MONEYVAL </w:t>
      </w:r>
      <w:r w:rsidRPr="00B069FB">
        <w:rPr>
          <w:lang w:val="en-US"/>
        </w:rPr>
        <w:t>conclude</w:t>
      </w:r>
      <w:r w:rsidR="00977380" w:rsidRPr="00B069FB">
        <w:rPr>
          <w:lang w:val="en-US"/>
        </w:rPr>
        <w:t>s</w:t>
      </w:r>
      <w:r w:rsidRPr="00B069FB">
        <w:rPr>
          <w:lang w:val="en-US"/>
        </w:rPr>
        <w:t xml:space="preserve"> </w:t>
      </w:r>
      <w:r w:rsidR="003C2584" w:rsidRPr="00B069FB">
        <w:rPr>
          <w:lang w:val="en-US"/>
        </w:rPr>
        <w:t xml:space="preserve">that Bulgaria achieved a moderate level of effectiveness regarding the assessment of money laundering and terrorism financing risks, and domestic </w:t>
      </w:r>
      <w:r w:rsidR="003654E4">
        <w:rPr>
          <w:lang w:val="en-US"/>
        </w:rPr>
        <w:t>co-or</w:t>
      </w:r>
      <w:r w:rsidR="003C2584" w:rsidRPr="00B069FB">
        <w:rPr>
          <w:lang w:val="en-US"/>
        </w:rPr>
        <w:t>dination, investigation and prosecution of terrorism financing, targeted financial sanctions related to terrorism financing, the implementation of preventive measures by and supervision of financial institutions and non-financial professions (accountants, lawyers, notaries, trusts and company service providers, casinos and real estate agents), as well as in international co</w:t>
      </w:r>
      <w:r w:rsidR="003654E4">
        <w:rPr>
          <w:lang w:val="en-US"/>
        </w:rPr>
        <w:t>-</w:t>
      </w:r>
      <w:r w:rsidR="003C2584" w:rsidRPr="00B069FB">
        <w:rPr>
          <w:lang w:val="en-US"/>
        </w:rPr>
        <w:t xml:space="preserve">operation. Bulgaria </w:t>
      </w:r>
      <w:r w:rsidR="00977380" w:rsidRPr="00B069FB">
        <w:rPr>
          <w:lang w:val="en-US"/>
        </w:rPr>
        <w:t xml:space="preserve">demonstrates </w:t>
      </w:r>
      <w:r w:rsidR="003C2584" w:rsidRPr="00B069FB">
        <w:rPr>
          <w:lang w:val="en-US"/>
        </w:rPr>
        <w:t>a low level of effectiveness in areas related to the use of financial intelligence, investigations and prosecutions of money laundering, confiscation of proceeds of crime or property of equivalent value, targeted financial sanctions related to proliferation financing and the prevention of misuse of legal persons and arrangements.</w:t>
      </w:r>
    </w:p>
    <w:p w14:paraId="73746804" w14:textId="77777777" w:rsidR="003C2584" w:rsidRPr="00B069FB" w:rsidRDefault="003C2584" w:rsidP="003C2584">
      <w:pPr>
        <w:rPr>
          <w:lang w:val="en-US"/>
        </w:rPr>
      </w:pPr>
    </w:p>
    <w:p w14:paraId="53C75691" w14:textId="1801C32B" w:rsidR="003C2584" w:rsidRPr="00B069FB" w:rsidRDefault="003C2584" w:rsidP="003C2584">
      <w:pPr>
        <w:rPr>
          <w:lang w:val="en-US"/>
        </w:rPr>
      </w:pPr>
      <w:r w:rsidRPr="00B069FB">
        <w:rPr>
          <w:lang w:val="en-US"/>
        </w:rPr>
        <w:t xml:space="preserve">MONEYVAL commends Bulgaria for conducting a comprehensive national risk assessment and notes that Bulgaria has, in general, a reasonable understanding of the main money laundering risks, while the understanding of the terrorism financing risks </w:t>
      </w:r>
      <w:r w:rsidR="00977380" w:rsidRPr="00B069FB">
        <w:rPr>
          <w:lang w:val="en-US"/>
        </w:rPr>
        <w:t xml:space="preserve">was </w:t>
      </w:r>
      <w:r w:rsidRPr="00B069FB">
        <w:rPr>
          <w:lang w:val="en-US"/>
        </w:rPr>
        <w:t xml:space="preserve">limited. The report finds that the lack of comprehensive statistics limits the authorities’ understanding and their abilities to react to risks. Challenges </w:t>
      </w:r>
      <w:r w:rsidR="00977380" w:rsidRPr="00B069FB">
        <w:rPr>
          <w:lang w:val="en-US"/>
        </w:rPr>
        <w:t xml:space="preserve">are noted </w:t>
      </w:r>
      <w:r w:rsidRPr="00B069FB">
        <w:rPr>
          <w:lang w:val="en-US"/>
        </w:rPr>
        <w:t>also in relation to inter-agency co-operation between law enforcement agencies, which is particularly hindered by the lack of necessary technical tools.</w:t>
      </w:r>
    </w:p>
    <w:p w14:paraId="2150CEEC" w14:textId="77777777" w:rsidR="003C2584" w:rsidRPr="00B069FB" w:rsidRDefault="003C2584" w:rsidP="003C2584">
      <w:pPr>
        <w:rPr>
          <w:lang w:val="en-US"/>
        </w:rPr>
      </w:pPr>
    </w:p>
    <w:p w14:paraId="6905446F" w14:textId="77777777" w:rsidR="004D5F3C" w:rsidRDefault="003C2584" w:rsidP="003C2584">
      <w:pPr>
        <w:rPr>
          <w:lang w:val="en-US"/>
        </w:rPr>
      </w:pPr>
      <w:r w:rsidRPr="00B069FB">
        <w:rPr>
          <w:lang w:val="en-US"/>
        </w:rPr>
        <w:t xml:space="preserve">The number of money-laundering investigations, prosecutions, and convictions, as well as the severity of the criminal sanctions for money laundering is generally low and is not commensurate with the identified money laundering risks. MONEYVAL notes that Bulgaria should improve the use of financial intelligence, the investigation and prosecution of the money laundering and confiscation regime, which are currently hampered by several technical and procedural constraints. In addition, the report finds that Bulgaria should take a more systematic approach to investigate the financing aspects of the terrorism-related offences, </w:t>
      </w:r>
    </w:p>
    <w:p w14:paraId="6AC97E71" w14:textId="77777777" w:rsidR="004D5F3C" w:rsidRDefault="004D5F3C">
      <w:pPr>
        <w:rPr>
          <w:lang w:val="en-US"/>
        </w:rPr>
      </w:pPr>
      <w:r>
        <w:rPr>
          <w:lang w:val="en-US"/>
        </w:rPr>
        <w:br w:type="page"/>
      </w:r>
    </w:p>
    <w:p w14:paraId="341EE9D5" w14:textId="0A1F388F" w:rsidR="003C2584" w:rsidRPr="00B069FB" w:rsidRDefault="003C2584" w:rsidP="003C2584">
      <w:pPr>
        <w:rPr>
          <w:lang w:val="en-US"/>
        </w:rPr>
      </w:pPr>
      <w:r w:rsidRPr="00B069FB">
        <w:rPr>
          <w:lang w:val="en-US"/>
        </w:rPr>
        <w:lastRenderedPageBreak/>
        <w:t xml:space="preserve">improve the national mechanism for implementing targeted financial sanctions and conduct more comprehensive analysis of terrorism financing vulnerabilities in the non-profit sectors. Bulgaria should also enhance risk-based supervision or monitoring of those non-profit </w:t>
      </w:r>
      <w:proofErr w:type="spellStart"/>
      <w:r w:rsidRPr="00B069FB">
        <w:rPr>
          <w:lang w:val="en-US"/>
        </w:rPr>
        <w:t>organisations</w:t>
      </w:r>
      <w:proofErr w:type="spellEnd"/>
      <w:r w:rsidRPr="00B069FB">
        <w:rPr>
          <w:lang w:val="en-US"/>
        </w:rPr>
        <w:t xml:space="preserve"> that are at risk of being misused for terrorism financing.</w:t>
      </w:r>
    </w:p>
    <w:p w14:paraId="20FD6FC4" w14:textId="77777777" w:rsidR="003C2584" w:rsidRPr="00B069FB" w:rsidRDefault="003C2584" w:rsidP="003C2584">
      <w:pPr>
        <w:rPr>
          <w:lang w:val="en-US"/>
        </w:rPr>
      </w:pPr>
    </w:p>
    <w:p w14:paraId="35B56E72" w14:textId="77777777" w:rsidR="003C2584" w:rsidRPr="00B069FB" w:rsidRDefault="003C2584" w:rsidP="003C2584">
      <w:pPr>
        <w:rPr>
          <w:lang w:val="en-US"/>
        </w:rPr>
      </w:pPr>
      <w:r w:rsidRPr="00B069FB">
        <w:rPr>
          <w:lang w:val="en-US"/>
        </w:rPr>
        <w:t xml:space="preserve">The knowledge of anti-money laundering and combating of financing of the terrorism obligations by obliged entities is generally high, however, the understanding of the business-related risks and the application of the preventative measures in higher-risk areas need to be improved. Supervisors are applying the risk-based approach for the financial sector to a large extent, while for other sectors the supervisory activities are still neither risk-based nor effective, which can be attributed to a significant lack of resources. In addition, the absence of measures to prevent criminals from entering the market for certain sectors (such as real estate brokers, trusts and company service providers, accountants, virtual asset service providers) is of concern. The report also notes that there are no criminality or other fit and proper tests performed regarding postal money operators or shareholders of currency exchange offices, and the ownership threshold for casinos that triggers </w:t>
      </w:r>
      <w:proofErr w:type="gramStart"/>
      <w:r w:rsidRPr="00B069FB">
        <w:rPr>
          <w:lang w:val="en-US"/>
        </w:rPr>
        <w:t>fit</w:t>
      </w:r>
      <w:proofErr w:type="gramEnd"/>
      <w:r w:rsidRPr="00B069FB">
        <w:rPr>
          <w:lang w:val="en-US"/>
        </w:rPr>
        <w:t xml:space="preserve"> and proper checks is higher than permitted by the FATF. MONEYVAL recommends establishing such market entry measures and to take proactive measures to prevent unlicensed (hawala) businesses.</w:t>
      </w:r>
    </w:p>
    <w:p w14:paraId="0C5AE6C1" w14:textId="77777777" w:rsidR="003C2584" w:rsidRPr="00B069FB" w:rsidRDefault="003C2584" w:rsidP="003C2584">
      <w:pPr>
        <w:rPr>
          <w:lang w:val="en-US"/>
        </w:rPr>
      </w:pPr>
    </w:p>
    <w:p w14:paraId="16533DB4" w14:textId="77777777" w:rsidR="003C2584" w:rsidRPr="00B069FB" w:rsidRDefault="003C2584" w:rsidP="003C2584">
      <w:pPr>
        <w:rPr>
          <w:lang w:val="en-US"/>
        </w:rPr>
      </w:pPr>
      <w:r w:rsidRPr="00B069FB">
        <w:rPr>
          <w:lang w:val="en-US"/>
        </w:rPr>
        <w:t>Despite Bulgaria’s efforts to increase the transparency of the beneficial ownership regime, there are significant concerns in relation to accuracy of the beneficial ownership information held in the registers and by the obliged entities. MONEYVAL recommends urgently reviewing policies and taking urgent actions in this sphere.</w:t>
      </w:r>
    </w:p>
    <w:p w14:paraId="1272CFBA" w14:textId="77777777" w:rsidR="003C2584" w:rsidRPr="00B069FB" w:rsidRDefault="003C2584" w:rsidP="003C2584">
      <w:pPr>
        <w:rPr>
          <w:lang w:val="en-US"/>
        </w:rPr>
      </w:pPr>
    </w:p>
    <w:p w14:paraId="21BE7F2D" w14:textId="4CE9C655" w:rsidR="003C2584" w:rsidRPr="00B069FB" w:rsidRDefault="003C2584" w:rsidP="003C2584">
      <w:pPr>
        <w:rPr>
          <w:lang w:val="en-US"/>
        </w:rPr>
      </w:pPr>
      <w:r w:rsidRPr="00B069FB">
        <w:rPr>
          <w:lang w:val="en-US"/>
        </w:rPr>
        <w:t>Finally, the report concludes that although there are some technical and procedural constrains, Bulgaria provides generally timely and constructive assistance across the range of requests for international co-operation, including mutual legal assistance.</w:t>
      </w:r>
    </w:p>
    <w:p w14:paraId="3F6A823F" w14:textId="334B4D8B" w:rsidR="00977380" w:rsidRPr="00B069FB" w:rsidRDefault="00977380" w:rsidP="003C2584">
      <w:pPr>
        <w:rPr>
          <w:lang w:val="en-US"/>
        </w:rPr>
      </w:pPr>
    </w:p>
    <w:p w14:paraId="7D1F63AA" w14:textId="02284E4E" w:rsidR="003C2584" w:rsidRDefault="00977380" w:rsidP="006E54F2">
      <w:pPr>
        <w:rPr>
          <w:lang w:val="en-US"/>
        </w:rPr>
      </w:pPr>
      <w:r w:rsidRPr="00B069FB">
        <w:rPr>
          <w:lang w:val="en-US"/>
        </w:rPr>
        <w:t>Based on the results of its evaluation, MONEYVAL decided to apply its enhanced follow-up procedure and invited Bulgaria to report back in May 2024.</w:t>
      </w:r>
    </w:p>
    <w:p w14:paraId="5F50B311" w14:textId="77777777" w:rsidR="006E54F2" w:rsidRPr="006E54F2" w:rsidRDefault="006E54F2" w:rsidP="006E54F2">
      <w:pPr>
        <w:rPr>
          <w:lang w:val="en-US"/>
        </w:rPr>
      </w:pPr>
    </w:p>
    <w:p w14:paraId="11EF1F61" w14:textId="70576F09" w:rsidR="003C2584" w:rsidRPr="00B069FB" w:rsidRDefault="003C2584" w:rsidP="00471DBC">
      <w:pPr>
        <w:pStyle w:val="Heading2"/>
        <w:keepLines w:val="0"/>
        <w:tabs>
          <w:tab w:val="left" w:pos="709"/>
        </w:tabs>
        <w:spacing w:before="0"/>
        <w:ind w:right="680"/>
        <w:jc w:val="both"/>
        <w:rPr>
          <w:rFonts w:ascii="Arial" w:eastAsiaTheme="minorHAnsi" w:hAnsi="Arial" w:cs="Times New Roman"/>
          <w:b/>
          <w:bCs/>
          <w:color w:val="000000" w:themeColor="text1"/>
          <w:sz w:val="20"/>
          <w:szCs w:val="20"/>
          <w:lang w:val="en-US"/>
        </w:rPr>
      </w:pPr>
      <w:bookmarkStart w:id="18" w:name="_Toc135409882"/>
      <w:r w:rsidRPr="00B069FB">
        <w:rPr>
          <w:rFonts w:ascii="Arial" w:eastAsiaTheme="minorHAnsi" w:hAnsi="Arial" w:cs="Times New Roman"/>
          <w:b/>
          <w:bCs/>
          <w:color w:val="000000" w:themeColor="text1"/>
          <w:sz w:val="20"/>
          <w:szCs w:val="20"/>
          <w:lang w:val="en-US"/>
        </w:rPr>
        <w:t xml:space="preserve">2.2 </w:t>
      </w:r>
      <w:r w:rsidRPr="00B069FB">
        <w:rPr>
          <w:rFonts w:ascii="Arial" w:eastAsiaTheme="minorHAnsi" w:hAnsi="Arial" w:cs="Times New Roman"/>
          <w:b/>
          <w:bCs/>
          <w:color w:val="000000" w:themeColor="text1"/>
          <w:sz w:val="20"/>
          <w:szCs w:val="20"/>
          <w:lang w:val="en-US"/>
        </w:rPr>
        <w:tab/>
        <w:t>5</w:t>
      </w:r>
      <w:r w:rsidRPr="00B069FB">
        <w:rPr>
          <w:rFonts w:ascii="Arial" w:eastAsiaTheme="minorHAnsi" w:hAnsi="Arial" w:cs="Times New Roman"/>
          <w:b/>
          <w:bCs/>
          <w:color w:val="000000" w:themeColor="text1"/>
          <w:sz w:val="20"/>
          <w:szCs w:val="20"/>
          <w:vertAlign w:val="superscript"/>
          <w:lang w:val="en-US"/>
        </w:rPr>
        <w:t>th</w:t>
      </w:r>
      <w:r w:rsidRPr="00B069FB">
        <w:rPr>
          <w:rFonts w:ascii="Arial" w:eastAsiaTheme="minorHAnsi" w:hAnsi="Arial" w:cs="Times New Roman"/>
          <w:b/>
          <w:bCs/>
          <w:color w:val="000000" w:themeColor="text1"/>
          <w:sz w:val="20"/>
          <w:szCs w:val="20"/>
          <w:lang w:val="en-US"/>
        </w:rPr>
        <w:t> round mutual evaluation report of Liechtenstein</w:t>
      </w:r>
      <w:bookmarkEnd w:id="18"/>
    </w:p>
    <w:p w14:paraId="765D4F83" w14:textId="7076BF3E" w:rsidR="003C2584" w:rsidRPr="00B069FB" w:rsidRDefault="003C2584" w:rsidP="003C2584">
      <w:pPr>
        <w:rPr>
          <w:lang w:val="en-US"/>
        </w:rPr>
      </w:pPr>
    </w:p>
    <w:p w14:paraId="2A33BD74" w14:textId="52FE6859" w:rsidR="003C2584" w:rsidRPr="00B069FB" w:rsidRDefault="00977380" w:rsidP="003C2584">
      <w:pPr>
        <w:rPr>
          <w:lang w:val="en-US"/>
        </w:rPr>
      </w:pPr>
      <w:r w:rsidRPr="00B069FB">
        <w:rPr>
          <w:lang w:val="en-US"/>
        </w:rPr>
        <w:t xml:space="preserve">The 5th Round mutual evaluation report of Liechtenstein was adopted at the 63rd Plenary meeting in May 2022. It </w:t>
      </w:r>
      <w:r w:rsidR="003C2584" w:rsidRPr="00B069FB">
        <w:rPr>
          <w:lang w:val="en-US"/>
        </w:rPr>
        <w:t xml:space="preserve">acknowledges that the country has demonstrated a substantial level of effectiveness with understanding of ML/TF risk, setting national AML/CFT policies and co-ordination, use of financial intelligence, confiscation of proceeds of crime, terrorist financing investigations and prosecution, and international </w:t>
      </w:r>
      <w:r w:rsidR="003654E4">
        <w:rPr>
          <w:lang w:val="en-US"/>
        </w:rPr>
        <w:t>co-op</w:t>
      </w:r>
      <w:r w:rsidR="003C2584" w:rsidRPr="00B069FB">
        <w:rPr>
          <w:lang w:val="en-US"/>
        </w:rPr>
        <w:t>eration. The report finds that further improvements are needed in enhancing supervision, application of AML/CFT preventative measures by the private sector, transparency of beneficial ownership of legal persons and legal arrangements, money laundering investigation and prosecution and implementation of targeted financial sanctions.</w:t>
      </w:r>
    </w:p>
    <w:p w14:paraId="1DF7D1A7" w14:textId="77777777" w:rsidR="003C2584" w:rsidRPr="00B069FB" w:rsidRDefault="003C2584" w:rsidP="003C2584">
      <w:pPr>
        <w:rPr>
          <w:lang w:val="en-US"/>
        </w:rPr>
      </w:pPr>
    </w:p>
    <w:p w14:paraId="4732A439" w14:textId="77E3F6BB" w:rsidR="003C2584" w:rsidRPr="00B069FB" w:rsidRDefault="003C2584" w:rsidP="003C2584">
      <w:pPr>
        <w:rPr>
          <w:lang w:val="en-US"/>
        </w:rPr>
      </w:pPr>
      <w:r w:rsidRPr="00B069FB">
        <w:rPr>
          <w:lang w:val="en-US"/>
        </w:rPr>
        <w:t xml:space="preserve">MONEYVAL compliments Liechtenstein for having a broad and convergent understanding of its core ML/TF risks. The report also notes that, although a more comprehensive understanding of risks in some </w:t>
      </w:r>
      <w:proofErr w:type="gramStart"/>
      <w:r w:rsidRPr="00B069FB">
        <w:rPr>
          <w:lang w:val="en-US"/>
        </w:rPr>
        <w:t>particular areas</w:t>
      </w:r>
      <w:proofErr w:type="gramEnd"/>
      <w:r w:rsidRPr="00B069FB">
        <w:rPr>
          <w:lang w:val="en-US"/>
        </w:rPr>
        <w:t xml:space="preserve"> is needed, this </w:t>
      </w:r>
      <w:r w:rsidR="006E54F2" w:rsidRPr="00B069FB">
        <w:rPr>
          <w:lang w:val="en-US"/>
        </w:rPr>
        <w:t>endeavor</w:t>
      </w:r>
      <w:r w:rsidRPr="00B069FB">
        <w:rPr>
          <w:lang w:val="en-US"/>
        </w:rPr>
        <w:t xml:space="preserve"> would only require refinements to a well-established risk assessment process.</w:t>
      </w:r>
    </w:p>
    <w:p w14:paraId="7CD2ED27" w14:textId="77777777" w:rsidR="003C2584" w:rsidRPr="00B069FB" w:rsidRDefault="003C2584" w:rsidP="003C2584">
      <w:pPr>
        <w:rPr>
          <w:lang w:val="en-US"/>
        </w:rPr>
      </w:pPr>
    </w:p>
    <w:p w14:paraId="42E0F830" w14:textId="77777777" w:rsidR="003C2584" w:rsidRPr="00B069FB" w:rsidRDefault="003C2584" w:rsidP="003C2584">
      <w:pPr>
        <w:rPr>
          <w:lang w:val="en-US"/>
        </w:rPr>
      </w:pPr>
      <w:r w:rsidRPr="00B069FB">
        <w:rPr>
          <w:lang w:val="en-US"/>
        </w:rPr>
        <w:t>Whilst the report finds that competent authorities produce good quality financial intelligence and are successful in confiscating the proceeds of crime, more efforts need to be invested in investigating and prosecuting money laundering of the widest range of foreign predicates, which target sophisticated ML schemes, including complex legal structures established and managed in the country.</w:t>
      </w:r>
    </w:p>
    <w:p w14:paraId="4B9E2F90" w14:textId="77777777" w:rsidR="003C2584" w:rsidRPr="00B069FB" w:rsidRDefault="003C2584" w:rsidP="003C2584">
      <w:pPr>
        <w:rPr>
          <w:lang w:val="en-US"/>
        </w:rPr>
      </w:pPr>
    </w:p>
    <w:p w14:paraId="0E939742" w14:textId="6DFBE219" w:rsidR="003C2584" w:rsidRPr="00B069FB" w:rsidRDefault="003C2584" w:rsidP="003C2584">
      <w:pPr>
        <w:rPr>
          <w:lang w:val="en-US"/>
        </w:rPr>
      </w:pPr>
      <w:r w:rsidRPr="00B069FB">
        <w:rPr>
          <w:lang w:val="en-US"/>
        </w:rPr>
        <w:t xml:space="preserve">Being geographically surrounded by Switzerland and Austria, Liechtenstein closely </w:t>
      </w:r>
      <w:r w:rsidR="003654E4">
        <w:rPr>
          <w:lang w:val="en-US"/>
        </w:rPr>
        <w:t>co-op</w:t>
      </w:r>
      <w:r w:rsidRPr="00B069FB">
        <w:rPr>
          <w:lang w:val="en-US"/>
        </w:rPr>
        <w:t xml:space="preserve">erates with both countries in combatting terrorism and TF. The report, which examines the features of TF related investigatory actions carried out by the competent authorities, concludes that these authorities are equipped with skills and knowledge to detect collection, </w:t>
      </w:r>
      <w:proofErr w:type="gramStart"/>
      <w:r w:rsidRPr="00B069FB">
        <w:rPr>
          <w:lang w:val="en-US"/>
        </w:rPr>
        <w:t>movement</w:t>
      </w:r>
      <w:proofErr w:type="gramEnd"/>
      <w:r w:rsidRPr="00B069FB">
        <w:rPr>
          <w:lang w:val="en-US"/>
        </w:rPr>
        <w:t xml:space="preserve"> and use of funds for TF purposes.</w:t>
      </w:r>
    </w:p>
    <w:p w14:paraId="4F1E80B0" w14:textId="77777777" w:rsidR="003C2584" w:rsidRPr="00B069FB" w:rsidRDefault="003C2584" w:rsidP="003C2584">
      <w:pPr>
        <w:rPr>
          <w:lang w:val="en-US"/>
        </w:rPr>
      </w:pPr>
    </w:p>
    <w:p w14:paraId="026B1336" w14:textId="77777777" w:rsidR="004D5F3C" w:rsidRDefault="003C2584" w:rsidP="003C2584">
      <w:pPr>
        <w:rPr>
          <w:lang w:val="en-US"/>
        </w:rPr>
      </w:pPr>
      <w:r w:rsidRPr="00B069FB">
        <w:rPr>
          <w:lang w:val="en-US"/>
        </w:rPr>
        <w:t xml:space="preserve">Understanding of ML/TF risks and obligations is now generally good in the private sector. Banks and large trust and company service providers demonstrated the best understanding of ML/TF risks, linked to private banking and wealth management. The supervisory approach applied by the main AML/CFT supervisory </w:t>
      </w:r>
    </w:p>
    <w:p w14:paraId="252A134E" w14:textId="77777777" w:rsidR="004D5F3C" w:rsidRDefault="004D5F3C">
      <w:pPr>
        <w:rPr>
          <w:lang w:val="en-US"/>
        </w:rPr>
      </w:pPr>
      <w:r>
        <w:rPr>
          <w:lang w:val="en-US"/>
        </w:rPr>
        <w:br w:type="page"/>
      </w:r>
    </w:p>
    <w:p w14:paraId="603BC53D" w14:textId="60CCA02F" w:rsidR="003C2584" w:rsidRPr="00B069FB" w:rsidRDefault="003C2584" w:rsidP="003C2584">
      <w:pPr>
        <w:rPr>
          <w:lang w:val="en-US"/>
        </w:rPr>
      </w:pPr>
      <w:r w:rsidRPr="00B069FB">
        <w:rPr>
          <w:lang w:val="en-US"/>
        </w:rPr>
        <w:lastRenderedPageBreak/>
        <w:t>authority has been subject to a significant overhaul and greater use is now made of inspections conducted by its own staff, rather than external audit firms. This notwithstanding, supervision over entities assessed as presenting a high or medium-high risk is found not to be sufficient.</w:t>
      </w:r>
    </w:p>
    <w:p w14:paraId="700AA52D" w14:textId="77777777" w:rsidR="003C2584" w:rsidRPr="00B069FB" w:rsidRDefault="003C2584" w:rsidP="003C2584">
      <w:pPr>
        <w:rPr>
          <w:lang w:val="en-US"/>
        </w:rPr>
      </w:pPr>
    </w:p>
    <w:p w14:paraId="636F9E64" w14:textId="77777777" w:rsidR="003C2584" w:rsidRPr="00B069FB" w:rsidRDefault="003C2584" w:rsidP="003C2584">
      <w:pPr>
        <w:rPr>
          <w:lang w:val="en-US"/>
        </w:rPr>
      </w:pPr>
      <w:r w:rsidRPr="00B069FB">
        <w:rPr>
          <w:lang w:val="en-US"/>
        </w:rPr>
        <w:t>Beneficial ownership (BO) information on legal persons and legal arrangements is available to competent authorities from a register maintained by the Office of Justice and directly from the private sector. Whilst the report notes that there has been no difficulty in accessing this information in a timely manner, the completeness and plausibility of information held in the BO register has not yet been a subject of monitoring by the Office of Justice.</w:t>
      </w:r>
    </w:p>
    <w:p w14:paraId="4C1C43A9" w14:textId="77777777" w:rsidR="003C2584" w:rsidRPr="00B069FB" w:rsidRDefault="003C2584" w:rsidP="003C2584">
      <w:pPr>
        <w:rPr>
          <w:lang w:val="en-US"/>
        </w:rPr>
      </w:pPr>
    </w:p>
    <w:p w14:paraId="735C825C" w14:textId="77777777" w:rsidR="003C2584" w:rsidRPr="00B069FB" w:rsidRDefault="003C2584" w:rsidP="003C2584">
      <w:pPr>
        <w:rPr>
          <w:lang w:val="en-US"/>
        </w:rPr>
      </w:pPr>
      <w:r w:rsidRPr="00B069FB">
        <w:rPr>
          <w:lang w:val="en-US"/>
        </w:rPr>
        <w:t>Finally, the report concludes that, although there are some procedural constraints, Liechtenstein provides timely and constructive assistance across the range of requests for international co-operation, including mutual legal assistance.</w:t>
      </w:r>
    </w:p>
    <w:p w14:paraId="3F01E6B4" w14:textId="77777777" w:rsidR="003C2584" w:rsidRPr="00B069FB" w:rsidRDefault="003C2584" w:rsidP="003C2584">
      <w:pPr>
        <w:rPr>
          <w:lang w:val="en-US"/>
        </w:rPr>
      </w:pPr>
    </w:p>
    <w:p w14:paraId="169390F5" w14:textId="40FC69D2" w:rsidR="003C2584" w:rsidRPr="00B069FB" w:rsidRDefault="003C2584" w:rsidP="003C2584">
      <w:pPr>
        <w:rPr>
          <w:lang w:val="en-US"/>
        </w:rPr>
      </w:pPr>
      <w:r w:rsidRPr="00B069FB">
        <w:rPr>
          <w:lang w:val="en-US"/>
        </w:rPr>
        <w:t xml:space="preserve">Liechtenstein will be subject to MONEYVAL’s regular follow-up reporting process </w:t>
      </w:r>
      <w:proofErr w:type="gramStart"/>
      <w:r w:rsidRPr="00B069FB">
        <w:rPr>
          <w:lang w:val="en-US"/>
        </w:rPr>
        <w:t>as a result of</w:t>
      </w:r>
      <w:proofErr w:type="gramEnd"/>
      <w:r w:rsidRPr="00B069FB">
        <w:rPr>
          <w:lang w:val="en-US"/>
        </w:rPr>
        <w:t xml:space="preserve"> the report.</w:t>
      </w:r>
    </w:p>
    <w:p w14:paraId="74778989" w14:textId="77777777" w:rsidR="003C2584" w:rsidRPr="00B069FB" w:rsidRDefault="003C2584" w:rsidP="003C2584">
      <w:pPr>
        <w:rPr>
          <w:lang w:val="en-US"/>
        </w:rPr>
      </w:pPr>
    </w:p>
    <w:p w14:paraId="1F9E8346" w14:textId="3D99B7FE" w:rsidR="00471DBC" w:rsidRPr="00B069FB" w:rsidRDefault="003C2584" w:rsidP="00471DBC">
      <w:pPr>
        <w:pStyle w:val="Heading2"/>
        <w:keepLines w:val="0"/>
        <w:tabs>
          <w:tab w:val="left" w:pos="709"/>
        </w:tabs>
        <w:spacing w:before="0"/>
        <w:ind w:right="680"/>
        <w:jc w:val="both"/>
        <w:rPr>
          <w:rFonts w:ascii="Arial" w:eastAsiaTheme="minorHAnsi" w:hAnsi="Arial" w:cs="Times New Roman"/>
          <w:b/>
          <w:bCs/>
          <w:color w:val="000000" w:themeColor="text1"/>
          <w:sz w:val="20"/>
          <w:szCs w:val="20"/>
          <w:lang w:val="en-US"/>
        </w:rPr>
      </w:pPr>
      <w:bookmarkStart w:id="19" w:name="_Toc135409883"/>
      <w:r w:rsidRPr="00B069FB">
        <w:rPr>
          <w:rFonts w:ascii="Arial" w:eastAsiaTheme="minorHAnsi" w:hAnsi="Arial" w:cs="Times New Roman"/>
          <w:b/>
          <w:bCs/>
          <w:color w:val="000000" w:themeColor="text1"/>
          <w:sz w:val="20"/>
          <w:szCs w:val="20"/>
          <w:lang w:val="en-US"/>
        </w:rPr>
        <w:t>2.3</w:t>
      </w:r>
      <w:r w:rsidRPr="00B069FB">
        <w:rPr>
          <w:rFonts w:ascii="Arial" w:eastAsiaTheme="minorHAnsi" w:hAnsi="Arial" w:cs="Times New Roman"/>
          <w:b/>
          <w:bCs/>
          <w:color w:val="000000" w:themeColor="text1"/>
          <w:sz w:val="20"/>
          <w:szCs w:val="20"/>
          <w:lang w:val="en-US"/>
        </w:rPr>
        <w:tab/>
      </w:r>
      <w:r w:rsidR="00471DBC" w:rsidRPr="00B069FB">
        <w:rPr>
          <w:rFonts w:ascii="Arial" w:eastAsiaTheme="minorHAnsi" w:hAnsi="Arial" w:cs="Times New Roman"/>
          <w:b/>
          <w:bCs/>
          <w:color w:val="000000" w:themeColor="text1"/>
          <w:sz w:val="20"/>
          <w:szCs w:val="20"/>
          <w:lang w:val="en-US"/>
        </w:rPr>
        <w:t>5</w:t>
      </w:r>
      <w:r w:rsidR="00471DBC" w:rsidRPr="00B069FB">
        <w:rPr>
          <w:rFonts w:ascii="Arial" w:eastAsiaTheme="minorHAnsi" w:hAnsi="Arial" w:cs="Times New Roman"/>
          <w:b/>
          <w:bCs/>
          <w:color w:val="000000" w:themeColor="text1"/>
          <w:sz w:val="20"/>
          <w:szCs w:val="20"/>
          <w:vertAlign w:val="superscript"/>
          <w:lang w:val="en-US"/>
        </w:rPr>
        <w:t>th</w:t>
      </w:r>
      <w:r w:rsidR="00471DBC" w:rsidRPr="00B069FB">
        <w:rPr>
          <w:rFonts w:ascii="Arial" w:eastAsiaTheme="minorHAnsi" w:hAnsi="Arial" w:cs="Times New Roman"/>
          <w:b/>
          <w:bCs/>
          <w:color w:val="000000" w:themeColor="text1"/>
          <w:sz w:val="20"/>
          <w:szCs w:val="20"/>
          <w:lang w:val="en-US"/>
        </w:rPr>
        <w:t xml:space="preserve"> round mutual evaluation report of </w:t>
      </w:r>
      <w:r w:rsidRPr="00B069FB">
        <w:rPr>
          <w:rFonts w:ascii="Arial" w:eastAsiaTheme="minorHAnsi" w:hAnsi="Arial" w:cs="Times New Roman"/>
          <w:b/>
          <w:bCs/>
          <w:color w:val="000000" w:themeColor="text1"/>
          <w:sz w:val="20"/>
          <w:szCs w:val="20"/>
          <w:lang w:val="en-US"/>
        </w:rPr>
        <w:t>Monaco</w:t>
      </w:r>
      <w:bookmarkEnd w:id="19"/>
    </w:p>
    <w:p w14:paraId="756A0B1E" w14:textId="1E78F9E6" w:rsidR="00471DBC" w:rsidRPr="00B069FB" w:rsidRDefault="00471DBC" w:rsidP="00471DBC">
      <w:pPr>
        <w:rPr>
          <w:lang w:val="en-US"/>
        </w:rPr>
      </w:pPr>
    </w:p>
    <w:p w14:paraId="4CED6144" w14:textId="59DDE602" w:rsidR="003C2584" w:rsidRPr="00B069FB" w:rsidRDefault="006E7463" w:rsidP="003C2584">
      <w:pPr>
        <w:rPr>
          <w:lang w:val="en-US"/>
        </w:rPr>
      </w:pPr>
      <w:r w:rsidRPr="00B069FB">
        <w:rPr>
          <w:lang w:val="en-US"/>
        </w:rPr>
        <w:t>The 5th Round mutual evaluation report of Monaco was adopted at the 64</w:t>
      </w:r>
      <w:r w:rsidRPr="00B069FB">
        <w:rPr>
          <w:vertAlign w:val="superscript"/>
          <w:lang w:val="en-US"/>
        </w:rPr>
        <w:t>th</w:t>
      </w:r>
      <w:r w:rsidRPr="00B069FB">
        <w:rPr>
          <w:lang w:val="en-US"/>
        </w:rPr>
        <w:t xml:space="preserve"> Plenary meeting in December 2022. </w:t>
      </w:r>
      <w:r w:rsidR="008565D0" w:rsidRPr="00B069FB">
        <w:rPr>
          <w:lang w:val="en-US"/>
        </w:rPr>
        <w:t xml:space="preserve">The </w:t>
      </w:r>
      <w:r w:rsidR="003C2584" w:rsidRPr="00B069FB">
        <w:rPr>
          <w:lang w:val="en-US"/>
        </w:rPr>
        <w:t xml:space="preserve">MONEYVAL </w:t>
      </w:r>
      <w:r w:rsidR="008565D0" w:rsidRPr="00B069FB">
        <w:rPr>
          <w:lang w:val="en-US"/>
        </w:rPr>
        <w:t xml:space="preserve">report considers </w:t>
      </w:r>
      <w:r w:rsidR="003C2584" w:rsidRPr="00B069FB">
        <w:rPr>
          <w:lang w:val="en-US"/>
        </w:rPr>
        <w:t xml:space="preserve">that the country has demonstrated a moderate level of effectiveness in relation to ML/TF risk understanding, international </w:t>
      </w:r>
      <w:r w:rsidR="003654E4">
        <w:rPr>
          <w:lang w:val="en-US"/>
        </w:rPr>
        <w:t>co-op</w:t>
      </w:r>
      <w:r w:rsidR="003C2584" w:rsidRPr="00B069FB">
        <w:rPr>
          <w:lang w:val="en-US"/>
        </w:rPr>
        <w:t>eration, the application of AML/CFT preventive measures by the private sector, the use of financial intelligence and the implementation of the United Nations targeted financial sanctions (TFS) on TF and proliferation financing (PF). The report finds that major improvements are also required regarding the transparency of legal persons, as well as TF investigations and prosecutions.</w:t>
      </w:r>
    </w:p>
    <w:p w14:paraId="7A528592" w14:textId="77777777" w:rsidR="003C2584" w:rsidRPr="00B069FB" w:rsidRDefault="003C2584" w:rsidP="003C2584">
      <w:pPr>
        <w:rPr>
          <w:lang w:val="en-US"/>
        </w:rPr>
      </w:pPr>
    </w:p>
    <w:p w14:paraId="49B95986" w14:textId="13384A4B" w:rsidR="003C2584" w:rsidRPr="00B069FB" w:rsidRDefault="003C2584" w:rsidP="003C2584">
      <w:r w:rsidRPr="00B069FB">
        <w:t xml:space="preserve">The report </w:t>
      </w:r>
      <w:r w:rsidR="006E7463" w:rsidRPr="00B069FB">
        <w:t xml:space="preserve">considers </w:t>
      </w:r>
      <w:r w:rsidRPr="00B069FB">
        <w:t>that fundamental improvements are needed to enhance effectiveness on supervision, ML investigations and prosecutions and confiscation of proceeds of crime.</w:t>
      </w:r>
    </w:p>
    <w:p w14:paraId="08DD8CD4" w14:textId="77777777" w:rsidR="003C2584" w:rsidRPr="00B069FB" w:rsidRDefault="003C2584" w:rsidP="003C2584"/>
    <w:p w14:paraId="66AC5221" w14:textId="347B5A91" w:rsidR="003C2584" w:rsidRPr="00B069FB" w:rsidRDefault="003C2584" w:rsidP="003C2584">
      <w:r w:rsidRPr="00B069FB">
        <w:t xml:space="preserve">MONEYVAL acknowledges that Monaco has undertaken commendable efforts to identify ML/TF risks. While the achieved results provide an initial risk understanding in some sectors, further analysis is needed regarding others (casinos, company services providers, trusts and virtual assets). Furthermore, the threat environment should be further analysed as regards organised crime and external money laundering threats.  </w:t>
      </w:r>
    </w:p>
    <w:p w14:paraId="7B4E3F3E" w14:textId="77777777" w:rsidR="003C2584" w:rsidRPr="00B069FB" w:rsidRDefault="003C2584" w:rsidP="003C2584"/>
    <w:p w14:paraId="7BD79DC4" w14:textId="30C63E7E" w:rsidR="003C2584" w:rsidRPr="00B069FB" w:rsidRDefault="003C2584" w:rsidP="003C2584">
      <w:r w:rsidRPr="00B069FB">
        <w:t xml:space="preserve">The Monegasque Financial Intelligence Unit (SICCFIN) is a key source of financial intelligence. Despite a significant lack of human and technical resources, SICCFIN has proven its capacity to produce high-quality analysis, which however is not fully used by the investigative authorities. </w:t>
      </w:r>
    </w:p>
    <w:p w14:paraId="405843C9" w14:textId="77777777" w:rsidR="003C2584" w:rsidRPr="00B069FB" w:rsidRDefault="003C2584" w:rsidP="003C2584"/>
    <w:p w14:paraId="19CC69FB" w14:textId="5DD26E7E" w:rsidR="003C2584" w:rsidRPr="00B069FB" w:rsidRDefault="003C2584" w:rsidP="003C2584">
      <w:r w:rsidRPr="00B069FB">
        <w:t xml:space="preserve">MONEYVAL notes that ML investigations and prosecutions do not appear to be consistent with Monaco’s risk profile, with </w:t>
      </w:r>
      <w:proofErr w:type="gramStart"/>
      <w:r w:rsidRPr="00B069FB">
        <w:t>particular shortcomings</w:t>
      </w:r>
      <w:proofErr w:type="gramEnd"/>
      <w:r w:rsidRPr="00B069FB">
        <w:t xml:space="preserve"> relating to complex cases. The report expresses concerns regarding the very low number of convictions achieved, and the even lower number of confiscation measures ordered, none of which covers property of equivalent value or property held by third parties. Monaco needs to enhance its efforts to identify and prioritize ML cases, seize, </w:t>
      </w:r>
      <w:proofErr w:type="gramStart"/>
      <w:r w:rsidRPr="00B069FB">
        <w:t>confiscate</w:t>
      </w:r>
      <w:proofErr w:type="gramEnd"/>
      <w:r w:rsidRPr="00B069FB">
        <w:t xml:space="preserve"> and recover the proceeds of ML and predicate offences. </w:t>
      </w:r>
    </w:p>
    <w:p w14:paraId="6CE5C757" w14:textId="77777777" w:rsidR="003C2584" w:rsidRPr="00B069FB" w:rsidRDefault="003C2584" w:rsidP="003C2584"/>
    <w:p w14:paraId="520A8CBD" w14:textId="55B4C3E3" w:rsidR="003C2584" w:rsidRPr="00B069FB" w:rsidRDefault="003C2584" w:rsidP="003C2584">
      <w:r w:rsidRPr="00B069FB">
        <w:t xml:space="preserve">Monaco needs to fundamentally improve its supervisory system. Deficiencies are noted in relation to beneficial ownership (BO) fit and proper checks, while the shortcomings in the risk understanding undermine authorities’ capacity to apply tailored supervision for </w:t>
      </w:r>
      <w:proofErr w:type="gramStart"/>
      <w:r w:rsidRPr="00B069FB">
        <w:t>a number of</w:t>
      </w:r>
      <w:proofErr w:type="gramEnd"/>
      <w:r w:rsidRPr="00B069FB">
        <w:t xml:space="preserve"> obliged entities. Sanctions for failure to comply with the AML/CFT obligations are limited, not proportionate, not dissuasive, and imposed with delays.</w:t>
      </w:r>
    </w:p>
    <w:p w14:paraId="12CBF846" w14:textId="77777777" w:rsidR="003C2584" w:rsidRPr="00B069FB" w:rsidRDefault="003C2584" w:rsidP="003C2584"/>
    <w:p w14:paraId="79C5FE3B" w14:textId="3D6A0F9D" w:rsidR="003C2584" w:rsidRPr="00B069FB" w:rsidRDefault="003C2584" w:rsidP="003C2584">
      <w:r w:rsidRPr="00B069FB">
        <w:t xml:space="preserve">Turning to the private sector, MONEYVAL notes that the AML/CFT obligations are implemented to some extent. The number of suspicious transaction reports (STRs) originating from the banking sector can be considered satisfactory, although the large volume of defensive reporting and excessively long transmission times raise questions about the quality of information provided. The designated non-financial business and professions (DNFBPs) have a poorer AML/CFT risk understanding and compliance culture. The number of STRs filed by casinos and </w:t>
      </w:r>
      <w:r w:rsidR="006E54F2" w:rsidRPr="00B069FB">
        <w:t>jewellers</w:t>
      </w:r>
      <w:r w:rsidRPr="00B069FB">
        <w:t xml:space="preserve"> is still limited even though the two sectors play an important role in the Principality.    </w:t>
      </w:r>
    </w:p>
    <w:p w14:paraId="77549A03" w14:textId="77777777" w:rsidR="003C2584" w:rsidRPr="00B069FB" w:rsidRDefault="003C2584" w:rsidP="003C2584"/>
    <w:p w14:paraId="7E4B0DE7" w14:textId="77777777" w:rsidR="004D5F3C" w:rsidRDefault="004D5F3C">
      <w:r>
        <w:br w:type="page"/>
      </w:r>
    </w:p>
    <w:p w14:paraId="3BB719E4" w14:textId="5A3354DA" w:rsidR="003C2584" w:rsidRPr="00B069FB" w:rsidRDefault="003C2584" w:rsidP="003C2584">
      <w:r w:rsidRPr="00B069FB">
        <w:lastRenderedPageBreak/>
        <w:t xml:space="preserve">Monaco is commended for reforming, the framework enabling the implementation of TF and PF-related TFS under the United Nations Security Council Resolutions (UNSCRs). Since May 2021, the existing delays under the previous system were reduced, although technical deficiencies were identified, mainly regarding the risk of freezing measures being lifted. While Monaco carried out an initial risk assessment of the non-profit sector, due to its recent adoption, it was not used to construct a risk-based approach. The existing awareness-raising and supervision measures could not be regarded as proportionate and targeted. </w:t>
      </w:r>
    </w:p>
    <w:p w14:paraId="3DBEA7BF" w14:textId="77777777" w:rsidR="003C2584" w:rsidRPr="00B069FB" w:rsidRDefault="003C2584" w:rsidP="003C2584"/>
    <w:p w14:paraId="7A690E6D" w14:textId="278A8489" w:rsidR="003C2584" w:rsidRPr="00B069FB" w:rsidRDefault="003C2584" w:rsidP="003C2584">
      <w:r w:rsidRPr="00B069FB">
        <w:t xml:space="preserve">MONEYVAL notes that there have been no prosecutions or convictions for TF in Monaco. Given the gaps in the TF risk analysis, it could not be concluded that this is fully in line with the country’s risk profile.  </w:t>
      </w:r>
    </w:p>
    <w:p w14:paraId="080B3CD0" w14:textId="77777777" w:rsidR="003C2584" w:rsidRPr="00B069FB" w:rsidRDefault="003C2584" w:rsidP="003C2584"/>
    <w:p w14:paraId="2B5B5A32" w14:textId="6C5D012D" w:rsidR="003C2584" w:rsidRPr="00B069FB" w:rsidRDefault="003C2584" w:rsidP="003C2584">
      <w:r w:rsidRPr="00B069FB">
        <w:t>MONEYVAL acknowledges the good understanding of ML/TF risk associated with the activities of various types of legal persons, by the Monegasque authorities, but criticises major shortcomings in obtaining beneficial ownership information. The mitigating measures applied are insufficient when it comes to a high-risk category of legal persons and in relation to the non-</w:t>
      </w:r>
      <w:proofErr w:type="gramStart"/>
      <w:r w:rsidRPr="00B069FB">
        <w:t>for profit</w:t>
      </w:r>
      <w:proofErr w:type="gramEnd"/>
      <w:r w:rsidRPr="00B069FB">
        <w:t xml:space="preserve"> organisations. Most of the applicable sanctions are not dissuasive and are rarely imposed.</w:t>
      </w:r>
    </w:p>
    <w:p w14:paraId="4702F9FB" w14:textId="77777777" w:rsidR="003C2584" w:rsidRPr="00B069FB" w:rsidRDefault="003C2584" w:rsidP="003C2584"/>
    <w:p w14:paraId="6A9FE789" w14:textId="60FC14AC" w:rsidR="003C2584" w:rsidRPr="00B069FB" w:rsidRDefault="003C2584" w:rsidP="003C2584">
      <w:r w:rsidRPr="00B069FB">
        <w:t xml:space="preserve">Major improvements are needed do enhance the Principality’s effectiveness in international </w:t>
      </w:r>
      <w:r w:rsidR="003654E4">
        <w:t>co-op</w:t>
      </w:r>
      <w:r w:rsidRPr="00B069FB">
        <w:t xml:space="preserve">eration. Monaco generally seeks the co-operation of its counterparts, although not entirely in line with the risk and context of the jurisdiction. The prosecution authorities execute requests satisfactorily, but systemic and unusual legislative obstacles, hinder the provision of mutual legal </w:t>
      </w:r>
      <w:r w:rsidR="00B069FB" w:rsidRPr="00B069FB">
        <w:t>assistance</w:t>
      </w:r>
      <w:r w:rsidRPr="00B069FB">
        <w:t xml:space="preserve"> by Monaco. As far as extradition is concerned, the restrictive interpretation by the courts of the dual criminality </w:t>
      </w:r>
      <w:proofErr w:type="gramStart"/>
      <w:r w:rsidRPr="00B069FB">
        <w:t>principle</w:t>
      </w:r>
      <w:proofErr w:type="gramEnd"/>
      <w:r w:rsidRPr="00B069FB">
        <w:t xml:space="preserve"> results in one out of two requests being refused.  </w:t>
      </w:r>
    </w:p>
    <w:p w14:paraId="7B06B9D5" w14:textId="77777777" w:rsidR="003C2584" w:rsidRPr="00B069FB" w:rsidRDefault="003C2584" w:rsidP="006E54F2"/>
    <w:p w14:paraId="2217A9D9" w14:textId="13825587" w:rsidR="00471DBC" w:rsidRPr="00B069FB" w:rsidRDefault="003C2584" w:rsidP="006E54F2">
      <w:bookmarkStart w:id="20" w:name="_Hlk132128741"/>
      <w:r w:rsidRPr="00B069FB">
        <w:t>Based on the results of its evaluation, MONEYVAL decided to apply its enhanced follow-up procedure and invited Monaco to report back in December 2024.</w:t>
      </w:r>
    </w:p>
    <w:bookmarkEnd w:id="20"/>
    <w:p w14:paraId="67BE41C4" w14:textId="1F1ED013" w:rsidR="00471DBC" w:rsidRPr="00B069FB" w:rsidRDefault="00471DBC" w:rsidP="000C5B9D">
      <w:pPr>
        <w:pStyle w:val="Heading2"/>
        <w:keepLines w:val="0"/>
        <w:tabs>
          <w:tab w:val="left" w:pos="709"/>
        </w:tabs>
        <w:spacing w:before="0"/>
        <w:ind w:right="680"/>
        <w:jc w:val="both"/>
        <w:rPr>
          <w:rFonts w:ascii="Arial" w:eastAsiaTheme="minorHAnsi" w:hAnsi="Arial" w:cs="Times New Roman"/>
          <w:b/>
          <w:bCs/>
          <w:color w:val="000000" w:themeColor="text1"/>
          <w:sz w:val="20"/>
          <w:szCs w:val="20"/>
          <w:highlight w:val="yellow"/>
        </w:rPr>
      </w:pPr>
    </w:p>
    <w:p w14:paraId="30F8AB2A" w14:textId="4CEE9BB0" w:rsidR="00277C14" w:rsidRPr="00B069FB" w:rsidRDefault="003C2584" w:rsidP="000C5B9D">
      <w:pPr>
        <w:pStyle w:val="Heading2"/>
        <w:keepLines w:val="0"/>
        <w:tabs>
          <w:tab w:val="left" w:pos="709"/>
        </w:tabs>
        <w:spacing w:before="0"/>
        <w:ind w:right="680"/>
        <w:jc w:val="both"/>
        <w:rPr>
          <w:rFonts w:ascii="Arial" w:eastAsiaTheme="minorHAnsi" w:hAnsi="Arial" w:cs="Times New Roman"/>
          <w:b/>
          <w:bCs/>
          <w:color w:val="000000" w:themeColor="text1"/>
          <w:sz w:val="20"/>
          <w:szCs w:val="20"/>
          <w:lang w:val="en-US"/>
        </w:rPr>
      </w:pPr>
      <w:bookmarkStart w:id="21" w:name="_Toc135409884"/>
      <w:r w:rsidRPr="00B069FB">
        <w:rPr>
          <w:rFonts w:ascii="Arial" w:eastAsiaTheme="minorHAnsi" w:hAnsi="Arial" w:cs="Times New Roman"/>
          <w:b/>
          <w:bCs/>
          <w:color w:val="000000" w:themeColor="text1"/>
          <w:sz w:val="20"/>
          <w:szCs w:val="20"/>
          <w:lang w:val="en-US"/>
        </w:rPr>
        <w:t>2.4</w:t>
      </w:r>
      <w:r w:rsidRPr="00B069FB">
        <w:rPr>
          <w:rFonts w:ascii="Arial" w:eastAsiaTheme="minorHAnsi" w:hAnsi="Arial" w:cs="Times New Roman"/>
          <w:b/>
          <w:bCs/>
          <w:color w:val="000000" w:themeColor="text1"/>
          <w:sz w:val="20"/>
          <w:szCs w:val="20"/>
          <w:lang w:val="en-US"/>
        </w:rPr>
        <w:tab/>
      </w:r>
      <w:r w:rsidR="00277C14" w:rsidRPr="00B069FB">
        <w:rPr>
          <w:rFonts w:ascii="Arial" w:eastAsiaTheme="minorHAnsi" w:hAnsi="Arial" w:cs="Times New Roman"/>
          <w:b/>
          <w:bCs/>
          <w:color w:val="000000" w:themeColor="text1"/>
          <w:sz w:val="20"/>
          <w:szCs w:val="20"/>
          <w:lang w:val="en-US"/>
        </w:rPr>
        <w:t>5</w:t>
      </w:r>
      <w:r w:rsidR="00277C14" w:rsidRPr="00B069FB">
        <w:rPr>
          <w:rFonts w:ascii="Arial" w:eastAsiaTheme="minorHAnsi" w:hAnsi="Arial" w:cs="Times New Roman"/>
          <w:b/>
          <w:bCs/>
          <w:color w:val="000000" w:themeColor="text1"/>
          <w:sz w:val="20"/>
          <w:szCs w:val="20"/>
          <w:vertAlign w:val="superscript"/>
          <w:lang w:val="en-US"/>
        </w:rPr>
        <w:t>th</w:t>
      </w:r>
      <w:r w:rsidR="000C5B9D" w:rsidRPr="00B069FB">
        <w:rPr>
          <w:rFonts w:ascii="Arial" w:eastAsiaTheme="minorHAnsi" w:hAnsi="Arial" w:cs="Times New Roman"/>
          <w:b/>
          <w:bCs/>
          <w:color w:val="000000" w:themeColor="text1"/>
          <w:sz w:val="20"/>
          <w:szCs w:val="20"/>
          <w:lang w:val="en-US"/>
        </w:rPr>
        <w:t> </w:t>
      </w:r>
      <w:r w:rsidR="00277C14" w:rsidRPr="00B069FB">
        <w:rPr>
          <w:rFonts w:ascii="Arial" w:eastAsiaTheme="minorHAnsi" w:hAnsi="Arial" w:cs="Times New Roman"/>
          <w:b/>
          <w:bCs/>
          <w:color w:val="000000" w:themeColor="text1"/>
          <w:sz w:val="20"/>
          <w:szCs w:val="20"/>
          <w:lang w:val="en-US"/>
        </w:rPr>
        <w:t xml:space="preserve">round mutual evaluation report of </w:t>
      </w:r>
      <w:bookmarkEnd w:id="17"/>
      <w:r w:rsidR="00471DBC" w:rsidRPr="00B069FB">
        <w:rPr>
          <w:rFonts w:ascii="Arial" w:eastAsiaTheme="minorHAnsi" w:hAnsi="Arial" w:cs="Times New Roman"/>
          <w:b/>
          <w:bCs/>
          <w:color w:val="000000" w:themeColor="text1"/>
          <w:sz w:val="20"/>
          <w:szCs w:val="20"/>
          <w:lang w:val="en-US"/>
        </w:rPr>
        <w:t>Estonia</w:t>
      </w:r>
      <w:bookmarkEnd w:id="21"/>
    </w:p>
    <w:p w14:paraId="64954A81" w14:textId="62EC7C06" w:rsidR="0074051E" w:rsidRPr="00B069FB" w:rsidRDefault="0074051E" w:rsidP="0074051E">
      <w:pPr>
        <w:rPr>
          <w:rFonts w:cs="Arial"/>
          <w:szCs w:val="20"/>
        </w:rPr>
      </w:pPr>
      <w:bookmarkStart w:id="22" w:name="_Toc66712418"/>
    </w:p>
    <w:p w14:paraId="2A300E35" w14:textId="162349D9" w:rsidR="00471DBC" w:rsidRPr="00B069FB" w:rsidRDefault="00ED6452" w:rsidP="00471DBC">
      <w:pPr>
        <w:rPr>
          <w:rFonts w:cs="Arial"/>
          <w:szCs w:val="20"/>
        </w:rPr>
      </w:pPr>
      <w:r w:rsidRPr="00B069FB">
        <w:rPr>
          <w:rFonts w:cs="Arial"/>
          <w:szCs w:val="20"/>
        </w:rPr>
        <w:t xml:space="preserve">The 5th Round mutual evaluation report of Estonia was adopted at the 64th Plenary meeting in December 2022. The report </w:t>
      </w:r>
      <w:r w:rsidR="00471DBC" w:rsidRPr="00B069FB">
        <w:rPr>
          <w:rFonts w:cs="Arial"/>
          <w:szCs w:val="20"/>
        </w:rPr>
        <w:t xml:space="preserve">acknowledges that the country has demonstrated a substantial level of effectiveness in international </w:t>
      </w:r>
      <w:r w:rsidR="003654E4">
        <w:rPr>
          <w:rFonts w:cs="Arial"/>
          <w:szCs w:val="20"/>
        </w:rPr>
        <w:t>co-op</w:t>
      </w:r>
      <w:r w:rsidR="00471DBC" w:rsidRPr="00B069FB">
        <w:rPr>
          <w:rFonts w:cs="Arial"/>
          <w:szCs w:val="20"/>
        </w:rPr>
        <w:t xml:space="preserve">eration, use of financial intelligence and implementation of the United Nations targeted financial sanctions on proliferation financing. The report finds that further improvements are needed in enhancing the understanding of ML/TF risks, effectiveness of ML and TF investigations and prosecutions, confiscation of proceeds of crime, implementation of targeted financial sanctions on TF, application of AML/CFT preventative measures by the private sector, </w:t>
      </w:r>
      <w:proofErr w:type="gramStart"/>
      <w:r w:rsidR="00471DBC" w:rsidRPr="00B069FB">
        <w:rPr>
          <w:rFonts w:cs="Arial"/>
          <w:szCs w:val="20"/>
        </w:rPr>
        <w:t>supervision</w:t>
      </w:r>
      <w:proofErr w:type="gramEnd"/>
      <w:r w:rsidR="00471DBC" w:rsidRPr="00B069FB">
        <w:rPr>
          <w:rFonts w:cs="Arial"/>
          <w:szCs w:val="20"/>
        </w:rPr>
        <w:t xml:space="preserve"> and transparency of beneficial ownership of legal persons and legal arrangements.</w:t>
      </w:r>
    </w:p>
    <w:p w14:paraId="26192818" w14:textId="77777777" w:rsidR="00471DBC" w:rsidRPr="00B069FB" w:rsidRDefault="00471DBC" w:rsidP="00471DBC">
      <w:pPr>
        <w:rPr>
          <w:rFonts w:cs="Arial"/>
          <w:szCs w:val="20"/>
        </w:rPr>
      </w:pPr>
    </w:p>
    <w:p w14:paraId="109DC749" w14:textId="1F0527C0" w:rsidR="00471DBC" w:rsidRPr="00B069FB" w:rsidRDefault="00471DBC" w:rsidP="00471DBC">
      <w:pPr>
        <w:rPr>
          <w:rFonts w:cs="Arial"/>
          <w:szCs w:val="20"/>
        </w:rPr>
      </w:pPr>
      <w:r w:rsidRPr="00B069FB">
        <w:rPr>
          <w:rFonts w:cs="Arial"/>
          <w:szCs w:val="20"/>
        </w:rPr>
        <w:t xml:space="preserve">MONEYVAL </w:t>
      </w:r>
      <w:r w:rsidR="00ED6452" w:rsidRPr="00B069FB">
        <w:rPr>
          <w:rFonts w:cs="Arial"/>
          <w:szCs w:val="20"/>
        </w:rPr>
        <w:t xml:space="preserve">considers </w:t>
      </w:r>
      <w:r w:rsidRPr="00B069FB">
        <w:rPr>
          <w:rFonts w:cs="Arial"/>
          <w:szCs w:val="20"/>
        </w:rPr>
        <w:t>that Estonia has an appropriate mechanism for identification, assessment and, subsequently, understanding of ML/TF risks. While the achieved results provide useful hints on sectors with higher risk exposure, they do not give a fully sufficient view of the risk environment.</w:t>
      </w:r>
    </w:p>
    <w:p w14:paraId="7844852F" w14:textId="77777777" w:rsidR="00471DBC" w:rsidRPr="00B069FB" w:rsidRDefault="00471DBC" w:rsidP="00471DBC">
      <w:pPr>
        <w:rPr>
          <w:rFonts w:cs="Arial"/>
          <w:szCs w:val="20"/>
        </w:rPr>
      </w:pPr>
    </w:p>
    <w:p w14:paraId="0FF2E3F2" w14:textId="3D4D8B7D" w:rsidR="00471DBC" w:rsidRPr="00B069FB" w:rsidRDefault="00471DBC" w:rsidP="00471DBC">
      <w:pPr>
        <w:rPr>
          <w:rFonts w:cs="Arial"/>
          <w:szCs w:val="20"/>
        </w:rPr>
      </w:pPr>
      <w:r w:rsidRPr="00B069FB">
        <w:rPr>
          <w:rFonts w:cs="Arial"/>
          <w:szCs w:val="20"/>
        </w:rPr>
        <w:t>Estonia is commended for co-ordination and co-operation between the Estonian Financial Intelligence Unite (EFIU) and the law enforcement authorities (LEAs). At the same time, the report finds that the EFIU should reinforce proactive detection of ML/TF targets. More efforts are required in improving interpretation of the ML offence and investigating and prosecuting ML in line with the risk in the country. LEAs and prosecutors are expected to enhance their efforts in dealing with complex types of ML, also where legal persons and company service providers (CSPs) are involved and misused. Estonia needs to enhance to a major extent its efforts to seize, confiscate and recover the proceeds of ML and predicate offences, especially those moved abroad, in line with its ML/TF risks.</w:t>
      </w:r>
    </w:p>
    <w:p w14:paraId="62ED009E" w14:textId="77777777" w:rsidR="00471DBC" w:rsidRPr="00B069FB" w:rsidRDefault="00471DBC" w:rsidP="00471DBC">
      <w:pPr>
        <w:rPr>
          <w:rFonts w:cs="Arial"/>
          <w:szCs w:val="20"/>
        </w:rPr>
      </w:pPr>
    </w:p>
    <w:p w14:paraId="741F8162" w14:textId="18D97471" w:rsidR="00471DBC" w:rsidRPr="00B069FB" w:rsidRDefault="00471DBC" w:rsidP="00471DBC">
      <w:pPr>
        <w:rPr>
          <w:rFonts w:cs="Arial"/>
          <w:szCs w:val="20"/>
        </w:rPr>
      </w:pPr>
      <w:r w:rsidRPr="00B069FB">
        <w:rPr>
          <w:rFonts w:cs="Arial"/>
          <w:szCs w:val="20"/>
        </w:rPr>
        <w:t>MONEYVAL noted that the authorities undertake investigations into TF and achieved a conviction, which demonstrates authorities’ skills and knowledge to deal with the TF offence. Nevertheless, those efforts need to be further enhanced in line with improved understanding of national TF risks, and the effectiveness of criminal sanctions should be improved.</w:t>
      </w:r>
    </w:p>
    <w:p w14:paraId="6954E399" w14:textId="77777777" w:rsidR="00471DBC" w:rsidRPr="00B069FB" w:rsidRDefault="00471DBC" w:rsidP="00471DBC">
      <w:pPr>
        <w:rPr>
          <w:rFonts w:cs="Arial"/>
          <w:szCs w:val="20"/>
        </w:rPr>
      </w:pPr>
    </w:p>
    <w:p w14:paraId="1D10DB89" w14:textId="77777777" w:rsidR="004D5F3C" w:rsidRDefault="004D5F3C">
      <w:pPr>
        <w:rPr>
          <w:rFonts w:cs="Arial"/>
          <w:szCs w:val="20"/>
        </w:rPr>
      </w:pPr>
      <w:r>
        <w:rPr>
          <w:rFonts w:cs="Arial"/>
          <w:szCs w:val="20"/>
        </w:rPr>
        <w:br w:type="page"/>
      </w:r>
    </w:p>
    <w:p w14:paraId="77B37336" w14:textId="35D73B76" w:rsidR="00471DBC" w:rsidRPr="00B069FB" w:rsidRDefault="00471DBC" w:rsidP="00471DBC">
      <w:pPr>
        <w:rPr>
          <w:rFonts w:cs="Arial"/>
          <w:szCs w:val="20"/>
        </w:rPr>
      </w:pPr>
      <w:r w:rsidRPr="00B069FB">
        <w:rPr>
          <w:rFonts w:cs="Arial"/>
          <w:szCs w:val="20"/>
        </w:rPr>
        <w:lastRenderedPageBreak/>
        <w:t xml:space="preserve">There was significant improvement achieved in implementation of preventative measures over the assessment period </w:t>
      </w:r>
      <w:proofErr w:type="gramStart"/>
      <w:r w:rsidRPr="00B069FB">
        <w:rPr>
          <w:rFonts w:cs="Arial"/>
          <w:szCs w:val="20"/>
        </w:rPr>
        <w:t>as a result of</w:t>
      </w:r>
      <w:proofErr w:type="gramEnd"/>
      <w:r w:rsidRPr="00B069FB">
        <w:rPr>
          <w:rFonts w:cs="Arial"/>
          <w:szCs w:val="20"/>
        </w:rPr>
        <w:t xml:space="preserve"> focused supervisory actions. The report concludes that currently, the understanding of ML/TF risks is good in the banking sector. Virtual assets service providers (VASPs) and CSPs demonstrated a superficial understanding of ML risks to which their individual businesses are exposed. Understanding of TF risk is generally lower across all sectors. Banks and VASPs have a generally good understanding of their AML/CFT obligations, while CSPs - to a lesser degree. Hence, further continued efforts of the supervisory authorities in strengthening the implementation of preventative measures by the private sector are still expected.</w:t>
      </w:r>
    </w:p>
    <w:p w14:paraId="5D85B6C8" w14:textId="77777777" w:rsidR="00471DBC" w:rsidRPr="00B069FB" w:rsidRDefault="00471DBC" w:rsidP="00471DBC">
      <w:pPr>
        <w:rPr>
          <w:rFonts w:cs="Arial"/>
          <w:szCs w:val="20"/>
        </w:rPr>
      </w:pPr>
    </w:p>
    <w:p w14:paraId="3A57E8B6" w14:textId="0C4A1139" w:rsidR="00471DBC" w:rsidRPr="00B069FB" w:rsidRDefault="00471DBC" w:rsidP="00471DBC">
      <w:pPr>
        <w:rPr>
          <w:rFonts w:cs="Arial"/>
          <w:szCs w:val="20"/>
        </w:rPr>
      </w:pPr>
      <w:r w:rsidRPr="00B069FB">
        <w:rPr>
          <w:rFonts w:cs="Arial"/>
          <w:szCs w:val="20"/>
        </w:rPr>
        <w:t>Beneficial ownership (BO) information on legal persons is available to competent authorities, but the measures in place do not fully enable availability of adequate, accurate and current BO information. The large share of Estonian companies with e-Residents as their basic or beneficial owners, significant involvement of licensed and non-licensed CSPs in the company registration processes, coupled with poorly designed and vaguely understood CDD measures implemented by them, are factors with adverse impact on the quality of BO information. Applicable sanctions are not effective.</w:t>
      </w:r>
    </w:p>
    <w:p w14:paraId="108360FF" w14:textId="77777777" w:rsidR="00471DBC" w:rsidRPr="00B069FB" w:rsidRDefault="00471DBC" w:rsidP="00471DBC">
      <w:pPr>
        <w:rPr>
          <w:rFonts w:cs="Arial"/>
          <w:szCs w:val="20"/>
        </w:rPr>
      </w:pPr>
    </w:p>
    <w:p w14:paraId="59875EF7" w14:textId="2055E1D9" w:rsidR="00471DBC" w:rsidRPr="00B069FB" w:rsidRDefault="00471DBC" w:rsidP="00471DBC">
      <w:pPr>
        <w:rPr>
          <w:rFonts w:cs="Arial"/>
          <w:szCs w:val="20"/>
        </w:rPr>
      </w:pPr>
      <w:r w:rsidRPr="00B069FB">
        <w:rPr>
          <w:rFonts w:cs="Arial"/>
          <w:szCs w:val="20"/>
        </w:rPr>
        <w:t>Finally, the report concludes that although there are some technical and procedural constraints, Estonia provides generally timely and constructive assistance across the range of requests for international co-operation, including mutual legal assistance.</w:t>
      </w:r>
    </w:p>
    <w:p w14:paraId="19C60F4F" w14:textId="77777777" w:rsidR="00471DBC" w:rsidRPr="00B069FB" w:rsidRDefault="00471DBC" w:rsidP="00471DBC">
      <w:pPr>
        <w:rPr>
          <w:rFonts w:cs="Arial"/>
          <w:szCs w:val="20"/>
        </w:rPr>
      </w:pPr>
    </w:p>
    <w:p w14:paraId="255ED829" w14:textId="77777777" w:rsidR="000307E9" w:rsidRDefault="00471DBC" w:rsidP="00471DBC">
      <w:pPr>
        <w:rPr>
          <w:rFonts w:cs="Arial"/>
          <w:szCs w:val="20"/>
        </w:rPr>
      </w:pPr>
      <w:r w:rsidRPr="00B069FB">
        <w:rPr>
          <w:rFonts w:cs="Arial"/>
          <w:szCs w:val="20"/>
        </w:rPr>
        <w:t xml:space="preserve">Estonia is subject to MONEYVAL’s enhanced follow-up reporting process </w:t>
      </w:r>
      <w:proofErr w:type="gramStart"/>
      <w:r w:rsidRPr="00B069FB">
        <w:rPr>
          <w:rFonts w:cs="Arial"/>
          <w:szCs w:val="20"/>
        </w:rPr>
        <w:t>as a result of</w:t>
      </w:r>
      <w:proofErr w:type="gramEnd"/>
      <w:r w:rsidRPr="00B069FB">
        <w:rPr>
          <w:rFonts w:cs="Arial"/>
          <w:szCs w:val="20"/>
        </w:rPr>
        <w:t xml:space="preserve"> the report.</w:t>
      </w:r>
    </w:p>
    <w:p w14:paraId="48D37747" w14:textId="77777777" w:rsidR="000307E9" w:rsidRDefault="000307E9" w:rsidP="0074051E">
      <w:pPr>
        <w:rPr>
          <w:rFonts w:cs="Arial"/>
          <w:szCs w:val="20"/>
        </w:rPr>
      </w:pPr>
    </w:p>
    <w:p w14:paraId="5E8848CB" w14:textId="71FCC169" w:rsidR="00277C14" w:rsidRPr="00B069FB" w:rsidRDefault="000C5B9D" w:rsidP="000C5B9D">
      <w:pPr>
        <w:pStyle w:val="Heading2"/>
        <w:keepLines w:val="0"/>
        <w:tabs>
          <w:tab w:val="left" w:pos="709"/>
        </w:tabs>
        <w:spacing w:before="0"/>
        <w:ind w:right="680"/>
        <w:jc w:val="both"/>
        <w:rPr>
          <w:rStyle w:val="docheader1"/>
          <w:rFonts w:ascii="Arial" w:hAnsi="Arial" w:cs="Arial"/>
          <w:color w:val="000000" w:themeColor="text1"/>
          <w:sz w:val="20"/>
          <w:szCs w:val="20"/>
        </w:rPr>
      </w:pPr>
      <w:bookmarkStart w:id="23" w:name="_Toc66712419"/>
      <w:bookmarkStart w:id="24" w:name="_Toc135409885"/>
      <w:bookmarkEnd w:id="22"/>
      <w:r w:rsidRPr="00B069FB">
        <w:rPr>
          <w:rStyle w:val="docheader1"/>
          <w:rFonts w:ascii="Arial" w:hAnsi="Arial" w:cs="Arial"/>
          <w:color w:val="000000" w:themeColor="text1"/>
          <w:sz w:val="20"/>
          <w:szCs w:val="20"/>
        </w:rPr>
        <w:t>2.</w:t>
      </w:r>
      <w:r w:rsidR="00565570" w:rsidRPr="00B069FB">
        <w:rPr>
          <w:rStyle w:val="docheader1"/>
          <w:rFonts w:ascii="Arial" w:hAnsi="Arial" w:cs="Arial"/>
          <w:color w:val="000000" w:themeColor="text1"/>
          <w:sz w:val="20"/>
          <w:szCs w:val="20"/>
        </w:rPr>
        <w:t>5</w:t>
      </w:r>
      <w:r w:rsidRPr="00B069FB">
        <w:rPr>
          <w:rStyle w:val="docheader1"/>
          <w:rFonts w:ascii="Arial" w:hAnsi="Arial" w:cs="Arial"/>
          <w:color w:val="000000" w:themeColor="text1"/>
          <w:sz w:val="20"/>
          <w:szCs w:val="20"/>
        </w:rPr>
        <w:t>.</w:t>
      </w:r>
      <w:r w:rsidRPr="00B069FB">
        <w:rPr>
          <w:rStyle w:val="docheader1"/>
          <w:rFonts w:ascii="Arial" w:hAnsi="Arial" w:cs="Arial"/>
          <w:color w:val="000000" w:themeColor="text1"/>
          <w:sz w:val="20"/>
          <w:szCs w:val="20"/>
        </w:rPr>
        <w:tab/>
      </w:r>
      <w:r w:rsidR="00277C14" w:rsidRPr="00B069FB">
        <w:rPr>
          <w:rStyle w:val="docheader1"/>
          <w:rFonts w:ascii="Arial" w:hAnsi="Arial" w:cs="Arial"/>
          <w:color w:val="000000" w:themeColor="text1"/>
          <w:sz w:val="20"/>
          <w:szCs w:val="20"/>
        </w:rPr>
        <w:t>5</w:t>
      </w:r>
      <w:r w:rsidR="00277C14" w:rsidRPr="00B069FB">
        <w:rPr>
          <w:rStyle w:val="docheader1"/>
          <w:rFonts w:ascii="Arial" w:hAnsi="Arial" w:cs="Arial"/>
          <w:color w:val="000000" w:themeColor="text1"/>
          <w:sz w:val="20"/>
          <w:szCs w:val="20"/>
          <w:vertAlign w:val="superscript"/>
        </w:rPr>
        <w:t>th</w:t>
      </w:r>
      <w:r w:rsidRPr="00B069FB">
        <w:rPr>
          <w:rStyle w:val="docheader1"/>
          <w:rFonts w:ascii="Arial" w:hAnsi="Arial" w:cs="Arial"/>
          <w:color w:val="000000" w:themeColor="text1"/>
          <w:sz w:val="20"/>
          <w:szCs w:val="20"/>
        </w:rPr>
        <w:t> </w:t>
      </w:r>
      <w:r w:rsidR="00277C14" w:rsidRPr="00B069FB">
        <w:rPr>
          <w:rStyle w:val="docheader1"/>
          <w:rFonts w:ascii="Arial" w:hAnsi="Arial" w:cs="Arial"/>
          <w:color w:val="000000" w:themeColor="text1"/>
          <w:sz w:val="20"/>
          <w:szCs w:val="20"/>
        </w:rPr>
        <w:t>Round follow-up reports</w:t>
      </w:r>
      <w:bookmarkEnd w:id="23"/>
      <w:bookmarkEnd w:id="24"/>
    </w:p>
    <w:p w14:paraId="3AC1BB47" w14:textId="77777777" w:rsidR="000C5B9D" w:rsidRPr="00B069FB" w:rsidRDefault="000C5B9D" w:rsidP="000C5B9D"/>
    <w:p w14:paraId="2D5D8052" w14:textId="45FD6974" w:rsidR="00277C14" w:rsidRPr="00B069FB" w:rsidRDefault="00277C14" w:rsidP="00277C14">
      <w:pPr>
        <w:rPr>
          <w:rFonts w:cs="Arial"/>
          <w:szCs w:val="20"/>
        </w:rPr>
      </w:pPr>
      <w:bookmarkStart w:id="25" w:name="_Hlk66636387"/>
      <w:r w:rsidRPr="00B069FB">
        <w:rPr>
          <w:rFonts w:cs="Arial"/>
          <w:szCs w:val="20"/>
        </w:rPr>
        <w:t xml:space="preserve">MONEYVAL </w:t>
      </w:r>
      <w:r w:rsidR="00AF7023" w:rsidRPr="00B069FB">
        <w:rPr>
          <w:rFonts w:cs="Arial"/>
          <w:szCs w:val="20"/>
        </w:rPr>
        <w:t xml:space="preserve">has been gradually reforming its system of follow-up reporting, </w:t>
      </w:r>
      <w:proofErr w:type="gramStart"/>
      <w:r w:rsidR="00AF7023" w:rsidRPr="00B069FB">
        <w:rPr>
          <w:rFonts w:cs="Arial"/>
          <w:szCs w:val="20"/>
        </w:rPr>
        <w:t>in order to</w:t>
      </w:r>
      <w:proofErr w:type="gramEnd"/>
      <w:r w:rsidR="00AF7023" w:rsidRPr="00B069FB">
        <w:rPr>
          <w:rFonts w:cs="Arial"/>
          <w:szCs w:val="20"/>
        </w:rPr>
        <w:t xml:space="preserve"> enhance transparency and engagement of members in the process in modalities similar to the mutual evaluation approach, including face-to-face meetings. In 2022 the Committee </w:t>
      </w:r>
      <w:r w:rsidRPr="00B069FB">
        <w:rPr>
          <w:rFonts w:cs="Arial"/>
          <w:szCs w:val="20"/>
        </w:rPr>
        <w:t xml:space="preserve">considered </w:t>
      </w:r>
      <w:r w:rsidR="0074051E" w:rsidRPr="00B069FB">
        <w:rPr>
          <w:rFonts w:cs="Arial"/>
          <w:szCs w:val="20"/>
        </w:rPr>
        <w:t>ten</w:t>
      </w:r>
      <w:r w:rsidRPr="00B069FB">
        <w:rPr>
          <w:rFonts w:cs="Arial"/>
          <w:szCs w:val="20"/>
        </w:rPr>
        <w:t xml:space="preserve"> </w:t>
      </w:r>
      <w:proofErr w:type="gramStart"/>
      <w:r w:rsidRPr="00B069FB">
        <w:rPr>
          <w:rFonts w:cs="Arial"/>
          <w:szCs w:val="20"/>
        </w:rPr>
        <w:t>5</w:t>
      </w:r>
      <w:r w:rsidRPr="00B069FB">
        <w:rPr>
          <w:rFonts w:cs="Arial"/>
          <w:szCs w:val="20"/>
          <w:vertAlign w:val="superscript"/>
        </w:rPr>
        <w:t>th</w:t>
      </w:r>
      <w:proofErr w:type="gramEnd"/>
      <w:r w:rsidR="001E2D7E" w:rsidRPr="00B069FB">
        <w:rPr>
          <w:rFonts w:cs="Arial"/>
          <w:szCs w:val="20"/>
        </w:rPr>
        <w:t> </w:t>
      </w:r>
      <w:r w:rsidRPr="00B069FB">
        <w:rPr>
          <w:rFonts w:cs="Arial"/>
          <w:szCs w:val="20"/>
        </w:rPr>
        <w:t>Round follow-up reports</w:t>
      </w:r>
      <w:bookmarkEnd w:id="25"/>
      <w:r w:rsidRPr="00B069FB">
        <w:rPr>
          <w:rFonts w:cs="Arial"/>
          <w:szCs w:val="20"/>
        </w:rPr>
        <w:t>.</w:t>
      </w:r>
    </w:p>
    <w:p w14:paraId="771084D4" w14:textId="77777777" w:rsidR="00277C14" w:rsidRPr="00B069FB" w:rsidRDefault="00277C14" w:rsidP="00277C14">
      <w:pPr>
        <w:rPr>
          <w:rFonts w:cs="Arial"/>
          <w:szCs w:val="20"/>
        </w:rPr>
      </w:pPr>
    </w:p>
    <w:p w14:paraId="6A60A53C" w14:textId="38AE155B" w:rsidR="0074051E" w:rsidRPr="00B069FB" w:rsidRDefault="0074051E" w:rsidP="0074051E">
      <w:pPr>
        <w:rPr>
          <w:rFonts w:cs="Arial"/>
          <w:szCs w:val="20"/>
        </w:rPr>
      </w:pPr>
      <w:r w:rsidRPr="00B069FB">
        <w:rPr>
          <w:rFonts w:cs="Arial"/>
          <w:szCs w:val="20"/>
        </w:rPr>
        <w:t xml:space="preserve">The follow-up report for </w:t>
      </w:r>
      <w:r w:rsidRPr="00B069FB">
        <w:rPr>
          <w:rFonts w:cs="Arial"/>
          <w:b/>
          <w:bCs/>
          <w:szCs w:val="20"/>
        </w:rPr>
        <w:t>Albania</w:t>
      </w:r>
      <w:r w:rsidRPr="00B069FB">
        <w:rPr>
          <w:rFonts w:cs="Arial"/>
          <w:szCs w:val="20"/>
        </w:rPr>
        <w:t xml:space="preserve"> has found that this country has improved measures to combat money laundering and terrorist financing in line with the FATF Recommendations. </w:t>
      </w:r>
      <w:r w:rsidR="008F0371" w:rsidRPr="00B069FB">
        <w:t xml:space="preserve"> </w:t>
      </w:r>
      <w:r w:rsidR="008F0371" w:rsidRPr="00B069FB">
        <w:rPr>
          <w:rFonts w:cs="Arial"/>
          <w:szCs w:val="20"/>
        </w:rPr>
        <w:t xml:space="preserve">The positive steps taken by the authorities resulted in the upgrading of the country’s ratings from “partially compliant” to “largely compliant” in two areas related to transparency and beneficial ownership (BO) of legal persons, and regulation and supervision of financial institutions; as well as in further upgrading from “partially compliant” to “compliant” </w:t>
      </w:r>
      <w:proofErr w:type="gramStart"/>
      <w:r w:rsidR="008F0371" w:rsidRPr="00B069FB">
        <w:rPr>
          <w:rFonts w:cs="Arial"/>
          <w:szCs w:val="20"/>
        </w:rPr>
        <w:t>in the area of</w:t>
      </w:r>
      <w:proofErr w:type="gramEnd"/>
      <w:r w:rsidR="008F0371" w:rsidRPr="00B069FB">
        <w:rPr>
          <w:rFonts w:cs="Arial"/>
          <w:szCs w:val="20"/>
        </w:rPr>
        <w:t xml:space="preserve"> mutual legal assistance (MLA) regarding freezing of assets and confiscation. Overall, Albania has met MONEYVAL’s general expectation by addressing most - if not all - technical compliance deficiencies within three years after the adoption of the mutual evaluation report.</w:t>
      </w:r>
    </w:p>
    <w:p w14:paraId="2D65A7B8" w14:textId="640E1472" w:rsidR="0074051E" w:rsidRPr="00B069FB" w:rsidRDefault="0074051E" w:rsidP="00277C14">
      <w:pPr>
        <w:rPr>
          <w:rFonts w:cs="Arial"/>
          <w:szCs w:val="20"/>
        </w:rPr>
      </w:pPr>
    </w:p>
    <w:p w14:paraId="34A59EDD" w14:textId="31E0D873" w:rsidR="0074051E" w:rsidRPr="00B069FB" w:rsidRDefault="0074051E" w:rsidP="008F0371">
      <w:pPr>
        <w:rPr>
          <w:rFonts w:cs="Arial"/>
          <w:szCs w:val="20"/>
        </w:rPr>
      </w:pPr>
      <w:r w:rsidRPr="00B069FB">
        <w:rPr>
          <w:rFonts w:cs="Arial"/>
          <w:szCs w:val="20"/>
        </w:rPr>
        <w:t xml:space="preserve">In its follow-up report for </w:t>
      </w:r>
      <w:r w:rsidRPr="00B069FB">
        <w:rPr>
          <w:rFonts w:cs="Arial"/>
          <w:b/>
          <w:bCs/>
          <w:szCs w:val="20"/>
        </w:rPr>
        <w:t>Hungary</w:t>
      </w:r>
      <w:r w:rsidR="00B069FB" w:rsidRPr="00B069FB">
        <w:rPr>
          <w:rFonts w:cs="Arial"/>
          <w:b/>
          <w:bCs/>
          <w:szCs w:val="20"/>
        </w:rPr>
        <w:t>,</w:t>
      </w:r>
      <w:r w:rsidRPr="00B069FB">
        <w:rPr>
          <w:rFonts w:cs="Arial"/>
          <w:szCs w:val="20"/>
        </w:rPr>
        <w:t xml:space="preserve"> MONEYVAL concluded that Hungary </w:t>
      </w:r>
      <w:r w:rsidR="008F0371" w:rsidRPr="00B069FB">
        <w:rPr>
          <w:rFonts w:cs="Arial"/>
          <w:szCs w:val="20"/>
        </w:rPr>
        <w:t>has improved measures to combat money laundering and terrorist financing, demonstrating good progress in the level of compliance with the FATF standards. The positive steps taken by the authorities have led to the upgrade of Hungary from “partially compliant” to “largely compliant” in three areas related to correspondent banking relationships, internal controls in financial institutions and transparency and beneficial ownership (BO) of legal persons.</w:t>
      </w:r>
      <w:r w:rsidR="008F0371" w:rsidRPr="00B069FB">
        <w:t xml:space="preserve"> </w:t>
      </w:r>
      <w:r w:rsidR="008F0371" w:rsidRPr="00B069FB">
        <w:rPr>
          <w:rFonts w:cs="Arial"/>
          <w:szCs w:val="20"/>
        </w:rPr>
        <w:t xml:space="preserve">Among the positive developments noted by MONEYVAL are the amendments to the Companies register, which has established the necessary requirements to ensure the accuracy of basic information of legal persons submitted to the register. Besides, Hungary has introduced requirements for financial institutions on screening procedures when hiring employees and on-going trainings. Moreover, new requirements have been introduced on correspondent banking relationship with financial institutions established within the EU. Overall, Hungary has succeeded in meeting the general expectation of MONEYVAL for countries to have addressed most - if not all - of the technical compliance deficiencies within five years after the adoption of the mutual evaluation report. </w:t>
      </w:r>
    </w:p>
    <w:p w14:paraId="019694BE" w14:textId="77777777" w:rsidR="00391766" w:rsidRPr="00B069FB" w:rsidRDefault="00391766" w:rsidP="0074051E">
      <w:pPr>
        <w:rPr>
          <w:rFonts w:cs="Arial"/>
          <w:szCs w:val="20"/>
        </w:rPr>
      </w:pPr>
    </w:p>
    <w:p w14:paraId="10A7241A" w14:textId="77777777" w:rsidR="004D5F3C" w:rsidRDefault="00A26D01" w:rsidP="0074051E">
      <w:r w:rsidRPr="00B069FB">
        <w:rPr>
          <w:rFonts w:cs="Arial"/>
          <w:szCs w:val="20"/>
        </w:rPr>
        <w:t xml:space="preserve">MONEYVAL found a range of improvements made by the </w:t>
      </w:r>
      <w:r w:rsidRPr="00B069FB">
        <w:rPr>
          <w:rFonts w:cs="Arial"/>
          <w:b/>
          <w:bCs/>
          <w:szCs w:val="20"/>
        </w:rPr>
        <w:t>Republic of Moldova</w:t>
      </w:r>
      <w:r w:rsidRPr="00B069FB">
        <w:rPr>
          <w:rFonts w:cs="Arial"/>
          <w:szCs w:val="20"/>
        </w:rPr>
        <w:t xml:space="preserve"> to its measures to combat money laundering and terrorist financing. The positive steps taken by the authorities have led to the upgrading of the country’s ratings from “partially compliant” to “largely compliant” in four areas related to the activities of designated non-financial businesses and professions, customer due diligence, politically exposed persons, and higher risk countries. However, in the field of new technologies, where new international requirements for virtual assets have been introduced, Moldova’s rating has been downgraded.</w:t>
      </w:r>
      <w:r w:rsidRPr="00B069FB">
        <w:t xml:space="preserve"> </w:t>
      </w:r>
    </w:p>
    <w:p w14:paraId="3BBC09BA" w14:textId="77777777" w:rsidR="004D5F3C" w:rsidRDefault="004D5F3C">
      <w:r>
        <w:br w:type="page"/>
      </w:r>
    </w:p>
    <w:p w14:paraId="142DED88" w14:textId="7720ADE4" w:rsidR="00A26D01" w:rsidRPr="00B069FB" w:rsidRDefault="00A26D01" w:rsidP="0074051E">
      <w:pPr>
        <w:rPr>
          <w:rFonts w:cs="Arial"/>
          <w:szCs w:val="20"/>
        </w:rPr>
      </w:pPr>
      <w:r w:rsidRPr="00B069FB">
        <w:rPr>
          <w:rFonts w:cs="Arial"/>
          <w:szCs w:val="20"/>
        </w:rPr>
        <w:lastRenderedPageBreak/>
        <w:t xml:space="preserve">Among the positive developments identified by MONEYVAL is the expansion of the scope of the entities obliged to carry out customer due diligence requirements. Previously identified deficiencies regarding the need for enhanced due diligence for high-risk countries have also been addressed. Moldova has equally taken necessary steps </w:t>
      </w:r>
      <w:proofErr w:type="gramStart"/>
      <w:r w:rsidRPr="00B069FB">
        <w:rPr>
          <w:rFonts w:cs="Arial"/>
          <w:szCs w:val="20"/>
        </w:rPr>
        <w:t>in the area of</w:t>
      </w:r>
      <w:proofErr w:type="gramEnd"/>
      <w:r w:rsidRPr="00B069FB">
        <w:rPr>
          <w:rFonts w:cs="Arial"/>
          <w:szCs w:val="20"/>
        </w:rPr>
        <w:t xml:space="preserve"> politically exposed persons with the view to enhancing requirements for financial institutions.</w:t>
      </w:r>
    </w:p>
    <w:p w14:paraId="7B5BD227" w14:textId="77777777" w:rsidR="00A26D01" w:rsidRPr="00B069FB" w:rsidRDefault="00A26D01" w:rsidP="0074051E">
      <w:pPr>
        <w:rPr>
          <w:rFonts w:cs="Arial"/>
          <w:szCs w:val="20"/>
        </w:rPr>
      </w:pPr>
    </w:p>
    <w:p w14:paraId="08F888D7" w14:textId="396045F2" w:rsidR="00A26D01" w:rsidRPr="00B069FB" w:rsidRDefault="0074051E" w:rsidP="00A26D01">
      <w:pPr>
        <w:rPr>
          <w:rFonts w:cs="Arial"/>
          <w:szCs w:val="20"/>
        </w:rPr>
      </w:pPr>
      <w:r w:rsidRPr="00B069FB">
        <w:rPr>
          <w:rFonts w:cs="Arial"/>
          <w:szCs w:val="20"/>
        </w:rPr>
        <w:t xml:space="preserve">MONEYVAL noted </w:t>
      </w:r>
      <w:r w:rsidRPr="00B069FB">
        <w:rPr>
          <w:rFonts w:cs="Arial"/>
          <w:b/>
          <w:bCs/>
          <w:szCs w:val="20"/>
        </w:rPr>
        <w:t>Slovenia’s</w:t>
      </w:r>
      <w:r w:rsidRPr="00B069FB">
        <w:rPr>
          <w:rFonts w:cs="Arial"/>
          <w:szCs w:val="20"/>
        </w:rPr>
        <w:t xml:space="preserve"> positive progress </w:t>
      </w:r>
      <w:r w:rsidR="00A26D01" w:rsidRPr="00B069FB">
        <w:rPr>
          <w:rFonts w:cs="Arial"/>
          <w:szCs w:val="20"/>
        </w:rPr>
        <w:t xml:space="preserve">in AML/CFT reforms, which has led to an upgrade from “partially compliant” to “largely compliant” in the area related to assessment of money laundering and terrorist financing (ML/TF) risks. However, the legal framework of Slovenia still contains significant deficiencies as regards the criminalisation of terrorism financing. Therefore, Slovenia has not succeeded in meeting the general expectation of MONEYVAL, which is that countries should have addressed most - if not all - of the technical compliance deficiencies within three years after the adoption of the mutual evaluation report in June 2017. Under these circumstances, MONEYVAL decided to apply its Compliance Enhancing Procedures (CEPs) </w:t>
      </w:r>
      <w:proofErr w:type="gramStart"/>
      <w:r w:rsidR="00A26D01" w:rsidRPr="00B069FB">
        <w:rPr>
          <w:rFonts w:cs="Arial"/>
          <w:szCs w:val="20"/>
        </w:rPr>
        <w:t>with regard to</w:t>
      </w:r>
      <w:proofErr w:type="gramEnd"/>
      <w:r w:rsidR="00A26D01" w:rsidRPr="00B069FB">
        <w:rPr>
          <w:rFonts w:cs="Arial"/>
          <w:szCs w:val="20"/>
        </w:rPr>
        <w:t xml:space="preserve"> Slovenia. The first step envisaged inviting the Secretary General of the Council of Europe to send a letter to the country’s authorities requesting the necessary corrective measures to be taken. The respective exchange of letters between the Secretary General and Slovenian authorities resulted in positive legislative changes to be reviewed by MONEYVAL in 2023. </w:t>
      </w:r>
    </w:p>
    <w:p w14:paraId="04E24694" w14:textId="06D12B6A" w:rsidR="001E2D7E" w:rsidRPr="00B069FB" w:rsidRDefault="001E2D7E">
      <w:pPr>
        <w:rPr>
          <w:rFonts w:cs="Arial"/>
          <w:szCs w:val="20"/>
        </w:rPr>
      </w:pPr>
    </w:p>
    <w:p w14:paraId="67E78131" w14:textId="6EA1B2DA" w:rsidR="00C56DEA" w:rsidRPr="00B069FB" w:rsidRDefault="00C56DEA" w:rsidP="00C56DEA">
      <w:pPr>
        <w:rPr>
          <w:rFonts w:cs="Arial"/>
          <w:szCs w:val="20"/>
        </w:rPr>
      </w:pPr>
      <w:r w:rsidRPr="00B069FB">
        <w:rPr>
          <w:rFonts w:cs="Arial"/>
          <w:szCs w:val="20"/>
        </w:rPr>
        <w:t xml:space="preserve">MONEYVAL considers that the </w:t>
      </w:r>
      <w:r w:rsidRPr="00B069FB">
        <w:rPr>
          <w:rFonts w:cs="Arial"/>
          <w:b/>
          <w:bCs/>
          <w:szCs w:val="20"/>
        </w:rPr>
        <w:t>Czech Republic</w:t>
      </w:r>
      <w:r w:rsidRPr="00B069FB">
        <w:rPr>
          <w:rFonts w:cs="Arial"/>
          <w:szCs w:val="20"/>
        </w:rPr>
        <w:t xml:space="preserve"> has </w:t>
      </w:r>
      <w:r w:rsidR="00830172" w:rsidRPr="00B069FB">
        <w:rPr>
          <w:rFonts w:cs="Arial"/>
          <w:szCs w:val="20"/>
        </w:rPr>
        <w:t xml:space="preserve">taken some steps to enhance its level of compliance with the FATF standards, </w:t>
      </w:r>
      <w:proofErr w:type="gramStart"/>
      <w:r w:rsidR="00830172" w:rsidRPr="00B069FB">
        <w:rPr>
          <w:rFonts w:cs="Arial"/>
          <w:szCs w:val="20"/>
        </w:rPr>
        <w:t>in particular concerning</w:t>
      </w:r>
      <w:proofErr w:type="gramEnd"/>
      <w:r w:rsidR="00830172" w:rsidRPr="00B069FB">
        <w:rPr>
          <w:rFonts w:cs="Arial"/>
          <w:szCs w:val="20"/>
        </w:rPr>
        <w:t xml:space="preserve"> the physical cross-border transportation of currency and bearer negotiable instruments (BNIs). MONEYVAL concludes that the authorities have taken some positive steps to empower the customs to temporarily detain currency and bearer negotiable instruments, though this established legal framework only applies to currency and BNIs entering or leaving the EU. The Czech Republic is expected to report back to MONEYVAL on further progress to strengthen its implementation of AML/CFT measures in 2023.</w:t>
      </w:r>
    </w:p>
    <w:p w14:paraId="2949860B" w14:textId="5D965175" w:rsidR="00C56DEA" w:rsidRPr="00B069FB" w:rsidRDefault="00C56DEA" w:rsidP="00C56DEA">
      <w:pPr>
        <w:rPr>
          <w:rFonts w:cs="Arial"/>
          <w:szCs w:val="20"/>
        </w:rPr>
      </w:pPr>
    </w:p>
    <w:p w14:paraId="6ABFE48C" w14:textId="266B3E9C" w:rsidR="00440DE9" w:rsidRPr="00B069FB" w:rsidRDefault="00440DE9" w:rsidP="00440DE9">
      <w:pPr>
        <w:rPr>
          <w:rFonts w:cs="Arial"/>
          <w:szCs w:val="20"/>
        </w:rPr>
      </w:pPr>
      <w:r w:rsidRPr="00B069FB">
        <w:rPr>
          <w:rFonts w:cs="Arial"/>
          <w:szCs w:val="20"/>
        </w:rPr>
        <w:t xml:space="preserve">The </w:t>
      </w:r>
      <w:r w:rsidRPr="00B069FB">
        <w:rPr>
          <w:rFonts w:cs="Arial"/>
          <w:b/>
          <w:bCs/>
          <w:szCs w:val="20"/>
        </w:rPr>
        <w:t>Republic of Slovakia</w:t>
      </w:r>
      <w:r w:rsidRPr="00B069FB">
        <w:rPr>
          <w:rFonts w:cs="Arial"/>
          <w:szCs w:val="20"/>
        </w:rPr>
        <w:t xml:space="preserve"> has improved measures to combat money laundering and terrorist financing, demonstrating good progress in the level of compliance with the FATF standards. The positive steps taken by the authorities have led to the upgrading of the country’s ratings from “partially compliant” to “largely compliant” in four areas related to the ML/TF risk assessment, suspicious transaction reporting, designation of a competent authority for ML and maintaining comprehensive statistics. However, in the field of new technologies, where international requirements for virtual assets have recently been introduced, Slovakia’s rating has been downgraded.</w:t>
      </w:r>
      <w:r w:rsidRPr="00B069FB">
        <w:t xml:space="preserve"> </w:t>
      </w:r>
      <w:r w:rsidRPr="00B069FB">
        <w:rPr>
          <w:rFonts w:cs="Arial"/>
          <w:szCs w:val="20"/>
        </w:rPr>
        <w:t xml:space="preserve">Among the positive developments identified by MONEYVAL is the adoption of the Action plan to manage and mitigate ML and TF risks. Previously identified deficiencies regarding the requirement to report suspicious transactions to the Financial Intelligence Unit have also been addressed. Slovakia has equally taken necessary steps </w:t>
      </w:r>
      <w:proofErr w:type="gramStart"/>
      <w:r w:rsidRPr="00B069FB">
        <w:rPr>
          <w:rFonts w:cs="Arial"/>
          <w:szCs w:val="20"/>
        </w:rPr>
        <w:t>in the area of</w:t>
      </w:r>
      <w:proofErr w:type="gramEnd"/>
      <w:r w:rsidRPr="00B069FB">
        <w:rPr>
          <w:rFonts w:cs="Arial"/>
          <w:szCs w:val="20"/>
        </w:rPr>
        <w:t xml:space="preserve"> establishing a competent authority to investigate ML cases and a requirement to keep and maintain comprehensive statistical data.</w:t>
      </w:r>
    </w:p>
    <w:p w14:paraId="6771F0F0" w14:textId="19351A6E" w:rsidR="0008234F" w:rsidRPr="00B069FB" w:rsidRDefault="0008234F" w:rsidP="00C56DEA">
      <w:pPr>
        <w:rPr>
          <w:rFonts w:cs="Arial"/>
          <w:szCs w:val="20"/>
        </w:rPr>
      </w:pPr>
    </w:p>
    <w:p w14:paraId="005CD8A3" w14:textId="26531C7A" w:rsidR="00440DE9" w:rsidRPr="00B069FB" w:rsidRDefault="0001496F" w:rsidP="00440DE9">
      <w:pPr>
        <w:rPr>
          <w:rFonts w:cs="Arial"/>
          <w:szCs w:val="20"/>
        </w:rPr>
      </w:pPr>
      <w:r w:rsidRPr="00B069FB">
        <w:rPr>
          <w:rFonts w:cs="Arial"/>
          <w:szCs w:val="20"/>
        </w:rPr>
        <w:t xml:space="preserve">MONEYVAL assessed the progress made by </w:t>
      </w:r>
      <w:r w:rsidRPr="00B069FB">
        <w:rPr>
          <w:rFonts w:cs="Arial"/>
          <w:b/>
          <w:bCs/>
          <w:szCs w:val="20"/>
        </w:rPr>
        <w:t>Cyprus</w:t>
      </w:r>
      <w:r w:rsidRPr="00B069FB">
        <w:rPr>
          <w:rFonts w:cs="Arial"/>
          <w:szCs w:val="20"/>
        </w:rPr>
        <w:t xml:space="preserve"> on legislative, regulatory and institutional measures </w:t>
      </w:r>
      <w:r w:rsidR="00440DE9" w:rsidRPr="00B069FB">
        <w:rPr>
          <w:rFonts w:cs="Arial"/>
          <w:szCs w:val="20"/>
        </w:rPr>
        <w:t xml:space="preserve">to tackle money laundering and terrorism </w:t>
      </w:r>
      <w:proofErr w:type="gramStart"/>
      <w:r w:rsidR="00440DE9" w:rsidRPr="00B069FB">
        <w:rPr>
          <w:rFonts w:cs="Arial"/>
          <w:szCs w:val="20"/>
        </w:rPr>
        <w:t>financing, and</w:t>
      </w:r>
      <w:proofErr w:type="gramEnd"/>
      <w:r w:rsidR="00440DE9" w:rsidRPr="00B069FB">
        <w:rPr>
          <w:rFonts w:cs="Arial"/>
          <w:szCs w:val="20"/>
        </w:rPr>
        <w:t xml:space="preserve"> found that Cyprus has made some progress in improving its level of compliance with FATF standards.</w:t>
      </w:r>
      <w:r w:rsidR="00391766" w:rsidRPr="00B069FB">
        <w:rPr>
          <w:rFonts w:cs="Arial"/>
          <w:szCs w:val="20"/>
        </w:rPr>
        <w:t xml:space="preserve"> </w:t>
      </w:r>
      <w:r w:rsidR="00440DE9" w:rsidRPr="00B069FB">
        <w:rPr>
          <w:rFonts w:cs="Arial"/>
          <w:szCs w:val="20"/>
        </w:rPr>
        <w:t xml:space="preserve">The Cypriot authorities took measures aimed at improving the level of compliance with the FATF Recommendations concerning non-profit organizations, virtual asset services providers (VASPs) and powers of investigative and law enforcement authorities, however, moderate shortcomings </w:t>
      </w:r>
      <w:proofErr w:type="gramStart"/>
      <w:r w:rsidR="00440DE9" w:rsidRPr="00B069FB">
        <w:rPr>
          <w:rFonts w:cs="Arial"/>
          <w:szCs w:val="20"/>
        </w:rPr>
        <w:t>still remain</w:t>
      </w:r>
      <w:proofErr w:type="gramEnd"/>
      <w:r w:rsidR="00440DE9" w:rsidRPr="00B069FB">
        <w:rPr>
          <w:rFonts w:cs="Arial"/>
          <w:szCs w:val="20"/>
        </w:rPr>
        <w:t>.</w:t>
      </w:r>
      <w:r w:rsidR="00391766" w:rsidRPr="00B069FB">
        <w:t xml:space="preserve"> Specifically, t</w:t>
      </w:r>
      <w:r w:rsidR="00391766" w:rsidRPr="00B069FB">
        <w:rPr>
          <w:rFonts w:cs="Arial"/>
          <w:szCs w:val="20"/>
        </w:rPr>
        <w:t xml:space="preserve">he authorities have taken several measures to assess terrorism financing (TF) risk exposure by the non-profit sector and strengthen its oversight activities, however, these measures have not yet been fully implemented. Substantive progress has been made by Cyprus in the implementation of its VASP regime, however, inter alia, there is no national action plan to address risks identified in the VASP sector and some technical deficiencies remain in implementation of preventive measures, including the so called “travel rule”. In addition, moderate shortcomings remain relating to the absence of powers to intercept the content of communication concerning the investigation of money laundering, terrorism financing and some other associated predicate offences, such as, for example, sexual exploitation, participation in an organised criminal group, fraud, theft, arms trafficking, some corruption </w:t>
      </w:r>
      <w:proofErr w:type="gramStart"/>
      <w:r w:rsidR="00391766" w:rsidRPr="00B069FB">
        <w:rPr>
          <w:rFonts w:cs="Arial"/>
          <w:szCs w:val="20"/>
        </w:rPr>
        <w:t>offences</w:t>
      </w:r>
      <w:proofErr w:type="gramEnd"/>
      <w:r w:rsidR="00391766" w:rsidRPr="00B069FB">
        <w:rPr>
          <w:rFonts w:cs="Arial"/>
          <w:szCs w:val="20"/>
        </w:rPr>
        <w:t xml:space="preserve"> and tax crimes, among others.</w:t>
      </w:r>
    </w:p>
    <w:p w14:paraId="75BD47AC" w14:textId="17D81A87" w:rsidR="00391766" w:rsidRPr="00B069FB" w:rsidRDefault="00391766" w:rsidP="0001496F">
      <w:pPr>
        <w:rPr>
          <w:rFonts w:cs="Arial"/>
          <w:szCs w:val="20"/>
        </w:rPr>
      </w:pPr>
    </w:p>
    <w:p w14:paraId="724FEEB7" w14:textId="77777777" w:rsidR="004D5F3C" w:rsidRDefault="00391766" w:rsidP="00391766">
      <w:pPr>
        <w:rPr>
          <w:rFonts w:cs="Arial"/>
          <w:szCs w:val="20"/>
        </w:rPr>
      </w:pPr>
      <w:r w:rsidRPr="00B069FB">
        <w:rPr>
          <w:rFonts w:cs="Arial"/>
          <w:szCs w:val="20"/>
        </w:rPr>
        <w:t xml:space="preserve">MONEYVAL's follow-up report of </w:t>
      </w:r>
      <w:r w:rsidRPr="00B069FB">
        <w:rPr>
          <w:rFonts w:cs="Arial"/>
          <w:b/>
          <w:bCs/>
          <w:szCs w:val="20"/>
        </w:rPr>
        <w:t>Georgia</w:t>
      </w:r>
      <w:r w:rsidRPr="00B069FB">
        <w:rPr>
          <w:rFonts w:cs="Arial"/>
          <w:szCs w:val="20"/>
        </w:rPr>
        <w:t xml:space="preserve"> found improvements in its measures to combat money laundering and terrorist financing. It notes good progress achieved by Georgia within its Financial Intelligence Unit, leading to an upgrade from “partially compliant” to “largely compliant” with FATF Recommendation 29. By enhancing the powers of the Financial Monitoring Service (Financial Intelligence </w:t>
      </w:r>
    </w:p>
    <w:p w14:paraId="4A7F118D" w14:textId="77777777" w:rsidR="004D5F3C" w:rsidRDefault="004D5F3C">
      <w:pPr>
        <w:rPr>
          <w:rFonts w:cs="Arial"/>
          <w:szCs w:val="20"/>
        </w:rPr>
      </w:pPr>
      <w:r>
        <w:rPr>
          <w:rFonts w:cs="Arial"/>
          <w:szCs w:val="20"/>
        </w:rPr>
        <w:br w:type="page"/>
      </w:r>
    </w:p>
    <w:p w14:paraId="587E74C0" w14:textId="7F85C90E" w:rsidR="00391766" w:rsidRPr="00B069FB" w:rsidRDefault="00391766" w:rsidP="00391766">
      <w:pPr>
        <w:rPr>
          <w:rFonts w:cs="Arial"/>
          <w:szCs w:val="20"/>
        </w:rPr>
      </w:pPr>
      <w:r w:rsidRPr="00B069FB">
        <w:rPr>
          <w:rFonts w:cs="Arial"/>
          <w:szCs w:val="20"/>
        </w:rPr>
        <w:lastRenderedPageBreak/>
        <w:t>Unit of Georgia) to disseminate information and results of analyses upon request and without a court order to all law enforcement authorities, Georgia has addressed a significant shortcoming earlier identified. Only minor shortcomings remain regarding a lack of explicit reference to require the Financial Monitoring Service to conduct operational and strategic analysis and the scope of the money laundering definition.</w:t>
      </w:r>
    </w:p>
    <w:p w14:paraId="4CB9300B" w14:textId="77777777" w:rsidR="00FE0529" w:rsidRPr="00B069FB" w:rsidRDefault="00FE0529" w:rsidP="00FE0529">
      <w:pPr>
        <w:rPr>
          <w:rFonts w:cs="Arial"/>
          <w:szCs w:val="20"/>
        </w:rPr>
      </w:pPr>
    </w:p>
    <w:p w14:paraId="1E5FF6B9" w14:textId="77777777" w:rsidR="00FE0529" w:rsidRPr="00B069FB" w:rsidRDefault="00FE0529" w:rsidP="00FE0529">
      <w:pPr>
        <w:rPr>
          <w:rFonts w:cs="Arial"/>
          <w:szCs w:val="20"/>
        </w:rPr>
      </w:pPr>
      <w:r w:rsidRPr="00B069FB">
        <w:rPr>
          <w:rFonts w:cs="Arial"/>
          <w:szCs w:val="20"/>
        </w:rPr>
        <w:t xml:space="preserve">MONEYVAL adopted the follow-up report of the </w:t>
      </w:r>
      <w:r w:rsidRPr="00B069FB">
        <w:rPr>
          <w:rFonts w:cs="Arial"/>
          <w:b/>
          <w:bCs/>
          <w:szCs w:val="20"/>
        </w:rPr>
        <w:t>Isle of Man</w:t>
      </w:r>
      <w:r w:rsidRPr="00B069FB">
        <w:rPr>
          <w:rFonts w:cs="Arial"/>
          <w:szCs w:val="20"/>
        </w:rPr>
        <w:t xml:space="preserve">, noting only few remaining deficiencies in its AML/CFT regime, </w:t>
      </w:r>
      <w:proofErr w:type="gramStart"/>
      <w:r w:rsidRPr="00B069FB">
        <w:rPr>
          <w:rFonts w:cs="Arial"/>
          <w:szCs w:val="20"/>
        </w:rPr>
        <w:t>in particular as</w:t>
      </w:r>
      <w:proofErr w:type="gramEnd"/>
      <w:r w:rsidRPr="00B069FB">
        <w:rPr>
          <w:rFonts w:cs="Arial"/>
          <w:szCs w:val="20"/>
        </w:rPr>
        <w:t xml:space="preserve"> regards compliance requirements for designated non-financial businesses and professions in accordance with FATF Recommendation 23. The Isle of Man has otherwise achieved an adequate level of compliance with all other AML/CFT requirements as prescribed by the FATF Recommendations. </w:t>
      </w:r>
    </w:p>
    <w:p w14:paraId="25565FAF" w14:textId="77777777" w:rsidR="00FE0529" w:rsidRPr="00B069FB" w:rsidRDefault="00FE0529" w:rsidP="00FE0529">
      <w:pPr>
        <w:rPr>
          <w:rFonts w:cs="Arial"/>
          <w:szCs w:val="20"/>
        </w:rPr>
      </w:pPr>
    </w:p>
    <w:p w14:paraId="764A3D7D" w14:textId="118D7D4F" w:rsidR="00FE0529" w:rsidRPr="00CB1566" w:rsidRDefault="00FE0529" w:rsidP="00FE0529">
      <w:pPr>
        <w:rPr>
          <w:rFonts w:cs="Arial"/>
          <w:szCs w:val="20"/>
        </w:rPr>
      </w:pPr>
      <w:r w:rsidRPr="00B069FB">
        <w:rPr>
          <w:rFonts w:cs="Arial"/>
          <w:szCs w:val="20"/>
        </w:rPr>
        <w:t xml:space="preserve">MONEYVAL considered that </w:t>
      </w:r>
      <w:r w:rsidRPr="00B069FB">
        <w:rPr>
          <w:rFonts w:cs="Arial"/>
          <w:b/>
          <w:bCs/>
          <w:szCs w:val="20"/>
        </w:rPr>
        <w:t>Lithuania</w:t>
      </w:r>
      <w:r w:rsidRPr="00B069FB">
        <w:rPr>
          <w:rFonts w:cs="Arial"/>
          <w:szCs w:val="20"/>
        </w:rPr>
        <w:t xml:space="preserve"> is making progress to address most of the technical compliance deficiencies after the adoption of the mutual evaluation report within two years, however continued efforts remain necessary. </w:t>
      </w:r>
      <w:r w:rsidRPr="00B069FB">
        <w:t xml:space="preserve"> </w:t>
      </w:r>
      <w:r w:rsidRPr="00B069FB">
        <w:rPr>
          <w:rFonts w:cs="Arial"/>
          <w:szCs w:val="20"/>
        </w:rPr>
        <w:t xml:space="preserve">Lithuania has improved its measures related to transparency of legal persons and cash couriers. By enhancing the powers of the customs authority to request and obtain further information where a false declaration or disclosure, or failure to declare, has been detected, Lithuania has addressed a significant shortcoming identified earlier. Moreover, Lithuania has enhanced its </w:t>
      </w:r>
      <w:r w:rsidR="003654E4">
        <w:rPr>
          <w:rFonts w:cs="Arial"/>
          <w:szCs w:val="20"/>
        </w:rPr>
        <w:t>co-or</w:t>
      </w:r>
      <w:r w:rsidRPr="00B069FB">
        <w:rPr>
          <w:rFonts w:cs="Arial"/>
          <w:szCs w:val="20"/>
        </w:rPr>
        <w:t xml:space="preserve">dination mechanisms among customs and immigration authorities and the FIU. Some minor shortcomings remain regarding a declaration requirement for transportation of cash by mail/cargo and restraining currency for a reasonable </w:t>
      </w:r>
      <w:proofErr w:type="gramStart"/>
      <w:r w:rsidRPr="00B069FB">
        <w:rPr>
          <w:rFonts w:cs="Arial"/>
          <w:szCs w:val="20"/>
        </w:rPr>
        <w:t>period of time</w:t>
      </w:r>
      <w:proofErr w:type="gramEnd"/>
      <w:r w:rsidRPr="00B069FB">
        <w:rPr>
          <w:rFonts w:cs="Arial"/>
          <w:szCs w:val="20"/>
        </w:rPr>
        <w:t xml:space="preserve"> in order to ascertain whether evidence of ML/FT may be found. In addition, Lithuania has taken some important steps to enhance transparency of legal persons. The country has established a beneficial ownership register and started collecting information on shareholders, </w:t>
      </w:r>
      <w:proofErr w:type="gramStart"/>
      <w:r w:rsidRPr="00B069FB">
        <w:rPr>
          <w:rFonts w:cs="Arial"/>
          <w:szCs w:val="20"/>
        </w:rPr>
        <w:t>members</w:t>
      </w:r>
      <w:proofErr w:type="gramEnd"/>
      <w:r w:rsidRPr="00B069FB">
        <w:rPr>
          <w:rFonts w:cs="Arial"/>
          <w:szCs w:val="20"/>
        </w:rPr>
        <w:t xml:space="preserve"> and owners of legal persons. Although, Lithuania has improved its legal framework, several outstanding shortcomings remain regarding proportionality and dissuasiveness of sanctions and a lack of risk assessment of legal persons.</w:t>
      </w:r>
    </w:p>
    <w:p w14:paraId="2CA08BA5" w14:textId="261A0944" w:rsidR="007A15BB" w:rsidRDefault="007A15BB" w:rsidP="00C56DEA">
      <w:pPr>
        <w:rPr>
          <w:rFonts w:cs="Arial"/>
          <w:szCs w:val="20"/>
        </w:rPr>
      </w:pPr>
    </w:p>
    <w:p w14:paraId="23D53864" w14:textId="15CB780F" w:rsidR="005037AC" w:rsidRPr="005037AC" w:rsidRDefault="005037AC" w:rsidP="005037AC">
      <w:pPr>
        <w:keepNext/>
        <w:tabs>
          <w:tab w:val="left" w:pos="709"/>
        </w:tabs>
        <w:ind w:right="680"/>
        <w:jc w:val="both"/>
        <w:outlineLvl w:val="1"/>
        <w:rPr>
          <w:rFonts w:eastAsiaTheme="majorEastAsia" w:cs="Arial"/>
          <w:b/>
          <w:bCs/>
          <w:color w:val="000000" w:themeColor="text1"/>
          <w:szCs w:val="20"/>
        </w:rPr>
      </w:pPr>
      <w:bookmarkStart w:id="26" w:name="_Toc135409886"/>
      <w:bookmarkStart w:id="27" w:name="_Toc66712421"/>
      <w:r w:rsidRPr="005037AC">
        <w:rPr>
          <w:rFonts w:eastAsiaTheme="majorEastAsia" w:cs="Arial"/>
          <w:b/>
          <w:bCs/>
          <w:color w:val="000000" w:themeColor="text1"/>
          <w:szCs w:val="20"/>
        </w:rPr>
        <w:t>2.</w:t>
      </w:r>
      <w:r w:rsidR="0031373B">
        <w:rPr>
          <w:rFonts w:eastAsiaTheme="majorEastAsia" w:cs="Arial"/>
          <w:b/>
          <w:bCs/>
          <w:color w:val="000000" w:themeColor="text1"/>
          <w:szCs w:val="20"/>
        </w:rPr>
        <w:t>6</w:t>
      </w:r>
      <w:r w:rsidRPr="005037AC">
        <w:rPr>
          <w:rFonts w:eastAsiaTheme="majorEastAsia" w:cs="Arial"/>
          <w:b/>
          <w:bCs/>
          <w:color w:val="000000" w:themeColor="text1"/>
          <w:szCs w:val="20"/>
        </w:rPr>
        <w:t xml:space="preserve"> </w:t>
      </w:r>
      <w:r w:rsidRPr="005037AC">
        <w:rPr>
          <w:rFonts w:eastAsiaTheme="majorEastAsia" w:cs="Arial"/>
          <w:b/>
          <w:bCs/>
          <w:color w:val="000000" w:themeColor="text1"/>
          <w:szCs w:val="20"/>
        </w:rPr>
        <w:tab/>
        <w:t>Voluntary tax compliance programmes</w:t>
      </w:r>
      <w:bookmarkEnd w:id="26"/>
    </w:p>
    <w:p w14:paraId="45E129E5" w14:textId="77777777" w:rsidR="005037AC" w:rsidRPr="005037AC" w:rsidRDefault="005037AC" w:rsidP="005037AC"/>
    <w:p w14:paraId="6A1120AA" w14:textId="7A1094A8" w:rsidR="005037AC" w:rsidRDefault="005037AC" w:rsidP="005037AC">
      <w:r w:rsidRPr="00B069FB">
        <w:t xml:space="preserve">MONEYVAL continued to monitor and evaluate voluntary tax compliance (VTC) programmes in its member </w:t>
      </w:r>
      <w:r w:rsidR="00E73BD4" w:rsidRPr="00B069FB">
        <w:t>State</w:t>
      </w:r>
      <w:r w:rsidRPr="00B069FB">
        <w:t>s and territories. In 202</w:t>
      </w:r>
      <w:r w:rsidR="0054637D" w:rsidRPr="00B069FB">
        <w:t>2</w:t>
      </w:r>
      <w:r w:rsidRPr="00B069FB">
        <w:t xml:space="preserve"> MONEYVAL reviewed the </w:t>
      </w:r>
      <w:r w:rsidR="00B069FB">
        <w:t xml:space="preserve">draft </w:t>
      </w:r>
      <w:r w:rsidRPr="00B069FB">
        <w:t xml:space="preserve">VTC </w:t>
      </w:r>
      <w:r w:rsidR="0054637D" w:rsidRPr="00B069FB">
        <w:t xml:space="preserve">initiative in Albania, in the framework of its discussion by the FATF International </w:t>
      </w:r>
      <w:r w:rsidR="003654E4">
        <w:t>Co-op</w:t>
      </w:r>
      <w:r w:rsidR="0054637D" w:rsidRPr="00B069FB">
        <w:t>eration Review Group.</w:t>
      </w:r>
      <w:r w:rsidR="0054637D" w:rsidRPr="005037AC">
        <w:t xml:space="preserve"> </w:t>
      </w:r>
    </w:p>
    <w:p w14:paraId="7517DEE1" w14:textId="77777777" w:rsidR="005037AC" w:rsidRPr="005B3C93" w:rsidRDefault="005037AC" w:rsidP="005037AC"/>
    <w:p w14:paraId="6EC3E3C3" w14:textId="2794AD0C" w:rsidR="00277C14" w:rsidRDefault="00DB50CE" w:rsidP="00DB50CE">
      <w:pPr>
        <w:pStyle w:val="Heading2"/>
        <w:keepLines w:val="0"/>
        <w:tabs>
          <w:tab w:val="left" w:pos="709"/>
        </w:tabs>
        <w:spacing w:before="0"/>
        <w:ind w:right="680"/>
        <w:jc w:val="both"/>
        <w:rPr>
          <w:rStyle w:val="docheader1"/>
          <w:rFonts w:ascii="Arial" w:hAnsi="Arial" w:cs="Arial"/>
          <w:color w:val="000000" w:themeColor="text1"/>
          <w:sz w:val="20"/>
          <w:szCs w:val="20"/>
        </w:rPr>
      </w:pPr>
      <w:bookmarkStart w:id="28" w:name="_Toc135409887"/>
      <w:r>
        <w:rPr>
          <w:rStyle w:val="docheader1"/>
          <w:rFonts w:ascii="Arial" w:hAnsi="Arial" w:cs="Arial"/>
          <w:color w:val="000000" w:themeColor="text1"/>
          <w:sz w:val="20"/>
          <w:szCs w:val="20"/>
        </w:rPr>
        <w:t>2.</w:t>
      </w:r>
      <w:r w:rsidR="0031373B">
        <w:rPr>
          <w:rStyle w:val="docheader1"/>
          <w:rFonts w:ascii="Arial" w:hAnsi="Arial" w:cs="Arial"/>
          <w:color w:val="000000" w:themeColor="text1"/>
          <w:sz w:val="20"/>
          <w:szCs w:val="20"/>
        </w:rPr>
        <w:t>7</w:t>
      </w:r>
      <w:r>
        <w:rPr>
          <w:rStyle w:val="docheader1"/>
          <w:rFonts w:ascii="Arial" w:hAnsi="Arial" w:cs="Arial"/>
          <w:color w:val="000000" w:themeColor="text1"/>
          <w:sz w:val="20"/>
          <w:szCs w:val="20"/>
        </w:rPr>
        <w:tab/>
      </w:r>
      <w:r w:rsidR="00277C14" w:rsidRPr="00277C14">
        <w:rPr>
          <w:rStyle w:val="docheader1"/>
          <w:rFonts w:ascii="Arial" w:hAnsi="Arial" w:cs="Arial"/>
          <w:color w:val="000000" w:themeColor="text1"/>
          <w:sz w:val="20"/>
          <w:szCs w:val="20"/>
        </w:rPr>
        <w:t>Compliance enhancing procedures (CEPs)</w:t>
      </w:r>
      <w:bookmarkEnd w:id="27"/>
      <w:bookmarkEnd w:id="28"/>
    </w:p>
    <w:p w14:paraId="13239741" w14:textId="77777777" w:rsidR="00DB50CE" w:rsidRPr="00DB50CE" w:rsidRDefault="00DB50CE" w:rsidP="00DB50CE"/>
    <w:p w14:paraId="4BACB2E8" w14:textId="1A4572AC" w:rsidR="00DB50CE" w:rsidRDefault="0054637D" w:rsidP="00277C14">
      <w:pPr>
        <w:pStyle w:val="Default"/>
        <w:rPr>
          <w:sz w:val="20"/>
          <w:szCs w:val="20"/>
        </w:rPr>
      </w:pPr>
      <w:r w:rsidRPr="00B069FB">
        <w:rPr>
          <w:sz w:val="20"/>
          <w:szCs w:val="20"/>
        </w:rPr>
        <w:t>Slovenia is currently under Step 1 of</w:t>
      </w:r>
      <w:r w:rsidR="001B5936" w:rsidRPr="00B069FB">
        <w:rPr>
          <w:sz w:val="20"/>
          <w:szCs w:val="20"/>
        </w:rPr>
        <w:t xml:space="preserve"> MONEYVAL</w:t>
      </w:r>
      <w:r w:rsidRPr="00B069FB">
        <w:rPr>
          <w:sz w:val="20"/>
          <w:szCs w:val="20"/>
        </w:rPr>
        <w:t>’s Compliance enhancing procedures, due to continued shortcomings in the criminalisation of terrorism financing. As a result of an exchange of letters between the Council of Europe Secretary General and Slovenian authorities in 2022, the necessary steps were taken by the Slovenian government to introduce and pass the necessary legislation to rectify existing shortcomings.</w:t>
      </w:r>
      <w:r>
        <w:rPr>
          <w:sz w:val="20"/>
          <w:szCs w:val="20"/>
        </w:rPr>
        <w:t xml:space="preserve"> </w:t>
      </w:r>
      <w:r w:rsidR="001B5936">
        <w:rPr>
          <w:sz w:val="20"/>
          <w:szCs w:val="20"/>
        </w:rPr>
        <w:t xml:space="preserve"> </w:t>
      </w:r>
    </w:p>
    <w:p w14:paraId="40E58F50" w14:textId="77777777" w:rsidR="005037AC" w:rsidRDefault="005037AC" w:rsidP="00277C14">
      <w:pPr>
        <w:pStyle w:val="Default"/>
        <w:rPr>
          <w:sz w:val="20"/>
          <w:szCs w:val="20"/>
        </w:rPr>
      </w:pPr>
    </w:p>
    <w:p w14:paraId="310E8A04" w14:textId="0FBB7BC2" w:rsidR="00277C14" w:rsidRPr="00EE5C37" w:rsidRDefault="00277C14" w:rsidP="00DB50CE">
      <w:pPr>
        <w:pStyle w:val="Heading1"/>
        <w:numPr>
          <w:ilvl w:val="0"/>
          <w:numId w:val="37"/>
        </w:numPr>
        <w:spacing w:before="0"/>
        <w:rPr>
          <w:rFonts w:ascii="Arial" w:eastAsiaTheme="minorHAnsi" w:hAnsi="Arial" w:cs="Times New Roman"/>
          <w:b/>
          <w:bCs/>
          <w:color w:val="auto"/>
          <w:kern w:val="28"/>
          <w:sz w:val="20"/>
          <w:szCs w:val="20"/>
        </w:rPr>
      </w:pPr>
      <w:bookmarkStart w:id="29" w:name="_Toc66712422"/>
      <w:bookmarkStart w:id="30" w:name="_Toc135409888"/>
      <w:bookmarkStart w:id="31" w:name="_Toc346194278"/>
      <w:bookmarkStart w:id="32" w:name="_Toc379211900"/>
      <w:bookmarkStart w:id="33" w:name="_Toc423609804"/>
      <w:bookmarkStart w:id="34" w:name="_Toc423613573"/>
      <w:bookmarkStart w:id="35" w:name="_Toc446602094"/>
      <w:r w:rsidRPr="00EE5C37">
        <w:rPr>
          <w:rFonts w:ascii="Arial" w:eastAsiaTheme="minorHAnsi" w:hAnsi="Arial" w:cs="Times New Roman"/>
          <w:b/>
          <w:bCs/>
          <w:color w:val="auto"/>
          <w:kern w:val="28"/>
          <w:sz w:val="20"/>
          <w:szCs w:val="20"/>
        </w:rPr>
        <w:t xml:space="preserve">HIGH-LEVEL </w:t>
      </w:r>
      <w:r w:rsidR="00F14837" w:rsidRPr="00EE5C37">
        <w:rPr>
          <w:rFonts w:ascii="Arial" w:eastAsiaTheme="minorHAnsi" w:hAnsi="Arial" w:cs="Times New Roman"/>
          <w:b/>
          <w:bCs/>
          <w:color w:val="auto"/>
          <w:kern w:val="28"/>
          <w:sz w:val="20"/>
          <w:szCs w:val="20"/>
        </w:rPr>
        <w:t xml:space="preserve">AND VISIBILITY </w:t>
      </w:r>
      <w:r w:rsidRPr="00EE5C37">
        <w:rPr>
          <w:rFonts w:ascii="Arial" w:eastAsiaTheme="minorHAnsi" w:hAnsi="Arial" w:cs="Times New Roman"/>
          <w:b/>
          <w:bCs/>
          <w:color w:val="auto"/>
          <w:kern w:val="28"/>
          <w:sz w:val="20"/>
          <w:szCs w:val="20"/>
        </w:rPr>
        <w:t>ENGAGEMENTS</w:t>
      </w:r>
      <w:bookmarkEnd w:id="29"/>
      <w:bookmarkEnd w:id="30"/>
    </w:p>
    <w:p w14:paraId="4601715B" w14:textId="77777777" w:rsidR="00DB50CE" w:rsidRPr="00EE5C37" w:rsidRDefault="00DB50CE" w:rsidP="00DB50CE"/>
    <w:p w14:paraId="7C4DC33B" w14:textId="5E93EDF2" w:rsidR="00467CDD" w:rsidRPr="00EE5C37" w:rsidRDefault="00F14837" w:rsidP="00277C14">
      <w:pPr>
        <w:pStyle w:val="Default"/>
        <w:rPr>
          <w:color w:val="auto"/>
          <w:sz w:val="20"/>
          <w:szCs w:val="20"/>
          <w:shd w:val="clear" w:color="auto" w:fill="FFFFFF"/>
        </w:rPr>
      </w:pPr>
      <w:r w:rsidRPr="00EE5C37">
        <w:rPr>
          <w:color w:val="auto"/>
          <w:sz w:val="20"/>
          <w:szCs w:val="20"/>
          <w:shd w:val="clear" w:color="auto" w:fill="FFFFFF"/>
        </w:rPr>
        <w:t xml:space="preserve">In </w:t>
      </w:r>
      <w:r w:rsidR="00CB3465" w:rsidRPr="00EE5C37">
        <w:rPr>
          <w:color w:val="auto"/>
          <w:sz w:val="20"/>
          <w:szCs w:val="20"/>
          <w:shd w:val="clear" w:color="auto" w:fill="FFFFFF"/>
        </w:rPr>
        <w:t xml:space="preserve">2022 </w:t>
      </w:r>
      <w:r w:rsidRPr="00EE5C37">
        <w:rPr>
          <w:color w:val="auto"/>
          <w:sz w:val="20"/>
          <w:szCs w:val="20"/>
          <w:shd w:val="clear" w:color="auto" w:fill="FFFFFF"/>
        </w:rPr>
        <w:t xml:space="preserve">the MONEYVAL Chair </w:t>
      </w:r>
      <w:r w:rsidR="00CB3465" w:rsidRPr="00EE5C37">
        <w:rPr>
          <w:color w:val="auto"/>
          <w:sz w:val="20"/>
          <w:szCs w:val="20"/>
          <w:shd w:val="clear" w:color="auto" w:fill="FFFFFF"/>
        </w:rPr>
        <w:t xml:space="preserve">and Secretariat </w:t>
      </w:r>
      <w:r w:rsidRPr="00EE5C37">
        <w:rPr>
          <w:color w:val="auto"/>
          <w:sz w:val="20"/>
          <w:szCs w:val="20"/>
          <w:shd w:val="clear" w:color="auto" w:fill="FFFFFF"/>
        </w:rPr>
        <w:t xml:space="preserve">carried out </w:t>
      </w:r>
      <w:proofErr w:type="gramStart"/>
      <w:r w:rsidRPr="00EE5C37">
        <w:rPr>
          <w:color w:val="auto"/>
          <w:sz w:val="20"/>
          <w:szCs w:val="20"/>
          <w:shd w:val="clear" w:color="auto" w:fill="FFFFFF"/>
        </w:rPr>
        <w:t>a number of</w:t>
      </w:r>
      <w:proofErr w:type="gramEnd"/>
      <w:r w:rsidRPr="00EE5C37">
        <w:rPr>
          <w:color w:val="auto"/>
          <w:sz w:val="20"/>
          <w:szCs w:val="20"/>
          <w:shd w:val="clear" w:color="auto" w:fill="FFFFFF"/>
        </w:rPr>
        <w:t xml:space="preserve"> high-level </w:t>
      </w:r>
      <w:r w:rsidR="00467CDD" w:rsidRPr="00EE5C37">
        <w:rPr>
          <w:color w:val="auto"/>
          <w:sz w:val="20"/>
          <w:szCs w:val="20"/>
          <w:shd w:val="clear" w:color="auto" w:fill="FFFFFF"/>
        </w:rPr>
        <w:t xml:space="preserve">and visibility </w:t>
      </w:r>
      <w:r w:rsidRPr="00EE5C37">
        <w:rPr>
          <w:color w:val="auto"/>
          <w:sz w:val="20"/>
          <w:szCs w:val="20"/>
          <w:shd w:val="clear" w:color="auto" w:fill="FFFFFF"/>
        </w:rPr>
        <w:t>activities and engagements with external counterparts</w:t>
      </w:r>
      <w:r w:rsidR="00467CDD" w:rsidRPr="00EE5C37">
        <w:rPr>
          <w:color w:val="auto"/>
          <w:sz w:val="20"/>
          <w:szCs w:val="20"/>
          <w:shd w:val="clear" w:color="auto" w:fill="FFFFFF"/>
        </w:rPr>
        <w:t xml:space="preserve">, including the following actions: </w:t>
      </w:r>
    </w:p>
    <w:p w14:paraId="2B8B3D00" w14:textId="77777777" w:rsidR="00467CDD" w:rsidRPr="00EE5C37" w:rsidRDefault="00467CDD" w:rsidP="004D5F3C">
      <w:pPr>
        <w:pStyle w:val="Default"/>
        <w:rPr>
          <w:color w:val="auto"/>
          <w:sz w:val="20"/>
          <w:szCs w:val="20"/>
          <w:shd w:val="clear" w:color="auto" w:fill="FFFFFF"/>
        </w:rPr>
      </w:pPr>
    </w:p>
    <w:p w14:paraId="7D6A3131" w14:textId="35B22881" w:rsidR="00CB3465" w:rsidRPr="00EE5C37" w:rsidRDefault="00CB3465" w:rsidP="004D5F3C">
      <w:pPr>
        <w:pStyle w:val="Default"/>
        <w:numPr>
          <w:ilvl w:val="0"/>
          <w:numId w:val="42"/>
        </w:numPr>
        <w:ind w:left="714" w:hanging="357"/>
        <w:rPr>
          <w:color w:val="auto"/>
          <w:sz w:val="20"/>
          <w:szCs w:val="20"/>
          <w:shd w:val="clear" w:color="auto" w:fill="FFFFFF"/>
        </w:rPr>
      </w:pPr>
      <w:r w:rsidRPr="00EE5C37">
        <w:rPr>
          <w:color w:val="auto"/>
          <w:sz w:val="20"/>
          <w:szCs w:val="20"/>
          <w:shd w:val="clear" w:color="auto" w:fill="FFFFFF"/>
        </w:rPr>
        <w:t xml:space="preserve">On 1-4 March 2022 the MONEYVAL delegation led by the Chair Ms </w:t>
      </w:r>
      <w:proofErr w:type="spellStart"/>
      <w:r w:rsidRPr="00EE5C37">
        <w:rPr>
          <w:color w:val="auto"/>
          <w:sz w:val="20"/>
          <w:szCs w:val="20"/>
          <w:shd w:val="clear" w:color="auto" w:fill="FFFFFF"/>
        </w:rPr>
        <w:t>Elżbieta</w:t>
      </w:r>
      <w:proofErr w:type="spellEnd"/>
      <w:r w:rsidRPr="00EE5C37">
        <w:rPr>
          <w:color w:val="auto"/>
          <w:sz w:val="20"/>
          <w:szCs w:val="20"/>
          <w:shd w:val="clear" w:color="auto" w:fill="FFFFFF"/>
        </w:rPr>
        <w:t xml:space="preserve"> </w:t>
      </w:r>
      <w:proofErr w:type="spellStart"/>
      <w:r w:rsidRPr="00EE5C37">
        <w:rPr>
          <w:color w:val="auto"/>
          <w:sz w:val="20"/>
          <w:szCs w:val="20"/>
          <w:shd w:val="clear" w:color="auto" w:fill="FFFFFF"/>
        </w:rPr>
        <w:t>Franków-Jaśkiewicz</w:t>
      </w:r>
      <w:proofErr w:type="spellEnd"/>
      <w:r w:rsidRPr="00EE5C37">
        <w:rPr>
          <w:color w:val="auto"/>
          <w:sz w:val="20"/>
          <w:szCs w:val="20"/>
          <w:shd w:val="clear" w:color="auto" w:fill="FFFFFF"/>
        </w:rPr>
        <w:t xml:space="preserve"> took part in the Plenary meeting of the Financial Action Task Force in Paris, France. This Plenary meeting completed the process of the Strategic Review by the FATF by adopting the new FATF Methodology and Procedures for the next round of mutual evaluations, which will serve as the basis for MONEYVAL’s next evaluation round. The FATF endorsed a new Strategic vision for the AML/CFT Global Network, supported by MONEYVAL. The Plenary also adopted the mutual evaluation report of France, where MONEYVAL was engaged as a reviewer.</w:t>
      </w:r>
    </w:p>
    <w:p w14:paraId="0EC8A0FA" w14:textId="77777777" w:rsidR="004D5F3C" w:rsidRPr="00EE5C37" w:rsidRDefault="004D5F3C" w:rsidP="004D5F3C">
      <w:pPr>
        <w:pStyle w:val="Default"/>
        <w:ind w:left="714"/>
        <w:rPr>
          <w:color w:val="auto"/>
          <w:sz w:val="20"/>
          <w:szCs w:val="20"/>
          <w:shd w:val="clear" w:color="auto" w:fill="FFFFFF"/>
        </w:rPr>
      </w:pPr>
    </w:p>
    <w:p w14:paraId="50DB954A" w14:textId="41D44E91" w:rsidR="00CB3465" w:rsidRPr="00EE5C37" w:rsidRDefault="00CB3465" w:rsidP="004D5F3C">
      <w:pPr>
        <w:pStyle w:val="Default"/>
        <w:numPr>
          <w:ilvl w:val="0"/>
          <w:numId w:val="42"/>
        </w:numPr>
        <w:ind w:left="714" w:hanging="357"/>
        <w:rPr>
          <w:color w:val="auto"/>
          <w:sz w:val="20"/>
          <w:szCs w:val="20"/>
          <w:shd w:val="clear" w:color="auto" w:fill="FFFFFF"/>
        </w:rPr>
      </w:pPr>
      <w:r w:rsidRPr="00EE5C37">
        <w:rPr>
          <w:color w:val="auto"/>
          <w:sz w:val="20"/>
          <w:szCs w:val="20"/>
          <w:shd w:val="clear" w:color="auto" w:fill="FFFFFF"/>
        </w:rPr>
        <w:t>On 30 March 2022</w:t>
      </w:r>
      <w:r w:rsidR="00EB0A8F" w:rsidRPr="00EE5C37">
        <w:rPr>
          <w:color w:val="auto"/>
          <w:sz w:val="20"/>
          <w:szCs w:val="20"/>
          <w:shd w:val="clear" w:color="auto" w:fill="FFFFFF"/>
        </w:rPr>
        <w:t xml:space="preserve"> </w:t>
      </w:r>
      <w:r w:rsidRPr="00EE5C37">
        <w:rPr>
          <w:color w:val="auto"/>
          <w:sz w:val="20"/>
          <w:szCs w:val="20"/>
          <w:shd w:val="clear" w:color="auto" w:fill="FFFFFF"/>
        </w:rPr>
        <w:t xml:space="preserve">the Chair of MONEYVAL Ms </w:t>
      </w:r>
      <w:proofErr w:type="spellStart"/>
      <w:r w:rsidRPr="00EE5C37">
        <w:rPr>
          <w:color w:val="auto"/>
          <w:sz w:val="20"/>
          <w:szCs w:val="20"/>
          <w:shd w:val="clear" w:color="auto" w:fill="FFFFFF"/>
        </w:rPr>
        <w:t>Elżbieta</w:t>
      </w:r>
      <w:proofErr w:type="spellEnd"/>
      <w:r w:rsidRPr="00EE5C37">
        <w:rPr>
          <w:color w:val="auto"/>
          <w:sz w:val="20"/>
          <w:szCs w:val="20"/>
          <w:shd w:val="clear" w:color="auto" w:fill="FFFFFF"/>
        </w:rPr>
        <w:t xml:space="preserve"> </w:t>
      </w:r>
      <w:proofErr w:type="spellStart"/>
      <w:r w:rsidRPr="00EE5C37">
        <w:rPr>
          <w:color w:val="auto"/>
          <w:sz w:val="20"/>
          <w:szCs w:val="20"/>
          <w:shd w:val="clear" w:color="auto" w:fill="FFFFFF"/>
        </w:rPr>
        <w:t>Franków-Jaśkiewicz</w:t>
      </w:r>
      <w:proofErr w:type="spellEnd"/>
      <w:r w:rsidRPr="00EE5C37">
        <w:rPr>
          <w:color w:val="auto"/>
          <w:sz w:val="20"/>
          <w:szCs w:val="20"/>
          <w:shd w:val="clear" w:color="auto" w:fill="FFFFFF"/>
        </w:rPr>
        <w:t xml:space="preserve"> held an exchange of views with the Council of Europe Committee of Ministers. The meeting focused on the current international and European trends in the field of money laundering, the financing of terrorism and the proliferation of weapons of mass destruction. The MONEYVAL Chair also presented the Annual Report of MONEYVAL for 2021, and the results achieved so far by the Committee in the current round of mutual evaluations.</w:t>
      </w:r>
    </w:p>
    <w:p w14:paraId="08D6EFEA" w14:textId="77777777" w:rsidR="004D5F3C" w:rsidRPr="00B069FB" w:rsidRDefault="004D5F3C" w:rsidP="004D5F3C">
      <w:pPr>
        <w:pStyle w:val="Default"/>
        <w:rPr>
          <w:color w:val="161616"/>
          <w:sz w:val="20"/>
          <w:szCs w:val="20"/>
          <w:shd w:val="clear" w:color="auto" w:fill="FFFFFF"/>
        </w:rPr>
      </w:pPr>
    </w:p>
    <w:p w14:paraId="259C7123" w14:textId="77777777" w:rsidR="004D5F3C" w:rsidRDefault="004D5F3C">
      <w:pPr>
        <w:rPr>
          <w:rFonts w:eastAsia="Times New Roman" w:cs="Arial"/>
          <w:color w:val="161616"/>
          <w:szCs w:val="20"/>
          <w:shd w:val="clear" w:color="auto" w:fill="FFFFFF"/>
        </w:rPr>
      </w:pPr>
      <w:r>
        <w:rPr>
          <w:color w:val="161616"/>
          <w:szCs w:val="20"/>
          <w:shd w:val="clear" w:color="auto" w:fill="FFFFFF"/>
        </w:rPr>
        <w:br w:type="page"/>
      </w:r>
    </w:p>
    <w:p w14:paraId="6C64B799" w14:textId="26C9C522" w:rsidR="00CB3465" w:rsidRDefault="00CB3465" w:rsidP="004D5F3C">
      <w:pPr>
        <w:pStyle w:val="Default"/>
        <w:numPr>
          <w:ilvl w:val="0"/>
          <w:numId w:val="42"/>
        </w:numPr>
        <w:ind w:left="714" w:hanging="357"/>
        <w:rPr>
          <w:color w:val="161616"/>
          <w:sz w:val="20"/>
          <w:szCs w:val="20"/>
          <w:shd w:val="clear" w:color="auto" w:fill="FFFFFF"/>
        </w:rPr>
      </w:pPr>
      <w:r w:rsidRPr="00B069FB">
        <w:rPr>
          <w:color w:val="161616"/>
          <w:sz w:val="20"/>
          <w:szCs w:val="20"/>
          <w:shd w:val="clear" w:color="auto" w:fill="FFFFFF"/>
        </w:rPr>
        <w:lastRenderedPageBreak/>
        <w:t xml:space="preserve">On 10-11 April 2022 representatives of the Financial Action Task Force (FATF) and MONEYVAL held an on-site visit to Malta </w:t>
      </w:r>
      <w:proofErr w:type="gramStart"/>
      <w:r w:rsidRPr="00B069FB">
        <w:rPr>
          <w:color w:val="161616"/>
          <w:sz w:val="20"/>
          <w:szCs w:val="20"/>
          <w:shd w:val="clear" w:color="auto" w:fill="FFFFFF"/>
        </w:rPr>
        <w:t>in order to</w:t>
      </w:r>
      <w:proofErr w:type="gramEnd"/>
      <w:r w:rsidRPr="00B069FB">
        <w:rPr>
          <w:color w:val="161616"/>
          <w:sz w:val="20"/>
          <w:szCs w:val="20"/>
          <w:shd w:val="clear" w:color="auto" w:fill="FFFFFF"/>
        </w:rPr>
        <w:t xml:space="preserve"> ascertain Malta’s progress in the framework of the FATF de-listing procedure. The team met with representatives of Maltese authorities involved in AML/CFT efforts and was received by the Prime Minister of Malta Mr Robert Abela.</w:t>
      </w:r>
    </w:p>
    <w:p w14:paraId="51D97EC7" w14:textId="77777777" w:rsidR="004D5F3C" w:rsidRPr="00B069FB" w:rsidRDefault="004D5F3C" w:rsidP="004D5F3C">
      <w:pPr>
        <w:pStyle w:val="Default"/>
        <w:rPr>
          <w:color w:val="161616"/>
          <w:sz w:val="20"/>
          <w:szCs w:val="20"/>
          <w:shd w:val="clear" w:color="auto" w:fill="FFFFFF"/>
        </w:rPr>
      </w:pPr>
    </w:p>
    <w:p w14:paraId="05A65703" w14:textId="7DACFFA3" w:rsidR="00CB3465" w:rsidRDefault="00CB3465" w:rsidP="004D5F3C">
      <w:pPr>
        <w:pStyle w:val="Default"/>
        <w:numPr>
          <w:ilvl w:val="0"/>
          <w:numId w:val="42"/>
        </w:numPr>
        <w:ind w:left="714" w:hanging="357"/>
        <w:rPr>
          <w:color w:val="161616"/>
          <w:sz w:val="20"/>
          <w:szCs w:val="20"/>
          <w:shd w:val="clear" w:color="auto" w:fill="FFFFFF"/>
        </w:rPr>
      </w:pPr>
      <w:r w:rsidRPr="00B069FB">
        <w:rPr>
          <w:color w:val="161616"/>
          <w:sz w:val="20"/>
          <w:szCs w:val="20"/>
          <w:shd w:val="clear" w:color="auto" w:fill="FFFFFF"/>
        </w:rPr>
        <w:t xml:space="preserve">The MONEYVAL Chair and Secretariat took part in the FATF Plenary meeting on 14-17 June 2022 in Berlin, Germany. The MONEYVAL delegation actively took part in the discussion of the FATF mutual evaluation reports of Germany and The Netherlands. The FATF took the decision to remove Malta from its “grey list”, while </w:t>
      </w:r>
      <w:r w:rsidR="00EB0A8F" w:rsidRPr="00B069FB">
        <w:rPr>
          <w:color w:val="161616"/>
          <w:sz w:val="20"/>
          <w:szCs w:val="20"/>
          <w:shd w:val="clear" w:color="auto" w:fill="FFFFFF"/>
        </w:rPr>
        <w:t xml:space="preserve">deciding to include </w:t>
      </w:r>
      <w:r w:rsidRPr="00B069FB">
        <w:rPr>
          <w:color w:val="161616"/>
          <w:sz w:val="20"/>
          <w:szCs w:val="20"/>
          <w:shd w:val="clear" w:color="auto" w:fill="FFFFFF"/>
        </w:rPr>
        <w:t>Gibraltar</w:t>
      </w:r>
      <w:r w:rsidR="00EB0A8F" w:rsidRPr="00B069FB">
        <w:rPr>
          <w:color w:val="161616"/>
          <w:sz w:val="20"/>
          <w:szCs w:val="20"/>
          <w:shd w:val="clear" w:color="auto" w:fill="FFFFFF"/>
        </w:rPr>
        <w:t xml:space="preserve"> in the same list. </w:t>
      </w:r>
    </w:p>
    <w:p w14:paraId="70D80BB2" w14:textId="77777777" w:rsidR="004D5F3C" w:rsidRPr="00B069FB" w:rsidRDefault="004D5F3C" w:rsidP="004D5F3C">
      <w:pPr>
        <w:pStyle w:val="Default"/>
        <w:rPr>
          <w:color w:val="161616"/>
          <w:sz w:val="20"/>
          <w:szCs w:val="20"/>
          <w:shd w:val="clear" w:color="auto" w:fill="FFFFFF"/>
        </w:rPr>
      </w:pPr>
    </w:p>
    <w:p w14:paraId="2468BCAF" w14:textId="271960DA" w:rsidR="00EB0A8F" w:rsidRDefault="00EB0A8F" w:rsidP="004D5F3C">
      <w:pPr>
        <w:pStyle w:val="Default"/>
        <w:numPr>
          <w:ilvl w:val="0"/>
          <w:numId w:val="42"/>
        </w:numPr>
        <w:ind w:left="714" w:hanging="357"/>
        <w:rPr>
          <w:color w:val="161616"/>
          <w:sz w:val="20"/>
          <w:szCs w:val="20"/>
          <w:shd w:val="clear" w:color="auto" w:fill="FFFFFF"/>
        </w:rPr>
      </w:pPr>
      <w:r w:rsidRPr="00B069FB">
        <w:rPr>
          <w:color w:val="161616"/>
          <w:sz w:val="20"/>
          <w:szCs w:val="20"/>
          <w:shd w:val="clear" w:color="auto" w:fill="FFFFFF"/>
        </w:rPr>
        <w:t xml:space="preserve">The MONEYVAL Chair and Secretariat took part in the FATF Plenary meeting on 17-21 October 2022 in Paris, France. The Plenary meeting discussed issues related to the preparation of the next round of mutual evaluations, including the possibility of allowing MONEYVAL to lead the first evaluations in the round. The Plenary also finalised FATF work in </w:t>
      </w:r>
      <w:proofErr w:type="gramStart"/>
      <w:r w:rsidRPr="00B069FB">
        <w:rPr>
          <w:color w:val="161616"/>
          <w:sz w:val="20"/>
          <w:szCs w:val="20"/>
          <w:shd w:val="clear" w:color="auto" w:fill="FFFFFF"/>
        </w:rPr>
        <w:t>a number of</w:t>
      </w:r>
      <w:proofErr w:type="gramEnd"/>
      <w:r w:rsidRPr="00B069FB">
        <w:rPr>
          <w:color w:val="161616"/>
          <w:sz w:val="20"/>
          <w:szCs w:val="20"/>
          <w:shd w:val="clear" w:color="auto" w:fill="FFFFFF"/>
        </w:rPr>
        <w:t xml:space="preserve"> important areas, including an updated guidance for a risk-based approach to virtual assets and virtual asset service providers.</w:t>
      </w:r>
    </w:p>
    <w:p w14:paraId="13A548CA" w14:textId="77777777" w:rsidR="004D5F3C" w:rsidRPr="00B069FB" w:rsidRDefault="004D5F3C" w:rsidP="004D5F3C">
      <w:pPr>
        <w:pStyle w:val="Default"/>
        <w:rPr>
          <w:color w:val="161616"/>
          <w:sz w:val="20"/>
          <w:szCs w:val="20"/>
          <w:shd w:val="clear" w:color="auto" w:fill="FFFFFF"/>
        </w:rPr>
      </w:pPr>
    </w:p>
    <w:p w14:paraId="0669D35E" w14:textId="6793CC58" w:rsidR="00EB0A8F" w:rsidRPr="00B069FB" w:rsidRDefault="00EB0A8F" w:rsidP="004D5F3C">
      <w:pPr>
        <w:pStyle w:val="Default"/>
        <w:numPr>
          <w:ilvl w:val="0"/>
          <w:numId w:val="42"/>
        </w:numPr>
        <w:ind w:left="714" w:hanging="357"/>
        <w:rPr>
          <w:color w:val="161616"/>
          <w:sz w:val="20"/>
          <w:szCs w:val="20"/>
          <w:shd w:val="clear" w:color="auto" w:fill="FFFFFF"/>
        </w:rPr>
      </w:pPr>
      <w:r w:rsidRPr="00B069FB">
        <w:rPr>
          <w:color w:val="161616"/>
          <w:sz w:val="20"/>
          <w:szCs w:val="20"/>
          <w:shd w:val="clear" w:color="auto" w:fill="FFFFFF"/>
        </w:rPr>
        <w:t xml:space="preserve">The Chair of MONEYVAL took part in the Third Ministerial Conference 'No Money for Terror' in New Delhi, 18-19 November 2022. It included over 500 delegates from across the world, including Ministers, Heads of Multilateral organisations and FATF Heads of Delegations. The Prime Minister of India, Mr Shri Narendra Modi addressed the Conference, stressing that the United Nations Security Council, Financial Action Task Force, Financial Intelligence Units, and the Egmont Group, are boosting </w:t>
      </w:r>
      <w:r w:rsidR="003654E4">
        <w:rPr>
          <w:color w:val="161616"/>
          <w:sz w:val="20"/>
          <w:szCs w:val="20"/>
          <w:shd w:val="clear" w:color="auto" w:fill="FFFFFF"/>
        </w:rPr>
        <w:t>co-op</w:t>
      </w:r>
      <w:r w:rsidRPr="00B069FB">
        <w:rPr>
          <w:color w:val="161616"/>
          <w:sz w:val="20"/>
          <w:szCs w:val="20"/>
          <w:shd w:val="clear" w:color="auto" w:fill="FFFFFF"/>
        </w:rPr>
        <w:t xml:space="preserve">eration in the prevention, </w:t>
      </w:r>
      <w:proofErr w:type="gramStart"/>
      <w:r w:rsidRPr="00B069FB">
        <w:rPr>
          <w:color w:val="161616"/>
          <w:sz w:val="20"/>
          <w:szCs w:val="20"/>
          <w:shd w:val="clear" w:color="auto" w:fill="FFFFFF"/>
        </w:rPr>
        <w:t>detection</w:t>
      </w:r>
      <w:proofErr w:type="gramEnd"/>
      <w:r w:rsidRPr="00B069FB">
        <w:rPr>
          <w:color w:val="161616"/>
          <w:sz w:val="20"/>
          <w:szCs w:val="20"/>
          <w:shd w:val="clear" w:color="auto" w:fill="FFFFFF"/>
        </w:rPr>
        <w:t xml:space="preserve"> and prosecution of illegal fund flows. The Prime Minister highlighted that the framework is helping the war against terror in multiple ways over the past two decades.</w:t>
      </w:r>
    </w:p>
    <w:p w14:paraId="03F10285" w14:textId="5F435537" w:rsidR="001E2D7E" w:rsidRDefault="001E2D7E">
      <w:pPr>
        <w:rPr>
          <w:rFonts w:eastAsia="Times New Roman" w:cs="Arial"/>
          <w:color w:val="161616"/>
          <w:szCs w:val="20"/>
          <w:shd w:val="clear" w:color="auto" w:fill="FFFFFF"/>
        </w:rPr>
      </w:pPr>
    </w:p>
    <w:p w14:paraId="735B7639" w14:textId="4B6911B8" w:rsidR="00277C14" w:rsidRDefault="00277C14" w:rsidP="00DB50CE">
      <w:pPr>
        <w:pStyle w:val="Heading1"/>
        <w:numPr>
          <w:ilvl w:val="0"/>
          <w:numId w:val="37"/>
        </w:numPr>
        <w:spacing w:before="0"/>
        <w:rPr>
          <w:rFonts w:ascii="Arial" w:eastAsiaTheme="minorHAnsi" w:hAnsi="Arial" w:cs="Times New Roman"/>
          <w:b/>
          <w:bCs/>
          <w:color w:val="auto"/>
          <w:kern w:val="28"/>
          <w:sz w:val="20"/>
          <w:szCs w:val="20"/>
        </w:rPr>
      </w:pPr>
      <w:bookmarkStart w:id="36" w:name="_Toc66712423"/>
      <w:bookmarkStart w:id="37" w:name="_Toc135409889"/>
      <w:bookmarkEnd w:id="31"/>
      <w:bookmarkEnd w:id="32"/>
      <w:bookmarkEnd w:id="33"/>
      <w:bookmarkEnd w:id="34"/>
      <w:bookmarkEnd w:id="35"/>
      <w:r w:rsidRPr="00DB50CE">
        <w:rPr>
          <w:rFonts w:ascii="Arial" w:eastAsiaTheme="minorHAnsi" w:hAnsi="Arial" w:cs="Times New Roman"/>
          <w:b/>
          <w:bCs/>
          <w:color w:val="auto"/>
          <w:kern w:val="28"/>
          <w:sz w:val="20"/>
          <w:szCs w:val="20"/>
        </w:rPr>
        <w:t>OTHER ACTIVITIES IN 202</w:t>
      </w:r>
      <w:bookmarkEnd w:id="36"/>
      <w:r w:rsidR="004E01B0">
        <w:rPr>
          <w:rFonts w:ascii="Arial" w:eastAsiaTheme="minorHAnsi" w:hAnsi="Arial" w:cs="Times New Roman"/>
          <w:b/>
          <w:bCs/>
          <w:color w:val="auto"/>
          <w:kern w:val="28"/>
          <w:sz w:val="20"/>
          <w:szCs w:val="20"/>
        </w:rPr>
        <w:t>2</w:t>
      </w:r>
      <w:bookmarkEnd w:id="37"/>
    </w:p>
    <w:p w14:paraId="38BF074F" w14:textId="77777777" w:rsidR="00DB50CE" w:rsidRPr="00DB50CE" w:rsidRDefault="00DB50CE" w:rsidP="00DB50CE"/>
    <w:p w14:paraId="16D370C8" w14:textId="4F5B53E2" w:rsidR="00277C14" w:rsidRDefault="00277C14" w:rsidP="00277C14">
      <w:pPr>
        <w:pStyle w:val="Default"/>
        <w:rPr>
          <w:sz w:val="20"/>
          <w:szCs w:val="20"/>
        </w:rPr>
      </w:pPr>
      <w:r w:rsidRPr="00277C14">
        <w:rPr>
          <w:sz w:val="20"/>
          <w:szCs w:val="20"/>
        </w:rPr>
        <w:t>In addition to its normal evaluation cycles, progress and follow-up reports and other peer pressure assessment mechanisms, MONEYVAL engages in other activities, including those listed below.</w:t>
      </w:r>
    </w:p>
    <w:p w14:paraId="7DADDA24" w14:textId="77777777" w:rsidR="00DB50CE" w:rsidRPr="00277C14" w:rsidRDefault="00DB50CE" w:rsidP="00277C14">
      <w:pPr>
        <w:pStyle w:val="Default"/>
        <w:rPr>
          <w:sz w:val="20"/>
          <w:szCs w:val="20"/>
        </w:rPr>
      </w:pPr>
    </w:p>
    <w:p w14:paraId="309C3571" w14:textId="4164BB56" w:rsidR="00277C14" w:rsidRDefault="00DB50CE" w:rsidP="00DB50CE">
      <w:pPr>
        <w:pStyle w:val="Heading2"/>
        <w:keepLines w:val="0"/>
        <w:tabs>
          <w:tab w:val="left" w:pos="709"/>
        </w:tabs>
        <w:spacing w:before="0"/>
        <w:ind w:right="680"/>
        <w:jc w:val="both"/>
        <w:rPr>
          <w:rStyle w:val="docheader1"/>
          <w:rFonts w:ascii="Arial" w:hAnsi="Arial" w:cs="Arial"/>
          <w:color w:val="000000" w:themeColor="text1"/>
          <w:sz w:val="20"/>
          <w:szCs w:val="20"/>
        </w:rPr>
      </w:pPr>
      <w:bookmarkStart w:id="38" w:name="_Toc66712425"/>
      <w:bookmarkStart w:id="39" w:name="_Toc135409890"/>
      <w:r>
        <w:rPr>
          <w:rStyle w:val="docheader1"/>
          <w:rFonts w:ascii="Arial" w:hAnsi="Arial" w:cs="Arial"/>
          <w:color w:val="000000" w:themeColor="text1"/>
          <w:sz w:val="20"/>
          <w:szCs w:val="20"/>
        </w:rPr>
        <w:t>4.</w:t>
      </w:r>
      <w:r w:rsidR="001D011D">
        <w:rPr>
          <w:rStyle w:val="docheader1"/>
          <w:rFonts w:ascii="Arial" w:hAnsi="Arial" w:cs="Arial"/>
          <w:color w:val="000000" w:themeColor="text1"/>
          <w:sz w:val="20"/>
          <w:szCs w:val="20"/>
        </w:rPr>
        <w:t>1</w:t>
      </w:r>
      <w:r>
        <w:rPr>
          <w:rStyle w:val="docheader1"/>
          <w:rFonts w:ascii="Arial" w:hAnsi="Arial" w:cs="Arial"/>
          <w:color w:val="000000" w:themeColor="text1"/>
          <w:sz w:val="20"/>
          <w:szCs w:val="20"/>
        </w:rPr>
        <w:t>.</w:t>
      </w:r>
      <w:r>
        <w:rPr>
          <w:rStyle w:val="docheader1"/>
          <w:rFonts w:ascii="Arial" w:hAnsi="Arial" w:cs="Arial"/>
          <w:color w:val="000000" w:themeColor="text1"/>
          <w:sz w:val="20"/>
          <w:szCs w:val="20"/>
        </w:rPr>
        <w:tab/>
      </w:r>
      <w:r w:rsidR="00277C14" w:rsidRPr="00277C14">
        <w:rPr>
          <w:rStyle w:val="docheader1"/>
          <w:rFonts w:ascii="Arial" w:hAnsi="Arial" w:cs="Arial"/>
          <w:color w:val="000000" w:themeColor="text1"/>
          <w:sz w:val="20"/>
          <w:szCs w:val="20"/>
        </w:rPr>
        <w:t>Typologies programme</w:t>
      </w:r>
      <w:bookmarkEnd w:id="38"/>
      <w:bookmarkEnd w:id="39"/>
    </w:p>
    <w:p w14:paraId="39416F4D" w14:textId="77777777" w:rsidR="00DB50CE" w:rsidRPr="00DB50CE" w:rsidRDefault="00DB50CE" w:rsidP="00DB50CE"/>
    <w:p w14:paraId="3C079F05" w14:textId="5C7D3DA4" w:rsidR="004D20DD" w:rsidRPr="00B069FB" w:rsidRDefault="001D011D" w:rsidP="004D20DD">
      <w:pPr>
        <w:pStyle w:val="Default"/>
        <w:rPr>
          <w:sz w:val="20"/>
          <w:szCs w:val="20"/>
        </w:rPr>
      </w:pPr>
      <w:r w:rsidRPr="00B069FB">
        <w:rPr>
          <w:sz w:val="20"/>
          <w:szCs w:val="20"/>
        </w:rPr>
        <w:t xml:space="preserve">The outcomes of the first typologies research Project (led by Poland) on the topic “AML/CFT supervision in times of crisis and challenging external factors” </w:t>
      </w:r>
      <w:r w:rsidR="00A74E02" w:rsidRPr="00B069FB">
        <w:rPr>
          <w:sz w:val="20"/>
          <w:szCs w:val="20"/>
        </w:rPr>
        <w:t>were</w:t>
      </w:r>
      <w:r w:rsidR="004D20DD" w:rsidRPr="00B069FB">
        <w:rPr>
          <w:sz w:val="20"/>
          <w:szCs w:val="20"/>
        </w:rPr>
        <w:t xml:space="preserve"> published on 25 January 2022</w:t>
      </w:r>
      <w:r w:rsidR="00A74E02" w:rsidRPr="00B069FB">
        <w:rPr>
          <w:sz w:val="20"/>
          <w:szCs w:val="20"/>
        </w:rPr>
        <w:t xml:space="preserve">. </w:t>
      </w:r>
      <w:r w:rsidR="004D20DD" w:rsidRPr="00B069FB">
        <w:rPr>
          <w:sz w:val="20"/>
          <w:szCs w:val="20"/>
        </w:rPr>
        <w:t>The report is based on information collected from supervisors across MONEYVAL jurisdictions and other international actors on the measures they have taken to overcome the difficulties caused by the C</w:t>
      </w:r>
      <w:r w:rsidR="004C7EF8">
        <w:rPr>
          <w:sz w:val="20"/>
          <w:szCs w:val="20"/>
        </w:rPr>
        <w:t>ovid</w:t>
      </w:r>
      <w:r w:rsidR="004D20DD" w:rsidRPr="00B069FB">
        <w:rPr>
          <w:sz w:val="20"/>
          <w:szCs w:val="20"/>
        </w:rPr>
        <w:t>-19 pandemic, including operational limitations, notably the physical movement restrictions impeding the execution of on-site visits, limited human resources and technical complications. It draws on earlier work conducted by MONEYVAL on the topic of C</w:t>
      </w:r>
      <w:r w:rsidR="004C7EF8">
        <w:rPr>
          <w:sz w:val="20"/>
          <w:szCs w:val="20"/>
        </w:rPr>
        <w:t>ovid</w:t>
      </w:r>
      <w:r w:rsidR="004D20DD" w:rsidRPr="00B069FB">
        <w:rPr>
          <w:sz w:val="20"/>
          <w:szCs w:val="20"/>
        </w:rPr>
        <w:t>-19 risks.</w:t>
      </w:r>
    </w:p>
    <w:p w14:paraId="69D56F0C" w14:textId="3D1E1327" w:rsidR="004D20DD" w:rsidRPr="00B069FB" w:rsidRDefault="004D20DD" w:rsidP="00277C14">
      <w:pPr>
        <w:pStyle w:val="Default"/>
        <w:rPr>
          <w:sz w:val="20"/>
          <w:szCs w:val="20"/>
        </w:rPr>
      </w:pPr>
    </w:p>
    <w:p w14:paraId="45D186B9" w14:textId="30303334" w:rsidR="004D20DD" w:rsidRDefault="004D20DD" w:rsidP="004D20DD">
      <w:pPr>
        <w:pStyle w:val="Default"/>
        <w:rPr>
          <w:sz w:val="20"/>
          <w:szCs w:val="20"/>
        </w:rPr>
      </w:pPr>
      <w:r w:rsidRPr="00B069FB">
        <w:rPr>
          <w:sz w:val="20"/>
          <w:szCs w:val="20"/>
        </w:rPr>
        <w:t>In 2022</w:t>
      </w:r>
      <w:r w:rsidR="00B069FB">
        <w:rPr>
          <w:sz w:val="20"/>
          <w:szCs w:val="20"/>
        </w:rPr>
        <w:t>,</w:t>
      </w:r>
      <w:r w:rsidRPr="00B069FB">
        <w:rPr>
          <w:sz w:val="20"/>
          <w:szCs w:val="20"/>
        </w:rPr>
        <w:t xml:space="preserve"> MONEYVAL continued its typologies research by focusing on various aspects of the potential misuse of virtual assets (VA) and virtual asset service providers (VASPs) in money laundering or terror financing schemes. The research Project, led by Isle of Man, </w:t>
      </w:r>
      <w:proofErr w:type="gramStart"/>
      <w:r w:rsidRPr="00B069FB">
        <w:rPr>
          <w:sz w:val="20"/>
          <w:szCs w:val="20"/>
        </w:rPr>
        <w:t>looks into</w:t>
      </w:r>
      <w:proofErr w:type="gramEnd"/>
      <w:r w:rsidRPr="00B069FB">
        <w:rPr>
          <w:sz w:val="20"/>
          <w:szCs w:val="20"/>
        </w:rPr>
        <w:t xml:space="preserve"> issues related to risk, supervision and suspicious activity reporting. The topic of VA and VASPs has evolved tremendously in the recent years. A range of new products, services and business models have been developed that have the potential to spur financial innovation and efficiency and improve financial inclusion, but they also create new opportunities for criminals and terrorists to launder their proceeds or finance their illicit activities. The typologies study is scheduled to be completed and published in 2023.</w:t>
      </w:r>
      <w:r>
        <w:rPr>
          <w:sz w:val="20"/>
          <w:szCs w:val="20"/>
        </w:rPr>
        <w:t xml:space="preserve"> </w:t>
      </w:r>
    </w:p>
    <w:p w14:paraId="2BD4DE35" w14:textId="77777777" w:rsidR="004D20DD" w:rsidRPr="00277C14" w:rsidRDefault="004D20DD" w:rsidP="00277C14">
      <w:pPr>
        <w:pStyle w:val="Default"/>
        <w:rPr>
          <w:sz w:val="20"/>
          <w:szCs w:val="20"/>
        </w:rPr>
      </w:pPr>
    </w:p>
    <w:p w14:paraId="05987C52" w14:textId="6A02E68B" w:rsidR="00277C14" w:rsidRDefault="00DB50CE" w:rsidP="00DB50CE">
      <w:pPr>
        <w:pStyle w:val="Heading2"/>
        <w:keepLines w:val="0"/>
        <w:tabs>
          <w:tab w:val="left" w:pos="709"/>
        </w:tabs>
        <w:spacing w:before="0"/>
        <w:ind w:right="680"/>
        <w:jc w:val="both"/>
        <w:rPr>
          <w:rStyle w:val="docheader1"/>
          <w:rFonts w:ascii="Arial" w:hAnsi="Arial" w:cs="Arial"/>
          <w:color w:val="000000" w:themeColor="text1"/>
          <w:sz w:val="20"/>
          <w:szCs w:val="20"/>
        </w:rPr>
      </w:pPr>
      <w:bookmarkStart w:id="40" w:name="_Toc66712426"/>
      <w:bookmarkStart w:id="41" w:name="_Toc135409891"/>
      <w:r>
        <w:rPr>
          <w:rStyle w:val="docheader1"/>
          <w:rFonts w:ascii="Arial" w:hAnsi="Arial" w:cs="Arial"/>
          <w:color w:val="000000" w:themeColor="text1"/>
          <w:sz w:val="20"/>
          <w:szCs w:val="20"/>
        </w:rPr>
        <w:t>4.</w:t>
      </w:r>
      <w:r w:rsidR="001E2D7E">
        <w:rPr>
          <w:rStyle w:val="docheader1"/>
          <w:rFonts w:ascii="Arial" w:hAnsi="Arial" w:cs="Arial"/>
          <w:color w:val="000000" w:themeColor="text1"/>
          <w:sz w:val="20"/>
          <w:szCs w:val="20"/>
        </w:rPr>
        <w:t>2</w:t>
      </w:r>
      <w:r>
        <w:rPr>
          <w:rStyle w:val="docheader1"/>
          <w:rFonts w:ascii="Arial" w:hAnsi="Arial" w:cs="Arial"/>
          <w:color w:val="000000" w:themeColor="text1"/>
          <w:sz w:val="20"/>
          <w:szCs w:val="20"/>
        </w:rPr>
        <w:t>.</w:t>
      </w:r>
      <w:r>
        <w:rPr>
          <w:rStyle w:val="docheader1"/>
          <w:rFonts w:ascii="Arial" w:hAnsi="Arial" w:cs="Arial"/>
          <w:color w:val="000000" w:themeColor="text1"/>
          <w:sz w:val="20"/>
          <w:szCs w:val="20"/>
        </w:rPr>
        <w:tab/>
      </w:r>
      <w:r w:rsidR="00277C14" w:rsidRPr="00277C14">
        <w:rPr>
          <w:rStyle w:val="docheader1"/>
          <w:rFonts w:ascii="Arial" w:hAnsi="Arial" w:cs="Arial"/>
          <w:color w:val="000000" w:themeColor="text1"/>
          <w:sz w:val="20"/>
          <w:szCs w:val="20"/>
        </w:rPr>
        <w:t xml:space="preserve">MONEYVAL plenaries and </w:t>
      </w:r>
      <w:r w:rsidR="00205C94">
        <w:rPr>
          <w:rStyle w:val="docheader1"/>
          <w:rFonts w:ascii="Arial" w:hAnsi="Arial" w:cs="Arial"/>
          <w:color w:val="000000" w:themeColor="text1"/>
          <w:sz w:val="20"/>
          <w:szCs w:val="20"/>
        </w:rPr>
        <w:t>i</w:t>
      </w:r>
      <w:r w:rsidR="00277C14" w:rsidRPr="00277C14">
        <w:rPr>
          <w:rStyle w:val="docheader1"/>
          <w:rFonts w:ascii="Arial" w:hAnsi="Arial" w:cs="Arial"/>
          <w:color w:val="000000" w:themeColor="text1"/>
          <w:sz w:val="20"/>
          <w:szCs w:val="20"/>
        </w:rPr>
        <w:t>ntersessional consultations</w:t>
      </w:r>
      <w:bookmarkEnd w:id="40"/>
      <w:bookmarkEnd w:id="41"/>
    </w:p>
    <w:p w14:paraId="4FB92FE3" w14:textId="77777777" w:rsidR="00DB50CE" w:rsidRPr="00DB50CE" w:rsidRDefault="00DB50CE" w:rsidP="00DB50CE"/>
    <w:p w14:paraId="45E6019F" w14:textId="3493E708" w:rsidR="00277C14" w:rsidRDefault="00277C14" w:rsidP="00277C14">
      <w:pPr>
        <w:pStyle w:val="Default"/>
        <w:rPr>
          <w:sz w:val="20"/>
          <w:szCs w:val="20"/>
        </w:rPr>
      </w:pPr>
      <w:r w:rsidRPr="00277C14">
        <w:rPr>
          <w:sz w:val="20"/>
          <w:szCs w:val="20"/>
        </w:rPr>
        <w:t xml:space="preserve">At its Plenary </w:t>
      </w:r>
      <w:r w:rsidR="006B2E26">
        <w:rPr>
          <w:sz w:val="20"/>
          <w:szCs w:val="20"/>
        </w:rPr>
        <w:t>meetings</w:t>
      </w:r>
      <w:r w:rsidRPr="00277C14">
        <w:rPr>
          <w:sz w:val="20"/>
          <w:szCs w:val="20"/>
        </w:rPr>
        <w:t xml:space="preserve"> in 202</w:t>
      </w:r>
      <w:r w:rsidR="006B2E26">
        <w:rPr>
          <w:sz w:val="20"/>
          <w:szCs w:val="20"/>
        </w:rPr>
        <w:t>2</w:t>
      </w:r>
      <w:r w:rsidRPr="00277C14">
        <w:rPr>
          <w:sz w:val="20"/>
          <w:szCs w:val="20"/>
        </w:rPr>
        <w:t xml:space="preserve">, MONEYVAL discussed a number of topical issues in the AML/CFT </w:t>
      </w:r>
      <w:proofErr w:type="gramStart"/>
      <w:r w:rsidRPr="00277C14">
        <w:rPr>
          <w:sz w:val="20"/>
          <w:szCs w:val="20"/>
        </w:rPr>
        <w:t xml:space="preserve">field, </w:t>
      </w:r>
      <w:r w:rsidR="00A74E02">
        <w:rPr>
          <w:sz w:val="20"/>
          <w:szCs w:val="20"/>
        </w:rPr>
        <w:t>and</w:t>
      </w:r>
      <w:proofErr w:type="gramEnd"/>
      <w:r w:rsidR="00A74E02">
        <w:rPr>
          <w:sz w:val="20"/>
          <w:szCs w:val="20"/>
        </w:rPr>
        <w:t xml:space="preserve"> </w:t>
      </w:r>
      <w:r w:rsidRPr="00277C14">
        <w:rPr>
          <w:sz w:val="20"/>
          <w:szCs w:val="20"/>
        </w:rPr>
        <w:t>had exchanges of views wit</w:t>
      </w:r>
      <w:r w:rsidR="00205C94">
        <w:rPr>
          <w:sz w:val="20"/>
          <w:szCs w:val="20"/>
        </w:rPr>
        <w:t>h</w:t>
      </w:r>
      <w:r w:rsidRPr="00277C14">
        <w:rPr>
          <w:sz w:val="20"/>
          <w:szCs w:val="20"/>
        </w:rPr>
        <w:t xml:space="preserve"> AML/CFT experts. Apart from the issues already covered elsewhere in this report, the following lists a selection of these</w:t>
      </w:r>
      <w:r w:rsidR="00A74E02">
        <w:rPr>
          <w:sz w:val="20"/>
          <w:szCs w:val="20"/>
        </w:rPr>
        <w:t xml:space="preserve"> decisions and exchanges. </w:t>
      </w:r>
      <w:proofErr w:type="gramStart"/>
      <w:r w:rsidR="00A74E02">
        <w:rPr>
          <w:sz w:val="20"/>
          <w:szCs w:val="20"/>
        </w:rPr>
        <w:t>In particular the</w:t>
      </w:r>
      <w:proofErr w:type="gramEnd"/>
      <w:r w:rsidR="00A74E02">
        <w:rPr>
          <w:sz w:val="20"/>
          <w:szCs w:val="20"/>
        </w:rPr>
        <w:t xml:space="preserve"> MONEYVAL </w:t>
      </w:r>
      <w:r w:rsidR="00A74E02" w:rsidRPr="005844FD">
        <w:rPr>
          <w:sz w:val="20"/>
          <w:szCs w:val="20"/>
        </w:rPr>
        <w:t>Plenar</w:t>
      </w:r>
      <w:r w:rsidR="006B2E26" w:rsidRPr="005844FD">
        <w:rPr>
          <w:sz w:val="20"/>
          <w:szCs w:val="20"/>
        </w:rPr>
        <w:t>y</w:t>
      </w:r>
      <w:r w:rsidR="00A74E02" w:rsidRPr="005844FD">
        <w:rPr>
          <w:sz w:val="20"/>
          <w:szCs w:val="20"/>
        </w:rPr>
        <w:t>:</w:t>
      </w:r>
    </w:p>
    <w:p w14:paraId="2912E9EC" w14:textId="77777777" w:rsidR="00E51C76" w:rsidRPr="005844FD" w:rsidRDefault="00E51C76" w:rsidP="00277C14">
      <w:pPr>
        <w:pStyle w:val="Default"/>
        <w:rPr>
          <w:sz w:val="20"/>
          <w:szCs w:val="20"/>
        </w:rPr>
      </w:pPr>
    </w:p>
    <w:p w14:paraId="76FFDE5F" w14:textId="55A4D3EB" w:rsidR="004D663C" w:rsidRDefault="004D663C" w:rsidP="004D663C">
      <w:pPr>
        <w:pStyle w:val="Default"/>
        <w:numPr>
          <w:ilvl w:val="0"/>
          <w:numId w:val="46"/>
        </w:numPr>
        <w:rPr>
          <w:sz w:val="20"/>
          <w:szCs w:val="20"/>
        </w:rPr>
      </w:pPr>
      <w:r w:rsidRPr="005844FD">
        <w:rPr>
          <w:sz w:val="20"/>
          <w:szCs w:val="20"/>
        </w:rPr>
        <w:t xml:space="preserve">agreed on changes to the procedure on follow-up to mutual evaluations, including a new approach to reporting, its link with the Compliance Enhancing Procedures, and increased engagement between the rapporteur team and the country under </w:t>
      </w:r>
      <w:proofErr w:type="gramStart"/>
      <w:r w:rsidRPr="005844FD">
        <w:rPr>
          <w:sz w:val="20"/>
          <w:szCs w:val="20"/>
        </w:rPr>
        <w:t>review;</w:t>
      </w:r>
      <w:proofErr w:type="gramEnd"/>
    </w:p>
    <w:p w14:paraId="2F62C403" w14:textId="77777777" w:rsidR="00E51C76" w:rsidRPr="005844FD" w:rsidRDefault="00E51C76" w:rsidP="00E51C76">
      <w:pPr>
        <w:pStyle w:val="Default"/>
        <w:ind w:left="360"/>
        <w:rPr>
          <w:sz w:val="20"/>
          <w:szCs w:val="20"/>
        </w:rPr>
      </w:pPr>
    </w:p>
    <w:p w14:paraId="223D2657" w14:textId="77777777" w:rsidR="00E51C76" w:rsidRDefault="00E51C76">
      <w:pPr>
        <w:rPr>
          <w:rFonts w:eastAsia="Times New Roman" w:cs="Arial"/>
          <w:color w:val="000000"/>
          <w:szCs w:val="20"/>
        </w:rPr>
      </w:pPr>
      <w:r>
        <w:rPr>
          <w:szCs w:val="20"/>
        </w:rPr>
        <w:br w:type="page"/>
      </w:r>
    </w:p>
    <w:p w14:paraId="1B12D46F" w14:textId="172B597E" w:rsidR="004D663C" w:rsidRDefault="004D663C" w:rsidP="004D663C">
      <w:pPr>
        <w:pStyle w:val="Default"/>
        <w:numPr>
          <w:ilvl w:val="0"/>
          <w:numId w:val="46"/>
        </w:numPr>
        <w:rPr>
          <w:sz w:val="20"/>
          <w:szCs w:val="20"/>
        </w:rPr>
      </w:pPr>
      <w:r w:rsidRPr="005844FD">
        <w:rPr>
          <w:sz w:val="20"/>
          <w:szCs w:val="20"/>
        </w:rPr>
        <w:lastRenderedPageBreak/>
        <w:t>discussed the planning and sequencing for the 6</w:t>
      </w:r>
      <w:r w:rsidR="00EE5C37" w:rsidRPr="00EE5C37">
        <w:rPr>
          <w:sz w:val="20"/>
          <w:szCs w:val="20"/>
          <w:vertAlign w:val="superscript"/>
        </w:rPr>
        <w:t>th</w:t>
      </w:r>
      <w:r w:rsidR="00EE5C37">
        <w:rPr>
          <w:sz w:val="20"/>
          <w:szCs w:val="20"/>
        </w:rPr>
        <w:t xml:space="preserve"> </w:t>
      </w:r>
      <w:r w:rsidRPr="005844FD">
        <w:rPr>
          <w:sz w:val="20"/>
          <w:szCs w:val="20"/>
        </w:rPr>
        <w:t xml:space="preserve">Round of mutual </w:t>
      </w:r>
      <w:proofErr w:type="gramStart"/>
      <w:r w:rsidRPr="005844FD">
        <w:rPr>
          <w:sz w:val="20"/>
          <w:szCs w:val="20"/>
        </w:rPr>
        <w:t>evaluations;</w:t>
      </w:r>
      <w:proofErr w:type="gramEnd"/>
    </w:p>
    <w:p w14:paraId="42F4A2FD" w14:textId="77777777" w:rsidR="00E51C76" w:rsidRPr="005844FD" w:rsidRDefault="00E51C76" w:rsidP="00E51C76">
      <w:pPr>
        <w:pStyle w:val="Default"/>
        <w:rPr>
          <w:sz w:val="20"/>
          <w:szCs w:val="20"/>
        </w:rPr>
      </w:pPr>
    </w:p>
    <w:p w14:paraId="5723223A" w14:textId="1EF48F81" w:rsidR="004D663C" w:rsidRDefault="004D663C" w:rsidP="004D663C">
      <w:pPr>
        <w:pStyle w:val="Default"/>
        <w:numPr>
          <w:ilvl w:val="0"/>
          <w:numId w:val="46"/>
        </w:numPr>
        <w:rPr>
          <w:sz w:val="20"/>
          <w:szCs w:val="20"/>
        </w:rPr>
      </w:pPr>
      <w:r w:rsidRPr="005844FD">
        <w:rPr>
          <w:sz w:val="20"/>
          <w:szCs w:val="20"/>
        </w:rPr>
        <w:t xml:space="preserve">discussed and adopted the Organisational principles during the mutual evaluation process for evaluated countries and </w:t>
      </w:r>
      <w:proofErr w:type="gramStart"/>
      <w:r w:rsidRPr="005844FD">
        <w:rPr>
          <w:sz w:val="20"/>
          <w:szCs w:val="20"/>
        </w:rPr>
        <w:t>territories;</w:t>
      </w:r>
      <w:proofErr w:type="gramEnd"/>
    </w:p>
    <w:p w14:paraId="27320EAC" w14:textId="77777777" w:rsidR="00E51C76" w:rsidRPr="005844FD" w:rsidRDefault="00E51C76" w:rsidP="00E51C76">
      <w:pPr>
        <w:pStyle w:val="Default"/>
        <w:rPr>
          <w:sz w:val="20"/>
          <w:szCs w:val="20"/>
        </w:rPr>
      </w:pPr>
    </w:p>
    <w:p w14:paraId="57BE24F4" w14:textId="5E81D6F9" w:rsidR="004D663C" w:rsidRDefault="004D663C" w:rsidP="004D663C">
      <w:pPr>
        <w:pStyle w:val="Default"/>
        <w:numPr>
          <w:ilvl w:val="0"/>
          <w:numId w:val="46"/>
        </w:numPr>
        <w:rPr>
          <w:sz w:val="20"/>
          <w:szCs w:val="20"/>
        </w:rPr>
      </w:pPr>
      <w:r w:rsidRPr="005844FD">
        <w:rPr>
          <w:sz w:val="20"/>
          <w:szCs w:val="20"/>
        </w:rPr>
        <w:t>held a thematic session on money laundering and human trafficking, including an exchange of views with Ms Helga Gayer</w:t>
      </w:r>
      <w:r w:rsidR="005844FD" w:rsidRPr="005844FD">
        <w:rPr>
          <w:sz w:val="20"/>
          <w:szCs w:val="20"/>
        </w:rPr>
        <w:t>,</w:t>
      </w:r>
      <w:r w:rsidRPr="005844FD">
        <w:rPr>
          <w:sz w:val="20"/>
          <w:szCs w:val="20"/>
        </w:rPr>
        <w:t xml:space="preserve"> the Chair of the Group of Experts on Action against Trafficking in Human Beings (GRETA</w:t>
      </w:r>
      <w:proofErr w:type="gramStart"/>
      <w:r w:rsidRPr="005844FD">
        <w:rPr>
          <w:sz w:val="20"/>
          <w:szCs w:val="20"/>
        </w:rPr>
        <w:t>);</w:t>
      </w:r>
      <w:proofErr w:type="gramEnd"/>
    </w:p>
    <w:p w14:paraId="3620F09D" w14:textId="77777777" w:rsidR="00E51C76" w:rsidRPr="005844FD" w:rsidRDefault="00E51C76" w:rsidP="00E51C76">
      <w:pPr>
        <w:pStyle w:val="Default"/>
        <w:rPr>
          <w:sz w:val="20"/>
          <w:szCs w:val="20"/>
        </w:rPr>
      </w:pPr>
    </w:p>
    <w:p w14:paraId="239EA5B9" w14:textId="1B50C504" w:rsidR="004D663C" w:rsidRPr="005844FD" w:rsidRDefault="004D663C" w:rsidP="004D663C">
      <w:pPr>
        <w:pStyle w:val="Default"/>
        <w:numPr>
          <w:ilvl w:val="0"/>
          <w:numId w:val="46"/>
        </w:numPr>
        <w:rPr>
          <w:sz w:val="20"/>
          <w:szCs w:val="20"/>
        </w:rPr>
      </w:pPr>
      <w:r w:rsidRPr="005844FD">
        <w:rPr>
          <w:sz w:val="20"/>
          <w:szCs w:val="20"/>
        </w:rPr>
        <w:t>discussed the Draft MONEYVAL Strategy for 2023-2027 and heard interventions from the former MONEYVAL Chairs and scientific experts.</w:t>
      </w:r>
    </w:p>
    <w:p w14:paraId="23D91491" w14:textId="77777777" w:rsidR="00277C14" w:rsidRPr="00277C14" w:rsidRDefault="00277C14" w:rsidP="00277C14">
      <w:pPr>
        <w:pStyle w:val="Default"/>
        <w:rPr>
          <w:sz w:val="20"/>
          <w:szCs w:val="20"/>
        </w:rPr>
      </w:pPr>
    </w:p>
    <w:p w14:paraId="3E74B904" w14:textId="50C6B9CF" w:rsidR="00277C14" w:rsidRDefault="00DB50CE" w:rsidP="00DB50CE">
      <w:pPr>
        <w:pStyle w:val="Heading2"/>
        <w:keepLines w:val="0"/>
        <w:tabs>
          <w:tab w:val="left" w:pos="709"/>
        </w:tabs>
        <w:spacing w:before="0"/>
        <w:ind w:right="680"/>
        <w:jc w:val="both"/>
        <w:rPr>
          <w:rStyle w:val="docheader1"/>
          <w:rFonts w:ascii="Arial" w:hAnsi="Arial" w:cs="Arial"/>
          <w:color w:val="000000" w:themeColor="text1"/>
          <w:sz w:val="20"/>
          <w:szCs w:val="20"/>
        </w:rPr>
      </w:pPr>
      <w:bookmarkStart w:id="42" w:name="_Toc423609848"/>
      <w:bookmarkStart w:id="43" w:name="_Toc66712427"/>
      <w:bookmarkStart w:id="44" w:name="_Toc135409892"/>
      <w:bookmarkStart w:id="45" w:name="_Toc346194302"/>
      <w:bookmarkStart w:id="46" w:name="_Toc379211960"/>
      <w:bookmarkStart w:id="47" w:name="_Toc423609829"/>
      <w:bookmarkStart w:id="48" w:name="_Toc446602131"/>
      <w:r>
        <w:rPr>
          <w:rStyle w:val="docheader1"/>
          <w:rFonts w:ascii="Arial" w:hAnsi="Arial" w:cs="Arial"/>
          <w:color w:val="000000" w:themeColor="text1"/>
          <w:sz w:val="20"/>
          <w:szCs w:val="20"/>
        </w:rPr>
        <w:t>4.</w:t>
      </w:r>
      <w:r w:rsidR="00503E8C">
        <w:rPr>
          <w:rStyle w:val="docheader1"/>
          <w:rFonts w:ascii="Arial" w:hAnsi="Arial" w:cs="Arial"/>
          <w:color w:val="000000" w:themeColor="text1"/>
          <w:sz w:val="20"/>
          <w:szCs w:val="20"/>
        </w:rPr>
        <w:t>3</w:t>
      </w:r>
      <w:r>
        <w:rPr>
          <w:rStyle w:val="docheader1"/>
          <w:rFonts w:ascii="Arial" w:hAnsi="Arial" w:cs="Arial"/>
          <w:color w:val="000000" w:themeColor="text1"/>
          <w:sz w:val="20"/>
          <w:szCs w:val="20"/>
        </w:rPr>
        <w:t>.</w:t>
      </w:r>
      <w:r>
        <w:rPr>
          <w:rStyle w:val="docheader1"/>
          <w:rFonts w:ascii="Arial" w:hAnsi="Arial" w:cs="Arial"/>
          <w:color w:val="000000" w:themeColor="text1"/>
          <w:sz w:val="20"/>
          <w:szCs w:val="20"/>
        </w:rPr>
        <w:tab/>
      </w:r>
      <w:r w:rsidR="005D084D">
        <w:rPr>
          <w:rStyle w:val="docheader1"/>
          <w:rFonts w:ascii="Arial" w:hAnsi="Arial" w:cs="Arial"/>
          <w:color w:val="000000" w:themeColor="text1"/>
          <w:sz w:val="20"/>
          <w:szCs w:val="20"/>
        </w:rPr>
        <w:t>T</w:t>
      </w:r>
      <w:r w:rsidR="00277C14" w:rsidRPr="00277C14">
        <w:rPr>
          <w:rStyle w:val="docheader1"/>
          <w:rFonts w:ascii="Arial" w:hAnsi="Arial" w:cs="Arial"/>
          <w:color w:val="000000" w:themeColor="text1"/>
          <w:sz w:val="20"/>
          <w:szCs w:val="20"/>
        </w:rPr>
        <w:t>raining</w:t>
      </w:r>
      <w:bookmarkEnd w:id="42"/>
      <w:r w:rsidR="00277C14" w:rsidRPr="00277C14">
        <w:rPr>
          <w:rStyle w:val="docheader1"/>
          <w:rFonts w:ascii="Arial" w:hAnsi="Arial" w:cs="Arial"/>
          <w:color w:val="000000" w:themeColor="text1"/>
          <w:sz w:val="20"/>
          <w:szCs w:val="20"/>
        </w:rPr>
        <w:t>s</w:t>
      </w:r>
      <w:bookmarkEnd w:id="43"/>
      <w:bookmarkEnd w:id="44"/>
    </w:p>
    <w:p w14:paraId="54DC1D8F" w14:textId="77777777" w:rsidR="00DB50CE" w:rsidRPr="00DB50CE" w:rsidRDefault="00DB50CE" w:rsidP="00DB50CE"/>
    <w:p w14:paraId="2196A4C4" w14:textId="2FCA8796" w:rsidR="004D20DD" w:rsidRPr="004D20DD" w:rsidRDefault="004D20DD" w:rsidP="004D20DD">
      <w:pPr>
        <w:pStyle w:val="Default"/>
        <w:rPr>
          <w:sz w:val="20"/>
          <w:szCs w:val="20"/>
        </w:rPr>
      </w:pPr>
      <w:r w:rsidRPr="005844FD">
        <w:rPr>
          <w:sz w:val="20"/>
          <w:szCs w:val="20"/>
        </w:rPr>
        <w:t>On 14-24 February 2022</w:t>
      </w:r>
      <w:r w:rsidR="005844FD" w:rsidRPr="005844FD">
        <w:rPr>
          <w:sz w:val="20"/>
          <w:szCs w:val="20"/>
        </w:rPr>
        <w:t>,</w:t>
      </w:r>
      <w:r w:rsidRPr="005844FD">
        <w:rPr>
          <w:sz w:val="20"/>
          <w:szCs w:val="20"/>
        </w:rPr>
        <w:t xml:space="preserve"> MONEYVAL delegations participated in the tenth virtual course focused on anti-money laundering, counter-terrorist </w:t>
      </w:r>
      <w:proofErr w:type="gramStart"/>
      <w:r w:rsidRPr="005844FD">
        <w:rPr>
          <w:sz w:val="20"/>
          <w:szCs w:val="20"/>
        </w:rPr>
        <w:t>financing</w:t>
      </w:r>
      <w:proofErr w:type="gramEnd"/>
      <w:r w:rsidRPr="005844FD">
        <w:rPr>
          <w:sz w:val="20"/>
          <w:szCs w:val="20"/>
        </w:rPr>
        <w:t xml:space="preserve"> and counter-proliferation financing techniques. The training course was jointly delivered by training specialists from the FATF Training Institute in Busan, Republic of </w:t>
      </w:r>
      <w:proofErr w:type="gramStart"/>
      <w:r w:rsidRPr="005844FD">
        <w:rPr>
          <w:sz w:val="20"/>
          <w:szCs w:val="20"/>
        </w:rPr>
        <w:t>Korea</w:t>
      </w:r>
      <w:proofErr w:type="gramEnd"/>
      <w:r w:rsidRPr="005844FD">
        <w:rPr>
          <w:sz w:val="20"/>
          <w:szCs w:val="20"/>
        </w:rPr>
        <w:t xml:space="preserve"> and experts from MONEYVAL. The Standards Training Course aimed at enhancing participants’ understanding of the FATF Standards on AML/CFT and the implementation of effective measures to combat ML/TF. It was an intermediate level training, designed for AML/CFT practitioners with prior exposure to the FATF Standards, and was delivered through a series of e-learning, presentations, group discussions and small group activities. In addition, this course is also designed for practitioners looking to improve their countries’ AML/CFT measures.</w:t>
      </w:r>
    </w:p>
    <w:p w14:paraId="6E00C5E8" w14:textId="75700FD6" w:rsidR="00503E8C" w:rsidRDefault="00503E8C"/>
    <w:p w14:paraId="7E3955BA" w14:textId="48E41CB3" w:rsidR="00277C14" w:rsidRPr="005745B6" w:rsidRDefault="00277C14" w:rsidP="005745B6">
      <w:pPr>
        <w:pStyle w:val="Heading1"/>
        <w:numPr>
          <w:ilvl w:val="0"/>
          <w:numId w:val="37"/>
        </w:numPr>
        <w:spacing w:before="0"/>
        <w:rPr>
          <w:rFonts w:ascii="Arial" w:eastAsiaTheme="minorHAnsi" w:hAnsi="Arial" w:cs="Times New Roman"/>
          <w:b/>
          <w:bCs/>
          <w:color w:val="auto"/>
          <w:kern w:val="28"/>
          <w:sz w:val="20"/>
          <w:szCs w:val="20"/>
        </w:rPr>
      </w:pPr>
      <w:bookmarkStart w:id="49" w:name="_Toc66712429"/>
      <w:bookmarkStart w:id="50" w:name="_Toc135409893"/>
      <w:r w:rsidRPr="005745B6">
        <w:rPr>
          <w:rFonts w:ascii="Arial" w:eastAsiaTheme="minorHAnsi" w:hAnsi="Arial" w:cs="Times New Roman"/>
          <w:b/>
          <w:bCs/>
          <w:color w:val="auto"/>
          <w:kern w:val="28"/>
          <w:sz w:val="20"/>
          <w:szCs w:val="20"/>
        </w:rPr>
        <w:t>KEY INTERNATIONAL PARTNERSHIPS</w:t>
      </w:r>
      <w:bookmarkEnd w:id="45"/>
      <w:bookmarkEnd w:id="46"/>
      <w:bookmarkEnd w:id="47"/>
      <w:bookmarkEnd w:id="48"/>
      <w:bookmarkEnd w:id="49"/>
      <w:bookmarkEnd w:id="50"/>
    </w:p>
    <w:p w14:paraId="722DD352" w14:textId="77777777" w:rsidR="005745B6" w:rsidRPr="005745B6" w:rsidRDefault="005745B6" w:rsidP="005745B6">
      <w:pPr>
        <w:rPr>
          <w:lang w:val="fr-FR"/>
        </w:rPr>
      </w:pPr>
    </w:p>
    <w:p w14:paraId="789AAB57" w14:textId="713997F5" w:rsidR="00277C14" w:rsidRDefault="00277C14" w:rsidP="00277C14">
      <w:pPr>
        <w:pStyle w:val="Default"/>
        <w:rPr>
          <w:sz w:val="20"/>
          <w:szCs w:val="20"/>
        </w:rPr>
      </w:pPr>
      <w:r w:rsidRPr="00277C14">
        <w:rPr>
          <w:sz w:val="20"/>
          <w:szCs w:val="20"/>
        </w:rPr>
        <w:t xml:space="preserve">MONEYVAL is a key partner in the Global Network of AML/CFT assessment bodies, which is led by the FATF. The development of horizontal partnerships within this Network is essential to its coherent functioning and overall global effectiveness. </w:t>
      </w:r>
    </w:p>
    <w:p w14:paraId="49877CED" w14:textId="77777777" w:rsidR="005745B6" w:rsidRPr="00277C14" w:rsidRDefault="005745B6" w:rsidP="00277C14">
      <w:pPr>
        <w:pStyle w:val="Default"/>
        <w:rPr>
          <w:sz w:val="20"/>
          <w:szCs w:val="20"/>
        </w:rPr>
      </w:pPr>
    </w:p>
    <w:p w14:paraId="60AC22A9" w14:textId="584521E5" w:rsidR="00277C14" w:rsidRPr="00793889" w:rsidRDefault="005745B6" w:rsidP="005745B6">
      <w:pPr>
        <w:pStyle w:val="Heading2"/>
        <w:keepLines w:val="0"/>
        <w:spacing w:before="0"/>
        <w:ind w:right="680"/>
        <w:jc w:val="both"/>
        <w:rPr>
          <w:rStyle w:val="Strong"/>
          <w:rFonts w:ascii="Arial" w:eastAsiaTheme="minorHAnsi" w:hAnsi="Arial" w:cs="Arial"/>
          <w:bCs/>
          <w:color w:val="auto"/>
          <w:sz w:val="20"/>
          <w:szCs w:val="20"/>
          <w:lang w:val="en-US"/>
        </w:rPr>
      </w:pPr>
      <w:bookmarkStart w:id="51" w:name="_Toc379211961"/>
      <w:bookmarkStart w:id="52" w:name="_Toc423609830"/>
      <w:bookmarkStart w:id="53" w:name="_Toc66712430"/>
      <w:bookmarkStart w:id="54" w:name="_Toc135409894"/>
      <w:r w:rsidRPr="00793889">
        <w:rPr>
          <w:rStyle w:val="Strong"/>
          <w:rFonts w:ascii="Arial" w:eastAsiaTheme="minorHAnsi" w:hAnsi="Arial" w:cs="Arial"/>
          <w:bCs/>
          <w:color w:val="auto"/>
          <w:sz w:val="20"/>
          <w:szCs w:val="20"/>
          <w:lang w:val="en-US"/>
        </w:rPr>
        <w:t>5.1.</w:t>
      </w:r>
      <w:r w:rsidRPr="00793889">
        <w:rPr>
          <w:rStyle w:val="Strong"/>
          <w:rFonts w:ascii="Arial" w:eastAsiaTheme="minorHAnsi" w:hAnsi="Arial" w:cs="Arial"/>
          <w:bCs/>
          <w:color w:val="auto"/>
          <w:sz w:val="20"/>
          <w:szCs w:val="20"/>
          <w:lang w:val="en-US"/>
        </w:rPr>
        <w:tab/>
      </w:r>
      <w:r w:rsidR="00277C14" w:rsidRPr="00793889">
        <w:rPr>
          <w:rStyle w:val="Strong"/>
          <w:rFonts w:ascii="Arial" w:eastAsiaTheme="minorHAnsi" w:hAnsi="Arial" w:cs="Arial"/>
          <w:bCs/>
          <w:color w:val="auto"/>
          <w:sz w:val="20"/>
          <w:szCs w:val="20"/>
          <w:lang w:val="en-US"/>
        </w:rPr>
        <w:t>Financial Action Task Force</w:t>
      </w:r>
      <w:bookmarkEnd w:id="51"/>
      <w:bookmarkEnd w:id="52"/>
      <w:bookmarkEnd w:id="53"/>
      <w:bookmarkEnd w:id="54"/>
    </w:p>
    <w:p w14:paraId="6F32216F" w14:textId="77777777" w:rsidR="005745B6" w:rsidRPr="00793889" w:rsidRDefault="005745B6" w:rsidP="005745B6">
      <w:pPr>
        <w:rPr>
          <w:lang w:val="en-US"/>
        </w:rPr>
      </w:pPr>
    </w:p>
    <w:p w14:paraId="46BAA98D" w14:textId="77777777" w:rsidR="00277C14" w:rsidRPr="00277C14" w:rsidRDefault="00277C14" w:rsidP="00277C14">
      <w:pPr>
        <w:pStyle w:val="Default"/>
        <w:rPr>
          <w:sz w:val="20"/>
          <w:szCs w:val="20"/>
        </w:rPr>
      </w:pPr>
      <w:r w:rsidRPr="00277C14">
        <w:rPr>
          <w:sz w:val="20"/>
          <w:szCs w:val="20"/>
        </w:rPr>
        <w:t>The Financial Action Task Force (FATF) continues to be MONEYVAL’s primary international partner and collaborator. The FATF is an inter-governmental body established in 1989 and designed to set standards and promote effective implementation of anti-money laundering and countering terrorist financing measures. The FATF is therefore a policy-making body which works to generate the necessary political will to bring about national legislative and regulatory reforms. It operates in combination with nine FATF-style regional bodies, among which MONEYVAL is recognised as a leading member.</w:t>
      </w:r>
    </w:p>
    <w:p w14:paraId="02075F3E" w14:textId="77777777" w:rsidR="00277C14" w:rsidRPr="00277C14" w:rsidRDefault="00277C14" w:rsidP="00277C14">
      <w:pPr>
        <w:pStyle w:val="Default"/>
        <w:rPr>
          <w:sz w:val="20"/>
          <w:szCs w:val="20"/>
        </w:rPr>
      </w:pPr>
    </w:p>
    <w:p w14:paraId="6FDD78E8" w14:textId="77777777" w:rsidR="00277C14" w:rsidRPr="00277C14" w:rsidRDefault="00277C14" w:rsidP="00277C14">
      <w:pPr>
        <w:pStyle w:val="Default"/>
        <w:rPr>
          <w:sz w:val="20"/>
          <w:szCs w:val="20"/>
        </w:rPr>
      </w:pPr>
      <w:r w:rsidRPr="00277C14">
        <w:rPr>
          <w:sz w:val="20"/>
          <w:szCs w:val="20"/>
        </w:rPr>
        <w:t xml:space="preserve">As an associate member of the FATF since 2006, MONEYVAL contributes to the policy-making work of FATF. The Chair, the Vice-Chairs and the Executive Secretary systematically attend and actively contribute in FATF working groups and plenary meetings, together with delegates from MONEYVAL States and territories who participate under the MONEYVAL flag. Thus, MONEYVAL members have real opportunities of providing input to the FATF’s global AML/CFT </w:t>
      </w:r>
      <w:proofErr w:type="gramStart"/>
      <w:r w:rsidRPr="00277C14">
        <w:rPr>
          <w:sz w:val="20"/>
          <w:szCs w:val="20"/>
        </w:rPr>
        <w:t>policy-making</w:t>
      </w:r>
      <w:proofErr w:type="gramEnd"/>
      <w:r w:rsidRPr="00277C14">
        <w:rPr>
          <w:sz w:val="20"/>
          <w:szCs w:val="20"/>
        </w:rPr>
        <w:t xml:space="preserve">. </w:t>
      </w:r>
    </w:p>
    <w:p w14:paraId="1E743CA5" w14:textId="77777777" w:rsidR="00277C14" w:rsidRPr="00277C14" w:rsidRDefault="00277C14" w:rsidP="00277C14">
      <w:pPr>
        <w:pStyle w:val="Default"/>
        <w:rPr>
          <w:sz w:val="20"/>
          <w:szCs w:val="20"/>
        </w:rPr>
      </w:pPr>
    </w:p>
    <w:p w14:paraId="6C4740C2" w14:textId="1460AD2F" w:rsidR="00277C14" w:rsidRPr="00277C14" w:rsidRDefault="00277C14" w:rsidP="00277C14">
      <w:pPr>
        <w:pStyle w:val="Default"/>
        <w:rPr>
          <w:sz w:val="20"/>
          <w:szCs w:val="20"/>
        </w:rPr>
      </w:pPr>
      <w:r w:rsidRPr="00277C14">
        <w:rPr>
          <w:sz w:val="20"/>
          <w:szCs w:val="20"/>
        </w:rPr>
        <w:t xml:space="preserve">Considerable MONEYVAL Secretariat resources are </w:t>
      </w:r>
      <w:r w:rsidR="009B70A0">
        <w:rPr>
          <w:sz w:val="20"/>
          <w:szCs w:val="20"/>
        </w:rPr>
        <w:t>devoted</w:t>
      </w:r>
      <w:r w:rsidR="009B70A0" w:rsidRPr="00277C14">
        <w:rPr>
          <w:sz w:val="20"/>
          <w:szCs w:val="20"/>
        </w:rPr>
        <w:t xml:space="preserve"> </w:t>
      </w:r>
      <w:r w:rsidRPr="00277C14">
        <w:rPr>
          <w:sz w:val="20"/>
          <w:szCs w:val="20"/>
        </w:rPr>
        <w:t xml:space="preserve">to following the work of each of the main FATF working groups, and in attendance at inter-sessional meetings. This concerns </w:t>
      </w:r>
      <w:proofErr w:type="gramStart"/>
      <w:r w:rsidRPr="00277C14">
        <w:rPr>
          <w:sz w:val="20"/>
          <w:szCs w:val="20"/>
        </w:rPr>
        <w:t>in particular the</w:t>
      </w:r>
      <w:proofErr w:type="gramEnd"/>
      <w:r w:rsidRPr="00277C14">
        <w:rPr>
          <w:sz w:val="20"/>
          <w:szCs w:val="20"/>
        </w:rPr>
        <w:t xml:space="preserve"> International Co-operation Review Group (ICRG), to which four MONEYVAL members had been referred to in past years. But it also concerns the Policy and Development Group (PDG) responsible for amending the FATF standards, as well as the Evaluations and Compliance Group (ECG) which deals with issues involving the interpretation of the FATF standards and the development of the global AML/CFT Methodology. MONEYVAL’s involvement is essential in these working groups, given that amendments of the FATF standards or decisions on their interpretation have direct consequences for all future MONEYVAL evaluations. It is therefore in the interest of all its members that MONEYVAL is properly and sufficiently represented in these working groups at FATF Plenaries. </w:t>
      </w:r>
    </w:p>
    <w:p w14:paraId="048C42DF" w14:textId="77777777" w:rsidR="00277C14" w:rsidRPr="00277C14" w:rsidRDefault="00277C14" w:rsidP="00277C14">
      <w:pPr>
        <w:pStyle w:val="Default"/>
        <w:rPr>
          <w:sz w:val="20"/>
          <w:szCs w:val="20"/>
        </w:rPr>
      </w:pPr>
    </w:p>
    <w:p w14:paraId="2FC5773D" w14:textId="77777777" w:rsidR="00E51C76" w:rsidRDefault="00E51C76">
      <w:pPr>
        <w:rPr>
          <w:rFonts w:eastAsia="Times New Roman" w:cs="Arial"/>
          <w:color w:val="000000"/>
          <w:szCs w:val="20"/>
        </w:rPr>
      </w:pPr>
      <w:r>
        <w:rPr>
          <w:szCs w:val="20"/>
        </w:rPr>
        <w:br w:type="page"/>
      </w:r>
    </w:p>
    <w:p w14:paraId="13EE2A2C" w14:textId="6EA7A081" w:rsidR="00277C14" w:rsidRDefault="00277C14" w:rsidP="00277C14">
      <w:pPr>
        <w:pStyle w:val="Default"/>
        <w:rPr>
          <w:sz w:val="20"/>
          <w:szCs w:val="20"/>
        </w:rPr>
      </w:pPr>
      <w:r w:rsidRPr="00277C14">
        <w:rPr>
          <w:sz w:val="20"/>
          <w:szCs w:val="20"/>
        </w:rPr>
        <w:lastRenderedPageBreak/>
        <w:t xml:space="preserve">In </w:t>
      </w:r>
      <w:r w:rsidR="005D0792" w:rsidRPr="00277C14">
        <w:rPr>
          <w:sz w:val="20"/>
          <w:szCs w:val="20"/>
        </w:rPr>
        <w:t>202</w:t>
      </w:r>
      <w:r w:rsidR="005D0792">
        <w:rPr>
          <w:sz w:val="20"/>
          <w:szCs w:val="20"/>
        </w:rPr>
        <w:t>2</w:t>
      </w:r>
      <w:r w:rsidRPr="00277C14">
        <w:rPr>
          <w:sz w:val="20"/>
          <w:szCs w:val="20"/>
        </w:rPr>
        <w:t xml:space="preserve">, the MONEYVAL delegation attended </w:t>
      </w:r>
      <w:r w:rsidR="008F3910">
        <w:rPr>
          <w:sz w:val="20"/>
          <w:szCs w:val="20"/>
        </w:rPr>
        <w:t>three</w:t>
      </w:r>
      <w:r w:rsidRPr="00277C14">
        <w:rPr>
          <w:sz w:val="20"/>
          <w:szCs w:val="20"/>
        </w:rPr>
        <w:t xml:space="preserve"> FATF Plenaries, and </w:t>
      </w:r>
      <w:r w:rsidR="008F3910">
        <w:rPr>
          <w:sz w:val="20"/>
          <w:szCs w:val="20"/>
        </w:rPr>
        <w:t>numerous</w:t>
      </w:r>
      <w:r w:rsidRPr="00277C14">
        <w:rPr>
          <w:sz w:val="20"/>
          <w:szCs w:val="20"/>
        </w:rPr>
        <w:t xml:space="preserve"> other FATF working group and project meetings. MONEYVAL’s contribution had a significant impact on </w:t>
      </w:r>
      <w:r w:rsidR="008F3910">
        <w:rPr>
          <w:sz w:val="20"/>
          <w:szCs w:val="20"/>
        </w:rPr>
        <w:t>the on-going revision of</w:t>
      </w:r>
      <w:r w:rsidRPr="00277C14">
        <w:rPr>
          <w:sz w:val="20"/>
          <w:szCs w:val="20"/>
        </w:rPr>
        <w:t xml:space="preserve"> FATF Standard</w:t>
      </w:r>
      <w:r w:rsidR="008F3910">
        <w:rPr>
          <w:sz w:val="20"/>
          <w:szCs w:val="20"/>
        </w:rPr>
        <w:t>s</w:t>
      </w:r>
      <w:r w:rsidRPr="00277C14">
        <w:rPr>
          <w:sz w:val="20"/>
          <w:szCs w:val="20"/>
        </w:rPr>
        <w:t xml:space="preserve">, and </w:t>
      </w:r>
      <w:proofErr w:type="gramStart"/>
      <w:r w:rsidRPr="00277C14">
        <w:rPr>
          <w:sz w:val="20"/>
          <w:szCs w:val="20"/>
        </w:rPr>
        <w:t>a number of</w:t>
      </w:r>
      <w:proofErr w:type="gramEnd"/>
      <w:r w:rsidRPr="00277C14">
        <w:rPr>
          <w:sz w:val="20"/>
          <w:szCs w:val="20"/>
        </w:rPr>
        <w:t xml:space="preserve"> procedural issues in the FATF workstream. MONEYVAL is an active contributor to the on-going process of the FATF Strategic Review, which will determine the parameters of the next assessment round for the entire Global Network. </w:t>
      </w:r>
    </w:p>
    <w:p w14:paraId="7C78A382" w14:textId="3B25A325" w:rsidR="008F3910" w:rsidRDefault="008F3910" w:rsidP="00277C14">
      <w:pPr>
        <w:pStyle w:val="Default"/>
        <w:rPr>
          <w:sz w:val="20"/>
          <w:szCs w:val="20"/>
        </w:rPr>
      </w:pPr>
    </w:p>
    <w:p w14:paraId="579A2798" w14:textId="02B308B9" w:rsidR="00C43E5E" w:rsidRDefault="008F3910" w:rsidP="00277C14">
      <w:pPr>
        <w:pStyle w:val="Default"/>
        <w:rPr>
          <w:sz w:val="20"/>
          <w:szCs w:val="20"/>
        </w:rPr>
      </w:pPr>
      <w:r>
        <w:rPr>
          <w:sz w:val="20"/>
          <w:szCs w:val="20"/>
        </w:rPr>
        <w:t xml:space="preserve">An important subject of engagement </w:t>
      </w:r>
      <w:r w:rsidR="00C43E5E">
        <w:rPr>
          <w:sz w:val="20"/>
          <w:szCs w:val="20"/>
        </w:rPr>
        <w:t xml:space="preserve">between the FATF and MONEYVAL is the FATF International </w:t>
      </w:r>
      <w:r w:rsidR="00E73BD4">
        <w:rPr>
          <w:sz w:val="20"/>
          <w:szCs w:val="20"/>
        </w:rPr>
        <w:t>Co-op</w:t>
      </w:r>
      <w:r w:rsidR="00C43E5E">
        <w:rPr>
          <w:sz w:val="20"/>
          <w:szCs w:val="20"/>
        </w:rPr>
        <w:t xml:space="preserve">eration Review Group (ICRG), which works on the so-called “grey” and “blacklists” lists of jurisdictions. </w:t>
      </w:r>
      <w:r w:rsidR="005B3C93" w:rsidRPr="005B3C93">
        <w:rPr>
          <w:sz w:val="20"/>
          <w:szCs w:val="20"/>
        </w:rPr>
        <w:t xml:space="preserve">There are </w:t>
      </w:r>
      <w:r w:rsidR="005B3C93" w:rsidRPr="005844FD">
        <w:rPr>
          <w:sz w:val="20"/>
          <w:szCs w:val="20"/>
        </w:rPr>
        <w:t xml:space="preserve">currently </w:t>
      </w:r>
      <w:r w:rsidR="005D0792" w:rsidRPr="005844FD">
        <w:rPr>
          <w:sz w:val="20"/>
          <w:szCs w:val="20"/>
        </w:rPr>
        <w:t>five</w:t>
      </w:r>
      <w:r w:rsidR="005D0792" w:rsidRPr="005B3C93">
        <w:rPr>
          <w:sz w:val="20"/>
          <w:szCs w:val="20"/>
        </w:rPr>
        <w:t xml:space="preserve"> </w:t>
      </w:r>
      <w:r w:rsidR="005B3C93" w:rsidRPr="005B3C93">
        <w:rPr>
          <w:sz w:val="20"/>
          <w:szCs w:val="20"/>
        </w:rPr>
        <w:t xml:space="preserve">MONEYVAL jurisdictions at various phases of the ICRG process. In prior years during the 5th Round four other MONEYVAL jurisdictions were subject to the ICRG. </w:t>
      </w:r>
      <w:r w:rsidR="00C43E5E">
        <w:rPr>
          <w:sz w:val="20"/>
          <w:szCs w:val="20"/>
        </w:rPr>
        <w:t xml:space="preserve">Jurisdictions are reviewed by the ICRG, when their mutual evaluations (as carried out by MONEYVAL or other FATF-style regional bodies) contain </w:t>
      </w:r>
      <w:proofErr w:type="gramStart"/>
      <w:r w:rsidR="00C43E5E">
        <w:rPr>
          <w:sz w:val="20"/>
          <w:szCs w:val="20"/>
        </w:rPr>
        <w:t>a large number of</w:t>
      </w:r>
      <w:proofErr w:type="gramEnd"/>
      <w:r w:rsidR="00C43E5E">
        <w:rPr>
          <w:sz w:val="20"/>
          <w:szCs w:val="20"/>
        </w:rPr>
        <w:t xml:space="preserve"> low and moderate ratings. </w:t>
      </w:r>
    </w:p>
    <w:p w14:paraId="7A0B30EB" w14:textId="0818662C" w:rsidR="00503E8C" w:rsidRDefault="00503E8C">
      <w:pPr>
        <w:rPr>
          <w:rFonts w:eastAsia="Times New Roman" w:cs="Arial"/>
          <w:color w:val="000000"/>
          <w:szCs w:val="20"/>
        </w:rPr>
      </w:pPr>
    </w:p>
    <w:p w14:paraId="2B144EAC" w14:textId="0B79A0D3" w:rsidR="005D0792" w:rsidRDefault="005D0792">
      <w:pPr>
        <w:rPr>
          <w:rFonts w:eastAsia="Times New Roman" w:cs="Arial"/>
          <w:color w:val="000000"/>
          <w:szCs w:val="20"/>
        </w:rPr>
      </w:pPr>
      <w:r w:rsidRPr="005844FD">
        <w:rPr>
          <w:rFonts w:eastAsia="Times New Roman" w:cs="Arial"/>
          <w:color w:val="000000"/>
          <w:szCs w:val="20"/>
        </w:rPr>
        <w:t xml:space="preserve">Following a decision of the Committee of Ministers, the Council of Europe submitted an application for observer status to the </w:t>
      </w:r>
      <w:proofErr w:type="gramStart"/>
      <w:r w:rsidRPr="005844FD">
        <w:rPr>
          <w:rFonts w:eastAsia="Times New Roman" w:cs="Arial"/>
          <w:color w:val="000000"/>
          <w:szCs w:val="20"/>
        </w:rPr>
        <w:t>FATF, and</w:t>
      </w:r>
      <w:proofErr w:type="gramEnd"/>
      <w:r w:rsidRPr="005844FD">
        <w:rPr>
          <w:rFonts w:eastAsia="Times New Roman" w:cs="Arial"/>
          <w:color w:val="000000"/>
          <w:szCs w:val="20"/>
        </w:rPr>
        <w:t xml:space="preserve"> was granted a positive decision in February 2022. Council of Europe delegations representing a range of entities within the Organisation attended FATF Plenary meetings in June and October 2022. Direct engagement of the Council of Europe in the FATF facilitates synergies between the two organisations in </w:t>
      </w:r>
      <w:proofErr w:type="gramStart"/>
      <w:r w:rsidRPr="005844FD">
        <w:rPr>
          <w:rFonts w:eastAsia="Times New Roman" w:cs="Arial"/>
          <w:color w:val="000000"/>
          <w:szCs w:val="20"/>
        </w:rPr>
        <w:t>a number of</w:t>
      </w:r>
      <w:proofErr w:type="gramEnd"/>
      <w:r w:rsidRPr="005844FD">
        <w:rPr>
          <w:rFonts w:eastAsia="Times New Roman" w:cs="Arial"/>
          <w:color w:val="000000"/>
          <w:szCs w:val="20"/>
        </w:rPr>
        <w:t xml:space="preserve"> clusters, which lie beyond the mandate of MONEYVAL. This includes, </w:t>
      </w:r>
      <w:proofErr w:type="gramStart"/>
      <w:r w:rsidRPr="005844FD">
        <w:rPr>
          <w:rFonts w:eastAsia="Times New Roman" w:cs="Arial"/>
          <w:color w:val="000000"/>
          <w:szCs w:val="20"/>
        </w:rPr>
        <w:t>in particular the</w:t>
      </w:r>
      <w:proofErr w:type="gramEnd"/>
      <w:r w:rsidRPr="005844FD">
        <w:rPr>
          <w:rFonts w:eastAsia="Times New Roman" w:cs="Arial"/>
          <w:color w:val="000000"/>
          <w:szCs w:val="20"/>
        </w:rPr>
        <w:t xml:space="preserve"> Venice Commission, GRECO as well as entities of the Organisation dealing with cybercrime, data protection and counterterrorism issues.</w:t>
      </w:r>
      <w:r>
        <w:rPr>
          <w:rFonts w:eastAsia="Times New Roman" w:cs="Arial"/>
          <w:color w:val="000000"/>
          <w:szCs w:val="20"/>
        </w:rPr>
        <w:t xml:space="preserve"> </w:t>
      </w:r>
    </w:p>
    <w:p w14:paraId="30246E66" w14:textId="77777777" w:rsidR="005D0792" w:rsidRDefault="005D0792">
      <w:pPr>
        <w:rPr>
          <w:rFonts w:eastAsia="Times New Roman" w:cs="Arial"/>
          <w:color w:val="000000"/>
          <w:szCs w:val="20"/>
        </w:rPr>
      </w:pPr>
    </w:p>
    <w:p w14:paraId="32D4A690" w14:textId="38C78E23" w:rsidR="00277C14" w:rsidRPr="00793889" w:rsidRDefault="005745B6" w:rsidP="005745B6">
      <w:pPr>
        <w:pStyle w:val="Heading2"/>
        <w:keepLines w:val="0"/>
        <w:spacing w:before="0"/>
        <w:ind w:right="680"/>
        <w:jc w:val="both"/>
        <w:rPr>
          <w:rStyle w:val="Strong"/>
          <w:rFonts w:ascii="Arial" w:eastAsiaTheme="minorHAnsi" w:hAnsi="Arial" w:cs="Arial"/>
          <w:color w:val="auto"/>
          <w:sz w:val="20"/>
          <w:szCs w:val="20"/>
          <w:lang w:val="en-US"/>
        </w:rPr>
      </w:pPr>
      <w:bookmarkStart w:id="55" w:name="_Toc66712431"/>
      <w:bookmarkStart w:id="56" w:name="_Toc135409895"/>
      <w:r w:rsidRPr="00793889">
        <w:rPr>
          <w:rStyle w:val="Strong"/>
          <w:rFonts w:ascii="Arial" w:eastAsiaTheme="minorHAnsi" w:hAnsi="Arial" w:cs="Arial"/>
          <w:color w:val="auto"/>
          <w:sz w:val="20"/>
          <w:szCs w:val="20"/>
          <w:lang w:val="en-US"/>
        </w:rPr>
        <w:t>5.2.</w:t>
      </w:r>
      <w:r w:rsidRPr="00793889">
        <w:rPr>
          <w:rStyle w:val="Strong"/>
          <w:rFonts w:ascii="Arial" w:eastAsiaTheme="minorHAnsi" w:hAnsi="Arial" w:cs="Arial"/>
          <w:color w:val="auto"/>
          <w:sz w:val="20"/>
          <w:szCs w:val="20"/>
          <w:lang w:val="en-US"/>
        </w:rPr>
        <w:tab/>
      </w:r>
      <w:r w:rsidR="00277C14" w:rsidRPr="00793889">
        <w:rPr>
          <w:rStyle w:val="Strong"/>
          <w:rFonts w:ascii="Arial" w:eastAsiaTheme="minorHAnsi" w:hAnsi="Arial" w:cs="Arial"/>
          <w:color w:val="auto"/>
          <w:sz w:val="20"/>
          <w:szCs w:val="20"/>
          <w:lang w:val="en-US"/>
        </w:rPr>
        <w:t>FATF-style regional bodies</w:t>
      </w:r>
      <w:bookmarkEnd w:id="55"/>
      <w:bookmarkEnd w:id="56"/>
    </w:p>
    <w:p w14:paraId="3AA80644" w14:textId="77777777" w:rsidR="005745B6" w:rsidRPr="00793889" w:rsidRDefault="005745B6" w:rsidP="005745B6">
      <w:pPr>
        <w:rPr>
          <w:lang w:val="en-US"/>
        </w:rPr>
      </w:pPr>
    </w:p>
    <w:p w14:paraId="2306AE38" w14:textId="242E4E48" w:rsidR="00277C14" w:rsidRDefault="00277C14" w:rsidP="00277C14">
      <w:pPr>
        <w:pStyle w:val="Default"/>
        <w:rPr>
          <w:sz w:val="20"/>
          <w:szCs w:val="20"/>
        </w:rPr>
      </w:pPr>
      <w:r w:rsidRPr="00277C14">
        <w:rPr>
          <w:sz w:val="20"/>
          <w:szCs w:val="20"/>
        </w:rPr>
        <w:t xml:space="preserve">MONEYVAL has mutual observer status with other FATF-style regional bodies (FSRBs), </w:t>
      </w:r>
      <w:proofErr w:type="gramStart"/>
      <w:r w:rsidRPr="00277C14">
        <w:rPr>
          <w:sz w:val="20"/>
          <w:szCs w:val="20"/>
        </w:rPr>
        <w:t>in particular the</w:t>
      </w:r>
      <w:proofErr w:type="gramEnd"/>
      <w:r w:rsidRPr="00277C14">
        <w:rPr>
          <w:sz w:val="20"/>
          <w:szCs w:val="20"/>
        </w:rPr>
        <w:t xml:space="preserve"> Asia-Pacific Group on Money Laundering and the Eurasian Group on Combating Money Laundering (APG) and the Financing of Terrorism (EAG)</w:t>
      </w:r>
      <w:r w:rsidRPr="00277C14">
        <w:rPr>
          <w:sz w:val="20"/>
          <w:szCs w:val="20"/>
          <w:vertAlign w:val="superscript"/>
        </w:rPr>
        <w:footnoteReference w:id="4"/>
      </w:r>
      <w:r w:rsidRPr="00277C14">
        <w:rPr>
          <w:sz w:val="20"/>
          <w:szCs w:val="20"/>
        </w:rPr>
        <w:t xml:space="preserve">. MONEYVAL, EAG and APG actively participated in each other’s Plenary and working group meetings in the course of </w:t>
      </w:r>
      <w:r w:rsidR="00A82E51" w:rsidRPr="00277C14">
        <w:rPr>
          <w:sz w:val="20"/>
          <w:szCs w:val="20"/>
        </w:rPr>
        <w:t>202</w:t>
      </w:r>
      <w:r w:rsidR="00A82E51">
        <w:rPr>
          <w:sz w:val="20"/>
          <w:szCs w:val="20"/>
        </w:rPr>
        <w:t>2</w:t>
      </w:r>
      <w:r w:rsidRPr="00277C14">
        <w:rPr>
          <w:sz w:val="20"/>
          <w:szCs w:val="20"/>
        </w:rPr>
        <w:t>.</w:t>
      </w:r>
      <w:r w:rsidR="003F4509" w:rsidRPr="003F4509">
        <w:t xml:space="preserve"> </w:t>
      </w:r>
      <w:r w:rsidR="003F4509" w:rsidRPr="003F4509">
        <w:rPr>
          <w:sz w:val="20"/>
          <w:szCs w:val="20"/>
        </w:rPr>
        <w:t>MONEYVAL has also launched co</w:t>
      </w:r>
      <w:r w:rsidR="00E73BD4">
        <w:rPr>
          <w:sz w:val="20"/>
          <w:szCs w:val="20"/>
        </w:rPr>
        <w:t>-</w:t>
      </w:r>
      <w:r w:rsidR="003F4509" w:rsidRPr="003F4509">
        <w:rPr>
          <w:sz w:val="20"/>
          <w:szCs w:val="20"/>
        </w:rPr>
        <w:t>operation with the</w:t>
      </w:r>
      <w:r w:rsidR="003F4509">
        <w:t xml:space="preserve"> </w:t>
      </w:r>
      <w:r w:rsidR="003F4509" w:rsidRPr="003F4509">
        <w:rPr>
          <w:sz w:val="20"/>
          <w:szCs w:val="20"/>
        </w:rPr>
        <w:t>Financial Action Task Force on Money Laundering of Latin America (GAFILAT)</w:t>
      </w:r>
      <w:r w:rsidR="005D0792">
        <w:rPr>
          <w:sz w:val="20"/>
          <w:szCs w:val="20"/>
        </w:rPr>
        <w:t xml:space="preserve"> and the Caribbean Financial Action Task Force (CFATF)</w:t>
      </w:r>
      <w:r w:rsidR="003F4509">
        <w:rPr>
          <w:sz w:val="20"/>
          <w:szCs w:val="20"/>
        </w:rPr>
        <w:t>.</w:t>
      </w:r>
      <w:r w:rsidRPr="00277C14">
        <w:rPr>
          <w:sz w:val="20"/>
          <w:szCs w:val="20"/>
        </w:rPr>
        <w:t xml:space="preserve"> Furthermore</w:t>
      </w:r>
      <w:r w:rsidR="006E54F2">
        <w:rPr>
          <w:sz w:val="20"/>
          <w:szCs w:val="20"/>
        </w:rPr>
        <w:t>,</w:t>
      </w:r>
      <w:r w:rsidRPr="00277C14">
        <w:rPr>
          <w:sz w:val="20"/>
          <w:szCs w:val="20"/>
        </w:rPr>
        <w:t xml:space="preserve"> MONEYVAL successfully launched a joint initiative with the APG</w:t>
      </w:r>
      <w:r w:rsidR="00C43E5E">
        <w:rPr>
          <w:sz w:val="20"/>
          <w:szCs w:val="20"/>
        </w:rPr>
        <w:t xml:space="preserve">, </w:t>
      </w:r>
      <w:r w:rsidRPr="00277C14">
        <w:rPr>
          <w:sz w:val="20"/>
          <w:szCs w:val="20"/>
        </w:rPr>
        <w:t xml:space="preserve">EAG, </w:t>
      </w:r>
      <w:r w:rsidR="00C43E5E">
        <w:rPr>
          <w:sz w:val="20"/>
          <w:szCs w:val="20"/>
        </w:rPr>
        <w:t xml:space="preserve">and other FSRBs on the reform of the Global Network. </w:t>
      </w:r>
    </w:p>
    <w:p w14:paraId="7CF92E6D" w14:textId="77777777" w:rsidR="005745B6" w:rsidRPr="00277C14" w:rsidRDefault="005745B6" w:rsidP="00277C14">
      <w:pPr>
        <w:pStyle w:val="Default"/>
        <w:rPr>
          <w:sz w:val="20"/>
          <w:szCs w:val="20"/>
        </w:rPr>
      </w:pPr>
    </w:p>
    <w:p w14:paraId="52564DE5" w14:textId="22074D6B" w:rsidR="00277C14" w:rsidRPr="00793889" w:rsidRDefault="005745B6" w:rsidP="005745B6">
      <w:pPr>
        <w:pStyle w:val="Heading2"/>
        <w:keepLines w:val="0"/>
        <w:spacing w:before="0"/>
        <w:ind w:right="680"/>
        <w:jc w:val="both"/>
        <w:rPr>
          <w:rStyle w:val="Strong"/>
          <w:rFonts w:ascii="Arial" w:eastAsiaTheme="minorHAnsi" w:hAnsi="Arial" w:cs="Arial"/>
          <w:bCs/>
          <w:color w:val="auto"/>
          <w:sz w:val="20"/>
          <w:szCs w:val="20"/>
          <w:lang w:val="en-US"/>
        </w:rPr>
      </w:pPr>
      <w:bookmarkStart w:id="57" w:name="_Toc135409896"/>
      <w:r w:rsidRPr="00793889">
        <w:rPr>
          <w:rStyle w:val="Strong"/>
          <w:rFonts w:ascii="Arial" w:eastAsiaTheme="minorHAnsi" w:hAnsi="Arial" w:cs="Arial"/>
          <w:bCs/>
          <w:color w:val="auto"/>
          <w:sz w:val="20"/>
          <w:szCs w:val="20"/>
          <w:lang w:val="en-US"/>
        </w:rPr>
        <w:t>5.3.</w:t>
      </w:r>
      <w:r w:rsidRPr="00793889">
        <w:rPr>
          <w:rStyle w:val="Strong"/>
          <w:rFonts w:ascii="Arial" w:eastAsiaTheme="minorHAnsi" w:hAnsi="Arial" w:cs="Arial"/>
          <w:bCs/>
          <w:color w:val="auto"/>
          <w:sz w:val="20"/>
          <w:szCs w:val="20"/>
          <w:lang w:val="en-US"/>
        </w:rPr>
        <w:tab/>
      </w:r>
      <w:r w:rsidR="00277C14" w:rsidRPr="00793889">
        <w:rPr>
          <w:rStyle w:val="Strong"/>
          <w:rFonts w:ascii="Arial" w:eastAsiaTheme="minorHAnsi" w:hAnsi="Arial" w:cs="Arial"/>
          <w:bCs/>
          <w:color w:val="auto"/>
          <w:sz w:val="20"/>
          <w:szCs w:val="20"/>
          <w:lang w:val="en-US"/>
        </w:rPr>
        <w:t>Other partnerships</w:t>
      </w:r>
      <w:bookmarkEnd w:id="57"/>
    </w:p>
    <w:p w14:paraId="0D31C8C2" w14:textId="77777777" w:rsidR="005745B6" w:rsidRPr="00793889" w:rsidRDefault="005745B6" w:rsidP="005745B6">
      <w:pPr>
        <w:rPr>
          <w:lang w:val="en-US"/>
        </w:rPr>
      </w:pPr>
    </w:p>
    <w:p w14:paraId="53F722D5" w14:textId="1F7DF175" w:rsidR="00277C14" w:rsidRPr="00277C14" w:rsidRDefault="00277C14" w:rsidP="00277C14">
      <w:pPr>
        <w:pStyle w:val="Default"/>
        <w:rPr>
          <w:sz w:val="20"/>
          <w:szCs w:val="20"/>
        </w:rPr>
      </w:pPr>
      <w:r w:rsidRPr="00277C14">
        <w:rPr>
          <w:sz w:val="20"/>
          <w:szCs w:val="20"/>
        </w:rPr>
        <w:t xml:space="preserve">In </w:t>
      </w:r>
      <w:r w:rsidR="005D0792" w:rsidRPr="00277C14">
        <w:rPr>
          <w:sz w:val="20"/>
          <w:szCs w:val="20"/>
        </w:rPr>
        <w:t>202</w:t>
      </w:r>
      <w:r w:rsidR="005D0792">
        <w:rPr>
          <w:sz w:val="20"/>
          <w:szCs w:val="20"/>
        </w:rPr>
        <w:t>2</w:t>
      </w:r>
      <w:r w:rsidR="00A77BA6">
        <w:rPr>
          <w:sz w:val="20"/>
          <w:szCs w:val="20"/>
        </w:rPr>
        <w:t xml:space="preserve">, </w:t>
      </w:r>
      <w:r w:rsidRPr="00277C14">
        <w:rPr>
          <w:sz w:val="20"/>
          <w:szCs w:val="20"/>
        </w:rPr>
        <w:t xml:space="preserve">MONEYVAL continued to actively develop its partnership with the </w:t>
      </w:r>
      <w:r w:rsidRPr="00277C14">
        <w:rPr>
          <w:b/>
          <w:bCs/>
          <w:sz w:val="20"/>
          <w:szCs w:val="20"/>
        </w:rPr>
        <w:t>European Union</w:t>
      </w:r>
      <w:r w:rsidRPr="00277C14">
        <w:rPr>
          <w:sz w:val="20"/>
          <w:szCs w:val="20"/>
        </w:rPr>
        <w:t xml:space="preserve">, which has been actively involved in MONEYVAL since its inception. It is represented in MONEYVAL through the European Commission, which actively participated in MONEYVAL mutual evaluation discussions in the </w:t>
      </w:r>
      <w:proofErr w:type="gramStart"/>
      <w:r w:rsidRPr="00277C14">
        <w:rPr>
          <w:sz w:val="20"/>
          <w:szCs w:val="20"/>
        </w:rPr>
        <w:t xml:space="preserve">course of </w:t>
      </w:r>
      <w:r w:rsidR="00A82E51" w:rsidRPr="00277C14">
        <w:rPr>
          <w:sz w:val="20"/>
          <w:szCs w:val="20"/>
        </w:rPr>
        <w:t>202</w:t>
      </w:r>
      <w:r w:rsidR="00A82E51">
        <w:rPr>
          <w:sz w:val="20"/>
          <w:szCs w:val="20"/>
        </w:rPr>
        <w:t>2</w:t>
      </w:r>
      <w:r w:rsidRPr="00277C14">
        <w:rPr>
          <w:sz w:val="20"/>
          <w:szCs w:val="20"/>
        </w:rPr>
        <w:t>, and</w:t>
      </w:r>
      <w:proofErr w:type="gramEnd"/>
      <w:r w:rsidRPr="00277C14">
        <w:rPr>
          <w:sz w:val="20"/>
          <w:szCs w:val="20"/>
        </w:rPr>
        <w:t xml:space="preserve"> provided updates to MONEYVAL members on the developing legislative framework on AML/CFT in the EU.</w:t>
      </w:r>
    </w:p>
    <w:p w14:paraId="4B001AA6" w14:textId="77777777" w:rsidR="00277C14" w:rsidRPr="00277C14" w:rsidRDefault="00277C14" w:rsidP="00277C14">
      <w:pPr>
        <w:rPr>
          <w:rFonts w:cs="Arial"/>
          <w:szCs w:val="20"/>
        </w:rPr>
      </w:pPr>
      <w:bookmarkStart w:id="58" w:name="_Toc379211965"/>
      <w:bookmarkStart w:id="59" w:name="_Toc423609834"/>
    </w:p>
    <w:p w14:paraId="5E0B20E7" w14:textId="72F6E330" w:rsidR="00277C14" w:rsidRPr="00277C14" w:rsidRDefault="00277C14" w:rsidP="00277C14">
      <w:pPr>
        <w:rPr>
          <w:rFonts w:cs="Arial"/>
          <w:szCs w:val="20"/>
        </w:rPr>
      </w:pPr>
      <w:r w:rsidRPr="00277C14">
        <w:rPr>
          <w:rFonts w:cs="Arial"/>
          <w:szCs w:val="20"/>
        </w:rPr>
        <w:t xml:space="preserve">In the past two decades, the role of the international financial institutions (IFIs), including the </w:t>
      </w:r>
      <w:r w:rsidRPr="00277C14">
        <w:rPr>
          <w:rFonts w:cs="Arial"/>
          <w:b/>
          <w:bCs/>
          <w:szCs w:val="20"/>
        </w:rPr>
        <w:t>World Bank and the International Monetary Fund (IMF),</w:t>
      </w:r>
      <w:r w:rsidRPr="00277C14">
        <w:rPr>
          <w:rFonts w:cs="Arial"/>
          <w:szCs w:val="20"/>
        </w:rPr>
        <w:t xml:space="preserve"> in the AML/CFT-field has expanded. In </w:t>
      </w:r>
      <w:r w:rsidR="00A82E51" w:rsidRPr="00277C14">
        <w:rPr>
          <w:rFonts w:cs="Arial"/>
          <w:szCs w:val="20"/>
        </w:rPr>
        <w:t>202</w:t>
      </w:r>
      <w:r w:rsidR="00A82E51">
        <w:rPr>
          <w:rFonts w:cs="Arial"/>
          <w:szCs w:val="20"/>
        </w:rPr>
        <w:t>2</w:t>
      </w:r>
      <w:r w:rsidRPr="00277C14">
        <w:rPr>
          <w:rFonts w:cs="Arial"/>
          <w:szCs w:val="20"/>
        </w:rPr>
        <w:t xml:space="preserve">, representatives from both the World Bank and the IMF participated in MONEYVAL Plenary meeting, actively providing inputs to the MONEYVAL mutual evaluation reports. </w:t>
      </w:r>
    </w:p>
    <w:bookmarkEnd w:id="58"/>
    <w:bookmarkEnd w:id="59"/>
    <w:p w14:paraId="6BFA2C83" w14:textId="77777777" w:rsidR="00277C14" w:rsidRPr="00277C14" w:rsidRDefault="00277C14" w:rsidP="00277C14">
      <w:pPr>
        <w:rPr>
          <w:rFonts w:cs="Arial"/>
          <w:szCs w:val="20"/>
        </w:rPr>
      </w:pPr>
    </w:p>
    <w:p w14:paraId="778A7B52" w14:textId="286E1C7D" w:rsidR="00277C14" w:rsidRPr="00277C14" w:rsidRDefault="00277C14" w:rsidP="00277C14">
      <w:pPr>
        <w:rPr>
          <w:rFonts w:cs="Arial"/>
          <w:szCs w:val="20"/>
        </w:rPr>
      </w:pPr>
      <w:r w:rsidRPr="00277C14">
        <w:rPr>
          <w:rFonts w:cs="Arial"/>
          <w:szCs w:val="20"/>
        </w:rPr>
        <w:t xml:space="preserve">The </w:t>
      </w:r>
      <w:r w:rsidRPr="00277C14">
        <w:rPr>
          <w:rFonts w:cs="Arial"/>
          <w:b/>
          <w:bCs/>
          <w:szCs w:val="20"/>
        </w:rPr>
        <w:t>United Nations Office on Drugs and Crime (UNODC)</w:t>
      </w:r>
      <w:r w:rsidRPr="00277C14">
        <w:rPr>
          <w:rFonts w:cs="Arial"/>
          <w:szCs w:val="20"/>
        </w:rPr>
        <w:t xml:space="preserve"> regularly sends representatives to MONEYVAL Plenaries who inform its members of respective developments in the work of UNODC. </w:t>
      </w:r>
      <w:bookmarkStart w:id="60" w:name="_Toc379211966"/>
      <w:bookmarkStart w:id="61" w:name="_Toc423609835"/>
    </w:p>
    <w:bookmarkEnd w:id="60"/>
    <w:bookmarkEnd w:id="61"/>
    <w:p w14:paraId="16AA01FC" w14:textId="77777777" w:rsidR="00277C14" w:rsidRPr="00277C14" w:rsidRDefault="00277C14" w:rsidP="00277C14">
      <w:pPr>
        <w:rPr>
          <w:rFonts w:cs="Arial"/>
          <w:szCs w:val="20"/>
        </w:rPr>
      </w:pPr>
    </w:p>
    <w:p w14:paraId="131AEA81" w14:textId="20FE3E25" w:rsidR="00277C14" w:rsidRPr="00277C14" w:rsidRDefault="00277C14" w:rsidP="00277C14">
      <w:pPr>
        <w:rPr>
          <w:rFonts w:cs="Arial"/>
          <w:szCs w:val="20"/>
        </w:rPr>
      </w:pPr>
      <w:r w:rsidRPr="00277C14">
        <w:rPr>
          <w:rFonts w:cs="Arial"/>
          <w:szCs w:val="20"/>
        </w:rPr>
        <w:t xml:space="preserve">The </w:t>
      </w:r>
      <w:r w:rsidRPr="00277C14">
        <w:rPr>
          <w:rFonts w:cs="Arial"/>
          <w:b/>
          <w:bCs/>
          <w:szCs w:val="20"/>
        </w:rPr>
        <w:t xml:space="preserve">Organisation for Security and Co-operation in Europe (OSCE) </w:t>
      </w:r>
      <w:r w:rsidRPr="00277C14">
        <w:rPr>
          <w:rFonts w:cs="Arial"/>
          <w:szCs w:val="20"/>
        </w:rPr>
        <w:t xml:space="preserve">takes an interdisciplinary approach to AML/CFT mainly focused on issues of counterterrorism and security. </w:t>
      </w:r>
      <w:r w:rsidR="00A82E51">
        <w:rPr>
          <w:rFonts w:cs="Arial"/>
          <w:szCs w:val="20"/>
        </w:rPr>
        <w:t xml:space="preserve">OSCE is a permanent observer to MONEYVAL. </w:t>
      </w:r>
    </w:p>
    <w:p w14:paraId="0AA3150F" w14:textId="77777777" w:rsidR="00277C14" w:rsidRPr="00277C14" w:rsidRDefault="00277C14" w:rsidP="00277C14">
      <w:pPr>
        <w:rPr>
          <w:rFonts w:cs="Arial"/>
          <w:szCs w:val="20"/>
        </w:rPr>
      </w:pPr>
    </w:p>
    <w:p w14:paraId="2D6B8AC9" w14:textId="76F1E32F" w:rsidR="00277C14" w:rsidRPr="00277C14" w:rsidRDefault="00277C14" w:rsidP="00277C14">
      <w:pPr>
        <w:rPr>
          <w:rFonts w:cs="Arial"/>
          <w:szCs w:val="20"/>
        </w:rPr>
      </w:pPr>
      <w:r w:rsidRPr="00277C14">
        <w:rPr>
          <w:rFonts w:cs="Arial"/>
          <w:szCs w:val="20"/>
        </w:rPr>
        <w:t xml:space="preserve">The </w:t>
      </w:r>
      <w:r w:rsidRPr="00277C14">
        <w:rPr>
          <w:rFonts w:cs="Arial"/>
          <w:b/>
          <w:bCs/>
          <w:szCs w:val="20"/>
        </w:rPr>
        <w:t xml:space="preserve">Egmont Group of Financial Intelligence Units </w:t>
      </w:r>
      <w:r w:rsidRPr="00277C14">
        <w:rPr>
          <w:rFonts w:cs="Arial"/>
          <w:szCs w:val="20"/>
        </w:rPr>
        <w:t xml:space="preserve">(FIUs) was established in 1995 as an international forum bringing together FIUs </w:t>
      </w:r>
      <w:proofErr w:type="gramStart"/>
      <w:r w:rsidRPr="00277C14">
        <w:rPr>
          <w:rFonts w:cs="Arial"/>
          <w:szCs w:val="20"/>
        </w:rPr>
        <w:t>in order to</w:t>
      </w:r>
      <w:proofErr w:type="gramEnd"/>
      <w:r w:rsidRPr="00277C14">
        <w:rPr>
          <w:rFonts w:cs="Arial"/>
          <w:szCs w:val="20"/>
        </w:rPr>
        <w:t xml:space="preserve"> improve and systemise AML/CFT co-operation, particularly at intelligence level. The work of the FIUs is an integral part of the FATF standards and MONEYVAL evaluations. MONEYVAL has observer status and actively </w:t>
      </w:r>
      <w:r w:rsidR="00A82E51" w:rsidRPr="00277C14">
        <w:rPr>
          <w:rFonts w:cs="Arial"/>
          <w:szCs w:val="20"/>
        </w:rPr>
        <w:t>participate</w:t>
      </w:r>
      <w:r w:rsidR="00A82E51">
        <w:rPr>
          <w:rFonts w:cs="Arial"/>
          <w:szCs w:val="20"/>
        </w:rPr>
        <w:t xml:space="preserve">s </w:t>
      </w:r>
      <w:r w:rsidRPr="00277C14">
        <w:rPr>
          <w:rFonts w:cs="Arial"/>
          <w:szCs w:val="20"/>
        </w:rPr>
        <w:t xml:space="preserve">in Egmont Group meetings. </w:t>
      </w:r>
      <w:r w:rsidR="00C43E5E">
        <w:rPr>
          <w:rFonts w:cs="Arial"/>
          <w:szCs w:val="20"/>
        </w:rPr>
        <w:t xml:space="preserve">The </w:t>
      </w:r>
      <w:r w:rsidR="00A82E51">
        <w:rPr>
          <w:rFonts w:cs="Arial"/>
          <w:szCs w:val="20"/>
        </w:rPr>
        <w:t>64</w:t>
      </w:r>
      <w:r w:rsidR="00A82E51" w:rsidRPr="00A82E51">
        <w:rPr>
          <w:rFonts w:cs="Arial"/>
          <w:szCs w:val="20"/>
          <w:vertAlign w:val="superscript"/>
        </w:rPr>
        <w:t>th</w:t>
      </w:r>
      <w:r w:rsidR="003654E4">
        <w:rPr>
          <w:rFonts w:cs="Arial"/>
          <w:szCs w:val="20"/>
        </w:rPr>
        <w:t> </w:t>
      </w:r>
      <w:r w:rsidR="00C43E5E">
        <w:rPr>
          <w:rFonts w:cs="Arial"/>
          <w:szCs w:val="20"/>
        </w:rPr>
        <w:t xml:space="preserve">Plenary Meeting of MONEYVAL held a productive exchange of views with the Executive Secretary of the Egmont Group. </w:t>
      </w:r>
      <w:bookmarkStart w:id="62" w:name="_Toc346194303"/>
      <w:bookmarkStart w:id="63" w:name="_Toc379211969"/>
      <w:bookmarkStart w:id="64" w:name="_Toc423609838"/>
      <w:bookmarkStart w:id="65" w:name="_Toc446602132"/>
    </w:p>
    <w:p w14:paraId="157B1E48" w14:textId="77777777" w:rsidR="00E51C76" w:rsidRDefault="00E51C76">
      <w:pPr>
        <w:rPr>
          <w:rFonts w:cs="Arial"/>
          <w:szCs w:val="20"/>
        </w:rPr>
      </w:pPr>
      <w:r>
        <w:rPr>
          <w:rFonts w:cs="Arial"/>
          <w:szCs w:val="20"/>
        </w:rPr>
        <w:br w:type="page"/>
      </w:r>
    </w:p>
    <w:p w14:paraId="5CC6344B" w14:textId="3125E2D0" w:rsidR="00277C14" w:rsidRPr="00277C14" w:rsidRDefault="00277C14" w:rsidP="00277C14">
      <w:pPr>
        <w:rPr>
          <w:rFonts w:cs="Arial"/>
          <w:szCs w:val="20"/>
        </w:rPr>
      </w:pPr>
      <w:r w:rsidRPr="00277C14">
        <w:rPr>
          <w:rFonts w:cs="Arial"/>
          <w:szCs w:val="20"/>
        </w:rPr>
        <w:lastRenderedPageBreak/>
        <w:t xml:space="preserve">The </w:t>
      </w:r>
      <w:r w:rsidRPr="00277C14">
        <w:rPr>
          <w:rFonts w:cs="Arial"/>
          <w:b/>
          <w:bCs/>
          <w:szCs w:val="20"/>
        </w:rPr>
        <w:t xml:space="preserve">European Bank for Reconstruction and Development (EBRD) </w:t>
      </w:r>
      <w:r w:rsidRPr="00277C14">
        <w:rPr>
          <w:rFonts w:cs="Arial"/>
          <w:szCs w:val="20"/>
        </w:rPr>
        <w:t xml:space="preserve">is an </w:t>
      </w:r>
      <w:hyperlink r:id="rId10" w:tooltip="International financial institution" w:history="1">
        <w:r w:rsidRPr="00277C14">
          <w:rPr>
            <w:rFonts w:cs="Arial"/>
            <w:szCs w:val="20"/>
          </w:rPr>
          <w:t>international financial institution</w:t>
        </w:r>
      </w:hyperlink>
      <w:r w:rsidRPr="00277C14">
        <w:rPr>
          <w:rFonts w:cs="Arial"/>
          <w:szCs w:val="20"/>
        </w:rPr>
        <w:t xml:space="preserve"> founded in 1991. As a multilateral developmental </w:t>
      </w:r>
      <w:hyperlink r:id="rId11" w:tooltip="Investment bank" w:history="1">
        <w:r w:rsidRPr="00277C14">
          <w:rPr>
            <w:rFonts w:cs="Arial"/>
            <w:szCs w:val="20"/>
          </w:rPr>
          <w:t>investment bank</w:t>
        </w:r>
      </w:hyperlink>
      <w:r w:rsidRPr="00277C14">
        <w:rPr>
          <w:rFonts w:cs="Arial"/>
          <w:szCs w:val="20"/>
        </w:rPr>
        <w:t xml:space="preserve">, the EBRD uses </w:t>
      </w:r>
      <w:hyperlink r:id="rId12" w:tooltip="Investment" w:history="1">
        <w:r w:rsidRPr="00277C14">
          <w:rPr>
            <w:rFonts w:cs="Arial"/>
            <w:szCs w:val="20"/>
          </w:rPr>
          <w:t>investment</w:t>
        </w:r>
      </w:hyperlink>
      <w:r w:rsidRPr="00277C14">
        <w:rPr>
          <w:rFonts w:cs="Arial"/>
          <w:szCs w:val="20"/>
        </w:rPr>
        <w:t xml:space="preserve"> as a tool to build </w:t>
      </w:r>
      <w:hyperlink r:id="rId13" w:tooltip="Market economy" w:history="1">
        <w:r w:rsidRPr="00277C14">
          <w:rPr>
            <w:rFonts w:cs="Arial"/>
            <w:szCs w:val="20"/>
          </w:rPr>
          <w:t>market economies</w:t>
        </w:r>
      </w:hyperlink>
      <w:r w:rsidRPr="00277C14">
        <w:rPr>
          <w:rFonts w:cs="Arial"/>
          <w:szCs w:val="20"/>
        </w:rPr>
        <w:t xml:space="preserve">. Representatives of the EBRD attend MONEYVAL meetings on a regular basis and informed the Plenary about ongoing developments. </w:t>
      </w:r>
    </w:p>
    <w:p w14:paraId="3AD10E7E" w14:textId="77777777" w:rsidR="00277C14" w:rsidRPr="00277C14" w:rsidRDefault="00277C14" w:rsidP="00277C14">
      <w:pPr>
        <w:rPr>
          <w:rFonts w:cs="Arial"/>
          <w:szCs w:val="20"/>
        </w:rPr>
      </w:pPr>
    </w:p>
    <w:p w14:paraId="0125CB2C" w14:textId="77777777" w:rsidR="00277C14" w:rsidRPr="00277C14" w:rsidRDefault="00277C14" w:rsidP="00277C14">
      <w:pPr>
        <w:rPr>
          <w:rFonts w:cs="Arial"/>
          <w:szCs w:val="20"/>
        </w:rPr>
      </w:pPr>
      <w:r w:rsidRPr="00277C14">
        <w:rPr>
          <w:rFonts w:cs="Arial"/>
          <w:szCs w:val="20"/>
        </w:rPr>
        <w:t xml:space="preserve">The </w:t>
      </w:r>
      <w:r w:rsidRPr="00277C14">
        <w:rPr>
          <w:rFonts w:cs="Arial"/>
          <w:b/>
          <w:bCs/>
          <w:szCs w:val="20"/>
        </w:rPr>
        <w:t xml:space="preserve">Group of International Finance Centre Supervisors (GIFCS) </w:t>
      </w:r>
      <w:r w:rsidRPr="00277C14">
        <w:rPr>
          <w:rFonts w:cs="Arial"/>
          <w:szCs w:val="20"/>
        </w:rPr>
        <w:t xml:space="preserve">is a long-established group of financial services supervisors with a core interest of promoting the adoption of international regulatory standards especially in the banking, fiduciary and AML/CFT arena. Representatives of the GIFCS attended MONEYVAL meetings on a regular basis and contributed to </w:t>
      </w:r>
      <w:proofErr w:type="gramStart"/>
      <w:r w:rsidRPr="00277C14">
        <w:rPr>
          <w:rFonts w:cs="Arial"/>
          <w:szCs w:val="20"/>
        </w:rPr>
        <w:t>a number of</w:t>
      </w:r>
      <w:proofErr w:type="gramEnd"/>
      <w:r w:rsidRPr="00277C14">
        <w:rPr>
          <w:rFonts w:cs="Arial"/>
          <w:szCs w:val="20"/>
        </w:rPr>
        <w:t xml:space="preserve"> specialised discussions.</w:t>
      </w:r>
      <w:bookmarkStart w:id="66" w:name="_Toc346194305"/>
      <w:bookmarkStart w:id="67" w:name="_Toc379211977"/>
      <w:bookmarkEnd w:id="62"/>
      <w:bookmarkEnd w:id="63"/>
      <w:bookmarkEnd w:id="64"/>
      <w:bookmarkEnd w:id="65"/>
    </w:p>
    <w:bookmarkEnd w:id="66"/>
    <w:bookmarkEnd w:id="67"/>
    <w:p w14:paraId="052F9070" w14:textId="38BE7B12" w:rsidR="00503E8C" w:rsidRDefault="00503E8C">
      <w:pPr>
        <w:rPr>
          <w:rFonts w:cs="Arial"/>
          <w:b/>
          <w:bCs/>
          <w:szCs w:val="20"/>
        </w:rPr>
      </w:pPr>
    </w:p>
    <w:p w14:paraId="11C2778D" w14:textId="1A608DE0" w:rsidR="00277C14" w:rsidRPr="00277C14" w:rsidRDefault="00277C14" w:rsidP="00277C14">
      <w:pPr>
        <w:rPr>
          <w:rFonts w:cs="Arial"/>
          <w:szCs w:val="20"/>
        </w:rPr>
      </w:pPr>
      <w:r w:rsidRPr="00277C14">
        <w:rPr>
          <w:rFonts w:cs="Arial"/>
          <w:b/>
          <w:bCs/>
          <w:szCs w:val="20"/>
        </w:rPr>
        <w:t xml:space="preserve">The Conference of the Parties to CETS 198: </w:t>
      </w:r>
      <w:r w:rsidRPr="00277C14">
        <w:rPr>
          <w:rFonts w:cs="Arial"/>
          <w:szCs w:val="20"/>
        </w:rPr>
        <w:t xml:space="preserve">The 2005 Council of Europe Convention on Laundering, Search, Seizure and Confiscation of the Proceeds from Crime and on the Financing of Terrorism (or Warsaw Convention, CETS 198), which came into force on 1 May 2008, builds on the success of the 1990 Convention on Laundering, Search, Seizure and Confiscation of the Proceeds from Crime (or Strasbourg Convention, CETS 141). The Warsaw Convention is currently the only comprehensive </w:t>
      </w:r>
      <w:proofErr w:type="gramStart"/>
      <w:r w:rsidRPr="00277C14">
        <w:rPr>
          <w:rFonts w:cs="Arial"/>
          <w:szCs w:val="20"/>
        </w:rPr>
        <w:t>internationally-binding</w:t>
      </w:r>
      <w:proofErr w:type="gramEnd"/>
      <w:r w:rsidRPr="00277C14">
        <w:rPr>
          <w:rFonts w:cs="Arial"/>
          <w:szCs w:val="20"/>
        </w:rPr>
        <w:t xml:space="preserve"> treaty worldwide which is entirely devoted to AML/CFT. It covers prevention, </w:t>
      </w:r>
      <w:proofErr w:type="gramStart"/>
      <w:r w:rsidRPr="00277C14">
        <w:rPr>
          <w:rFonts w:cs="Arial"/>
          <w:szCs w:val="20"/>
        </w:rPr>
        <w:t>repression</w:t>
      </w:r>
      <w:proofErr w:type="gramEnd"/>
      <w:r w:rsidRPr="00277C14">
        <w:rPr>
          <w:rFonts w:cs="Arial"/>
          <w:szCs w:val="20"/>
        </w:rPr>
        <w:t xml:space="preserve"> and international co-operation as well as confiscation. More specifically, this instrument:</w:t>
      </w:r>
    </w:p>
    <w:p w14:paraId="6C7115BA" w14:textId="77777777" w:rsidR="00277C14" w:rsidRPr="00277C14" w:rsidRDefault="00277C14" w:rsidP="00277C14">
      <w:pPr>
        <w:rPr>
          <w:rFonts w:cs="Arial"/>
          <w:szCs w:val="20"/>
        </w:rPr>
      </w:pPr>
    </w:p>
    <w:p w14:paraId="495B7D4A" w14:textId="7FCD0C26" w:rsidR="00277C14" w:rsidRDefault="00277C14" w:rsidP="00E51C76">
      <w:pPr>
        <w:numPr>
          <w:ilvl w:val="0"/>
          <w:numId w:val="32"/>
        </w:numPr>
        <w:rPr>
          <w:rFonts w:cs="Arial"/>
          <w:szCs w:val="20"/>
        </w:rPr>
      </w:pPr>
      <w:r w:rsidRPr="00277C14">
        <w:rPr>
          <w:rFonts w:cs="Arial"/>
          <w:szCs w:val="20"/>
        </w:rPr>
        <w:t xml:space="preserve">provides States Parties with enhanced possibilities to prosecute money laundering and terrorist financing more </w:t>
      </w:r>
      <w:proofErr w:type="gramStart"/>
      <w:r w:rsidRPr="00277C14">
        <w:rPr>
          <w:rFonts w:cs="Arial"/>
          <w:szCs w:val="20"/>
        </w:rPr>
        <w:t>effectively;</w:t>
      </w:r>
      <w:proofErr w:type="gramEnd"/>
    </w:p>
    <w:p w14:paraId="785814F9" w14:textId="77777777" w:rsidR="00E51C76" w:rsidRPr="00277C14" w:rsidRDefault="00E51C76" w:rsidP="00E51C76">
      <w:pPr>
        <w:ind w:left="720"/>
        <w:rPr>
          <w:rFonts w:cs="Arial"/>
          <w:szCs w:val="20"/>
        </w:rPr>
      </w:pPr>
    </w:p>
    <w:p w14:paraId="55E253BA" w14:textId="5139145E" w:rsidR="00277C14" w:rsidRDefault="00277C14" w:rsidP="00E51C76">
      <w:pPr>
        <w:numPr>
          <w:ilvl w:val="0"/>
          <w:numId w:val="32"/>
        </w:numPr>
        <w:rPr>
          <w:rFonts w:cs="Arial"/>
          <w:szCs w:val="20"/>
        </w:rPr>
      </w:pPr>
      <w:r w:rsidRPr="00277C14">
        <w:rPr>
          <w:rFonts w:cs="Arial"/>
          <w:szCs w:val="20"/>
        </w:rPr>
        <w:t xml:space="preserve">equips States Parties with further confiscation tools to deprive offenders of criminal </w:t>
      </w:r>
      <w:proofErr w:type="gramStart"/>
      <w:r w:rsidRPr="00277C14">
        <w:rPr>
          <w:rFonts w:cs="Arial"/>
          <w:szCs w:val="20"/>
        </w:rPr>
        <w:t>proceeds;</w:t>
      </w:r>
      <w:proofErr w:type="gramEnd"/>
    </w:p>
    <w:p w14:paraId="15CF338A" w14:textId="77777777" w:rsidR="00E51C76" w:rsidRPr="00277C14" w:rsidRDefault="00E51C76" w:rsidP="00E51C76">
      <w:pPr>
        <w:rPr>
          <w:rFonts w:cs="Arial"/>
          <w:szCs w:val="20"/>
        </w:rPr>
      </w:pPr>
    </w:p>
    <w:p w14:paraId="66B2EA39" w14:textId="1402AC2D" w:rsidR="00277C14" w:rsidRDefault="00277C14" w:rsidP="00E51C76">
      <w:pPr>
        <w:numPr>
          <w:ilvl w:val="0"/>
          <w:numId w:val="32"/>
        </w:numPr>
        <w:rPr>
          <w:rFonts w:cs="Arial"/>
          <w:szCs w:val="20"/>
        </w:rPr>
      </w:pPr>
      <w:r w:rsidRPr="00277C14">
        <w:rPr>
          <w:rFonts w:cs="Arial"/>
          <w:szCs w:val="20"/>
        </w:rPr>
        <w:t xml:space="preserve">provides important investigative powers, including measures to access banking information for domestic investigations and for the purposes of international </w:t>
      </w:r>
      <w:proofErr w:type="gramStart"/>
      <w:r w:rsidRPr="00277C14">
        <w:rPr>
          <w:rFonts w:cs="Arial"/>
          <w:szCs w:val="20"/>
        </w:rPr>
        <w:t>co-operation;</w:t>
      </w:r>
      <w:proofErr w:type="gramEnd"/>
    </w:p>
    <w:p w14:paraId="45940653" w14:textId="77777777" w:rsidR="00E51C76" w:rsidRPr="00277C14" w:rsidRDefault="00E51C76" w:rsidP="00E51C76">
      <w:pPr>
        <w:rPr>
          <w:rFonts w:cs="Arial"/>
          <w:szCs w:val="20"/>
        </w:rPr>
      </w:pPr>
    </w:p>
    <w:p w14:paraId="78D07CDF" w14:textId="18ED50CB" w:rsidR="00277C14" w:rsidRDefault="00277C14" w:rsidP="00E51C76">
      <w:pPr>
        <w:numPr>
          <w:ilvl w:val="0"/>
          <w:numId w:val="32"/>
        </w:numPr>
        <w:rPr>
          <w:rFonts w:cs="Arial"/>
          <w:szCs w:val="20"/>
        </w:rPr>
      </w:pPr>
      <w:r w:rsidRPr="00277C14">
        <w:rPr>
          <w:rFonts w:cs="Arial"/>
          <w:szCs w:val="20"/>
        </w:rPr>
        <w:t xml:space="preserve">covers preventive measures, and the roles and responsibilities of financial intelligence units and the principles for international co-operation between financial intelligence </w:t>
      </w:r>
      <w:proofErr w:type="gramStart"/>
      <w:r w:rsidRPr="00277C14">
        <w:rPr>
          <w:rFonts w:cs="Arial"/>
          <w:szCs w:val="20"/>
        </w:rPr>
        <w:t>units;</w:t>
      </w:r>
      <w:proofErr w:type="gramEnd"/>
    </w:p>
    <w:p w14:paraId="63412B06" w14:textId="77777777" w:rsidR="00E51C76" w:rsidRPr="00277C14" w:rsidRDefault="00E51C76" w:rsidP="00E51C76">
      <w:pPr>
        <w:rPr>
          <w:rFonts w:cs="Arial"/>
          <w:szCs w:val="20"/>
        </w:rPr>
      </w:pPr>
    </w:p>
    <w:p w14:paraId="715373FD" w14:textId="77777777" w:rsidR="00277C14" w:rsidRPr="00277C14" w:rsidRDefault="00277C14" w:rsidP="00E51C76">
      <w:pPr>
        <w:numPr>
          <w:ilvl w:val="0"/>
          <w:numId w:val="32"/>
        </w:numPr>
        <w:rPr>
          <w:rFonts w:cs="Arial"/>
          <w:szCs w:val="20"/>
        </w:rPr>
      </w:pPr>
      <w:r w:rsidRPr="00277C14">
        <w:rPr>
          <w:rFonts w:cs="Arial"/>
          <w:szCs w:val="20"/>
        </w:rPr>
        <w:t>covers the principles on which judicial international co-operation should operate between States Parties.</w:t>
      </w:r>
    </w:p>
    <w:p w14:paraId="2995B037" w14:textId="77777777" w:rsidR="00277C14" w:rsidRPr="00277C14" w:rsidRDefault="00277C14" w:rsidP="00E51C76">
      <w:pPr>
        <w:ind w:left="720"/>
        <w:rPr>
          <w:rFonts w:cs="Arial"/>
          <w:szCs w:val="20"/>
        </w:rPr>
      </w:pPr>
    </w:p>
    <w:p w14:paraId="6E95F8D5" w14:textId="6272BB73" w:rsidR="00277C14" w:rsidRPr="00277C14" w:rsidRDefault="00277C14" w:rsidP="00277C14">
      <w:pPr>
        <w:rPr>
          <w:rFonts w:cs="Arial"/>
          <w:szCs w:val="20"/>
        </w:rPr>
      </w:pPr>
      <w:r w:rsidRPr="00277C14">
        <w:rPr>
          <w:rFonts w:cs="Arial"/>
          <w:szCs w:val="20"/>
        </w:rPr>
        <w:t xml:space="preserve">The Warsaw Convention counts to </w:t>
      </w:r>
      <w:r w:rsidRPr="00571998">
        <w:rPr>
          <w:rFonts w:cs="Arial"/>
          <w:szCs w:val="20"/>
        </w:rPr>
        <w:t>date 3</w:t>
      </w:r>
      <w:r w:rsidR="005844FD">
        <w:rPr>
          <w:rFonts w:cs="Arial"/>
          <w:szCs w:val="20"/>
        </w:rPr>
        <w:t>9</w:t>
      </w:r>
      <w:r w:rsidRPr="00571998">
        <w:rPr>
          <w:rFonts w:cs="Arial"/>
          <w:szCs w:val="20"/>
        </w:rPr>
        <w:t xml:space="preserve"> States Parties and </w:t>
      </w:r>
      <w:r w:rsidR="005844FD">
        <w:rPr>
          <w:rFonts w:cs="Arial"/>
          <w:szCs w:val="20"/>
        </w:rPr>
        <w:t>five</w:t>
      </w:r>
      <w:r w:rsidR="00205C94" w:rsidRPr="00571998">
        <w:rPr>
          <w:rFonts w:cs="Arial"/>
          <w:szCs w:val="20"/>
        </w:rPr>
        <w:t xml:space="preserve"> </w:t>
      </w:r>
      <w:r w:rsidRPr="00571998">
        <w:rPr>
          <w:rFonts w:cs="Arial"/>
          <w:szCs w:val="20"/>
        </w:rPr>
        <w:t>signatories (including the European Union).</w:t>
      </w:r>
      <w:r w:rsidRPr="00277C14">
        <w:rPr>
          <w:rFonts w:cs="Arial"/>
          <w:szCs w:val="20"/>
        </w:rPr>
        <w:t xml:space="preserve"> </w:t>
      </w:r>
    </w:p>
    <w:p w14:paraId="0A77EED4" w14:textId="77777777" w:rsidR="00277C14" w:rsidRPr="00277C14" w:rsidRDefault="00277C14" w:rsidP="00277C14">
      <w:pPr>
        <w:rPr>
          <w:rFonts w:cs="Arial"/>
          <w:szCs w:val="20"/>
        </w:rPr>
      </w:pPr>
    </w:p>
    <w:p w14:paraId="361200C6" w14:textId="77777777" w:rsidR="00277C14" w:rsidRPr="00277C14" w:rsidRDefault="00277C14" w:rsidP="00277C14">
      <w:pPr>
        <w:rPr>
          <w:rFonts w:cs="Arial"/>
          <w:szCs w:val="20"/>
        </w:rPr>
      </w:pPr>
      <w:r w:rsidRPr="00277C14">
        <w:rPr>
          <w:rFonts w:cs="Arial"/>
          <w:szCs w:val="20"/>
        </w:rPr>
        <w:t>The Warsaw Convention provides for a monitoring mechanism through a Conference of the Parties (COP) to ensure that its provisions are being effectively implemented. The monitoring procedure under the Convention is particularly careful not to duplicate the work of MONEYVAL or of the FATF. MONEYVAL’s Executive Secretary is also the Executive Secretary to the COP, due to the relevance and interconnection of the COP’s mandate to the work of MONEYVAL. Similarly, MONEYVAL’s Secretariat staff also provides full support to the COP.</w:t>
      </w:r>
    </w:p>
    <w:p w14:paraId="2B920F39" w14:textId="77777777" w:rsidR="00537726" w:rsidRDefault="00537726" w:rsidP="00277C14">
      <w:pPr>
        <w:rPr>
          <w:rFonts w:cs="Arial"/>
          <w:szCs w:val="20"/>
        </w:rPr>
      </w:pPr>
    </w:p>
    <w:p w14:paraId="72440FD4" w14:textId="7C0F0A25" w:rsidR="00537726" w:rsidRPr="00537726" w:rsidRDefault="00537726" w:rsidP="00537726">
      <w:pPr>
        <w:pStyle w:val="Heading1"/>
        <w:numPr>
          <w:ilvl w:val="0"/>
          <w:numId w:val="37"/>
        </w:numPr>
        <w:spacing w:before="0"/>
        <w:rPr>
          <w:rFonts w:ascii="Arial" w:eastAsiaTheme="minorHAnsi" w:hAnsi="Arial" w:cs="Times New Roman"/>
          <w:b/>
          <w:bCs/>
          <w:color w:val="auto"/>
          <w:kern w:val="28"/>
          <w:sz w:val="20"/>
          <w:szCs w:val="20"/>
        </w:rPr>
      </w:pPr>
      <w:bookmarkStart w:id="68" w:name="_Toc135409897"/>
      <w:r w:rsidRPr="00537726">
        <w:rPr>
          <w:rFonts w:ascii="Arial" w:eastAsiaTheme="minorHAnsi" w:hAnsi="Arial" w:cs="Times New Roman"/>
          <w:b/>
          <w:bCs/>
          <w:color w:val="auto"/>
          <w:kern w:val="28"/>
          <w:sz w:val="20"/>
          <w:szCs w:val="20"/>
        </w:rPr>
        <w:t>ENGAGEMENT WITHIN THE COUNCIL OF EUROPE</w:t>
      </w:r>
      <w:bookmarkEnd w:id="68"/>
    </w:p>
    <w:p w14:paraId="59182AB5" w14:textId="2287F586" w:rsidR="00C43E5E" w:rsidRDefault="00C43E5E" w:rsidP="00277C14">
      <w:pPr>
        <w:rPr>
          <w:rFonts w:cs="Arial"/>
          <w:szCs w:val="20"/>
        </w:rPr>
      </w:pPr>
    </w:p>
    <w:p w14:paraId="6E7A84D5" w14:textId="4C714768" w:rsidR="00537726" w:rsidRPr="00537726" w:rsidRDefault="00537726" w:rsidP="00537726">
      <w:pPr>
        <w:rPr>
          <w:rFonts w:cs="Arial"/>
          <w:szCs w:val="20"/>
        </w:rPr>
      </w:pPr>
      <w:r w:rsidRPr="00537726">
        <w:rPr>
          <w:rFonts w:cs="Arial"/>
          <w:szCs w:val="20"/>
        </w:rPr>
        <w:t xml:space="preserve">Engagement with </w:t>
      </w:r>
      <w:r>
        <w:rPr>
          <w:rFonts w:cs="Arial"/>
          <w:szCs w:val="20"/>
        </w:rPr>
        <w:t xml:space="preserve">the </w:t>
      </w:r>
      <w:r w:rsidRPr="00537726">
        <w:rPr>
          <w:rFonts w:cs="Arial"/>
          <w:szCs w:val="20"/>
        </w:rPr>
        <w:t>bodies of the Council of Europe is a key priority in the work of MONEYVAL. In the course of 202</w:t>
      </w:r>
      <w:r w:rsidR="005844FD">
        <w:rPr>
          <w:rFonts w:cs="Arial"/>
          <w:szCs w:val="20"/>
        </w:rPr>
        <w:t>2</w:t>
      </w:r>
      <w:r w:rsidR="009B70A0">
        <w:rPr>
          <w:rFonts w:cs="Arial"/>
          <w:szCs w:val="20"/>
        </w:rPr>
        <w:t>,</w:t>
      </w:r>
      <w:r w:rsidRPr="00537726">
        <w:rPr>
          <w:rFonts w:cs="Arial"/>
          <w:szCs w:val="20"/>
        </w:rPr>
        <w:t xml:space="preserve"> MONEYVAL engaged with the following bodies of the Council of Europe:</w:t>
      </w:r>
    </w:p>
    <w:p w14:paraId="6D46E114" w14:textId="77777777" w:rsidR="00537726" w:rsidRPr="00537726" w:rsidRDefault="00537726" w:rsidP="00537726">
      <w:pPr>
        <w:rPr>
          <w:rFonts w:cs="Arial"/>
          <w:szCs w:val="20"/>
        </w:rPr>
      </w:pPr>
    </w:p>
    <w:p w14:paraId="77F40526" w14:textId="77777777" w:rsidR="00537726" w:rsidRPr="00537726" w:rsidRDefault="00537726" w:rsidP="00537726">
      <w:pPr>
        <w:rPr>
          <w:rFonts w:cs="Arial"/>
          <w:i/>
          <w:iCs/>
          <w:szCs w:val="20"/>
        </w:rPr>
      </w:pPr>
      <w:bookmarkStart w:id="69" w:name="_Toc89769356"/>
      <w:r w:rsidRPr="00537726">
        <w:rPr>
          <w:rFonts w:cs="Arial"/>
          <w:i/>
          <w:iCs/>
          <w:szCs w:val="20"/>
        </w:rPr>
        <w:t>Parliamentary Assembly of the Council of Europe (PACE)</w:t>
      </w:r>
      <w:bookmarkEnd w:id="69"/>
    </w:p>
    <w:p w14:paraId="67767A2A" w14:textId="77777777" w:rsidR="00537726" w:rsidRPr="00537726" w:rsidRDefault="00537726" w:rsidP="00537726">
      <w:pPr>
        <w:rPr>
          <w:rFonts w:cs="Arial"/>
          <w:szCs w:val="20"/>
        </w:rPr>
      </w:pPr>
    </w:p>
    <w:p w14:paraId="473984BC" w14:textId="4F7A93E2" w:rsidR="00537726" w:rsidRPr="00537726" w:rsidRDefault="00537726" w:rsidP="00537726">
      <w:pPr>
        <w:rPr>
          <w:rFonts w:cs="Arial"/>
          <w:szCs w:val="20"/>
        </w:rPr>
      </w:pPr>
      <w:r w:rsidRPr="00537726">
        <w:rPr>
          <w:rFonts w:cs="Arial"/>
          <w:szCs w:val="20"/>
        </w:rPr>
        <w:t xml:space="preserve">PACE is an important partner to MONEYVAL due to the attention it pays to the topic of money laundering, and the public effect of the parliamentary discussions. </w:t>
      </w:r>
      <w:r w:rsidR="009B70A0">
        <w:rPr>
          <w:rFonts w:cs="Arial"/>
          <w:szCs w:val="20"/>
        </w:rPr>
        <w:t>The</w:t>
      </w:r>
      <w:r w:rsidRPr="00537726">
        <w:rPr>
          <w:rFonts w:cs="Arial"/>
          <w:szCs w:val="20"/>
        </w:rPr>
        <w:t xml:space="preserve"> dialogue with PACE adds to MONEYVAL’s institutional standing in </w:t>
      </w:r>
      <w:r w:rsidR="009B70A0">
        <w:rPr>
          <w:rFonts w:cs="Arial"/>
          <w:szCs w:val="20"/>
        </w:rPr>
        <w:t xml:space="preserve">and outside </w:t>
      </w:r>
      <w:r w:rsidRPr="00537726">
        <w:rPr>
          <w:rFonts w:cs="Arial"/>
          <w:szCs w:val="20"/>
        </w:rPr>
        <w:t xml:space="preserve">the </w:t>
      </w:r>
      <w:r w:rsidR="004356CC">
        <w:rPr>
          <w:rFonts w:cs="Arial"/>
          <w:szCs w:val="20"/>
        </w:rPr>
        <w:t>Council of Europe</w:t>
      </w:r>
      <w:r w:rsidRPr="00537726">
        <w:rPr>
          <w:rFonts w:cs="Arial"/>
          <w:szCs w:val="20"/>
        </w:rPr>
        <w:t xml:space="preserve">. </w:t>
      </w:r>
      <w:r w:rsidR="009B70A0">
        <w:rPr>
          <w:rFonts w:cs="Arial"/>
          <w:szCs w:val="20"/>
        </w:rPr>
        <w:t>E</w:t>
      </w:r>
      <w:r w:rsidRPr="00537726">
        <w:rPr>
          <w:rFonts w:cs="Arial"/>
          <w:szCs w:val="20"/>
        </w:rPr>
        <w:t>xchange</w:t>
      </w:r>
      <w:r w:rsidR="009B70A0">
        <w:rPr>
          <w:rFonts w:cs="Arial"/>
          <w:szCs w:val="20"/>
        </w:rPr>
        <w:t>s</w:t>
      </w:r>
      <w:r w:rsidRPr="00537726">
        <w:rPr>
          <w:rFonts w:cs="Arial"/>
          <w:szCs w:val="20"/>
        </w:rPr>
        <w:t xml:space="preserve"> on priorities and mutual referencing greatly facilitates the promotion of MONEYVAL</w:t>
      </w:r>
      <w:r w:rsidR="009B70A0">
        <w:rPr>
          <w:rFonts w:cs="Arial"/>
          <w:szCs w:val="20"/>
        </w:rPr>
        <w:t>’s</w:t>
      </w:r>
      <w:r w:rsidRPr="00537726">
        <w:rPr>
          <w:rFonts w:cs="Arial"/>
          <w:szCs w:val="20"/>
        </w:rPr>
        <w:t xml:space="preserve"> objectives, including at the level of the FATF, </w:t>
      </w:r>
      <w:r w:rsidR="009B70A0">
        <w:rPr>
          <w:rFonts w:cs="Arial"/>
          <w:szCs w:val="20"/>
        </w:rPr>
        <w:t xml:space="preserve">as well as </w:t>
      </w:r>
      <w:r w:rsidRPr="00537726">
        <w:rPr>
          <w:rFonts w:cs="Arial"/>
          <w:szCs w:val="20"/>
        </w:rPr>
        <w:t xml:space="preserve">in international media. </w:t>
      </w:r>
    </w:p>
    <w:p w14:paraId="04A5F438" w14:textId="77777777" w:rsidR="00537726" w:rsidRPr="00537726" w:rsidRDefault="00537726" w:rsidP="00537726">
      <w:pPr>
        <w:rPr>
          <w:rFonts w:cs="Arial"/>
          <w:szCs w:val="20"/>
        </w:rPr>
      </w:pPr>
    </w:p>
    <w:p w14:paraId="6D96CC9A" w14:textId="66A20C33" w:rsidR="00537726" w:rsidRPr="00537726" w:rsidRDefault="00537726" w:rsidP="00537726">
      <w:pPr>
        <w:rPr>
          <w:rFonts w:cs="Arial"/>
          <w:szCs w:val="20"/>
        </w:rPr>
      </w:pPr>
      <w:r w:rsidRPr="00537726">
        <w:rPr>
          <w:rFonts w:cs="Arial"/>
          <w:szCs w:val="20"/>
        </w:rPr>
        <w:t xml:space="preserve">In </w:t>
      </w:r>
      <w:r w:rsidR="00A82E51" w:rsidRPr="00537726">
        <w:rPr>
          <w:rFonts w:cs="Arial"/>
          <w:szCs w:val="20"/>
        </w:rPr>
        <w:t>202</w:t>
      </w:r>
      <w:r w:rsidR="00A82E51">
        <w:rPr>
          <w:rFonts w:cs="Arial"/>
          <w:szCs w:val="20"/>
        </w:rPr>
        <w:t>2</w:t>
      </w:r>
      <w:r w:rsidR="009B70A0">
        <w:rPr>
          <w:rFonts w:cs="Arial"/>
          <w:szCs w:val="20"/>
        </w:rPr>
        <w:t>, PACE</w:t>
      </w:r>
      <w:r w:rsidRPr="00537726">
        <w:rPr>
          <w:rFonts w:cs="Arial"/>
          <w:szCs w:val="20"/>
        </w:rPr>
        <w:t xml:space="preserve"> issued </w:t>
      </w:r>
      <w:r w:rsidR="00A82E51">
        <w:rPr>
          <w:rFonts w:cs="Arial"/>
          <w:szCs w:val="20"/>
        </w:rPr>
        <w:t>a</w:t>
      </w:r>
      <w:r w:rsidR="00A82E51" w:rsidRPr="00537726">
        <w:rPr>
          <w:rFonts w:cs="Arial"/>
          <w:szCs w:val="20"/>
        </w:rPr>
        <w:t xml:space="preserve"> </w:t>
      </w:r>
      <w:r w:rsidRPr="00537726">
        <w:rPr>
          <w:rFonts w:cs="Arial"/>
          <w:szCs w:val="20"/>
        </w:rPr>
        <w:t xml:space="preserve">dedicated resolution on </w:t>
      </w:r>
      <w:r w:rsidR="00A82E51">
        <w:rPr>
          <w:rFonts w:cs="Arial"/>
          <w:szCs w:val="20"/>
        </w:rPr>
        <w:t>the</w:t>
      </w:r>
      <w:r w:rsidR="00A82E51" w:rsidRPr="00537726">
        <w:rPr>
          <w:rFonts w:cs="Arial"/>
          <w:szCs w:val="20"/>
        </w:rPr>
        <w:t xml:space="preserve"> </w:t>
      </w:r>
      <w:r w:rsidRPr="00537726">
        <w:rPr>
          <w:rFonts w:cs="Arial"/>
          <w:szCs w:val="20"/>
        </w:rPr>
        <w:t>topic</w:t>
      </w:r>
      <w:r w:rsidR="00A82E51">
        <w:rPr>
          <w:rFonts w:cs="Arial"/>
          <w:szCs w:val="20"/>
        </w:rPr>
        <w:t xml:space="preserve"> of asset recovery and use of confiscated assets for social purposes, which is highly relevant in the AML/CFT context. </w:t>
      </w:r>
    </w:p>
    <w:p w14:paraId="4D341BFE" w14:textId="77777777" w:rsidR="00537726" w:rsidRPr="00537726" w:rsidRDefault="00537726" w:rsidP="00537726">
      <w:pPr>
        <w:rPr>
          <w:rFonts w:cs="Arial"/>
          <w:szCs w:val="20"/>
        </w:rPr>
      </w:pPr>
    </w:p>
    <w:p w14:paraId="3A28FC83" w14:textId="77777777" w:rsidR="00E51C76" w:rsidRDefault="00E51C76">
      <w:pPr>
        <w:rPr>
          <w:rFonts w:cs="Arial"/>
          <w:i/>
          <w:iCs/>
          <w:szCs w:val="20"/>
        </w:rPr>
      </w:pPr>
      <w:bookmarkStart w:id="70" w:name="_Toc89769358"/>
      <w:r>
        <w:rPr>
          <w:rFonts w:cs="Arial"/>
          <w:i/>
          <w:iCs/>
          <w:szCs w:val="20"/>
        </w:rPr>
        <w:br w:type="page"/>
      </w:r>
    </w:p>
    <w:p w14:paraId="041656F2" w14:textId="5C7CC89C" w:rsidR="00537726" w:rsidRPr="00537726" w:rsidRDefault="00537726" w:rsidP="00537726">
      <w:pPr>
        <w:rPr>
          <w:rFonts w:cs="Arial"/>
          <w:i/>
          <w:iCs/>
          <w:szCs w:val="20"/>
        </w:rPr>
      </w:pPr>
      <w:r w:rsidRPr="00537726">
        <w:rPr>
          <w:rFonts w:cs="Arial"/>
          <w:i/>
          <w:iCs/>
          <w:szCs w:val="20"/>
        </w:rPr>
        <w:lastRenderedPageBreak/>
        <w:t>Sectorial bodies</w:t>
      </w:r>
      <w:bookmarkEnd w:id="70"/>
    </w:p>
    <w:p w14:paraId="68122EB8" w14:textId="77777777" w:rsidR="00537726" w:rsidRPr="00537726" w:rsidRDefault="00537726" w:rsidP="00537726">
      <w:pPr>
        <w:rPr>
          <w:rFonts w:cs="Arial"/>
          <w:szCs w:val="20"/>
        </w:rPr>
      </w:pPr>
    </w:p>
    <w:p w14:paraId="1C973A83" w14:textId="7326D317" w:rsidR="00537726" w:rsidRPr="00537726" w:rsidRDefault="009B70A0" w:rsidP="00537726">
      <w:pPr>
        <w:rPr>
          <w:rFonts w:cs="Arial"/>
          <w:szCs w:val="20"/>
        </w:rPr>
      </w:pPr>
      <w:r>
        <w:rPr>
          <w:rFonts w:cs="Arial"/>
          <w:szCs w:val="20"/>
        </w:rPr>
        <w:t>Contacts</w:t>
      </w:r>
      <w:r w:rsidRPr="00537726">
        <w:rPr>
          <w:rFonts w:cs="Arial"/>
          <w:szCs w:val="20"/>
        </w:rPr>
        <w:t xml:space="preserve"> </w:t>
      </w:r>
      <w:r w:rsidR="00537726" w:rsidRPr="00537726">
        <w:rPr>
          <w:rFonts w:cs="Arial"/>
          <w:szCs w:val="20"/>
        </w:rPr>
        <w:t xml:space="preserve">with the various sectorial bodies of the </w:t>
      </w:r>
      <w:r w:rsidR="004356CC">
        <w:rPr>
          <w:rFonts w:cs="Arial"/>
          <w:szCs w:val="20"/>
        </w:rPr>
        <w:t>Council of Europe</w:t>
      </w:r>
      <w:r w:rsidR="00537726" w:rsidRPr="00537726">
        <w:rPr>
          <w:rFonts w:cs="Arial"/>
          <w:szCs w:val="20"/>
        </w:rPr>
        <w:t xml:space="preserve"> allows MONEYVAL to engage internal partners in the fight against ML/TF</w:t>
      </w:r>
      <w:r>
        <w:rPr>
          <w:rFonts w:cs="Arial"/>
          <w:szCs w:val="20"/>
        </w:rPr>
        <w:t xml:space="preserve"> and</w:t>
      </w:r>
      <w:r w:rsidR="00537726" w:rsidRPr="00537726">
        <w:rPr>
          <w:rFonts w:cs="Arial"/>
          <w:szCs w:val="20"/>
        </w:rPr>
        <w:t xml:space="preserve"> contribute its expertise on topics</w:t>
      </w:r>
      <w:r>
        <w:rPr>
          <w:rFonts w:cs="Arial"/>
          <w:szCs w:val="20"/>
        </w:rPr>
        <w:t xml:space="preserve"> of shared relevant</w:t>
      </w:r>
      <w:r w:rsidR="00537726" w:rsidRPr="00537726">
        <w:rPr>
          <w:rFonts w:cs="Arial"/>
          <w:szCs w:val="20"/>
        </w:rPr>
        <w:t xml:space="preserve">, and </w:t>
      </w:r>
      <w:r>
        <w:rPr>
          <w:rFonts w:cs="Arial"/>
          <w:szCs w:val="20"/>
        </w:rPr>
        <w:t xml:space="preserve">then </w:t>
      </w:r>
      <w:r w:rsidR="00537726" w:rsidRPr="00537726">
        <w:rPr>
          <w:rFonts w:cs="Arial"/>
          <w:szCs w:val="20"/>
        </w:rPr>
        <w:t xml:space="preserve">to leverage these internal partnerships in our engagements with the FATF and the broader Global Network. </w:t>
      </w:r>
    </w:p>
    <w:p w14:paraId="1A1398FE" w14:textId="643B418A" w:rsidR="00503E8C" w:rsidRDefault="00503E8C">
      <w:pPr>
        <w:rPr>
          <w:rFonts w:cs="Arial"/>
          <w:szCs w:val="20"/>
        </w:rPr>
      </w:pPr>
    </w:p>
    <w:p w14:paraId="24228482" w14:textId="09D558AE" w:rsidR="00537726" w:rsidRPr="00537726" w:rsidRDefault="00537726" w:rsidP="00537726">
      <w:pPr>
        <w:rPr>
          <w:rFonts w:cs="Arial"/>
          <w:szCs w:val="20"/>
        </w:rPr>
      </w:pPr>
      <w:r w:rsidRPr="00537726">
        <w:rPr>
          <w:rFonts w:cs="Arial"/>
          <w:szCs w:val="20"/>
        </w:rPr>
        <w:t xml:space="preserve">In </w:t>
      </w:r>
      <w:r w:rsidR="00A82E51" w:rsidRPr="00537726">
        <w:rPr>
          <w:rFonts w:cs="Arial"/>
          <w:szCs w:val="20"/>
        </w:rPr>
        <w:t>202</w:t>
      </w:r>
      <w:r w:rsidR="00A82E51">
        <w:rPr>
          <w:rFonts w:cs="Arial"/>
          <w:szCs w:val="20"/>
        </w:rPr>
        <w:t>2</w:t>
      </w:r>
      <w:r w:rsidR="009B70A0">
        <w:rPr>
          <w:rFonts w:cs="Arial"/>
          <w:szCs w:val="20"/>
        </w:rPr>
        <w:t>,</w:t>
      </w:r>
      <w:r w:rsidRPr="00537726">
        <w:rPr>
          <w:rFonts w:cs="Arial"/>
          <w:szCs w:val="20"/>
        </w:rPr>
        <w:t xml:space="preserve"> </w:t>
      </w:r>
      <w:r w:rsidR="009B70A0">
        <w:rPr>
          <w:rFonts w:cs="Arial"/>
          <w:szCs w:val="20"/>
        </w:rPr>
        <w:t xml:space="preserve">the </w:t>
      </w:r>
      <w:r w:rsidRPr="00537726">
        <w:rPr>
          <w:rFonts w:cs="Arial"/>
          <w:szCs w:val="20"/>
        </w:rPr>
        <w:t>MONEYVAL Secretariat engaged with the following sectorial bodies</w:t>
      </w:r>
      <w:r w:rsidR="005844FD">
        <w:rPr>
          <w:rFonts w:cs="Arial"/>
          <w:szCs w:val="20"/>
        </w:rPr>
        <w:t xml:space="preserve"> and institutions</w:t>
      </w:r>
      <w:r w:rsidRPr="00537726">
        <w:rPr>
          <w:rFonts w:cs="Arial"/>
          <w:szCs w:val="20"/>
        </w:rPr>
        <w:t xml:space="preserve"> of the Council of Europe:</w:t>
      </w:r>
    </w:p>
    <w:p w14:paraId="5B424192" w14:textId="77777777" w:rsidR="00537726" w:rsidRPr="00537726" w:rsidRDefault="00537726" w:rsidP="00537726">
      <w:pPr>
        <w:rPr>
          <w:rFonts w:cs="Arial"/>
          <w:szCs w:val="20"/>
        </w:rPr>
      </w:pPr>
    </w:p>
    <w:p w14:paraId="17DA6FC8" w14:textId="470134BD" w:rsidR="00537726" w:rsidRDefault="00537726" w:rsidP="00537726">
      <w:pPr>
        <w:numPr>
          <w:ilvl w:val="0"/>
          <w:numId w:val="43"/>
        </w:numPr>
        <w:rPr>
          <w:rFonts w:cs="Arial"/>
          <w:szCs w:val="20"/>
        </w:rPr>
      </w:pPr>
      <w:r w:rsidRPr="00537726">
        <w:rPr>
          <w:rFonts w:cs="Arial"/>
          <w:szCs w:val="20"/>
          <w:u w:val="single"/>
        </w:rPr>
        <w:t>Venice Commission and European Court of Human Rights (ECHR)</w:t>
      </w:r>
      <w:r w:rsidRPr="00537726">
        <w:rPr>
          <w:rFonts w:cs="Arial"/>
          <w:szCs w:val="20"/>
        </w:rPr>
        <w:t xml:space="preserve">: engagement on unintended consequences of the FATF Standards. MONEYVAL also facilitated dialogue between VC, ECHR and </w:t>
      </w:r>
      <w:proofErr w:type="gramStart"/>
      <w:r w:rsidRPr="00537726">
        <w:rPr>
          <w:rFonts w:cs="Arial"/>
          <w:szCs w:val="20"/>
        </w:rPr>
        <w:t>FATF;</w:t>
      </w:r>
      <w:proofErr w:type="gramEnd"/>
    </w:p>
    <w:p w14:paraId="3A129A97" w14:textId="77777777" w:rsidR="00E51C76" w:rsidRPr="00537726" w:rsidRDefault="00E51C76" w:rsidP="00E51C76">
      <w:pPr>
        <w:ind w:left="720"/>
        <w:rPr>
          <w:rFonts w:cs="Arial"/>
          <w:szCs w:val="20"/>
        </w:rPr>
      </w:pPr>
    </w:p>
    <w:p w14:paraId="31FF1B28" w14:textId="76C16293" w:rsidR="00537726" w:rsidRDefault="00537726" w:rsidP="00537726">
      <w:pPr>
        <w:numPr>
          <w:ilvl w:val="0"/>
          <w:numId w:val="43"/>
        </w:numPr>
        <w:rPr>
          <w:rFonts w:cs="Arial"/>
          <w:szCs w:val="20"/>
        </w:rPr>
      </w:pPr>
      <w:r w:rsidRPr="00537726">
        <w:rPr>
          <w:rFonts w:cs="Arial"/>
          <w:szCs w:val="20"/>
          <w:u w:val="single"/>
        </w:rPr>
        <w:t>Data Protection Consultative Committee to Convention 108</w:t>
      </w:r>
      <w:r w:rsidRPr="00537726">
        <w:rPr>
          <w:rFonts w:cs="Arial"/>
          <w:szCs w:val="20"/>
        </w:rPr>
        <w:t xml:space="preserve">: engagement on the draft AML/CFT Data Protection Guidelines under development by C108. MONEYVAL also facilitated a dialogue between C108 and </w:t>
      </w:r>
      <w:proofErr w:type="gramStart"/>
      <w:r w:rsidRPr="00537726">
        <w:rPr>
          <w:rFonts w:cs="Arial"/>
          <w:szCs w:val="20"/>
        </w:rPr>
        <w:t>FATF;</w:t>
      </w:r>
      <w:proofErr w:type="gramEnd"/>
    </w:p>
    <w:p w14:paraId="73EFABCB" w14:textId="77777777" w:rsidR="00E51C76" w:rsidRPr="00537726" w:rsidRDefault="00E51C76" w:rsidP="00E51C76">
      <w:pPr>
        <w:rPr>
          <w:rFonts w:cs="Arial"/>
          <w:szCs w:val="20"/>
        </w:rPr>
      </w:pPr>
    </w:p>
    <w:p w14:paraId="22C19CA8" w14:textId="7659FFA5" w:rsidR="00537726" w:rsidRDefault="00537726" w:rsidP="00537726">
      <w:pPr>
        <w:numPr>
          <w:ilvl w:val="0"/>
          <w:numId w:val="43"/>
        </w:numPr>
        <w:rPr>
          <w:rFonts w:cs="Arial"/>
          <w:szCs w:val="20"/>
        </w:rPr>
      </w:pPr>
      <w:r w:rsidRPr="00537726">
        <w:rPr>
          <w:rFonts w:cs="Arial"/>
          <w:szCs w:val="20"/>
          <w:u w:val="single"/>
        </w:rPr>
        <w:t>Cybercrime Convention Committee (TC-Y)</w:t>
      </w:r>
      <w:r w:rsidRPr="00537726">
        <w:rPr>
          <w:rFonts w:cs="Arial"/>
          <w:szCs w:val="20"/>
        </w:rPr>
        <w:t xml:space="preserve">: MONEYVAL engaged on cybercrime issues with the TC-Y Secretariat, which expressed an interest to join </w:t>
      </w:r>
      <w:r w:rsidR="004356CC">
        <w:rPr>
          <w:rFonts w:cs="Arial"/>
          <w:szCs w:val="20"/>
        </w:rPr>
        <w:t>Council of Europe</w:t>
      </w:r>
      <w:r w:rsidRPr="00537726">
        <w:rPr>
          <w:rFonts w:cs="Arial"/>
          <w:szCs w:val="20"/>
        </w:rPr>
        <w:t xml:space="preserve"> typologies work on cryptocurrencies. MONEYVAL also facilitated engagement between the FATF and TC-</w:t>
      </w:r>
      <w:proofErr w:type="gramStart"/>
      <w:r w:rsidRPr="00537726">
        <w:rPr>
          <w:rFonts w:cs="Arial"/>
          <w:szCs w:val="20"/>
        </w:rPr>
        <w:t>Y;</w:t>
      </w:r>
      <w:proofErr w:type="gramEnd"/>
    </w:p>
    <w:p w14:paraId="75B160F6" w14:textId="77777777" w:rsidR="00E51C76" w:rsidRPr="00537726" w:rsidRDefault="00E51C76" w:rsidP="00E51C76">
      <w:pPr>
        <w:rPr>
          <w:rFonts w:cs="Arial"/>
          <w:szCs w:val="20"/>
        </w:rPr>
      </w:pPr>
    </w:p>
    <w:p w14:paraId="78A3ABAD" w14:textId="5E1FB92A" w:rsidR="00537726" w:rsidRPr="00537726" w:rsidRDefault="00537726" w:rsidP="00537726">
      <w:pPr>
        <w:numPr>
          <w:ilvl w:val="0"/>
          <w:numId w:val="43"/>
        </w:numPr>
        <w:rPr>
          <w:rFonts w:cs="Arial"/>
          <w:szCs w:val="20"/>
        </w:rPr>
      </w:pPr>
      <w:r w:rsidRPr="00537726">
        <w:rPr>
          <w:rFonts w:cs="Arial"/>
          <w:szCs w:val="20"/>
          <w:u w:val="single"/>
        </w:rPr>
        <w:t>Committee on Counterterrorism (CDCT)</w:t>
      </w:r>
      <w:r w:rsidRPr="00537726">
        <w:rPr>
          <w:rFonts w:cs="Arial"/>
          <w:szCs w:val="20"/>
        </w:rPr>
        <w:t xml:space="preserve">: joint </w:t>
      </w:r>
      <w:proofErr w:type="gramStart"/>
      <w:r w:rsidRPr="00537726">
        <w:rPr>
          <w:rFonts w:cs="Arial"/>
          <w:szCs w:val="20"/>
        </w:rPr>
        <w:t>experts</w:t>
      </w:r>
      <w:proofErr w:type="gramEnd"/>
      <w:r w:rsidRPr="00537726">
        <w:rPr>
          <w:rFonts w:cs="Arial"/>
          <w:szCs w:val="20"/>
        </w:rPr>
        <w:t xml:space="preserve"> group with C198-COP and the CDCT has been set up to explore possible changes to </w:t>
      </w:r>
      <w:r w:rsidR="004356CC">
        <w:rPr>
          <w:rFonts w:cs="Arial"/>
          <w:szCs w:val="20"/>
        </w:rPr>
        <w:t>Council of Europe</w:t>
      </w:r>
      <w:r w:rsidRPr="00537726">
        <w:rPr>
          <w:rFonts w:cs="Arial"/>
          <w:szCs w:val="20"/>
        </w:rPr>
        <w:t xml:space="preserve"> CFT standards. </w:t>
      </w:r>
    </w:p>
    <w:p w14:paraId="39FDF319" w14:textId="77777777" w:rsidR="00537726" w:rsidRPr="00537726" w:rsidRDefault="00537726" w:rsidP="00537726">
      <w:pPr>
        <w:rPr>
          <w:rFonts w:cs="Arial"/>
          <w:szCs w:val="20"/>
        </w:rPr>
      </w:pPr>
    </w:p>
    <w:p w14:paraId="5E63EB9C" w14:textId="2F37C554" w:rsidR="00537726" w:rsidRPr="00537726" w:rsidRDefault="00537726" w:rsidP="00537726">
      <w:pPr>
        <w:rPr>
          <w:rFonts w:cs="Arial"/>
          <w:szCs w:val="20"/>
        </w:rPr>
      </w:pPr>
      <w:r w:rsidRPr="00537726">
        <w:rPr>
          <w:rFonts w:cs="Arial"/>
          <w:szCs w:val="20"/>
        </w:rPr>
        <w:t xml:space="preserve">Additionally, MONEYVAL is exploring further partnership with </w:t>
      </w:r>
      <w:r w:rsidR="009B70A0">
        <w:rPr>
          <w:rFonts w:cs="Arial"/>
          <w:szCs w:val="20"/>
        </w:rPr>
        <w:t xml:space="preserve">the </w:t>
      </w:r>
      <w:r w:rsidRPr="00537726">
        <w:rPr>
          <w:rFonts w:cs="Arial"/>
          <w:szCs w:val="20"/>
          <w:u w:val="single"/>
        </w:rPr>
        <w:t>PC-OC</w:t>
      </w:r>
      <w:r w:rsidRPr="00537726">
        <w:rPr>
          <w:rFonts w:cs="Arial"/>
          <w:szCs w:val="20"/>
        </w:rPr>
        <w:t xml:space="preserve"> (Committee of Experts on the Operation of European Conventions on Co-operation in Criminal Matters), and the </w:t>
      </w:r>
      <w:r w:rsidRPr="00537726">
        <w:rPr>
          <w:rFonts w:cs="Arial"/>
          <w:szCs w:val="20"/>
          <w:u w:val="single"/>
        </w:rPr>
        <w:t xml:space="preserve">Follow-up Committee to the </w:t>
      </w:r>
      <w:proofErr w:type="spellStart"/>
      <w:r w:rsidRPr="00537726">
        <w:rPr>
          <w:rFonts w:cs="Arial"/>
          <w:szCs w:val="20"/>
          <w:u w:val="single"/>
        </w:rPr>
        <w:t>Macolin</w:t>
      </w:r>
      <w:proofErr w:type="spellEnd"/>
      <w:r w:rsidRPr="00537726">
        <w:rPr>
          <w:rFonts w:cs="Arial"/>
          <w:szCs w:val="20"/>
          <w:u w:val="single"/>
        </w:rPr>
        <w:t xml:space="preserve"> Convention</w:t>
      </w:r>
      <w:r w:rsidRPr="00537726">
        <w:rPr>
          <w:rFonts w:cs="Arial"/>
          <w:szCs w:val="20"/>
        </w:rPr>
        <w:t xml:space="preserve"> on Manipulation of Sports Competitions</w:t>
      </w:r>
      <w:r w:rsidR="00205C94">
        <w:rPr>
          <w:rFonts w:cs="Arial"/>
          <w:szCs w:val="20"/>
        </w:rPr>
        <w:t xml:space="preserve"> (</w:t>
      </w:r>
      <w:r w:rsidR="00187F0A">
        <w:rPr>
          <w:rFonts w:cs="Arial"/>
          <w:szCs w:val="20"/>
        </w:rPr>
        <w:t xml:space="preserve">CETS </w:t>
      </w:r>
      <w:r w:rsidR="00205C94">
        <w:rPr>
          <w:rFonts w:cs="Arial"/>
          <w:szCs w:val="20"/>
        </w:rPr>
        <w:t>No. 215)</w:t>
      </w:r>
      <w:r w:rsidRPr="00537726">
        <w:rPr>
          <w:rFonts w:cs="Arial"/>
          <w:szCs w:val="20"/>
        </w:rPr>
        <w:t>.</w:t>
      </w:r>
      <w:r w:rsidR="009B70A0">
        <w:rPr>
          <w:rFonts w:cs="Arial"/>
          <w:szCs w:val="20"/>
        </w:rPr>
        <w:t xml:space="preserve"> The MONEYVAL Secretariat also maintains working level contacts with the Secretariat of </w:t>
      </w:r>
      <w:r w:rsidR="009B70A0" w:rsidRPr="005425DE">
        <w:rPr>
          <w:rFonts w:cs="Arial"/>
          <w:szCs w:val="20"/>
          <w:u w:val="single"/>
        </w:rPr>
        <w:t>GRECO</w:t>
      </w:r>
      <w:r w:rsidR="009B70A0">
        <w:rPr>
          <w:rFonts w:cs="Arial"/>
          <w:szCs w:val="20"/>
        </w:rPr>
        <w:t xml:space="preserve"> on any shared issues arising out of the bodies’ monitoring work. </w:t>
      </w:r>
      <w:r w:rsidRPr="00537726">
        <w:rPr>
          <w:rFonts w:cs="Arial"/>
          <w:szCs w:val="20"/>
        </w:rPr>
        <w:t xml:space="preserve"> </w:t>
      </w:r>
    </w:p>
    <w:p w14:paraId="433302F0" w14:textId="77777777" w:rsidR="00537726" w:rsidRPr="00277C14" w:rsidRDefault="00537726" w:rsidP="00277C14">
      <w:pPr>
        <w:rPr>
          <w:rFonts w:cs="Arial"/>
          <w:szCs w:val="20"/>
        </w:rPr>
      </w:pPr>
    </w:p>
    <w:p w14:paraId="056FC59D" w14:textId="06E421E7" w:rsidR="00277C14" w:rsidRPr="005745B6" w:rsidRDefault="00277C14" w:rsidP="005745B6">
      <w:pPr>
        <w:pStyle w:val="Heading1"/>
        <w:numPr>
          <w:ilvl w:val="0"/>
          <w:numId w:val="37"/>
        </w:numPr>
        <w:spacing w:before="0"/>
        <w:rPr>
          <w:rFonts w:ascii="Arial" w:eastAsiaTheme="minorHAnsi" w:hAnsi="Arial" w:cs="Times New Roman"/>
          <w:b/>
          <w:bCs/>
          <w:color w:val="auto"/>
          <w:kern w:val="28"/>
          <w:sz w:val="20"/>
          <w:szCs w:val="20"/>
        </w:rPr>
      </w:pPr>
      <w:bookmarkStart w:id="71" w:name="_Toc379211980"/>
      <w:bookmarkStart w:id="72" w:name="_Toc423609854"/>
      <w:bookmarkStart w:id="73" w:name="_Toc446602136"/>
      <w:bookmarkStart w:id="74" w:name="_Toc66712439"/>
      <w:bookmarkStart w:id="75" w:name="_Toc135409898"/>
      <w:r w:rsidRPr="005745B6">
        <w:rPr>
          <w:rFonts w:ascii="Arial" w:eastAsiaTheme="minorHAnsi" w:hAnsi="Arial" w:cs="Times New Roman"/>
          <w:b/>
          <w:bCs/>
          <w:color w:val="auto"/>
          <w:kern w:val="28"/>
          <w:sz w:val="20"/>
          <w:szCs w:val="20"/>
        </w:rPr>
        <w:t>HUMAN RESOURCES</w:t>
      </w:r>
      <w:bookmarkStart w:id="76" w:name="_Toc346194306"/>
      <w:bookmarkEnd w:id="71"/>
      <w:bookmarkEnd w:id="72"/>
      <w:bookmarkEnd w:id="73"/>
      <w:bookmarkEnd w:id="74"/>
      <w:bookmarkEnd w:id="75"/>
    </w:p>
    <w:p w14:paraId="78F54639" w14:textId="77777777" w:rsidR="005745B6" w:rsidRPr="005745B6" w:rsidRDefault="005745B6" w:rsidP="005745B6">
      <w:pPr>
        <w:rPr>
          <w:lang w:val="fr-FR"/>
        </w:rPr>
      </w:pPr>
    </w:p>
    <w:p w14:paraId="2BFCDB79" w14:textId="3B4C4D08" w:rsidR="00277C14" w:rsidRDefault="00C43E5E" w:rsidP="00277C14">
      <w:pPr>
        <w:rPr>
          <w:rFonts w:cs="Arial"/>
          <w:szCs w:val="20"/>
        </w:rPr>
      </w:pPr>
      <w:r w:rsidRPr="00C43E5E">
        <w:rPr>
          <w:rFonts w:cs="Arial"/>
          <w:szCs w:val="20"/>
        </w:rPr>
        <w:t>At</w:t>
      </w:r>
      <w:r>
        <w:rPr>
          <w:rFonts w:cs="Arial"/>
          <w:szCs w:val="20"/>
        </w:rPr>
        <w:t xml:space="preserve"> the end of</w:t>
      </w:r>
      <w:r w:rsidR="00277C14" w:rsidRPr="00277C14">
        <w:rPr>
          <w:rFonts w:cs="Arial"/>
          <w:szCs w:val="20"/>
        </w:rPr>
        <w:t xml:space="preserve"> </w:t>
      </w:r>
      <w:r w:rsidR="00A82E51" w:rsidRPr="00277C14">
        <w:rPr>
          <w:rFonts w:cs="Arial"/>
          <w:szCs w:val="20"/>
        </w:rPr>
        <w:t>202</w:t>
      </w:r>
      <w:r w:rsidR="00A82E51">
        <w:rPr>
          <w:rFonts w:cs="Arial"/>
          <w:szCs w:val="20"/>
        </w:rPr>
        <w:t>2</w:t>
      </w:r>
      <w:r w:rsidR="00277C14" w:rsidRPr="00277C14">
        <w:rPr>
          <w:rFonts w:cs="Arial"/>
          <w:szCs w:val="20"/>
        </w:rPr>
        <w:t xml:space="preserve">, the MONEYVAL Secretariat was comprised of the Executive Secretary, the Deputy Executive Secretary and </w:t>
      </w:r>
      <w:r w:rsidR="00C52F18">
        <w:rPr>
          <w:rFonts w:cs="Arial"/>
          <w:szCs w:val="20"/>
        </w:rPr>
        <w:t>eight</w:t>
      </w:r>
      <w:r w:rsidR="00C52F18" w:rsidRPr="00277C14">
        <w:rPr>
          <w:rFonts w:cs="Arial"/>
          <w:szCs w:val="20"/>
        </w:rPr>
        <w:t xml:space="preserve"> </w:t>
      </w:r>
      <w:r w:rsidR="00277C14" w:rsidRPr="00277C14">
        <w:rPr>
          <w:rFonts w:cs="Arial"/>
          <w:szCs w:val="20"/>
        </w:rPr>
        <w:t xml:space="preserve">Council of Europe administrators, </w:t>
      </w:r>
      <w:r w:rsidR="00205C94">
        <w:rPr>
          <w:rFonts w:cs="Arial"/>
          <w:szCs w:val="20"/>
        </w:rPr>
        <w:t xml:space="preserve">five </w:t>
      </w:r>
      <w:r w:rsidR="00277C14" w:rsidRPr="00277C14">
        <w:rPr>
          <w:rFonts w:cs="Arial"/>
          <w:szCs w:val="20"/>
        </w:rPr>
        <w:t xml:space="preserve">administrators on secondment from national administrations (from </w:t>
      </w:r>
      <w:r w:rsidR="00C52F18">
        <w:rPr>
          <w:rFonts w:cs="Arial"/>
          <w:szCs w:val="20"/>
        </w:rPr>
        <w:t xml:space="preserve">Andorra, </w:t>
      </w:r>
      <w:r w:rsidR="00277C14" w:rsidRPr="00277C14">
        <w:rPr>
          <w:rFonts w:cs="Arial"/>
          <w:szCs w:val="20"/>
        </w:rPr>
        <w:t xml:space="preserve">Armenia, </w:t>
      </w:r>
      <w:r w:rsidR="00C52F18">
        <w:rPr>
          <w:rFonts w:cs="Arial"/>
          <w:szCs w:val="20"/>
        </w:rPr>
        <w:t xml:space="preserve">Malta, </w:t>
      </w:r>
      <w:r>
        <w:rPr>
          <w:rFonts w:cs="Arial"/>
          <w:szCs w:val="20"/>
        </w:rPr>
        <w:t xml:space="preserve">Montenegro, </w:t>
      </w:r>
      <w:r w:rsidR="00277C14" w:rsidRPr="00277C14">
        <w:rPr>
          <w:rFonts w:cs="Arial"/>
          <w:szCs w:val="20"/>
        </w:rPr>
        <w:t xml:space="preserve">the Republic of Moldova), two project officers, and four administrative assistants. MONEYVAL would like to warmly thank the governments of the above countries </w:t>
      </w:r>
      <w:r w:rsidR="005844FD">
        <w:rPr>
          <w:rFonts w:cs="Arial"/>
          <w:szCs w:val="20"/>
        </w:rPr>
        <w:t xml:space="preserve">for their support </w:t>
      </w:r>
      <w:r w:rsidR="00277C14" w:rsidRPr="00277C14">
        <w:rPr>
          <w:rFonts w:cs="Arial"/>
          <w:szCs w:val="20"/>
        </w:rPr>
        <w:t>in 202</w:t>
      </w:r>
      <w:r w:rsidR="00C52F18">
        <w:rPr>
          <w:rFonts w:cs="Arial"/>
          <w:szCs w:val="20"/>
        </w:rPr>
        <w:t>2</w:t>
      </w:r>
      <w:r w:rsidR="00277C14" w:rsidRPr="00277C14">
        <w:rPr>
          <w:rFonts w:cs="Arial"/>
          <w:szCs w:val="20"/>
        </w:rPr>
        <w:t xml:space="preserve">. </w:t>
      </w:r>
    </w:p>
    <w:p w14:paraId="24EBDEC6" w14:textId="77777777" w:rsidR="005745B6" w:rsidRPr="00277C14" w:rsidRDefault="005745B6" w:rsidP="00277C14">
      <w:pPr>
        <w:rPr>
          <w:rFonts w:cs="Arial"/>
          <w:szCs w:val="20"/>
        </w:rPr>
      </w:pPr>
    </w:p>
    <w:p w14:paraId="1E7C76B8" w14:textId="76EAF0E6" w:rsidR="00277C14" w:rsidRPr="005745B6" w:rsidRDefault="00277C14" w:rsidP="005745B6">
      <w:pPr>
        <w:pStyle w:val="Heading1"/>
        <w:numPr>
          <w:ilvl w:val="0"/>
          <w:numId w:val="37"/>
        </w:numPr>
        <w:spacing w:before="0"/>
        <w:rPr>
          <w:rFonts w:ascii="Arial" w:eastAsiaTheme="minorHAnsi" w:hAnsi="Arial" w:cs="Times New Roman"/>
          <w:b/>
          <w:bCs/>
          <w:color w:val="auto"/>
          <w:kern w:val="28"/>
          <w:sz w:val="20"/>
          <w:szCs w:val="20"/>
        </w:rPr>
      </w:pPr>
      <w:bookmarkStart w:id="77" w:name="_Toc66712440"/>
      <w:bookmarkStart w:id="78" w:name="_Toc135409899"/>
      <w:r w:rsidRPr="005745B6">
        <w:rPr>
          <w:rFonts w:ascii="Arial" w:eastAsiaTheme="minorHAnsi" w:hAnsi="Arial" w:cs="Times New Roman"/>
          <w:b/>
          <w:bCs/>
          <w:color w:val="auto"/>
          <w:kern w:val="28"/>
          <w:sz w:val="20"/>
          <w:szCs w:val="20"/>
          <w:lang w:val="fr-FR"/>
        </w:rPr>
        <w:t>GOVERNANCE AND PROCEDURAL FRAMEWORK</w:t>
      </w:r>
      <w:bookmarkEnd w:id="77"/>
      <w:bookmarkEnd w:id="78"/>
    </w:p>
    <w:p w14:paraId="2E28A8BC" w14:textId="77777777" w:rsidR="005745B6" w:rsidRPr="005745B6" w:rsidRDefault="005745B6" w:rsidP="005745B6">
      <w:pPr>
        <w:rPr>
          <w:lang w:val="fr-FR"/>
        </w:rPr>
      </w:pPr>
    </w:p>
    <w:p w14:paraId="27E32871" w14:textId="77777777" w:rsidR="00277C14" w:rsidRPr="00277C14" w:rsidRDefault="00277C14" w:rsidP="00277C14">
      <w:pPr>
        <w:rPr>
          <w:rFonts w:cs="Arial"/>
          <w:szCs w:val="20"/>
        </w:rPr>
      </w:pPr>
      <w:r w:rsidRPr="00277C14">
        <w:rPr>
          <w:rFonts w:cs="Arial"/>
          <w:szCs w:val="20"/>
        </w:rPr>
        <w:t>The Council of Europe was the first international organisation to emphasise the importance of taking measures to combat the threats posed by money laundering for democracy and the rule of law. The Council’s efforts led to the creation in 1997 of the Select Committee of Experts on the Evaluation of Anti</w:t>
      </w:r>
      <w:r w:rsidRPr="00277C14">
        <w:rPr>
          <w:rFonts w:cs="Arial"/>
          <w:szCs w:val="20"/>
        </w:rPr>
        <w:noBreakHyphen/>
        <w:t>Money Laundering Measures (PC-R-EV), later renamed to Committee of Experts on the Evaluation of Anti-Money Laundering Measures and the Financing of Terrorism (MONEYVAL). After the terrorist attacks of 11 September 2001, the Committee also began applying international standards designed to combat terrorist financing.</w:t>
      </w:r>
    </w:p>
    <w:p w14:paraId="50934859" w14:textId="77777777" w:rsidR="00277C14" w:rsidRPr="00277C14" w:rsidRDefault="00277C14" w:rsidP="00277C14">
      <w:pPr>
        <w:rPr>
          <w:rFonts w:cs="Arial"/>
          <w:szCs w:val="20"/>
        </w:rPr>
      </w:pPr>
    </w:p>
    <w:p w14:paraId="3D4B5B3E" w14:textId="17FA1F6C" w:rsidR="00277C14" w:rsidRDefault="00277C14" w:rsidP="00277C14">
      <w:pPr>
        <w:rPr>
          <w:rFonts w:cs="Arial"/>
          <w:szCs w:val="20"/>
        </w:rPr>
      </w:pPr>
      <w:r w:rsidRPr="00277C14">
        <w:rPr>
          <w:rFonts w:cs="Arial"/>
          <w:szCs w:val="20"/>
        </w:rPr>
        <w:t xml:space="preserve">MONEYVAL is a permanent monitoring mechanism of the Council of Europe reporting directly to the Committee of Ministers. MONEYVAL is </w:t>
      </w:r>
      <w:r w:rsidR="00205C94">
        <w:rPr>
          <w:rFonts w:cs="Arial"/>
          <w:szCs w:val="20"/>
        </w:rPr>
        <w:t xml:space="preserve">a </w:t>
      </w:r>
      <w:r w:rsidRPr="00277C14">
        <w:rPr>
          <w:rFonts w:cs="Arial"/>
          <w:szCs w:val="20"/>
        </w:rPr>
        <w:t>monitoring body of the Council of Europe entrusted with the task of assessing compliance with the principal international standards to counter money laundering and the financing of terrorism and the effectiveness of their implementation, as well as with the task of making recommendations to national authorities in respect of necessary improvements to their systems.</w:t>
      </w:r>
    </w:p>
    <w:p w14:paraId="4118C0CD" w14:textId="77777777" w:rsidR="005745B6" w:rsidRPr="00277C14" w:rsidRDefault="005745B6" w:rsidP="00277C14">
      <w:pPr>
        <w:rPr>
          <w:rFonts w:cs="Arial"/>
          <w:szCs w:val="20"/>
        </w:rPr>
      </w:pPr>
    </w:p>
    <w:p w14:paraId="38492EC3" w14:textId="77777777" w:rsidR="00E51C76" w:rsidRDefault="00E51C76">
      <w:pPr>
        <w:rPr>
          <w:rStyle w:val="Strong"/>
          <w:rFonts w:eastAsiaTheme="minorHAnsi" w:cs="Arial"/>
          <w:szCs w:val="20"/>
          <w:lang w:val="en-US"/>
        </w:rPr>
      </w:pPr>
      <w:bookmarkStart w:id="79" w:name="_Toc379211901"/>
      <w:bookmarkStart w:id="80" w:name="_Toc446602095"/>
      <w:bookmarkStart w:id="81" w:name="_Toc66712441"/>
      <w:bookmarkStart w:id="82" w:name="_Toc135409900"/>
      <w:r>
        <w:rPr>
          <w:rStyle w:val="Strong"/>
          <w:rFonts w:eastAsiaTheme="minorHAnsi" w:cs="Arial"/>
          <w:szCs w:val="20"/>
          <w:lang w:val="en-US"/>
        </w:rPr>
        <w:br w:type="page"/>
      </w:r>
    </w:p>
    <w:p w14:paraId="0EF83C5B" w14:textId="0AA35D91" w:rsidR="00277C14" w:rsidRPr="00793889" w:rsidRDefault="00503E8C" w:rsidP="005745B6">
      <w:pPr>
        <w:pStyle w:val="Heading2"/>
        <w:keepLines w:val="0"/>
        <w:spacing w:before="0"/>
        <w:ind w:right="680"/>
        <w:jc w:val="both"/>
        <w:rPr>
          <w:rStyle w:val="Strong"/>
          <w:rFonts w:ascii="Arial" w:eastAsiaTheme="minorHAnsi" w:hAnsi="Arial" w:cs="Arial"/>
          <w:color w:val="auto"/>
          <w:sz w:val="20"/>
          <w:szCs w:val="20"/>
          <w:lang w:val="en-US"/>
        </w:rPr>
      </w:pPr>
      <w:r>
        <w:rPr>
          <w:rStyle w:val="Strong"/>
          <w:rFonts w:ascii="Arial" w:eastAsiaTheme="minorHAnsi" w:hAnsi="Arial" w:cs="Arial"/>
          <w:color w:val="auto"/>
          <w:sz w:val="20"/>
          <w:szCs w:val="20"/>
          <w:lang w:val="en-US"/>
        </w:rPr>
        <w:lastRenderedPageBreak/>
        <w:t>8</w:t>
      </w:r>
      <w:r w:rsidR="005745B6" w:rsidRPr="00793889">
        <w:rPr>
          <w:rStyle w:val="Strong"/>
          <w:rFonts w:ascii="Arial" w:eastAsiaTheme="minorHAnsi" w:hAnsi="Arial" w:cs="Arial"/>
          <w:color w:val="auto"/>
          <w:sz w:val="20"/>
          <w:szCs w:val="20"/>
          <w:lang w:val="en-US"/>
        </w:rPr>
        <w:t>.1.</w:t>
      </w:r>
      <w:r w:rsidR="005745B6" w:rsidRPr="00793889">
        <w:rPr>
          <w:rStyle w:val="Strong"/>
          <w:rFonts w:ascii="Arial" w:eastAsiaTheme="minorHAnsi" w:hAnsi="Arial" w:cs="Arial"/>
          <w:color w:val="auto"/>
          <w:sz w:val="20"/>
          <w:szCs w:val="20"/>
          <w:lang w:val="en-US"/>
        </w:rPr>
        <w:tab/>
      </w:r>
      <w:r w:rsidR="00277C14" w:rsidRPr="00793889">
        <w:rPr>
          <w:rStyle w:val="Strong"/>
          <w:rFonts w:ascii="Arial" w:eastAsiaTheme="minorHAnsi" w:hAnsi="Arial" w:cs="Arial"/>
          <w:color w:val="auto"/>
          <w:sz w:val="20"/>
          <w:szCs w:val="20"/>
          <w:lang w:val="en-US"/>
        </w:rPr>
        <w:t>Members and observers</w:t>
      </w:r>
      <w:bookmarkEnd w:id="79"/>
      <w:bookmarkEnd w:id="80"/>
      <w:bookmarkEnd w:id="81"/>
      <w:bookmarkEnd w:id="82"/>
    </w:p>
    <w:p w14:paraId="3A5718DA" w14:textId="77777777" w:rsidR="005745B6" w:rsidRPr="00793889" w:rsidRDefault="005745B6" w:rsidP="005745B6">
      <w:pPr>
        <w:rPr>
          <w:lang w:val="en-US"/>
        </w:rPr>
      </w:pPr>
    </w:p>
    <w:p w14:paraId="643038F0" w14:textId="06D4B89F" w:rsidR="00277C14" w:rsidRPr="00277C14" w:rsidRDefault="00277C14" w:rsidP="00277C14">
      <w:pPr>
        <w:rPr>
          <w:rFonts w:cs="Arial"/>
          <w:szCs w:val="20"/>
        </w:rPr>
      </w:pPr>
      <w:r w:rsidRPr="00277C14">
        <w:rPr>
          <w:rFonts w:cs="Arial"/>
          <w:szCs w:val="20"/>
        </w:rPr>
        <w:t>Evaluation by MONEYVAL currently covers, under Article 2 of the Statute of MONEYVAL</w:t>
      </w:r>
      <w:r w:rsidR="00D44387">
        <w:rPr>
          <w:rFonts w:cs="Arial"/>
          <w:szCs w:val="20"/>
        </w:rPr>
        <w:t>,</w:t>
      </w:r>
      <w:r w:rsidRPr="00277C14">
        <w:rPr>
          <w:rFonts w:cs="Arial"/>
          <w:szCs w:val="20"/>
        </w:rPr>
        <w:t xml:space="preserve"> the following jurisdictions:</w:t>
      </w:r>
    </w:p>
    <w:p w14:paraId="4CDA0F51" w14:textId="0492FB6E" w:rsidR="005745B6" w:rsidRDefault="005745B6">
      <w:pPr>
        <w:rPr>
          <w:rFonts w:cs="Arial"/>
          <w:szCs w:val="20"/>
        </w:rPr>
      </w:pPr>
    </w:p>
    <w:p w14:paraId="46937CC0" w14:textId="08FF7FE4" w:rsidR="00277C14" w:rsidRPr="00277C14" w:rsidRDefault="00277C14" w:rsidP="00C92E41">
      <w:pPr>
        <w:numPr>
          <w:ilvl w:val="0"/>
          <w:numId w:val="27"/>
        </w:numPr>
        <w:autoSpaceDE w:val="0"/>
        <w:autoSpaceDN w:val="0"/>
        <w:adjustRightInd w:val="0"/>
        <w:ind w:hanging="436"/>
        <w:jc w:val="both"/>
        <w:rPr>
          <w:rFonts w:cs="Arial"/>
          <w:szCs w:val="20"/>
        </w:rPr>
      </w:pPr>
      <w:r w:rsidRPr="00277C14">
        <w:rPr>
          <w:rFonts w:cs="Arial"/>
          <w:szCs w:val="20"/>
        </w:rPr>
        <w:t>member States of the Council of Europe that are not members of the FATF (Article 2.2a of the Statute) and member States of the Council of Europe that become members of the FATF and request to continue to be evaluated by MONEYVAL (Article 2.2b of the Statute), currently:</w:t>
      </w:r>
    </w:p>
    <w:p w14:paraId="23259CE8" w14:textId="77777777" w:rsidR="00277C14" w:rsidRPr="00277C14" w:rsidRDefault="00277C14" w:rsidP="00277C14">
      <w:pPr>
        <w:autoSpaceDE w:val="0"/>
        <w:autoSpaceDN w:val="0"/>
        <w:adjustRightInd w:val="0"/>
        <w:ind w:left="720"/>
        <w:rPr>
          <w:rFonts w:cs="Arial"/>
          <w:szCs w:val="20"/>
        </w:rPr>
      </w:pPr>
    </w:p>
    <w:tbl>
      <w:tblPr>
        <w:tblW w:w="6659" w:type="dxa"/>
        <w:jc w:val="center"/>
        <w:tblLook w:val="04A0" w:firstRow="1" w:lastRow="0" w:firstColumn="1" w:lastColumn="0" w:noHBand="0" w:noVBand="1"/>
      </w:tblPr>
      <w:tblGrid>
        <w:gridCol w:w="3544"/>
        <w:gridCol w:w="3115"/>
      </w:tblGrid>
      <w:tr w:rsidR="00277C14" w:rsidRPr="00277C14" w14:paraId="6EFF25E1" w14:textId="77777777" w:rsidTr="00277C14">
        <w:trPr>
          <w:jc w:val="center"/>
        </w:trPr>
        <w:tc>
          <w:tcPr>
            <w:tcW w:w="3544" w:type="dxa"/>
            <w:shd w:val="clear" w:color="auto" w:fill="auto"/>
          </w:tcPr>
          <w:p w14:paraId="75012ADF" w14:textId="77777777" w:rsidR="00277C14" w:rsidRPr="00277C14" w:rsidRDefault="00277C14" w:rsidP="00C92E41">
            <w:pPr>
              <w:numPr>
                <w:ilvl w:val="0"/>
                <w:numId w:val="28"/>
              </w:numPr>
              <w:tabs>
                <w:tab w:val="num" w:pos="317"/>
              </w:tabs>
              <w:autoSpaceDE w:val="0"/>
              <w:autoSpaceDN w:val="0"/>
              <w:adjustRightInd w:val="0"/>
              <w:ind w:left="317" w:hanging="284"/>
              <w:jc w:val="both"/>
              <w:rPr>
                <w:rFonts w:cs="Arial"/>
                <w:szCs w:val="20"/>
              </w:rPr>
            </w:pPr>
            <w:r w:rsidRPr="00277C14">
              <w:rPr>
                <w:rFonts w:cs="Arial"/>
                <w:szCs w:val="20"/>
              </w:rPr>
              <w:t>Albania</w:t>
            </w:r>
          </w:p>
        </w:tc>
        <w:tc>
          <w:tcPr>
            <w:tcW w:w="3115" w:type="dxa"/>
            <w:shd w:val="clear" w:color="auto" w:fill="auto"/>
          </w:tcPr>
          <w:p w14:paraId="48D6AEDD" w14:textId="77777777" w:rsidR="00277C14" w:rsidRPr="00277C14" w:rsidRDefault="00277C14" w:rsidP="00C92E41">
            <w:pPr>
              <w:numPr>
                <w:ilvl w:val="1"/>
                <w:numId w:val="27"/>
              </w:numPr>
              <w:tabs>
                <w:tab w:val="clear" w:pos="1440"/>
              </w:tabs>
              <w:autoSpaceDE w:val="0"/>
              <w:autoSpaceDN w:val="0"/>
              <w:adjustRightInd w:val="0"/>
              <w:ind w:left="67" w:hanging="67"/>
              <w:jc w:val="both"/>
              <w:rPr>
                <w:rFonts w:cs="Arial"/>
                <w:szCs w:val="20"/>
              </w:rPr>
            </w:pPr>
            <w:r w:rsidRPr="00277C14">
              <w:rPr>
                <w:rFonts w:cs="Arial"/>
                <w:szCs w:val="20"/>
              </w:rPr>
              <w:t xml:space="preserve"> Andorra</w:t>
            </w:r>
          </w:p>
        </w:tc>
      </w:tr>
      <w:tr w:rsidR="00277C14" w:rsidRPr="00277C14" w14:paraId="76C7ABEB" w14:textId="77777777" w:rsidTr="00277C14">
        <w:trPr>
          <w:jc w:val="center"/>
        </w:trPr>
        <w:tc>
          <w:tcPr>
            <w:tcW w:w="3544" w:type="dxa"/>
            <w:shd w:val="clear" w:color="auto" w:fill="auto"/>
          </w:tcPr>
          <w:p w14:paraId="4D5D2186" w14:textId="77777777" w:rsidR="00277C14" w:rsidRPr="00277C14" w:rsidRDefault="00277C14" w:rsidP="00C92E41">
            <w:pPr>
              <w:numPr>
                <w:ilvl w:val="0"/>
                <w:numId w:val="28"/>
              </w:numPr>
              <w:tabs>
                <w:tab w:val="num" w:pos="317"/>
              </w:tabs>
              <w:autoSpaceDE w:val="0"/>
              <w:autoSpaceDN w:val="0"/>
              <w:adjustRightInd w:val="0"/>
              <w:ind w:left="317" w:hanging="284"/>
              <w:jc w:val="both"/>
              <w:rPr>
                <w:rFonts w:cs="Arial"/>
                <w:szCs w:val="20"/>
              </w:rPr>
            </w:pPr>
            <w:r w:rsidRPr="00277C14">
              <w:rPr>
                <w:rFonts w:cs="Arial"/>
                <w:szCs w:val="20"/>
              </w:rPr>
              <w:t>Armenia</w:t>
            </w:r>
          </w:p>
        </w:tc>
        <w:tc>
          <w:tcPr>
            <w:tcW w:w="3115" w:type="dxa"/>
            <w:shd w:val="clear" w:color="auto" w:fill="auto"/>
          </w:tcPr>
          <w:p w14:paraId="08DBE408" w14:textId="77777777" w:rsidR="00277C14" w:rsidRPr="00277C14" w:rsidRDefault="00277C14" w:rsidP="00C92E41">
            <w:pPr>
              <w:numPr>
                <w:ilvl w:val="1"/>
                <w:numId w:val="27"/>
              </w:numPr>
              <w:tabs>
                <w:tab w:val="clear" w:pos="1440"/>
              </w:tabs>
              <w:autoSpaceDE w:val="0"/>
              <w:autoSpaceDN w:val="0"/>
              <w:adjustRightInd w:val="0"/>
              <w:ind w:left="67" w:hanging="67"/>
              <w:jc w:val="both"/>
              <w:rPr>
                <w:rFonts w:cs="Arial"/>
                <w:szCs w:val="20"/>
              </w:rPr>
            </w:pPr>
            <w:r w:rsidRPr="00277C14">
              <w:rPr>
                <w:rFonts w:cs="Arial"/>
                <w:szCs w:val="20"/>
              </w:rPr>
              <w:t xml:space="preserve"> Azerbaijan</w:t>
            </w:r>
          </w:p>
        </w:tc>
      </w:tr>
      <w:tr w:rsidR="00277C14" w:rsidRPr="00277C14" w14:paraId="6BF0D840" w14:textId="77777777" w:rsidTr="00277C14">
        <w:trPr>
          <w:trHeight w:val="173"/>
          <w:jc w:val="center"/>
        </w:trPr>
        <w:tc>
          <w:tcPr>
            <w:tcW w:w="3544" w:type="dxa"/>
            <w:shd w:val="clear" w:color="auto" w:fill="auto"/>
          </w:tcPr>
          <w:p w14:paraId="651B4C3B" w14:textId="77777777" w:rsidR="00277C14" w:rsidRPr="00277C14" w:rsidRDefault="00277C14" w:rsidP="00C92E41">
            <w:pPr>
              <w:numPr>
                <w:ilvl w:val="0"/>
                <w:numId w:val="28"/>
              </w:numPr>
              <w:tabs>
                <w:tab w:val="num" w:pos="317"/>
              </w:tabs>
              <w:autoSpaceDE w:val="0"/>
              <w:autoSpaceDN w:val="0"/>
              <w:adjustRightInd w:val="0"/>
              <w:ind w:left="317" w:hanging="284"/>
              <w:jc w:val="both"/>
              <w:rPr>
                <w:rFonts w:cs="Arial"/>
                <w:szCs w:val="20"/>
              </w:rPr>
            </w:pPr>
            <w:r w:rsidRPr="00277C14">
              <w:rPr>
                <w:rFonts w:cs="Arial"/>
                <w:szCs w:val="20"/>
              </w:rPr>
              <w:t>Bosnia and Herzegovina</w:t>
            </w:r>
          </w:p>
        </w:tc>
        <w:tc>
          <w:tcPr>
            <w:tcW w:w="3115" w:type="dxa"/>
            <w:shd w:val="clear" w:color="auto" w:fill="auto"/>
          </w:tcPr>
          <w:p w14:paraId="634868FF" w14:textId="77777777" w:rsidR="00277C14" w:rsidRPr="00277C14" w:rsidRDefault="00277C14" w:rsidP="00C92E41">
            <w:pPr>
              <w:numPr>
                <w:ilvl w:val="1"/>
                <w:numId w:val="27"/>
              </w:numPr>
              <w:tabs>
                <w:tab w:val="clear" w:pos="1440"/>
              </w:tabs>
              <w:autoSpaceDE w:val="0"/>
              <w:autoSpaceDN w:val="0"/>
              <w:adjustRightInd w:val="0"/>
              <w:ind w:left="67" w:hanging="67"/>
              <w:jc w:val="both"/>
              <w:rPr>
                <w:rFonts w:cs="Arial"/>
                <w:szCs w:val="20"/>
              </w:rPr>
            </w:pPr>
            <w:r w:rsidRPr="00277C14">
              <w:rPr>
                <w:rFonts w:cs="Arial"/>
                <w:szCs w:val="20"/>
              </w:rPr>
              <w:t xml:space="preserve"> Bulgaria</w:t>
            </w:r>
          </w:p>
        </w:tc>
      </w:tr>
      <w:tr w:rsidR="00277C14" w:rsidRPr="00277C14" w14:paraId="35ACB53F" w14:textId="77777777" w:rsidTr="00277C14">
        <w:trPr>
          <w:trHeight w:val="173"/>
          <w:jc w:val="center"/>
        </w:trPr>
        <w:tc>
          <w:tcPr>
            <w:tcW w:w="3544" w:type="dxa"/>
            <w:shd w:val="clear" w:color="auto" w:fill="auto"/>
          </w:tcPr>
          <w:p w14:paraId="11A4F262" w14:textId="77777777" w:rsidR="00277C14" w:rsidRPr="00277C14" w:rsidRDefault="00277C14" w:rsidP="00C92E41">
            <w:pPr>
              <w:numPr>
                <w:ilvl w:val="0"/>
                <w:numId w:val="28"/>
              </w:numPr>
              <w:tabs>
                <w:tab w:val="num" w:pos="317"/>
              </w:tabs>
              <w:autoSpaceDE w:val="0"/>
              <w:autoSpaceDN w:val="0"/>
              <w:adjustRightInd w:val="0"/>
              <w:ind w:left="317" w:hanging="284"/>
              <w:jc w:val="both"/>
              <w:rPr>
                <w:rFonts w:cs="Arial"/>
                <w:szCs w:val="20"/>
              </w:rPr>
            </w:pPr>
            <w:r w:rsidRPr="00277C14">
              <w:rPr>
                <w:rFonts w:cs="Arial"/>
                <w:szCs w:val="20"/>
              </w:rPr>
              <w:t xml:space="preserve">Croatia </w:t>
            </w:r>
          </w:p>
        </w:tc>
        <w:tc>
          <w:tcPr>
            <w:tcW w:w="3115" w:type="dxa"/>
            <w:shd w:val="clear" w:color="auto" w:fill="auto"/>
          </w:tcPr>
          <w:p w14:paraId="7FF35910" w14:textId="77777777" w:rsidR="00277C14" w:rsidRPr="00277C14" w:rsidRDefault="00277C14" w:rsidP="00C92E41">
            <w:pPr>
              <w:numPr>
                <w:ilvl w:val="1"/>
                <w:numId w:val="27"/>
              </w:numPr>
              <w:tabs>
                <w:tab w:val="clear" w:pos="1440"/>
              </w:tabs>
              <w:autoSpaceDE w:val="0"/>
              <w:autoSpaceDN w:val="0"/>
              <w:adjustRightInd w:val="0"/>
              <w:ind w:left="67" w:hanging="67"/>
              <w:jc w:val="both"/>
              <w:rPr>
                <w:rFonts w:cs="Arial"/>
                <w:szCs w:val="20"/>
              </w:rPr>
            </w:pPr>
            <w:r w:rsidRPr="00277C14">
              <w:rPr>
                <w:rFonts w:cs="Arial"/>
                <w:szCs w:val="20"/>
              </w:rPr>
              <w:t xml:space="preserve"> Cyprus</w:t>
            </w:r>
            <w:r w:rsidRPr="00277C14" w:rsidDel="006B010E">
              <w:rPr>
                <w:rFonts w:cs="Arial"/>
                <w:szCs w:val="20"/>
              </w:rPr>
              <w:t xml:space="preserve"> </w:t>
            </w:r>
          </w:p>
        </w:tc>
      </w:tr>
      <w:tr w:rsidR="00277C14" w:rsidRPr="00277C14" w14:paraId="078CB6DA" w14:textId="77777777" w:rsidTr="00277C14">
        <w:trPr>
          <w:jc w:val="center"/>
        </w:trPr>
        <w:tc>
          <w:tcPr>
            <w:tcW w:w="3544" w:type="dxa"/>
            <w:shd w:val="clear" w:color="auto" w:fill="auto"/>
          </w:tcPr>
          <w:p w14:paraId="3DB2043C" w14:textId="7CE10AF5" w:rsidR="00277C14" w:rsidRPr="00277C14" w:rsidRDefault="00277C14" w:rsidP="00C92E41">
            <w:pPr>
              <w:numPr>
                <w:ilvl w:val="0"/>
                <w:numId w:val="28"/>
              </w:numPr>
              <w:tabs>
                <w:tab w:val="num" w:pos="317"/>
              </w:tabs>
              <w:autoSpaceDE w:val="0"/>
              <w:autoSpaceDN w:val="0"/>
              <w:adjustRightInd w:val="0"/>
              <w:ind w:left="317" w:hanging="284"/>
              <w:jc w:val="both"/>
              <w:rPr>
                <w:rFonts w:cs="Arial"/>
                <w:szCs w:val="20"/>
              </w:rPr>
            </w:pPr>
            <w:r w:rsidRPr="00277C14">
              <w:rPr>
                <w:rFonts w:cs="Arial"/>
                <w:szCs w:val="20"/>
              </w:rPr>
              <w:t xml:space="preserve">Czech Republic </w:t>
            </w:r>
          </w:p>
        </w:tc>
        <w:tc>
          <w:tcPr>
            <w:tcW w:w="3115" w:type="dxa"/>
            <w:shd w:val="clear" w:color="auto" w:fill="auto"/>
          </w:tcPr>
          <w:p w14:paraId="71593D2C" w14:textId="77777777" w:rsidR="00277C14" w:rsidRPr="00277C14" w:rsidRDefault="00277C14" w:rsidP="00C92E41">
            <w:pPr>
              <w:numPr>
                <w:ilvl w:val="1"/>
                <w:numId w:val="27"/>
              </w:numPr>
              <w:tabs>
                <w:tab w:val="clear" w:pos="1440"/>
              </w:tabs>
              <w:autoSpaceDE w:val="0"/>
              <w:autoSpaceDN w:val="0"/>
              <w:adjustRightInd w:val="0"/>
              <w:ind w:left="67" w:hanging="67"/>
              <w:jc w:val="both"/>
              <w:rPr>
                <w:rFonts w:cs="Arial"/>
                <w:szCs w:val="20"/>
              </w:rPr>
            </w:pPr>
            <w:r w:rsidRPr="00277C14">
              <w:rPr>
                <w:rFonts w:cs="Arial"/>
                <w:szCs w:val="20"/>
              </w:rPr>
              <w:t xml:space="preserve"> Estonia</w:t>
            </w:r>
            <w:r w:rsidRPr="00277C14" w:rsidDel="006B010E">
              <w:rPr>
                <w:rFonts w:cs="Arial"/>
                <w:szCs w:val="20"/>
              </w:rPr>
              <w:t xml:space="preserve"> </w:t>
            </w:r>
          </w:p>
        </w:tc>
      </w:tr>
      <w:tr w:rsidR="00277C14" w:rsidRPr="00277C14" w14:paraId="148DAF73" w14:textId="77777777" w:rsidTr="00277C14">
        <w:trPr>
          <w:jc w:val="center"/>
        </w:trPr>
        <w:tc>
          <w:tcPr>
            <w:tcW w:w="3544" w:type="dxa"/>
            <w:shd w:val="clear" w:color="auto" w:fill="auto"/>
          </w:tcPr>
          <w:p w14:paraId="3C4F7208" w14:textId="77777777" w:rsidR="00277C14" w:rsidRPr="00277C14" w:rsidRDefault="00277C14" w:rsidP="00C92E41">
            <w:pPr>
              <w:numPr>
                <w:ilvl w:val="0"/>
                <w:numId w:val="28"/>
              </w:numPr>
              <w:tabs>
                <w:tab w:val="num" w:pos="317"/>
              </w:tabs>
              <w:autoSpaceDE w:val="0"/>
              <w:autoSpaceDN w:val="0"/>
              <w:adjustRightInd w:val="0"/>
              <w:ind w:left="317" w:hanging="284"/>
              <w:jc w:val="both"/>
              <w:rPr>
                <w:rFonts w:cs="Arial"/>
                <w:szCs w:val="20"/>
              </w:rPr>
            </w:pPr>
            <w:r w:rsidRPr="00277C14">
              <w:rPr>
                <w:rFonts w:cs="Arial"/>
                <w:szCs w:val="20"/>
              </w:rPr>
              <w:t xml:space="preserve">Georgia </w:t>
            </w:r>
          </w:p>
        </w:tc>
        <w:tc>
          <w:tcPr>
            <w:tcW w:w="3115" w:type="dxa"/>
            <w:shd w:val="clear" w:color="auto" w:fill="auto"/>
          </w:tcPr>
          <w:p w14:paraId="4ED67685" w14:textId="77777777" w:rsidR="00277C14" w:rsidRPr="00277C14" w:rsidRDefault="00277C14" w:rsidP="00C92E41">
            <w:pPr>
              <w:numPr>
                <w:ilvl w:val="1"/>
                <w:numId w:val="27"/>
              </w:numPr>
              <w:tabs>
                <w:tab w:val="clear" w:pos="1440"/>
              </w:tabs>
              <w:autoSpaceDE w:val="0"/>
              <w:autoSpaceDN w:val="0"/>
              <w:adjustRightInd w:val="0"/>
              <w:ind w:left="67" w:hanging="67"/>
              <w:jc w:val="both"/>
              <w:rPr>
                <w:rFonts w:cs="Arial"/>
                <w:szCs w:val="20"/>
              </w:rPr>
            </w:pPr>
            <w:r w:rsidRPr="00277C14">
              <w:rPr>
                <w:rFonts w:cs="Arial"/>
                <w:szCs w:val="20"/>
              </w:rPr>
              <w:t xml:space="preserve"> Hungary</w:t>
            </w:r>
          </w:p>
        </w:tc>
      </w:tr>
      <w:tr w:rsidR="00277C14" w:rsidRPr="00277C14" w14:paraId="52AF9386" w14:textId="77777777" w:rsidTr="00277C14">
        <w:trPr>
          <w:jc w:val="center"/>
        </w:trPr>
        <w:tc>
          <w:tcPr>
            <w:tcW w:w="3544" w:type="dxa"/>
            <w:shd w:val="clear" w:color="auto" w:fill="auto"/>
          </w:tcPr>
          <w:p w14:paraId="1A908E2B" w14:textId="77777777" w:rsidR="00277C14" w:rsidRPr="00277C14" w:rsidRDefault="00277C14" w:rsidP="00C92E41">
            <w:pPr>
              <w:numPr>
                <w:ilvl w:val="0"/>
                <w:numId w:val="28"/>
              </w:numPr>
              <w:tabs>
                <w:tab w:val="num" w:pos="317"/>
              </w:tabs>
              <w:autoSpaceDE w:val="0"/>
              <w:autoSpaceDN w:val="0"/>
              <w:adjustRightInd w:val="0"/>
              <w:ind w:left="317" w:hanging="284"/>
              <w:jc w:val="both"/>
              <w:rPr>
                <w:rFonts w:cs="Arial"/>
                <w:szCs w:val="20"/>
              </w:rPr>
            </w:pPr>
            <w:r w:rsidRPr="00277C14">
              <w:rPr>
                <w:rFonts w:cs="Arial"/>
                <w:szCs w:val="20"/>
              </w:rPr>
              <w:t xml:space="preserve">Latvia </w:t>
            </w:r>
          </w:p>
        </w:tc>
        <w:tc>
          <w:tcPr>
            <w:tcW w:w="3115" w:type="dxa"/>
            <w:shd w:val="clear" w:color="auto" w:fill="auto"/>
          </w:tcPr>
          <w:p w14:paraId="36AAD4B9" w14:textId="77777777" w:rsidR="00277C14" w:rsidRPr="00277C14" w:rsidRDefault="00277C14" w:rsidP="00C92E41">
            <w:pPr>
              <w:numPr>
                <w:ilvl w:val="1"/>
                <w:numId w:val="27"/>
              </w:numPr>
              <w:tabs>
                <w:tab w:val="clear" w:pos="1440"/>
              </w:tabs>
              <w:autoSpaceDE w:val="0"/>
              <w:autoSpaceDN w:val="0"/>
              <w:adjustRightInd w:val="0"/>
              <w:ind w:left="67" w:hanging="67"/>
              <w:jc w:val="both"/>
              <w:rPr>
                <w:rFonts w:cs="Arial"/>
                <w:szCs w:val="20"/>
              </w:rPr>
            </w:pPr>
            <w:r w:rsidRPr="00277C14">
              <w:rPr>
                <w:rFonts w:cs="Arial"/>
                <w:szCs w:val="20"/>
              </w:rPr>
              <w:t xml:space="preserve"> Liechtenstein</w:t>
            </w:r>
          </w:p>
        </w:tc>
      </w:tr>
      <w:tr w:rsidR="00277C14" w:rsidRPr="00277C14" w14:paraId="157DD54F" w14:textId="77777777" w:rsidTr="00277C14">
        <w:trPr>
          <w:jc w:val="center"/>
        </w:trPr>
        <w:tc>
          <w:tcPr>
            <w:tcW w:w="3544" w:type="dxa"/>
            <w:shd w:val="clear" w:color="auto" w:fill="auto"/>
          </w:tcPr>
          <w:p w14:paraId="34BB5F1C" w14:textId="77777777" w:rsidR="00277C14" w:rsidRPr="00277C14" w:rsidRDefault="00277C14" w:rsidP="00C92E41">
            <w:pPr>
              <w:numPr>
                <w:ilvl w:val="0"/>
                <w:numId w:val="28"/>
              </w:numPr>
              <w:tabs>
                <w:tab w:val="num" w:pos="317"/>
              </w:tabs>
              <w:autoSpaceDE w:val="0"/>
              <w:autoSpaceDN w:val="0"/>
              <w:adjustRightInd w:val="0"/>
              <w:ind w:left="317" w:hanging="284"/>
              <w:jc w:val="both"/>
              <w:rPr>
                <w:rFonts w:cs="Arial"/>
                <w:szCs w:val="20"/>
              </w:rPr>
            </w:pPr>
            <w:r w:rsidRPr="00277C14">
              <w:rPr>
                <w:rFonts w:cs="Arial"/>
                <w:szCs w:val="20"/>
              </w:rPr>
              <w:t xml:space="preserve">Lithuania </w:t>
            </w:r>
          </w:p>
        </w:tc>
        <w:tc>
          <w:tcPr>
            <w:tcW w:w="3115" w:type="dxa"/>
            <w:shd w:val="clear" w:color="auto" w:fill="auto"/>
          </w:tcPr>
          <w:p w14:paraId="133C9070" w14:textId="77777777" w:rsidR="00277C14" w:rsidRPr="00277C14" w:rsidRDefault="00277C14" w:rsidP="00C92E41">
            <w:pPr>
              <w:numPr>
                <w:ilvl w:val="1"/>
                <w:numId w:val="27"/>
              </w:numPr>
              <w:tabs>
                <w:tab w:val="clear" w:pos="1440"/>
              </w:tabs>
              <w:autoSpaceDE w:val="0"/>
              <w:autoSpaceDN w:val="0"/>
              <w:adjustRightInd w:val="0"/>
              <w:ind w:left="67" w:hanging="67"/>
              <w:jc w:val="both"/>
              <w:rPr>
                <w:rFonts w:cs="Arial"/>
                <w:szCs w:val="20"/>
              </w:rPr>
            </w:pPr>
            <w:r w:rsidRPr="00277C14">
              <w:rPr>
                <w:rFonts w:cs="Arial"/>
                <w:szCs w:val="20"/>
              </w:rPr>
              <w:t xml:space="preserve"> Malta</w:t>
            </w:r>
            <w:r w:rsidRPr="00277C14" w:rsidDel="00E849AB">
              <w:rPr>
                <w:rFonts w:cs="Arial"/>
                <w:szCs w:val="20"/>
              </w:rPr>
              <w:t xml:space="preserve"> </w:t>
            </w:r>
          </w:p>
        </w:tc>
      </w:tr>
      <w:tr w:rsidR="00277C14" w:rsidRPr="00277C14" w14:paraId="5A1F4128" w14:textId="77777777" w:rsidTr="00277C14">
        <w:trPr>
          <w:jc w:val="center"/>
        </w:trPr>
        <w:tc>
          <w:tcPr>
            <w:tcW w:w="3544" w:type="dxa"/>
            <w:shd w:val="clear" w:color="auto" w:fill="auto"/>
          </w:tcPr>
          <w:p w14:paraId="176CE928" w14:textId="77777777" w:rsidR="00277C14" w:rsidRPr="00277C14" w:rsidRDefault="00277C14" w:rsidP="00C92E41">
            <w:pPr>
              <w:numPr>
                <w:ilvl w:val="0"/>
                <w:numId w:val="28"/>
              </w:numPr>
              <w:tabs>
                <w:tab w:val="num" w:pos="317"/>
              </w:tabs>
              <w:autoSpaceDE w:val="0"/>
              <w:autoSpaceDN w:val="0"/>
              <w:adjustRightInd w:val="0"/>
              <w:ind w:left="317" w:hanging="284"/>
              <w:jc w:val="both"/>
              <w:rPr>
                <w:rFonts w:cs="Arial"/>
                <w:szCs w:val="20"/>
              </w:rPr>
            </w:pPr>
            <w:r w:rsidRPr="00277C14">
              <w:rPr>
                <w:rFonts w:cs="Arial"/>
                <w:szCs w:val="20"/>
              </w:rPr>
              <w:t>Republic of Moldova</w:t>
            </w:r>
          </w:p>
        </w:tc>
        <w:tc>
          <w:tcPr>
            <w:tcW w:w="3115" w:type="dxa"/>
            <w:shd w:val="clear" w:color="auto" w:fill="auto"/>
          </w:tcPr>
          <w:p w14:paraId="48395283" w14:textId="77777777" w:rsidR="00277C14" w:rsidRPr="00277C14" w:rsidRDefault="00277C14" w:rsidP="00C92E41">
            <w:pPr>
              <w:numPr>
                <w:ilvl w:val="1"/>
                <w:numId w:val="27"/>
              </w:numPr>
              <w:tabs>
                <w:tab w:val="clear" w:pos="1440"/>
              </w:tabs>
              <w:autoSpaceDE w:val="0"/>
              <w:autoSpaceDN w:val="0"/>
              <w:adjustRightInd w:val="0"/>
              <w:ind w:left="67" w:hanging="67"/>
              <w:jc w:val="both"/>
              <w:rPr>
                <w:rFonts w:cs="Arial"/>
                <w:szCs w:val="20"/>
              </w:rPr>
            </w:pPr>
            <w:r w:rsidRPr="00277C14">
              <w:rPr>
                <w:rFonts w:cs="Arial"/>
                <w:szCs w:val="20"/>
              </w:rPr>
              <w:t xml:space="preserve"> Monaco</w:t>
            </w:r>
            <w:r w:rsidRPr="00277C14" w:rsidDel="00E849AB">
              <w:rPr>
                <w:rFonts w:cs="Arial"/>
                <w:szCs w:val="20"/>
              </w:rPr>
              <w:t xml:space="preserve"> </w:t>
            </w:r>
          </w:p>
        </w:tc>
      </w:tr>
      <w:tr w:rsidR="00277C14" w:rsidRPr="00277C14" w14:paraId="2CB3AB31" w14:textId="77777777" w:rsidTr="00277C14">
        <w:trPr>
          <w:jc w:val="center"/>
        </w:trPr>
        <w:tc>
          <w:tcPr>
            <w:tcW w:w="3544" w:type="dxa"/>
            <w:shd w:val="clear" w:color="auto" w:fill="auto"/>
          </w:tcPr>
          <w:p w14:paraId="7C138600" w14:textId="77777777" w:rsidR="00277C14" w:rsidRPr="00277C14" w:rsidRDefault="00277C14" w:rsidP="00C92E41">
            <w:pPr>
              <w:numPr>
                <w:ilvl w:val="0"/>
                <w:numId w:val="28"/>
              </w:numPr>
              <w:tabs>
                <w:tab w:val="num" w:pos="317"/>
              </w:tabs>
              <w:autoSpaceDE w:val="0"/>
              <w:autoSpaceDN w:val="0"/>
              <w:adjustRightInd w:val="0"/>
              <w:ind w:left="317" w:hanging="284"/>
              <w:jc w:val="both"/>
              <w:rPr>
                <w:rFonts w:cs="Arial"/>
                <w:szCs w:val="20"/>
              </w:rPr>
            </w:pPr>
            <w:r w:rsidRPr="00277C14">
              <w:rPr>
                <w:rFonts w:cs="Arial"/>
                <w:szCs w:val="20"/>
              </w:rPr>
              <w:t xml:space="preserve">Montenegro </w:t>
            </w:r>
          </w:p>
        </w:tc>
        <w:tc>
          <w:tcPr>
            <w:tcW w:w="3115" w:type="dxa"/>
            <w:shd w:val="clear" w:color="auto" w:fill="auto"/>
          </w:tcPr>
          <w:p w14:paraId="1408B27A" w14:textId="77777777" w:rsidR="00277C14" w:rsidRPr="00277C14" w:rsidRDefault="00277C14" w:rsidP="00C92E41">
            <w:pPr>
              <w:numPr>
                <w:ilvl w:val="1"/>
                <w:numId w:val="27"/>
              </w:numPr>
              <w:tabs>
                <w:tab w:val="clear" w:pos="1440"/>
              </w:tabs>
              <w:autoSpaceDE w:val="0"/>
              <w:autoSpaceDN w:val="0"/>
              <w:adjustRightInd w:val="0"/>
              <w:ind w:left="67" w:hanging="67"/>
              <w:jc w:val="both"/>
              <w:rPr>
                <w:rFonts w:cs="Arial"/>
                <w:szCs w:val="20"/>
              </w:rPr>
            </w:pPr>
            <w:r w:rsidRPr="00277C14">
              <w:rPr>
                <w:rFonts w:cs="Arial"/>
                <w:szCs w:val="20"/>
              </w:rPr>
              <w:t xml:space="preserve"> North Macedonia</w:t>
            </w:r>
          </w:p>
        </w:tc>
      </w:tr>
      <w:tr w:rsidR="00277C14" w:rsidRPr="00277C14" w14:paraId="33D1672F" w14:textId="77777777" w:rsidTr="00277C14">
        <w:trPr>
          <w:jc w:val="center"/>
        </w:trPr>
        <w:tc>
          <w:tcPr>
            <w:tcW w:w="3544" w:type="dxa"/>
            <w:shd w:val="clear" w:color="auto" w:fill="auto"/>
          </w:tcPr>
          <w:p w14:paraId="03BB4B79" w14:textId="77777777" w:rsidR="00277C14" w:rsidRPr="00277C14" w:rsidRDefault="00277C14" w:rsidP="00C92E41">
            <w:pPr>
              <w:numPr>
                <w:ilvl w:val="0"/>
                <w:numId w:val="28"/>
              </w:numPr>
              <w:tabs>
                <w:tab w:val="num" w:pos="317"/>
              </w:tabs>
              <w:autoSpaceDE w:val="0"/>
              <w:autoSpaceDN w:val="0"/>
              <w:adjustRightInd w:val="0"/>
              <w:ind w:left="317" w:hanging="284"/>
              <w:jc w:val="both"/>
              <w:rPr>
                <w:rFonts w:cs="Arial"/>
                <w:szCs w:val="20"/>
              </w:rPr>
            </w:pPr>
            <w:r w:rsidRPr="00277C14">
              <w:rPr>
                <w:rFonts w:cs="Arial"/>
                <w:szCs w:val="20"/>
              </w:rPr>
              <w:t>Poland</w:t>
            </w:r>
          </w:p>
        </w:tc>
        <w:tc>
          <w:tcPr>
            <w:tcW w:w="3115" w:type="dxa"/>
            <w:shd w:val="clear" w:color="auto" w:fill="auto"/>
          </w:tcPr>
          <w:p w14:paraId="434B1E2C" w14:textId="77777777" w:rsidR="00277C14" w:rsidRPr="00277C14" w:rsidRDefault="00277C14" w:rsidP="00C92E41">
            <w:pPr>
              <w:numPr>
                <w:ilvl w:val="1"/>
                <w:numId w:val="27"/>
              </w:numPr>
              <w:tabs>
                <w:tab w:val="clear" w:pos="1440"/>
              </w:tabs>
              <w:autoSpaceDE w:val="0"/>
              <w:autoSpaceDN w:val="0"/>
              <w:adjustRightInd w:val="0"/>
              <w:ind w:left="67" w:hanging="67"/>
              <w:jc w:val="both"/>
              <w:rPr>
                <w:rFonts w:cs="Arial"/>
                <w:szCs w:val="20"/>
              </w:rPr>
            </w:pPr>
            <w:r w:rsidRPr="00277C14">
              <w:rPr>
                <w:rFonts w:cs="Arial"/>
                <w:szCs w:val="20"/>
              </w:rPr>
              <w:t xml:space="preserve"> Romania</w:t>
            </w:r>
          </w:p>
        </w:tc>
      </w:tr>
      <w:tr w:rsidR="00277C14" w:rsidRPr="00277C14" w14:paraId="50E6044A" w14:textId="77777777" w:rsidTr="00277C14">
        <w:trPr>
          <w:jc w:val="center"/>
        </w:trPr>
        <w:tc>
          <w:tcPr>
            <w:tcW w:w="3544" w:type="dxa"/>
            <w:shd w:val="clear" w:color="auto" w:fill="auto"/>
          </w:tcPr>
          <w:p w14:paraId="037050D1" w14:textId="3558A799" w:rsidR="00277C14" w:rsidRPr="005844FD" w:rsidRDefault="005844FD" w:rsidP="005844FD">
            <w:pPr>
              <w:pStyle w:val="ListParagraph"/>
              <w:numPr>
                <w:ilvl w:val="1"/>
                <w:numId w:val="27"/>
              </w:numPr>
              <w:tabs>
                <w:tab w:val="clear" w:pos="1440"/>
                <w:tab w:val="num" w:pos="316"/>
              </w:tabs>
              <w:autoSpaceDE w:val="0"/>
              <w:autoSpaceDN w:val="0"/>
              <w:adjustRightInd w:val="0"/>
              <w:ind w:hanging="1408"/>
              <w:jc w:val="both"/>
              <w:rPr>
                <w:rFonts w:cs="Arial"/>
                <w:szCs w:val="20"/>
              </w:rPr>
            </w:pPr>
            <w:r w:rsidRPr="005844FD">
              <w:rPr>
                <w:rFonts w:cs="Arial"/>
                <w:szCs w:val="20"/>
              </w:rPr>
              <w:t>Serbia</w:t>
            </w:r>
          </w:p>
        </w:tc>
        <w:tc>
          <w:tcPr>
            <w:tcW w:w="3115" w:type="dxa"/>
            <w:shd w:val="clear" w:color="auto" w:fill="auto"/>
          </w:tcPr>
          <w:p w14:paraId="06D91422" w14:textId="77777777" w:rsidR="00277C14" w:rsidRPr="00277C14" w:rsidRDefault="00277C14" w:rsidP="00C92E41">
            <w:pPr>
              <w:numPr>
                <w:ilvl w:val="1"/>
                <w:numId w:val="27"/>
              </w:numPr>
              <w:tabs>
                <w:tab w:val="clear" w:pos="1440"/>
              </w:tabs>
              <w:autoSpaceDE w:val="0"/>
              <w:autoSpaceDN w:val="0"/>
              <w:adjustRightInd w:val="0"/>
              <w:ind w:left="67" w:hanging="67"/>
              <w:jc w:val="both"/>
              <w:rPr>
                <w:rFonts w:cs="Arial"/>
                <w:szCs w:val="20"/>
              </w:rPr>
            </w:pPr>
            <w:r w:rsidRPr="00277C14">
              <w:rPr>
                <w:rFonts w:cs="Arial"/>
                <w:szCs w:val="20"/>
              </w:rPr>
              <w:t xml:space="preserve"> San Marino</w:t>
            </w:r>
          </w:p>
        </w:tc>
      </w:tr>
      <w:tr w:rsidR="00277C14" w:rsidRPr="00277C14" w14:paraId="26DCEB84" w14:textId="77777777" w:rsidTr="00277C14">
        <w:trPr>
          <w:jc w:val="center"/>
        </w:trPr>
        <w:tc>
          <w:tcPr>
            <w:tcW w:w="3544" w:type="dxa"/>
            <w:shd w:val="clear" w:color="auto" w:fill="auto"/>
          </w:tcPr>
          <w:p w14:paraId="233F5D9B" w14:textId="79F9E4FE" w:rsidR="00277C14" w:rsidRPr="005844FD" w:rsidRDefault="005844FD" w:rsidP="005844FD">
            <w:pPr>
              <w:pStyle w:val="ListParagraph"/>
              <w:numPr>
                <w:ilvl w:val="1"/>
                <w:numId w:val="27"/>
              </w:numPr>
              <w:tabs>
                <w:tab w:val="clear" w:pos="1440"/>
                <w:tab w:val="num" w:pos="316"/>
              </w:tabs>
              <w:autoSpaceDE w:val="0"/>
              <w:autoSpaceDN w:val="0"/>
              <w:adjustRightInd w:val="0"/>
              <w:ind w:hanging="1408"/>
              <w:jc w:val="both"/>
              <w:rPr>
                <w:rFonts w:cs="Arial"/>
                <w:szCs w:val="20"/>
              </w:rPr>
            </w:pPr>
            <w:r w:rsidRPr="005844FD">
              <w:rPr>
                <w:rFonts w:cs="Arial"/>
                <w:szCs w:val="20"/>
              </w:rPr>
              <w:t>Slovenia</w:t>
            </w:r>
          </w:p>
        </w:tc>
        <w:tc>
          <w:tcPr>
            <w:tcW w:w="3115" w:type="dxa"/>
            <w:shd w:val="clear" w:color="auto" w:fill="auto"/>
          </w:tcPr>
          <w:p w14:paraId="50F6CB2A" w14:textId="77777777" w:rsidR="00277C14" w:rsidRPr="00277C14" w:rsidRDefault="00277C14" w:rsidP="00C92E41">
            <w:pPr>
              <w:numPr>
                <w:ilvl w:val="1"/>
                <w:numId w:val="27"/>
              </w:numPr>
              <w:tabs>
                <w:tab w:val="clear" w:pos="1440"/>
              </w:tabs>
              <w:autoSpaceDE w:val="0"/>
              <w:autoSpaceDN w:val="0"/>
              <w:adjustRightInd w:val="0"/>
              <w:ind w:left="67" w:hanging="67"/>
              <w:jc w:val="both"/>
              <w:rPr>
                <w:rFonts w:cs="Arial"/>
                <w:szCs w:val="20"/>
              </w:rPr>
            </w:pPr>
            <w:r w:rsidRPr="00277C14">
              <w:rPr>
                <w:rFonts w:cs="Arial"/>
                <w:szCs w:val="20"/>
              </w:rPr>
              <w:t xml:space="preserve"> Slovak Republic</w:t>
            </w:r>
          </w:p>
        </w:tc>
      </w:tr>
      <w:tr w:rsidR="00277C14" w:rsidRPr="00277C14" w14:paraId="3243DFA4" w14:textId="77777777" w:rsidTr="00277C14">
        <w:trPr>
          <w:jc w:val="center"/>
        </w:trPr>
        <w:tc>
          <w:tcPr>
            <w:tcW w:w="3544" w:type="dxa"/>
            <w:shd w:val="clear" w:color="auto" w:fill="auto"/>
          </w:tcPr>
          <w:p w14:paraId="0443F7F4" w14:textId="33C0593B" w:rsidR="00277C14" w:rsidRPr="00277C14" w:rsidRDefault="00277C14" w:rsidP="005844FD">
            <w:pPr>
              <w:autoSpaceDE w:val="0"/>
              <w:autoSpaceDN w:val="0"/>
              <w:adjustRightInd w:val="0"/>
              <w:jc w:val="both"/>
              <w:rPr>
                <w:rFonts w:cs="Arial"/>
                <w:szCs w:val="20"/>
              </w:rPr>
            </w:pPr>
          </w:p>
        </w:tc>
        <w:tc>
          <w:tcPr>
            <w:tcW w:w="3115" w:type="dxa"/>
            <w:shd w:val="clear" w:color="auto" w:fill="auto"/>
          </w:tcPr>
          <w:p w14:paraId="3E8C0CAE" w14:textId="77777777" w:rsidR="00277C14" w:rsidRPr="00277C14" w:rsidRDefault="00277C14" w:rsidP="00C92E41">
            <w:pPr>
              <w:numPr>
                <w:ilvl w:val="1"/>
                <w:numId w:val="27"/>
              </w:numPr>
              <w:tabs>
                <w:tab w:val="clear" w:pos="1440"/>
              </w:tabs>
              <w:autoSpaceDE w:val="0"/>
              <w:autoSpaceDN w:val="0"/>
              <w:adjustRightInd w:val="0"/>
              <w:ind w:left="67" w:hanging="67"/>
              <w:jc w:val="both"/>
              <w:rPr>
                <w:rFonts w:cs="Arial"/>
                <w:szCs w:val="20"/>
              </w:rPr>
            </w:pPr>
            <w:r w:rsidRPr="00277C14">
              <w:rPr>
                <w:rFonts w:cs="Arial"/>
                <w:szCs w:val="20"/>
              </w:rPr>
              <w:t xml:space="preserve"> Ukraine</w:t>
            </w:r>
          </w:p>
          <w:p w14:paraId="1DCF3C2A" w14:textId="77777777" w:rsidR="00277C14" w:rsidRPr="00277C14" w:rsidRDefault="00277C14" w:rsidP="00277C14">
            <w:pPr>
              <w:autoSpaceDE w:val="0"/>
              <w:autoSpaceDN w:val="0"/>
              <w:adjustRightInd w:val="0"/>
              <w:ind w:left="67"/>
              <w:rPr>
                <w:rFonts w:cs="Arial"/>
                <w:szCs w:val="20"/>
              </w:rPr>
            </w:pPr>
          </w:p>
        </w:tc>
      </w:tr>
    </w:tbl>
    <w:p w14:paraId="70E75BE2" w14:textId="77777777" w:rsidR="00277C14" w:rsidRPr="00277C14" w:rsidRDefault="00277C14" w:rsidP="00C92E41">
      <w:pPr>
        <w:numPr>
          <w:ilvl w:val="0"/>
          <w:numId w:val="27"/>
        </w:numPr>
        <w:autoSpaceDE w:val="0"/>
        <w:autoSpaceDN w:val="0"/>
        <w:adjustRightInd w:val="0"/>
        <w:ind w:hanging="436"/>
        <w:jc w:val="both"/>
        <w:rPr>
          <w:rFonts w:cs="Arial"/>
          <w:szCs w:val="20"/>
        </w:rPr>
      </w:pPr>
      <w:r w:rsidRPr="00277C14">
        <w:rPr>
          <w:rFonts w:cs="Arial"/>
          <w:szCs w:val="20"/>
        </w:rPr>
        <w:t>Non-member States of the Council of Europe (Article 2.2e of the Statute):</w:t>
      </w:r>
    </w:p>
    <w:p w14:paraId="76BCEDFA" w14:textId="77777777" w:rsidR="00277C14" w:rsidRPr="00277C14" w:rsidRDefault="00277C14" w:rsidP="00277C14">
      <w:pPr>
        <w:autoSpaceDE w:val="0"/>
        <w:autoSpaceDN w:val="0"/>
        <w:adjustRightInd w:val="0"/>
        <w:ind w:left="720"/>
        <w:rPr>
          <w:rFonts w:cs="Arial"/>
          <w:szCs w:val="20"/>
        </w:rPr>
      </w:pPr>
    </w:p>
    <w:p w14:paraId="490279D8" w14:textId="24A9841B" w:rsidR="00277C14" w:rsidRPr="00277C14" w:rsidRDefault="00277C14" w:rsidP="00C92E41">
      <w:pPr>
        <w:numPr>
          <w:ilvl w:val="0"/>
          <w:numId w:val="35"/>
        </w:numPr>
        <w:autoSpaceDE w:val="0"/>
        <w:autoSpaceDN w:val="0"/>
        <w:adjustRightInd w:val="0"/>
        <w:ind w:left="1985"/>
        <w:jc w:val="both"/>
        <w:rPr>
          <w:rFonts w:cs="Arial"/>
          <w:szCs w:val="20"/>
        </w:rPr>
      </w:pPr>
      <w:r w:rsidRPr="00277C14">
        <w:rPr>
          <w:rFonts w:cs="Arial"/>
          <w:szCs w:val="20"/>
        </w:rPr>
        <w:t>Israel (a FATF member as of 2018</w:t>
      </w:r>
      <w:proofErr w:type="gramStart"/>
      <w:r w:rsidRPr="00277C14">
        <w:rPr>
          <w:rFonts w:cs="Arial"/>
          <w:szCs w:val="20"/>
        </w:rPr>
        <w:t>);</w:t>
      </w:r>
      <w:proofErr w:type="gramEnd"/>
    </w:p>
    <w:p w14:paraId="7F092E34" w14:textId="3CF48920" w:rsidR="00277C14" w:rsidRPr="00277C14" w:rsidRDefault="00277C14" w:rsidP="00C92E41">
      <w:pPr>
        <w:numPr>
          <w:ilvl w:val="0"/>
          <w:numId w:val="35"/>
        </w:numPr>
        <w:autoSpaceDE w:val="0"/>
        <w:autoSpaceDN w:val="0"/>
        <w:adjustRightInd w:val="0"/>
        <w:ind w:left="1985"/>
        <w:jc w:val="both"/>
        <w:rPr>
          <w:rFonts w:cs="Arial"/>
          <w:szCs w:val="20"/>
        </w:rPr>
      </w:pPr>
      <w:r w:rsidRPr="00277C14">
        <w:rPr>
          <w:rFonts w:cs="Arial"/>
          <w:szCs w:val="20"/>
        </w:rPr>
        <w:t xml:space="preserve">The Holy See/Vatican City State by virtue of Resolution </w:t>
      </w:r>
      <w:bookmarkStart w:id="83" w:name="_ML_000000000001_VALID"/>
      <w:r w:rsidR="00472E64" w:rsidRPr="00472E64">
        <w:rPr>
          <w:rFonts w:cs="Arial"/>
          <w:szCs w:val="20"/>
        </w:rPr>
        <w:fldChar w:fldCharType="begin"/>
      </w:r>
      <w:r w:rsidR="00472E64" w:rsidRPr="00472E64">
        <w:rPr>
          <w:rFonts w:cs="Arial"/>
          <w:szCs w:val="20"/>
        </w:rPr>
        <w:instrText xml:space="preserve"> HYPERLINK "https://search.coe.int/cm/Pages/result_details.aspx?Reference=CM/Res(2011)5" \o "Resolution on the participation of the Holy See (including the Vatican City State) in the mutual evaluation processes and procedures of the Committee of Experts on the Evaluation of Anti-Money Laundering Measures and the Financing of Terrorism (MONEYVAL) (Adopted by the Committee of Ministers on 6 April 2011 at the 1111th meeting of the Ministers' Deputies)" </w:instrText>
      </w:r>
      <w:r w:rsidR="00472E64" w:rsidRPr="00472E64">
        <w:rPr>
          <w:rFonts w:cs="Arial"/>
          <w:szCs w:val="20"/>
        </w:rPr>
        <w:fldChar w:fldCharType="separate"/>
      </w:r>
      <w:bookmarkEnd w:id="83"/>
      <w:r w:rsidR="00472E64" w:rsidRPr="00472E64">
        <w:rPr>
          <w:rStyle w:val="Hyperlink"/>
          <w:rFonts w:cs="Arial"/>
          <w:szCs w:val="20"/>
        </w:rPr>
        <w:t>CM/Res(2011)5</w:t>
      </w:r>
      <w:r w:rsidR="00472E64" w:rsidRPr="00472E64">
        <w:rPr>
          <w:rFonts w:cs="Arial"/>
          <w:szCs w:val="20"/>
        </w:rPr>
        <w:fldChar w:fldCharType="end"/>
      </w:r>
      <w:r w:rsidRPr="00277C14">
        <w:rPr>
          <w:rFonts w:cs="Arial"/>
          <w:szCs w:val="20"/>
        </w:rPr>
        <w:t>;</w:t>
      </w:r>
    </w:p>
    <w:p w14:paraId="1E3E7FD2" w14:textId="4C936CDB" w:rsidR="00277C14" w:rsidRPr="00277C14" w:rsidRDefault="00277C14" w:rsidP="00C92E41">
      <w:pPr>
        <w:numPr>
          <w:ilvl w:val="0"/>
          <w:numId w:val="35"/>
        </w:numPr>
        <w:autoSpaceDE w:val="0"/>
        <w:autoSpaceDN w:val="0"/>
        <w:adjustRightInd w:val="0"/>
        <w:ind w:left="1985"/>
        <w:jc w:val="both"/>
        <w:rPr>
          <w:rFonts w:cs="Arial"/>
          <w:szCs w:val="20"/>
        </w:rPr>
      </w:pPr>
      <w:r w:rsidRPr="00277C14">
        <w:rPr>
          <w:rFonts w:cs="Arial"/>
          <w:szCs w:val="20"/>
        </w:rPr>
        <w:t xml:space="preserve">The UK Crown Dependencies of Guernsey, Jersey and the Isle of Man by virtue of Resolution </w:t>
      </w:r>
      <w:bookmarkStart w:id="84" w:name="_ML_000000000002_VALID"/>
      <w:r w:rsidR="00472E64" w:rsidRPr="00472E64">
        <w:rPr>
          <w:rFonts w:cs="Arial"/>
          <w:szCs w:val="20"/>
        </w:rPr>
        <w:fldChar w:fldCharType="begin"/>
      </w:r>
      <w:r w:rsidR="00472E64" w:rsidRPr="00472E64">
        <w:rPr>
          <w:rFonts w:cs="Arial"/>
          <w:szCs w:val="20"/>
        </w:rPr>
        <w:instrText xml:space="preserve"> HYPERLINK "https://search.coe.int/cm/Pages/result_details.aspx?Reference=CM/Res(2012)6" \o "Resolution on the participation of the Crown Dependencies of Guernsey, Jersey and the Isle of Man in the mutual evaluation processes and procedures of the Committee of Experts on the Evaluation of Anti Money Laundering Measures and the Financing of Terrorism (MONEYVAL) (Adopted by the Committee of Ministers on 10 October 2012 at the 1152nd meeting of the Ministers' Deputies)" </w:instrText>
      </w:r>
      <w:r w:rsidR="00472E64" w:rsidRPr="00472E64">
        <w:rPr>
          <w:rFonts w:cs="Arial"/>
          <w:szCs w:val="20"/>
        </w:rPr>
        <w:fldChar w:fldCharType="separate"/>
      </w:r>
      <w:bookmarkEnd w:id="84"/>
      <w:r w:rsidR="00472E64" w:rsidRPr="00472E64">
        <w:rPr>
          <w:rStyle w:val="Hyperlink"/>
          <w:rFonts w:cs="Arial"/>
          <w:szCs w:val="20"/>
        </w:rPr>
        <w:t>CM/Res(2012)6</w:t>
      </w:r>
      <w:r w:rsidR="00472E64" w:rsidRPr="00472E64">
        <w:rPr>
          <w:rFonts w:cs="Arial"/>
          <w:szCs w:val="20"/>
        </w:rPr>
        <w:fldChar w:fldCharType="end"/>
      </w:r>
      <w:r w:rsidRPr="00277C14">
        <w:rPr>
          <w:rFonts w:cs="Arial"/>
          <w:szCs w:val="20"/>
        </w:rPr>
        <w:t>;</w:t>
      </w:r>
    </w:p>
    <w:p w14:paraId="5EBA69BD" w14:textId="2EEDF5F8" w:rsidR="00277C14" w:rsidRPr="00277C14" w:rsidRDefault="00277C14" w:rsidP="00C92E41">
      <w:pPr>
        <w:numPr>
          <w:ilvl w:val="0"/>
          <w:numId w:val="35"/>
        </w:numPr>
        <w:autoSpaceDE w:val="0"/>
        <w:autoSpaceDN w:val="0"/>
        <w:adjustRightInd w:val="0"/>
        <w:ind w:left="1985"/>
        <w:jc w:val="both"/>
        <w:rPr>
          <w:rFonts w:cs="Arial"/>
          <w:szCs w:val="20"/>
        </w:rPr>
      </w:pPr>
      <w:r w:rsidRPr="00277C14">
        <w:rPr>
          <w:rFonts w:cs="Arial"/>
          <w:szCs w:val="20"/>
        </w:rPr>
        <w:t xml:space="preserve">The UK Overseas Territory of Gibraltar by virtue of Resolution </w:t>
      </w:r>
      <w:bookmarkStart w:id="85" w:name="_ML_000000000003_VALID"/>
      <w:r w:rsidR="00472E64" w:rsidRPr="00472E64">
        <w:rPr>
          <w:rFonts w:cs="Arial"/>
          <w:szCs w:val="20"/>
        </w:rPr>
        <w:fldChar w:fldCharType="begin"/>
      </w:r>
      <w:r w:rsidR="00472E64" w:rsidRPr="00472E64">
        <w:rPr>
          <w:rFonts w:cs="Arial"/>
          <w:szCs w:val="20"/>
        </w:rPr>
        <w:instrText xml:space="preserve"> HYPERLINK "https://search.coe.int/cm/Pages/result_details.aspx?Reference=CM/Res(2015)26" \o "Resolution on the evaluation of the British Overseas Territory of Gibraltar by the Committee of Experts on the Evaluation of Anti-Money Laundering Measures and the Financing of Terrorism (MONEYVAL) (Adopted by the Committee of Ministers on 14 October 2015 at the 1238th meeting of the Ministers' Deputies)" </w:instrText>
      </w:r>
      <w:r w:rsidR="00472E64" w:rsidRPr="00472E64">
        <w:rPr>
          <w:rFonts w:cs="Arial"/>
          <w:szCs w:val="20"/>
        </w:rPr>
        <w:fldChar w:fldCharType="separate"/>
      </w:r>
      <w:bookmarkEnd w:id="85"/>
      <w:r w:rsidR="00472E64" w:rsidRPr="00472E64">
        <w:rPr>
          <w:rStyle w:val="Hyperlink"/>
          <w:rFonts w:cs="Arial"/>
          <w:szCs w:val="20"/>
        </w:rPr>
        <w:t>CM/Res(2015)26</w:t>
      </w:r>
      <w:r w:rsidR="00472E64" w:rsidRPr="00472E64">
        <w:rPr>
          <w:rFonts w:cs="Arial"/>
          <w:szCs w:val="20"/>
        </w:rPr>
        <w:fldChar w:fldCharType="end"/>
      </w:r>
      <w:r w:rsidRPr="00277C14">
        <w:rPr>
          <w:rFonts w:cs="Arial"/>
          <w:szCs w:val="20"/>
        </w:rPr>
        <w:t>.</w:t>
      </w:r>
    </w:p>
    <w:p w14:paraId="30775852" w14:textId="77777777" w:rsidR="00277C14" w:rsidRPr="00277C14" w:rsidRDefault="00277C14" w:rsidP="00277C14">
      <w:pPr>
        <w:autoSpaceDE w:val="0"/>
        <w:autoSpaceDN w:val="0"/>
        <w:adjustRightInd w:val="0"/>
        <w:rPr>
          <w:rFonts w:cs="Arial"/>
          <w:szCs w:val="20"/>
        </w:rPr>
      </w:pPr>
    </w:p>
    <w:p w14:paraId="6D840167" w14:textId="1C4B4C97" w:rsidR="00277C14" w:rsidRPr="00277C14" w:rsidRDefault="00277C14" w:rsidP="00277C14">
      <w:pPr>
        <w:autoSpaceDE w:val="0"/>
        <w:autoSpaceDN w:val="0"/>
        <w:adjustRightInd w:val="0"/>
        <w:rPr>
          <w:rFonts w:cs="Arial"/>
          <w:szCs w:val="20"/>
          <w:lang w:val="en-US"/>
        </w:rPr>
      </w:pPr>
      <w:r w:rsidRPr="00277C14">
        <w:rPr>
          <w:rFonts w:cs="Arial"/>
          <w:szCs w:val="20"/>
          <w:lang w:val="en-US"/>
        </w:rPr>
        <w:t xml:space="preserve">According to Article 3, paragraph 3 of MONEYVAL’s </w:t>
      </w:r>
      <w:r w:rsidR="00D44387">
        <w:rPr>
          <w:rFonts w:cs="Arial"/>
          <w:szCs w:val="20"/>
          <w:lang w:val="en-US"/>
        </w:rPr>
        <w:t>S</w:t>
      </w:r>
      <w:r w:rsidRPr="00277C14">
        <w:rPr>
          <w:rFonts w:cs="Arial"/>
          <w:szCs w:val="20"/>
          <w:lang w:val="en-US"/>
        </w:rPr>
        <w:t>tatute, the presidency of the FATF shall appoint to the meetings of MONEYVAL two members of the FATF, for a renewable term of office of two years. By letter of the FATF President, the current nominated FATF members are Italy and Germany.</w:t>
      </w:r>
    </w:p>
    <w:p w14:paraId="7C36AE6C" w14:textId="77777777" w:rsidR="00277C14" w:rsidRPr="00277C14" w:rsidRDefault="00277C14" w:rsidP="00277C14">
      <w:pPr>
        <w:autoSpaceDE w:val="0"/>
        <w:autoSpaceDN w:val="0"/>
        <w:adjustRightInd w:val="0"/>
        <w:rPr>
          <w:rFonts w:cs="Arial"/>
          <w:szCs w:val="20"/>
          <w:lang w:val="en-US"/>
        </w:rPr>
      </w:pPr>
    </w:p>
    <w:p w14:paraId="58CE558D" w14:textId="77777777" w:rsidR="00277C14" w:rsidRPr="00277C14" w:rsidRDefault="00277C14" w:rsidP="00277C14">
      <w:pPr>
        <w:autoSpaceDE w:val="0"/>
        <w:autoSpaceDN w:val="0"/>
        <w:adjustRightInd w:val="0"/>
        <w:rPr>
          <w:rFonts w:cs="Arial"/>
          <w:szCs w:val="20"/>
          <w:lang w:val="en-US"/>
        </w:rPr>
      </w:pPr>
      <w:r w:rsidRPr="00277C14">
        <w:rPr>
          <w:rFonts w:cs="Arial"/>
          <w:szCs w:val="20"/>
          <w:lang w:val="en-US"/>
        </w:rPr>
        <w:t xml:space="preserve">In addition, the following countries, bodies, </w:t>
      </w:r>
      <w:proofErr w:type="spellStart"/>
      <w:proofErr w:type="gramStart"/>
      <w:r w:rsidRPr="00277C14">
        <w:rPr>
          <w:rFonts w:cs="Arial"/>
          <w:szCs w:val="20"/>
          <w:lang w:val="en-US"/>
        </w:rPr>
        <w:t>organisations</w:t>
      </w:r>
      <w:proofErr w:type="spellEnd"/>
      <w:proofErr w:type="gramEnd"/>
      <w:r w:rsidRPr="00277C14">
        <w:rPr>
          <w:rFonts w:cs="Arial"/>
          <w:szCs w:val="20"/>
          <w:lang w:val="en-US"/>
        </w:rPr>
        <w:t xml:space="preserve"> and institutions have observer status with MONEYVAL and are entitled to send a representative to MONEYVAL meetings: </w:t>
      </w:r>
    </w:p>
    <w:p w14:paraId="7EB4E6D9" w14:textId="77777777" w:rsidR="00277C14" w:rsidRPr="00277C14" w:rsidRDefault="00277C14" w:rsidP="003654E4">
      <w:pPr>
        <w:autoSpaceDE w:val="0"/>
        <w:autoSpaceDN w:val="0"/>
        <w:adjustRightInd w:val="0"/>
        <w:rPr>
          <w:rFonts w:cs="Arial"/>
          <w:szCs w:val="20"/>
          <w:lang w:val="en-US"/>
        </w:rPr>
      </w:pPr>
    </w:p>
    <w:p w14:paraId="7D0910DC" w14:textId="77777777" w:rsidR="00277C14" w:rsidRPr="00277C14" w:rsidRDefault="00277C14" w:rsidP="003654E4">
      <w:pPr>
        <w:numPr>
          <w:ilvl w:val="0"/>
          <w:numId w:val="29"/>
        </w:numPr>
        <w:autoSpaceDE w:val="0"/>
        <w:autoSpaceDN w:val="0"/>
        <w:adjustRightInd w:val="0"/>
        <w:ind w:left="709" w:hanging="709"/>
        <w:rPr>
          <w:rFonts w:cs="Arial"/>
          <w:szCs w:val="20"/>
        </w:rPr>
      </w:pPr>
      <w:r w:rsidRPr="00277C14">
        <w:rPr>
          <w:rFonts w:cs="Arial"/>
          <w:szCs w:val="20"/>
        </w:rPr>
        <w:t>the Parliamentary Assembly of the Council of Europe (PACE</w:t>
      </w:r>
      <w:proofErr w:type="gramStart"/>
      <w:r w:rsidRPr="00277C14">
        <w:rPr>
          <w:rFonts w:cs="Arial"/>
          <w:szCs w:val="20"/>
        </w:rPr>
        <w:t>);</w:t>
      </w:r>
      <w:proofErr w:type="gramEnd"/>
    </w:p>
    <w:p w14:paraId="5FD8B5D7" w14:textId="77777777" w:rsidR="00277C14" w:rsidRPr="00277C14" w:rsidRDefault="00277C14" w:rsidP="003654E4">
      <w:pPr>
        <w:numPr>
          <w:ilvl w:val="0"/>
          <w:numId w:val="29"/>
        </w:numPr>
        <w:autoSpaceDE w:val="0"/>
        <w:autoSpaceDN w:val="0"/>
        <w:adjustRightInd w:val="0"/>
        <w:ind w:left="709" w:hanging="709"/>
        <w:rPr>
          <w:rFonts w:cs="Arial"/>
          <w:szCs w:val="20"/>
        </w:rPr>
      </w:pPr>
      <w:r w:rsidRPr="00277C14">
        <w:rPr>
          <w:rFonts w:cs="Arial"/>
          <w:szCs w:val="20"/>
        </w:rPr>
        <w:t>the Council of Europe Development Bank (CEB</w:t>
      </w:r>
      <w:proofErr w:type="gramStart"/>
      <w:r w:rsidRPr="00277C14">
        <w:rPr>
          <w:rFonts w:cs="Arial"/>
          <w:szCs w:val="20"/>
        </w:rPr>
        <w:t>);</w:t>
      </w:r>
      <w:proofErr w:type="gramEnd"/>
    </w:p>
    <w:p w14:paraId="17C4E4EE" w14:textId="77777777" w:rsidR="00277C14" w:rsidRPr="00277C14" w:rsidRDefault="00277C14" w:rsidP="003654E4">
      <w:pPr>
        <w:numPr>
          <w:ilvl w:val="0"/>
          <w:numId w:val="29"/>
        </w:numPr>
        <w:autoSpaceDE w:val="0"/>
        <w:autoSpaceDN w:val="0"/>
        <w:adjustRightInd w:val="0"/>
        <w:ind w:left="709" w:hanging="709"/>
        <w:rPr>
          <w:rFonts w:cs="Arial"/>
          <w:szCs w:val="20"/>
        </w:rPr>
      </w:pPr>
      <w:r w:rsidRPr="00277C14">
        <w:rPr>
          <w:rFonts w:cs="Arial"/>
          <w:szCs w:val="20"/>
        </w:rPr>
        <w:t>the European Committee on Crime Problems (CDPC</w:t>
      </w:r>
      <w:proofErr w:type="gramStart"/>
      <w:r w:rsidRPr="00277C14">
        <w:rPr>
          <w:rFonts w:cs="Arial"/>
          <w:szCs w:val="20"/>
        </w:rPr>
        <w:t>);</w:t>
      </w:r>
      <w:proofErr w:type="gramEnd"/>
    </w:p>
    <w:p w14:paraId="778F408B" w14:textId="77777777" w:rsidR="00277C14" w:rsidRPr="00277C14" w:rsidRDefault="00277C14" w:rsidP="003654E4">
      <w:pPr>
        <w:numPr>
          <w:ilvl w:val="0"/>
          <w:numId w:val="29"/>
        </w:numPr>
        <w:autoSpaceDE w:val="0"/>
        <w:autoSpaceDN w:val="0"/>
        <w:adjustRightInd w:val="0"/>
        <w:ind w:left="709" w:hanging="709"/>
        <w:rPr>
          <w:rFonts w:cs="Arial"/>
          <w:szCs w:val="20"/>
        </w:rPr>
      </w:pPr>
      <w:r w:rsidRPr="00277C14">
        <w:rPr>
          <w:rFonts w:cs="Arial"/>
          <w:szCs w:val="20"/>
        </w:rPr>
        <w:t>the Conference of the Parties of the Convention on Laundering, Search, Seizure and Confiscation of the Proceeds from Crime and on the Financing of Terrorism (COP</w:t>
      </w:r>
      <w:proofErr w:type="gramStart"/>
      <w:r w:rsidRPr="00277C14">
        <w:rPr>
          <w:rFonts w:cs="Arial"/>
          <w:szCs w:val="20"/>
        </w:rPr>
        <w:t>);</w:t>
      </w:r>
      <w:proofErr w:type="gramEnd"/>
    </w:p>
    <w:p w14:paraId="4DAC1CA4" w14:textId="77777777" w:rsidR="00277C14" w:rsidRPr="00277C14" w:rsidRDefault="00277C14" w:rsidP="003654E4">
      <w:pPr>
        <w:numPr>
          <w:ilvl w:val="0"/>
          <w:numId w:val="29"/>
        </w:numPr>
        <w:autoSpaceDE w:val="0"/>
        <w:autoSpaceDN w:val="0"/>
        <w:adjustRightInd w:val="0"/>
        <w:ind w:left="709" w:hanging="709"/>
        <w:rPr>
          <w:rFonts w:cs="Arial"/>
          <w:szCs w:val="20"/>
        </w:rPr>
      </w:pPr>
      <w:r w:rsidRPr="00277C14">
        <w:rPr>
          <w:rFonts w:cs="Arial"/>
          <w:szCs w:val="20"/>
        </w:rPr>
        <w:t xml:space="preserve">the European Commission and the Secretariat General of the Council of the European </w:t>
      </w:r>
      <w:proofErr w:type="gramStart"/>
      <w:r w:rsidRPr="00277C14">
        <w:rPr>
          <w:rFonts w:cs="Arial"/>
          <w:szCs w:val="20"/>
        </w:rPr>
        <w:t>Union;</w:t>
      </w:r>
      <w:proofErr w:type="gramEnd"/>
    </w:p>
    <w:p w14:paraId="5ED39B10" w14:textId="77777777" w:rsidR="00277C14" w:rsidRPr="00277C14" w:rsidRDefault="00277C14" w:rsidP="003654E4">
      <w:pPr>
        <w:numPr>
          <w:ilvl w:val="0"/>
          <w:numId w:val="29"/>
        </w:numPr>
        <w:autoSpaceDE w:val="0"/>
        <w:autoSpaceDN w:val="0"/>
        <w:adjustRightInd w:val="0"/>
        <w:ind w:left="709" w:hanging="709"/>
        <w:rPr>
          <w:rFonts w:cs="Arial"/>
          <w:szCs w:val="20"/>
        </w:rPr>
      </w:pPr>
      <w:r w:rsidRPr="00277C14">
        <w:rPr>
          <w:rFonts w:cs="Arial"/>
          <w:szCs w:val="20"/>
        </w:rPr>
        <w:t>States with observer status of the Council of Europe (Canada, Japan, Mexico and the United States of America</w:t>
      </w:r>
      <w:proofErr w:type="gramStart"/>
      <w:r w:rsidRPr="00277C14">
        <w:rPr>
          <w:rFonts w:cs="Arial"/>
          <w:szCs w:val="20"/>
        </w:rPr>
        <w:t>);</w:t>
      </w:r>
      <w:proofErr w:type="gramEnd"/>
    </w:p>
    <w:p w14:paraId="76F0ACB2" w14:textId="77777777" w:rsidR="00277C14" w:rsidRPr="00277C14" w:rsidRDefault="00277C14" w:rsidP="003654E4">
      <w:pPr>
        <w:numPr>
          <w:ilvl w:val="0"/>
          <w:numId w:val="29"/>
        </w:numPr>
        <w:autoSpaceDE w:val="0"/>
        <w:autoSpaceDN w:val="0"/>
        <w:adjustRightInd w:val="0"/>
        <w:ind w:left="709" w:hanging="709"/>
        <w:rPr>
          <w:rFonts w:cs="Arial"/>
          <w:szCs w:val="20"/>
        </w:rPr>
      </w:pPr>
      <w:r w:rsidRPr="00277C14">
        <w:rPr>
          <w:rFonts w:cs="Arial"/>
          <w:szCs w:val="20"/>
        </w:rPr>
        <w:t>the Secretariat of the Financial Action Task Force (FATF</w:t>
      </w:r>
      <w:proofErr w:type="gramStart"/>
      <w:r w:rsidRPr="00277C14">
        <w:rPr>
          <w:rFonts w:cs="Arial"/>
          <w:szCs w:val="20"/>
        </w:rPr>
        <w:t>);</w:t>
      </w:r>
      <w:proofErr w:type="gramEnd"/>
    </w:p>
    <w:p w14:paraId="0A1E1A7C" w14:textId="67388A91" w:rsidR="00277C14" w:rsidRDefault="00277C14" w:rsidP="003654E4">
      <w:pPr>
        <w:numPr>
          <w:ilvl w:val="0"/>
          <w:numId w:val="29"/>
        </w:numPr>
        <w:autoSpaceDE w:val="0"/>
        <w:autoSpaceDN w:val="0"/>
        <w:adjustRightInd w:val="0"/>
        <w:ind w:left="709" w:hanging="709"/>
        <w:rPr>
          <w:rFonts w:cs="Arial"/>
          <w:szCs w:val="20"/>
        </w:rPr>
      </w:pPr>
      <w:proofErr w:type="gramStart"/>
      <w:r w:rsidRPr="00277C14">
        <w:rPr>
          <w:rFonts w:cs="Arial"/>
          <w:szCs w:val="20"/>
        </w:rPr>
        <w:t>Interpol</w:t>
      </w:r>
      <w:bookmarkStart w:id="86" w:name="MONEYVAL_map"/>
      <w:bookmarkEnd w:id="86"/>
      <w:r w:rsidRPr="00277C14">
        <w:rPr>
          <w:rFonts w:cs="Arial"/>
          <w:szCs w:val="20"/>
        </w:rPr>
        <w:t>;</w:t>
      </w:r>
      <w:proofErr w:type="gramEnd"/>
    </w:p>
    <w:p w14:paraId="7F28DD8D" w14:textId="3D391F93" w:rsidR="003D0BC2" w:rsidRPr="00277C14" w:rsidRDefault="003D0BC2" w:rsidP="003654E4">
      <w:pPr>
        <w:numPr>
          <w:ilvl w:val="0"/>
          <w:numId w:val="29"/>
        </w:numPr>
        <w:autoSpaceDE w:val="0"/>
        <w:autoSpaceDN w:val="0"/>
        <w:adjustRightInd w:val="0"/>
        <w:ind w:left="709" w:hanging="709"/>
        <w:rPr>
          <w:rFonts w:cs="Arial"/>
          <w:szCs w:val="20"/>
        </w:rPr>
      </w:pPr>
      <w:r>
        <w:rPr>
          <w:rFonts w:cs="Arial"/>
          <w:szCs w:val="20"/>
        </w:rPr>
        <w:t xml:space="preserve">the Islamic Development </w:t>
      </w:r>
      <w:proofErr w:type="gramStart"/>
      <w:r>
        <w:rPr>
          <w:rFonts w:cs="Arial"/>
          <w:szCs w:val="20"/>
        </w:rPr>
        <w:t>Bank;</w:t>
      </w:r>
      <w:proofErr w:type="gramEnd"/>
    </w:p>
    <w:p w14:paraId="3FEAB73A" w14:textId="77777777" w:rsidR="00277C14" w:rsidRPr="00277C14" w:rsidRDefault="00277C14" w:rsidP="005745B6">
      <w:pPr>
        <w:numPr>
          <w:ilvl w:val="0"/>
          <w:numId w:val="29"/>
        </w:numPr>
        <w:autoSpaceDE w:val="0"/>
        <w:autoSpaceDN w:val="0"/>
        <w:adjustRightInd w:val="0"/>
        <w:ind w:left="709" w:hanging="709"/>
        <w:jc w:val="both"/>
        <w:rPr>
          <w:rFonts w:cs="Arial"/>
          <w:szCs w:val="20"/>
        </w:rPr>
      </w:pPr>
      <w:r w:rsidRPr="00277C14">
        <w:rPr>
          <w:rFonts w:cs="Arial"/>
          <w:szCs w:val="20"/>
        </w:rPr>
        <w:t>the International Monetary Fund (IMF</w:t>
      </w:r>
      <w:proofErr w:type="gramStart"/>
      <w:r w:rsidRPr="00277C14">
        <w:rPr>
          <w:rFonts w:cs="Arial"/>
          <w:szCs w:val="20"/>
        </w:rPr>
        <w:t>);</w:t>
      </w:r>
      <w:proofErr w:type="gramEnd"/>
    </w:p>
    <w:p w14:paraId="2A83FE0B" w14:textId="77777777" w:rsidR="00277C14" w:rsidRPr="00277C14" w:rsidRDefault="00277C14" w:rsidP="005745B6">
      <w:pPr>
        <w:numPr>
          <w:ilvl w:val="0"/>
          <w:numId w:val="29"/>
        </w:numPr>
        <w:autoSpaceDE w:val="0"/>
        <w:autoSpaceDN w:val="0"/>
        <w:adjustRightInd w:val="0"/>
        <w:ind w:left="709" w:hanging="709"/>
        <w:jc w:val="both"/>
        <w:rPr>
          <w:rFonts w:cs="Arial"/>
          <w:szCs w:val="20"/>
        </w:rPr>
      </w:pPr>
      <w:r w:rsidRPr="00277C14">
        <w:rPr>
          <w:rFonts w:cs="Arial"/>
          <w:szCs w:val="20"/>
        </w:rPr>
        <w:t>the United Nations Office on Drugs and Crimes (UNODC</w:t>
      </w:r>
      <w:proofErr w:type="gramStart"/>
      <w:r w:rsidRPr="00277C14">
        <w:rPr>
          <w:rFonts w:cs="Arial"/>
          <w:szCs w:val="20"/>
        </w:rPr>
        <w:t>);</w:t>
      </w:r>
      <w:proofErr w:type="gramEnd"/>
    </w:p>
    <w:p w14:paraId="24B5BAE6" w14:textId="77777777" w:rsidR="00277C14" w:rsidRPr="00277C14" w:rsidRDefault="00277C14" w:rsidP="005745B6">
      <w:pPr>
        <w:numPr>
          <w:ilvl w:val="0"/>
          <w:numId w:val="29"/>
        </w:numPr>
        <w:autoSpaceDE w:val="0"/>
        <w:autoSpaceDN w:val="0"/>
        <w:adjustRightInd w:val="0"/>
        <w:ind w:left="709" w:hanging="709"/>
        <w:jc w:val="both"/>
        <w:rPr>
          <w:rFonts w:cs="Arial"/>
          <w:szCs w:val="20"/>
        </w:rPr>
      </w:pPr>
      <w:r w:rsidRPr="00277C14">
        <w:rPr>
          <w:rFonts w:cs="Arial"/>
          <w:szCs w:val="20"/>
        </w:rPr>
        <w:t>the United Nations Counter-Terrorism Committee (CTC</w:t>
      </w:r>
      <w:proofErr w:type="gramStart"/>
      <w:r w:rsidRPr="00277C14">
        <w:rPr>
          <w:rFonts w:cs="Arial"/>
          <w:szCs w:val="20"/>
        </w:rPr>
        <w:t>);</w:t>
      </w:r>
      <w:proofErr w:type="gramEnd"/>
    </w:p>
    <w:p w14:paraId="6ACFC74B" w14:textId="77777777" w:rsidR="00277C14" w:rsidRPr="00277C14" w:rsidRDefault="00277C14" w:rsidP="005745B6">
      <w:pPr>
        <w:numPr>
          <w:ilvl w:val="0"/>
          <w:numId w:val="29"/>
        </w:numPr>
        <w:autoSpaceDE w:val="0"/>
        <w:autoSpaceDN w:val="0"/>
        <w:adjustRightInd w:val="0"/>
        <w:ind w:left="709" w:hanging="709"/>
        <w:jc w:val="both"/>
        <w:rPr>
          <w:rFonts w:cs="Arial"/>
          <w:szCs w:val="20"/>
        </w:rPr>
      </w:pPr>
      <w:r w:rsidRPr="00277C14">
        <w:rPr>
          <w:rFonts w:cs="Arial"/>
          <w:szCs w:val="20"/>
        </w:rPr>
        <w:t xml:space="preserve">the World </w:t>
      </w:r>
      <w:proofErr w:type="gramStart"/>
      <w:r w:rsidRPr="00277C14">
        <w:rPr>
          <w:rFonts w:cs="Arial"/>
          <w:szCs w:val="20"/>
        </w:rPr>
        <w:t>Bank;</w:t>
      </w:r>
      <w:proofErr w:type="gramEnd"/>
    </w:p>
    <w:p w14:paraId="401D7BDC" w14:textId="77777777" w:rsidR="00277C14" w:rsidRPr="00277C14" w:rsidRDefault="00277C14" w:rsidP="005745B6">
      <w:pPr>
        <w:numPr>
          <w:ilvl w:val="0"/>
          <w:numId w:val="29"/>
        </w:numPr>
        <w:autoSpaceDE w:val="0"/>
        <w:autoSpaceDN w:val="0"/>
        <w:adjustRightInd w:val="0"/>
        <w:ind w:left="709" w:hanging="709"/>
        <w:jc w:val="both"/>
        <w:rPr>
          <w:rFonts w:cs="Arial"/>
          <w:szCs w:val="20"/>
        </w:rPr>
      </w:pPr>
      <w:r w:rsidRPr="00277C14">
        <w:rPr>
          <w:rFonts w:cs="Arial"/>
          <w:szCs w:val="20"/>
        </w:rPr>
        <w:t xml:space="preserve">the Commonwealth </w:t>
      </w:r>
      <w:proofErr w:type="gramStart"/>
      <w:r w:rsidRPr="00277C14">
        <w:rPr>
          <w:rFonts w:cs="Arial"/>
          <w:szCs w:val="20"/>
        </w:rPr>
        <w:t>Secretariat;</w:t>
      </w:r>
      <w:proofErr w:type="gramEnd"/>
    </w:p>
    <w:p w14:paraId="46258B40" w14:textId="77777777" w:rsidR="00277C14" w:rsidRPr="00277C14" w:rsidRDefault="00277C14" w:rsidP="005745B6">
      <w:pPr>
        <w:numPr>
          <w:ilvl w:val="0"/>
          <w:numId w:val="29"/>
        </w:numPr>
        <w:autoSpaceDE w:val="0"/>
        <w:autoSpaceDN w:val="0"/>
        <w:adjustRightInd w:val="0"/>
        <w:ind w:left="709" w:hanging="709"/>
        <w:jc w:val="both"/>
        <w:rPr>
          <w:rFonts w:cs="Arial"/>
          <w:szCs w:val="20"/>
        </w:rPr>
      </w:pPr>
      <w:r w:rsidRPr="00277C14">
        <w:rPr>
          <w:rFonts w:cs="Arial"/>
          <w:szCs w:val="20"/>
        </w:rPr>
        <w:t>the European Bank of Reconstruction and Development (EBRD</w:t>
      </w:r>
      <w:proofErr w:type="gramStart"/>
      <w:r w:rsidRPr="00277C14">
        <w:rPr>
          <w:rFonts w:cs="Arial"/>
          <w:szCs w:val="20"/>
        </w:rPr>
        <w:t>);</w:t>
      </w:r>
      <w:proofErr w:type="gramEnd"/>
    </w:p>
    <w:p w14:paraId="295BF868" w14:textId="77777777" w:rsidR="00277C14" w:rsidRPr="00277C14" w:rsidRDefault="00277C14" w:rsidP="005745B6">
      <w:pPr>
        <w:numPr>
          <w:ilvl w:val="0"/>
          <w:numId w:val="29"/>
        </w:numPr>
        <w:autoSpaceDE w:val="0"/>
        <w:autoSpaceDN w:val="0"/>
        <w:adjustRightInd w:val="0"/>
        <w:ind w:left="709" w:hanging="709"/>
        <w:jc w:val="both"/>
        <w:rPr>
          <w:rFonts w:cs="Arial"/>
          <w:szCs w:val="20"/>
        </w:rPr>
      </w:pPr>
      <w:r w:rsidRPr="00277C14">
        <w:rPr>
          <w:rFonts w:eastAsia="Times New Roman" w:cs="Arial"/>
          <w:szCs w:val="20"/>
          <w:lang w:val="en-US" w:eastAsia="en-GB"/>
        </w:rPr>
        <w:t>Group of International Finance Centre Supervisors (GIFICS</w:t>
      </w:r>
      <w:proofErr w:type="gramStart"/>
      <w:r w:rsidRPr="00277C14">
        <w:rPr>
          <w:rFonts w:eastAsia="Times New Roman" w:cs="Arial"/>
          <w:szCs w:val="20"/>
          <w:lang w:val="en-US" w:eastAsia="en-GB"/>
        </w:rPr>
        <w:t>);</w:t>
      </w:r>
      <w:proofErr w:type="gramEnd"/>
    </w:p>
    <w:p w14:paraId="485585AC" w14:textId="77777777" w:rsidR="00277C14" w:rsidRPr="00277C14" w:rsidRDefault="00277C14" w:rsidP="005745B6">
      <w:pPr>
        <w:numPr>
          <w:ilvl w:val="0"/>
          <w:numId w:val="29"/>
        </w:numPr>
        <w:autoSpaceDE w:val="0"/>
        <w:autoSpaceDN w:val="0"/>
        <w:adjustRightInd w:val="0"/>
        <w:ind w:left="709" w:hanging="709"/>
        <w:jc w:val="both"/>
        <w:rPr>
          <w:rFonts w:cs="Arial"/>
          <w:szCs w:val="20"/>
        </w:rPr>
      </w:pPr>
      <w:r w:rsidRPr="00277C14">
        <w:rPr>
          <w:rFonts w:eastAsia="Times New Roman" w:cs="Arial"/>
          <w:szCs w:val="20"/>
          <w:lang w:eastAsia="en-GB"/>
        </w:rPr>
        <w:t xml:space="preserve">the </w:t>
      </w:r>
      <w:proofErr w:type="spellStart"/>
      <w:r w:rsidRPr="00277C14">
        <w:rPr>
          <w:rFonts w:eastAsia="Times New Roman" w:cs="Arial"/>
          <w:szCs w:val="20"/>
          <w:lang w:val="en-US" w:eastAsia="en-GB"/>
        </w:rPr>
        <w:t>Organisation</w:t>
      </w:r>
      <w:proofErr w:type="spellEnd"/>
      <w:r w:rsidRPr="00277C14">
        <w:rPr>
          <w:rFonts w:eastAsia="Times New Roman" w:cs="Arial"/>
          <w:szCs w:val="20"/>
          <w:lang w:val="en-US" w:eastAsia="en-GB"/>
        </w:rPr>
        <w:t xml:space="preserve"> for Security and Co-operation in Europe (OSCE</w:t>
      </w:r>
      <w:proofErr w:type="gramStart"/>
      <w:r w:rsidRPr="00277C14">
        <w:rPr>
          <w:rFonts w:eastAsia="Times New Roman" w:cs="Arial"/>
          <w:szCs w:val="20"/>
          <w:lang w:val="en-US" w:eastAsia="en-GB"/>
        </w:rPr>
        <w:t>);</w:t>
      </w:r>
      <w:proofErr w:type="gramEnd"/>
    </w:p>
    <w:p w14:paraId="13F5F3CD" w14:textId="77777777" w:rsidR="00277C14" w:rsidRPr="00277C14" w:rsidRDefault="00277C14" w:rsidP="005745B6">
      <w:pPr>
        <w:numPr>
          <w:ilvl w:val="0"/>
          <w:numId w:val="29"/>
        </w:numPr>
        <w:autoSpaceDE w:val="0"/>
        <w:autoSpaceDN w:val="0"/>
        <w:adjustRightInd w:val="0"/>
        <w:ind w:left="709" w:hanging="709"/>
        <w:jc w:val="both"/>
        <w:rPr>
          <w:rFonts w:cs="Arial"/>
          <w:szCs w:val="20"/>
        </w:rPr>
      </w:pPr>
      <w:r w:rsidRPr="00277C14">
        <w:rPr>
          <w:rFonts w:eastAsia="Times New Roman" w:cs="Arial"/>
          <w:szCs w:val="20"/>
          <w:lang w:eastAsia="en-GB"/>
        </w:rPr>
        <w:t xml:space="preserve">the </w:t>
      </w:r>
      <w:r w:rsidRPr="00277C14">
        <w:rPr>
          <w:rFonts w:eastAsia="Times New Roman" w:cs="Arial"/>
          <w:szCs w:val="20"/>
          <w:lang w:val="en-US" w:eastAsia="en-GB"/>
        </w:rPr>
        <w:t xml:space="preserve">Egmont Group of Financial Intelligence </w:t>
      </w:r>
      <w:proofErr w:type="gramStart"/>
      <w:r w:rsidRPr="00277C14">
        <w:rPr>
          <w:rFonts w:eastAsia="Times New Roman" w:cs="Arial"/>
          <w:szCs w:val="20"/>
          <w:lang w:val="en-US" w:eastAsia="en-GB"/>
        </w:rPr>
        <w:t>Units;</w:t>
      </w:r>
      <w:proofErr w:type="gramEnd"/>
    </w:p>
    <w:p w14:paraId="5D96AA8E" w14:textId="77777777" w:rsidR="00277C14" w:rsidRPr="00277C14" w:rsidRDefault="00277C14" w:rsidP="005745B6">
      <w:pPr>
        <w:numPr>
          <w:ilvl w:val="0"/>
          <w:numId w:val="29"/>
        </w:numPr>
        <w:autoSpaceDE w:val="0"/>
        <w:autoSpaceDN w:val="0"/>
        <w:adjustRightInd w:val="0"/>
        <w:ind w:left="709" w:hanging="709"/>
        <w:jc w:val="both"/>
        <w:rPr>
          <w:rFonts w:cs="Arial"/>
          <w:szCs w:val="20"/>
        </w:rPr>
      </w:pPr>
      <w:r w:rsidRPr="00277C14">
        <w:rPr>
          <w:rFonts w:eastAsia="Times New Roman" w:cs="Arial"/>
          <w:szCs w:val="20"/>
          <w:lang w:eastAsia="en-GB"/>
        </w:rPr>
        <w:t xml:space="preserve">the </w:t>
      </w:r>
      <w:r w:rsidRPr="00277C14">
        <w:rPr>
          <w:rFonts w:eastAsia="Times New Roman" w:cs="Arial"/>
          <w:szCs w:val="20"/>
          <w:lang w:val="en-US" w:eastAsia="en-GB"/>
        </w:rPr>
        <w:t>Eurasian Group on Combating Money Laundering and Financing of Terrorism (EAG</w:t>
      </w:r>
      <w:proofErr w:type="gramStart"/>
      <w:r w:rsidRPr="00277C14">
        <w:rPr>
          <w:rFonts w:eastAsia="Times New Roman" w:cs="Arial"/>
          <w:szCs w:val="20"/>
          <w:lang w:val="en-US" w:eastAsia="en-GB"/>
        </w:rPr>
        <w:t>);</w:t>
      </w:r>
      <w:proofErr w:type="gramEnd"/>
    </w:p>
    <w:p w14:paraId="3F5351BE" w14:textId="77777777" w:rsidR="00E51C76" w:rsidRDefault="00E51C76">
      <w:pPr>
        <w:rPr>
          <w:rFonts w:cs="Arial"/>
          <w:szCs w:val="20"/>
          <w:lang w:val="en-US"/>
        </w:rPr>
      </w:pPr>
      <w:r>
        <w:rPr>
          <w:rFonts w:cs="Arial"/>
          <w:szCs w:val="20"/>
          <w:lang w:val="en-US"/>
        </w:rPr>
        <w:br w:type="page"/>
      </w:r>
    </w:p>
    <w:p w14:paraId="7819F46E" w14:textId="6A93B352" w:rsidR="00277C14" w:rsidRPr="00277C14" w:rsidRDefault="00277C14" w:rsidP="005745B6">
      <w:pPr>
        <w:numPr>
          <w:ilvl w:val="0"/>
          <w:numId w:val="29"/>
        </w:numPr>
        <w:autoSpaceDE w:val="0"/>
        <w:autoSpaceDN w:val="0"/>
        <w:adjustRightInd w:val="0"/>
        <w:ind w:left="709" w:hanging="709"/>
        <w:jc w:val="both"/>
        <w:rPr>
          <w:rFonts w:cs="Arial"/>
          <w:szCs w:val="20"/>
        </w:rPr>
      </w:pPr>
      <w:r w:rsidRPr="00277C14">
        <w:rPr>
          <w:rFonts w:cs="Arial"/>
          <w:szCs w:val="20"/>
          <w:lang w:val="en-US"/>
        </w:rPr>
        <w:lastRenderedPageBreak/>
        <w:t xml:space="preserve">any other FATF style regional body (FSRB) which is or becomes an associate member of the FATF, on the basis of </w:t>
      </w:r>
      <w:proofErr w:type="gramStart"/>
      <w:r w:rsidRPr="00277C14">
        <w:rPr>
          <w:rFonts w:cs="Arial"/>
          <w:szCs w:val="20"/>
          <w:lang w:val="en-US"/>
        </w:rPr>
        <w:t>reciprocity;</w:t>
      </w:r>
      <w:proofErr w:type="gramEnd"/>
    </w:p>
    <w:p w14:paraId="16C320EA" w14:textId="77777777" w:rsidR="00277C14" w:rsidRPr="00277C14" w:rsidRDefault="00277C14" w:rsidP="005745B6">
      <w:pPr>
        <w:numPr>
          <w:ilvl w:val="0"/>
          <w:numId w:val="29"/>
        </w:numPr>
        <w:autoSpaceDE w:val="0"/>
        <w:autoSpaceDN w:val="0"/>
        <w:adjustRightInd w:val="0"/>
        <w:ind w:left="709" w:hanging="709"/>
        <w:jc w:val="both"/>
        <w:rPr>
          <w:rFonts w:cs="Arial"/>
          <w:szCs w:val="20"/>
        </w:rPr>
      </w:pPr>
      <w:r w:rsidRPr="00277C14">
        <w:rPr>
          <w:rFonts w:cs="Arial"/>
          <w:szCs w:val="20"/>
        </w:rPr>
        <w:t>a</w:t>
      </w:r>
      <w:proofErr w:type="spellStart"/>
      <w:r w:rsidRPr="00277C14">
        <w:rPr>
          <w:rFonts w:cs="Arial"/>
          <w:szCs w:val="20"/>
          <w:lang w:val="en-US"/>
        </w:rPr>
        <w:t>ny</w:t>
      </w:r>
      <w:proofErr w:type="spellEnd"/>
      <w:r w:rsidRPr="00277C14">
        <w:rPr>
          <w:rFonts w:cs="Arial"/>
          <w:szCs w:val="20"/>
          <w:lang w:val="en-US"/>
        </w:rPr>
        <w:t xml:space="preserve"> member of the FATF.</w:t>
      </w:r>
      <w:bookmarkStart w:id="87" w:name="_Toc379211902"/>
    </w:p>
    <w:p w14:paraId="2C9782AC" w14:textId="4134A281" w:rsidR="005745B6" w:rsidRDefault="005745B6">
      <w:pPr>
        <w:rPr>
          <w:rStyle w:val="Strong"/>
          <w:rFonts w:eastAsiaTheme="minorHAnsi" w:cs="Arial"/>
          <w:szCs w:val="20"/>
          <w:lang w:val="en-US"/>
        </w:rPr>
      </w:pPr>
      <w:bookmarkStart w:id="88" w:name="_Toc66712442"/>
    </w:p>
    <w:p w14:paraId="56D27BB6" w14:textId="528EBEAA" w:rsidR="00277C14" w:rsidRDefault="00503E8C" w:rsidP="00277C14">
      <w:pPr>
        <w:pStyle w:val="Heading2"/>
        <w:rPr>
          <w:rStyle w:val="Strong"/>
          <w:rFonts w:ascii="Arial" w:eastAsiaTheme="minorHAnsi" w:hAnsi="Arial" w:cs="Arial"/>
          <w:color w:val="auto"/>
          <w:sz w:val="20"/>
          <w:szCs w:val="20"/>
          <w:lang w:val="en-US"/>
        </w:rPr>
      </w:pPr>
      <w:bookmarkStart w:id="89" w:name="_Toc135409901"/>
      <w:r>
        <w:rPr>
          <w:rStyle w:val="Strong"/>
          <w:rFonts w:ascii="Arial" w:eastAsiaTheme="minorHAnsi" w:hAnsi="Arial" w:cs="Arial"/>
          <w:color w:val="auto"/>
          <w:sz w:val="20"/>
          <w:szCs w:val="20"/>
          <w:lang w:val="en-US"/>
        </w:rPr>
        <w:t>8</w:t>
      </w:r>
      <w:r w:rsidR="005745B6">
        <w:rPr>
          <w:rStyle w:val="Strong"/>
          <w:rFonts w:ascii="Arial" w:eastAsiaTheme="minorHAnsi" w:hAnsi="Arial" w:cs="Arial"/>
          <w:color w:val="auto"/>
          <w:sz w:val="20"/>
          <w:szCs w:val="20"/>
          <w:lang w:val="en-US"/>
        </w:rPr>
        <w:t>.2.</w:t>
      </w:r>
      <w:r w:rsidR="005745B6">
        <w:rPr>
          <w:rStyle w:val="Strong"/>
          <w:rFonts w:ascii="Arial" w:eastAsiaTheme="minorHAnsi" w:hAnsi="Arial" w:cs="Arial"/>
          <w:color w:val="auto"/>
          <w:sz w:val="20"/>
          <w:szCs w:val="20"/>
          <w:lang w:val="en-US"/>
        </w:rPr>
        <w:tab/>
      </w:r>
      <w:r w:rsidR="00277C14" w:rsidRPr="005745B6">
        <w:rPr>
          <w:rStyle w:val="Strong"/>
          <w:rFonts w:ascii="Arial" w:eastAsiaTheme="minorHAnsi" w:hAnsi="Arial" w:cs="Arial"/>
          <w:color w:val="auto"/>
          <w:sz w:val="20"/>
          <w:szCs w:val="20"/>
          <w:lang w:val="en-US"/>
        </w:rPr>
        <w:t>Bureau</w:t>
      </w:r>
      <w:bookmarkEnd w:id="88"/>
      <w:bookmarkEnd w:id="89"/>
    </w:p>
    <w:p w14:paraId="6A8AFC39" w14:textId="77777777" w:rsidR="005745B6" w:rsidRPr="005745B6" w:rsidRDefault="005745B6" w:rsidP="005745B6">
      <w:pPr>
        <w:rPr>
          <w:lang w:val="en-US"/>
        </w:rPr>
      </w:pPr>
    </w:p>
    <w:p w14:paraId="63E0D2A0" w14:textId="099A04E1" w:rsidR="00277C14" w:rsidRPr="00277C14" w:rsidRDefault="00277C14" w:rsidP="00277C14">
      <w:pPr>
        <w:rPr>
          <w:rFonts w:cs="Arial"/>
          <w:szCs w:val="20"/>
        </w:rPr>
      </w:pPr>
      <w:r w:rsidRPr="00277C14">
        <w:rPr>
          <w:rFonts w:cs="Arial"/>
          <w:szCs w:val="20"/>
        </w:rPr>
        <w:t xml:space="preserve">The MONEYVAL Bureau is the key governance body of MONEYVAL, carrying </w:t>
      </w:r>
      <w:proofErr w:type="gramStart"/>
      <w:r w:rsidRPr="00277C14">
        <w:rPr>
          <w:rFonts w:cs="Arial"/>
          <w:szCs w:val="20"/>
        </w:rPr>
        <w:t>a number of</w:t>
      </w:r>
      <w:proofErr w:type="gramEnd"/>
      <w:r w:rsidRPr="00277C14">
        <w:rPr>
          <w:rFonts w:cs="Arial"/>
          <w:szCs w:val="20"/>
        </w:rPr>
        <w:t xml:space="preserve"> tasks, including assisting the Chair, supervising the preparation of Plenary meetings and ensuring continuity between meetings. The MONEYVAL Bureau is composed of a Chair, two Vice-Chairs and two other Bureau members. The Bureau members </w:t>
      </w:r>
      <w:r w:rsidR="00C43E5E">
        <w:rPr>
          <w:rFonts w:cs="Arial"/>
          <w:szCs w:val="20"/>
        </w:rPr>
        <w:t xml:space="preserve">as at the end of </w:t>
      </w:r>
      <w:r w:rsidR="005A1594">
        <w:rPr>
          <w:rFonts w:cs="Arial"/>
          <w:szCs w:val="20"/>
        </w:rPr>
        <w:t xml:space="preserve">2022 </w:t>
      </w:r>
      <w:r w:rsidR="00C43E5E">
        <w:rPr>
          <w:rFonts w:cs="Arial"/>
          <w:szCs w:val="20"/>
        </w:rPr>
        <w:t>were</w:t>
      </w:r>
      <w:r w:rsidRPr="00277C14">
        <w:rPr>
          <w:rFonts w:cs="Arial"/>
          <w:szCs w:val="20"/>
        </w:rPr>
        <w:t>:</w:t>
      </w:r>
    </w:p>
    <w:p w14:paraId="42FD3857" w14:textId="77777777" w:rsidR="00277C14" w:rsidRPr="00277C14" w:rsidRDefault="00277C14" w:rsidP="00277C14">
      <w:pPr>
        <w:rPr>
          <w:rFonts w:cs="Arial"/>
          <w:b/>
          <w:bCs/>
          <w:w w:val="105"/>
          <w:kern w:val="28"/>
          <w:szCs w:val="20"/>
          <w:lang w:eastAsia="zh-CN"/>
        </w:rPr>
      </w:pPr>
      <w:bookmarkStart w:id="90" w:name="_Toc44660209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7403"/>
      </w:tblGrid>
      <w:tr w:rsidR="00277C14" w:rsidRPr="00277C14" w14:paraId="1CCB0853" w14:textId="77777777" w:rsidTr="00277C14">
        <w:tc>
          <w:tcPr>
            <w:tcW w:w="5000" w:type="pct"/>
            <w:gridSpan w:val="2"/>
            <w:shd w:val="clear" w:color="auto" w:fill="808080"/>
          </w:tcPr>
          <w:p w14:paraId="076730E2" w14:textId="77777777" w:rsidR="00277C14" w:rsidRPr="00277C14" w:rsidRDefault="00277C14" w:rsidP="00277C14">
            <w:pPr>
              <w:rPr>
                <w:rFonts w:cs="Arial"/>
                <w:b/>
                <w:bCs/>
                <w:szCs w:val="20"/>
                <w:lang w:eastAsia="en-GB"/>
              </w:rPr>
            </w:pPr>
            <w:r w:rsidRPr="00277C14">
              <w:rPr>
                <w:rFonts w:cs="Arial"/>
                <w:b/>
                <w:bCs/>
                <w:szCs w:val="20"/>
                <w:lang w:eastAsia="en-GB"/>
              </w:rPr>
              <w:t>MONEYVAL Bureau elected for a term of two years in 2019</w:t>
            </w:r>
          </w:p>
        </w:tc>
      </w:tr>
      <w:tr w:rsidR="00277C14" w:rsidRPr="00277C14" w14:paraId="653015BD" w14:textId="77777777" w:rsidTr="00277C14">
        <w:tc>
          <w:tcPr>
            <w:tcW w:w="1122" w:type="pct"/>
            <w:tcBorders>
              <w:right w:val="nil"/>
            </w:tcBorders>
            <w:shd w:val="clear" w:color="auto" w:fill="auto"/>
          </w:tcPr>
          <w:p w14:paraId="340B10CD" w14:textId="77777777" w:rsidR="00277C14" w:rsidRPr="00277C14" w:rsidRDefault="00277C14" w:rsidP="00277C14">
            <w:pPr>
              <w:spacing w:before="120"/>
              <w:rPr>
                <w:rFonts w:eastAsia="Times New Roman" w:cs="Arial"/>
                <w:bCs/>
                <w:szCs w:val="20"/>
                <w:lang w:eastAsia="fr-FR"/>
              </w:rPr>
            </w:pPr>
            <w:r w:rsidRPr="00277C14">
              <w:rPr>
                <w:rFonts w:eastAsia="Times New Roman" w:cs="Arial"/>
                <w:bCs/>
                <w:szCs w:val="20"/>
                <w:lang w:eastAsia="fr-FR"/>
              </w:rPr>
              <w:t>Chair:</w:t>
            </w:r>
          </w:p>
        </w:tc>
        <w:tc>
          <w:tcPr>
            <w:tcW w:w="3878" w:type="pct"/>
            <w:tcBorders>
              <w:left w:val="nil"/>
            </w:tcBorders>
            <w:shd w:val="clear" w:color="auto" w:fill="auto"/>
          </w:tcPr>
          <w:p w14:paraId="2790483D" w14:textId="77777777" w:rsidR="00277C14" w:rsidRPr="00277C14" w:rsidRDefault="00277C14" w:rsidP="00277C14">
            <w:pPr>
              <w:spacing w:before="120"/>
              <w:rPr>
                <w:rFonts w:cs="Arial"/>
                <w:bCs/>
                <w:kern w:val="28"/>
                <w:szCs w:val="20"/>
                <w:lang w:eastAsia="zh-CN"/>
              </w:rPr>
            </w:pPr>
            <w:r w:rsidRPr="00277C14">
              <w:rPr>
                <w:rFonts w:cs="Arial"/>
                <w:bCs/>
                <w:kern w:val="28"/>
                <w:szCs w:val="20"/>
                <w:lang w:eastAsia="zh-CN"/>
              </w:rPr>
              <w:t xml:space="preserve">Ms </w:t>
            </w:r>
            <w:proofErr w:type="spellStart"/>
            <w:r w:rsidRPr="00277C14">
              <w:rPr>
                <w:rFonts w:cs="Arial"/>
                <w:bCs/>
                <w:kern w:val="28"/>
                <w:szCs w:val="20"/>
                <w:lang w:eastAsia="zh-CN"/>
              </w:rPr>
              <w:t>Elzbieta</w:t>
            </w:r>
            <w:proofErr w:type="spellEnd"/>
            <w:r w:rsidRPr="00277C14">
              <w:rPr>
                <w:rFonts w:cs="Arial"/>
                <w:bCs/>
                <w:kern w:val="28"/>
                <w:szCs w:val="20"/>
                <w:lang w:eastAsia="zh-CN"/>
              </w:rPr>
              <w:t xml:space="preserve"> </w:t>
            </w:r>
            <w:proofErr w:type="spellStart"/>
            <w:r w:rsidRPr="00277C14">
              <w:rPr>
                <w:rFonts w:cs="Arial"/>
                <w:bCs/>
                <w:kern w:val="28"/>
                <w:szCs w:val="20"/>
                <w:lang w:eastAsia="zh-CN"/>
              </w:rPr>
              <w:t>Frankow-Jaskiewicz</w:t>
            </w:r>
            <w:proofErr w:type="spellEnd"/>
            <w:r w:rsidRPr="00277C14">
              <w:rPr>
                <w:rFonts w:cs="Arial"/>
                <w:bCs/>
                <w:kern w:val="28"/>
                <w:szCs w:val="20"/>
                <w:lang w:eastAsia="zh-CN"/>
              </w:rPr>
              <w:t xml:space="preserve"> (Poland)</w:t>
            </w:r>
          </w:p>
        </w:tc>
      </w:tr>
      <w:tr w:rsidR="00277C14" w:rsidRPr="00277C14" w14:paraId="3D96D121" w14:textId="77777777" w:rsidTr="00277C14">
        <w:tc>
          <w:tcPr>
            <w:tcW w:w="1122" w:type="pct"/>
            <w:tcBorders>
              <w:right w:val="nil"/>
            </w:tcBorders>
            <w:shd w:val="clear" w:color="auto" w:fill="auto"/>
          </w:tcPr>
          <w:p w14:paraId="00BEDBBD" w14:textId="77777777" w:rsidR="00277C14" w:rsidRPr="00277C14" w:rsidRDefault="00277C14" w:rsidP="00277C14">
            <w:pPr>
              <w:spacing w:before="120"/>
              <w:rPr>
                <w:rFonts w:eastAsia="Times New Roman" w:cs="Arial"/>
                <w:bCs/>
                <w:szCs w:val="20"/>
                <w:lang w:eastAsia="fr-FR"/>
              </w:rPr>
            </w:pPr>
            <w:r w:rsidRPr="00277C14">
              <w:rPr>
                <w:rFonts w:eastAsia="Times New Roman" w:cs="Arial"/>
                <w:bCs/>
                <w:szCs w:val="20"/>
                <w:lang w:eastAsia="fr-FR"/>
              </w:rPr>
              <w:t>Vice-Chairs:</w:t>
            </w:r>
          </w:p>
        </w:tc>
        <w:tc>
          <w:tcPr>
            <w:tcW w:w="3878" w:type="pct"/>
            <w:tcBorders>
              <w:left w:val="nil"/>
              <w:bottom w:val="single" w:sz="4" w:space="0" w:color="auto"/>
            </w:tcBorders>
            <w:shd w:val="clear" w:color="auto" w:fill="auto"/>
          </w:tcPr>
          <w:p w14:paraId="3500A09A" w14:textId="7FF83454" w:rsidR="00277C14" w:rsidRPr="00277C14" w:rsidRDefault="00C43E5E" w:rsidP="00277C14">
            <w:pPr>
              <w:spacing w:before="120"/>
              <w:rPr>
                <w:rFonts w:cs="Arial"/>
                <w:szCs w:val="20"/>
                <w:lang w:eastAsia="zh-CN"/>
              </w:rPr>
            </w:pPr>
            <w:r>
              <w:rPr>
                <w:rFonts w:cs="Arial"/>
                <w:szCs w:val="20"/>
              </w:rPr>
              <w:t xml:space="preserve">Ms </w:t>
            </w:r>
            <w:proofErr w:type="spellStart"/>
            <w:r>
              <w:rPr>
                <w:rFonts w:cs="Arial"/>
                <w:szCs w:val="20"/>
              </w:rPr>
              <w:t>Astghik</w:t>
            </w:r>
            <w:proofErr w:type="spellEnd"/>
            <w:r>
              <w:rPr>
                <w:rFonts w:cs="Arial"/>
                <w:szCs w:val="20"/>
              </w:rPr>
              <w:t xml:space="preserve"> </w:t>
            </w:r>
            <w:proofErr w:type="spellStart"/>
            <w:r>
              <w:rPr>
                <w:rFonts w:cs="Arial"/>
                <w:szCs w:val="20"/>
              </w:rPr>
              <w:t>Karamanukyan</w:t>
            </w:r>
            <w:proofErr w:type="spellEnd"/>
            <w:r>
              <w:rPr>
                <w:rFonts w:cs="Arial"/>
                <w:szCs w:val="20"/>
              </w:rPr>
              <w:t xml:space="preserve"> (Armenia)</w:t>
            </w:r>
          </w:p>
          <w:p w14:paraId="741DFD99" w14:textId="77777777" w:rsidR="00277C14" w:rsidRPr="00277C14" w:rsidRDefault="00277C14" w:rsidP="00277C14">
            <w:pPr>
              <w:spacing w:before="120"/>
              <w:rPr>
                <w:rFonts w:cs="Arial"/>
                <w:bCs/>
                <w:kern w:val="28"/>
                <w:szCs w:val="20"/>
                <w:lang w:eastAsia="zh-CN"/>
              </w:rPr>
            </w:pPr>
            <w:r w:rsidRPr="00277C14">
              <w:rPr>
                <w:rFonts w:cs="Arial"/>
                <w:szCs w:val="20"/>
                <w:lang w:eastAsia="zh-CN"/>
              </w:rPr>
              <w:t>Mr Richard Walker (UK Crown Dependency of Guernsey</w:t>
            </w:r>
            <w:r w:rsidRPr="00277C14">
              <w:rPr>
                <w:rFonts w:cs="Arial"/>
                <w:bCs/>
                <w:kern w:val="28"/>
                <w:szCs w:val="20"/>
                <w:lang w:eastAsia="zh-CN"/>
              </w:rPr>
              <w:t>)</w:t>
            </w:r>
          </w:p>
        </w:tc>
      </w:tr>
      <w:tr w:rsidR="00277C14" w:rsidRPr="00277C14" w14:paraId="7BBB2B89" w14:textId="77777777" w:rsidTr="00277C14">
        <w:tc>
          <w:tcPr>
            <w:tcW w:w="1122" w:type="pct"/>
            <w:tcBorders>
              <w:right w:val="nil"/>
            </w:tcBorders>
            <w:shd w:val="clear" w:color="auto" w:fill="auto"/>
          </w:tcPr>
          <w:p w14:paraId="5DE1A87E" w14:textId="77777777" w:rsidR="00277C14" w:rsidRPr="00277C14" w:rsidRDefault="00277C14" w:rsidP="00277C14">
            <w:pPr>
              <w:spacing w:before="120"/>
              <w:rPr>
                <w:rFonts w:eastAsia="Times New Roman" w:cs="Arial"/>
                <w:bCs/>
                <w:szCs w:val="20"/>
                <w:lang w:eastAsia="fr-FR"/>
              </w:rPr>
            </w:pPr>
            <w:r w:rsidRPr="00277C14">
              <w:rPr>
                <w:rFonts w:eastAsia="Times New Roman" w:cs="Arial"/>
                <w:bCs/>
                <w:szCs w:val="20"/>
                <w:lang w:eastAsia="fr-FR"/>
              </w:rPr>
              <w:t>Members:</w:t>
            </w:r>
          </w:p>
        </w:tc>
        <w:tc>
          <w:tcPr>
            <w:tcW w:w="3878" w:type="pct"/>
            <w:tcBorders>
              <w:left w:val="nil"/>
              <w:bottom w:val="single" w:sz="4" w:space="0" w:color="auto"/>
            </w:tcBorders>
            <w:shd w:val="clear" w:color="auto" w:fill="auto"/>
          </w:tcPr>
          <w:p w14:paraId="3509CAE2" w14:textId="3BCB985F" w:rsidR="00277C14" w:rsidRPr="005844FD" w:rsidRDefault="00277C14" w:rsidP="005844FD">
            <w:pPr>
              <w:spacing w:before="120" w:after="120"/>
              <w:rPr>
                <w:rFonts w:eastAsia="Times New Roman" w:cs="Arial"/>
                <w:bCs/>
                <w:szCs w:val="20"/>
                <w:lang w:eastAsia="fr-FR"/>
              </w:rPr>
            </w:pPr>
            <w:r w:rsidRPr="005844FD">
              <w:rPr>
                <w:rFonts w:eastAsia="Times New Roman" w:cs="Arial"/>
                <w:bCs/>
                <w:szCs w:val="20"/>
                <w:lang w:eastAsia="fr-FR"/>
              </w:rPr>
              <w:t xml:space="preserve">Mr </w:t>
            </w:r>
            <w:proofErr w:type="spellStart"/>
            <w:r w:rsidRPr="005844FD">
              <w:rPr>
                <w:rFonts w:eastAsia="Times New Roman" w:cs="Arial"/>
                <w:bCs/>
                <w:szCs w:val="20"/>
                <w:lang w:eastAsia="fr-FR"/>
              </w:rPr>
              <w:t>Ladislav</w:t>
            </w:r>
            <w:proofErr w:type="spellEnd"/>
            <w:r w:rsidRPr="005844FD">
              <w:rPr>
                <w:rFonts w:eastAsia="Times New Roman" w:cs="Arial"/>
                <w:bCs/>
                <w:szCs w:val="20"/>
                <w:lang w:eastAsia="fr-FR"/>
              </w:rPr>
              <w:t xml:space="preserve"> </w:t>
            </w:r>
            <w:proofErr w:type="spellStart"/>
            <w:r w:rsidRPr="005844FD">
              <w:rPr>
                <w:rFonts w:eastAsia="Times New Roman" w:cs="Arial"/>
                <w:bCs/>
                <w:szCs w:val="20"/>
                <w:lang w:eastAsia="fr-FR"/>
              </w:rPr>
              <w:t>Majernik</w:t>
            </w:r>
            <w:proofErr w:type="spellEnd"/>
            <w:r w:rsidRPr="005844FD">
              <w:rPr>
                <w:rFonts w:eastAsia="Times New Roman" w:cs="Arial"/>
                <w:bCs/>
                <w:szCs w:val="20"/>
                <w:lang w:eastAsia="fr-FR"/>
              </w:rPr>
              <w:t xml:space="preserve"> (Slovak Republic)</w:t>
            </w:r>
          </w:p>
          <w:p w14:paraId="53B90329" w14:textId="77777777" w:rsidR="00277C14" w:rsidRPr="005844FD" w:rsidRDefault="00277C14" w:rsidP="00277C14">
            <w:pPr>
              <w:rPr>
                <w:rFonts w:eastAsia="Times New Roman" w:cs="Arial"/>
                <w:bCs/>
                <w:szCs w:val="20"/>
                <w:lang w:eastAsia="fr-FR"/>
              </w:rPr>
            </w:pPr>
            <w:r w:rsidRPr="005844FD">
              <w:rPr>
                <w:rFonts w:eastAsia="Times New Roman" w:cs="Arial"/>
                <w:bCs/>
                <w:szCs w:val="20"/>
                <w:lang w:eastAsia="fr-FR"/>
              </w:rPr>
              <w:t xml:space="preserve">Mr </w:t>
            </w:r>
            <w:proofErr w:type="spellStart"/>
            <w:r w:rsidRPr="005844FD">
              <w:rPr>
                <w:rFonts w:eastAsia="Times New Roman" w:cs="Arial"/>
                <w:bCs/>
                <w:szCs w:val="20"/>
                <w:lang w:eastAsia="fr-FR"/>
              </w:rPr>
              <w:t>Matis</w:t>
            </w:r>
            <w:proofErr w:type="spellEnd"/>
            <w:r w:rsidRPr="005844FD">
              <w:rPr>
                <w:rFonts w:eastAsia="Times New Roman" w:cs="Arial"/>
                <w:bCs/>
                <w:szCs w:val="20"/>
                <w:lang w:eastAsia="fr-FR"/>
              </w:rPr>
              <w:t xml:space="preserve"> </w:t>
            </w:r>
            <w:proofErr w:type="spellStart"/>
            <w:r w:rsidRPr="005844FD">
              <w:rPr>
                <w:rFonts w:eastAsia="Times New Roman" w:cs="Arial"/>
                <w:bCs/>
                <w:szCs w:val="20"/>
                <w:lang w:eastAsia="fr-FR"/>
              </w:rPr>
              <w:t>Mäeker</w:t>
            </w:r>
            <w:proofErr w:type="spellEnd"/>
            <w:r w:rsidRPr="005844FD">
              <w:rPr>
                <w:rFonts w:eastAsia="Times New Roman" w:cs="Arial"/>
                <w:bCs/>
                <w:szCs w:val="20"/>
                <w:lang w:eastAsia="fr-FR"/>
              </w:rPr>
              <w:t xml:space="preserve"> (Estonia)</w:t>
            </w:r>
          </w:p>
        </w:tc>
      </w:tr>
    </w:tbl>
    <w:p w14:paraId="371CDC1D" w14:textId="77777777" w:rsidR="005745B6" w:rsidRDefault="005745B6" w:rsidP="005745B6">
      <w:pPr>
        <w:pStyle w:val="Heading2"/>
        <w:keepLines w:val="0"/>
        <w:spacing w:before="0"/>
        <w:ind w:right="680"/>
        <w:rPr>
          <w:rStyle w:val="Strong"/>
          <w:rFonts w:ascii="Arial" w:eastAsiaTheme="minorHAnsi" w:hAnsi="Arial" w:cs="Arial"/>
          <w:color w:val="auto"/>
          <w:sz w:val="20"/>
          <w:szCs w:val="20"/>
          <w:lang w:val="en-US"/>
        </w:rPr>
      </w:pPr>
      <w:bookmarkStart w:id="91" w:name="_Toc66712443"/>
    </w:p>
    <w:p w14:paraId="56821955" w14:textId="5C78B4B0" w:rsidR="00277C14" w:rsidRDefault="00503E8C" w:rsidP="005745B6">
      <w:pPr>
        <w:pStyle w:val="Heading2"/>
        <w:keepLines w:val="0"/>
        <w:spacing w:before="0"/>
        <w:ind w:right="680"/>
        <w:rPr>
          <w:rStyle w:val="Strong"/>
          <w:rFonts w:ascii="Arial" w:eastAsiaTheme="minorHAnsi" w:hAnsi="Arial" w:cs="Arial"/>
          <w:color w:val="auto"/>
          <w:sz w:val="20"/>
          <w:szCs w:val="20"/>
          <w:lang w:val="en-US"/>
        </w:rPr>
      </w:pPr>
      <w:bookmarkStart w:id="92" w:name="_Toc135409902"/>
      <w:r>
        <w:rPr>
          <w:rStyle w:val="Strong"/>
          <w:rFonts w:ascii="Arial" w:eastAsiaTheme="minorHAnsi" w:hAnsi="Arial" w:cs="Arial"/>
          <w:color w:val="auto"/>
          <w:sz w:val="20"/>
          <w:szCs w:val="20"/>
          <w:lang w:val="en-US"/>
        </w:rPr>
        <w:t>8</w:t>
      </w:r>
      <w:r w:rsidR="005745B6">
        <w:rPr>
          <w:rStyle w:val="Strong"/>
          <w:rFonts w:ascii="Arial" w:eastAsiaTheme="minorHAnsi" w:hAnsi="Arial" w:cs="Arial"/>
          <w:color w:val="auto"/>
          <w:sz w:val="20"/>
          <w:szCs w:val="20"/>
          <w:lang w:val="en-US"/>
        </w:rPr>
        <w:t>.3.</w:t>
      </w:r>
      <w:r w:rsidR="005745B6">
        <w:rPr>
          <w:rStyle w:val="Strong"/>
          <w:rFonts w:ascii="Arial" w:eastAsiaTheme="minorHAnsi" w:hAnsi="Arial" w:cs="Arial"/>
          <w:color w:val="auto"/>
          <w:sz w:val="20"/>
          <w:szCs w:val="20"/>
          <w:lang w:val="en-US"/>
        </w:rPr>
        <w:tab/>
      </w:r>
      <w:r w:rsidR="00277C14" w:rsidRPr="005745B6">
        <w:rPr>
          <w:rStyle w:val="Strong"/>
          <w:rFonts w:ascii="Arial" w:eastAsiaTheme="minorHAnsi" w:hAnsi="Arial" w:cs="Arial"/>
          <w:color w:val="auto"/>
          <w:sz w:val="20"/>
          <w:szCs w:val="20"/>
          <w:lang w:val="en-US"/>
        </w:rPr>
        <w:t>Scientific Experts</w:t>
      </w:r>
      <w:bookmarkEnd w:id="90"/>
      <w:bookmarkEnd w:id="91"/>
      <w:bookmarkEnd w:id="92"/>
    </w:p>
    <w:p w14:paraId="5BA9425A" w14:textId="77777777" w:rsidR="005745B6" w:rsidRPr="005745B6" w:rsidRDefault="005745B6" w:rsidP="005745B6">
      <w:pPr>
        <w:rPr>
          <w:lang w:val="en-US"/>
        </w:rPr>
      </w:pPr>
    </w:p>
    <w:p w14:paraId="5812C7BD" w14:textId="36238E19" w:rsidR="00277C14" w:rsidRPr="00277C14" w:rsidRDefault="00277C14" w:rsidP="00277C14">
      <w:pPr>
        <w:rPr>
          <w:rFonts w:cs="Arial"/>
          <w:szCs w:val="20"/>
        </w:rPr>
      </w:pPr>
      <w:r w:rsidRPr="00277C14">
        <w:rPr>
          <w:rFonts w:cs="Arial"/>
          <w:szCs w:val="20"/>
        </w:rPr>
        <w:t xml:space="preserve">MONEYVAL work is supported by a panel of independent scientific experts. The role of a scientific expert is to provide neutral, experienced opinions and to assist the Chair and Secretariat in ensuring the consistency of MONEYVAL’s outputs. This includes, among others, fulfilling a quality control function for draft evaluation reports, attending all MONEYVAL Plenaries as well as enriching the debates with their experience and knowledge. </w:t>
      </w:r>
      <w:r w:rsidRPr="006E54F2">
        <w:rPr>
          <w:rFonts w:cs="Arial"/>
          <w:szCs w:val="20"/>
        </w:rPr>
        <w:t>In 202</w:t>
      </w:r>
      <w:r w:rsidR="005844FD" w:rsidRPr="006E54F2">
        <w:rPr>
          <w:rFonts w:cs="Arial"/>
          <w:szCs w:val="20"/>
        </w:rPr>
        <w:t>2</w:t>
      </w:r>
      <w:r w:rsidRPr="006E54F2">
        <w:rPr>
          <w:rFonts w:cs="Arial"/>
          <w:szCs w:val="20"/>
        </w:rPr>
        <w:t>, the scientific experts were:</w:t>
      </w:r>
      <w:r w:rsidRPr="00277C14">
        <w:rPr>
          <w:rFonts w:cs="Arial"/>
          <w:szCs w:val="20"/>
        </w:rPr>
        <w:t xml:space="preserve"> </w:t>
      </w:r>
    </w:p>
    <w:p w14:paraId="63859325" w14:textId="77777777" w:rsidR="00277C14" w:rsidRPr="00277C14" w:rsidRDefault="00277C14" w:rsidP="00277C14">
      <w:pPr>
        <w:rPr>
          <w:rFonts w:cs="Arial"/>
          <w:szCs w:val="20"/>
        </w:rPr>
      </w:pPr>
    </w:p>
    <w:tbl>
      <w:tblPr>
        <w:tblW w:w="0" w:type="auto"/>
        <w:jc w:val="center"/>
        <w:tblBorders>
          <w:top w:val="single" w:sz="12" w:space="0" w:color="000000"/>
          <w:left w:val="single" w:sz="12" w:space="0" w:color="000000"/>
          <w:bottom w:val="single" w:sz="12" w:space="0" w:color="000000"/>
          <w:right w:val="single" w:sz="12" w:space="0" w:color="000000"/>
        </w:tblBorders>
        <w:tblLook w:val="01E0" w:firstRow="1" w:lastRow="1" w:firstColumn="1" w:lastColumn="1" w:noHBand="0" w:noVBand="0"/>
      </w:tblPr>
      <w:tblGrid>
        <w:gridCol w:w="9525"/>
      </w:tblGrid>
      <w:tr w:rsidR="00277C14" w:rsidRPr="00277C14" w14:paraId="1ED78208" w14:textId="77777777" w:rsidTr="00277C14">
        <w:trPr>
          <w:cantSplit/>
          <w:jc w:val="center"/>
        </w:trPr>
        <w:tc>
          <w:tcPr>
            <w:tcW w:w="9886" w:type="dxa"/>
            <w:shd w:val="clear" w:color="auto" w:fill="808080"/>
          </w:tcPr>
          <w:p w14:paraId="166AEB74" w14:textId="77777777" w:rsidR="00277C14" w:rsidRPr="00277C14" w:rsidRDefault="00277C14" w:rsidP="00277C14">
            <w:pPr>
              <w:rPr>
                <w:rFonts w:cs="Arial"/>
                <w:b/>
                <w:bCs/>
                <w:szCs w:val="20"/>
                <w:lang w:eastAsia="en-GB"/>
              </w:rPr>
            </w:pPr>
            <w:r w:rsidRPr="00277C14">
              <w:rPr>
                <w:rFonts w:cs="Arial"/>
                <w:b/>
                <w:bCs/>
                <w:szCs w:val="20"/>
                <w:lang w:eastAsia="en-GB"/>
              </w:rPr>
              <w:t xml:space="preserve">MONEYVAL scientific experts </w:t>
            </w:r>
          </w:p>
        </w:tc>
      </w:tr>
      <w:tr w:rsidR="00277C14" w:rsidRPr="00277C14" w14:paraId="255BBB88" w14:textId="77777777" w:rsidTr="00277C14">
        <w:trPr>
          <w:cantSplit/>
          <w:jc w:val="center"/>
        </w:trPr>
        <w:tc>
          <w:tcPr>
            <w:tcW w:w="9886" w:type="dxa"/>
          </w:tcPr>
          <w:p w14:paraId="4CA42BEC" w14:textId="163DC798" w:rsidR="00277C14" w:rsidRPr="00277C14" w:rsidRDefault="00205C94" w:rsidP="00C92E41">
            <w:pPr>
              <w:numPr>
                <w:ilvl w:val="0"/>
                <w:numId w:val="30"/>
              </w:numPr>
              <w:spacing w:before="120" w:after="120"/>
              <w:jc w:val="both"/>
              <w:rPr>
                <w:rFonts w:cs="Arial"/>
                <w:szCs w:val="20"/>
                <w:lang w:eastAsia="en-GB"/>
              </w:rPr>
            </w:pPr>
            <w:r>
              <w:rPr>
                <w:rFonts w:cs="Arial"/>
                <w:szCs w:val="20"/>
                <w:shd w:val="clear" w:color="auto" w:fill="FFFFFF"/>
              </w:rPr>
              <w:t>M</w:t>
            </w:r>
            <w:r w:rsidR="00277C14" w:rsidRPr="00277C14">
              <w:rPr>
                <w:rFonts w:cs="Arial"/>
                <w:szCs w:val="20"/>
                <w:shd w:val="clear" w:color="auto" w:fill="FFFFFF"/>
              </w:rPr>
              <w:t>r Lajos Korona, Public Prosecutor in Hungary – Legal scientific expert</w:t>
            </w:r>
          </w:p>
          <w:p w14:paraId="5135CD5B" w14:textId="0FC6046A" w:rsidR="00277C14" w:rsidRPr="00277C14" w:rsidRDefault="00277C14" w:rsidP="00C92E41">
            <w:pPr>
              <w:numPr>
                <w:ilvl w:val="0"/>
                <w:numId w:val="30"/>
              </w:numPr>
              <w:spacing w:before="120" w:after="120"/>
              <w:jc w:val="both"/>
              <w:rPr>
                <w:rFonts w:cs="Arial"/>
                <w:szCs w:val="20"/>
                <w:lang w:eastAsia="en-GB"/>
              </w:rPr>
            </w:pPr>
            <w:r w:rsidRPr="00277C14">
              <w:rPr>
                <w:rFonts w:cs="Arial"/>
                <w:szCs w:val="20"/>
                <w:lang w:eastAsia="en-GB"/>
              </w:rPr>
              <w:t xml:space="preserve">Mr John </w:t>
            </w:r>
            <w:proofErr w:type="spellStart"/>
            <w:r w:rsidRPr="00277C14">
              <w:rPr>
                <w:rFonts w:cs="Arial"/>
                <w:szCs w:val="20"/>
                <w:lang w:eastAsia="en-GB"/>
              </w:rPr>
              <w:t>Ringguth</w:t>
            </w:r>
            <w:proofErr w:type="spellEnd"/>
            <w:r w:rsidRPr="00277C14">
              <w:rPr>
                <w:rFonts w:cs="Arial"/>
                <w:szCs w:val="20"/>
                <w:lang w:eastAsia="en-GB"/>
              </w:rPr>
              <w:t xml:space="preserve">, former Executive Secretary to MONEYVAL – Legal scientific expert </w:t>
            </w:r>
          </w:p>
          <w:p w14:paraId="181406FC" w14:textId="77777777" w:rsidR="00277C14" w:rsidRPr="00277C14" w:rsidRDefault="00277C14" w:rsidP="00C92E41">
            <w:pPr>
              <w:numPr>
                <w:ilvl w:val="0"/>
                <w:numId w:val="30"/>
              </w:numPr>
              <w:spacing w:before="120" w:after="120"/>
              <w:ind w:left="714" w:hanging="357"/>
              <w:jc w:val="both"/>
              <w:rPr>
                <w:rFonts w:cs="Arial"/>
                <w:szCs w:val="20"/>
                <w:lang w:eastAsia="en-GB"/>
              </w:rPr>
            </w:pPr>
            <w:r w:rsidRPr="00277C14">
              <w:rPr>
                <w:rFonts w:cs="Arial"/>
                <w:szCs w:val="20"/>
                <w:lang w:eastAsia="en-GB"/>
              </w:rPr>
              <w:t xml:space="preserve">Mr Andrew </w:t>
            </w:r>
            <w:proofErr w:type="spellStart"/>
            <w:r w:rsidRPr="00277C14">
              <w:rPr>
                <w:rFonts w:cs="Arial"/>
                <w:szCs w:val="20"/>
                <w:lang w:eastAsia="en-GB"/>
              </w:rPr>
              <w:t>Strijker</w:t>
            </w:r>
            <w:proofErr w:type="spellEnd"/>
            <w:r w:rsidRPr="00277C14">
              <w:rPr>
                <w:rFonts w:cs="Arial"/>
                <w:szCs w:val="20"/>
                <w:lang w:eastAsia="en-GB"/>
              </w:rPr>
              <w:t xml:space="preserve">, former Head of the Dutch delegation to FATF – Financial scientific expert </w:t>
            </w:r>
          </w:p>
          <w:p w14:paraId="10BE91AF" w14:textId="77777777" w:rsidR="00277C14" w:rsidRDefault="00277C14" w:rsidP="00C92E41">
            <w:pPr>
              <w:numPr>
                <w:ilvl w:val="0"/>
                <w:numId w:val="30"/>
              </w:numPr>
              <w:spacing w:before="120" w:after="120"/>
              <w:ind w:left="714" w:hanging="357"/>
              <w:jc w:val="both"/>
              <w:rPr>
                <w:rFonts w:cs="Arial"/>
                <w:szCs w:val="20"/>
                <w:lang w:eastAsia="en-GB"/>
              </w:rPr>
            </w:pPr>
            <w:r w:rsidRPr="00277C14">
              <w:rPr>
                <w:rFonts w:cs="Arial"/>
                <w:szCs w:val="20"/>
                <w:lang w:eastAsia="en-GB"/>
              </w:rPr>
              <w:t xml:space="preserve">Ms Lia </w:t>
            </w:r>
            <w:proofErr w:type="spellStart"/>
            <w:r w:rsidRPr="00277C14">
              <w:rPr>
                <w:rFonts w:cs="Arial"/>
                <w:szCs w:val="20"/>
                <w:lang w:eastAsia="en-GB"/>
              </w:rPr>
              <w:t>Umans</w:t>
            </w:r>
            <w:proofErr w:type="spellEnd"/>
            <w:r w:rsidRPr="00277C14">
              <w:rPr>
                <w:rFonts w:cs="Arial"/>
                <w:szCs w:val="20"/>
                <w:lang w:eastAsia="en-GB"/>
              </w:rPr>
              <w:t>, former member of the FATF Secretariat – Law enforcement scientific expert</w:t>
            </w:r>
          </w:p>
          <w:p w14:paraId="535CACBD" w14:textId="4FBE8502" w:rsidR="00C43E5E" w:rsidRPr="00277C14" w:rsidRDefault="00C43E5E" w:rsidP="00C92E41">
            <w:pPr>
              <w:numPr>
                <w:ilvl w:val="0"/>
                <w:numId w:val="30"/>
              </w:numPr>
              <w:spacing w:before="120" w:after="120"/>
              <w:ind w:left="714" w:hanging="357"/>
              <w:jc w:val="both"/>
              <w:rPr>
                <w:rFonts w:cs="Arial"/>
                <w:szCs w:val="20"/>
                <w:lang w:eastAsia="en-GB"/>
              </w:rPr>
            </w:pPr>
            <w:r>
              <w:rPr>
                <w:rFonts w:cs="Arial"/>
                <w:szCs w:val="20"/>
                <w:lang w:eastAsia="en-GB"/>
              </w:rPr>
              <w:t>Mr Ian Matthews, former supervisor in the UK, and former Co-chair of the FATF Evaluations and Compliance Group</w:t>
            </w:r>
            <w:r w:rsidR="00766613">
              <w:rPr>
                <w:rFonts w:cs="Arial"/>
                <w:szCs w:val="20"/>
                <w:lang w:eastAsia="en-GB"/>
              </w:rPr>
              <w:t xml:space="preserve"> - </w:t>
            </w:r>
            <w:r w:rsidR="00766613" w:rsidRPr="00277C14">
              <w:rPr>
                <w:rFonts w:cs="Arial"/>
                <w:szCs w:val="20"/>
                <w:lang w:eastAsia="en-GB"/>
              </w:rPr>
              <w:t>Financial scientific expert</w:t>
            </w:r>
          </w:p>
        </w:tc>
      </w:tr>
    </w:tbl>
    <w:p w14:paraId="6C53BA00" w14:textId="77777777" w:rsidR="005745B6" w:rsidRDefault="005745B6" w:rsidP="005745B6">
      <w:pPr>
        <w:pStyle w:val="Heading2"/>
        <w:keepLines w:val="0"/>
        <w:spacing w:before="0"/>
        <w:ind w:right="680"/>
        <w:rPr>
          <w:rStyle w:val="Strong"/>
          <w:rFonts w:ascii="Arial" w:eastAsiaTheme="minorHAnsi" w:hAnsi="Arial" w:cs="Arial"/>
          <w:color w:val="auto"/>
          <w:sz w:val="20"/>
          <w:szCs w:val="20"/>
          <w:lang w:val="en-US"/>
        </w:rPr>
      </w:pPr>
      <w:bookmarkStart w:id="93" w:name="_Toc366749258"/>
      <w:bookmarkStart w:id="94" w:name="_Toc366855509"/>
      <w:bookmarkStart w:id="95" w:name="_Toc377031080"/>
      <w:bookmarkStart w:id="96" w:name="_Toc377032379"/>
      <w:bookmarkStart w:id="97" w:name="_Toc377559676"/>
      <w:bookmarkStart w:id="98" w:name="_Toc377560103"/>
      <w:bookmarkStart w:id="99" w:name="_Toc377563768"/>
      <w:bookmarkStart w:id="100" w:name="_Toc377564053"/>
      <w:bookmarkStart w:id="101" w:name="_Toc377572011"/>
      <w:bookmarkStart w:id="102" w:name="_Toc377637336"/>
      <w:bookmarkStart w:id="103" w:name="_Toc377637639"/>
      <w:bookmarkStart w:id="104" w:name="_Toc377645264"/>
      <w:bookmarkStart w:id="105" w:name="_Toc377645567"/>
      <w:bookmarkStart w:id="106" w:name="_Toc377031081"/>
      <w:bookmarkStart w:id="107" w:name="_Toc377032380"/>
      <w:bookmarkStart w:id="108" w:name="_Toc377559677"/>
      <w:bookmarkStart w:id="109" w:name="_Toc377560104"/>
      <w:bookmarkStart w:id="110" w:name="_Toc377563769"/>
      <w:bookmarkStart w:id="111" w:name="_Toc377564054"/>
      <w:bookmarkStart w:id="112" w:name="_Toc377572012"/>
      <w:bookmarkStart w:id="113" w:name="_Toc377637337"/>
      <w:bookmarkStart w:id="114" w:name="_Toc377637640"/>
      <w:bookmarkStart w:id="115" w:name="_Toc377645265"/>
      <w:bookmarkStart w:id="116" w:name="_Toc377645568"/>
      <w:bookmarkStart w:id="117" w:name="_Toc377031083"/>
      <w:bookmarkStart w:id="118" w:name="_Toc377032382"/>
      <w:bookmarkStart w:id="119" w:name="_Toc377559679"/>
      <w:bookmarkStart w:id="120" w:name="_Toc377560106"/>
      <w:bookmarkStart w:id="121" w:name="_Toc377563771"/>
      <w:bookmarkStart w:id="122" w:name="_Toc377564056"/>
      <w:bookmarkStart w:id="123" w:name="_Toc377572014"/>
      <w:bookmarkStart w:id="124" w:name="_Toc377637339"/>
      <w:bookmarkStart w:id="125" w:name="_Toc377637642"/>
      <w:bookmarkStart w:id="126" w:name="_Toc377645267"/>
      <w:bookmarkStart w:id="127" w:name="_Toc377645570"/>
      <w:bookmarkStart w:id="128" w:name="_Toc377031091"/>
      <w:bookmarkStart w:id="129" w:name="_Toc377032390"/>
      <w:bookmarkStart w:id="130" w:name="_Toc377559687"/>
      <w:bookmarkStart w:id="131" w:name="_Toc377560114"/>
      <w:bookmarkStart w:id="132" w:name="_Toc377563779"/>
      <w:bookmarkStart w:id="133" w:name="_Toc377564064"/>
      <w:bookmarkStart w:id="134" w:name="_Toc377572022"/>
      <w:bookmarkStart w:id="135" w:name="_Toc377637347"/>
      <w:bookmarkStart w:id="136" w:name="_Toc377637650"/>
      <w:bookmarkStart w:id="137" w:name="_Toc377645275"/>
      <w:bookmarkStart w:id="138" w:name="_Toc377645578"/>
      <w:bookmarkStart w:id="139" w:name="_Toc377031093"/>
      <w:bookmarkStart w:id="140" w:name="_Toc377032392"/>
      <w:bookmarkStart w:id="141" w:name="_Toc377559689"/>
      <w:bookmarkStart w:id="142" w:name="_Toc377560116"/>
      <w:bookmarkStart w:id="143" w:name="_Toc377563781"/>
      <w:bookmarkStart w:id="144" w:name="_Toc377564066"/>
      <w:bookmarkStart w:id="145" w:name="_Toc377572024"/>
      <w:bookmarkStart w:id="146" w:name="_Toc377637349"/>
      <w:bookmarkStart w:id="147" w:name="_Toc377637652"/>
      <w:bookmarkStart w:id="148" w:name="_Toc377645277"/>
      <w:bookmarkStart w:id="149" w:name="_Toc377645580"/>
      <w:bookmarkStart w:id="150" w:name="_Toc377031094"/>
      <w:bookmarkStart w:id="151" w:name="_Toc377032393"/>
      <w:bookmarkStart w:id="152" w:name="_Toc377559690"/>
      <w:bookmarkStart w:id="153" w:name="_Toc377560117"/>
      <w:bookmarkStart w:id="154" w:name="_Toc377563782"/>
      <w:bookmarkStart w:id="155" w:name="_Toc377564067"/>
      <w:bookmarkStart w:id="156" w:name="_Toc377572025"/>
      <w:bookmarkStart w:id="157" w:name="_Toc377637350"/>
      <w:bookmarkStart w:id="158" w:name="_Toc377637653"/>
      <w:bookmarkStart w:id="159" w:name="_Toc377645278"/>
      <w:bookmarkStart w:id="160" w:name="_Toc377645581"/>
      <w:bookmarkStart w:id="161" w:name="_Toc377031095"/>
      <w:bookmarkStart w:id="162" w:name="_Toc377032394"/>
      <w:bookmarkStart w:id="163" w:name="_Toc377559691"/>
      <w:bookmarkStart w:id="164" w:name="_Toc377560118"/>
      <w:bookmarkStart w:id="165" w:name="_Toc377563783"/>
      <w:bookmarkStart w:id="166" w:name="_Toc377564068"/>
      <w:bookmarkStart w:id="167" w:name="_Toc377572026"/>
      <w:bookmarkStart w:id="168" w:name="_Toc377637351"/>
      <w:bookmarkStart w:id="169" w:name="_Toc377637654"/>
      <w:bookmarkStart w:id="170" w:name="_Toc377645279"/>
      <w:bookmarkStart w:id="171" w:name="_Toc377645582"/>
      <w:bookmarkStart w:id="172" w:name="_Toc377031097"/>
      <w:bookmarkStart w:id="173" w:name="_Toc377032396"/>
      <w:bookmarkStart w:id="174" w:name="_Toc377559693"/>
      <w:bookmarkStart w:id="175" w:name="_Toc377560120"/>
      <w:bookmarkStart w:id="176" w:name="_Toc377563785"/>
      <w:bookmarkStart w:id="177" w:name="_Toc377564070"/>
      <w:bookmarkStart w:id="178" w:name="_Toc377572028"/>
      <w:bookmarkStart w:id="179" w:name="_Toc377637353"/>
      <w:bookmarkStart w:id="180" w:name="_Toc377637656"/>
      <w:bookmarkStart w:id="181" w:name="_Toc377645281"/>
      <w:bookmarkStart w:id="182" w:name="_Toc377645584"/>
      <w:bookmarkStart w:id="183" w:name="_Toc377031099"/>
      <w:bookmarkStart w:id="184" w:name="_Toc377032398"/>
      <w:bookmarkStart w:id="185" w:name="_Toc377559695"/>
      <w:bookmarkStart w:id="186" w:name="_Toc377560122"/>
      <w:bookmarkStart w:id="187" w:name="_Toc377563787"/>
      <w:bookmarkStart w:id="188" w:name="_Toc377564072"/>
      <w:bookmarkStart w:id="189" w:name="_Toc377572030"/>
      <w:bookmarkStart w:id="190" w:name="_Toc377637355"/>
      <w:bookmarkStart w:id="191" w:name="_Toc377637658"/>
      <w:bookmarkStart w:id="192" w:name="_Toc377645283"/>
      <w:bookmarkStart w:id="193" w:name="_Toc377645586"/>
      <w:bookmarkStart w:id="194" w:name="_Toc377031101"/>
      <w:bookmarkStart w:id="195" w:name="_Toc377032400"/>
      <w:bookmarkStart w:id="196" w:name="_Toc377559697"/>
      <w:bookmarkStart w:id="197" w:name="_Toc377560124"/>
      <w:bookmarkStart w:id="198" w:name="_Toc377563789"/>
      <w:bookmarkStart w:id="199" w:name="_Toc377564074"/>
      <w:bookmarkStart w:id="200" w:name="_Toc377572032"/>
      <w:bookmarkStart w:id="201" w:name="_Toc377637357"/>
      <w:bookmarkStart w:id="202" w:name="_Toc377637660"/>
      <w:bookmarkStart w:id="203" w:name="_Toc377645285"/>
      <w:bookmarkStart w:id="204" w:name="_Toc377645588"/>
      <w:bookmarkStart w:id="205" w:name="_Toc377031102"/>
      <w:bookmarkStart w:id="206" w:name="_Toc377032401"/>
      <w:bookmarkStart w:id="207" w:name="_Toc377559698"/>
      <w:bookmarkStart w:id="208" w:name="_Toc377560125"/>
      <w:bookmarkStart w:id="209" w:name="_Toc377563790"/>
      <w:bookmarkStart w:id="210" w:name="_Toc377564075"/>
      <w:bookmarkStart w:id="211" w:name="_Toc377572033"/>
      <w:bookmarkStart w:id="212" w:name="_Toc377637358"/>
      <w:bookmarkStart w:id="213" w:name="_Toc377637661"/>
      <w:bookmarkStart w:id="214" w:name="_Toc377645286"/>
      <w:bookmarkStart w:id="215" w:name="_Toc377645589"/>
      <w:bookmarkStart w:id="216" w:name="_Toc377031103"/>
      <w:bookmarkStart w:id="217" w:name="_Toc377032402"/>
      <w:bookmarkStart w:id="218" w:name="_Toc377559699"/>
      <w:bookmarkStart w:id="219" w:name="_Toc377560126"/>
      <w:bookmarkStart w:id="220" w:name="_Toc377563791"/>
      <w:bookmarkStart w:id="221" w:name="_Toc377564076"/>
      <w:bookmarkStart w:id="222" w:name="_Toc377572034"/>
      <w:bookmarkStart w:id="223" w:name="_Toc377637359"/>
      <w:bookmarkStart w:id="224" w:name="_Toc377637662"/>
      <w:bookmarkStart w:id="225" w:name="_Toc377645287"/>
      <w:bookmarkStart w:id="226" w:name="_Toc377645590"/>
      <w:bookmarkStart w:id="227" w:name="_Toc377031105"/>
      <w:bookmarkStart w:id="228" w:name="_Toc377032404"/>
      <w:bookmarkStart w:id="229" w:name="_Toc377559701"/>
      <w:bookmarkStart w:id="230" w:name="_Toc377560128"/>
      <w:bookmarkStart w:id="231" w:name="_Toc377563793"/>
      <w:bookmarkStart w:id="232" w:name="_Toc377564078"/>
      <w:bookmarkStart w:id="233" w:name="_Toc377572036"/>
      <w:bookmarkStart w:id="234" w:name="_Toc377637361"/>
      <w:bookmarkStart w:id="235" w:name="_Toc377637664"/>
      <w:bookmarkStart w:id="236" w:name="_Toc377645289"/>
      <w:bookmarkStart w:id="237" w:name="_Toc377645592"/>
      <w:bookmarkStart w:id="238" w:name="_Toc377031107"/>
      <w:bookmarkStart w:id="239" w:name="_Toc377032406"/>
      <w:bookmarkStart w:id="240" w:name="_Toc377559703"/>
      <w:bookmarkStart w:id="241" w:name="_Toc377560130"/>
      <w:bookmarkStart w:id="242" w:name="_Toc377563795"/>
      <w:bookmarkStart w:id="243" w:name="_Toc377564080"/>
      <w:bookmarkStart w:id="244" w:name="_Toc377572038"/>
      <w:bookmarkStart w:id="245" w:name="_Toc377637363"/>
      <w:bookmarkStart w:id="246" w:name="_Toc377637666"/>
      <w:bookmarkStart w:id="247" w:name="_Toc377645291"/>
      <w:bookmarkStart w:id="248" w:name="_Toc377645594"/>
      <w:bookmarkStart w:id="249" w:name="_Toc377031109"/>
      <w:bookmarkStart w:id="250" w:name="_Toc377032408"/>
      <w:bookmarkStart w:id="251" w:name="_Toc377559705"/>
      <w:bookmarkStart w:id="252" w:name="_Toc377560132"/>
      <w:bookmarkStart w:id="253" w:name="_Toc377563797"/>
      <w:bookmarkStart w:id="254" w:name="_Toc377564082"/>
      <w:bookmarkStart w:id="255" w:name="_Toc377572040"/>
      <w:bookmarkStart w:id="256" w:name="_Toc377637365"/>
      <w:bookmarkStart w:id="257" w:name="_Toc377637668"/>
      <w:bookmarkStart w:id="258" w:name="_Toc377645293"/>
      <w:bookmarkStart w:id="259" w:name="_Toc377645596"/>
      <w:bookmarkStart w:id="260" w:name="_Toc377031111"/>
      <w:bookmarkStart w:id="261" w:name="_Toc377032410"/>
      <w:bookmarkStart w:id="262" w:name="_Toc377559707"/>
      <w:bookmarkStart w:id="263" w:name="_Toc377560134"/>
      <w:bookmarkStart w:id="264" w:name="_Toc377563799"/>
      <w:bookmarkStart w:id="265" w:name="_Toc377564084"/>
      <w:bookmarkStart w:id="266" w:name="_Toc377572042"/>
      <w:bookmarkStart w:id="267" w:name="_Toc377637367"/>
      <w:bookmarkStart w:id="268" w:name="_Toc377637670"/>
      <w:bookmarkStart w:id="269" w:name="_Toc377645295"/>
      <w:bookmarkStart w:id="270" w:name="_Toc377645598"/>
      <w:bookmarkStart w:id="271" w:name="_Toc377031112"/>
      <w:bookmarkStart w:id="272" w:name="_Toc377032411"/>
      <w:bookmarkStart w:id="273" w:name="_Toc377559708"/>
      <w:bookmarkStart w:id="274" w:name="_Toc377560135"/>
      <w:bookmarkStart w:id="275" w:name="_Toc377563800"/>
      <w:bookmarkStart w:id="276" w:name="_Toc377564085"/>
      <w:bookmarkStart w:id="277" w:name="_Toc377572043"/>
      <w:bookmarkStart w:id="278" w:name="_Toc377637368"/>
      <w:bookmarkStart w:id="279" w:name="_Toc377637671"/>
      <w:bookmarkStart w:id="280" w:name="_Toc377645296"/>
      <w:bookmarkStart w:id="281" w:name="_Toc377645599"/>
      <w:bookmarkStart w:id="282" w:name="_Toc377031114"/>
      <w:bookmarkStart w:id="283" w:name="_Toc377032413"/>
      <w:bookmarkStart w:id="284" w:name="_Toc377559710"/>
      <w:bookmarkStart w:id="285" w:name="_Toc377560137"/>
      <w:bookmarkStart w:id="286" w:name="_Toc377563802"/>
      <w:bookmarkStart w:id="287" w:name="_Toc377564087"/>
      <w:bookmarkStart w:id="288" w:name="_Toc377572045"/>
      <w:bookmarkStart w:id="289" w:name="_Toc377637370"/>
      <w:bookmarkStart w:id="290" w:name="_Toc377637673"/>
      <w:bookmarkStart w:id="291" w:name="_Toc377645298"/>
      <w:bookmarkStart w:id="292" w:name="_Toc377645601"/>
      <w:bookmarkStart w:id="293" w:name="_Toc377031116"/>
      <w:bookmarkStart w:id="294" w:name="_Toc377032415"/>
      <w:bookmarkStart w:id="295" w:name="_Toc377559712"/>
      <w:bookmarkStart w:id="296" w:name="_Toc377560139"/>
      <w:bookmarkStart w:id="297" w:name="_Toc377563804"/>
      <w:bookmarkStart w:id="298" w:name="_Toc377564089"/>
      <w:bookmarkStart w:id="299" w:name="_Toc377572047"/>
      <w:bookmarkStart w:id="300" w:name="_Toc377637372"/>
      <w:bookmarkStart w:id="301" w:name="_Toc377637675"/>
      <w:bookmarkStart w:id="302" w:name="_Toc377645300"/>
      <w:bookmarkStart w:id="303" w:name="_Toc377645603"/>
      <w:bookmarkStart w:id="304" w:name="_Toc377031118"/>
      <w:bookmarkStart w:id="305" w:name="_Toc377032417"/>
      <w:bookmarkStart w:id="306" w:name="_Toc377559714"/>
      <w:bookmarkStart w:id="307" w:name="_Toc377560141"/>
      <w:bookmarkStart w:id="308" w:name="_Toc377563806"/>
      <w:bookmarkStart w:id="309" w:name="_Toc377564091"/>
      <w:bookmarkStart w:id="310" w:name="_Toc377572049"/>
      <w:bookmarkStart w:id="311" w:name="_Toc377637374"/>
      <w:bookmarkStart w:id="312" w:name="_Toc377637677"/>
      <w:bookmarkStart w:id="313" w:name="_Toc377645302"/>
      <w:bookmarkStart w:id="314" w:name="_Toc377645605"/>
      <w:bookmarkStart w:id="315" w:name="_Toc377031120"/>
      <w:bookmarkStart w:id="316" w:name="_Toc377032419"/>
      <w:bookmarkStart w:id="317" w:name="_Toc377559716"/>
      <w:bookmarkStart w:id="318" w:name="_Toc377560143"/>
      <w:bookmarkStart w:id="319" w:name="_Toc377563808"/>
      <w:bookmarkStart w:id="320" w:name="_Toc377564093"/>
      <w:bookmarkStart w:id="321" w:name="_Toc377572051"/>
      <w:bookmarkStart w:id="322" w:name="_Toc377637376"/>
      <w:bookmarkStart w:id="323" w:name="_Toc377637679"/>
      <w:bookmarkStart w:id="324" w:name="_Toc377645304"/>
      <w:bookmarkStart w:id="325" w:name="_Toc377645607"/>
      <w:bookmarkStart w:id="326" w:name="_Toc377031123"/>
      <w:bookmarkStart w:id="327" w:name="_Toc377032422"/>
      <w:bookmarkStart w:id="328" w:name="_Toc377559719"/>
      <w:bookmarkStart w:id="329" w:name="_Toc377560146"/>
      <w:bookmarkStart w:id="330" w:name="_Toc377563811"/>
      <w:bookmarkStart w:id="331" w:name="_Toc377564096"/>
      <w:bookmarkStart w:id="332" w:name="_Toc377572054"/>
      <w:bookmarkStart w:id="333" w:name="_Toc377637379"/>
      <w:bookmarkStart w:id="334" w:name="_Toc377637682"/>
      <w:bookmarkStart w:id="335" w:name="_Toc377645307"/>
      <w:bookmarkStart w:id="336" w:name="_Toc377645610"/>
      <w:bookmarkStart w:id="337" w:name="_Toc377031125"/>
      <w:bookmarkStart w:id="338" w:name="_Toc377032424"/>
      <w:bookmarkStart w:id="339" w:name="_Toc377559721"/>
      <w:bookmarkStart w:id="340" w:name="_Toc377560148"/>
      <w:bookmarkStart w:id="341" w:name="_Toc377563813"/>
      <w:bookmarkStart w:id="342" w:name="_Toc377564098"/>
      <w:bookmarkStart w:id="343" w:name="_Toc377572056"/>
      <w:bookmarkStart w:id="344" w:name="_Toc377637381"/>
      <w:bookmarkStart w:id="345" w:name="_Toc377637684"/>
      <w:bookmarkStart w:id="346" w:name="_Toc377645309"/>
      <w:bookmarkStart w:id="347" w:name="_Toc377645612"/>
      <w:bookmarkStart w:id="348" w:name="_Toc377031127"/>
      <w:bookmarkStart w:id="349" w:name="_Toc377032426"/>
      <w:bookmarkStart w:id="350" w:name="_Toc377559723"/>
      <w:bookmarkStart w:id="351" w:name="_Toc377560150"/>
      <w:bookmarkStart w:id="352" w:name="_Toc377563815"/>
      <w:bookmarkStart w:id="353" w:name="_Toc377564100"/>
      <w:bookmarkStart w:id="354" w:name="_Toc377572058"/>
      <w:bookmarkStart w:id="355" w:name="_Toc377637383"/>
      <w:bookmarkStart w:id="356" w:name="_Toc377637686"/>
      <w:bookmarkStart w:id="357" w:name="_Toc377645311"/>
      <w:bookmarkStart w:id="358" w:name="_Toc377645614"/>
      <w:bookmarkStart w:id="359" w:name="_Toc377031128"/>
      <w:bookmarkStart w:id="360" w:name="_Toc377032427"/>
      <w:bookmarkStart w:id="361" w:name="_Toc377559724"/>
      <w:bookmarkStart w:id="362" w:name="_Toc377560151"/>
      <w:bookmarkStart w:id="363" w:name="_Toc377563816"/>
      <w:bookmarkStart w:id="364" w:name="_Toc377564101"/>
      <w:bookmarkStart w:id="365" w:name="_Toc377572059"/>
      <w:bookmarkStart w:id="366" w:name="_Toc377637384"/>
      <w:bookmarkStart w:id="367" w:name="_Toc377637687"/>
      <w:bookmarkStart w:id="368" w:name="_Toc377645312"/>
      <w:bookmarkStart w:id="369" w:name="_Toc377645615"/>
      <w:bookmarkStart w:id="370" w:name="_Toc377031129"/>
      <w:bookmarkStart w:id="371" w:name="_Toc377032428"/>
      <w:bookmarkStart w:id="372" w:name="_Toc377559725"/>
      <w:bookmarkStart w:id="373" w:name="_Toc377560152"/>
      <w:bookmarkStart w:id="374" w:name="_Toc377563817"/>
      <w:bookmarkStart w:id="375" w:name="_Toc377564102"/>
      <w:bookmarkStart w:id="376" w:name="_Toc377572060"/>
      <w:bookmarkStart w:id="377" w:name="_Toc377637385"/>
      <w:bookmarkStart w:id="378" w:name="_Toc377637688"/>
      <w:bookmarkStart w:id="379" w:name="_Toc377645313"/>
      <w:bookmarkStart w:id="380" w:name="_Toc377645616"/>
      <w:bookmarkStart w:id="381" w:name="_Toc377031131"/>
      <w:bookmarkStart w:id="382" w:name="_Toc377032430"/>
      <w:bookmarkStart w:id="383" w:name="_Toc377559727"/>
      <w:bookmarkStart w:id="384" w:name="_Toc377560154"/>
      <w:bookmarkStart w:id="385" w:name="_Toc377563819"/>
      <w:bookmarkStart w:id="386" w:name="_Toc377564104"/>
      <w:bookmarkStart w:id="387" w:name="_Toc377572062"/>
      <w:bookmarkStart w:id="388" w:name="_Toc377637387"/>
      <w:bookmarkStart w:id="389" w:name="_Toc377637690"/>
      <w:bookmarkStart w:id="390" w:name="_Toc377645315"/>
      <w:bookmarkStart w:id="391" w:name="_Toc377645618"/>
      <w:bookmarkStart w:id="392" w:name="_Toc377031133"/>
      <w:bookmarkStart w:id="393" w:name="_Toc377032432"/>
      <w:bookmarkStart w:id="394" w:name="_Toc377559729"/>
      <w:bookmarkStart w:id="395" w:name="_Toc377560156"/>
      <w:bookmarkStart w:id="396" w:name="_Toc377563821"/>
      <w:bookmarkStart w:id="397" w:name="_Toc377564106"/>
      <w:bookmarkStart w:id="398" w:name="_Toc377572064"/>
      <w:bookmarkStart w:id="399" w:name="_Toc377637389"/>
      <w:bookmarkStart w:id="400" w:name="_Toc377637692"/>
      <w:bookmarkStart w:id="401" w:name="_Toc377645317"/>
      <w:bookmarkStart w:id="402" w:name="_Toc377645620"/>
      <w:bookmarkStart w:id="403" w:name="_Toc377031135"/>
      <w:bookmarkStart w:id="404" w:name="_Toc377032434"/>
      <w:bookmarkStart w:id="405" w:name="_Toc377559731"/>
      <w:bookmarkStart w:id="406" w:name="_Toc377560158"/>
      <w:bookmarkStart w:id="407" w:name="_Toc377563823"/>
      <w:bookmarkStart w:id="408" w:name="_Toc377564108"/>
      <w:bookmarkStart w:id="409" w:name="_Toc377572066"/>
      <w:bookmarkStart w:id="410" w:name="_Toc377637391"/>
      <w:bookmarkStart w:id="411" w:name="_Toc377637694"/>
      <w:bookmarkStart w:id="412" w:name="_Toc377645319"/>
      <w:bookmarkStart w:id="413" w:name="_Toc377645622"/>
      <w:bookmarkStart w:id="414" w:name="_Toc377031137"/>
      <w:bookmarkStart w:id="415" w:name="_Toc377032436"/>
      <w:bookmarkStart w:id="416" w:name="_Toc377559733"/>
      <w:bookmarkStart w:id="417" w:name="_Toc377560160"/>
      <w:bookmarkStart w:id="418" w:name="_Toc377563825"/>
      <w:bookmarkStart w:id="419" w:name="_Toc377564110"/>
      <w:bookmarkStart w:id="420" w:name="_Toc377572068"/>
      <w:bookmarkStart w:id="421" w:name="_Toc377637393"/>
      <w:bookmarkStart w:id="422" w:name="_Toc377637696"/>
      <w:bookmarkStart w:id="423" w:name="_Toc377645321"/>
      <w:bookmarkStart w:id="424" w:name="_Toc377645624"/>
      <w:bookmarkStart w:id="425" w:name="_Toc377031139"/>
      <w:bookmarkStart w:id="426" w:name="_Toc377032438"/>
      <w:bookmarkStart w:id="427" w:name="_Toc377559735"/>
      <w:bookmarkStart w:id="428" w:name="_Toc377560162"/>
      <w:bookmarkStart w:id="429" w:name="_Toc377563827"/>
      <w:bookmarkStart w:id="430" w:name="_Toc377564112"/>
      <w:bookmarkStart w:id="431" w:name="_Toc377572070"/>
      <w:bookmarkStart w:id="432" w:name="_Toc377637395"/>
      <w:bookmarkStart w:id="433" w:name="_Toc377637698"/>
      <w:bookmarkStart w:id="434" w:name="_Toc377645323"/>
      <w:bookmarkStart w:id="435" w:name="_Toc377645626"/>
      <w:bookmarkStart w:id="436" w:name="_Toc377031141"/>
      <w:bookmarkStart w:id="437" w:name="_Toc377032440"/>
      <w:bookmarkStart w:id="438" w:name="_Toc377559737"/>
      <w:bookmarkStart w:id="439" w:name="_Toc377560164"/>
      <w:bookmarkStart w:id="440" w:name="_Toc377563829"/>
      <w:bookmarkStart w:id="441" w:name="_Toc377564114"/>
      <w:bookmarkStart w:id="442" w:name="_Toc377572072"/>
      <w:bookmarkStart w:id="443" w:name="_Toc377637397"/>
      <w:bookmarkStart w:id="444" w:name="_Toc377637700"/>
      <w:bookmarkStart w:id="445" w:name="_Toc377645325"/>
      <w:bookmarkStart w:id="446" w:name="_Toc377645628"/>
      <w:bookmarkStart w:id="447" w:name="_Toc377031143"/>
      <w:bookmarkStart w:id="448" w:name="_Toc377032442"/>
      <w:bookmarkStart w:id="449" w:name="_Toc377559739"/>
      <w:bookmarkStart w:id="450" w:name="_Toc377560166"/>
      <w:bookmarkStart w:id="451" w:name="_Toc377563831"/>
      <w:bookmarkStart w:id="452" w:name="_Toc377564116"/>
      <w:bookmarkStart w:id="453" w:name="_Toc377572074"/>
      <w:bookmarkStart w:id="454" w:name="_Toc377637399"/>
      <w:bookmarkStart w:id="455" w:name="_Toc377637702"/>
      <w:bookmarkStart w:id="456" w:name="_Toc377645327"/>
      <w:bookmarkStart w:id="457" w:name="_Toc377645630"/>
      <w:bookmarkStart w:id="458" w:name="_Toc377031145"/>
      <w:bookmarkStart w:id="459" w:name="_Toc377032444"/>
      <w:bookmarkStart w:id="460" w:name="_Toc377559741"/>
      <w:bookmarkStart w:id="461" w:name="_Toc377560168"/>
      <w:bookmarkStart w:id="462" w:name="_Toc377563833"/>
      <w:bookmarkStart w:id="463" w:name="_Toc377564118"/>
      <w:bookmarkStart w:id="464" w:name="_Toc377572076"/>
      <w:bookmarkStart w:id="465" w:name="_Toc377637401"/>
      <w:bookmarkStart w:id="466" w:name="_Toc377637704"/>
      <w:bookmarkStart w:id="467" w:name="_Toc377645329"/>
      <w:bookmarkStart w:id="468" w:name="_Toc377645632"/>
      <w:bookmarkStart w:id="469" w:name="_Toc377031146"/>
      <w:bookmarkStart w:id="470" w:name="_Toc377032445"/>
      <w:bookmarkStart w:id="471" w:name="_Toc377559742"/>
      <w:bookmarkStart w:id="472" w:name="_Toc377560169"/>
      <w:bookmarkStart w:id="473" w:name="_Toc377563834"/>
      <w:bookmarkStart w:id="474" w:name="_Toc377564119"/>
      <w:bookmarkStart w:id="475" w:name="_Toc377572077"/>
      <w:bookmarkStart w:id="476" w:name="_Toc377637402"/>
      <w:bookmarkStart w:id="477" w:name="_Toc377637705"/>
      <w:bookmarkStart w:id="478" w:name="_Toc377645330"/>
      <w:bookmarkStart w:id="479" w:name="_Toc377645633"/>
      <w:bookmarkStart w:id="480" w:name="_Toc377031148"/>
      <w:bookmarkStart w:id="481" w:name="_Toc377032447"/>
      <w:bookmarkStart w:id="482" w:name="_Toc377559744"/>
      <w:bookmarkStart w:id="483" w:name="_Toc377560171"/>
      <w:bookmarkStart w:id="484" w:name="_Toc377563836"/>
      <w:bookmarkStart w:id="485" w:name="_Toc377564121"/>
      <w:bookmarkStart w:id="486" w:name="_Toc377572079"/>
      <w:bookmarkStart w:id="487" w:name="_Toc377637404"/>
      <w:bookmarkStart w:id="488" w:name="_Toc377637707"/>
      <w:bookmarkStart w:id="489" w:name="_Toc377645332"/>
      <w:bookmarkStart w:id="490" w:name="_Toc377645635"/>
      <w:bookmarkStart w:id="491" w:name="_Toc377031150"/>
      <w:bookmarkStart w:id="492" w:name="_Toc377032449"/>
      <w:bookmarkStart w:id="493" w:name="_Toc377559746"/>
      <w:bookmarkStart w:id="494" w:name="_Toc377560173"/>
      <w:bookmarkStart w:id="495" w:name="_Toc377563838"/>
      <w:bookmarkStart w:id="496" w:name="_Toc377564123"/>
      <w:bookmarkStart w:id="497" w:name="_Toc377572081"/>
      <w:bookmarkStart w:id="498" w:name="_Toc377637406"/>
      <w:bookmarkStart w:id="499" w:name="_Toc377637709"/>
      <w:bookmarkStart w:id="500" w:name="_Toc377645334"/>
      <w:bookmarkStart w:id="501" w:name="_Toc377645637"/>
      <w:bookmarkStart w:id="502" w:name="_Toc377031151"/>
      <w:bookmarkStart w:id="503" w:name="_Toc377032450"/>
      <w:bookmarkStart w:id="504" w:name="_Toc377559747"/>
      <w:bookmarkStart w:id="505" w:name="_Toc377560174"/>
      <w:bookmarkStart w:id="506" w:name="_Toc377563839"/>
      <w:bookmarkStart w:id="507" w:name="_Toc377564124"/>
      <w:bookmarkStart w:id="508" w:name="_Toc377572082"/>
      <w:bookmarkStart w:id="509" w:name="_Toc377637407"/>
      <w:bookmarkStart w:id="510" w:name="_Toc377637710"/>
      <w:bookmarkStart w:id="511" w:name="_Toc377645335"/>
      <w:bookmarkStart w:id="512" w:name="_Toc377645638"/>
      <w:bookmarkStart w:id="513" w:name="_Toc377031152"/>
      <w:bookmarkStart w:id="514" w:name="_Toc377032451"/>
      <w:bookmarkStart w:id="515" w:name="_Toc377559748"/>
      <w:bookmarkStart w:id="516" w:name="_Toc377560175"/>
      <w:bookmarkStart w:id="517" w:name="_Toc377563840"/>
      <w:bookmarkStart w:id="518" w:name="_Toc377564125"/>
      <w:bookmarkStart w:id="519" w:name="_Toc377572083"/>
      <w:bookmarkStart w:id="520" w:name="_Toc377637408"/>
      <w:bookmarkStart w:id="521" w:name="_Toc377637711"/>
      <w:bookmarkStart w:id="522" w:name="_Toc377645336"/>
      <w:bookmarkStart w:id="523" w:name="_Toc377645639"/>
      <w:bookmarkStart w:id="524" w:name="_Toc377031153"/>
      <w:bookmarkStart w:id="525" w:name="_Toc377032452"/>
      <w:bookmarkStart w:id="526" w:name="_Toc377559749"/>
      <w:bookmarkStart w:id="527" w:name="_Toc377560176"/>
      <w:bookmarkStart w:id="528" w:name="_Toc377563841"/>
      <w:bookmarkStart w:id="529" w:name="_Toc377564126"/>
      <w:bookmarkStart w:id="530" w:name="_Toc377572084"/>
      <w:bookmarkStart w:id="531" w:name="_Toc377637409"/>
      <w:bookmarkStart w:id="532" w:name="_Toc377637712"/>
      <w:bookmarkStart w:id="533" w:name="_Toc377645337"/>
      <w:bookmarkStart w:id="534" w:name="_Toc377645640"/>
      <w:bookmarkStart w:id="535" w:name="_Toc377031154"/>
      <w:bookmarkStart w:id="536" w:name="_Toc377032453"/>
      <w:bookmarkStart w:id="537" w:name="_Toc377559750"/>
      <w:bookmarkStart w:id="538" w:name="_Toc377560177"/>
      <w:bookmarkStart w:id="539" w:name="_Toc377563842"/>
      <w:bookmarkStart w:id="540" w:name="_Toc377564127"/>
      <w:bookmarkStart w:id="541" w:name="_Toc377572085"/>
      <w:bookmarkStart w:id="542" w:name="_Toc377637410"/>
      <w:bookmarkStart w:id="543" w:name="_Toc377637713"/>
      <w:bookmarkStart w:id="544" w:name="_Toc377645338"/>
      <w:bookmarkStart w:id="545" w:name="_Toc377645641"/>
      <w:bookmarkStart w:id="546" w:name="_Toc377031156"/>
      <w:bookmarkStart w:id="547" w:name="_Toc377032455"/>
      <w:bookmarkStart w:id="548" w:name="_Toc377559752"/>
      <w:bookmarkStart w:id="549" w:name="_Toc377560179"/>
      <w:bookmarkStart w:id="550" w:name="_Toc377563844"/>
      <w:bookmarkStart w:id="551" w:name="_Toc377564129"/>
      <w:bookmarkStart w:id="552" w:name="_Toc377572087"/>
      <w:bookmarkStart w:id="553" w:name="_Toc377637412"/>
      <w:bookmarkStart w:id="554" w:name="_Toc377637715"/>
      <w:bookmarkStart w:id="555" w:name="_Toc377645340"/>
      <w:bookmarkStart w:id="556" w:name="_Toc377645643"/>
      <w:bookmarkStart w:id="557" w:name="_Toc377031158"/>
      <w:bookmarkStart w:id="558" w:name="_Toc377032457"/>
      <w:bookmarkStart w:id="559" w:name="_Toc377559754"/>
      <w:bookmarkStart w:id="560" w:name="_Toc377560181"/>
      <w:bookmarkStart w:id="561" w:name="_Toc377563846"/>
      <w:bookmarkStart w:id="562" w:name="_Toc377564131"/>
      <w:bookmarkStart w:id="563" w:name="_Toc377572089"/>
      <w:bookmarkStart w:id="564" w:name="_Toc377637414"/>
      <w:bookmarkStart w:id="565" w:name="_Toc377637717"/>
      <w:bookmarkStart w:id="566" w:name="_Toc377645342"/>
      <w:bookmarkStart w:id="567" w:name="_Toc377645645"/>
      <w:bookmarkStart w:id="568" w:name="_Toc377031160"/>
      <w:bookmarkStart w:id="569" w:name="_Toc377032459"/>
      <w:bookmarkStart w:id="570" w:name="_Toc377559756"/>
      <w:bookmarkStart w:id="571" w:name="_Toc377560183"/>
      <w:bookmarkStart w:id="572" w:name="_Toc377563848"/>
      <w:bookmarkStart w:id="573" w:name="_Toc377564133"/>
      <w:bookmarkStart w:id="574" w:name="_Toc377572091"/>
      <w:bookmarkStart w:id="575" w:name="_Toc377637416"/>
      <w:bookmarkStart w:id="576" w:name="_Toc377637719"/>
      <w:bookmarkStart w:id="577" w:name="_Toc377645344"/>
      <w:bookmarkStart w:id="578" w:name="_Toc377645647"/>
      <w:bookmarkStart w:id="579" w:name="_Toc377031162"/>
      <w:bookmarkStart w:id="580" w:name="_Toc377032461"/>
      <w:bookmarkStart w:id="581" w:name="_Toc377559758"/>
      <w:bookmarkStart w:id="582" w:name="_Toc377560185"/>
      <w:bookmarkStart w:id="583" w:name="_Toc377563850"/>
      <w:bookmarkStart w:id="584" w:name="_Toc377564135"/>
      <w:bookmarkStart w:id="585" w:name="_Toc377572093"/>
      <w:bookmarkStart w:id="586" w:name="_Toc377637418"/>
      <w:bookmarkStart w:id="587" w:name="_Toc377637721"/>
      <w:bookmarkStart w:id="588" w:name="_Toc377645346"/>
      <w:bookmarkStart w:id="589" w:name="_Toc377645649"/>
      <w:bookmarkStart w:id="590" w:name="_Toc377031164"/>
      <w:bookmarkStart w:id="591" w:name="_Toc377032463"/>
      <w:bookmarkStart w:id="592" w:name="_Toc377559760"/>
      <w:bookmarkStart w:id="593" w:name="_Toc377560187"/>
      <w:bookmarkStart w:id="594" w:name="_Toc377563852"/>
      <w:bookmarkStart w:id="595" w:name="_Toc377564137"/>
      <w:bookmarkStart w:id="596" w:name="_Toc377572095"/>
      <w:bookmarkStart w:id="597" w:name="_Toc377637420"/>
      <w:bookmarkStart w:id="598" w:name="_Toc377637723"/>
      <w:bookmarkStart w:id="599" w:name="_Toc377645348"/>
      <w:bookmarkStart w:id="600" w:name="_Toc377645651"/>
      <w:bookmarkStart w:id="601" w:name="_Toc377031165"/>
      <w:bookmarkStart w:id="602" w:name="_Toc377032464"/>
      <w:bookmarkStart w:id="603" w:name="_Toc377559761"/>
      <w:bookmarkStart w:id="604" w:name="_Toc377560188"/>
      <w:bookmarkStart w:id="605" w:name="_Toc377563853"/>
      <w:bookmarkStart w:id="606" w:name="_Toc377564138"/>
      <w:bookmarkStart w:id="607" w:name="_Toc377572096"/>
      <w:bookmarkStart w:id="608" w:name="_Toc377637421"/>
      <w:bookmarkStart w:id="609" w:name="_Toc377637724"/>
      <w:bookmarkStart w:id="610" w:name="_Toc377645349"/>
      <w:bookmarkStart w:id="611" w:name="_Toc377645652"/>
      <w:bookmarkStart w:id="612" w:name="_Toc377031166"/>
      <w:bookmarkStart w:id="613" w:name="_Toc377032465"/>
      <w:bookmarkStart w:id="614" w:name="_Toc377559762"/>
      <w:bookmarkStart w:id="615" w:name="_Toc377560189"/>
      <w:bookmarkStart w:id="616" w:name="_Toc377563854"/>
      <w:bookmarkStart w:id="617" w:name="_Toc377564139"/>
      <w:bookmarkStart w:id="618" w:name="_Toc377572097"/>
      <w:bookmarkStart w:id="619" w:name="_Toc377637422"/>
      <w:bookmarkStart w:id="620" w:name="_Toc377637725"/>
      <w:bookmarkStart w:id="621" w:name="_Toc377645350"/>
      <w:bookmarkStart w:id="622" w:name="_Toc377645653"/>
      <w:bookmarkStart w:id="623" w:name="_Toc377031169"/>
      <w:bookmarkStart w:id="624" w:name="_Toc377032468"/>
      <w:bookmarkStart w:id="625" w:name="_Toc377559765"/>
      <w:bookmarkStart w:id="626" w:name="_Toc377560192"/>
      <w:bookmarkStart w:id="627" w:name="_Toc377563857"/>
      <w:bookmarkStart w:id="628" w:name="_Toc377564142"/>
      <w:bookmarkStart w:id="629" w:name="_Toc377572100"/>
      <w:bookmarkStart w:id="630" w:name="_Toc377637425"/>
      <w:bookmarkStart w:id="631" w:name="_Toc377637728"/>
      <w:bookmarkStart w:id="632" w:name="_Toc377645353"/>
      <w:bookmarkStart w:id="633" w:name="_Toc377645656"/>
      <w:bookmarkStart w:id="634" w:name="_Toc377031171"/>
      <w:bookmarkStart w:id="635" w:name="_Toc377032470"/>
      <w:bookmarkStart w:id="636" w:name="_Toc377559767"/>
      <w:bookmarkStart w:id="637" w:name="_Toc377560194"/>
      <w:bookmarkStart w:id="638" w:name="_Toc377563859"/>
      <w:bookmarkStart w:id="639" w:name="_Toc377564144"/>
      <w:bookmarkStart w:id="640" w:name="_Toc377572102"/>
      <w:bookmarkStart w:id="641" w:name="_Toc377637427"/>
      <w:bookmarkStart w:id="642" w:name="_Toc377637730"/>
      <w:bookmarkStart w:id="643" w:name="_Toc377645355"/>
      <w:bookmarkStart w:id="644" w:name="_Toc377645658"/>
      <w:bookmarkStart w:id="645" w:name="_Toc377031173"/>
      <w:bookmarkStart w:id="646" w:name="_Toc377032472"/>
      <w:bookmarkStart w:id="647" w:name="_Toc377559769"/>
      <w:bookmarkStart w:id="648" w:name="_Toc377560196"/>
      <w:bookmarkStart w:id="649" w:name="_Toc377563861"/>
      <w:bookmarkStart w:id="650" w:name="_Toc377564146"/>
      <w:bookmarkStart w:id="651" w:name="_Toc377572104"/>
      <w:bookmarkStart w:id="652" w:name="_Toc377637429"/>
      <w:bookmarkStart w:id="653" w:name="_Toc377637732"/>
      <w:bookmarkStart w:id="654" w:name="_Toc377645357"/>
      <w:bookmarkStart w:id="655" w:name="_Toc377645660"/>
      <w:bookmarkStart w:id="656" w:name="_Toc377031175"/>
      <w:bookmarkStart w:id="657" w:name="_Toc377032474"/>
      <w:bookmarkStart w:id="658" w:name="_Toc377559771"/>
      <w:bookmarkStart w:id="659" w:name="_Toc377560198"/>
      <w:bookmarkStart w:id="660" w:name="_Toc377563863"/>
      <w:bookmarkStart w:id="661" w:name="_Toc377564148"/>
      <w:bookmarkStart w:id="662" w:name="_Toc377572106"/>
      <w:bookmarkStart w:id="663" w:name="_Toc377637431"/>
      <w:bookmarkStart w:id="664" w:name="_Toc377637734"/>
      <w:bookmarkStart w:id="665" w:name="_Toc377645359"/>
      <w:bookmarkStart w:id="666" w:name="_Toc377645662"/>
      <w:bookmarkStart w:id="667" w:name="_Toc377031177"/>
      <w:bookmarkStart w:id="668" w:name="_Toc377032476"/>
      <w:bookmarkStart w:id="669" w:name="_Toc377559773"/>
      <w:bookmarkStart w:id="670" w:name="_Toc377560200"/>
      <w:bookmarkStart w:id="671" w:name="_Toc377563865"/>
      <w:bookmarkStart w:id="672" w:name="_Toc377564150"/>
      <w:bookmarkStart w:id="673" w:name="_Toc377572108"/>
      <w:bookmarkStart w:id="674" w:name="_Toc377637433"/>
      <w:bookmarkStart w:id="675" w:name="_Toc377637736"/>
      <w:bookmarkStart w:id="676" w:name="_Toc377645361"/>
      <w:bookmarkStart w:id="677" w:name="_Toc377645664"/>
      <w:bookmarkStart w:id="678" w:name="_Toc377031179"/>
      <w:bookmarkStart w:id="679" w:name="_Toc377032478"/>
      <w:bookmarkStart w:id="680" w:name="_Toc377559775"/>
      <w:bookmarkStart w:id="681" w:name="_Toc377560202"/>
      <w:bookmarkStart w:id="682" w:name="_Toc377563867"/>
      <w:bookmarkStart w:id="683" w:name="_Toc377564152"/>
      <w:bookmarkStart w:id="684" w:name="_Toc377572110"/>
      <w:bookmarkStart w:id="685" w:name="_Toc377637435"/>
      <w:bookmarkStart w:id="686" w:name="_Toc377637738"/>
      <w:bookmarkStart w:id="687" w:name="_Toc377645363"/>
      <w:bookmarkStart w:id="688" w:name="_Toc377645666"/>
      <w:bookmarkStart w:id="689" w:name="_Toc377031181"/>
      <w:bookmarkStart w:id="690" w:name="_Toc377032480"/>
      <w:bookmarkStart w:id="691" w:name="_Toc377559777"/>
      <w:bookmarkStart w:id="692" w:name="_Toc377560204"/>
      <w:bookmarkStart w:id="693" w:name="_Toc377563869"/>
      <w:bookmarkStart w:id="694" w:name="_Toc377564154"/>
      <w:bookmarkStart w:id="695" w:name="_Toc377572112"/>
      <w:bookmarkStart w:id="696" w:name="_Toc377637437"/>
      <w:bookmarkStart w:id="697" w:name="_Toc377637740"/>
      <w:bookmarkStart w:id="698" w:name="_Toc377645365"/>
      <w:bookmarkStart w:id="699" w:name="_Toc377645668"/>
      <w:bookmarkStart w:id="700" w:name="_Toc377031182"/>
      <w:bookmarkStart w:id="701" w:name="_Toc377032481"/>
      <w:bookmarkStart w:id="702" w:name="_Toc377559778"/>
      <w:bookmarkStart w:id="703" w:name="_Toc377560205"/>
      <w:bookmarkStart w:id="704" w:name="_Toc377563870"/>
      <w:bookmarkStart w:id="705" w:name="_Toc377564155"/>
      <w:bookmarkStart w:id="706" w:name="_Toc377572113"/>
      <w:bookmarkStart w:id="707" w:name="_Toc377637438"/>
      <w:bookmarkStart w:id="708" w:name="_Toc377637741"/>
      <w:bookmarkStart w:id="709" w:name="_Toc377645366"/>
      <w:bookmarkStart w:id="710" w:name="_Toc377645669"/>
      <w:bookmarkStart w:id="711" w:name="_Toc377031184"/>
      <w:bookmarkStart w:id="712" w:name="_Toc377032483"/>
      <w:bookmarkStart w:id="713" w:name="_Toc377559780"/>
      <w:bookmarkStart w:id="714" w:name="_Toc377560207"/>
      <w:bookmarkStart w:id="715" w:name="_Toc377563872"/>
      <w:bookmarkStart w:id="716" w:name="_Toc377564157"/>
      <w:bookmarkStart w:id="717" w:name="_Toc377572115"/>
      <w:bookmarkStart w:id="718" w:name="_Toc377637440"/>
      <w:bookmarkStart w:id="719" w:name="_Toc377637743"/>
      <w:bookmarkStart w:id="720" w:name="_Toc377645368"/>
      <w:bookmarkStart w:id="721" w:name="_Toc377645671"/>
      <w:bookmarkStart w:id="722" w:name="_Toc377031186"/>
      <w:bookmarkStart w:id="723" w:name="_Toc377032485"/>
      <w:bookmarkStart w:id="724" w:name="_Toc377559782"/>
      <w:bookmarkStart w:id="725" w:name="_Toc377560209"/>
      <w:bookmarkStart w:id="726" w:name="_Toc377563874"/>
      <w:bookmarkStart w:id="727" w:name="_Toc377564159"/>
      <w:bookmarkStart w:id="728" w:name="_Toc377572117"/>
      <w:bookmarkStart w:id="729" w:name="_Toc377637442"/>
      <w:bookmarkStart w:id="730" w:name="_Toc377637745"/>
      <w:bookmarkStart w:id="731" w:name="_Toc377645370"/>
      <w:bookmarkStart w:id="732" w:name="_Toc377645673"/>
      <w:bookmarkStart w:id="733" w:name="_Toc377031188"/>
      <w:bookmarkStart w:id="734" w:name="_Toc377032487"/>
      <w:bookmarkStart w:id="735" w:name="_Toc377559784"/>
      <w:bookmarkStart w:id="736" w:name="_Toc377560211"/>
      <w:bookmarkStart w:id="737" w:name="_Toc377563876"/>
      <w:bookmarkStart w:id="738" w:name="_Toc377564161"/>
      <w:bookmarkStart w:id="739" w:name="_Toc377572119"/>
      <w:bookmarkStart w:id="740" w:name="_Toc377637444"/>
      <w:bookmarkStart w:id="741" w:name="_Toc377637747"/>
      <w:bookmarkStart w:id="742" w:name="_Toc377645372"/>
      <w:bookmarkStart w:id="743" w:name="_Toc377645675"/>
      <w:bookmarkStart w:id="744" w:name="_Toc377031190"/>
      <w:bookmarkStart w:id="745" w:name="_Toc377032489"/>
      <w:bookmarkStart w:id="746" w:name="_Toc377559786"/>
      <w:bookmarkStart w:id="747" w:name="_Toc377560213"/>
      <w:bookmarkStart w:id="748" w:name="_Toc377563878"/>
      <w:bookmarkStart w:id="749" w:name="_Toc377564163"/>
      <w:bookmarkStart w:id="750" w:name="_Toc377572121"/>
      <w:bookmarkStart w:id="751" w:name="_Toc377637446"/>
      <w:bookmarkStart w:id="752" w:name="_Toc377637749"/>
      <w:bookmarkStart w:id="753" w:name="_Toc377645374"/>
      <w:bookmarkStart w:id="754" w:name="_Toc377645677"/>
      <w:bookmarkStart w:id="755" w:name="_Toc377031192"/>
      <w:bookmarkStart w:id="756" w:name="_Toc377032491"/>
      <w:bookmarkStart w:id="757" w:name="_Toc377559788"/>
      <w:bookmarkStart w:id="758" w:name="_Toc377560215"/>
      <w:bookmarkStart w:id="759" w:name="_Toc377563880"/>
      <w:bookmarkStart w:id="760" w:name="_Toc377564165"/>
      <w:bookmarkStart w:id="761" w:name="_Toc377572123"/>
      <w:bookmarkStart w:id="762" w:name="_Toc377637448"/>
      <w:bookmarkStart w:id="763" w:name="_Toc377637751"/>
      <w:bookmarkStart w:id="764" w:name="_Toc377645376"/>
      <w:bookmarkStart w:id="765" w:name="_Toc377645679"/>
      <w:bookmarkStart w:id="766" w:name="_Toc377031193"/>
      <w:bookmarkStart w:id="767" w:name="_Toc377032492"/>
      <w:bookmarkStart w:id="768" w:name="_Toc377559789"/>
      <w:bookmarkStart w:id="769" w:name="_Toc377560216"/>
      <w:bookmarkStart w:id="770" w:name="_Toc377563881"/>
      <w:bookmarkStart w:id="771" w:name="_Toc377564166"/>
      <w:bookmarkStart w:id="772" w:name="_Toc377572124"/>
      <w:bookmarkStart w:id="773" w:name="_Toc377637449"/>
      <w:bookmarkStart w:id="774" w:name="_Toc377637752"/>
      <w:bookmarkStart w:id="775" w:name="_Toc377645377"/>
      <w:bookmarkStart w:id="776" w:name="_Toc377645680"/>
      <w:bookmarkStart w:id="777" w:name="_Toc377031194"/>
      <w:bookmarkStart w:id="778" w:name="_Toc377032493"/>
      <w:bookmarkStart w:id="779" w:name="_Toc377559790"/>
      <w:bookmarkStart w:id="780" w:name="_Toc377560217"/>
      <w:bookmarkStart w:id="781" w:name="_Toc377563882"/>
      <w:bookmarkStart w:id="782" w:name="_Toc377564167"/>
      <w:bookmarkStart w:id="783" w:name="_Toc377572125"/>
      <w:bookmarkStart w:id="784" w:name="_Toc377637450"/>
      <w:bookmarkStart w:id="785" w:name="_Toc377637753"/>
      <w:bookmarkStart w:id="786" w:name="_Toc377645378"/>
      <w:bookmarkStart w:id="787" w:name="_Toc377645681"/>
      <w:bookmarkStart w:id="788" w:name="_Toc377031196"/>
      <w:bookmarkStart w:id="789" w:name="_Toc377032495"/>
      <w:bookmarkStart w:id="790" w:name="_Toc377559792"/>
      <w:bookmarkStart w:id="791" w:name="_Toc377560219"/>
      <w:bookmarkStart w:id="792" w:name="_Toc377563884"/>
      <w:bookmarkStart w:id="793" w:name="_Toc377564169"/>
      <w:bookmarkStart w:id="794" w:name="_Toc377572127"/>
      <w:bookmarkStart w:id="795" w:name="_Toc377637452"/>
      <w:bookmarkStart w:id="796" w:name="_Toc377637755"/>
      <w:bookmarkStart w:id="797" w:name="_Toc377645380"/>
      <w:bookmarkStart w:id="798" w:name="_Toc377645683"/>
      <w:bookmarkStart w:id="799" w:name="_Toc377031198"/>
      <w:bookmarkStart w:id="800" w:name="_Toc377032497"/>
      <w:bookmarkStart w:id="801" w:name="_Toc377559794"/>
      <w:bookmarkStart w:id="802" w:name="_Toc377560221"/>
      <w:bookmarkStart w:id="803" w:name="_Toc377563886"/>
      <w:bookmarkStart w:id="804" w:name="_Toc377564171"/>
      <w:bookmarkStart w:id="805" w:name="_Toc377572129"/>
      <w:bookmarkStart w:id="806" w:name="_Toc377637454"/>
      <w:bookmarkStart w:id="807" w:name="_Toc377637757"/>
      <w:bookmarkStart w:id="808" w:name="_Toc377645382"/>
      <w:bookmarkStart w:id="809" w:name="_Toc377645685"/>
      <w:bookmarkStart w:id="810" w:name="_Toc377031200"/>
      <w:bookmarkStart w:id="811" w:name="_Toc377032499"/>
      <w:bookmarkStart w:id="812" w:name="_Toc377559796"/>
      <w:bookmarkStart w:id="813" w:name="_Toc377560223"/>
      <w:bookmarkStart w:id="814" w:name="_Toc377563888"/>
      <w:bookmarkStart w:id="815" w:name="_Toc377564173"/>
      <w:bookmarkStart w:id="816" w:name="_Toc377572131"/>
      <w:bookmarkStart w:id="817" w:name="_Toc377637456"/>
      <w:bookmarkStart w:id="818" w:name="_Toc377637759"/>
      <w:bookmarkStart w:id="819" w:name="_Toc377645384"/>
      <w:bookmarkStart w:id="820" w:name="_Toc377645687"/>
      <w:bookmarkStart w:id="821" w:name="_Toc377031201"/>
      <w:bookmarkStart w:id="822" w:name="_Toc377032500"/>
      <w:bookmarkStart w:id="823" w:name="_Toc377559797"/>
      <w:bookmarkStart w:id="824" w:name="_Toc377560224"/>
      <w:bookmarkStart w:id="825" w:name="_Toc377563889"/>
      <w:bookmarkStart w:id="826" w:name="_Toc377564174"/>
      <w:bookmarkStart w:id="827" w:name="_Toc377572132"/>
      <w:bookmarkStart w:id="828" w:name="_Toc377637457"/>
      <w:bookmarkStart w:id="829" w:name="_Toc377637760"/>
      <w:bookmarkStart w:id="830" w:name="_Toc377645385"/>
      <w:bookmarkStart w:id="831" w:name="_Toc377645688"/>
      <w:bookmarkStart w:id="832" w:name="_Toc377031202"/>
      <w:bookmarkStart w:id="833" w:name="_Toc377032501"/>
      <w:bookmarkStart w:id="834" w:name="_Toc377559798"/>
      <w:bookmarkStart w:id="835" w:name="_Toc377560225"/>
      <w:bookmarkStart w:id="836" w:name="_Toc377563890"/>
      <w:bookmarkStart w:id="837" w:name="_Toc377564175"/>
      <w:bookmarkStart w:id="838" w:name="_Toc377572133"/>
      <w:bookmarkStart w:id="839" w:name="_Toc377637458"/>
      <w:bookmarkStart w:id="840" w:name="_Toc377637761"/>
      <w:bookmarkStart w:id="841" w:name="_Toc377645386"/>
      <w:bookmarkStart w:id="842" w:name="_Toc377645689"/>
      <w:bookmarkStart w:id="843" w:name="_Toc377031204"/>
      <w:bookmarkStart w:id="844" w:name="_Toc377032503"/>
      <w:bookmarkStart w:id="845" w:name="_Toc377559800"/>
      <w:bookmarkStart w:id="846" w:name="_Toc377560227"/>
      <w:bookmarkStart w:id="847" w:name="_Toc377563892"/>
      <w:bookmarkStart w:id="848" w:name="_Toc377564177"/>
      <w:bookmarkStart w:id="849" w:name="_Toc377572135"/>
      <w:bookmarkStart w:id="850" w:name="_Toc377637460"/>
      <w:bookmarkStart w:id="851" w:name="_Toc377637763"/>
      <w:bookmarkStart w:id="852" w:name="_Toc377645388"/>
      <w:bookmarkStart w:id="853" w:name="_Toc377645691"/>
      <w:bookmarkStart w:id="854" w:name="_Toc377031206"/>
      <w:bookmarkStart w:id="855" w:name="_Toc377032505"/>
      <w:bookmarkStart w:id="856" w:name="_Toc377559802"/>
      <w:bookmarkStart w:id="857" w:name="_Toc377560229"/>
      <w:bookmarkStart w:id="858" w:name="_Toc377563894"/>
      <w:bookmarkStart w:id="859" w:name="_Toc377564179"/>
      <w:bookmarkStart w:id="860" w:name="_Toc377572137"/>
      <w:bookmarkStart w:id="861" w:name="_Toc377637462"/>
      <w:bookmarkStart w:id="862" w:name="_Toc377637765"/>
      <w:bookmarkStart w:id="863" w:name="_Toc377645390"/>
      <w:bookmarkStart w:id="864" w:name="_Toc377645693"/>
      <w:bookmarkStart w:id="865" w:name="_Toc377031208"/>
      <w:bookmarkStart w:id="866" w:name="_Toc377032507"/>
      <w:bookmarkStart w:id="867" w:name="_Toc377559804"/>
      <w:bookmarkStart w:id="868" w:name="_Toc377560231"/>
      <w:bookmarkStart w:id="869" w:name="_Toc377563896"/>
      <w:bookmarkStart w:id="870" w:name="_Toc377564181"/>
      <w:bookmarkStart w:id="871" w:name="_Toc377572139"/>
      <w:bookmarkStart w:id="872" w:name="_Toc377637464"/>
      <w:bookmarkStart w:id="873" w:name="_Toc377637767"/>
      <w:bookmarkStart w:id="874" w:name="_Toc377645392"/>
      <w:bookmarkStart w:id="875" w:name="_Toc377645695"/>
      <w:bookmarkStart w:id="876" w:name="_Toc377031210"/>
      <w:bookmarkStart w:id="877" w:name="_Toc377032509"/>
      <w:bookmarkStart w:id="878" w:name="_Toc377559806"/>
      <w:bookmarkStart w:id="879" w:name="_Toc377560233"/>
      <w:bookmarkStart w:id="880" w:name="_Toc377563898"/>
      <w:bookmarkStart w:id="881" w:name="_Toc377564183"/>
      <w:bookmarkStart w:id="882" w:name="_Toc377572141"/>
      <w:bookmarkStart w:id="883" w:name="_Toc377637466"/>
      <w:bookmarkStart w:id="884" w:name="_Toc377637769"/>
      <w:bookmarkStart w:id="885" w:name="_Toc377645394"/>
      <w:bookmarkStart w:id="886" w:name="_Toc377645697"/>
      <w:bookmarkStart w:id="887" w:name="_Toc377031211"/>
      <w:bookmarkStart w:id="888" w:name="_Toc377032510"/>
      <w:bookmarkStart w:id="889" w:name="_Toc377559807"/>
      <w:bookmarkStart w:id="890" w:name="_Toc377560234"/>
      <w:bookmarkStart w:id="891" w:name="_Toc377563899"/>
      <w:bookmarkStart w:id="892" w:name="_Toc377564184"/>
      <w:bookmarkStart w:id="893" w:name="_Toc377572142"/>
      <w:bookmarkStart w:id="894" w:name="_Toc377637467"/>
      <w:bookmarkStart w:id="895" w:name="_Toc377637770"/>
      <w:bookmarkStart w:id="896" w:name="_Toc377645395"/>
      <w:bookmarkStart w:id="897" w:name="_Toc377645698"/>
      <w:bookmarkStart w:id="898" w:name="_Toc377031212"/>
      <w:bookmarkStart w:id="899" w:name="_Toc377032511"/>
      <w:bookmarkStart w:id="900" w:name="_Toc377559808"/>
      <w:bookmarkStart w:id="901" w:name="_Toc377560235"/>
      <w:bookmarkStart w:id="902" w:name="_Toc377563900"/>
      <w:bookmarkStart w:id="903" w:name="_Toc377564185"/>
      <w:bookmarkStart w:id="904" w:name="_Toc377572143"/>
      <w:bookmarkStart w:id="905" w:name="_Toc377637468"/>
      <w:bookmarkStart w:id="906" w:name="_Toc377637771"/>
      <w:bookmarkStart w:id="907" w:name="_Toc377645396"/>
      <w:bookmarkStart w:id="908" w:name="_Toc377645699"/>
      <w:bookmarkStart w:id="909" w:name="_Toc377031214"/>
      <w:bookmarkStart w:id="910" w:name="_Toc377032513"/>
      <w:bookmarkStart w:id="911" w:name="_Toc377559810"/>
      <w:bookmarkStart w:id="912" w:name="_Toc377560237"/>
      <w:bookmarkStart w:id="913" w:name="_Toc377563902"/>
      <w:bookmarkStart w:id="914" w:name="_Toc377564187"/>
      <w:bookmarkStart w:id="915" w:name="_Toc377572145"/>
      <w:bookmarkStart w:id="916" w:name="_Toc377637470"/>
      <w:bookmarkStart w:id="917" w:name="_Toc377637773"/>
      <w:bookmarkStart w:id="918" w:name="_Toc377645398"/>
      <w:bookmarkStart w:id="919" w:name="_Toc377645701"/>
      <w:bookmarkStart w:id="920" w:name="_Toc377031216"/>
      <w:bookmarkStart w:id="921" w:name="_Toc377032515"/>
      <w:bookmarkStart w:id="922" w:name="_Toc377559812"/>
      <w:bookmarkStart w:id="923" w:name="_Toc377560239"/>
      <w:bookmarkStart w:id="924" w:name="_Toc377563904"/>
      <w:bookmarkStart w:id="925" w:name="_Toc377564189"/>
      <w:bookmarkStart w:id="926" w:name="_Toc377572147"/>
      <w:bookmarkStart w:id="927" w:name="_Toc377637472"/>
      <w:bookmarkStart w:id="928" w:name="_Toc377637775"/>
      <w:bookmarkStart w:id="929" w:name="_Toc377645400"/>
      <w:bookmarkStart w:id="930" w:name="_Toc377645703"/>
      <w:bookmarkStart w:id="931" w:name="_Toc377031218"/>
      <w:bookmarkStart w:id="932" w:name="_Toc377032517"/>
      <w:bookmarkStart w:id="933" w:name="_Toc377559814"/>
      <w:bookmarkStart w:id="934" w:name="_Toc377560241"/>
      <w:bookmarkStart w:id="935" w:name="_Toc377563906"/>
      <w:bookmarkStart w:id="936" w:name="_Toc377564191"/>
      <w:bookmarkStart w:id="937" w:name="_Toc377572149"/>
      <w:bookmarkStart w:id="938" w:name="_Toc377637474"/>
      <w:bookmarkStart w:id="939" w:name="_Toc377637777"/>
      <w:bookmarkStart w:id="940" w:name="_Toc377645402"/>
      <w:bookmarkStart w:id="941" w:name="_Toc377645705"/>
      <w:bookmarkStart w:id="942" w:name="_Toc377031220"/>
      <w:bookmarkStart w:id="943" w:name="_Toc377032519"/>
      <w:bookmarkStart w:id="944" w:name="_Toc377559816"/>
      <w:bookmarkStart w:id="945" w:name="_Toc377560243"/>
      <w:bookmarkStart w:id="946" w:name="_Toc377563908"/>
      <w:bookmarkStart w:id="947" w:name="_Toc377564193"/>
      <w:bookmarkStart w:id="948" w:name="_Toc377572151"/>
      <w:bookmarkStart w:id="949" w:name="_Toc377637476"/>
      <w:bookmarkStart w:id="950" w:name="_Toc377637779"/>
      <w:bookmarkStart w:id="951" w:name="_Toc377645404"/>
      <w:bookmarkStart w:id="952" w:name="_Toc377645707"/>
      <w:bookmarkStart w:id="953" w:name="_Toc377031222"/>
      <w:bookmarkStart w:id="954" w:name="_Toc377032521"/>
      <w:bookmarkStart w:id="955" w:name="_Toc377559818"/>
      <w:bookmarkStart w:id="956" w:name="_Toc377560245"/>
      <w:bookmarkStart w:id="957" w:name="_Toc377563910"/>
      <w:bookmarkStart w:id="958" w:name="_Toc377564195"/>
      <w:bookmarkStart w:id="959" w:name="_Toc377572153"/>
      <w:bookmarkStart w:id="960" w:name="_Toc377637478"/>
      <w:bookmarkStart w:id="961" w:name="_Toc377637781"/>
      <w:bookmarkStart w:id="962" w:name="_Toc377645406"/>
      <w:bookmarkStart w:id="963" w:name="_Toc377645709"/>
      <w:bookmarkStart w:id="964" w:name="_Toc377031224"/>
      <w:bookmarkStart w:id="965" w:name="_Toc377032523"/>
      <w:bookmarkStart w:id="966" w:name="_Toc377559820"/>
      <w:bookmarkStart w:id="967" w:name="_Toc377560247"/>
      <w:bookmarkStart w:id="968" w:name="_Toc377563912"/>
      <w:bookmarkStart w:id="969" w:name="_Toc377564197"/>
      <w:bookmarkStart w:id="970" w:name="_Toc377572155"/>
      <w:bookmarkStart w:id="971" w:name="_Toc377637480"/>
      <w:bookmarkStart w:id="972" w:name="_Toc377637783"/>
      <w:bookmarkStart w:id="973" w:name="_Toc377645408"/>
      <w:bookmarkStart w:id="974" w:name="_Toc377645711"/>
      <w:bookmarkStart w:id="975" w:name="_Toc377031226"/>
      <w:bookmarkStart w:id="976" w:name="_Toc377032525"/>
      <w:bookmarkStart w:id="977" w:name="_Toc377559822"/>
      <w:bookmarkStart w:id="978" w:name="_Toc377560249"/>
      <w:bookmarkStart w:id="979" w:name="_Toc377563914"/>
      <w:bookmarkStart w:id="980" w:name="_Toc377564199"/>
      <w:bookmarkStart w:id="981" w:name="_Toc377572157"/>
      <w:bookmarkStart w:id="982" w:name="_Toc377637482"/>
      <w:bookmarkStart w:id="983" w:name="_Toc377637785"/>
      <w:bookmarkStart w:id="984" w:name="_Toc377645410"/>
      <w:bookmarkStart w:id="985" w:name="_Toc377645713"/>
      <w:bookmarkStart w:id="986" w:name="_Toc377031227"/>
      <w:bookmarkStart w:id="987" w:name="_Toc377032526"/>
      <w:bookmarkStart w:id="988" w:name="_Toc377559823"/>
      <w:bookmarkStart w:id="989" w:name="_Toc377560250"/>
      <w:bookmarkStart w:id="990" w:name="_Toc377563915"/>
      <w:bookmarkStart w:id="991" w:name="_Toc377564200"/>
      <w:bookmarkStart w:id="992" w:name="_Toc377572158"/>
      <w:bookmarkStart w:id="993" w:name="_Toc377637483"/>
      <w:bookmarkStart w:id="994" w:name="_Toc377637786"/>
      <w:bookmarkStart w:id="995" w:name="_Toc377645411"/>
      <w:bookmarkStart w:id="996" w:name="_Toc377645714"/>
      <w:bookmarkStart w:id="997" w:name="_Toc377031231"/>
      <w:bookmarkStart w:id="998" w:name="_Toc377032530"/>
      <w:bookmarkStart w:id="999" w:name="_Toc377559827"/>
      <w:bookmarkStart w:id="1000" w:name="_Toc377560254"/>
      <w:bookmarkStart w:id="1001" w:name="_Toc377563919"/>
      <w:bookmarkStart w:id="1002" w:name="_Toc377564204"/>
      <w:bookmarkStart w:id="1003" w:name="_Toc377572162"/>
      <w:bookmarkStart w:id="1004" w:name="_Toc377637487"/>
      <w:bookmarkStart w:id="1005" w:name="_Toc377637790"/>
      <w:bookmarkStart w:id="1006" w:name="_Toc377645415"/>
      <w:bookmarkStart w:id="1007" w:name="_Toc377645718"/>
      <w:bookmarkStart w:id="1008" w:name="_Toc377031233"/>
      <w:bookmarkStart w:id="1009" w:name="_Toc377032532"/>
      <w:bookmarkStart w:id="1010" w:name="_Toc377559829"/>
      <w:bookmarkStart w:id="1011" w:name="_Toc377560256"/>
      <w:bookmarkStart w:id="1012" w:name="_Toc377563921"/>
      <w:bookmarkStart w:id="1013" w:name="_Toc377564206"/>
      <w:bookmarkStart w:id="1014" w:name="_Toc377572164"/>
      <w:bookmarkStart w:id="1015" w:name="_Toc377637489"/>
      <w:bookmarkStart w:id="1016" w:name="_Toc377637792"/>
      <w:bookmarkStart w:id="1017" w:name="_Toc377645417"/>
      <w:bookmarkStart w:id="1018" w:name="_Toc377645720"/>
      <w:bookmarkStart w:id="1019" w:name="_Toc377031235"/>
      <w:bookmarkStart w:id="1020" w:name="_Toc377032534"/>
      <w:bookmarkStart w:id="1021" w:name="_Toc377559831"/>
      <w:bookmarkStart w:id="1022" w:name="_Toc377560258"/>
      <w:bookmarkStart w:id="1023" w:name="_Toc377563923"/>
      <w:bookmarkStart w:id="1024" w:name="_Toc377564208"/>
      <w:bookmarkStart w:id="1025" w:name="_Toc377572166"/>
      <w:bookmarkStart w:id="1026" w:name="_Toc377637491"/>
      <w:bookmarkStart w:id="1027" w:name="_Toc377637794"/>
      <w:bookmarkStart w:id="1028" w:name="_Toc377645419"/>
      <w:bookmarkStart w:id="1029" w:name="_Toc377645722"/>
      <w:bookmarkStart w:id="1030" w:name="_Toc377031237"/>
      <w:bookmarkStart w:id="1031" w:name="_Toc377032536"/>
      <w:bookmarkStart w:id="1032" w:name="_Toc377559833"/>
      <w:bookmarkStart w:id="1033" w:name="_Toc377560260"/>
      <w:bookmarkStart w:id="1034" w:name="_Toc377563925"/>
      <w:bookmarkStart w:id="1035" w:name="_Toc377564210"/>
      <w:bookmarkStart w:id="1036" w:name="_Toc377572168"/>
      <w:bookmarkStart w:id="1037" w:name="_Toc377637493"/>
      <w:bookmarkStart w:id="1038" w:name="_Toc377637796"/>
      <w:bookmarkStart w:id="1039" w:name="_Toc377645421"/>
      <w:bookmarkStart w:id="1040" w:name="_Toc377645724"/>
      <w:bookmarkStart w:id="1041" w:name="_Toc377031239"/>
      <w:bookmarkStart w:id="1042" w:name="_Toc377032538"/>
      <w:bookmarkStart w:id="1043" w:name="_Toc377559835"/>
      <w:bookmarkStart w:id="1044" w:name="_Toc377560262"/>
      <w:bookmarkStart w:id="1045" w:name="_Toc377563927"/>
      <w:bookmarkStart w:id="1046" w:name="_Toc377564212"/>
      <w:bookmarkStart w:id="1047" w:name="_Toc377572170"/>
      <w:bookmarkStart w:id="1048" w:name="_Toc377637495"/>
      <w:bookmarkStart w:id="1049" w:name="_Toc377637798"/>
      <w:bookmarkStart w:id="1050" w:name="_Toc377645423"/>
      <w:bookmarkStart w:id="1051" w:name="_Toc377645726"/>
      <w:bookmarkStart w:id="1052" w:name="_Toc377031241"/>
      <w:bookmarkStart w:id="1053" w:name="_Toc377032540"/>
      <w:bookmarkStart w:id="1054" w:name="_Toc377559837"/>
      <w:bookmarkStart w:id="1055" w:name="_Toc377560264"/>
      <w:bookmarkStart w:id="1056" w:name="_Toc377563929"/>
      <w:bookmarkStart w:id="1057" w:name="_Toc377564214"/>
      <w:bookmarkStart w:id="1058" w:name="_Toc377572172"/>
      <w:bookmarkStart w:id="1059" w:name="_Toc377637497"/>
      <w:bookmarkStart w:id="1060" w:name="_Toc377637800"/>
      <w:bookmarkStart w:id="1061" w:name="_Toc377645425"/>
      <w:bookmarkStart w:id="1062" w:name="_Toc377645728"/>
      <w:bookmarkStart w:id="1063" w:name="_Toc377031243"/>
      <w:bookmarkStart w:id="1064" w:name="_Toc377032542"/>
      <w:bookmarkStart w:id="1065" w:name="_Toc377559839"/>
      <w:bookmarkStart w:id="1066" w:name="_Toc377560266"/>
      <w:bookmarkStart w:id="1067" w:name="_Toc377563931"/>
      <w:bookmarkStart w:id="1068" w:name="_Toc377564216"/>
      <w:bookmarkStart w:id="1069" w:name="_Toc377572174"/>
      <w:bookmarkStart w:id="1070" w:name="_Toc377637499"/>
      <w:bookmarkStart w:id="1071" w:name="_Toc377637802"/>
      <w:bookmarkStart w:id="1072" w:name="_Toc377645427"/>
      <w:bookmarkStart w:id="1073" w:name="_Toc377645730"/>
      <w:bookmarkStart w:id="1074" w:name="_Toc377031245"/>
      <w:bookmarkStart w:id="1075" w:name="_Toc377032544"/>
      <w:bookmarkStart w:id="1076" w:name="_Toc377559841"/>
      <w:bookmarkStart w:id="1077" w:name="_Toc377560268"/>
      <w:bookmarkStart w:id="1078" w:name="_Toc377563933"/>
      <w:bookmarkStart w:id="1079" w:name="_Toc377564218"/>
      <w:bookmarkStart w:id="1080" w:name="_Toc377572176"/>
      <w:bookmarkStart w:id="1081" w:name="_Toc377637501"/>
      <w:bookmarkStart w:id="1082" w:name="_Toc377637804"/>
      <w:bookmarkStart w:id="1083" w:name="_Toc377645429"/>
      <w:bookmarkStart w:id="1084" w:name="_Toc377645732"/>
      <w:bookmarkStart w:id="1085" w:name="_Toc377031247"/>
      <w:bookmarkStart w:id="1086" w:name="_Toc377032546"/>
      <w:bookmarkStart w:id="1087" w:name="_Toc377559843"/>
      <w:bookmarkStart w:id="1088" w:name="_Toc377560270"/>
      <w:bookmarkStart w:id="1089" w:name="_Toc377563935"/>
      <w:bookmarkStart w:id="1090" w:name="_Toc377564220"/>
      <w:bookmarkStart w:id="1091" w:name="_Toc377572178"/>
      <w:bookmarkStart w:id="1092" w:name="_Toc377637503"/>
      <w:bookmarkStart w:id="1093" w:name="_Toc377637806"/>
      <w:bookmarkStart w:id="1094" w:name="_Toc377645431"/>
      <w:bookmarkStart w:id="1095" w:name="_Toc377645734"/>
      <w:bookmarkStart w:id="1096" w:name="_Toc377031249"/>
      <w:bookmarkStart w:id="1097" w:name="_Toc377032548"/>
      <w:bookmarkStart w:id="1098" w:name="_Toc377559845"/>
      <w:bookmarkStart w:id="1099" w:name="_Toc377560272"/>
      <w:bookmarkStart w:id="1100" w:name="_Toc377563937"/>
      <w:bookmarkStart w:id="1101" w:name="_Toc377564222"/>
      <w:bookmarkStart w:id="1102" w:name="_Toc377572180"/>
      <w:bookmarkStart w:id="1103" w:name="_Toc377637505"/>
      <w:bookmarkStart w:id="1104" w:name="_Toc377637808"/>
      <w:bookmarkStart w:id="1105" w:name="_Toc377645433"/>
      <w:bookmarkStart w:id="1106" w:name="_Toc377645736"/>
      <w:bookmarkStart w:id="1107" w:name="_Toc377031251"/>
      <w:bookmarkStart w:id="1108" w:name="_Toc377032550"/>
      <w:bookmarkStart w:id="1109" w:name="_Toc377559847"/>
      <w:bookmarkStart w:id="1110" w:name="_Toc377560274"/>
      <w:bookmarkStart w:id="1111" w:name="_Toc377563939"/>
      <w:bookmarkStart w:id="1112" w:name="_Toc377564224"/>
      <w:bookmarkStart w:id="1113" w:name="_Toc377572182"/>
      <w:bookmarkStart w:id="1114" w:name="_Toc377637507"/>
      <w:bookmarkStart w:id="1115" w:name="_Toc377637810"/>
      <w:bookmarkStart w:id="1116" w:name="_Toc377645435"/>
      <w:bookmarkStart w:id="1117" w:name="_Toc377645738"/>
      <w:bookmarkStart w:id="1118" w:name="_Toc377031253"/>
      <w:bookmarkStart w:id="1119" w:name="_Toc377032552"/>
      <w:bookmarkStart w:id="1120" w:name="_Toc377559849"/>
      <w:bookmarkStart w:id="1121" w:name="_Toc377560276"/>
      <w:bookmarkStart w:id="1122" w:name="_Toc377563941"/>
      <w:bookmarkStart w:id="1123" w:name="_Toc377564226"/>
      <w:bookmarkStart w:id="1124" w:name="_Toc377572184"/>
      <w:bookmarkStart w:id="1125" w:name="_Toc377637509"/>
      <w:bookmarkStart w:id="1126" w:name="_Toc377637812"/>
      <w:bookmarkStart w:id="1127" w:name="_Toc377645437"/>
      <w:bookmarkStart w:id="1128" w:name="_Toc377645740"/>
      <w:bookmarkStart w:id="1129" w:name="_Toc377031255"/>
      <w:bookmarkStart w:id="1130" w:name="_Toc377032554"/>
      <w:bookmarkStart w:id="1131" w:name="_Toc377559851"/>
      <w:bookmarkStart w:id="1132" w:name="_Toc377560278"/>
      <w:bookmarkStart w:id="1133" w:name="_Toc377563943"/>
      <w:bookmarkStart w:id="1134" w:name="_Toc377564228"/>
      <w:bookmarkStart w:id="1135" w:name="_Toc377572186"/>
      <w:bookmarkStart w:id="1136" w:name="_Toc377637511"/>
      <w:bookmarkStart w:id="1137" w:name="_Toc377637814"/>
      <w:bookmarkStart w:id="1138" w:name="_Toc377645439"/>
      <w:bookmarkStart w:id="1139" w:name="_Toc377645742"/>
      <w:bookmarkStart w:id="1140" w:name="_Toc377031257"/>
      <w:bookmarkStart w:id="1141" w:name="_Toc377032556"/>
      <w:bookmarkStart w:id="1142" w:name="_Toc377559853"/>
      <w:bookmarkStart w:id="1143" w:name="_Toc377560280"/>
      <w:bookmarkStart w:id="1144" w:name="_Toc377563945"/>
      <w:bookmarkStart w:id="1145" w:name="_Toc377564230"/>
      <w:bookmarkStart w:id="1146" w:name="_Toc377572188"/>
      <w:bookmarkStart w:id="1147" w:name="_Toc377637513"/>
      <w:bookmarkStart w:id="1148" w:name="_Toc377637816"/>
      <w:bookmarkStart w:id="1149" w:name="_Toc377645441"/>
      <w:bookmarkStart w:id="1150" w:name="_Toc377645744"/>
      <w:bookmarkStart w:id="1151" w:name="_Toc379211903"/>
      <w:bookmarkStart w:id="1152" w:name="_Toc66712444"/>
      <w:bookmarkEnd w:id="87"/>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14:paraId="4B362753" w14:textId="12E90B40" w:rsidR="00277C14" w:rsidRDefault="00503E8C" w:rsidP="005745B6">
      <w:pPr>
        <w:pStyle w:val="Heading2"/>
        <w:keepLines w:val="0"/>
        <w:spacing w:before="0"/>
        <w:ind w:right="680"/>
        <w:rPr>
          <w:rStyle w:val="Strong"/>
          <w:rFonts w:ascii="Arial" w:eastAsiaTheme="minorHAnsi" w:hAnsi="Arial" w:cs="Arial"/>
          <w:color w:val="auto"/>
          <w:sz w:val="20"/>
          <w:szCs w:val="20"/>
          <w:lang w:val="en-US"/>
        </w:rPr>
      </w:pPr>
      <w:bookmarkStart w:id="1153" w:name="_Toc135409903"/>
      <w:r>
        <w:rPr>
          <w:rStyle w:val="Strong"/>
          <w:rFonts w:ascii="Arial" w:eastAsiaTheme="minorHAnsi" w:hAnsi="Arial" w:cs="Arial"/>
          <w:color w:val="auto"/>
          <w:sz w:val="20"/>
          <w:szCs w:val="20"/>
          <w:lang w:val="en-US"/>
        </w:rPr>
        <w:t>8</w:t>
      </w:r>
      <w:r w:rsidR="005745B6">
        <w:rPr>
          <w:rStyle w:val="Strong"/>
          <w:rFonts w:ascii="Arial" w:eastAsiaTheme="minorHAnsi" w:hAnsi="Arial" w:cs="Arial"/>
          <w:color w:val="auto"/>
          <w:sz w:val="20"/>
          <w:szCs w:val="20"/>
          <w:lang w:val="en-US"/>
        </w:rPr>
        <w:t>.4.</w:t>
      </w:r>
      <w:r w:rsidR="005745B6">
        <w:rPr>
          <w:rStyle w:val="Strong"/>
          <w:rFonts w:ascii="Arial" w:eastAsiaTheme="minorHAnsi" w:hAnsi="Arial" w:cs="Arial"/>
          <w:color w:val="auto"/>
          <w:sz w:val="20"/>
          <w:szCs w:val="20"/>
          <w:lang w:val="en-US"/>
        </w:rPr>
        <w:tab/>
      </w:r>
      <w:r w:rsidR="00277C14" w:rsidRPr="005745B6">
        <w:rPr>
          <w:rStyle w:val="Strong"/>
          <w:rFonts w:ascii="Arial" w:eastAsiaTheme="minorHAnsi" w:hAnsi="Arial" w:cs="Arial"/>
          <w:color w:val="auto"/>
          <w:sz w:val="20"/>
          <w:szCs w:val="20"/>
          <w:lang w:val="en-US"/>
        </w:rPr>
        <w:t>Objectives</w:t>
      </w:r>
      <w:bookmarkEnd w:id="1151"/>
      <w:bookmarkEnd w:id="1152"/>
      <w:bookmarkEnd w:id="1153"/>
    </w:p>
    <w:p w14:paraId="71AE5814" w14:textId="77777777" w:rsidR="005745B6" w:rsidRPr="005745B6" w:rsidRDefault="005745B6" w:rsidP="005745B6">
      <w:pPr>
        <w:rPr>
          <w:lang w:val="en-US"/>
        </w:rPr>
      </w:pPr>
    </w:p>
    <w:p w14:paraId="778F6999" w14:textId="77777777" w:rsidR="00277C14" w:rsidRPr="00277C14" w:rsidRDefault="00277C14" w:rsidP="00277C14">
      <w:pPr>
        <w:rPr>
          <w:rFonts w:cs="Arial"/>
          <w:szCs w:val="20"/>
        </w:rPr>
      </w:pPr>
      <w:r w:rsidRPr="00277C14">
        <w:rPr>
          <w:rFonts w:cs="Arial"/>
          <w:szCs w:val="20"/>
        </w:rPr>
        <w:t>The objective of MONEYVAL is to ensure that its evaluated jurisdictions have in place effective systems to counter money laundering and terrorist financing and comply with the relevant international standards in these fields. MONEYVAL endeavours to achieve this through the following methodological tools:</w:t>
      </w:r>
    </w:p>
    <w:p w14:paraId="53D3199A" w14:textId="77777777" w:rsidR="00277C14" w:rsidRPr="00277C14" w:rsidRDefault="00277C14" w:rsidP="00277C14">
      <w:pPr>
        <w:rPr>
          <w:rFonts w:cs="Arial"/>
          <w:szCs w:val="20"/>
        </w:rPr>
      </w:pPr>
    </w:p>
    <w:tbl>
      <w:tblPr>
        <w:tblW w:w="9639" w:type="dxa"/>
        <w:jc w:val="center"/>
        <w:tblBorders>
          <w:top w:val="single" w:sz="12" w:space="0" w:color="000000"/>
          <w:left w:val="single" w:sz="12" w:space="0" w:color="000000"/>
          <w:bottom w:val="single" w:sz="12" w:space="0" w:color="000000"/>
          <w:right w:val="single" w:sz="12" w:space="0" w:color="000000"/>
        </w:tblBorders>
        <w:tblLook w:val="01E0" w:firstRow="1" w:lastRow="1" w:firstColumn="1" w:lastColumn="1" w:noHBand="0" w:noVBand="0"/>
      </w:tblPr>
      <w:tblGrid>
        <w:gridCol w:w="9639"/>
      </w:tblGrid>
      <w:tr w:rsidR="00277C14" w:rsidRPr="00277C14" w14:paraId="1F71157C" w14:textId="77777777" w:rsidTr="00277C14">
        <w:trPr>
          <w:jc w:val="center"/>
        </w:trPr>
        <w:tc>
          <w:tcPr>
            <w:tcW w:w="9639" w:type="dxa"/>
            <w:shd w:val="clear" w:color="auto" w:fill="808080"/>
          </w:tcPr>
          <w:p w14:paraId="648A0F12" w14:textId="77777777" w:rsidR="00277C14" w:rsidRPr="00277C14" w:rsidRDefault="00277C14" w:rsidP="00277C14">
            <w:pPr>
              <w:rPr>
                <w:rFonts w:cs="Arial"/>
                <w:b/>
                <w:bCs/>
                <w:szCs w:val="20"/>
                <w:lang w:eastAsia="en-GB"/>
              </w:rPr>
            </w:pPr>
            <w:r w:rsidRPr="00277C14">
              <w:rPr>
                <w:rFonts w:cs="Arial"/>
                <w:b/>
                <w:bCs/>
                <w:szCs w:val="20"/>
                <w:lang w:eastAsia="en-GB"/>
              </w:rPr>
              <w:t>Methodology</w:t>
            </w:r>
          </w:p>
        </w:tc>
      </w:tr>
      <w:tr w:rsidR="00277C14" w:rsidRPr="00277C14" w14:paraId="2CFBDE28" w14:textId="77777777" w:rsidTr="00277C14">
        <w:trPr>
          <w:trHeight w:val="280"/>
          <w:jc w:val="center"/>
        </w:trPr>
        <w:tc>
          <w:tcPr>
            <w:tcW w:w="9639" w:type="dxa"/>
          </w:tcPr>
          <w:p w14:paraId="5051F7C2" w14:textId="77777777" w:rsidR="00277C14" w:rsidRPr="00277C14" w:rsidRDefault="00277C14" w:rsidP="00C92E41">
            <w:pPr>
              <w:numPr>
                <w:ilvl w:val="1"/>
                <w:numId w:val="4"/>
              </w:numPr>
              <w:spacing w:before="120"/>
              <w:ind w:left="425" w:hanging="425"/>
              <w:rPr>
                <w:rFonts w:cs="Arial"/>
                <w:szCs w:val="20"/>
                <w:lang w:eastAsia="en-GB"/>
              </w:rPr>
            </w:pPr>
            <w:r w:rsidRPr="00277C14">
              <w:rPr>
                <w:rFonts w:cs="Arial"/>
                <w:szCs w:val="20"/>
                <w:lang w:eastAsia="en-GB"/>
              </w:rPr>
              <w:t xml:space="preserve">Assessing compliance with all relevant international standards in the legal, financial and law enforcement sectors through a peer review process of mutual </w:t>
            </w:r>
            <w:proofErr w:type="gramStart"/>
            <w:r w:rsidRPr="00277C14">
              <w:rPr>
                <w:rFonts w:cs="Arial"/>
                <w:szCs w:val="20"/>
                <w:lang w:eastAsia="en-GB"/>
              </w:rPr>
              <w:t>evaluations;</w:t>
            </w:r>
            <w:proofErr w:type="gramEnd"/>
          </w:p>
          <w:p w14:paraId="739AB2C7" w14:textId="77777777" w:rsidR="00277C14" w:rsidRPr="00277C14" w:rsidRDefault="00277C14" w:rsidP="00277C14">
            <w:pPr>
              <w:tabs>
                <w:tab w:val="num" w:pos="1440"/>
              </w:tabs>
              <w:ind w:left="425"/>
              <w:rPr>
                <w:rFonts w:cs="Arial"/>
                <w:szCs w:val="20"/>
                <w:lang w:eastAsia="en-GB"/>
              </w:rPr>
            </w:pPr>
          </w:p>
          <w:p w14:paraId="10C96C50" w14:textId="77777777" w:rsidR="00277C14" w:rsidRPr="00277C14" w:rsidRDefault="00277C14" w:rsidP="00C92E41">
            <w:pPr>
              <w:numPr>
                <w:ilvl w:val="1"/>
                <w:numId w:val="4"/>
              </w:numPr>
              <w:ind w:left="426" w:hanging="426"/>
              <w:rPr>
                <w:rFonts w:cs="Arial"/>
                <w:szCs w:val="20"/>
                <w:lang w:eastAsia="en-GB"/>
              </w:rPr>
            </w:pPr>
            <w:r w:rsidRPr="00277C14">
              <w:rPr>
                <w:rFonts w:cs="Arial"/>
                <w:szCs w:val="20"/>
                <w:lang w:eastAsia="en-GB"/>
              </w:rPr>
              <w:t>Issuing reports which provide tailored and concise recommendations on ways to improve the effectiveness of domestic regimes to combat money laundering and terrorist financing and States’ capacities to co</w:t>
            </w:r>
            <w:r w:rsidRPr="00277C14">
              <w:rPr>
                <w:rFonts w:cs="Arial"/>
                <w:szCs w:val="20"/>
                <w:lang w:eastAsia="en-GB"/>
              </w:rPr>
              <w:noBreakHyphen/>
              <w:t xml:space="preserve">operate internationally in these </w:t>
            </w:r>
            <w:proofErr w:type="gramStart"/>
            <w:r w:rsidRPr="00277C14">
              <w:rPr>
                <w:rFonts w:cs="Arial"/>
                <w:szCs w:val="20"/>
                <w:lang w:eastAsia="en-GB"/>
              </w:rPr>
              <w:t>areas;</w:t>
            </w:r>
            <w:proofErr w:type="gramEnd"/>
          </w:p>
          <w:p w14:paraId="1A4D01D2" w14:textId="77777777" w:rsidR="00277C14" w:rsidRPr="00277C14" w:rsidRDefault="00277C14" w:rsidP="00277C14">
            <w:pPr>
              <w:tabs>
                <w:tab w:val="num" w:pos="1440"/>
              </w:tabs>
              <w:rPr>
                <w:rFonts w:cs="Arial"/>
                <w:szCs w:val="20"/>
                <w:lang w:eastAsia="en-GB"/>
              </w:rPr>
            </w:pPr>
          </w:p>
          <w:p w14:paraId="174B9714" w14:textId="77777777" w:rsidR="00277C14" w:rsidRPr="00277C14" w:rsidRDefault="00277C14" w:rsidP="00C92E41">
            <w:pPr>
              <w:numPr>
                <w:ilvl w:val="1"/>
                <w:numId w:val="4"/>
              </w:numPr>
              <w:ind w:left="426" w:hanging="426"/>
              <w:rPr>
                <w:rFonts w:cs="Arial"/>
                <w:szCs w:val="20"/>
                <w:lang w:eastAsia="en-GB"/>
              </w:rPr>
            </w:pPr>
            <w:r w:rsidRPr="00277C14">
              <w:rPr>
                <w:rFonts w:cs="Arial"/>
                <w:szCs w:val="20"/>
                <w:lang w:eastAsia="en-GB"/>
              </w:rPr>
              <w:t xml:space="preserve">Ensuring an effective follow-up of evaluation reports, including Compliance Enhancing Procedures (CEPs), to improve levels of compliance with international AML/CFT standards by the States and territories which participate in MONEYVAL’s evaluation </w:t>
            </w:r>
            <w:proofErr w:type="gramStart"/>
            <w:r w:rsidRPr="00277C14">
              <w:rPr>
                <w:rFonts w:cs="Arial"/>
                <w:szCs w:val="20"/>
                <w:lang w:eastAsia="en-GB"/>
              </w:rPr>
              <w:t>processes;</w:t>
            </w:r>
            <w:proofErr w:type="gramEnd"/>
          </w:p>
          <w:p w14:paraId="49EFA02C" w14:textId="77777777" w:rsidR="00277C14" w:rsidRPr="00277C14" w:rsidRDefault="00277C14" w:rsidP="00277C14">
            <w:pPr>
              <w:tabs>
                <w:tab w:val="num" w:pos="1440"/>
              </w:tabs>
              <w:rPr>
                <w:rFonts w:cs="Arial"/>
                <w:szCs w:val="20"/>
                <w:lang w:eastAsia="en-GB"/>
              </w:rPr>
            </w:pPr>
          </w:p>
          <w:p w14:paraId="08E0A3E3" w14:textId="667C8D5A" w:rsidR="00277C14" w:rsidRPr="00277C14" w:rsidRDefault="00277C14" w:rsidP="00C92E41">
            <w:pPr>
              <w:numPr>
                <w:ilvl w:val="1"/>
                <w:numId w:val="4"/>
              </w:numPr>
              <w:ind w:left="352" w:hanging="284"/>
              <w:rPr>
                <w:rFonts w:cs="Arial"/>
                <w:szCs w:val="20"/>
                <w:lang w:eastAsia="en-GB"/>
              </w:rPr>
            </w:pPr>
            <w:r w:rsidRPr="00277C14">
              <w:rPr>
                <w:rFonts w:cs="Arial"/>
                <w:szCs w:val="20"/>
                <w:lang w:eastAsia="en-GB"/>
              </w:rPr>
              <w:t xml:space="preserve"> Conducting typologies studies of money laundering and terrorist financing methods, trends and techniques and issue reports thereabout.</w:t>
            </w:r>
          </w:p>
        </w:tc>
      </w:tr>
    </w:tbl>
    <w:p w14:paraId="0D131362" w14:textId="758CA50F" w:rsidR="005745B6" w:rsidRDefault="005745B6">
      <w:pPr>
        <w:rPr>
          <w:rStyle w:val="Strong"/>
          <w:rFonts w:eastAsiaTheme="minorHAnsi" w:cs="Arial"/>
          <w:szCs w:val="20"/>
          <w:lang w:val="en-US"/>
        </w:rPr>
      </w:pPr>
      <w:bookmarkStart w:id="1154" w:name="_Toc379211905"/>
      <w:bookmarkStart w:id="1155" w:name="_Toc66712445"/>
    </w:p>
    <w:p w14:paraId="38355A70" w14:textId="77777777" w:rsidR="00E51C76" w:rsidRDefault="00E51C76">
      <w:pPr>
        <w:rPr>
          <w:rStyle w:val="Strong"/>
          <w:rFonts w:eastAsiaTheme="minorHAnsi" w:cs="Arial"/>
          <w:szCs w:val="20"/>
          <w:lang w:val="en-US"/>
        </w:rPr>
      </w:pPr>
      <w:bookmarkStart w:id="1156" w:name="_Toc135409904"/>
      <w:r>
        <w:rPr>
          <w:rStyle w:val="Strong"/>
          <w:rFonts w:eastAsiaTheme="minorHAnsi" w:cs="Arial"/>
          <w:szCs w:val="20"/>
          <w:lang w:val="en-US"/>
        </w:rPr>
        <w:br w:type="page"/>
      </w:r>
    </w:p>
    <w:p w14:paraId="55868231" w14:textId="467CAE3E" w:rsidR="00277C14" w:rsidRDefault="00503E8C" w:rsidP="005745B6">
      <w:pPr>
        <w:pStyle w:val="Heading2"/>
        <w:keepLines w:val="0"/>
        <w:spacing w:before="0"/>
        <w:ind w:right="680"/>
        <w:rPr>
          <w:rStyle w:val="Strong"/>
          <w:rFonts w:ascii="Arial" w:eastAsiaTheme="minorHAnsi" w:hAnsi="Arial" w:cs="Arial"/>
          <w:color w:val="auto"/>
          <w:sz w:val="20"/>
          <w:szCs w:val="20"/>
          <w:lang w:val="en-US"/>
        </w:rPr>
      </w:pPr>
      <w:r>
        <w:rPr>
          <w:rStyle w:val="Strong"/>
          <w:rFonts w:ascii="Arial" w:eastAsiaTheme="minorHAnsi" w:hAnsi="Arial" w:cs="Arial"/>
          <w:color w:val="auto"/>
          <w:sz w:val="20"/>
          <w:szCs w:val="20"/>
          <w:lang w:val="en-US"/>
        </w:rPr>
        <w:lastRenderedPageBreak/>
        <w:t>8</w:t>
      </w:r>
      <w:r w:rsidR="005745B6" w:rsidRPr="005745B6">
        <w:rPr>
          <w:rStyle w:val="Strong"/>
          <w:rFonts w:ascii="Arial" w:eastAsiaTheme="minorHAnsi" w:hAnsi="Arial" w:cs="Arial"/>
          <w:color w:val="auto"/>
          <w:sz w:val="20"/>
          <w:szCs w:val="20"/>
          <w:lang w:val="en-US"/>
        </w:rPr>
        <w:t>.5.</w:t>
      </w:r>
      <w:r w:rsidR="005745B6" w:rsidRPr="005745B6">
        <w:rPr>
          <w:rStyle w:val="Strong"/>
          <w:rFonts w:ascii="Arial" w:eastAsiaTheme="minorHAnsi" w:hAnsi="Arial" w:cs="Arial"/>
          <w:color w:val="auto"/>
          <w:sz w:val="20"/>
          <w:szCs w:val="20"/>
          <w:lang w:val="en-US"/>
        </w:rPr>
        <w:tab/>
      </w:r>
      <w:r w:rsidR="00277C14" w:rsidRPr="005745B6">
        <w:rPr>
          <w:rStyle w:val="Strong"/>
          <w:rFonts w:ascii="Arial" w:eastAsiaTheme="minorHAnsi" w:hAnsi="Arial" w:cs="Arial"/>
          <w:color w:val="auto"/>
          <w:sz w:val="20"/>
          <w:szCs w:val="20"/>
          <w:lang w:val="en-US"/>
        </w:rPr>
        <w:t xml:space="preserve">Mutual evaluation rounds and follow-up </w:t>
      </w:r>
      <w:bookmarkEnd w:id="1154"/>
      <w:r w:rsidR="00277C14" w:rsidRPr="005745B6">
        <w:rPr>
          <w:rStyle w:val="Strong"/>
          <w:rFonts w:ascii="Arial" w:eastAsiaTheme="minorHAnsi" w:hAnsi="Arial" w:cs="Arial"/>
          <w:color w:val="auto"/>
          <w:sz w:val="20"/>
          <w:szCs w:val="20"/>
          <w:lang w:val="en-US"/>
        </w:rPr>
        <w:t>procedures</w:t>
      </w:r>
      <w:bookmarkEnd w:id="1155"/>
      <w:bookmarkEnd w:id="1156"/>
    </w:p>
    <w:p w14:paraId="4B23424B" w14:textId="77777777" w:rsidR="005745B6" w:rsidRPr="005745B6" w:rsidRDefault="005745B6" w:rsidP="005745B6">
      <w:pPr>
        <w:rPr>
          <w:lang w:val="en-US"/>
        </w:rPr>
      </w:pPr>
    </w:p>
    <w:p w14:paraId="243D6D97" w14:textId="77777777" w:rsidR="00277C14" w:rsidRPr="00277C14" w:rsidRDefault="00277C14" w:rsidP="00277C14">
      <w:pPr>
        <w:rPr>
          <w:rFonts w:cs="Arial"/>
          <w:szCs w:val="20"/>
        </w:rPr>
      </w:pPr>
      <w:r w:rsidRPr="00277C14">
        <w:rPr>
          <w:rFonts w:cs="Arial"/>
          <w:szCs w:val="20"/>
        </w:rPr>
        <w:t>MONEYVAL has completed four rounds of mutual evaluations. In 2015, it commenced its 5th round of mutual evaluations, which is based on the FATF 2012 Recommendations and the 2013 Methodology for assessing technical compliance with the FATF Recommendations and the effectiveness of AML/CFT systems. For each round, evaluations of MONEYVAL States and territories give rise to mutual evaluation reports.</w:t>
      </w:r>
    </w:p>
    <w:p w14:paraId="63A200E3" w14:textId="77777777" w:rsidR="00277C14" w:rsidRPr="00277C14" w:rsidRDefault="00277C14" w:rsidP="00277C14">
      <w:pPr>
        <w:rPr>
          <w:rFonts w:cs="Arial"/>
          <w:szCs w:val="20"/>
        </w:rPr>
      </w:pPr>
    </w:p>
    <w:tbl>
      <w:tblPr>
        <w:tblW w:w="0" w:type="auto"/>
        <w:jc w:val="center"/>
        <w:tblBorders>
          <w:top w:val="single" w:sz="12" w:space="0" w:color="000000"/>
          <w:left w:val="single" w:sz="12" w:space="0" w:color="000000"/>
          <w:bottom w:val="single" w:sz="12" w:space="0" w:color="000000"/>
          <w:right w:val="single" w:sz="12" w:space="0" w:color="000000"/>
        </w:tblBorders>
        <w:tblLook w:val="01E0" w:firstRow="1" w:lastRow="1" w:firstColumn="1" w:lastColumn="1" w:noHBand="0" w:noVBand="0"/>
      </w:tblPr>
      <w:tblGrid>
        <w:gridCol w:w="9525"/>
      </w:tblGrid>
      <w:tr w:rsidR="00277C14" w:rsidRPr="00277C14" w14:paraId="45649B13" w14:textId="77777777" w:rsidTr="00277C14">
        <w:trPr>
          <w:jc w:val="center"/>
        </w:trPr>
        <w:tc>
          <w:tcPr>
            <w:tcW w:w="9525" w:type="dxa"/>
            <w:shd w:val="clear" w:color="auto" w:fill="808080"/>
          </w:tcPr>
          <w:p w14:paraId="5908E5CC" w14:textId="77777777" w:rsidR="00277C14" w:rsidRPr="00277C14" w:rsidRDefault="00277C14" w:rsidP="00277C14">
            <w:pPr>
              <w:rPr>
                <w:rFonts w:cs="Arial"/>
                <w:b/>
                <w:bCs/>
                <w:szCs w:val="20"/>
                <w:lang w:eastAsia="en-GB"/>
              </w:rPr>
            </w:pPr>
            <w:r w:rsidRPr="00277C14">
              <w:rPr>
                <w:rFonts w:cs="Arial"/>
                <w:b/>
                <w:bCs/>
                <w:szCs w:val="20"/>
                <w:lang w:eastAsia="en-GB"/>
              </w:rPr>
              <w:t>Mutual evaluation rounds</w:t>
            </w:r>
          </w:p>
        </w:tc>
      </w:tr>
      <w:tr w:rsidR="00277C14" w:rsidRPr="00277C14" w14:paraId="5B640830" w14:textId="77777777" w:rsidTr="00277C14">
        <w:trPr>
          <w:jc w:val="center"/>
        </w:trPr>
        <w:tc>
          <w:tcPr>
            <w:tcW w:w="9525" w:type="dxa"/>
          </w:tcPr>
          <w:p w14:paraId="3F9E0B2F" w14:textId="77777777" w:rsidR="00277C14" w:rsidRPr="00277C14" w:rsidRDefault="00277C14" w:rsidP="00277C14">
            <w:pPr>
              <w:spacing w:before="120"/>
              <w:rPr>
                <w:rFonts w:cs="Arial"/>
                <w:b/>
                <w:szCs w:val="20"/>
                <w:lang w:eastAsia="en-GB"/>
              </w:rPr>
            </w:pPr>
            <w:r w:rsidRPr="00277C14">
              <w:rPr>
                <w:rFonts w:cs="Arial"/>
                <w:b/>
                <w:szCs w:val="20"/>
                <w:lang w:eastAsia="en-GB"/>
              </w:rPr>
              <w:t>First evaluation round (1998-2000)</w:t>
            </w:r>
          </w:p>
          <w:p w14:paraId="2D1FD767" w14:textId="77777777" w:rsidR="00277C14" w:rsidRPr="00277C14" w:rsidRDefault="00277C14" w:rsidP="00277C14">
            <w:pPr>
              <w:rPr>
                <w:rFonts w:cs="Arial"/>
                <w:szCs w:val="20"/>
                <w:lang w:eastAsia="en-GB"/>
              </w:rPr>
            </w:pPr>
            <w:r w:rsidRPr="00277C14">
              <w:rPr>
                <w:rFonts w:cs="Arial"/>
                <w:szCs w:val="20"/>
                <w:lang w:eastAsia="en-GB"/>
              </w:rPr>
              <w:t>The first round of mutual evaluations, based on the 1996 FATF Recommendations, was initiated in 1998 and onsite visits were concluded in 2000. 22 Council of Europe member States were evaluated in the first evaluation round.</w:t>
            </w:r>
          </w:p>
          <w:p w14:paraId="39974F47" w14:textId="77777777" w:rsidR="00277C14" w:rsidRPr="00277C14" w:rsidRDefault="00277C14" w:rsidP="00277C14">
            <w:pPr>
              <w:rPr>
                <w:rFonts w:cs="Arial"/>
                <w:szCs w:val="20"/>
                <w:lang w:eastAsia="en-GB"/>
              </w:rPr>
            </w:pPr>
          </w:p>
          <w:p w14:paraId="7CC92DDB" w14:textId="77777777" w:rsidR="00277C14" w:rsidRPr="00277C14" w:rsidRDefault="00277C14" w:rsidP="00277C14">
            <w:pPr>
              <w:rPr>
                <w:rFonts w:cs="Arial"/>
                <w:b/>
                <w:szCs w:val="20"/>
                <w:lang w:eastAsia="en-GB"/>
              </w:rPr>
            </w:pPr>
            <w:r w:rsidRPr="00277C14">
              <w:rPr>
                <w:rFonts w:cs="Arial"/>
                <w:b/>
                <w:szCs w:val="20"/>
                <w:lang w:eastAsia="en-GB"/>
              </w:rPr>
              <w:t>Second evaluation round (2001-2004)</w:t>
            </w:r>
          </w:p>
          <w:p w14:paraId="4CF12D4F" w14:textId="77777777" w:rsidR="00277C14" w:rsidRPr="00277C14" w:rsidRDefault="00277C14" w:rsidP="00277C14">
            <w:pPr>
              <w:rPr>
                <w:rFonts w:cs="Arial"/>
                <w:szCs w:val="20"/>
                <w:lang w:eastAsia="en-GB"/>
              </w:rPr>
            </w:pPr>
            <w:r w:rsidRPr="00277C14">
              <w:rPr>
                <w:rFonts w:cs="Arial"/>
                <w:szCs w:val="20"/>
                <w:lang w:eastAsia="en-GB"/>
              </w:rPr>
              <w:t>This second round was also based largely on the 1996 FATF Recommendations and included evaluation against the FATF’s Criteria for non-co-operative States and territories. MONEYVAL concluded its second round of onsite visits until 2003. 27 Council of Europe member States were evaluated.</w:t>
            </w:r>
          </w:p>
        </w:tc>
      </w:tr>
      <w:tr w:rsidR="00277C14" w:rsidRPr="00277C14" w14:paraId="6BC779B8" w14:textId="77777777" w:rsidTr="00277C14">
        <w:trPr>
          <w:jc w:val="center"/>
        </w:trPr>
        <w:tc>
          <w:tcPr>
            <w:tcW w:w="9525" w:type="dxa"/>
          </w:tcPr>
          <w:p w14:paraId="279B0722" w14:textId="77777777" w:rsidR="00277C14" w:rsidRPr="00277C14" w:rsidRDefault="00277C14" w:rsidP="00277C14">
            <w:pPr>
              <w:widowControl w:val="0"/>
              <w:rPr>
                <w:rFonts w:cs="Arial"/>
                <w:b/>
                <w:szCs w:val="20"/>
                <w:lang w:eastAsia="en-GB"/>
              </w:rPr>
            </w:pPr>
          </w:p>
          <w:p w14:paraId="016D7A33" w14:textId="77777777" w:rsidR="00277C14" w:rsidRPr="00277C14" w:rsidRDefault="00277C14" w:rsidP="00277C14">
            <w:pPr>
              <w:widowControl w:val="0"/>
              <w:rPr>
                <w:rFonts w:cs="Arial"/>
                <w:b/>
                <w:szCs w:val="20"/>
                <w:lang w:eastAsia="en-GB"/>
              </w:rPr>
            </w:pPr>
            <w:r w:rsidRPr="00277C14">
              <w:rPr>
                <w:rFonts w:cs="Arial"/>
                <w:b/>
                <w:szCs w:val="20"/>
                <w:lang w:eastAsia="en-GB"/>
              </w:rPr>
              <w:t>Third evaluation round (2005-2009)</w:t>
            </w:r>
            <w:r w:rsidRPr="00277C14">
              <w:rPr>
                <w:rFonts w:cs="Arial"/>
                <w:szCs w:val="20"/>
                <w:vertAlign w:val="superscript"/>
                <w:lang w:eastAsia="en-GB"/>
              </w:rPr>
              <w:footnoteReference w:id="5"/>
            </w:r>
          </w:p>
          <w:p w14:paraId="5FF597A5" w14:textId="77777777" w:rsidR="00277C14" w:rsidRPr="00277C14" w:rsidRDefault="00277C14" w:rsidP="00277C14">
            <w:pPr>
              <w:rPr>
                <w:rFonts w:cs="Arial"/>
                <w:b/>
                <w:szCs w:val="20"/>
                <w:lang w:eastAsia="en-GB"/>
              </w:rPr>
            </w:pPr>
            <w:r w:rsidRPr="00277C14">
              <w:rPr>
                <w:rFonts w:cs="Arial"/>
                <w:szCs w:val="20"/>
                <w:lang w:eastAsia="en-GB"/>
              </w:rPr>
              <w:t>The third round of mutual evaluations was based on the 2003 revised FATF Recommendations. In addition, the evaluations reviewed aspects of compliance with the European Union’s Third Anti-Money Laundering Directive, which came into force in 2007.</w:t>
            </w:r>
            <w:r w:rsidRPr="00277C14">
              <w:rPr>
                <w:rFonts w:cs="Arial"/>
                <w:szCs w:val="20"/>
              </w:rPr>
              <w:t xml:space="preserve"> </w:t>
            </w:r>
            <w:r w:rsidRPr="00277C14">
              <w:rPr>
                <w:rFonts w:cs="Arial"/>
                <w:szCs w:val="20"/>
                <w:lang w:eastAsia="en-GB"/>
              </w:rPr>
              <w:t>28 Council of Europe member States together with the Holy See/Vatican City State and Israel have been evaluated in the third evaluation round.</w:t>
            </w:r>
          </w:p>
        </w:tc>
      </w:tr>
      <w:tr w:rsidR="00277C14" w:rsidRPr="00277C14" w14:paraId="4F39B533" w14:textId="77777777" w:rsidTr="00277C14">
        <w:trPr>
          <w:jc w:val="center"/>
        </w:trPr>
        <w:tc>
          <w:tcPr>
            <w:tcW w:w="9525" w:type="dxa"/>
          </w:tcPr>
          <w:p w14:paraId="5E9578E9" w14:textId="77777777" w:rsidR="00277C14" w:rsidRPr="00277C14" w:rsidRDefault="00277C14" w:rsidP="00277C14">
            <w:pPr>
              <w:rPr>
                <w:rFonts w:cs="Arial"/>
                <w:b/>
                <w:szCs w:val="20"/>
                <w:lang w:eastAsia="en-GB"/>
              </w:rPr>
            </w:pPr>
          </w:p>
          <w:p w14:paraId="274C603B" w14:textId="77777777" w:rsidR="00277C14" w:rsidRPr="00277C14" w:rsidRDefault="00277C14" w:rsidP="00277C14">
            <w:pPr>
              <w:rPr>
                <w:rFonts w:cs="Arial"/>
                <w:b/>
                <w:szCs w:val="20"/>
                <w:lang w:eastAsia="en-GB"/>
              </w:rPr>
            </w:pPr>
            <w:r w:rsidRPr="00277C14">
              <w:rPr>
                <w:rFonts w:cs="Arial"/>
                <w:b/>
                <w:szCs w:val="20"/>
                <w:lang w:eastAsia="en-GB"/>
              </w:rPr>
              <w:t>Follow-up evaluation round or “MONEYVAL’s Fourth Round” (2009-2014)</w:t>
            </w:r>
          </w:p>
          <w:p w14:paraId="38148C41" w14:textId="1FABBA81" w:rsidR="00277C14" w:rsidRPr="00277C14" w:rsidRDefault="00277C14" w:rsidP="00277C14">
            <w:pPr>
              <w:rPr>
                <w:rFonts w:cs="Arial"/>
                <w:szCs w:val="20"/>
                <w:lang w:eastAsia="en-GB"/>
              </w:rPr>
            </w:pPr>
            <w:r w:rsidRPr="00277C14">
              <w:rPr>
                <w:rFonts w:cs="Arial"/>
                <w:szCs w:val="20"/>
                <w:lang w:eastAsia="en-GB"/>
              </w:rPr>
              <w:t xml:space="preserve">MONEYVAL commenced a follow-up round of onsite visits in 2009. For each country, these evaluations focused on the effectiveness of implementation of a number of </w:t>
            </w:r>
            <w:proofErr w:type="gramStart"/>
            <w:r w:rsidRPr="00277C14">
              <w:rPr>
                <w:rFonts w:cs="Arial"/>
                <w:szCs w:val="20"/>
                <w:lang w:eastAsia="en-GB"/>
              </w:rPr>
              <w:t>priorit</w:t>
            </w:r>
            <w:r w:rsidR="00D44387">
              <w:rPr>
                <w:rFonts w:cs="Arial"/>
                <w:szCs w:val="20"/>
                <w:lang w:eastAsia="en-GB"/>
              </w:rPr>
              <w:t>y</w:t>
            </w:r>
            <w:proofErr w:type="gramEnd"/>
            <w:r w:rsidRPr="00277C14">
              <w:rPr>
                <w:rFonts w:cs="Arial"/>
                <w:szCs w:val="20"/>
                <w:lang w:eastAsia="en-GB"/>
              </w:rPr>
              <w:t xml:space="preserve"> FATF recommendations, together with any recommendations for which the country received either a non-compliant or partially compliant rating in the third round. In addition, the evaluation also reviewed aspects of compliance with the </w:t>
            </w:r>
            <w:r w:rsidRPr="00277C14">
              <w:rPr>
                <w:rFonts w:cs="Arial"/>
                <w:szCs w:val="20"/>
              </w:rPr>
              <w:t>EU’s 3</w:t>
            </w:r>
            <w:r w:rsidRPr="00277C14">
              <w:rPr>
                <w:rFonts w:cs="Arial"/>
                <w:szCs w:val="20"/>
                <w:vertAlign w:val="superscript"/>
              </w:rPr>
              <w:t>rd</w:t>
            </w:r>
            <w:r w:rsidR="003654E4">
              <w:rPr>
                <w:rFonts w:cs="Arial"/>
                <w:szCs w:val="20"/>
                <w:vertAlign w:val="superscript"/>
              </w:rPr>
              <w:t> </w:t>
            </w:r>
            <w:r w:rsidRPr="00277C14">
              <w:rPr>
                <w:rFonts w:cs="Arial"/>
                <w:szCs w:val="20"/>
              </w:rPr>
              <w:t xml:space="preserve">Anti-Money Laundering and Counter-Terrorist Financing Directive </w:t>
            </w:r>
            <w:r w:rsidRPr="00277C14">
              <w:rPr>
                <w:rFonts w:cs="Arial"/>
                <w:szCs w:val="20"/>
                <w:lang w:val="en-US"/>
              </w:rPr>
              <w:t>(Directive 2005/60/EC)</w:t>
            </w:r>
            <w:r w:rsidRPr="00277C14">
              <w:rPr>
                <w:rFonts w:cs="Arial"/>
                <w:szCs w:val="20"/>
                <w:lang w:eastAsia="en-GB"/>
              </w:rPr>
              <w:t>.</w:t>
            </w:r>
          </w:p>
          <w:p w14:paraId="075564C5" w14:textId="77777777" w:rsidR="00277C14" w:rsidRPr="00277C14" w:rsidRDefault="00277C14" w:rsidP="00277C14">
            <w:pPr>
              <w:rPr>
                <w:rFonts w:cs="Arial"/>
                <w:b/>
                <w:szCs w:val="20"/>
                <w:lang w:eastAsia="en-GB"/>
              </w:rPr>
            </w:pPr>
          </w:p>
          <w:p w14:paraId="72079428" w14:textId="0A46397F" w:rsidR="00277C14" w:rsidRPr="00277C14" w:rsidRDefault="00277C14" w:rsidP="00277C14">
            <w:pPr>
              <w:rPr>
                <w:rFonts w:cs="Arial"/>
                <w:szCs w:val="20"/>
                <w:lang w:eastAsia="en-GB"/>
              </w:rPr>
            </w:pPr>
            <w:bookmarkStart w:id="1158" w:name="_Hlk135136264"/>
            <w:r w:rsidRPr="00277C14">
              <w:rPr>
                <w:rFonts w:cs="Arial"/>
                <w:b/>
                <w:szCs w:val="20"/>
                <w:lang w:eastAsia="en-GB"/>
              </w:rPr>
              <w:t>Fifth evaluation round (</w:t>
            </w:r>
            <w:r w:rsidRPr="005844FD">
              <w:rPr>
                <w:rFonts w:cs="Arial"/>
                <w:b/>
                <w:szCs w:val="20"/>
                <w:lang w:eastAsia="en-GB"/>
              </w:rPr>
              <w:t>2015</w:t>
            </w:r>
            <w:r w:rsidR="00A77BA6" w:rsidRPr="005844FD">
              <w:rPr>
                <w:rFonts w:cs="Arial"/>
                <w:b/>
                <w:szCs w:val="20"/>
                <w:lang w:eastAsia="en-GB"/>
              </w:rPr>
              <w:t xml:space="preserve"> -2024</w:t>
            </w:r>
            <w:r w:rsidRPr="005844FD">
              <w:rPr>
                <w:rFonts w:cs="Arial"/>
                <w:b/>
                <w:szCs w:val="20"/>
                <w:lang w:eastAsia="en-GB"/>
              </w:rPr>
              <w:t>)</w:t>
            </w:r>
          </w:p>
          <w:p w14:paraId="27CBC462" w14:textId="34BBFDD3" w:rsidR="00277C14" w:rsidRPr="00277C14" w:rsidRDefault="00277C14" w:rsidP="00277C14">
            <w:pPr>
              <w:rPr>
                <w:rFonts w:cs="Arial"/>
                <w:b/>
                <w:szCs w:val="20"/>
                <w:lang w:eastAsia="en-GB"/>
              </w:rPr>
            </w:pPr>
            <w:r w:rsidRPr="00277C14">
              <w:rPr>
                <w:rFonts w:cs="Arial"/>
                <w:szCs w:val="20"/>
                <w:lang w:eastAsia="en-GB"/>
              </w:rPr>
              <w:t xml:space="preserve">The FATF 2012 Recommendations and the 2013 </w:t>
            </w:r>
            <w:r w:rsidRPr="00277C14">
              <w:rPr>
                <w:rFonts w:cs="Arial"/>
                <w:szCs w:val="20"/>
              </w:rPr>
              <w:t>“</w:t>
            </w:r>
            <w:r w:rsidRPr="00277C14">
              <w:rPr>
                <w:rFonts w:cs="Arial"/>
                <w:iCs/>
                <w:szCs w:val="20"/>
              </w:rPr>
              <w:t>Methodology for Assessing Compliance with the FATF Recommendations and the Effectiveness of AML/CFT Systems”</w:t>
            </w:r>
            <w:r w:rsidRPr="00277C14">
              <w:rPr>
                <w:rFonts w:cs="Arial"/>
                <w:szCs w:val="20"/>
              </w:rPr>
              <w:t xml:space="preserve"> </w:t>
            </w:r>
            <w:r w:rsidRPr="00277C14">
              <w:rPr>
                <w:rFonts w:cs="Arial"/>
                <w:szCs w:val="20"/>
                <w:lang w:eastAsia="en-GB"/>
              </w:rPr>
              <w:t>constitute the basis of the 5</w:t>
            </w:r>
            <w:r w:rsidRPr="00277C14">
              <w:rPr>
                <w:rFonts w:cs="Arial"/>
                <w:szCs w:val="20"/>
                <w:vertAlign w:val="superscript"/>
                <w:lang w:eastAsia="en-GB"/>
              </w:rPr>
              <w:t>th </w:t>
            </w:r>
            <w:r w:rsidRPr="00277C14">
              <w:rPr>
                <w:rFonts w:cs="Arial"/>
                <w:szCs w:val="20"/>
                <w:lang w:eastAsia="en-GB"/>
              </w:rPr>
              <w:t xml:space="preserve">MONEYVAL round of evaluations. In this new round which commenced in 2015, the main emphasis is on the effective implementation of the FATF Recommendations by States and territories, with each onsite visit lasting between 10 </w:t>
            </w:r>
            <w:r w:rsidRPr="005844FD">
              <w:rPr>
                <w:rFonts w:cs="Arial"/>
                <w:szCs w:val="20"/>
                <w:lang w:eastAsia="en-GB"/>
              </w:rPr>
              <w:t xml:space="preserve">and 14 days, or longer as appropriate. The first MER report under this new round was adopted in December 2015. </w:t>
            </w:r>
            <w:bookmarkStart w:id="1159" w:name="_Hlk135220050"/>
            <w:r w:rsidR="00781657">
              <w:rPr>
                <w:rFonts w:cs="Arial"/>
                <w:szCs w:val="20"/>
                <w:lang w:eastAsia="en-GB"/>
              </w:rPr>
              <w:t xml:space="preserve">By the end of 2021, </w:t>
            </w:r>
            <w:r w:rsidR="001D6686">
              <w:rPr>
                <w:rFonts w:cs="Arial"/>
                <w:szCs w:val="20"/>
                <w:lang w:eastAsia="en-GB"/>
              </w:rPr>
              <w:t>twenty-one m</w:t>
            </w:r>
            <w:r w:rsidR="00781657" w:rsidRPr="005844FD">
              <w:rPr>
                <w:rFonts w:cs="Arial"/>
                <w:szCs w:val="20"/>
                <w:lang w:eastAsia="en-GB"/>
              </w:rPr>
              <w:t xml:space="preserve">utual evaluation reports were adopted, </w:t>
            </w:r>
            <w:r w:rsidR="00781657">
              <w:rPr>
                <w:rFonts w:cs="Arial"/>
                <w:szCs w:val="20"/>
                <w:lang w:eastAsia="en-GB"/>
              </w:rPr>
              <w:t>and two other countries received onsite visits.</w:t>
            </w:r>
            <w:r w:rsidR="00781657" w:rsidRPr="005844FD">
              <w:rPr>
                <w:rFonts w:cs="Arial"/>
                <w:szCs w:val="20"/>
                <w:lang w:eastAsia="en-GB"/>
              </w:rPr>
              <w:t xml:space="preserve"> </w:t>
            </w:r>
            <w:r w:rsidRPr="005844FD">
              <w:rPr>
                <w:rFonts w:cs="Arial"/>
                <w:szCs w:val="20"/>
                <w:lang w:eastAsia="en-GB"/>
              </w:rPr>
              <w:t>By the end of 202</w:t>
            </w:r>
            <w:r w:rsidR="00A77BA6" w:rsidRPr="005844FD">
              <w:rPr>
                <w:rFonts w:cs="Arial"/>
                <w:szCs w:val="20"/>
                <w:lang w:eastAsia="en-GB"/>
              </w:rPr>
              <w:t>2</w:t>
            </w:r>
            <w:r w:rsidRPr="005844FD">
              <w:rPr>
                <w:rFonts w:cs="Arial"/>
                <w:szCs w:val="20"/>
                <w:lang w:eastAsia="en-GB"/>
              </w:rPr>
              <w:t xml:space="preserve">, </w:t>
            </w:r>
            <w:r w:rsidR="001D6686">
              <w:rPr>
                <w:rFonts w:cs="Arial"/>
                <w:szCs w:val="20"/>
                <w:lang w:eastAsia="en-GB"/>
              </w:rPr>
              <w:t xml:space="preserve">twenty-six </w:t>
            </w:r>
            <w:r w:rsidRPr="005844FD">
              <w:rPr>
                <w:rFonts w:cs="Arial"/>
                <w:szCs w:val="20"/>
                <w:lang w:eastAsia="en-GB"/>
              </w:rPr>
              <w:t>mutual evaluation reports were adopted, and two additional countries</w:t>
            </w:r>
            <w:r w:rsidR="005A1594" w:rsidRPr="005844FD">
              <w:rPr>
                <w:rFonts w:cs="Arial"/>
                <w:szCs w:val="20"/>
                <w:lang w:eastAsia="en-GB"/>
              </w:rPr>
              <w:t xml:space="preserve"> (North Macedonia and Romania)</w:t>
            </w:r>
            <w:r w:rsidRPr="005844FD">
              <w:rPr>
                <w:rFonts w:cs="Arial"/>
                <w:szCs w:val="20"/>
                <w:lang w:eastAsia="en-GB"/>
              </w:rPr>
              <w:t xml:space="preserve"> received onsite visits in the current round.</w:t>
            </w:r>
            <w:bookmarkEnd w:id="1158"/>
            <w:bookmarkEnd w:id="1159"/>
          </w:p>
        </w:tc>
      </w:tr>
    </w:tbl>
    <w:p w14:paraId="01B6C639" w14:textId="77777777" w:rsidR="005745B6" w:rsidRPr="00793889" w:rsidRDefault="005745B6" w:rsidP="005745B6">
      <w:pPr>
        <w:pStyle w:val="Heading2"/>
        <w:keepLines w:val="0"/>
        <w:spacing w:before="0"/>
        <w:ind w:right="680"/>
        <w:rPr>
          <w:rStyle w:val="Strong"/>
          <w:rFonts w:ascii="Arial" w:eastAsiaTheme="minorHAnsi" w:hAnsi="Arial" w:cs="Arial"/>
          <w:color w:val="auto"/>
          <w:sz w:val="20"/>
          <w:szCs w:val="20"/>
          <w:lang w:val="en-US"/>
        </w:rPr>
      </w:pPr>
      <w:bookmarkStart w:id="1160" w:name="_Toc66712446"/>
    </w:p>
    <w:p w14:paraId="73E937F2" w14:textId="211D9BB2" w:rsidR="00277C14" w:rsidRPr="00793889" w:rsidRDefault="00503E8C" w:rsidP="005745B6">
      <w:pPr>
        <w:pStyle w:val="Heading2"/>
        <w:keepLines w:val="0"/>
        <w:spacing w:before="0"/>
        <w:ind w:right="680"/>
        <w:rPr>
          <w:rStyle w:val="Strong"/>
          <w:rFonts w:ascii="Arial" w:eastAsiaTheme="minorHAnsi" w:hAnsi="Arial" w:cs="Arial"/>
          <w:color w:val="auto"/>
          <w:sz w:val="20"/>
          <w:szCs w:val="20"/>
          <w:lang w:val="en-US"/>
        </w:rPr>
      </w:pPr>
      <w:bookmarkStart w:id="1161" w:name="_Toc135409905"/>
      <w:r>
        <w:rPr>
          <w:rStyle w:val="Strong"/>
          <w:rFonts w:ascii="Arial" w:eastAsiaTheme="minorHAnsi" w:hAnsi="Arial" w:cs="Arial"/>
          <w:color w:val="auto"/>
          <w:sz w:val="20"/>
          <w:szCs w:val="20"/>
          <w:lang w:val="en-US"/>
        </w:rPr>
        <w:t>8</w:t>
      </w:r>
      <w:r w:rsidR="005745B6" w:rsidRPr="00793889">
        <w:rPr>
          <w:rStyle w:val="Strong"/>
          <w:rFonts w:ascii="Arial" w:eastAsiaTheme="minorHAnsi" w:hAnsi="Arial" w:cs="Arial"/>
          <w:color w:val="auto"/>
          <w:sz w:val="20"/>
          <w:szCs w:val="20"/>
          <w:lang w:val="en-US"/>
        </w:rPr>
        <w:t>.6.</w:t>
      </w:r>
      <w:r w:rsidR="005745B6" w:rsidRPr="00793889">
        <w:rPr>
          <w:rStyle w:val="Strong"/>
          <w:rFonts w:ascii="Arial" w:eastAsiaTheme="minorHAnsi" w:hAnsi="Arial" w:cs="Arial"/>
          <w:color w:val="auto"/>
          <w:sz w:val="20"/>
          <w:szCs w:val="20"/>
          <w:lang w:val="en-US"/>
        </w:rPr>
        <w:tab/>
      </w:r>
      <w:r w:rsidR="00277C14" w:rsidRPr="00793889">
        <w:rPr>
          <w:rStyle w:val="Strong"/>
          <w:rFonts w:ascii="Arial" w:eastAsiaTheme="minorHAnsi" w:hAnsi="Arial" w:cs="Arial"/>
          <w:color w:val="auto"/>
          <w:sz w:val="20"/>
          <w:szCs w:val="20"/>
          <w:lang w:val="en-US"/>
        </w:rPr>
        <w:t>Compliance enhancing procedures</w:t>
      </w:r>
      <w:bookmarkEnd w:id="1160"/>
      <w:bookmarkEnd w:id="1161"/>
    </w:p>
    <w:p w14:paraId="1A502887" w14:textId="77777777" w:rsidR="005745B6" w:rsidRPr="00793889" w:rsidRDefault="005745B6" w:rsidP="005745B6">
      <w:pPr>
        <w:rPr>
          <w:lang w:val="en-US"/>
        </w:rPr>
      </w:pPr>
    </w:p>
    <w:p w14:paraId="5514379F" w14:textId="4D0EC168" w:rsidR="00277C14" w:rsidRDefault="00277C14" w:rsidP="00277C14">
      <w:pPr>
        <w:rPr>
          <w:rFonts w:cs="Arial"/>
          <w:szCs w:val="20"/>
        </w:rPr>
      </w:pPr>
      <w:r w:rsidRPr="00277C14">
        <w:rPr>
          <w:rFonts w:cs="Arial"/>
          <w:szCs w:val="20"/>
        </w:rPr>
        <w:t>MONEYVAL’s Compliance Enhancing Procedures (CEPs) ensure that countries take steps to meet the international standards and follow MONEYVAL recommendations within an appropriate timeframe. For both the fourth and the fifth round of mutual evaluations, the process is as follows:</w:t>
      </w:r>
    </w:p>
    <w:p w14:paraId="4A1EA07A" w14:textId="77777777" w:rsidR="005745B6" w:rsidRPr="00277C14" w:rsidRDefault="005745B6" w:rsidP="00277C14">
      <w:pPr>
        <w:rPr>
          <w:rFonts w:cs="Arial"/>
          <w:szCs w:val="20"/>
        </w:rPr>
      </w:pPr>
    </w:p>
    <w:tbl>
      <w:tblPr>
        <w:tblW w:w="9676" w:type="dxa"/>
        <w:jc w:val="center"/>
        <w:tblBorders>
          <w:top w:val="single" w:sz="12" w:space="0" w:color="000000"/>
          <w:left w:val="single" w:sz="12" w:space="0" w:color="000000"/>
          <w:bottom w:val="single" w:sz="12" w:space="0" w:color="000000"/>
          <w:right w:val="single" w:sz="12" w:space="0" w:color="000000"/>
        </w:tblBorders>
        <w:tblLook w:val="01E0" w:firstRow="1" w:lastRow="1" w:firstColumn="1" w:lastColumn="1" w:noHBand="0" w:noVBand="0"/>
      </w:tblPr>
      <w:tblGrid>
        <w:gridCol w:w="9676"/>
      </w:tblGrid>
      <w:tr w:rsidR="00277C14" w:rsidRPr="00277C14" w14:paraId="2F36C43C" w14:textId="77777777" w:rsidTr="00277C14">
        <w:trPr>
          <w:jc w:val="center"/>
        </w:trPr>
        <w:tc>
          <w:tcPr>
            <w:tcW w:w="9676" w:type="dxa"/>
            <w:shd w:val="clear" w:color="auto" w:fill="808080"/>
          </w:tcPr>
          <w:p w14:paraId="03A6C095" w14:textId="77777777" w:rsidR="00277C14" w:rsidRPr="00277C14" w:rsidRDefault="00277C14" w:rsidP="00277C14">
            <w:pPr>
              <w:rPr>
                <w:rFonts w:cs="Arial"/>
                <w:b/>
                <w:bCs/>
                <w:szCs w:val="20"/>
                <w:lang w:eastAsia="en-GB"/>
              </w:rPr>
            </w:pPr>
            <w:r w:rsidRPr="00277C14">
              <w:rPr>
                <w:rFonts w:cs="Arial"/>
                <w:b/>
                <w:bCs/>
                <w:szCs w:val="20"/>
                <w:lang w:eastAsia="en-GB"/>
              </w:rPr>
              <w:t>Steps in CEPs process</w:t>
            </w:r>
          </w:p>
        </w:tc>
      </w:tr>
      <w:tr w:rsidR="00277C14" w:rsidRPr="00277C14" w14:paraId="1A08D0B7" w14:textId="77777777" w:rsidTr="00277C14">
        <w:trPr>
          <w:jc w:val="center"/>
        </w:trPr>
        <w:tc>
          <w:tcPr>
            <w:tcW w:w="9676" w:type="dxa"/>
          </w:tcPr>
          <w:p w14:paraId="6312FCCC" w14:textId="77777777" w:rsidR="00277C14" w:rsidRPr="00277C14" w:rsidRDefault="00277C14" w:rsidP="00277C14">
            <w:pPr>
              <w:rPr>
                <w:rFonts w:cs="Arial"/>
                <w:szCs w:val="20"/>
              </w:rPr>
            </w:pPr>
            <w:r w:rsidRPr="00277C14">
              <w:rPr>
                <w:rFonts w:cs="Arial"/>
                <w:b/>
                <w:bCs/>
                <w:szCs w:val="20"/>
              </w:rPr>
              <w:t xml:space="preserve">Step 1: </w:t>
            </w:r>
            <w:r w:rsidRPr="00277C14">
              <w:rPr>
                <w:rFonts w:cs="Arial"/>
                <w:szCs w:val="20"/>
              </w:rPr>
              <w:t>MONEYVAL inviting the Secretary General of the Council of Europe to send a letter to the relevant Minister(s) of the State or territory concerned, drawing his/her/their attention to non-compliance with the reference documents and the necessary corrective measures to be taken.</w:t>
            </w:r>
          </w:p>
          <w:p w14:paraId="54F6C5A3" w14:textId="2CC13B2A" w:rsidR="00277C14" w:rsidRPr="00277C14" w:rsidRDefault="00277C14" w:rsidP="00277C14">
            <w:pPr>
              <w:rPr>
                <w:rFonts w:cs="Arial"/>
                <w:szCs w:val="20"/>
              </w:rPr>
            </w:pPr>
            <w:r w:rsidRPr="00277C14">
              <w:rPr>
                <w:rFonts w:cs="Arial"/>
                <w:b/>
                <w:bCs/>
                <w:szCs w:val="20"/>
              </w:rPr>
              <w:t xml:space="preserve">Step 2: </w:t>
            </w:r>
            <w:r w:rsidRPr="00277C14">
              <w:rPr>
                <w:rFonts w:cs="Arial"/>
                <w:szCs w:val="20"/>
              </w:rPr>
              <w:t>Arranging a high-level mission to the non-complying State or territory to meet relevant Ministers and senior officials to reinforce this message.</w:t>
            </w:r>
          </w:p>
        </w:tc>
      </w:tr>
    </w:tbl>
    <w:p w14:paraId="28FB12E3" w14:textId="77777777" w:rsidR="00E51C76" w:rsidRDefault="00E51C76">
      <w:r>
        <w:br w:type="page"/>
      </w:r>
    </w:p>
    <w:tbl>
      <w:tblPr>
        <w:tblW w:w="9676" w:type="dxa"/>
        <w:jc w:val="center"/>
        <w:tblBorders>
          <w:top w:val="single" w:sz="12" w:space="0" w:color="000000"/>
          <w:left w:val="single" w:sz="12" w:space="0" w:color="000000"/>
          <w:bottom w:val="single" w:sz="12" w:space="0" w:color="000000"/>
          <w:right w:val="single" w:sz="12" w:space="0" w:color="000000"/>
        </w:tblBorders>
        <w:tblLook w:val="01E0" w:firstRow="1" w:lastRow="1" w:firstColumn="1" w:lastColumn="1" w:noHBand="0" w:noVBand="0"/>
      </w:tblPr>
      <w:tblGrid>
        <w:gridCol w:w="9676"/>
      </w:tblGrid>
      <w:tr w:rsidR="00E51C76" w:rsidRPr="00277C14" w14:paraId="52526EEF" w14:textId="77777777" w:rsidTr="00277C14">
        <w:trPr>
          <w:jc w:val="center"/>
        </w:trPr>
        <w:tc>
          <w:tcPr>
            <w:tcW w:w="9676" w:type="dxa"/>
          </w:tcPr>
          <w:p w14:paraId="0D5C4E0B" w14:textId="77777777" w:rsidR="00E51C76" w:rsidRPr="00277C14" w:rsidRDefault="00E51C76" w:rsidP="00E51C76">
            <w:pPr>
              <w:rPr>
                <w:rFonts w:cs="Arial"/>
                <w:szCs w:val="20"/>
              </w:rPr>
            </w:pPr>
            <w:r w:rsidRPr="00277C14">
              <w:rPr>
                <w:rFonts w:cs="Arial"/>
                <w:b/>
                <w:bCs/>
                <w:szCs w:val="20"/>
              </w:rPr>
              <w:lastRenderedPageBreak/>
              <w:t xml:space="preserve">Step 3: </w:t>
            </w:r>
            <w:r w:rsidRPr="00277C14">
              <w:rPr>
                <w:rFonts w:cs="Arial"/>
                <w:szCs w:val="20"/>
              </w:rPr>
              <w:t xml:space="preserve">In the context of the application of the 2012 FATF Recommendation 19 by MONEYVAL States and territories, issuing a formal public statement to the effect that a State or territory insufficiently complies with the reference documents and inviting the members of the global AML/CFT network to </w:t>
            </w:r>
            <w:proofErr w:type="gramStart"/>
            <w:r w:rsidRPr="00277C14">
              <w:rPr>
                <w:rFonts w:cs="Arial"/>
                <w:szCs w:val="20"/>
              </w:rPr>
              <w:t>take into account</w:t>
            </w:r>
            <w:proofErr w:type="gramEnd"/>
            <w:r w:rsidRPr="00277C14">
              <w:rPr>
                <w:rFonts w:cs="Arial"/>
                <w:szCs w:val="20"/>
              </w:rPr>
              <w:t xml:space="preserve"> the risks posed by the non-complying State or territory. </w:t>
            </w:r>
          </w:p>
          <w:p w14:paraId="735656F2" w14:textId="292ABDDC" w:rsidR="00E51C76" w:rsidRPr="00277C14" w:rsidRDefault="00E51C76" w:rsidP="00E51C76">
            <w:pPr>
              <w:rPr>
                <w:rFonts w:cs="Arial"/>
                <w:b/>
                <w:bCs/>
                <w:szCs w:val="20"/>
              </w:rPr>
            </w:pPr>
            <w:r w:rsidRPr="00277C14">
              <w:rPr>
                <w:rFonts w:cs="Arial"/>
                <w:b/>
                <w:bCs/>
                <w:szCs w:val="20"/>
              </w:rPr>
              <w:t xml:space="preserve">Step 4: </w:t>
            </w:r>
            <w:r w:rsidRPr="00277C14">
              <w:rPr>
                <w:rFonts w:cs="Arial"/>
                <w:szCs w:val="20"/>
              </w:rPr>
              <w:t>Referring the matter for possible consideration under the FATF’s International Co-operation Review Group (ICRG) process, if this meets the nomination criteria set out under the ICRG procedures.</w:t>
            </w:r>
          </w:p>
        </w:tc>
      </w:tr>
    </w:tbl>
    <w:p w14:paraId="1CAD7210" w14:textId="77777777" w:rsidR="00E51C76" w:rsidRDefault="00E51C76" w:rsidP="007F48A9">
      <w:pPr>
        <w:pStyle w:val="Title1"/>
        <w:spacing w:before="0" w:after="0"/>
      </w:pPr>
      <w:bookmarkStart w:id="1162" w:name="_Toc446602138"/>
      <w:bookmarkStart w:id="1163" w:name="_Toc66712447"/>
      <w:bookmarkStart w:id="1164" w:name="_Toc135409906"/>
      <w:bookmarkEnd w:id="76"/>
    </w:p>
    <w:p w14:paraId="4FD89A91" w14:textId="77777777" w:rsidR="00E51C76" w:rsidRDefault="00E51C76">
      <w:pPr>
        <w:rPr>
          <w:rFonts w:eastAsia="Times New Roman" w:cs="Arial"/>
          <w:b/>
          <w:bCs/>
          <w:color w:val="000000"/>
          <w:w w:val="105"/>
          <w:kern w:val="28"/>
          <w:szCs w:val="20"/>
          <w:lang w:eastAsia="zh-CN"/>
        </w:rPr>
      </w:pPr>
      <w:r>
        <w:br w:type="page"/>
      </w:r>
    </w:p>
    <w:p w14:paraId="0FC5FC96" w14:textId="44FD98B8" w:rsidR="00277C14" w:rsidRDefault="00277C14" w:rsidP="007F48A9">
      <w:pPr>
        <w:pStyle w:val="Title1"/>
        <w:spacing w:before="0" w:after="0"/>
      </w:pPr>
      <w:r w:rsidRPr="00277C14">
        <w:lastRenderedPageBreak/>
        <w:t>APPENDICES</w:t>
      </w:r>
      <w:bookmarkEnd w:id="1162"/>
      <w:bookmarkEnd w:id="1163"/>
      <w:bookmarkEnd w:id="1164"/>
    </w:p>
    <w:p w14:paraId="26776FB0" w14:textId="77777777" w:rsidR="007F48A9" w:rsidRPr="00277C14" w:rsidRDefault="007F48A9" w:rsidP="007F48A9">
      <w:pPr>
        <w:pStyle w:val="Title1"/>
        <w:spacing w:before="0" w:after="0"/>
      </w:pPr>
    </w:p>
    <w:p w14:paraId="3977B001" w14:textId="77777777" w:rsidR="00277C14" w:rsidRPr="00277C14" w:rsidRDefault="00277C14" w:rsidP="007F48A9">
      <w:pPr>
        <w:rPr>
          <w:rFonts w:cs="Arial"/>
          <w:b/>
          <w:szCs w:val="20"/>
        </w:rPr>
      </w:pPr>
      <w:bookmarkStart w:id="1165" w:name="_Toc423609857"/>
      <w:r w:rsidRPr="00277C14">
        <w:rPr>
          <w:rFonts w:cs="Arial"/>
          <w:b/>
          <w:szCs w:val="20"/>
        </w:rPr>
        <w:t>Appendix I</w:t>
      </w:r>
      <w:bookmarkEnd w:id="1165"/>
    </w:p>
    <w:p w14:paraId="3FA7E1F7" w14:textId="77777777" w:rsidR="00277C14" w:rsidRPr="00277C14" w:rsidRDefault="00277C14" w:rsidP="007F48A9">
      <w:pPr>
        <w:rPr>
          <w:rFonts w:cs="Arial"/>
          <w:szCs w:val="20"/>
        </w:rPr>
      </w:pPr>
    </w:p>
    <w:tbl>
      <w:tblPr>
        <w:tblW w:w="0" w:type="auto"/>
        <w:jc w:val="center"/>
        <w:tblBorders>
          <w:top w:val="single" w:sz="4" w:space="0" w:color="000000"/>
          <w:left w:val="single" w:sz="4" w:space="0" w:color="000000"/>
          <w:bottom w:val="single" w:sz="4" w:space="0" w:color="000000"/>
          <w:right w:val="single" w:sz="4" w:space="0" w:color="000000"/>
          <w:insideV w:val="single" w:sz="4" w:space="0" w:color="8DB3E2"/>
        </w:tblBorders>
        <w:tblLook w:val="04A0" w:firstRow="1" w:lastRow="0" w:firstColumn="1" w:lastColumn="0" w:noHBand="0" w:noVBand="1"/>
      </w:tblPr>
      <w:tblGrid>
        <w:gridCol w:w="1972"/>
        <w:gridCol w:w="7573"/>
      </w:tblGrid>
      <w:tr w:rsidR="00277C14" w:rsidRPr="00277C14" w14:paraId="2F8FF27A" w14:textId="77777777" w:rsidTr="007F48A9">
        <w:trPr>
          <w:trHeight w:val="255"/>
          <w:jc w:val="center"/>
        </w:trPr>
        <w:tc>
          <w:tcPr>
            <w:tcW w:w="9545" w:type="dxa"/>
            <w:gridSpan w:val="2"/>
            <w:shd w:val="clear" w:color="auto" w:fill="F2F2F2" w:themeFill="background1" w:themeFillShade="F2"/>
            <w:vAlign w:val="center"/>
          </w:tcPr>
          <w:p w14:paraId="2694A523" w14:textId="77777777" w:rsidR="00277C14" w:rsidRPr="007F48A9" w:rsidRDefault="00277C14" w:rsidP="00277C14">
            <w:pPr>
              <w:rPr>
                <w:rFonts w:cs="Arial"/>
                <w:b/>
                <w:szCs w:val="20"/>
              </w:rPr>
            </w:pPr>
            <w:r w:rsidRPr="007F48A9">
              <w:rPr>
                <w:rFonts w:cs="Arial"/>
                <w:b/>
                <w:szCs w:val="20"/>
              </w:rPr>
              <w:t>List of the 2012 FATF Recommendations and the 11 Immediate Outcomes in the FATF Methodology of 2013</w:t>
            </w:r>
          </w:p>
        </w:tc>
      </w:tr>
      <w:tr w:rsidR="00277C14" w:rsidRPr="00277C14" w14:paraId="5BADDCEC" w14:textId="77777777" w:rsidTr="007F48A9">
        <w:trPr>
          <w:trHeight w:val="255"/>
          <w:jc w:val="center"/>
        </w:trPr>
        <w:tc>
          <w:tcPr>
            <w:tcW w:w="9545" w:type="dxa"/>
            <w:gridSpan w:val="2"/>
            <w:shd w:val="clear" w:color="auto" w:fill="F2F2F2" w:themeFill="background1" w:themeFillShade="F2"/>
            <w:vAlign w:val="center"/>
          </w:tcPr>
          <w:p w14:paraId="40560617" w14:textId="77777777" w:rsidR="00277C14" w:rsidRPr="007F48A9" w:rsidRDefault="00277C14" w:rsidP="00277C14">
            <w:pPr>
              <w:rPr>
                <w:rFonts w:cs="Arial"/>
                <w:b/>
                <w:szCs w:val="20"/>
              </w:rPr>
            </w:pPr>
          </w:p>
          <w:p w14:paraId="3F347D0B" w14:textId="77777777" w:rsidR="00277C14" w:rsidRPr="007F48A9" w:rsidRDefault="00277C14" w:rsidP="00277C14">
            <w:pPr>
              <w:rPr>
                <w:rFonts w:cs="Arial"/>
                <w:b/>
                <w:szCs w:val="20"/>
              </w:rPr>
            </w:pPr>
            <w:r w:rsidRPr="007F48A9">
              <w:rPr>
                <w:rFonts w:cs="Arial"/>
                <w:b/>
                <w:szCs w:val="20"/>
              </w:rPr>
              <w:t xml:space="preserve">A. 2012 FATF Recommendations </w:t>
            </w:r>
          </w:p>
        </w:tc>
      </w:tr>
      <w:tr w:rsidR="00277C14" w:rsidRPr="00277C14" w14:paraId="6276278A" w14:textId="77777777" w:rsidTr="00277C14">
        <w:trPr>
          <w:trHeight w:val="255"/>
          <w:jc w:val="center"/>
        </w:trPr>
        <w:tc>
          <w:tcPr>
            <w:tcW w:w="1972" w:type="dxa"/>
            <w:tcBorders>
              <w:top w:val="nil"/>
              <w:bottom w:val="nil"/>
              <w:right w:val="single" w:sz="4" w:space="0" w:color="000000"/>
            </w:tcBorders>
            <w:shd w:val="clear" w:color="auto" w:fill="auto"/>
          </w:tcPr>
          <w:p w14:paraId="38011FFA" w14:textId="77777777" w:rsidR="00277C14" w:rsidRPr="00277C14" w:rsidRDefault="00277C14" w:rsidP="00277C14">
            <w:pPr>
              <w:rPr>
                <w:rFonts w:cs="Arial"/>
                <w:szCs w:val="20"/>
              </w:rPr>
            </w:pPr>
            <w:r w:rsidRPr="00277C14">
              <w:rPr>
                <w:rFonts w:cs="Arial"/>
                <w:szCs w:val="20"/>
              </w:rPr>
              <w:t>R.1</w:t>
            </w:r>
          </w:p>
        </w:tc>
        <w:tc>
          <w:tcPr>
            <w:tcW w:w="7573" w:type="dxa"/>
            <w:tcBorders>
              <w:left w:val="single" w:sz="4" w:space="0" w:color="000000"/>
            </w:tcBorders>
            <w:shd w:val="clear" w:color="auto" w:fill="auto"/>
            <w:vAlign w:val="center"/>
          </w:tcPr>
          <w:p w14:paraId="1E349649" w14:textId="77777777" w:rsidR="00277C14" w:rsidRPr="00277C14" w:rsidRDefault="00277C14" w:rsidP="00277C14">
            <w:pPr>
              <w:rPr>
                <w:rFonts w:cs="Arial"/>
                <w:szCs w:val="20"/>
              </w:rPr>
            </w:pPr>
            <w:r w:rsidRPr="00277C14">
              <w:rPr>
                <w:rFonts w:cs="Arial"/>
                <w:szCs w:val="20"/>
                <w:lang w:eastAsia="en-GB"/>
              </w:rPr>
              <w:t>Assessing Risks and applying a Risk-Based Approach</w:t>
            </w:r>
          </w:p>
        </w:tc>
      </w:tr>
      <w:tr w:rsidR="00277C14" w:rsidRPr="00277C14" w14:paraId="7A474C95" w14:textId="77777777" w:rsidTr="00277C14">
        <w:trPr>
          <w:trHeight w:val="255"/>
          <w:jc w:val="center"/>
        </w:trPr>
        <w:tc>
          <w:tcPr>
            <w:tcW w:w="1972" w:type="dxa"/>
            <w:tcBorders>
              <w:top w:val="nil"/>
              <w:bottom w:val="nil"/>
              <w:right w:val="single" w:sz="4" w:space="0" w:color="000000"/>
            </w:tcBorders>
            <w:shd w:val="clear" w:color="auto" w:fill="auto"/>
          </w:tcPr>
          <w:p w14:paraId="69D7BBBC" w14:textId="77777777" w:rsidR="00277C14" w:rsidRPr="00277C14" w:rsidRDefault="00277C14" w:rsidP="00277C14">
            <w:pPr>
              <w:rPr>
                <w:rFonts w:cs="Arial"/>
                <w:szCs w:val="20"/>
              </w:rPr>
            </w:pPr>
            <w:r w:rsidRPr="00277C14">
              <w:rPr>
                <w:rFonts w:cs="Arial"/>
                <w:szCs w:val="20"/>
              </w:rPr>
              <w:t>R.2</w:t>
            </w:r>
          </w:p>
        </w:tc>
        <w:tc>
          <w:tcPr>
            <w:tcW w:w="7573" w:type="dxa"/>
            <w:tcBorders>
              <w:left w:val="single" w:sz="4" w:space="0" w:color="000000"/>
            </w:tcBorders>
            <w:shd w:val="clear" w:color="auto" w:fill="auto"/>
            <w:vAlign w:val="center"/>
          </w:tcPr>
          <w:p w14:paraId="144A1D00" w14:textId="6901E27B" w:rsidR="00277C14" w:rsidRPr="00277C14" w:rsidRDefault="00277C14" w:rsidP="00277C14">
            <w:pPr>
              <w:rPr>
                <w:rFonts w:cs="Arial"/>
                <w:szCs w:val="20"/>
              </w:rPr>
            </w:pPr>
            <w:r w:rsidRPr="00277C14">
              <w:rPr>
                <w:rFonts w:cs="Arial"/>
                <w:szCs w:val="20"/>
              </w:rPr>
              <w:t>National Co</w:t>
            </w:r>
            <w:r w:rsidR="002F5F50">
              <w:rPr>
                <w:rFonts w:cs="Arial"/>
                <w:szCs w:val="20"/>
              </w:rPr>
              <w:t>-</w:t>
            </w:r>
            <w:r w:rsidRPr="00277C14">
              <w:rPr>
                <w:rFonts w:cs="Arial"/>
                <w:szCs w:val="20"/>
              </w:rPr>
              <w:t xml:space="preserve">operation and </w:t>
            </w:r>
            <w:r w:rsidR="003654E4">
              <w:rPr>
                <w:rFonts w:cs="Arial"/>
                <w:szCs w:val="20"/>
              </w:rPr>
              <w:t>Co-or</w:t>
            </w:r>
            <w:r w:rsidRPr="00277C14">
              <w:rPr>
                <w:rFonts w:cs="Arial"/>
                <w:szCs w:val="20"/>
              </w:rPr>
              <w:t>dination</w:t>
            </w:r>
          </w:p>
        </w:tc>
      </w:tr>
      <w:tr w:rsidR="00277C14" w:rsidRPr="00277C14" w14:paraId="3678F573" w14:textId="77777777" w:rsidTr="00277C14">
        <w:trPr>
          <w:trHeight w:val="255"/>
          <w:jc w:val="center"/>
        </w:trPr>
        <w:tc>
          <w:tcPr>
            <w:tcW w:w="1972" w:type="dxa"/>
            <w:tcBorders>
              <w:top w:val="nil"/>
              <w:bottom w:val="nil"/>
              <w:right w:val="single" w:sz="4" w:space="0" w:color="000000"/>
            </w:tcBorders>
            <w:shd w:val="clear" w:color="auto" w:fill="auto"/>
          </w:tcPr>
          <w:p w14:paraId="1C51EA31" w14:textId="77777777" w:rsidR="00277C14" w:rsidRPr="00277C14" w:rsidRDefault="00277C14" w:rsidP="00277C14">
            <w:pPr>
              <w:rPr>
                <w:rFonts w:cs="Arial"/>
                <w:szCs w:val="20"/>
              </w:rPr>
            </w:pPr>
            <w:r w:rsidRPr="00277C14">
              <w:rPr>
                <w:rFonts w:cs="Arial"/>
                <w:szCs w:val="20"/>
              </w:rPr>
              <w:t>R.3</w:t>
            </w:r>
          </w:p>
        </w:tc>
        <w:tc>
          <w:tcPr>
            <w:tcW w:w="7573" w:type="dxa"/>
            <w:tcBorders>
              <w:left w:val="single" w:sz="4" w:space="0" w:color="000000"/>
            </w:tcBorders>
            <w:shd w:val="clear" w:color="auto" w:fill="auto"/>
            <w:vAlign w:val="center"/>
          </w:tcPr>
          <w:p w14:paraId="0D92093C" w14:textId="77777777" w:rsidR="00277C14" w:rsidRPr="00277C14" w:rsidRDefault="00277C14" w:rsidP="00277C14">
            <w:pPr>
              <w:rPr>
                <w:rFonts w:cs="Arial"/>
                <w:szCs w:val="20"/>
              </w:rPr>
            </w:pPr>
            <w:r w:rsidRPr="00277C14">
              <w:rPr>
                <w:rFonts w:cs="Arial"/>
                <w:szCs w:val="20"/>
              </w:rPr>
              <w:t>Money laundering offence</w:t>
            </w:r>
          </w:p>
        </w:tc>
      </w:tr>
      <w:tr w:rsidR="00277C14" w:rsidRPr="00277C14" w14:paraId="065B48BE" w14:textId="77777777" w:rsidTr="00277C14">
        <w:trPr>
          <w:trHeight w:val="255"/>
          <w:jc w:val="center"/>
        </w:trPr>
        <w:tc>
          <w:tcPr>
            <w:tcW w:w="1972" w:type="dxa"/>
            <w:tcBorders>
              <w:top w:val="nil"/>
              <w:bottom w:val="nil"/>
              <w:right w:val="single" w:sz="4" w:space="0" w:color="000000"/>
            </w:tcBorders>
            <w:shd w:val="clear" w:color="auto" w:fill="auto"/>
          </w:tcPr>
          <w:p w14:paraId="596D0E86" w14:textId="77777777" w:rsidR="00277C14" w:rsidRPr="00277C14" w:rsidRDefault="00277C14" w:rsidP="00277C14">
            <w:pPr>
              <w:rPr>
                <w:rFonts w:cs="Arial"/>
                <w:szCs w:val="20"/>
              </w:rPr>
            </w:pPr>
            <w:r w:rsidRPr="00277C14">
              <w:rPr>
                <w:rFonts w:cs="Arial"/>
                <w:szCs w:val="20"/>
              </w:rPr>
              <w:t>R.4</w:t>
            </w:r>
          </w:p>
        </w:tc>
        <w:tc>
          <w:tcPr>
            <w:tcW w:w="7573" w:type="dxa"/>
            <w:tcBorders>
              <w:left w:val="single" w:sz="4" w:space="0" w:color="000000"/>
            </w:tcBorders>
            <w:shd w:val="clear" w:color="auto" w:fill="auto"/>
            <w:vAlign w:val="center"/>
          </w:tcPr>
          <w:p w14:paraId="47D30B0A" w14:textId="77777777" w:rsidR="00277C14" w:rsidRPr="00277C14" w:rsidRDefault="00277C14" w:rsidP="00277C14">
            <w:pPr>
              <w:rPr>
                <w:rFonts w:cs="Arial"/>
                <w:szCs w:val="20"/>
              </w:rPr>
            </w:pPr>
            <w:r w:rsidRPr="00277C14">
              <w:rPr>
                <w:rFonts w:cs="Arial"/>
                <w:szCs w:val="20"/>
              </w:rPr>
              <w:t>Confiscation and provisional measures</w:t>
            </w:r>
          </w:p>
        </w:tc>
      </w:tr>
      <w:tr w:rsidR="00277C14" w:rsidRPr="00277C14" w14:paraId="3635B375" w14:textId="77777777" w:rsidTr="00277C14">
        <w:trPr>
          <w:trHeight w:val="255"/>
          <w:jc w:val="center"/>
        </w:trPr>
        <w:tc>
          <w:tcPr>
            <w:tcW w:w="1972" w:type="dxa"/>
            <w:tcBorders>
              <w:top w:val="nil"/>
              <w:bottom w:val="nil"/>
              <w:right w:val="single" w:sz="4" w:space="0" w:color="000000"/>
            </w:tcBorders>
            <w:shd w:val="clear" w:color="auto" w:fill="auto"/>
          </w:tcPr>
          <w:p w14:paraId="770246C9" w14:textId="77777777" w:rsidR="00277C14" w:rsidRPr="00277C14" w:rsidRDefault="00277C14" w:rsidP="00277C14">
            <w:pPr>
              <w:rPr>
                <w:rFonts w:cs="Arial"/>
                <w:szCs w:val="20"/>
              </w:rPr>
            </w:pPr>
            <w:r w:rsidRPr="00277C14">
              <w:rPr>
                <w:rFonts w:cs="Arial"/>
                <w:szCs w:val="20"/>
              </w:rPr>
              <w:t>R.5</w:t>
            </w:r>
          </w:p>
        </w:tc>
        <w:tc>
          <w:tcPr>
            <w:tcW w:w="7573" w:type="dxa"/>
            <w:tcBorders>
              <w:left w:val="single" w:sz="4" w:space="0" w:color="000000"/>
            </w:tcBorders>
            <w:shd w:val="clear" w:color="auto" w:fill="auto"/>
            <w:vAlign w:val="center"/>
          </w:tcPr>
          <w:p w14:paraId="2D627BD7" w14:textId="77777777" w:rsidR="00277C14" w:rsidRPr="00277C14" w:rsidRDefault="00277C14" w:rsidP="00277C14">
            <w:pPr>
              <w:rPr>
                <w:rFonts w:cs="Arial"/>
                <w:szCs w:val="20"/>
              </w:rPr>
            </w:pPr>
            <w:r w:rsidRPr="00277C14">
              <w:rPr>
                <w:rFonts w:cs="Arial"/>
                <w:szCs w:val="20"/>
              </w:rPr>
              <w:t>Terrorist financing offence</w:t>
            </w:r>
          </w:p>
        </w:tc>
      </w:tr>
      <w:tr w:rsidR="00277C14" w:rsidRPr="00277C14" w14:paraId="71C4ABD3" w14:textId="77777777" w:rsidTr="00277C14">
        <w:trPr>
          <w:trHeight w:val="255"/>
          <w:jc w:val="center"/>
        </w:trPr>
        <w:tc>
          <w:tcPr>
            <w:tcW w:w="1972" w:type="dxa"/>
            <w:tcBorders>
              <w:top w:val="nil"/>
              <w:bottom w:val="nil"/>
              <w:right w:val="single" w:sz="4" w:space="0" w:color="000000"/>
            </w:tcBorders>
            <w:shd w:val="clear" w:color="auto" w:fill="auto"/>
          </w:tcPr>
          <w:p w14:paraId="45326CDD" w14:textId="77777777" w:rsidR="00277C14" w:rsidRPr="00277C14" w:rsidRDefault="00277C14" w:rsidP="00277C14">
            <w:pPr>
              <w:rPr>
                <w:rFonts w:cs="Arial"/>
                <w:szCs w:val="20"/>
              </w:rPr>
            </w:pPr>
            <w:r w:rsidRPr="00277C14">
              <w:rPr>
                <w:rFonts w:cs="Arial"/>
                <w:szCs w:val="20"/>
              </w:rPr>
              <w:t>R.6</w:t>
            </w:r>
          </w:p>
        </w:tc>
        <w:tc>
          <w:tcPr>
            <w:tcW w:w="7573" w:type="dxa"/>
            <w:tcBorders>
              <w:left w:val="single" w:sz="4" w:space="0" w:color="000000"/>
            </w:tcBorders>
            <w:shd w:val="clear" w:color="auto" w:fill="auto"/>
            <w:vAlign w:val="center"/>
          </w:tcPr>
          <w:p w14:paraId="3A874090" w14:textId="77777777" w:rsidR="00277C14" w:rsidRPr="00277C14" w:rsidRDefault="00277C14" w:rsidP="00277C14">
            <w:pPr>
              <w:rPr>
                <w:rFonts w:cs="Arial"/>
                <w:szCs w:val="20"/>
              </w:rPr>
            </w:pPr>
            <w:r w:rsidRPr="00277C14">
              <w:rPr>
                <w:rFonts w:cs="Arial"/>
                <w:szCs w:val="20"/>
              </w:rPr>
              <w:t>Targeted financial sanctions related to terrorism and terrorist financing</w:t>
            </w:r>
          </w:p>
        </w:tc>
      </w:tr>
      <w:tr w:rsidR="00277C14" w:rsidRPr="00277C14" w14:paraId="2EFD43F3" w14:textId="77777777" w:rsidTr="00277C14">
        <w:trPr>
          <w:trHeight w:val="255"/>
          <w:jc w:val="center"/>
        </w:trPr>
        <w:tc>
          <w:tcPr>
            <w:tcW w:w="1972" w:type="dxa"/>
            <w:tcBorders>
              <w:top w:val="nil"/>
              <w:bottom w:val="nil"/>
              <w:right w:val="single" w:sz="4" w:space="0" w:color="000000"/>
            </w:tcBorders>
            <w:shd w:val="clear" w:color="auto" w:fill="auto"/>
          </w:tcPr>
          <w:p w14:paraId="2100C3DA" w14:textId="77777777" w:rsidR="00277C14" w:rsidRPr="00277C14" w:rsidRDefault="00277C14" w:rsidP="00277C14">
            <w:pPr>
              <w:rPr>
                <w:rFonts w:cs="Arial"/>
                <w:szCs w:val="20"/>
              </w:rPr>
            </w:pPr>
            <w:r w:rsidRPr="00277C14">
              <w:rPr>
                <w:rFonts w:cs="Arial"/>
                <w:szCs w:val="20"/>
              </w:rPr>
              <w:t>R.7</w:t>
            </w:r>
          </w:p>
        </w:tc>
        <w:tc>
          <w:tcPr>
            <w:tcW w:w="7573" w:type="dxa"/>
            <w:tcBorders>
              <w:left w:val="single" w:sz="4" w:space="0" w:color="000000"/>
            </w:tcBorders>
            <w:shd w:val="clear" w:color="auto" w:fill="auto"/>
            <w:vAlign w:val="center"/>
          </w:tcPr>
          <w:p w14:paraId="356641F6" w14:textId="77777777" w:rsidR="00277C14" w:rsidRPr="00277C14" w:rsidRDefault="00277C14" w:rsidP="00277C14">
            <w:pPr>
              <w:rPr>
                <w:rFonts w:cs="Arial"/>
                <w:szCs w:val="20"/>
              </w:rPr>
            </w:pPr>
            <w:r w:rsidRPr="00277C14">
              <w:rPr>
                <w:rFonts w:cs="Arial"/>
                <w:szCs w:val="20"/>
              </w:rPr>
              <w:t>Targeted financial sanctions related to proliferation</w:t>
            </w:r>
          </w:p>
        </w:tc>
      </w:tr>
      <w:tr w:rsidR="00277C14" w:rsidRPr="00277C14" w14:paraId="42E84CA3" w14:textId="77777777" w:rsidTr="00277C14">
        <w:trPr>
          <w:trHeight w:val="255"/>
          <w:jc w:val="center"/>
        </w:trPr>
        <w:tc>
          <w:tcPr>
            <w:tcW w:w="1972" w:type="dxa"/>
            <w:tcBorders>
              <w:top w:val="nil"/>
              <w:bottom w:val="nil"/>
              <w:right w:val="single" w:sz="4" w:space="0" w:color="000000"/>
            </w:tcBorders>
            <w:shd w:val="clear" w:color="auto" w:fill="auto"/>
          </w:tcPr>
          <w:p w14:paraId="452482FD" w14:textId="77777777" w:rsidR="00277C14" w:rsidRPr="00277C14" w:rsidRDefault="00277C14" w:rsidP="00277C14">
            <w:pPr>
              <w:rPr>
                <w:rFonts w:cs="Arial"/>
                <w:szCs w:val="20"/>
              </w:rPr>
            </w:pPr>
            <w:r w:rsidRPr="00277C14">
              <w:rPr>
                <w:rFonts w:cs="Arial"/>
                <w:szCs w:val="20"/>
              </w:rPr>
              <w:t>R.8</w:t>
            </w:r>
          </w:p>
        </w:tc>
        <w:tc>
          <w:tcPr>
            <w:tcW w:w="7573" w:type="dxa"/>
            <w:tcBorders>
              <w:left w:val="single" w:sz="4" w:space="0" w:color="000000"/>
            </w:tcBorders>
            <w:shd w:val="clear" w:color="auto" w:fill="auto"/>
            <w:vAlign w:val="center"/>
          </w:tcPr>
          <w:p w14:paraId="24C20937" w14:textId="77777777" w:rsidR="00277C14" w:rsidRPr="00277C14" w:rsidRDefault="00277C14" w:rsidP="00277C14">
            <w:pPr>
              <w:rPr>
                <w:rFonts w:cs="Arial"/>
                <w:szCs w:val="20"/>
              </w:rPr>
            </w:pPr>
            <w:r w:rsidRPr="00277C14">
              <w:rPr>
                <w:rFonts w:cs="Arial"/>
                <w:szCs w:val="20"/>
              </w:rPr>
              <w:t>Non-profit organisations</w:t>
            </w:r>
          </w:p>
        </w:tc>
      </w:tr>
      <w:tr w:rsidR="00277C14" w:rsidRPr="00277C14" w14:paraId="3DED6FE8" w14:textId="77777777" w:rsidTr="00277C14">
        <w:trPr>
          <w:trHeight w:val="255"/>
          <w:jc w:val="center"/>
        </w:trPr>
        <w:tc>
          <w:tcPr>
            <w:tcW w:w="1972" w:type="dxa"/>
            <w:tcBorders>
              <w:top w:val="nil"/>
              <w:bottom w:val="nil"/>
              <w:right w:val="single" w:sz="4" w:space="0" w:color="000000"/>
            </w:tcBorders>
            <w:shd w:val="clear" w:color="auto" w:fill="auto"/>
          </w:tcPr>
          <w:p w14:paraId="64D0D1E5" w14:textId="77777777" w:rsidR="00277C14" w:rsidRPr="00277C14" w:rsidRDefault="00277C14" w:rsidP="00277C14">
            <w:pPr>
              <w:rPr>
                <w:rFonts w:cs="Arial"/>
                <w:szCs w:val="20"/>
              </w:rPr>
            </w:pPr>
            <w:r w:rsidRPr="00277C14">
              <w:rPr>
                <w:rFonts w:cs="Arial"/>
                <w:szCs w:val="20"/>
              </w:rPr>
              <w:t>R.9</w:t>
            </w:r>
          </w:p>
        </w:tc>
        <w:tc>
          <w:tcPr>
            <w:tcW w:w="7573" w:type="dxa"/>
            <w:tcBorders>
              <w:left w:val="single" w:sz="4" w:space="0" w:color="000000"/>
            </w:tcBorders>
            <w:shd w:val="clear" w:color="auto" w:fill="auto"/>
            <w:vAlign w:val="center"/>
          </w:tcPr>
          <w:p w14:paraId="3A111F60" w14:textId="77777777" w:rsidR="00277C14" w:rsidRPr="00277C14" w:rsidRDefault="00277C14" w:rsidP="00277C14">
            <w:pPr>
              <w:rPr>
                <w:rFonts w:cs="Arial"/>
                <w:szCs w:val="20"/>
              </w:rPr>
            </w:pPr>
            <w:r w:rsidRPr="00277C14">
              <w:rPr>
                <w:rFonts w:cs="Arial"/>
                <w:szCs w:val="20"/>
              </w:rPr>
              <w:t>Financial institution secrecy laws</w:t>
            </w:r>
          </w:p>
        </w:tc>
      </w:tr>
      <w:tr w:rsidR="00277C14" w:rsidRPr="00277C14" w14:paraId="37869764" w14:textId="77777777" w:rsidTr="00277C14">
        <w:trPr>
          <w:trHeight w:val="255"/>
          <w:jc w:val="center"/>
        </w:trPr>
        <w:tc>
          <w:tcPr>
            <w:tcW w:w="1972" w:type="dxa"/>
            <w:tcBorders>
              <w:top w:val="nil"/>
              <w:bottom w:val="nil"/>
              <w:right w:val="single" w:sz="4" w:space="0" w:color="000000"/>
            </w:tcBorders>
            <w:shd w:val="clear" w:color="auto" w:fill="auto"/>
          </w:tcPr>
          <w:p w14:paraId="58EADC70" w14:textId="77777777" w:rsidR="00277C14" w:rsidRPr="00277C14" w:rsidRDefault="00277C14" w:rsidP="00277C14">
            <w:pPr>
              <w:rPr>
                <w:rFonts w:cs="Arial"/>
                <w:szCs w:val="20"/>
              </w:rPr>
            </w:pPr>
            <w:r w:rsidRPr="00277C14">
              <w:rPr>
                <w:rFonts w:cs="Arial"/>
                <w:szCs w:val="20"/>
              </w:rPr>
              <w:t>R.10</w:t>
            </w:r>
          </w:p>
        </w:tc>
        <w:tc>
          <w:tcPr>
            <w:tcW w:w="7573" w:type="dxa"/>
            <w:tcBorders>
              <w:left w:val="single" w:sz="4" w:space="0" w:color="000000"/>
            </w:tcBorders>
            <w:shd w:val="clear" w:color="auto" w:fill="auto"/>
            <w:vAlign w:val="center"/>
          </w:tcPr>
          <w:p w14:paraId="4517A7A1" w14:textId="77777777" w:rsidR="00277C14" w:rsidRPr="00277C14" w:rsidRDefault="00277C14" w:rsidP="00277C14">
            <w:pPr>
              <w:rPr>
                <w:rFonts w:cs="Arial"/>
                <w:szCs w:val="20"/>
              </w:rPr>
            </w:pPr>
            <w:r w:rsidRPr="00277C14">
              <w:rPr>
                <w:rFonts w:cs="Arial"/>
                <w:szCs w:val="20"/>
              </w:rPr>
              <w:t>Customer due diligence</w:t>
            </w:r>
          </w:p>
        </w:tc>
      </w:tr>
      <w:tr w:rsidR="00277C14" w:rsidRPr="00277C14" w14:paraId="6BC1D086" w14:textId="77777777" w:rsidTr="00277C14">
        <w:trPr>
          <w:trHeight w:val="255"/>
          <w:jc w:val="center"/>
        </w:trPr>
        <w:tc>
          <w:tcPr>
            <w:tcW w:w="1972" w:type="dxa"/>
            <w:tcBorders>
              <w:top w:val="nil"/>
              <w:bottom w:val="nil"/>
              <w:right w:val="single" w:sz="4" w:space="0" w:color="000000"/>
            </w:tcBorders>
            <w:shd w:val="clear" w:color="auto" w:fill="auto"/>
          </w:tcPr>
          <w:p w14:paraId="416AB13E" w14:textId="77777777" w:rsidR="00277C14" w:rsidRPr="00277C14" w:rsidRDefault="00277C14" w:rsidP="00277C14">
            <w:pPr>
              <w:rPr>
                <w:rFonts w:cs="Arial"/>
                <w:szCs w:val="20"/>
              </w:rPr>
            </w:pPr>
            <w:r w:rsidRPr="00277C14">
              <w:rPr>
                <w:rFonts w:cs="Arial"/>
                <w:szCs w:val="20"/>
              </w:rPr>
              <w:t>R.11</w:t>
            </w:r>
          </w:p>
        </w:tc>
        <w:tc>
          <w:tcPr>
            <w:tcW w:w="7573" w:type="dxa"/>
            <w:tcBorders>
              <w:left w:val="single" w:sz="4" w:space="0" w:color="000000"/>
            </w:tcBorders>
            <w:shd w:val="clear" w:color="auto" w:fill="auto"/>
            <w:vAlign w:val="center"/>
          </w:tcPr>
          <w:p w14:paraId="351E702A" w14:textId="77777777" w:rsidR="00277C14" w:rsidRPr="00277C14" w:rsidRDefault="00277C14" w:rsidP="00277C14">
            <w:pPr>
              <w:rPr>
                <w:rFonts w:cs="Arial"/>
                <w:szCs w:val="20"/>
              </w:rPr>
            </w:pPr>
            <w:r w:rsidRPr="00277C14">
              <w:rPr>
                <w:rFonts w:cs="Arial"/>
                <w:szCs w:val="20"/>
              </w:rPr>
              <w:t xml:space="preserve">Record-keeping </w:t>
            </w:r>
          </w:p>
        </w:tc>
      </w:tr>
      <w:tr w:rsidR="00277C14" w:rsidRPr="00277C14" w14:paraId="65E0B097" w14:textId="77777777" w:rsidTr="00277C14">
        <w:trPr>
          <w:trHeight w:val="255"/>
          <w:jc w:val="center"/>
        </w:trPr>
        <w:tc>
          <w:tcPr>
            <w:tcW w:w="1972" w:type="dxa"/>
            <w:tcBorders>
              <w:top w:val="nil"/>
              <w:bottom w:val="nil"/>
              <w:right w:val="single" w:sz="4" w:space="0" w:color="000000"/>
            </w:tcBorders>
            <w:shd w:val="clear" w:color="auto" w:fill="auto"/>
          </w:tcPr>
          <w:p w14:paraId="056999A6" w14:textId="77777777" w:rsidR="00277C14" w:rsidRPr="00277C14" w:rsidRDefault="00277C14" w:rsidP="00277C14">
            <w:pPr>
              <w:rPr>
                <w:rFonts w:cs="Arial"/>
                <w:szCs w:val="20"/>
              </w:rPr>
            </w:pPr>
            <w:r w:rsidRPr="00277C14">
              <w:rPr>
                <w:rFonts w:cs="Arial"/>
                <w:szCs w:val="20"/>
              </w:rPr>
              <w:t>R.12</w:t>
            </w:r>
          </w:p>
        </w:tc>
        <w:tc>
          <w:tcPr>
            <w:tcW w:w="7573" w:type="dxa"/>
            <w:tcBorders>
              <w:left w:val="single" w:sz="4" w:space="0" w:color="000000"/>
            </w:tcBorders>
            <w:shd w:val="clear" w:color="auto" w:fill="auto"/>
            <w:vAlign w:val="center"/>
          </w:tcPr>
          <w:p w14:paraId="3F38173F" w14:textId="77777777" w:rsidR="00277C14" w:rsidRPr="00277C14" w:rsidRDefault="00277C14" w:rsidP="00277C14">
            <w:pPr>
              <w:rPr>
                <w:rFonts w:cs="Arial"/>
                <w:szCs w:val="20"/>
              </w:rPr>
            </w:pPr>
            <w:r w:rsidRPr="00277C14">
              <w:rPr>
                <w:rFonts w:cs="Arial"/>
                <w:szCs w:val="20"/>
              </w:rPr>
              <w:t>Politically exposed persons</w:t>
            </w:r>
          </w:p>
        </w:tc>
      </w:tr>
      <w:tr w:rsidR="00277C14" w:rsidRPr="00277C14" w14:paraId="039135CA" w14:textId="77777777" w:rsidTr="00277C14">
        <w:trPr>
          <w:trHeight w:val="255"/>
          <w:jc w:val="center"/>
        </w:trPr>
        <w:tc>
          <w:tcPr>
            <w:tcW w:w="1972" w:type="dxa"/>
            <w:tcBorders>
              <w:top w:val="nil"/>
              <w:bottom w:val="nil"/>
              <w:right w:val="single" w:sz="4" w:space="0" w:color="000000"/>
            </w:tcBorders>
            <w:shd w:val="clear" w:color="auto" w:fill="auto"/>
          </w:tcPr>
          <w:p w14:paraId="77E36F7D" w14:textId="77777777" w:rsidR="00277C14" w:rsidRPr="00277C14" w:rsidRDefault="00277C14" w:rsidP="00277C14">
            <w:pPr>
              <w:rPr>
                <w:rFonts w:cs="Arial"/>
                <w:szCs w:val="20"/>
              </w:rPr>
            </w:pPr>
            <w:r w:rsidRPr="00277C14">
              <w:rPr>
                <w:rFonts w:cs="Arial"/>
                <w:szCs w:val="20"/>
              </w:rPr>
              <w:t>R.13</w:t>
            </w:r>
          </w:p>
        </w:tc>
        <w:tc>
          <w:tcPr>
            <w:tcW w:w="7573" w:type="dxa"/>
            <w:tcBorders>
              <w:left w:val="single" w:sz="4" w:space="0" w:color="000000"/>
            </w:tcBorders>
            <w:shd w:val="clear" w:color="auto" w:fill="auto"/>
            <w:vAlign w:val="center"/>
          </w:tcPr>
          <w:p w14:paraId="6B38F80F" w14:textId="77777777" w:rsidR="00277C14" w:rsidRPr="00277C14" w:rsidRDefault="00277C14" w:rsidP="00277C14">
            <w:pPr>
              <w:rPr>
                <w:rFonts w:cs="Arial"/>
                <w:szCs w:val="20"/>
              </w:rPr>
            </w:pPr>
            <w:r w:rsidRPr="00277C14">
              <w:rPr>
                <w:rFonts w:cs="Arial"/>
                <w:szCs w:val="20"/>
              </w:rPr>
              <w:t>Correspondent banking</w:t>
            </w:r>
          </w:p>
        </w:tc>
      </w:tr>
      <w:tr w:rsidR="00277C14" w:rsidRPr="00277C14" w14:paraId="22AC3841" w14:textId="77777777" w:rsidTr="00277C14">
        <w:trPr>
          <w:trHeight w:val="255"/>
          <w:jc w:val="center"/>
        </w:trPr>
        <w:tc>
          <w:tcPr>
            <w:tcW w:w="1972" w:type="dxa"/>
            <w:tcBorders>
              <w:top w:val="nil"/>
              <w:bottom w:val="nil"/>
              <w:right w:val="single" w:sz="4" w:space="0" w:color="000000"/>
            </w:tcBorders>
            <w:shd w:val="clear" w:color="auto" w:fill="auto"/>
          </w:tcPr>
          <w:p w14:paraId="74C92DDE" w14:textId="77777777" w:rsidR="00277C14" w:rsidRPr="00277C14" w:rsidRDefault="00277C14" w:rsidP="00277C14">
            <w:pPr>
              <w:rPr>
                <w:rFonts w:cs="Arial"/>
                <w:szCs w:val="20"/>
              </w:rPr>
            </w:pPr>
            <w:r w:rsidRPr="00277C14">
              <w:rPr>
                <w:rFonts w:cs="Arial"/>
                <w:szCs w:val="20"/>
              </w:rPr>
              <w:t>R.14</w:t>
            </w:r>
          </w:p>
        </w:tc>
        <w:tc>
          <w:tcPr>
            <w:tcW w:w="7573" w:type="dxa"/>
            <w:tcBorders>
              <w:left w:val="single" w:sz="4" w:space="0" w:color="000000"/>
            </w:tcBorders>
            <w:shd w:val="clear" w:color="auto" w:fill="auto"/>
            <w:vAlign w:val="center"/>
          </w:tcPr>
          <w:p w14:paraId="64F19349" w14:textId="77777777" w:rsidR="00277C14" w:rsidRPr="00277C14" w:rsidRDefault="00277C14" w:rsidP="00277C14">
            <w:pPr>
              <w:rPr>
                <w:rFonts w:cs="Arial"/>
                <w:szCs w:val="20"/>
              </w:rPr>
            </w:pPr>
            <w:r w:rsidRPr="00277C14">
              <w:rPr>
                <w:rFonts w:cs="Arial"/>
                <w:szCs w:val="20"/>
              </w:rPr>
              <w:t>Money or value transfer services</w:t>
            </w:r>
          </w:p>
        </w:tc>
      </w:tr>
      <w:tr w:rsidR="00277C14" w:rsidRPr="00277C14" w14:paraId="385AE50D" w14:textId="77777777" w:rsidTr="00277C14">
        <w:trPr>
          <w:trHeight w:val="255"/>
          <w:jc w:val="center"/>
        </w:trPr>
        <w:tc>
          <w:tcPr>
            <w:tcW w:w="1972" w:type="dxa"/>
            <w:tcBorders>
              <w:top w:val="nil"/>
              <w:bottom w:val="nil"/>
              <w:right w:val="single" w:sz="4" w:space="0" w:color="000000"/>
            </w:tcBorders>
            <w:shd w:val="clear" w:color="auto" w:fill="auto"/>
          </w:tcPr>
          <w:p w14:paraId="43F6DC32" w14:textId="77777777" w:rsidR="00277C14" w:rsidRPr="00277C14" w:rsidRDefault="00277C14" w:rsidP="00277C14">
            <w:pPr>
              <w:rPr>
                <w:rFonts w:cs="Arial"/>
                <w:szCs w:val="20"/>
              </w:rPr>
            </w:pPr>
            <w:r w:rsidRPr="00277C14">
              <w:rPr>
                <w:rFonts w:cs="Arial"/>
                <w:szCs w:val="20"/>
              </w:rPr>
              <w:t>R.15</w:t>
            </w:r>
          </w:p>
        </w:tc>
        <w:tc>
          <w:tcPr>
            <w:tcW w:w="7573" w:type="dxa"/>
            <w:tcBorders>
              <w:left w:val="single" w:sz="4" w:space="0" w:color="000000"/>
            </w:tcBorders>
            <w:shd w:val="clear" w:color="auto" w:fill="auto"/>
            <w:vAlign w:val="center"/>
          </w:tcPr>
          <w:p w14:paraId="706A480C" w14:textId="77777777" w:rsidR="00277C14" w:rsidRPr="00277C14" w:rsidRDefault="00277C14" w:rsidP="00277C14">
            <w:pPr>
              <w:rPr>
                <w:rFonts w:cs="Arial"/>
                <w:szCs w:val="20"/>
              </w:rPr>
            </w:pPr>
            <w:r w:rsidRPr="00277C14">
              <w:rPr>
                <w:rFonts w:cs="Arial"/>
                <w:szCs w:val="20"/>
              </w:rPr>
              <w:t>New technologies</w:t>
            </w:r>
          </w:p>
        </w:tc>
      </w:tr>
      <w:tr w:rsidR="00277C14" w:rsidRPr="00277C14" w14:paraId="26FFA871" w14:textId="77777777" w:rsidTr="00277C14">
        <w:trPr>
          <w:trHeight w:val="255"/>
          <w:jc w:val="center"/>
        </w:trPr>
        <w:tc>
          <w:tcPr>
            <w:tcW w:w="1972" w:type="dxa"/>
            <w:tcBorders>
              <w:top w:val="nil"/>
              <w:bottom w:val="nil"/>
              <w:right w:val="single" w:sz="4" w:space="0" w:color="000000"/>
            </w:tcBorders>
            <w:shd w:val="clear" w:color="auto" w:fill="auto"/>
          </w:tcPr>
          <w:p w14:paraId="121204C2" w14:textId="77777777" w:rsidR="00277C14" w:rsidRPr="00277C14" w:rsidRDefault="00277C14" w:rsidP="00277C14">
            <w:pPr>
              <w:rPr>
                <w:rFonts w:cs="Arial"/>
                <w:szCs w:val="20"/>
              </w:rPr>
            </w:pPr>
            <w:r w:rsidRPr="00277C14">
              <w:rPr>
                <w:rFonts w:cs="Arial"/>
                <w:szCs w:val="20"/>
              </w:rPr>
              <w:t>R.16</w:t>
            </w:r>
          </w:p>
        </w:tc>
        <w:tc>
          <w:tcPr>
            <w:tcW w:w="7573" w:type="dxa"/>
            <w:tcBorders>
              <w:left w:val="single" w:sz="4" w:space="0" w:color="000000"/>
            </w:tcBorders>
            <w:shd w:val="clear" w:color="auto" w:fill="auto"/>
            <w:vAlign w:val="center"/>
          </w:tcPr>
          <w:p w14:paraId="584D4291" w14:textId="77777777" w:rsidR="00277C14" w:rsidRPr="00277C14" w:rsidRDefault="00277C14" w:rsidP="00277C14">
            <w:pPr>
              <w:rPr>
                <w:rFonts w:cs="Arial"/>
                <w:szCs w:val="20"/>
              </w:rPr>
            </w:pPr>
            <w:r w:rsidRPr="00277C14">
              <w:rPr>
                <w:rFonts w:cs="Arial"/>
                <w:szCs w:val="20"/>
              </w:rPr>
              <w:t>Wire transfers</w:t>
            </w:r>
          </w:p>
        </w:tc>
      </w:tr>
      <w:tr w:rsidR="00277C14" w:rsidRPr="00277C14" w14:paraId="5C728A56" w14:textId="77777777" w:rsidTr="00277C14">
        <w:trPr>
          <w:trHeight w:val="255"/>
          <w:jc w:val="center"/>
        </w:trPr>
        <w:tc>
          <w:tcPr>
            <w:tcW w:w="1972" w:type="dxa"/>
            <w:tcBorders>
              <w:top w:val="nil"/>
              <w:bottom w:val="nil"/>
              <w:right w:val="single" w:sz="4" w:space="0" w:color="000000"/>
            </w:tcBorders>
            <w:shd w:val="clear" w:color="auto" w:fill="auto"/>
          </w:tcPr>
          <w:p w14:paraId="38EDC2E1" w14:textId="77777777" w:rsidR="00277C14" w:rsidRPr="00277C14" w:rsidRDefault="00277C14" w:rsidP="00277C14">
            <w:pPr>
              <w:rPr>
                <w:rFonts w:cs="Arial"/>
                <w:szCs w:val="20"/>
              </w:rPr>
            </w:pPr>
            <w:r w:rsidRPr="00277C14">
              <w:rPr>
                <w:rFonts w:cs="Arial"/>
                <w:szCs w:val="20"/>
              </w:rPr>
              <w:t>R.17</w:t>
            </w:r>
          </w:p>
        </w:tc>
        <w:tc>
          <w:tcPr>
            <w:tcW w:w="7573" w:type="dxa"/>
            <w:tcBorders>
              <w:left w:val="single" w:sz="4" w:space="0" w:color="000000"/>
            </w:tcBorders>
            <w:shd w:val="clear" w:color="auto" w:fill="auto"/>
            <w:vAlign w:val="center"/>
          </w:tcPr>
          <w:p w14:paraId="145A04B0" w14:textId="77777777" w:rsidR="00277C14" w:rsidRPr="00277C14" w:rsidRDefault="00277C14" w:rsidP="00277C14">
            <w:pPr>
              <w:rPr>
                <w:rFonts w:cs="Arial"/>
                <w:szCs w:val="20"/>
              </w:rPr>
            </w:pPr>
            <w:r w:rsidRPr="00277C14">
              <w:rPr>
                <w:rFonts w:cs="Arial"/>
                <w:szCs w:val="20"/>
              </w:rPr>
              <w:t>Reliance on third parties</w:t>
            </w:r>
          </w:p>
        </w:tc>
      </w:tr>
      <w:tr w:rsidR="00277C14" w:rsidRPr="00277C14" w14:paraId="3332E894" w14:textId="77777777" w:rsidTr="00277C14">
        <w:trPr>
          <w:trHeight w:val="255"/>
          <w:jc w:val="center"/>
        </w:trPr>
        <w:tc>
          <w:tcPr>
            <w:tcW w:w="1972" w:type="dxa"/>
            <w:tcBorders>
              <w:top w:val="nil"/>
              <w:bottom w:val="nil"/>
              <w:right w:val="single" w:sz="4" w:space="0" w:color="000000"/>
            </w:tcBorders>
            <w:shd w:val="clear" w:color="auto" w:fill="auto"/>
          </w:tcPr>
          <w:p w14:paraId="3131DA23" w14:textId="77777777" w:rsidR="00277C14" w:rsidRPr="00277C14" w:rsidRDefault="00277C14" w:rsidP="00277C14">
            <w:pPr>
              <w:rPr>
                <w:rFonts w:cs="Arial"/>
                <w:szCs w:val="20"/>
              </w:rPr>
            </w:pPr>
            <w:r w:rsidRPr="00277C14">
              <w:rPr>
                <w:rFonts w:cs="Arial"/>
                <w:szCs w:val="20"/>
              </w:rPr>
              <w:t>R.18</w:t>
            </w:r>
          </w:p>
        </w:tc>
        <w:tc>
          <w:tcPr>
            <w:tcW w:w="7573" w:type="dxa"/>
            <w:tcBorders>
              <w:left w:val="single" w:sz="4" w:space="0" w:color="000000"/>
            </w:tcBorders>
            <w:shd w:val="clear" w:color="auto" w:fill="auto"/>
            <w:vAlign w:val="center"/>
          </w:tcPr>
          <w:p w14:paraId="608A42D6" w14:textId="77777777" w:rsidR="00277C14" w:rsidRPr="00277C14" w:rsidRDefault="00277C14" w:rsidP="00277C14">
            <w:pPr>
              <w:rPr>
                <w:rFonts w:cs="Arial"/>
                <w:szCs w:val="20"/>
              </w:rPr>
            </w:pPr>
            <w:r w:rsidRPr="00277C14">
              <w:rPr>
                <w:rFonts w:cs="Arial"/>
                <w:szCs w:val="20"/>
              </w:rPr>
              <w:t>Internal controls and foreign branches and subsidiaries</w:t>
            </w:r>
          </w:p>
        </w:tc>
      </w:tr>
      <w:tr w:rsidR="00277C14" w:rsidRPr="00277C14" w14:paraId="5343A79F" w14:textId="77777777" w:rsidTr="00277C14">
        <w:trPr>
          <w:trHeight w:val="255"/>
          <w:jc w:val="center"/>
        </w:trPr>
        <w:tc>
          <w:tcPr>
            <w:tcW w:w="1972" w:type="dxa"/>
            <w:tcBorders>
              <w:top w:val="nil"/>
              <w:bottom w:val="nil"/>
              <w:right w:val="single" w:sz="4" w:space="0" w:color="000000"/>
            </w:tcBorders>
            <w:shd w:val="clear" w:color="auto" w:fill="auto"/>
          </w:tcPr>
          <w:p w14:paraId="431151A1" w14:textId="77777777" w:rsidR="00277C14" w:rsidRPr="00277C14" w:rsidRDefault="00277C14" w:rsidP="00277C14">
            <w:pPr>
              <w:rPr>
                <w:rFonts w:cs="Arial"/>
                <w:szCs w:val="20"/>
              </w:rPr>
            </w:pPr>
            <w:r w:rsidRPr="00277C14">
              <w:rPr>
                <w:rFonts w:cs="Arial"/>
                <w:szCs w:val="20"/>
              </w:rPr>
              <w:t>R.19</w:t>
            </w:r>
          </w:p>
        </w:tc>
        <w:tc>
          <w:tcPr>
            <w:tcW w:w="7573" w:type="dxa"/>
            <w:tcBorders>
              <w:left w:val="single" w:sz="4" w:space="0" w:color="000000"/>
            </w:tcBorders>
            <w:shd w:val="clear" w:color="auto" w:fill="auto"/>
            <w:vAlign w:val="center"/>
          </w:tcPr>
          <w:p w14:paraId="0A755B7E" w14:textId="77777777" w:rsidR="00277C14" w:rsidRPr="00277C14" w:rsidRDefault="00277C14" w:rsidP="00277C14">
            <w:pPr>
              <w:rPr>
                <w:rFonts w:cs="Arial"/>
                <w:szCs w:val="20"/>
              </w:rPr>
            </w:pPr>
            <w:r w:rsidRPr="00277C14">
              <w:rPr>
                <w:rFonts w:cs="Arial"/>
                <w:szCs w:val="20"/>
              </w:rPr>
              <w:t>Higher-risk countries</w:t>
            </w:r>
          </w:p>
        </w:tc>
      </w:tr>
      <w:tr w:rsidR="00277C14" w:rsidRPr="00277C14" w14:paraId="43FB89FA" w14:textId="77777777" w:rsidTr="00277C14">
        <w:trPr>
          <w:trHeight w:val="255"/>
          <w:jc w:val="center"/>
        </w:trPr>
        <w:tc>
          <w:tcPr>
            <w:tcW w:w="1972" w:type="dxa"/>
            <w:tcBorders>
              <w:top w:val="nil"/>
              <w:bottom w:val="nil"/>
              <w:right w:val="single" w:sz="4" w:space="0" w:color="000000"/>
            </w:tcBorders>
            <w:shd w:val="clear" w:color="auto" w:fill="auto"/>
          </w:tcPr>
          <w:p w14:paraId="6582571A" w14:textId="77777777" w:rsidR="00277C14" w:rsidRPr="00277C14" w:rsidRDefault="00277C14" w:rsidP="00277C14">
            <w:pPr>
              <w:rPr>
                <w:rFonts w:cs="Arial"/>
                <w:szCs w:val="20"/>
              </w:rPr>
            </w:pPr>
            <w:r w:rsidRPr="00277C14">
              <w:rPr>
                <w:rFonts w:cs="Arial"/>
                <w:szCs w:val="20"/>
              </w:rPr>
              <w:t>R.20</w:t>
            </w:r>
          </w:p>
        </w:tc>
        <w:tc>
          <w:tcPr>
            <w:tcW w:w="7573" w:type="dxa"/>
            <w:tcBorders>
              <w:left w:val="single" w:sz="4" w:space="0" w:color="000000"/>
            </w:tcBorders>
            <w:shd w:val="clear" w:color="auto" w:fill="auto"/>
            <w:vAlign w:val="center"/>
          </w:tcPr>
          <w:p w14:paraId="54546034" w14:textId="77777777" w:rsidR="00277C14" w:rsidRPr="00277C14" w:rsidRDefault="00277C14" w:rsidP="00277C14">
            <w:pPr>
              <w:rPr>
                <w:rFonts w:cs="Arial"/>
                <w:szCs w:val="20"/>
              </w:rPr>
            </w:pPr>
            <w:r w:rsidRPr="00277C14">
              <w:rPr>
                <w:rFonts w:cs="Arial"/>
                <w:szCs w:val="20"/>
              </w:rPr>
              <w:t>Reporting of suspicious transactions</w:t>
            </w:r>
          </w:p>
        </w:tc>
      </w:tr>
      <w:tr w:rsidR="00277C14" w:rsidRPr="00277C14" w14:paraId="3AC7D972" w14:textId="77777777" w:rsidTr="00277C14">
        <w:trPr>
          <w:trHeight w:val="255"/>
          <w:jc w:val="center"/>
        </w:trPr>
        <w:tc>
          <w:tcPr>
            <w:tcW w:w="1972" w:type="dxa"/>
            <w:tcBorders>
              <w:top w:val="nil"/>
              <w:bottom w:val="nil"/>
              <w:right w:val="single" w:sz="4" w:space="0" w:color="000000"/>
            </w:tcBorders>
            <w:shd w:val="clear" w:color="auto" w:fill="auto"/>
          </w:tcPr>
          <w:p w14:paraId="23E9028E" w14:textId="77777777" w:rsidR="00277C14" w:rsidRPr="00277C14" w:rsidRDefault="00277C14" w:rsidP="00277C14">
            <w:pPr>
              <w:rPr>
                <w:rFonts w:cs="Arial"/>
                <w:szCs w:val="20"/>
              </w:rPr>
            </w:pPr>
            <w:r w:rsidRPr="00277C14">
              <w:rPr>
                <w:rFonts w:cs="Arial"/>
                <w:szCs w:val="20"/>
              </w:rPr>
              <w:t>R.21</w:t>
            </w:r>
          </w:p>
        </w:tc>
        <w:tc>
          <w:tcPr>
            <w:tcW w:w="7573" w:type="dxa"/>
            <w:tcBorders>
              <w:left w:val="single" w:sz="4" w:space="0" w:color="000000"/>
            </w:tcBorders>
            <w:shd w:val="clear" w:color="auto" w:fill="auto"/>
            <w:vAlign w:val="center"/>
          </w:tcPr>
          <w:p w14:paraId="3D13C70C" w14:textId="77777777" w:rsidR="00277C14" w:rsidRPr="00277C14" w:rsidRDefault="00277C14" w:rsidP="00277C14">
            <w:pPr>
              <w:rPr>
                <w:rFonts w:cs="Arial"/>
                <w:szCs w:val="20"/>
              </w:rPr>
            </w:pPr>
            <w:r w:rsidRPr="00277C14">
              <w:rPr>
                <w:rFonts w:cs="Arial"/>
                <w:szCs w:val="20"/>
              </w:rPr>
              <w:t>Tipping-off and confidentiality</w:t>
            </w:r>
          </w:p>
        </w:tc>
      </w:tr>
      <w:tr w:rsidR="00277C14" w:rsidRPr="00277C14" w14:paraId="4C0E7952" w14:textId="77777777" w:rsidTr="00277C14">
        <w:trPr>
          <w:trHeight w:val="255"/>
          <w:jc w:val="center"/>
        </w:trPr>
        <w:tc>
          <w:tcPr>
            <w:tcW w:w="1972" w:type="dxa"/>
            <w:tcBorders>
              <w:top w:val="nil"/>
              <w:bottom w:val="nil"/>
              <w:right w:val="single" w:sz="4" w:space="0" w:color="000000"/>
            </w:tcBorders>
            <w:shd w:val="clear" w:color="auto" w:fill="auto"/>
          </w:tcPr>
          <w:p w14:paraId="1FEDCC33" w14:textId="77777777" w:rsidR="00277C14" w:rsidRPr="00277C14" w:rsidRDefault="00277C14" w:rsidP="00277C14">
            <w:pPr>
              <w:rPr>
                <w:rFonts w:cs="Arial"/>
                <w:szCs w:val="20"/>
              </w:rPr>
            </w:pPr>
            <w:r w:rsidRPr="00277C14">
              <w:rPr>
                <w:rFonts w:cs="Arial"/>
                <w:szCs w:val="20"/>
              </w:rPr>
              <w:t>R.22</w:t>
            </w:r>
          </w:p>
        </w:tc>
        <w:tc>
          <w:tcPr>
            <w:tcW w:w="7573" w:type="dxa"/>
            <w:tcBorders>
              <w:left w:val="single" w:sz="4" w:space="0" w:color="000000"/>
            </w:tcBorders>
            <w:shd w:val="clear" w:color="auto" w:fill="auto"/>
            <w:vAlign w:val="center"/>
          </w:tcPr>
          <w:p w14:paraId="00BF7595" w14:textId="77777777" w:rsidR="00277C14" w:rsidRPr="00277C14" w:rsidRDefault="00277C14" w:rsidP="00277C14">
            <w:pPr>
              <w:rPr>
                <w:rFonts w:cs="Arial"/>
                <w:szCs w:val="20"/>
              </w:rPr>
            </w:pPr>
            <w:r w:rsidRPr="00277C14">
              <w:rPr>
                <w:rFonts w:cs="Arial"/>
                <w:szCs w:val="20"/>
              </w:rPr>
              <w:t>DNFBPs: Customer due diligence</w:t>
            </w:r>
          </w:p>
        </w:tc>
      </w:tr>
      <w:tr w:rsidR="00277C14" w:rsidRPr="00277C14" w14:paraId="69D7E179" w14:textId="77777777" w:rsidTr="00277C14">
        <w:trPr>
          <w:trHeight w:val="255"/>
          <w:jc w:val="center"/>
        </w:trPr>
        <w:tc>
          <w:tcPr>
            <w:tcW w:w="1972" w:type="dxa"/>
            <w:tcBorders>
              <w:top w:val="nil"/>
              <w:bottom w:val="nil"/>
              <w:right w:val="single" w:sz="4" w:space="0" w:color="000000"/>
            </w:tcBorders>
            <w:shd w:val="clear" w:color="auto" w:fill="auto"/>
          </w:tcPr>
          <w:p w14:paraId="62510E5D" w14:textId="77777777" w:rsidR="00277C14" w:rsidRPr="00277C14" w:rsidRDefault="00277C14" w:rsidP="00277C14">
            <w:pPr>
              <w:rPr>
                <w:rFonts w:cs="Arial"/>
                <w:szCs w:val="20"/>
              </w:rPr>
            </w:pPr>
            <w:r w:rsidRPr="00277C14">
              <w:rPr>
                <w:rFonts w:cs="Arial"/>
                <w:szCs w:val="20"/>
              </w:rPr>
              <w:t>R.23</w:t>
            </w:r>
          </w:p>
        </w:tc>
        <w:tc>
          <w:tcPr>
            <w:tcW w:w="7573" w:type="dxa"/>
            <w:tcBorders>
              <w:left w:val="single" w:sz="4" w:space="0" w:color="000000"/>
            </w:tcBorders>
            <w:shd w:val="clear" w:color="auto" w:fill="auto"/>
            <w:vAlign w:val="center"/>
          </w:tcPr>
          <w:p w14:paraId="5AA0E757" w14:textId="77777777" w:rsidR="00277C14" w:rsidRPr="00277C14" w:rsidRDefault="00277C14" w:rsidP="00277C14">
            <w:pPr>
              <w:rPr>
                <w:rFonts w:cs="Arial"/>
                <w:szCs w:val="20"/>
              </w:rPr>
            </w:pPr>
            <w:r w:rsidRPr="00277C14">
              <w:rPr>
                <w:rFonts w:cs="Arial"/>
                <w:szCs w:val="20"/>
              </w:rPr>
              <w:t>DNFBPs: Other measures</w:t>
            </w:r>
          </w:p>
        </w:tc>
      </w:tr>
      <w:tr w:rsidR="00277C14" w:rsidRPr="00277C14" w14:paraId="465AE754" w14:textId="77777777" w:rsidTr="00277C14">
        <w:trPr>
          <w:trHeight w:val="255"/>
          <w:jc w:val="center"/>
        </w:trPr>
        <w:tc>
          <w:tcPr>
            <w:tcW w:w="1972" w:type="dxa"/>
            <w:tcBorders>
              <w:top w:val="nil"/>
              <w:bottom w:val="nil"/>
              <w:right w:val="single" w:sz="4" w:space="0" w:color="000000"/>
            </w:tcBorders>
            <w:shd w:val="clear" w:color="auto" w:fill="auto"/>
          </w:tcPr>
          <w:p w14:paraId="19F1DC3D" w14:textId="77777777" w:rsidR="00277C14" w:rsidRPr="00277C14" w:rsidRDefault="00277C14" w:rsidP="00277C14">
            <w:pPr>
              <w:rPr>
                <w:rFonts w:cs="Arial"/>
                <w:szCs w:val="20"/>
              </w:rPr>
            </w:pPr>
            <w:r w:rsidRPr="00277C14">
              <w:rPr>
                <w:rFonts w:cs="Arial"/>
                <w:szCs w:val="20"/>
              </w:rPr>
              <w:t>R.24</w:t>
            </w:r>
          </w:p>
        </w:tc>
        <w:tc>
          <w:tcPr>
            <w:tcW w:w="7573" w:type="dxa"/>
            <w:tcBorders>
              <w:left w:val="single" w:sz="4" w:space="0" w:color="000000"/>
            </w:tcBorders>
            <w:shd w:val="clear" w:color="auto" w:fill="auto"/>
            <w:vAlign w:val="center"/>
          </w:tcPr>
          <w:p w14:paraId="6E9ADE9C" w14:textId="77777777" w:rsidR="00277C14" w:rsidRPr="00277C14" w:rsidRDefault="00277C14" w:rsidP="00277C14">
            <w:pPr>
              <w:rPr>
                <w:rFonts w:cs="Arial"/>
                <w:szCs w:val="20"/>
              </w:rPr>
            </w:pPr>
            <w:r w:rsidRPr="00277C14">
              <w:rPr>
                <w:rFonts w:cs="Arial"/>
                <w:szCs w:val="20"/>
              </w:rPr>
              <w:t>Transparency and beneficial ownership of legal persons</w:t>
            </w:r>
          </w:p>
        </w:tc>
      </w:tr>
      <w:tr w:rsidR="00277C14" w:rsidRPr="00277C14" w14:paraId="6E004C64" w14:textId="77777777" w:rsidTr="00277C14">
        <w:trPr>
          <w:trHeight w:val="255"/>
          <w:jc w:val="center"/>
        </w:trPr>
        <w:tc>
          <w:tcPr>
            <w:tcW w:w="1972" w:type="dxa"/>
            <w:tcBorders>
              <w:top w:val="nil"/>
              <w:bottom w:val="nil"/>
              <w:right w:val="single" w:sz="4" w:space="0" w:color="000000"/>
            </w:tcBorders>
            <w:shd w:val="clear" w:color="auto" w:fill="auto"/>
          </w:tcPr>
          <w:p w14:paraId="286967A5" w14:textId="77777777" w:rsidR="00277C14" w:rsidRPr="00277C14" w:rsidRDefault="00277C14" w:rsidP="00277C14">
            <w:pPr>
              <w:rPr>
                <w:rFonts w:cs="Arial"/>
                <w:szCs w:val="20"/>
              </w:rPr>
            </w:pPr>
            <w:r w:rsidRPr="00277C14">
              <w:rPr>
                <w:rFonts w:cs="Arial"/>
                <w:szCs w:val="20"/>
              </w:rPr>
              <w:t>R.25</w:t>
            </w:r>
          </w:p>
        </w:tc>
        <w:tc>
          <w:tcPr>
            <w:tcW w:w="7573" w:type="dxa"/>
            <w:tcBorders>
              <w:left w:val="single" w:sz="4" w:space="0" w:color="000000"/>
            </w:tcBorders>
            <w:shd w:val="clear" w:color="auto" w:fill="auto"/>
            <w:vAlign w:val="center"/>
          </w:tcPr>
          <w:p w14:paraId="6EB9EE85" w14:textId="77777777" w:rsidR="00277C14" w:rsidRPr="00277C14" w:rsidRDefault="00277C14" w:rsidP="00277C14">
            <w:pPr>
              <w:rPr>
                <w:rFonts w:cs="Arial"/>
                <w:szCs w:val="20"/>
              </w:rPr>
            </w:pPr>
            <w:r w:rsidRPr="00277C14">
              <w:rPr>
                <w:rFonts w:cs="Arial"/>
                <w:szCs w:val="20"/>
              </w:rPr>
              <w:t>Transparency and beneficial ownership of legal arrangements</w:t>
            </w:r>
          </w:p>
        </w:tc>
      </w:tr>
      <w:tr w:rsidR="00277C14" w:rsidRPr="00277C14" w14:paraId="28A282AC" w14:textId="77777777" w:rsidTr="00277C14">
        <w:trPr>
          <w:trHeight w:val="255"/>
          <w:jc w:val="center"/>
        </w:trPr>
        <w:tc>
          <w:tcPr>
            <w:tcW w:w="1972" w:type="dxa"/>
            <w:tcBorders>
              <w:top w:val="nil"/>
              <w:bottom w:val="nil"/>
              <w:right w:val="single" w:sz="4" w:space="0" w:color="000000"/>
            </w:tcBorders>
            <w:shd w:val="clear" w:color="auto" w:fill="auto"/>
          </w:tcPr>
          <w:p w14:paraId="1C7F7DB5" w14:textId="77777777" w:rsidR="00277C14" w:rsidRPr="00277C14" w:rsidRDefault="00277C14" w:rsidP="00277C14">
            <w:pPr>
              <w:rPr>
                <w:rFonts w:cs="Arial"/>
                <w:szCs w:val="20"/>
              </w:rPr>
            </w:pPr>
            <w:r w:rsidRPr="00277C14">
              <w:rPr>
                <w:rFonts w:cs="Arial"/>
                <w:szCs w:val="20"/>
              </w:rPr>
              <w:t>R.26</w:t>
            </w:r>
          </w:p>
        </w:tc>
        <w:tc>
          <w:tcPr>
            <w:tcW w:w="7573" w:type="dxa"/>
            <w:tcBorders>
              <w:left w:val="single" w:sz="4" w:space="0" w:color="000000"/>
            </w:tcBorders>
            <w:shd w:val="clear" w:color="auto" w:fill="auto"/>
            <w:vAlign w:val="center"/>
          </w:tcPr>
          <w:p w14:paraId="62065973" w14:textId="77777777" w:rsidR="00277C14" w:rsidRPr="00277C14" w:rsidRDefault="00277C14" w:rsidP="00277C14">
            <w:pPr>
              <w:rPr>
                <w:rFonts w:cs="Arial"/>
                <w:szCs w:val="20"/>
              </w:rPr>
            </w:pPr>
            <w:r w:rsidRPr="00277C14">
              <w:rPr>
                <w:rFonts w:cs="Arial"/>
                <w:szCs w:val="20"/>
              </w:rPr>
              <w:t>Regulation and supervision of financial institutions</w:t>
            </w:r>
          </w:p>
        </w:tc>
      </w:tr>
      <w:tr w:rsidR="00277C14" w:rsidRPr="00277C14" w14:paraId="6F8F51EC" w14:textId="77777777" w:rsidTr="00277C14">
        <w:trPr>
          <w:trHeight w:val="255"/>
          <w:jc w:val="center"/>
        </w:trPr>
        <w:tc>
          <w:tcPr>
            <w:tcW w:w="1972" w:type="dxa"/>
            <w:tcBorders>
              <w:top w:val="nil"/>
              <w:bottom w:val="nil"/>
              <w:right w:val="single" w:sz="4" w:space="0" w:color="000000"/>
            </w:tcBorders>
            <w:shd w:val="clear" w:color="auto" w:fill="auto"/>
          </w:tcPr>
          <w:p w14:paraId="7D7BB78E" w14:textId="77777777" w:rsidR="00277C14" w:rsidRPr="00277C14" w:rsidRDefault="00277C14" w:rsidP="00277C14">
            <w:pPr>
              <w:rPr>
                <w:rFonts w:cs="Arial"/>
                <w:szCs w:val="20"/>
              </w:rPr>
            </w:pPr>
            <w:r w:rsidRPr="00277C14">
              <w:rPr>
                <w:rFonts w:cs="Arial"/>
                <w:szCs w:val="20"/>
              </w:rPr>
              <w:t>R.27</w:t>
            </w:r>
          </w:p>
        </w:tc>
        <w:tc>
          <w:tcPr>
            <w:tcW w:w="7573" w:type="dxa"/>
            <w:tcBorders>
              <w:left w:val="single" w:sz="4" w:space="0" w:color="000000"/>
            </w:tcBorders>
            <w:shd w:val="clear" w:color="auto" w:fill="auto"/>
            <w:vAlign w:val="center"/>
          </w:tcPr>
          <w:p w14:paraId="0E3DAFD6" w14:textId="77777777" w:rsidR="00277C14" w:rsidRPr="00277C14" w:rsidRDefault="00277C14" w:rsidP="00277C14">
            <w:pPr>
              <w:rPr>
                <w:rFonts w:cs="Arial"/>
                <w:szCs w:val="20"/>
              </w:rPr>
            </w:pPr>
            <w:r w:rsidRPr="00277C14">
              <w:rPr>
                <w:rFonts w:cs="Arial"/>
                <w:szCs w:val="20"/>
              </w:rPr>
              <w:t>Powers of supervisors</w:t>
            </w:r>
          </w:p>
        </w:tc>
      </w:tr>
      <w:tr w:rsidR="00277C14" w:rsidRPr="00277C14" w14:paraId="42092367" w14:textId="77777777" w:rsidTr="00277C14">
        <w:trPr>
          <w:trHeight w:val="255"/>
          <w:jc w:val="center"/>
        </w:trPr>
        <w:tc>
          <w:tcPr>
            <w:tcW w:w="1972" w:type="dxa"/>
            <w:tcBorders>
              <w:top w:val="nil"/>
              <w:bottom w:val="nil"/>
              <w:right w:val="single" w:sz="4" w:space="0" w:color="000000"/>
            </w:tcBorders>
            <w:shd w:val="clear" w:color="auto" w:fill="auto"/>
          </w:tcPr>
          <w:p w14:paraId="6846B8E0" w14:textId="77777777" w:rsidR="00277C14" w:rsidRPr="00277C14" w:rsidRDefault="00277C14" w:rsidP="00277C14">
            <w:pPr>
              <w:rPr>
                <w:rFonts w:cs="Arial"/>
                <w:szCs w:val="20"/>
              </w:rPr>
            </w:pPr>
            <w:r w:rsidRPr="00277C14">
              <w:rPr>
                <w:rFonts w:cs="Arial"/>
                <w:szCs w:val="20"/>
              </w:rPr>
              <w:t>R.28</w:t>
            </w:r>
          </w:p>
        </w:tc>
        <w:tc>
          <w:tcPr>
            <w:tcW w:w="7573" w:type="dxa"/>
            <w:tcBorders>
              <w:left w:val="single" w:sz="4" w:space="0" w:color="000000"/>
            </w:tcBorders>
            <w:shd w:val="clear" w:color="auto" w:fill="auto"/>
            <w:vAlign w:val="center"/>
          </w:tcPr>
          <w:p w14:paraId="7C2F6A2C" w14:textId="77777777" w:rsidR="00277C14" w:rsidRPr="00277C14" w:rsidRDefault="00277C14" w:rsidP="00277C14">
            <w:pPr>
              <w:rPr>
                <w:rFonts w:cs="Arial"/>
                <w:szCs w:val="20"/>
              </w:rPr>
            </w:pPr>
            <w:r w:rsidRPr="00277C14">
              <w:rPr>
                <w:rFonts w:cs="Arial"/>
                <w:szCs w:val="20"/>
              </w:rPr>
              <w:t>Regulation and supervision of DNFBPs</w:t>
            </w:r>
          </w:p>
        </w:tc>
      </w:tr>
      <w:tr w:rsidR="00277C14" w:rsidRPr="00277C14" w14:paraId="04979B6A" w14:textId="77777777" w:rsidTr="00277C14">
        <w:trPr>
          <w:trHeight w:val="255"/>
          <w:jc w:val="center"/>
        </w:trPr>
        <w:tc>
          <w:tcPr>
            <w:tcW w:w="1972" w:type="dxa"/>
            <w:tcBorders>
              <w:top w:val="nil"/>
              <w:bottom w:val="nil"/>
              <w:right w:val="single" w:sz="4" w:space="0" w:color="000000"/>
            </w:tcBorders>
            <w:shd w:val="clear" w:color="auto" w:fill="auto"/>
          </w:tcPr>
          <w:p w14:paraId="73A00559" w14:textId="77777777" w:rsidR="00277C14" w:rsidRPr="00277C14" w:rsidRDefault="00277C14" w:rsidP="00277C14">
            <w:pPr>
              <w:rPr>
                <w:rFonts w:cs="Arial"/>
                <w:szCs w:val="20"/>
              </w:rPr>
            </w:pPr>
            <w:r w:rsidRPr="00277C14">
              <w:rPr>
                <w:rFonts w:cs="Arial"/>
                <w:szCs w:val="20"/>
              </w:rPr>
              <w:t>R.29</w:t>
            </w:r>
          </w:p>
        </w:tc>
        <w:tc>
          <w:tcPr>
            <w:tcW w:w="7573" w:type="dxa"/>
            <w:tcBorders>
              <w:left w:val="single" w:sz="4" w:space="0" w:color="000000"/>
            </w:tcBorders>
            <w:shd w:val="clear" w:color="auto" w:fill="auto"/>
            <w:vAlign w:val="center"/>
          </w:tcPr>
          <w:p w14:paraId="5CFA2CDA" w14:textId="77777777" w:rsidR="00277C14" w:rsidRPr="00277C14" w:rsidRDefault="00277C14" w:rsidP="00277C14">
            <w:pPr>
              <w:rPr>
                <w:rFonts w:cs="Arial"/>
                <w:szCs w:val="20"/>
              </w:rPr>
            </w:pPr>
            <w:r w:rsidRPr="00277C14">
              <w:rPr>
                <w:rFonts w:cs="Arial"/>
                <w:szCs w:val="20"/>
              </w:rPr>
              <w:t>Financial intelligence units</w:t>
            </w:r>
          </w:p>
        </w:tc>
      </w:tr>
      <w:tr w:rsidR="00277C14" w:rsidRPr="00277C14" w14:paraId="194B1027" w14:textId="77777777" w:rsidTr="00277C14">
        <w:trPr>
          <w:trHeight w:val="255"/>
          <w:jc w:val="center"/>
        </w:trPr>
        <w:tc>
          <w:tcPr>
            <w:tcW w:w="1972" w:type="dxa"/>
            <w:tcBorders>
              <w:top w:val="nil"/>
              <w:bottom w:val="nil"/>
              <w:right w:val="single" w:sz="4" w:space="0" w:color="000000"/>
            </w:tcBorders>
            <w:shd w:val="clear" w:color="auto" w:fill="auto"/>
          </w:tcPr>
          <w:p w14:paraId="4731DA6B" w14:textId="77777777" w:rsidR="00277C14" w:rsidRPr="00277C14" w:rsidRDefault="00277C14" w:rsidP="00277C14">
            <w:pPr>
              <w:rPr>
                <w:rFonts w:cs="Arial"/>
                <w:szCs w:val="20"/>
              </w:rPr>
            </w:pPr>
            <w:r w:rsidRPr="00277C14">
              <w:rPr>
                <w:rFonts w:cs="Arial"/>
                <w:szCs w:val="20"/>
              </w:rPr>
              <w:t>R.30</w:t>
            </w:r>
          </w:p>
        </w:tc>
        <w:tc>
          <w:tcPr>
            <w:tcW w:w="7573" w:type="dxa"/>
            <w:tcBorders>
              <w:left w:val="single" w:sz="4" w:space="0" w:color="000000"/>
            </w:tcBorders>
            <w:shd w:val="clear" w:color="auto" w:fill="auto"/>
            <w:vAlign w:val="center"/>
          </w:tcPr>
          <w:p w14:paraId="5E951B74" w14:textId="77777777" w:rsidR="00277C14" w:rsidRPr="00277C14" w:rsidRDefault="00277C14" w:rsidP="00277C14">
            <w:pPr>
              <w:rPr>
                <w:rFonts w:cs="Arial"/>
                <w:szCs w:val="20"/>
              </w:rPr>
            </w:pPr>
            <w:r w:rsidRPr="00277C14">
              <w:rPr>
                <w:rFonts w:cs="Arial"/>
                <w:szCs w:val="20"/>
              </w:rPr>
              <w:t>Responsibilities of law enforcement and investigative authorities</w:t>
            </w:r>
          </w:p>
        </w:tc>
      </w:tr>
      <w:tr w:rsidR="00277C14" w:rsidRPr="00277C14" w14:paraId="29AB28A5" w14:textId="77777777" w:rsidTr="00277C14">
        <w:trPr>
          <w:trHeight w:val="255"/>
          <w:jc w:val="center"/>
        </w:trPr>
        <w:tc>
          <w:tcPr>
            <w:tcW w:w="1972" w:type="dxa"/>
            <w:tcBorders>
              <w:top w:val="nil"/>
              <w:bottom w:val="nil"/>
              <w:right w:val="single" w:sz="4" w:space="0" w:color="000000"/>
            </w:tcBorders>
            <w:shd w:val="clear" w:color="auto" w:fill="auto"/>
          </w:tcPr>
          <w:p w14:paraId="6FB767EE" w14:textId="77777777" w:rsidR="00277C14" w:rsidRPr="00277C14" w:rsidRDefault="00277C14" w:rsidP="00277C14">
            <w:pPr>
              <w:rPr>
                <w:rFonts w:cs="Arial"/>
                <w:szCs w:val="20"/>
              </w:rPr>
            </w:pPr>
            <w:r w:rsidRPr="00277C14">
              <w:rPr>
                <w:rFonts w:cs="Arial"/>
                <w:szCs w:val="20"/>
              </w:rPr>
              <w:t>R.31</w:t>
            </w:r>
          </w:p>
        </w:tc>
        <w:tc>
          <w:tcPr>
            <w:tcW w:w="7573" w:type="dxa"/>
            <w:tcBorders>
              <w:left w:val="single" w:sz="4" w:space="0" w:color="000000"/>
            </w:tcBorders>
            <w:shd w:val="clear" w:color="auto" w:fill="auto"/>
            <w:vAlign w:val="center"/>
          </w:tcPr>
          <w:p w14:paraId="6A1B0567" w14:textId="77777777" w:rsidR="00277C14" w:rsidRPr="00277C14" w:rsidRDefault="00277C14" w:rsidP="00277C14">
            <w:pPr>
              <w:rPr>
                <w:rFonts w:cs="Arial"/>
                <w:szCs w:val="20"/>
              </w:rPr>
            </w:pPr>
            <w:r w:rsidRPr="00277C14">
              <w:rPr>
                <w:rFonts w:cs="Arial"/>
                <w:szCs w:val="20"/>
              </w:rPr>
              <w:t>Powers of law enforcement and investigative authorities</w:t>
            </w:r>
          </w:p>
        </w:tc>
      </w:tr>
      <w:tr w:rsidR="00277C14" w:rsidRPr="00277C14" w14:paraId="08AA75D3" w14:textId="77777777" w:rsidTr="00277C14">
        <w:trPr>
          <w:trHeight w:val="255"/>
          <w:jc w:val="center"/>
        </w:trPr>
        <w:tc>
          <w:tcPr>
            <w:tcW w:w="1972" w:type="dxa"/>
            <w:tcBorders>
              <w:top w:val="nil"/>
              <w:bottom w:val="nil"/>
              <w:right w:val="single" w:sz="4" w:space="0" w:color="000000"/>
            </w:tcBorders>
            <w:shd w:val="clear" w:color="auto" w:fill="auto"/>
          </w:tcPr>
          <w:p w14:paraId="26430ED2" w14:textId="77777777" w:rsidR="00277C14" w:rsidRPr="00277C14" w:rsidRDefault="00277C14" w:rsidP="00277C14">
            <w:pPr>
              <w:rPr>
                <w:rFonts w:cs="Arial"/>
                <w:szCs w:val="20"/>
              </w:rPr>
            </w:pPr>
            <w:r w:rsidRPr="00277C14">
              <w:rPr>
                <w:rFonts w:cs="Arial"/>
                <w:szCs w:val="20"/>
              </w:rPr>
              <w:t>R.32</w:t>
            </w:r>
          </w:p>
        </w:tc>
        <w:tc>
          <w:tcPr>
            <w:tcW w:w="7573" w:type="dxa"/>
            <w:tcBorders>
              <w:left w:val="single" w:sz="4" w:space="0" w:color="000000"/>
            </w:tcBorders>
            <w:shd w:val="clear" w:color="auto" w:fill="auto"/>
            <w:vAlign w:val="center"/>
          </w:tcPr>
          <w:p w14:paraId="759C4FB3" w14:textId="77777777" w:rsidR="00277C14" w:rsidRPr="00277C14" w:rsidRDefault="00277C14" w:rsidP="00277C14">
            <w:pPr>
              <w:rPr>
                <w:rFonts w:cs="Arial"/>
                <w:szCs w:val="20"/>
              </w:rPr>
            </w:pPr>
            <w:r w:rsidRPr="00277C14">
              <w:rPr>
                <w:rFonts w:cs="Arial"/>
                <w:szCs w:val="20"/>
              </w:rPr>
              <w:t>Cash Couriers</w:t>
            </w:r>
          </w:p>
        </w:tc>
      </w:tr>
      <w:tr w:rsidR="00277C14" w:rsidRPr="00277C14" w14:paraId="4EB85659" w14:textId="77777777" w:rsidTr="00277C14">
        <w:trPr>
          <w:trHeight w:val="255"/>
          <w:jc w:val="center"/>
        </w:trPr>
        <w:tc>
          <w:tcPr>
            <w:tcW w:w="1972" w:type="dxa"/>
            <w:tcBorders>
              <w:top w:val="nil"/>
              <w:bottom w:val="nil"/>
              <w:right w:val="single" w:sz="4" w:space="0" w:color="000000"/>
            </w:tcBorders>
            <w:shd w:val="clear" w:color="auto" w:fill="auto"/>
          </w:tcPr>
          <w:p w14:paraId="0E76D36E" w14:textId="77777777" w:rsidR="00277C14" w:rsidRPr="00277C14" w:rsidRDefault="00277C14" w:rsidP="00277C14">
            <w:pPr>
              <w:rPr>
                <w:rFonts w:cs="Arial"/>
                <w:szCs w:val="20"/>
              </w:rPr>
            </w:pPr>
            <w:r w:rsidRPr="00277C14">
              <w:rPr>
                <w:rFonts w:cs="Arial"/>
                <w:szCs w:val="20"/>
              </w:rPr>
              <w:t>R.33</w:t>
            </w:r>
          </w:p>
        </w:tc>
        <w:tc>
          <w:tcPr>
            <w:tcW w:w="7573" w:type="dxa"/>
            <w:tcBorders>
              <w:left w:val="single" w:sz="4" w:space="0" w:color="000000"/>
            </w:tcBorders>
            <w:shd w:val="clear" w:color="auto" w:fill="auto"/>
            <w:vAlign w:val="center"/>
          </w:tcPr>
          <w:p w14:paraId="7F99EA24" w14:textId="77777777" w:rsidR="00277C14" w:rsidRPr="00277C14" w:rsidRDefault="00277C14" w:rsidP="00277C14">
            <w:pPr>
              <w:rPr>
                <w:rFonts w:cs="Arial"/>
                <w:szCs w:val="20"/>
              </w:rPr>
            </w:pPr>
            <w:r w:rsidRPr="00277C14">
              <w:rPr>
                <w:rFonts w:cs="Arial"/>
                <w:szCs w:val="20"/>
              </w:rPr>
              <w:t>Statistics</w:t>
            </w:r>
          </w:p>
        </w:tc>
      </w:tr>
      <w:tr w:rsidR="00277C14" w:rsidRPr="00277C14" w14:paraId="75B71C12" w14:textId="77777777" w:rsidTr="00277C14">
        <w:trPr>
          <w:trHeight w:val="255"/>
          <w:jc w:val="center"/>
        </w:trPr>
        <w:tc>
          <w:tcPr>
            <w:tcW w:w="1972" w:type="dxa"/>
            <w:tcBorders>
              <w:top w:val="nil"/>
              <w:bottom w:val="nil"/>
              <w:right w:val="single" w:sz="4" w:space="0" w:color="000000"/>
            </w:tcBorders>
            <w:shd w:val="clear" w:color="auto" w:fill="auto"/>
          </w:tcPr>
          <w:p w14:paraId="10D56422" w14:textId="77777777" w:rsidR="00277C14" w:rsidRPr="00277C14" w:rsidRDefault="00277C14" w:rsidP="00277C14">
            <w:pPr>
              <w:rPr>
                <w:rFonts w:cs="Arial"/>
                <w:szCs w:val="20"/>
              </w:rPr>
            </w:pPr>
            <w:r w:rsidRPr="00277C14">
              <w:rPr>
                <w:rFonts w:cs="Arial"/>
                <w:szCs w:val="20"/>
              </w:rPr>
              <w:t>R.34</w:t>
            </w:r>
          </w:p>
        </w:tc>
        <w:tc>
          <w:tcPr>
            <w:tcW w:w="7573" w:type="dxa"/>
            <w:tcBorders>
              <w:left w:val="single" w:sz="4" w:space="0" w:color="000000"/>
            </w:tcBorders>
            <w:shd w:val="clear" w:color="auto" w:fill="auto"/>
            <w:vAlign w:val="center"/>
          </w:tcPr>
          <w:p w14:paraId="656F30FC" w14:textId="77777777" w:rsidR="00277C14" w:rsidRPr="00277C14" w:rsidRDefault="00277C14" w:rsidP="00277C14">
            <w:pPr>
              <w:rPr>
                <w:rFonts w:cs="Arial"/>
                <w:szCs w:val="20"/>
              </w:rPr>
            </w:pPr>
            <w:r w:rsidRPr="00277C14">
              <w:rPr>
                <w:rFonts w:cs="Arial"/>
                <w:szCs w:val="20"/>
              </w:rPr>
              <w:t>Guidance and feedback</w:t>
            </w:r>
          </w:p>
        </w:tc>
      </w:tr>
      <w:tr w:rsidR="00277C14" w:rsidRPr="00277C14" w14:paraId="5841FE04" w14:textId="77777777" w:rsidTr="00277C14">
        <w:trPr>
          <w:trHeight w:val="255"/>
          <w:jc w:val="center"/>
        </w:trPr>
        <w:tc>
          <w:tcPr>
            <w:tcW w:w="1972" w:type="dxa"/>
            <w:tcBorders>
              <w:top w:val="nil"/>
              <w:bottom w:val="nil"/>
              <w:right w:val="single" w:sz="4" w:space="0" w:color="000000"/>
            </w:tcBorders>
            <w:shd w:val="clear" w:color="auto" w:fill="auto"/>
          </w:tcPr>
          <w:p w14:paraId="0CBCC74B" w14:textId="77777777" w:rsidR="00277C14" w:rsidRPr="00277C14" w:rsidRDefault="00277C14" w:rsidP="00277C14">
            <w:pPr>
              <w:rPr>
                <w:rFonts w:cs="Arial"/>
                <w:szCs w:val="20"/>
              </w:rPr>
            </w:pPr>
            <w:r w:rsidRPr="00277C14">
              <w:rPr>
                <w:rFonts w:cs="Arial"/>
                <w:szCs w:val="20"/>
              </w:rPr>
              <w:t>R.35</w:t>
            </w:r>
          </w:p>
        </w:tc>
        <w:tc>
          <w:tcPr>
            <w:tcW w:w="7573" w:type="dxa"/>
            <w:tcBorders>
              <w:left w:val="single" w:sz="4" w:space="0" w:color="000000"/>
            </w:tcBorders>
            <w:shd w:val="clear" w:color="auto" w:fill="auto"/>
            <w:vAlign w:val="center"/>
          </w:tcPr>
          <w:p w14:paraId="41363953" w14:textId="77777777" w:rsidR="00277C14" w:rsidRPr="00277C14" w:rsidRDefault="00277C14" w:rsidP="00277C14">
            <w:pPr>
              <w:rPr>
                <w:rFonts w:cs="Arial"/>
                <w:szCs w:val="20"/>
              </w:rPr>
            </w:pPr>
            <w:r w:rsidRPr="00277C14">
              <w:rPr>
                <w:rFonts w:cs="Arial"/>
                <w:szCs w:val="20"/>
              </w:rPr>
              <w:t>Sanctions</w:t>
            </w:r>
          </w:p>
        </w:tc>
      </w:tr>
      <w:tr w:rsidR="00277C14" w:rsidRPr="00277C14" w14:paraId="072793EE" w14:textId="77777777" w:rsidTr="00277C14">
        <w:trPr>
          <w:trHeight w:val="255"/>
          <w:jc w:val="center"/>
        </w:trPr>
        <w:tc>
          <w:tcPr>
            <w:tcW w:w="1972" w:type="dxa"/>
            <w:tcBorders>
              <w:top w:val="nil"/>
              <w:bottom w:val="nil"/>
              <w:right w:val="single" w:sz="4" w:space="0" w:color="000000"/>
            </w:tcBorders>
            <w:shd w:val="clear" w:color="auto" w:fill="auto"/>
          </w:tcPr>
          <w:p w14:paraId="76BAC9A0" w14:textId="77777777" w:rsidR="00277C14" w:rsidRPr="00277C14" w:rsidRDefault="00277C14" w:rsidP="00277C14">
            <w:pPr>
              <w:rPr>
                <w:rFonts w:cs="Arial"/>
                <w:szCs w:val="20"/>
              </w:rPr>
            </w:pPr>
            <w:r w:rsidRPr="00277C14">
              <w:rPr>
                <w:rFonts w:cs="Arial"/>
                <w:szCs w:val="20"/>
              </w:rPr>
              <w:t>R.36</w:t>
            </w:r>
          </w:p>
        </w:tc>
        <w:tc>
          <w:tcPr>
            <w:tcW w:w="7573" w:type="dxa"/>
            <w:tcBorders>
              <w:left w:val="single" w:sz="4" w:space="0" w:color="000000"/>
            </w:tcBorders>
            <w:shd w:val="clear" w:color="auto" w:fill="auto"/>
            <w:vAlign w:val="center"/>
          </w:tcPr>
          <w:p w14:paraId="76D5E7B9" w14:textId="77777777" w:rsidR="00277C14" w:rsidRPr="00277C14" w:rsidRDefault="00277C14" w:rsidP="00277C14">
            <w:pPr>
              <w:rPr>
                <w:rFonts w:cs="Arial"/>
                <w:szCs w:val="20"/>
              </w:rPr>
            </w:pPr>
            <w:r w:rsidRPr="00277C14">
              <w:rPr>
                <w:rFonts w:cs="Arial"/>
                <w:szCs w:val="20"/>
              </w:rPr>
              <w:t>International instruments</w:t>
            </w:r>
          </w:p>
        </w:tc>
      </w:tr>
      <w:tr w:rsidR="00277C14" w:rsidRPr="00277C14" w14:paraId="79A1F6EE" w14:textId="77777777" w:rsidTr="00277C14">
        <w:trPr>
          <w:trHeight w:val="255"/>
          <w:jc w:val="center"/>
        </w:trPr>
        <w:tc>
          <w:tcPr>
            <w:tcW w:w="1972" w:type="dxa"/>
            <w:tcBorders>
              <w:top w:val="nil"/>
              <w:bottom w:val="nil"/>
              <w:right w:val="single" w:sz="4" w:space="0" w:color="000000"/>
            </w:tcBorders>
            <w:shd w:val="clear" w:color="auto" w:fill="auto"/>
          </w:tcPr>
          <w:p w14:paraId="1462BE59" w14:textId="77777777" w:rsidR="00277C14" w:rsidRPr="00277C14" w:rsidRDefault="00277C14" w:rsidP="00277C14">
            <w:pPr>
              <w:rPr>
                <w:rFonts w:cs="Arial"/>
                <w:szCs w:val="20"/>
              </w:rPr>
            </w:pPr>
            <w:r w:rsidRPr="00277C14">
              <w:rPr>
                <w:rFonts w:cs="Arial"/>
                <w:szCs w:val="20"/>
              </w:rPr>
              <w:t>R.37</w:t>
            </w:r>
          </w:p>
        </w:tc>
        <w:tc>
          <w:tcPr>
            <w:tcW w:w="7573" w:type="dxa"/>
            <w:tcBorders>
              <w:left w:val="single" w:sz="4" w:space="0" w:color="000000"/>
            </w:tcBorders>
            <w:shd w:val="clear" w:color="auto" w:fill="auto"/>
            <w:vAlign w:val="center"/>
          </w:tcPr>
          <w:p w14:paraId="2B2D083E" w14:textId="77777777" w:rsidR="00277C14" w:rsidRPr="00277C14" w:rsidRDefault="00277C14" w:rsidP="00277C14">
            <w:pPr>
              <w:rPr>
                <w:rFonts w:cs="Arial"/>
                <w:szCs w:val="20"/>
              </w:rPr>
            </w:pPr>
            <w:r w:rsidRPr="00277C14">
              <w:rPr>
                <w:rFonts w:cs="Arial"/>
                <w:szCs w:val="20"/>
              </w:rPr>
              <w:t>Mutual legal assistance</w:t>
            </w:r>
          </w:p>
        </w:tc>
      </w:tr>
      <w:tr w:rsidR="00277C14" w:rsidRPr="00277C14" w14:paraId="2D65876D" w14:textId="77777777" w:rsidTr="00277C14">
        <w:trPr>
          <w:trHeight w:val="255"/>
          <w:jc w:val="center"/>
        </w:trPr>
        <w:tc>
          <w:tcPr>
            <w:tcW w:w="1972" w:type="dxa"/>
            <w:tcBorders>
              <w:top w:val="nil"/>
              <w:bottom w:val="nil"/>
              <w:right w:val="single" w:sz="4" w:space="0" w:color="000000"/>
            </w:tcBorders>
            <w:shd w:val="clear" w:color="auto" w:fill="auto"/>
          </w:tcPr>
          <w:p w14:paraId="558B0271" w14:textId="77777777" w:rsidR="00277C14" w:rsidRPr="00277C14" w:rsidRDefault="00277C14" w:rsidP="00277C14">
            <w:pPr>
              <w:rPr>
                <w:rFonts w:cs="Arial"/>
                <w:szCs w:val="20"/>
              </w:rPr>
            </w:pPr>
            <w:r w:rsidRPr="00277C14">
              <w:rPr>
                <w:rFonts w:cs="Arial"/>
                <w:szCs w:val="20"/>
              </w:rPr>
              <w:t>R.38</w:t>
            </w:r>
          </w:p>
        </w:tc>
        <w:tc>
          <w:tcPr>
            <w:tcW w:w="7573" w:type="dxa"/>
            <w:tcBorders>
              <w:left w:val="single" w:sz="4" w:space="0" w:color="000000"/>
            </w:tcBorders>
            <w:shd w:val="clear" w:color="auto" w:fill="auto"/>
            <w:vAlign w:val="center"/>
          </w:tcPr>
          <w:p w14:paraId="50E99E2A" w14:textId="77777777" w:rsidR="00277C14" w:rsidRPr="00277C14" w:rsidRDefault="00277C14" w:rsidP="00277C14">
            <w:pPr>
              <w:rPr>
                <w:rFonts w:cs="Arial"/>
                <w:szCs w:val="20"/>
              </w:rPr>
            </w:pPr>
            <w:r w:rsidRPr="00277C14">
              <w:rPr>
                <w:rFonts w:cs="Arial"/>
                <w:szCs w:val="20"/>
              </w:rPr>
              <w:t>Mutual legal assistance: freezing and confiscation</w:t>
            </w:r>
          </w:p>
        </w:tc>
      </w:tr>
      <w:tr w:rsidR="00277C14" w:rsidRPr="00277C14" w14:paraId="3DD42127" w14:textId="77777777" w:rsidTr="00277C14">
        <w:trPr>
          <w:trHeight w:val="255"/>
          <w:jc w:val="center"/>
        </w:trPr>
        <w:tc>
          <w:tcPr>
            <w:tcW w:w="1972" w:type="dxa"/>
            <w:tcBorders>
              <w:top w:val="nil"/>
              <w:bottom w:val="nil"/>
              <w:right w:val="single" w:sz="4" w:space="0" w:color="000000"/>
            </w:tcBorders>
            <w:shd w:val="clear" w:color="auto" w:fill="auto"/>
          </w:tcPr>
          <w:p w14:paraId="2B093618" w14:textId="77777777" w:rsidR="00277C14" w:rsidRPr="00277C14" w:rsidRDefault="00277C14" w:rsidP="00277C14">
            <w:pPr>
              <w:rPr>
                <w:rFonts w:cs="Arial"/>
                <w:szCs w:val="20"/>
              </w:rPr>
            </w:pPr>
            <w:r w:rsidRPr="00277C14">
              <w:rPr>
                <w:rFonts w:cs="Arial"/>
                <w:szCs w:val="20"/>
              </w:rPr>
              <w:t>R.39</w:t>
            </w:r>
          </w:p>
        </w:tc>
        <w:tc>
          <w:tcPr>
            <w:tcW w:w="7573" w:type="dxa"/>
            <w:tcBorders>
              <w:left w:val="single" w:sz="4" w:space="0" w:color="000000"/>
            </w:tcBorders>
            <w:shd w:val="clear" w:color="auto" w:fill="auto"/>
            <w:vAlign w:val="center"/>
          </w:tcPr>
          <w:p w14:paraId="1B6CF3DD" w14:textId="77777777" w:rsidR="00277C14" w:rsidRPr="00277C14" w:rsidRDefault="00277C14" w:rsidP="00277C14">
            <w:pPr>
              <w:rPr>
                <w:rFonts w:cs="Arial"/>
                <w:szCs w:val="20"/>
              </w:rPr>
            </w:pPr>
            <w:r w:rsidRPr="00277C14">
              <w:rPr>
                <w:rFonts w:cs="Arial"/>
                <w:szCs w:val="20"/>
              </w:rPr>
              <w:t>Extradition</w:t>
            </w:r>
          </w:p>
        </w:tc>
      </w:tr>
      <w:tr w:rsidR="00277C14" w:rsidRPr="00277C14" w14:paraId="3CC6261E" w14:textId="77777777" w:rsidTr="00277C14">
        <w:trPr>
          <w:trHeight w:val="255"/>
          <w:jc w:val="center"/>
        </w:trPr>
        <w:tc>
          <w:tcPr>
            <w:tcW w:w="1972" w:type="dxa"/>
            <w:tcBorders>
              <w:top w:val="nil"/>
              <w:bottom w:val="nil"/>
              <w:right w:val="single" w:sz="4" w:space="0" w:color="000000"/>
            </w:tcBorders>
            <w:shd w:val="clear" w:color="auto" w:fill="auto"/>
          </w:tcPr>
          <w:p w14:paraId="0E08B408" w14:textId="77777777" w:rsidR="00277C14" w:rsidRPr="00277C14" w:rsidRDefault="00277C14" w:rsidP="00277C14">
            <w:pPr>
              <w:rPr>
                <w:rFonts w:cs="Arial"/>
                <w:szCs w:val="20"/>
              </w:rPr>
            </w:pPr>
            <w:r w:rsidRPr="00277C14">
              <w:rPr>
                <w:rFonts w:cs="Arial"/>
                <w:szCs w:val="20"/>
              </w:rPr>
              <w:t>R.40</w:t>
            </w:r>
          </w:p>
        </w:tc>
        <w:tc>
          <w:tcPr>
            <w:tcW w:w="7573" w:type="dxa"/>
            <w:tcBorders>
              <w:left w:val="single" w:sz="4" w:space="0" w:color="000000"/>
            </w:tcBorders>
            <w:shd w:val="clear" w:color="auto" w:fill="auto"/>
            <w:vAlign w:val="center"/>
          </w:tcPr>
          <w:p w14:paraId="7EEF48BB" w14:textId="77777777" w:rsidR="00277C14" w:rsidRPr="00277C14" w:rsidRDefault="00277C14" w:rsidP="00277C14">
            <w:pPr>
              <w:rPr>
                <w:rFonts w:cs="Arial"/>
                <w:szCs w:val="20"/>
              </w:rPr>
            </w:pPr>
            <w:r w:rsidRPr="00277C14">
              <w:rPr>
                <w:rFonts w:cs="Arial"/>
                <w:szCs w:val="20"/>
              </w:rPr>
              <w:t>Other forms of international co-operation</w:t>
            </w:r>
          </w:p>
        </w:tc>
      </w:tr>
      <w:tr w:rsidR="00277C14" w:rsidRPr="00277C14" w14:paraId="240AF497" w14:textId="77777777" w:rsidTr="00277C14">
        <w:trPr>
          <w:trHeight w:val="255"/>
          <w:jc w:val="center"/>
        </w:trPr>
        <w:tc>
          <w:tcPr>
            <w:tcW w:w="1972" w:type="dxa"/>
            <w:tcBorders>
              <w:top w:val="nil"/>
              <w:bottom w:val="single" w:sz="4" w:space="0" w:color="000000"/>
              <w:right w:val="single" w:sz="4" w:space="0" w:color="000000"/>
            </w:tcBorders>
            <w:shd w:val="clear" w:color="auto" w:fill="auto"/>
          </w:tcPr>
          <w:p w14:paraId="18B1343A" w14:textId="77777777" w:rsidR="00277C14" w:rsidRPr="00277C14" w:rsidRDefault="00277C14" w:rsidP="00277C14">
            <w:pPr>
              <w:rPr>
                <w:rFonts w:cs="Arial"/>
                <w:szCs w:val="20"/>
              </w:rPr>
            </w:pPr>
          </w:p>
        </w:tc>
        <w:tc>
          <w:tcPr>
            <w:tcW w:w="7573" w:type="dxa"/>
            <w:tcBorders>
              <w:left w:val="single" w:sz="4" w:space="0" w:color="000000"/>
            </w:tcBorders>
            <w:shd w:val="clear" w:color="auto" w:fill="auto"/>
            <w:vAlign w:val="center"/>
          </w:tcPr>
          <w:p w14:paraId="612D5B0D" w14:textId="77777777" w:rsidR="00277C14" w:rsidRPr="00277C14" w:rsidRDefault="00277C14" w:rsidP="00277C14">
            <w:pPr>
              <w:rPr>
                <w:rFonts w:cs="Arial"/>
                <w:szCs w:val="20"/>
              </w:rPr>
            </w:pPr>
          </w:p>
        </w:tc>
      </w:tr>
    </w:tbl>
    <w:p w14:paraId="535609CA" w14:textId="77777777" w:rsidR="00277C14" w:rsidRPr="00277C14" w:rsidRDefault="00277C14" w:rsidP="00277C14">
      <w:pPr>
        <w:rPr>
          <w:rFonts w:cs="Arial"/>
          <w:szCs w:val="20"/>
        </w:rPr>
      </w:pPr>
    </w:p>
    <w:p w14:paraId="26C2686B" w14:textId="77777777" w:rsidR="00277C14" w:rsidRPr="00277C14" w:rsidRDefault="00277C14" w:rsidP="00277C14">
      <w:pPr>
        <w:rPr>
          <w:rFonts w:cs="Arial"/>
          <w:szCs w:val="20"/>
        </w:rPr>
      </w:pPr>
      <w:r w:rsidRPr="00277C14">
        <w:rPr>
          <w:rFonts w:cs="Arial"/>
          <w:szCs w:val="20"/>
        </w:rPr>
        <w:br w:type="page"/>
      </w:r>
    </w:p>
    <w:tbl>
      <w:tblPr>
        <w:tblW w:w="0" w:type="auto"/>
        <w:jc w:val="center"/>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1973"/>
        <w:gridCol w:w="7572"/>
      </w:tblGrid>
      <w:tr w:rsidR="00277C14" w:rsidRPr="00277C14" w14:paraId="4B617C81" w14:textId="77777777" w:rsidTr="007F48A9">
        <w:trPr>
          <w:trHeight w:val="255"/>
          <w:jc w:val="center"/>
        </w:trPr>
        <w:tc>
          <w:tcPr>
            <w:tcW w:w="9652" w:type="dxa"/>
            <w:gridSpan w:val="2"/>
            <w:shd w:val="clear" w:color="auto" w:fill="F2F2F2" w:themeFill="background1" w:themeFillShade="F2"/>
            <w:vAlign w:val="center"/>
          </w:tcPr>
          <w:p w14:paraId="0B2CA924" w14:textId="77777777" w:rsidR="00277C14" w:rsidRPr="00277C14" w:rsidRDefault="00277C14" w:rsidP="00277C14">
            <w:pPr>
              <w:rPr>
                <w:rFonts w:cs="Arial"/>
                <w:b/>
                <w:szCs w:val="20"/>
              </w:rPr>
            </w:pPr>
            <w:r w:rsidRPr="007F48A9">
              <w:rPr>
                <w:rFonts w:cs="Arial"/>
                <w:b/>
                <w:szCs w:val="20"/>
              </w:rPr>
              <w:lastRenderedPageBreak/>
              <w:t>B. Immediate Outcomes</w:t>
            </w:r>
            <w:r w:rsidRPr="00277C14">
              <w:rPr>
                <w:rFonts w:cs="Arial"/>
                <w:b/>
                <w:color w:val="FFFFFF" w:themeColor="background1"/>
                <w:szCs w:val="20"/>
              </w:rPr>
              <w:t xml:space="preserve"> </w:t>
            </w:r>
          </w:p>
        </w:tc>
      </w:tr>
      <w:tr w:rsidR="00277C14" w:rsidRPr="00277C14" w14:paraId="50670A55" w14:textId="77777777" w:rsidTr="00277C14">
        <w:trPr>
          <w:trHeight w:val="255"/>
          <w:jc w:val="center"/>
        </w:trPr>
        <w:tc>
          <w:tcPr>
            <w:tcW w:w="1992" w:type="dxa"/>
            <w:shd w:val="clear" w:color="auto" w:fill="auto"/>
          </w:tcPr>
          <w:p w14:paraId="75F24411" w14:textId="77777777" w:rsidR="00277C14" w:rsidRPr="00277C14" w:rsidRDefault="00277C14" w:rsidP="00277C14">
            <w:pPr>
              <w:rPr>
                <w:rFonts w:cs="Arial"/>
                <w:szCs w:val="20"/>
              </w:rPr>
            </w:pPr>
            <w:r w:rsidRPr="00277C14">
              <w:rPr>
                <w:rFonts w:cs="Arial"/>
                <w:szCs w:val="20"/>
              </w:rPr>
              <w:t>IO.1</w:t>
            </w:r>
          </w:p>
        </w:tc>
        <w:tc>
          <w:tcPr>
            <w:tcW w:w="7660" w:type="dxa"/>
            <w:shd w:val="clear" w:color="auto" w:fill="auto"/>
            <w:vAlign w:val="center"/>
          </w:tcPr>
          <w:p w14:paraId="6A2A2CE5" w14:textId="1724BF2B" w:rsidR="00277C14" w:rsidRPr="00277C14" w:rsidRDefault="00277C14" w:rsidP="00277C14">
            <w:pPr>
              <w:rPr>
                <w:rFonts w:cs="Arial"/>
                <w:szCs w:val="20"/>
              </w:rPr>
            </w:pPr>
            <w:r w:rsidRPr="00277C14">
              <w:rPr>
                <w:rFonts w:cs="Arial"/>
                <w:szCs w:val="20"/>
              </w:rPr>
              <w:t xml:space="preserve">Money laundering and terrorist financing risks are understood and, where appropriate, actions </w:t>
            </w:r>
            <w:r w:rsidR="003654E4">
              <w:rPr>
                <w:rFonts w:cs="Arial"/>
                <w:szCs w:val="20"/>
              </w:rPr>
              <w:t>co-or</w:t>
            </w:r>
            <w:r w:rsidRPr="00277C14">
              <w:rPr>
                <w:rFonts w:cs="Arial"/>
                <w:szCs w:val="20"/>
              </w:rPr>
              <w:t>dinated domestically to combat money laundering and the financing of terrorism and proliferation.</w:t>
            </w:r>
          </w:p>
          <w:p w14:paraId="6F093C9B" w14:textId="77777777" w:rsidR="00277C14" w:rsidRPr="00277C14" w:rsidRDefault="00277C14" w:rsidP="00277C14">
            <w:pPr>
              <w:rPr>
                <w:rFonts w:cs="Arial"/>
                <w:szCs w:val="20"/>
              </w:rPr>
            </w:pPr>
          </w:p>
        </w:tc>
      </w:tr>
      <w:tr w:rsidR="00277C14" w:rsidRPr="00277C14" w14:paraId="6A92DCDE" w14:textId="77777777" w:rsidTr="00277C14">
        <w:trPr>
          <w:trHeight w:val="255"/>
          <w:jc w:val="center"/>
        </w:trPr>
        <w:tc>
          <w:tcPr>
            <w:tcW w:w="1992" w:type="dxa"/>
            <w:shd w:val="clear" w:color="auto" w:fill="auto"/>
          </w:tcPr>
          <w:p w14:paraId="1C043AD2" w14:textId="77777777" w:rsidR="00277C14" w:rsidRPr="00277C14" w:rsidRDefault="00277C14" w:rsidP="00277C14">
            <w:pPr>
              <w:rPr>
                <w:rFonts w:cs="Arial"/>
                <w:szCs w:val="20"/>
              </w:rPr>
            </w:pPr>
            <w:r w:rsidRPr="00277C14">
              <w:rPr>
                <w:rFonts w:cs="Arial"/>
                <w:szCs w:val="20"/>
              </w:rPr>
              <w:t>IO.2</w:t>
            </w:r>
          </w:p>
        </w:tc>
        <w:tc>
          <w:tcPr>
            <w:tcW w:w="7660" w:type="dxa"/>
            <w:shd w:val="clear" w:color="auto" w:fill="auto"/>
            <w:vAlign w:val="center"/>
          </w:tcPr>
          <w:p w14:paraId="695138E4" w14:textId="77777777" w:rsidR="00277C14" w:rsidRPr="00277C14" w:rsidRDefault="00277C14" w:rsidP="00277C14">
            <w:pPr>
              <w:rPr>
                <w:rFonts w:cs="Arial"/>
                <w:szCs w:val="20"/>
              </w:rPr>
            </w:pPr>
            <w:r w:rsidRPr="00277C14">
              <w:rPr>
                <w:rFonts w:cs="Arial"/>
                <w:szCs w:val="20"/>
              </w:rPr>
              <w:t>International co-operation delivers appropriate information, financial intelligence, and evidence, and facilitates action against criminals and their assets.</w:t>
            </w:r>
          </w:p>
          <w:p w14:paraId="6C008247" w14:textId="77777777" w:rsidR="00277C14" w:rsidRPr="00277C14" w:rsidRDefault="00277C14" w:rsidP="00277C14">
            <w:pPr>
              <w:rPr>
                <w:rFonts w:cs="Arial"/>
                <w:szCs w:val="20"/>
              </w:rPr>
            </w:pPr>
          </w:p>
        </w:tc>
      </w:tr>
      <w:tr w:rsidR="00277C14" w:rsidRPr="00277C14" w14:paraId="642F168A" w14:textId="77777777" w:rsidTr="00277C14">
        <w:trPr>
          <w:trHeight w:val="255"/>
          <w:jc w:val="center"/>
        </w:trPr>
        <w:tc>
          <w:tcPr>
            <w:tcW w:w="1992" w:type="dxa"/>
            <w:shd w:val="clear" w:color="auto" w:fill="auto"/>
          </w:tcPr>
          <w:p w14:paraId="1F303340" w14:textId="77777777" w:rsidR="00277C14" w:rsidRPr="00277C14" w:rsidRDefault="00277C14" w:rsidP="00277C14">
            <w:pPr>
              <w:rPr>
                <w:rFonts w:cs="Arial"/>
                <w:szCs w:val="20"/>
              </w:rPr>
            </w:pPr>
            <w:r w:rsidRPr="00277C14">
              <w:rPr>
                <w:rFonts w:cs="Arial"/>
                <w:szCs w:val="20"/>
              </w:rPr>
              <w:t>IO.3</w:t>
            </w:r>
          </w:p>
        </w:tc>
        <w:tc>
          <w:tcPr>
            <w:tcW w:w="7660" w:type="dxa"/>
            <w:shd w:val="clear" w:color="auto" w:fill="auto"/>
            <w:vAlign w:val="center"/>
          </w:tcPr>
          <w:p w14:paraId="172AE8BB" w14:textId="77777777" w:rsidR="00277C14" w:rsidRPr="00277C14" w:rsidRDefault="00277C14" w:rsidP="00277C14">
            <w:pPr>
              <w:rPr>
                <w:rFonts w:cs="Arial"/>
                <w:szCs w:val="20"/>
              </w:rPr>
            </w:pPr>
            <w:r w:rsidRPr="00277C14">
              <w:rPr>
                <w:rFonts w:cs="Arial"/>
                <w:szCs w:val="20"/>
              </w:rPr>
              <w:t xml:space="preserve">Supervisors appropriately supervise, </w:t>
            </w:r>
            <w:proofErr w:type="gramStart"/>
            <w:r w:rsidRPr="00277C14">
              <w:rPr>
                <w:rFonts w:cs="Arial"/>
                <w:szCs w:val="20"/>
              </w:rPr>
              <w:t>monitor</w:t>
            </w:r>
            <w:proofErr w:type="gramEnd"/>
            <w:r w:rsidRPr="00277C14">
              <w:rPr>
                <w:rFonts w:cs="Arial"/>
                <w:szCs w:val="20"/>
              </w:rPr>
              <w:t xml:space="preserve"> and regulate financial institutions, DNFBPs and VASPs for compliance with AML/CFT requirements commensurate with their risks.</w:t>
            </w:r>
          </w:p>
        </w:tc>
      </w:tr>
      <w:tr w:rsidR="00277C14" w:rsidRPr="00277C14" w14:paraId="6F337CB7" w14:textId="77777777" w:rsidTr="00277C14">
        <w:trPr>
          <w:trHeight w:val="255"/>
          <w:jc w:val="center"/>
        </w:trPr>
        <w:tc>
          <w:tcPr>
            <w:tcW w:w="1992" w:type="dxa"/>
            <w:shd w:val="clear" w:color="auto" w:fill="auto"/>
          </w:tcPr>
          <w:p w14:paraId="7D808658" w14:textId="77777777" w:rsidR="00277C14" w:rsidRPr="00277C14" w:rsidRDefault="00277C14" w:rsidP="00277C14">
            <w:pPr>
              <w:rPr>
                <w:rFonts w:cs="Arial"/>
                <w:szCs w:val="20"/>
              </w:rPr>
            </w:pPr>
          </w:p>
          <w:p w14:paraId="46AED27B" w14:textId="77777777" w:rsidR="00277C14" w:rsidRPr="00277C14" w:rsidRDefault="00277C14" w:rsidP="00277C14">
            <w:pPr>
              <w:rPr>
                <w:rFonts w:cs="Arial"/>
                <w:szCs w:val="20"/>
              </w:rPr>
            </w:pPr>
            <w:r w:rsidRPr="00277C14">
              <w:rPr>
                <w:rFonts w:cs="Arial"/>
                <w:szCs w:val="20"/>
              </w:rPr>
              <w:t>IO.4</w:t>
            </w:r>
          </w:p>
        </w:tc>
        <w:tc>
          <w:tcPr>
            <w:tcW w:w="7660" w:type="dxa"/>
            <w:shd w:val="clear" w:color="auto" w:fill="auto"/>
            <w:vAlign w:val="center"/>
          </w:tcPr>
          <w:p w14:paraId="3BCDA3E8" w14:textId="77777777" w:rsidR="00277C14" w:rsidRPr="00277C14" w:rsidRDefault="00277C14" w:rsidP="00277C14">
            <w:pPr>
              <w:rPr>
                <w:rFonts w:cs="Arial"/>
                <w:szCs w:val="20"/>
              </w:rPr>
            </w:pPr>
          </w:p>
          <w:p w14:paraId="5B15D259" w14:textId="77777777" w:rsidR="00277C14" w:rsidRPr="00277C14" w:rsidRDefault="00277C14" w:rsidP="00277C14">
            <w:pPr>
              <w:rPr>
                <w:rFonts w:cs="Arial"/>
                <w:szCs w:val="20"/>
              </w:rPr>
            </w:pPr>
            <w:r w:rsidRPr="00277C14">
              <w:rPr>
                <w:rFonts w:cs="Arial"/>
                <w:szCs w:val="20"/>
              </w:rPr>
              <w:t>Financial institutions, DNFBPs and VASPs adequately apply AML/CFT preventive measures commensurate with their risks, and report suspicious transactions.</w:t>
            </w:r>
          </w:p>
        </w:tc>
      </w:tr>
      <w:tr w:rsidR="00277C14" w:rsidRPr="00277C14" w14:paraId="713942A1" w14:textId="77777777" w:rsidTr="00277C14">
        <w:trPr>
          <w:trHeight w:val="255"/>
          <w:jc w:val="center"/>
        </w:trPr>
        <w:tc>
          <w:tcPr>
            <w:tcW w:w="1992" w:type="dxa"/>
            <w:shd w:val="clear" w:color="auto" w:fill="auto"/>
          </w:tcPr>
          <w:p w14:paraId="25447743" w14:textId="77777777" w:rsidR="00277C14" w:rsidRPr="00277C14" w:rsidRDefault="00277C14" w:rsidP="00277C14">
            <w:pPr>
              <w:rPr>
                <w:rFonts w:cs="Arial"/>
                <w:szCs w:val="20"/>
              </w:rPr>
            </w:pPr>
          </w:p>
          <w:p w14:paraId="4EA005B4" w14:textId="77777777" w:rsidR="00277C14" w:rsidRPr="00277C14" w:rsidRDefault="00277C14" w:rsidP="00277C14">
            <w:pPr>
              <w:rPr>
                <w:rFonts w:cs="Arial"/>
                <w:szCs w:val="20"/>
              </w:rPr>
            </w:pPr>
            <w:r w:rsidRPr="00277C14">
              <w:rPr>
                <w:rFonts w:cs="Arial"/>
                <w:szCs w:val="20"/>
              </w:rPr>
              <w:t>IO.5</w:t>
            </w:r>
          </w:p>
        </w:tc>
        <w:tc>
          <w:tcPr>
            <w:tcW w:w="7660" w:type="dxa"/>
            <w:shd w:val="clear" w:color="auto" w:fill="auto"/>
            <w:vAlign w:val="center"/>
          </w:tcPr>
          <w:p w14:paraId="6C07A55A" w14:textId="77777777" w:rsidR="00277C14" w:rsidRPr="00277C14" w:rsidRDefault="00277C14" w:rsidP="00277C14">
            <w:pPr>
              <w:rPr>
                <w:rFonts w:cs="Arial"/>
                <w:szCs w:val="20"/>
              </w:rPr>
            </w:pPr>
          </w:p>
          <w:p w14:paraId="7C5F5B2A" w14:textId="77777777" w:rsidR="00277C14" w:rsidRPr="00277C14" w:rsidRDefault="00277C14" w:rsidP="00277C14">
            <w:pPr>
              <w:rPr>
                <w:rFonts w:cs="Arial"/>
                <w:szCs w:val="20"/>
              </w:rPr>
            </w:pPr>
            <w:r w:rsidRPr="00277C14">
              <w:rPr>
                <w:rFonts w:cs="Arial"/>
                <w:szCs w:val="20"/>
              </w:rPr>
              <w:t>Legal persons and arrangements are prevented from misuse for money laundering or terrorist financing, and information on their beneficial ownership is available to competent authorities without impediments.</w:t>
            </w:r>
          </w:p>
        </w:tc>
      </w:tr>
      <w:tr w:rsidR="00277C14" w:rsidRPr="00277C14" w14:paraId="5AFD6792" w14:textId="77777777" w:rsidTr="00277C14">
        <w:trPr>
          <w:trHeight w:val="255"/>
          <w:jc w:val="center"/>
        </w:trPr>
        <w:tc>
          <w:tcPr>
            <w:tcW w:w="1992" w:type="dxa"/>
            <w:shd w:val="clear" w:color="auto" w:fill="auto"/>
          </w:tcPr>
          <w:p w14:paraId="3CBE1BBD" w14:textId="77777777" w:rsidR="00277C14" w:rsidRPr="00277C14" w:rsidRDefault="00277C14" w:rsidP="00277C14">
            <w:pPr>
              <w:rPr>
                <w:rFonts w:cs="Arial"/>
                <w:szCs w:val="20"/>
              </w:rPr>
            </w:pPr>
          </w:p>
          <w:p w14:paraId="643B083C" w14:textId="77777777" w:rsidR="00277C14" w:rsidRPr="00277C14" w:rsidRDefault="00277C14" w:rsidP="00277C14">
            <w:pPr>
              <w:rPr>
                <w:rFonts w:cs="Arial"/>
                <w:szCs w:val="20"/>
              </w:rPr>
            </w:pPr>
            <w:r w:rsidRPr="00277C14">
              <w:rPr>
                <w:rFonts w:cs="Arial"/>
                <w:szCs w:val="20"/>
              </w:rPr>
              <w:t>IO.6</w:t>
            </w:r>
          </w:p>
        </w:tc>
        <w:tc>
          <w:tcPr>
            <w:tcW w:w="7660" w:type="dxa"/>
            <w:shd w:val="clear" w:color="auto" w:fill="auto"/>
            <w:vAlign w:val="center"/>
          </w:tcPr>
          <w:p w14:paraId="47B7D930" w14:textId="77777777" w:rsidR="00277C14" w:rsidRPr="00277C14" w:rsidRDefault="00277C14" w:rsidP="00277C14">
            <w:pPr>
              <w:rPr>
                <w:rFonts w:cs="Arial"/>
                <w:szCs w:val="20"/>
              </w:rPr>
            </w:pPr>
          </w:p>
          <w:p w14:paraId="7313D5C9" w14:textId="77777777" w:rsidR="00277C14" w:rsidRPr="00277C14" w:rsidRDefault="00277C14" w:rsidP="00277C14">
            <w:pPr>
              <w:rPr>
                <w:rFonts w:cs="Arial"/>
                <w:szCs w:val="20"/>
              </w:rPr>
            </w:pPr>
            <w:r w:rsidRPr="00277C14">
              <w:rPr>
                <w:rFonts w:cs="Arial"/>
                <w:szCs w:val="20"/>
              </w:rPr>
              <w:t>Financial intelligence and all other relevant information are appropriately used by competent authorities for money laundering and terrorist financing investigations.</w:t>
            </w:r>
          </w:p>
        </w:tc>
      </w:tr>
      <w:tr w:rsidR="00277C14" w:rsidRPr="00277C14" w14:paraId="65CC1829" w14:textId="77777777" w:rsidTr="00277C14">
        <w:trPr>
          <w:trHeight w:val="255"/>
          <w:jc w:val="center"/>
        </w:trPr>
        <w:tc>
          <w:tcPr>
            <w:tcW w:w="1992" w:type="dxa"/>
            <w:shd w:val="clear" w:color="auto" w:fill="auto"/>
          </w:tcPr>
          <w:p w14:paraId="467B2714" w14:textId="77777777" w:rsidR="00277C14" w:rsidRPr="00277C14" w:rsidRDefault="00277C14" w:rsidP="00277C14">
            <w:pPr>
              <w:rPr>
                <w:rFonts w:cs="Arial"/>
                <w:szCs w:val="20"/>
              </w:rPr>
            </w:pPr>
          </w:p>
          <w:p w14:paraId="7D96F856" w14:textId="77777777" w:rsidR="00277C14" w:rsidRPr="00277C14" w:rsidRDefault="00277C14" w:rsidP="00277C14">
            <w:pPr>
              <w:rPr>
                <w:rFonts w:cs="Arial"/>
                <w:szCs w:val="20"/>
              </w:rPr>
            </w:pPr>
            <w:r w:rsidRPr="00277C14">
              <w:rPr>
                <w:rFonts w:cs="Arial"/>
                <w:szCs w:val="20"/>
              </w:rPr>
              <w:t>IO.7</w:t>
            </w:r>
          </w:p>
        </w:tc>
        <w:tc>
          <w:tcPr>
            <w:tcW w:w="7660" w:type="dxa"/>
            <w:shd w:val="clear" w:color="auto" w:fill="auto"/>
            <w:vAlign w:val="center"/>
          </w:tcPr>
          <w:p w14:paraId="23C205C9" w14:textId="77777777" w:rsidR="00277C14" w:rsidRPr="00277C14" w:rsidRDefault="00277C14" w:rsidP="00277C14">
            <w:pPr>
              <w:rPr>
                <w:rFonts w:cs="Arial"/>
                <w:szCs w:val="20"/>
              </w:rPr>
            </w:pPr>
          </w:p>
          <w:p w14:paraId="6564C450" w14:textId="77777777" w:rsidR="00277C14" w:rsidRPr="00277C14" w:rsidRDefault="00277C14" w:rsidP="00277C14">
            <w:pPr>
              <w:rPr>
                <w:rFonts w:cs="Arial"/>
                <w:szCs w:val="20"/>
              </w:rPr>
            </w:pPr>
            <w:r w:rsidRPr="00277C14">
              <w:rPr>
                <w:rFonts w:cs="Arial"/>
                <w:szCs w:val="20"/>
              </w:rPr>
              <w:t xml:space="preserve">Money laundering offences and activities are </w:t>
            </w:r>
            <w:proofErr w:type="gramStart"/>
            <w:r w:rsidRPr="00277C14">
              <w:rPr>
                <w:rFonts w:cs="Arial"/>
                <w:szCs w:val="20"/>
              </w:rPr>
              <w:t>investigated</w:t>
            </w:r>
            <w:proofErr w:type="gramEnd"/>
            <w:r w:rsidRPr="00277C14">
              <w:rPr>
                <w:rFonts w:cs="Arial"/>
                <w:szCs w:val="20"/>
              </w:rPr>
              <w:t xml:space="preserve"> and offenders are prosecuted and subject to effective, proportionate and dissuasive sanctions.</w:t>
            </w:r>
          </w:p>
        </w:tc>
      </w:tr>
      <w:tr w:rsidR="00277C14" w:rsidRPr="00277C14" w14:paraId="11F9F34E" w14:textId="77777777" w:rsidTr="00277C14">
        <w:trPr>
          <w:trHeight w:val="255"/>
          <w:jc w:val="center"/>
        </w:trPr>
        <w:tc>
          <w:tcPr>
            <w:tcW w:w="1992" w:type="dxa"/>
            <w:shd w:val="clear" w:color="auto" w:fill="auto"/>
          </w:tcPr>
          <w:p w14:paraId="61C7DAB3" w14:textId="77777777" w:rsidR="00277C14" w:rsidRPr="00277C14" w:rsidRDefault="00277C14" w:rsidP="00277C14">
            <w:pPr>
              <w:rPr>
                <w:rFonts w:cs="Arial"/>
                <w:szCs w:val="20"/>
              </w:rPr>
            </w:pPr>
          </w:p>
          <w:p w14:paraId="4B1DDDE4" w14:textId="77777777" w:rsidR="00277C14" w:rsidRPr="00277C14" w:rsidRDefault="00277C14" w:rsidP="00277C14">
            <w:pPr>
              <w:rPr>
                <w:rFonts w:cs="Arial"/>
                <w:szCs w:val="20"/>
              </w:rPr>
            </w:pPr>
            <w:r w:rsidRPr="00277C14">
              <w:rPr>
                <w:rFonts w:cs="Arial"/>
                <w:szCs w:val="20"/>
              </w:rPr>
              <w:t>IO.8</w:t>
            </w:r>
          </w:p>
        </w:tc>
        <w:tc>
          <w:tcPr>
            <w:tcW w:w="7660" w:type="dxa"/>
            <w:shd w:val="clear" w:color="auto" w:fill="auto"/>
            <w:vAlign w:val="center"/>
          </w:tcPr>
          <w:p w14:paraId="53D65E00" w14:textId="77777777" w:rsidR="00277C14" w:rsidRPr="00277C14" w:rsidRDefault="00277C14" w:rsidP="00277C14">
            <w:pPr>
              <w:rPr>
                <w:rFonts w:cs="Arial"/>
                <w:szCs w:val="20"/>
              </w:rPr>
            </w:pPr>
          </w:p>
          <w:p w14:paraId="61E10E99" w14:textId="77777777" w:rsidR="00277C14" w:rsidRPr="00277C14" w:rsidRDefault="00277C14" w:rsidP="00277C14">
            <w:pPr>
              <w:rPr>
                <w:rFonts w:cs="Arial"/>
                <w:szCs w:val="20"/>
              </w:rPr>
            </w:pPr>
            <w:r w:rsidRPr="00277C14">
              <w:rPr>
                <w:rFonts w:cs="Arial"/>
                <w:szCs w:val="20"/>
              </w:rPr>
              <w:t>Proceeds and instrumentalities of crime are confiscated.</w:t>
            </w:r>
          </w:p>
        </w:tc>
      </w:tr>
      <w:tr w:rsidR="00277C14" w:rsidRPr="00277C14" w14:paraId="005592AD" w14:textId="77777777" w:rsidTr="00277C14">
        <w:trPr>
          <w:trHeight w:val="255"/>
          <w:jc w:val="center"/>
        </w:trPr>
        <w:tc>
          <w:tcPr>
            <w:tcW w:w="1992" w:type="dxa"/>
            <w:shd w:val="clear" w:color="auto" w:fill="auto"/>
          </w:tcPr>
          <w:p w14:paraId="3CF7A425" w14:textId="77777777" w:rsidR="00277C14" w:rsidRPr="00277C14" w:rsidRDefault="00277C14" w:rsidP="00277C14">
            <w:pPr>
              <w:rPr>
                <w:rFonts w:cs="Arial"/>
                <w:szCs w:val="20"/>
              </w:rPr>
            </w:pPr>
          </w:p>
          <w:p w14:paraId="0360EAC0" w14:textId="77777777" w:rsidR="00277C14" w:rsidRPr="00277C14" w:rsidRDefault="00277C14" w:rsidP="00277C14">
            <w:pPr>
              <w:rPr>
                <w:rFonts w:cs="Arial"/>
                <w:szCs w:val="20"/>
              </w:rPr>
            </w:pPr>
            <w:r w:rsidRPr="00277C14">
              <w:rPr>
                <w:rFonts w:cs="Arial"/>
                <w:szCs w:val="20"/>
              </w:rPr>
              <w:t>IO.9</w:t>
            </w:r>
          </w:p>
        </w:tc>
        <w:tc>
          <w:tcPr>
            <w:tcW w:w="7660" w:type="dxa"/>
            <w:shd w:val="clear" w:color="auto" w:fill="auto"/>
            <w:vAlign w:val="center"/>
          </w:tcPr>
          <w:p w14:paraId="381A69EB" w14:textId="77777777" w:rsidR="00277C14" w:rsidRPr="00277C14" w:rsidRDefault="00277C14" w:rsidP="00277C14">
            <w:pPr>
              <w:rPr>
                <w:rFonts w:cs="Arial"/>
                <w:szCs w:val="20"/>
              </w:rPr>
            </w:pPr>
          </w:p>
          <w:p w14:paraId="685E2F9D" w14:textId="77777777" w:rsidR="00277C14" w:rsidRPr="00277C14" w:rsidRDefault="00277C14" w:rsidP="00277C14">
            <w:pPr>
              <w:rPr>
                <w:rFonts w:cs="Arial"/>
                <w:szCs w:val="20"/>
              </w:rPr>
            </w:pPr>
            <w:r w:rsidRPr="00277C14">
              <w:rPr>
                <w:rFonts w:cs="Arial"/>
                <w:szCs w:val="20"/>
              </w:rPr>
              <w:t xml:space="preserve">Terrorist financing offences and activities are investigated and persons who finance terrorism are prosecuted and subject to effective, </w:t>
            </w:r>
            <w:proofErr w:type="gramStart"/>
            <w:r w:rsidRPr="00277C14">
              <w:rPr>
                <w:rFonts w:cs="Arial"/>
                <w:szCs w:val="20"/>
              </w:rPr>
              <w:t>proportionate</w:t>
            </w:r>
            <w:proofErr w:type="gramEnd"/>
            <w:r w:rsidRPr="00277C14">
              <w:rPr>
                <w:rFonts w:cs="Arial"/>
                <w:szCs w:val="20"/>
              </w:rPr>
              <w:t xml:space="preserve"> and dissuasive sanctions.</w:t>
            </w:r>
          </w:p>
        </w:tc>
      </w:tr>
      <w:tr w:rsidR="00277C14" w:rsidRPr="00277C14" w14:paraId="00CD90F0" w14:textId="77777777" w:rsidTr="00277C14">
        <w:trPr>
          <w:trHeight w:val="255"/>
          <w:jc w:val="center"/>
        </w:trPr>
        <w:tc>
          <w:tcPr>
            <w:tcW w:w="1992" w:type="dxa"/>
            <w:shd w:val="clear" w:color="auto" w:fill="auto"/>
          </w:tcPr>
          <w:p w14:paraId="6DE894E4" w14:textId="77777777" w:rsidR="00277C14" w:rsidRPr="00277C14" w:rsidRDefault="00277C14" w:rsidP="00277C14">
            <w:pPr>
              <w:rPr>
                <w:rFonts w:cs="Arial"/>
                <w:szCs w:val="20"/>
              </w:rPr>
            </w:pPr>
          </w:p>
          <w:p w14:paraId="0EA4E8D1" w14:textId="77777777" w:rsidR="00277C14" w:rsidRPr="00277C14" w:rsidRDefault="00277C14" w:rsidP="00277C14">
            <w:pPr>
              <w:rPr>
                <w:rFonts w:cs="Arial"/>
                <w:szCs w:val="20"/>
              </w:rPr>
            </w:pPr>
            <w:r w:rsidRPr="00277C14">
              <w:rPr>
                <w:rFonts w:cs="Arial"/>
                <w:szCs w:val="20"/>
              </w:rPr>
              <w:t>IO.10</w:t>
            </w:r>
          </w:p>
        </w:tc>
        <w:tc>
          <w:tcPr>
            <w:tcW w:w="7660" w:type="dxa"/>
            <w:shd w:val="clear" w:color="auto" w:fill="auto"/>
            <w:vAlign w:val="center"/>
          </w:tcPr>
          <w:p w14:paraId="678450B2" w14:textId="77777777" w:rsidR="00277C14" w:rsidRPr="00277C14" w:rsidRDefault="00277C14" w:rsidP="00277C14">
            <w:pPr>
              <w:rPr>
                <w:rFonts w:cs="Arial"/>
                <w:szCs w:val="20"/>
              </w:rPr>
            </w:pPr>
          </w:p>
          <w:p w14:paraId="5A18B466" w14:textId="77777777" w:rsidR="00277C14" w:rsidRPr="00277C14" w:rsidRDefault="00277C14" w:rsidP="00277C14">
            <w:pPr>
              <w:rPr>
                <w:rFonts w:cs="Arial"/>
                <w:szCs w:val="20"/>
              </w:rPr>
            </w:pPr>
            <w:r w:rsidRPr="00277C14">
              <w:rPr>
                <w:rFonts w:cs="Arial"/>
                <w:szCs w:val="20"/>
              </w:rPr>
              <w:t xml:space="preserve">Terrorists, terrorist organisations and terrorist financiers are prevented from raising, </w:t>
            </w:r>
            <w:proofErr w:type="gramStart"/>
            <w:r w:rsidRPr="00277C14">
              <w:rPr>
                <w:rFonts w:cs="Arial"/>
                <w:szCs w:val="20"/>
              </w:rPr>
              <w:t>moving</w:t>
            </w:r>
            <w:proofErr w:type="gramEnd"/>
            <w:r w:rsidRPr="00277C14">
              <w:rPr>
                <w:rFonts w:cs="Arial"/>
                <w:szCs w:val="20"/>
              </w:rPr>
              <w:t xml:space="preserve"> and using funds, and from abusing the NPO sector.</w:t>
            </w:r>
          </w:p>
        </w:tc>
      </w:tr>
      <w:tr w:rsidR="00277C14" w:rsidRPr="00277C14" w14:paraId="2CF451BF" w14:textId="77777777" w:rsidTr="00277C14">
        <w:trPr>
          <w:trHeight w:val="255"/>
          <w:jc w:val="center"/>
        </w:trPr>
        <w:tc>
          <w:tcPr>
            <w:tcW w:w="1992" w:type="dxa"/>
            <w:shd w:val="clear" w:color="auto" w:fill="auto"/>
          </w:tcPr>
          <w:p w14:paraId="693DFF88" w14:textId="77777777" w:rsidR="00277C14" w:rsidRPr="00277C14" w:rsidRDefault="00277C14" w:rsidP="00277C14">
            <w:pPr>
              <w:rPr>
                <w:rFonts w:cs="Arial"/>
                <w:szCs w:val="20"/>
              </w:rPr>
            </w:pPr>
          </w:p>
          <w:p w14:paraId="0A80F507" w14:textId="77777777" w:rsidR="00277C14" w:rsidRPr="00277C14" w:rsidRDefault="00277C14" w:rsidP="00277C14">
            <w:pPr>
              <w:rPr>
                <w:rFonts w:cs="Arial"/>
                <w:szCs w:val="20"/>
              </w:rPr>
            </w:pPr>
            <w:r w:rsidRPr="00277C14">
              <w:rPr>
                <w:rFonts w:cs="Arial"/>
                <w:szCs w:val="20"/>
              </w:rPr>
              <w:t>IO.11</w:t>
            </w:r>
          </w:p>
        </w:tc>
        <w:tc>
          <w:tcPr>
            <w:tcW w:w="7660" w:type="dxa"/>
            <w:shd w:val="clear" w:color="auto" w:fill="auto"/>
            <w:vAlign w:val="center"/>
          </w:tcPr>
          <w:p w14:paraId="1044CCB6" w14:textId="77777777" w:rsidR="00277C14" w:rsidRPr="00277C14" w:rsidRDefault="00277C14" w:rsidP="00277C14">
            <w:pPr>
              <w:rPr>
                <w:rFonts w:cs="Arial"/>
                <w:szCs w:val="20"/>
              </w:rPr>
            </w:pPr>
          </w:p>
          <w:p w14:paraId="3A6E1A50" w14:textId="77777777" w:rsidR="00277C14" w:rsidRPr="00277C14" w:rsidRDefault="00277C14" w:rsidP="00277C14">
            <w:pPr>
              <w:rPr>
                <w:rFonts w:cs="Arial"/>
                <w:szCs w:val="20"/>
              </w:rPr>
            </w:pPr>
            <w:r w:rsidRPr="00277C14">
              <w:rPr>
                <w:rFonts w:cs="Arial"/>
                <w:szCs w:val="20"/>
              </w:rPr>
              <w:t xml:space="preserve">Persons and entities involved in the proliferation of weapons of mass destruction are prevented from raising, </w:t>
            </w:r>
            <w:proofErr w:type="gramStart"/>
            <w:r w:rsidRPr="00277C14">
              <w:rPr>
                <w:rFonts w:cs="Arial"/>
                <w:szCs w:val="20"/>
              </w:rPr>
              <w:t>moving</w:t>
            </w:r>
            <w:proofErr w:type="gramEnd"/>
            <w:r w:rsidRPr="00277C14">
              <w:rPr>
                <w:rFonts w:cs="Arial"/>
                <w:szCs w:val="20"/>
              </w:rPr>
              <w:t xml:space="preserve"> and using funds, consistent with the relevant resolutions of the UN Security Council.</w:t>
            </w:r>
          </w:p>
        </w:tc>
      </w:tr>
    </w:tbl>
    <w:p w14:paraId="33F0C855" w14:textId="77777777" w:rsidR="00277C14" w:rsidRPr="00277C14" w:rsidRDefault="00277C14" w:rsidP="00277C14">
      <w:pPr>
        <w:rPr>
          <w:rFonts w:cs="Arial"/>
          <w:szCs w:val="20"/>
        </w:rPr>
      </w:pPr>
    </w:p>
    <w:p w14:paraId="37422458" w14:textId="77777777" w:rsidR="00277C14" w:rsidRPr="00277C14" w:rsidRDefault="00277C14" w:rsidP="00277C14">
      <w:pPr>
        <w:rPr>
          <w:rFonts w:cs="Arial"/>
          <w:b/>
          <w:bCs/>
          <w:szCs w:val="20"/>
        </w:rPr>
      </w:pPr>
    </w:p>
    <w:p w14:paraId="1531E0DC" w14:textId="13FF3F2A" w:rsidR="005745B6" w:rsidRDefault="005745B6">
      <w:pPr>
        <w:rPr>
          <w:rFonts w:cs="Arial"/>
          <w:b/>
          <w:bCs/>
          <w:szCs w:val="20"/>
        </w:rPr>
      </w:pPr>
      <w:r>
        <w:rPr>
          <w:rFonts w:cs="Arial"/>
          <w:b/>
          <w:bCs/>
          <w:szCs w:val="20"/>
        </w:rPr>
        <w:br w:type="page"/>
      </w:r>
    </w:p>
    <w:p w14:paraId="7F791809" w14:textId="479E0BA7" w:rsidR="00277C14" w:rsidRPr="00277C14" w:rsidRDefault="00277C14" w:rsidP="00277C14">
      <w:pPr>
        <w:rPr>
          <w:rFonts w:cs="Arial"/>
          <w:b/>
          <w:bCs/>
          <w:szCs w:val="20"/>
        </w:rPr>
      </w:pPr>
      <w:r w:rsidRPr="00277C14">
        <w:rPr>
          <w:rFonts w:cs="Arial"/>
          <w:b/>
          <w:bCs/>
          <w:szCs w:val="20"/>
        </w:rPr>
        <w:lastRenderedPageBreak/>
        <w:t>Appendix II</w:t>
      </w:r>
    </w:p>
    <w:p w14:paraId="639C09D4" w14:textId="77777777" w:rsidR="00277C14" w:rsidRPr="00277C14" w:rsidRDefault="00277C14" w:rsidP="00277C14">
      <w:pPr>
        <w:rPr>
          <w:rFonts w:cs="Arial"/>
          <w:szCs w:val="20"/>
        </w:rPr>
      </w:pPr>
    </w:p>
    <w:tbl>
      <w:tblPr>
        <w:tblW w:w="9564" w:type="dxa"/>
        <w:jc w:val="center"/>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firstRow="1" w:lastRow="0" w:firstColumn="1" w:lastColumn="0" w:noHBand="0" w:noVBand="1"/>
      </w:tblPr>
      <w:tblGrid>
        <w:gridCol w:w="8578"/>
        <w:gridCol w:w="986"/>
      </w:tblGrid>
      <w:tr w:rsidR="00277C14" w:rsidRPr="00277C14" w14:paraId="3A8048E7" w14:textId="77777777" w:rsidTr="007F48A9">
        <w:trPr>
          <w:jc w:val="center"/>
        </w:trPr>
        <w:tc>
          <w:tcPr>
            <w:tcW w:w="956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431EDE4" w14:textId="77777777" w:rsidR="00277C14" w:rsidRPr="00277C14" w:rsidRDefault="00277C14" w:rsidP="00277C14">
            <w:pPr>
              <w:rPr>
                <w:rFonts w:cs="Arial"/>
                <w:b/>
                <w:i/>
                <w:iCs/>
                <w:szCs w:val="20"/>
              </w:rPr>
            </w:pPr>
            <w:r w:rsidRPr="007F48A9">
              <w:rPr>
                <w:rFonts w:cs="Arial"/>
                <w:b/>
                <w:szCs w:val="20"/>
              </w:rPr>
              <w:t>List of FATF-style regional bodies</w:t>
            </w:r>
          </w:p>
        </w:tc>
      </w:tr>
      <w:tr w:rsidR="00277C14" w:rsidRPr="00277C14" w14:paraId="78CD2CEF" w14:textId="77777777" w:rsidTr="00277C14">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6679902B" w14:textId="77777777" w:rsidR="00277C14" w:rsidRPr="00277C14" w:rsidRDefault="00277C14" w:rsidP="00277C14">
            <w:pPr>
              <w:rPr>
                <w:rFonts w:cs="Arial"/>
                <w:szCs w:val="20"/>
              </w:rPr>
            </w:pPr>
            <w:r w:rsidRPr="00277C14">
              <w:rPr>
                <w:rFonts w:cs="Arial"/>
                <w:szCs w:val="20"/>
              </w:rPr>
              <w:t>Asia/Pacific Group on Money Laundering (APG)</w:t>
            </w:r>
            <w:r w:rsidRPr="00277C14">
              <w:rPr>
                <w:rFonts w:cs="Arial"/>
                <w:i/>
                <w:iCs/>
                <w:szCs w:val="20"/>
              </w:rPr>
              <w:t xml:space="preserve"> </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609CC20C" w14:textId="77777777" w:rsidR="00277C14" w:rsidRPr="00277C14" w:rsidRDefault="00277C14" w:rsidP="00277C14">
            <w:pPr>
              <w:rPr>
                <w:rFonts w:cs="Arial"/>
                <w:szCs w:val="20"/>
              </w:rPr>
            </w:pPr>
            <w:r w:rsidRPr="00277C14">
              <w:rPr>
                <w:rFonts w:cs="Arial"/>
                <w:noProof/>
                <w:szCs w:val="20"/>
                <w:lang w:val="pl-PL" w:eastAsia="pl-PL"/>
              </w:rPr>
              <w:drawing>
                <wp:inline distT="0" distB="0" distL="0" distR="0" wp14:anchorId="75042C16" wp14:editId="3C1C47E5">
                  <wp:extent cx="298450" cy="298450"/>
                  <wp:effectExtent l="0" t="0" r="6350" b="6350"/>
                  <wp:docPr id="10" name="Picture 10" descr="Link_icon v2">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k_icon v2"/>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a:noFill/>
                          </a:ln>
                        </pic:spPr>
                      </pic:pic>
                    </a:graphicData>
                  </a:graphic>
                </wp:inline>
              </w:drawing>
            </w:r>
          </w:p>
        </w:tc>
      </w:tr>
      <w:tr w:rsidR="00277C14" w:rsidRPr="00277C14" w14:paraId="120CF725" w14:textId="77777777" w:rsidTr="00277C14">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7241C036" w14:textId="77777777" w:rsidR="00277C14" w:rsidRPr="00277C14" w:rsidRDefault="00277C14" w:rsidP="00277C14">
            <w:pPr>
              <w:rPr>
                <w:rFonts w:cs="Arial"/>
                <w:szCs w:val="20"/>
              </w:rPr>
            </w:pPr>
            <w:r w:rsidRPr="00277C14">
              <w:rPr>
                <w:rFonts w:cs="Arial"/>
                <w:szCs w:val="20"/>
              </w:rPr>
              <w:t xml:space="preserve">Caribbean Financial Action Task Force (CFATF) </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5F77CD54" w14:textId="77777777" w:rsidR="00277C14" w:rsidRPr="00277C14" w:rsidRDefault="00277C14" w:rsidP="00277C14">
            <w:pPr>
              <w:rPr>
                <w:rFonts w:cs="Arial"/>
                <w:szCs w:val="20"/>
              </w:rPr>
            </w:pPr>
            <w:r w:rsidRPr="00277C14">
              <w:rPr>
                <w:rFonts w:cs="Arial"/>
                <w:noProof/>
                <w:szCs w:val="20"/>
                <w:lang w:val="pl-PL" w:eastAsia="pl-PL"/>
              </w:rPr>
              <w:drawing>
                <wp:inline distT="0" distB="0" distL="0" distR="0" wp14:anchorId="23FEF86E" wp14:editId="078D5E72">
                  <wp:extent cx="298450" cy="298450"/>
                  <wp:effectExtent l="0" t="0" r="6350" b="6350"/>
                  <wp:docPr id="9" name="Picture 9" descr="Link_icon v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nk_icon v2"/>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a:noFill/>
                          </a:ln>
                        </pic:spPr>
                      </pic:pic>
                    </a:graphicData>
                  </a:graphic>
                </wp:inline>
              </w:drawing>
            </w:r>
          </w:p>
        </w:tc>
      </w:tr>
      <w:tr w:rsidR="00277C14" w:rsidRPr="00277C14" w14:paraId="3F9787B0" w14:textId="77777777" w:rsidTr="00277C14">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167201F0" w14:textId="77777777" w:rsidR="00277C14" w:rsidRPr="00277C14" w:rsidRDefault="00277C14" w:rsidP="00277C14">
            <w:pPr>
              <w:rPr>
                <w:rFonts w:cs="Arial"/>
                <w:szCs w:val="20"/>
              </w:rPr>
            </w:pPr>
            <w:r w:rsidRPr="00277C14">
              <w:rPr>
                <w:rFonts w:cs="Arial"/>
                <w:szCs w:val="20"/>
              </w:rPr>
              <w:t>Council of Europe Committee of Experts on the Evaluation of Anti-Money Laundering Measures and the Financing of Terrorism (MONEYVAL)</w:t>
            </w:r>
            <w:r w:rsidRPr="00277C14">
              <w:rPr>
                <w:rFonts w:cs="Arial"/>
                <w:i/>
                <w:iCs/>
                <w:szCs w:val="20"/>
              </w:rPr>
              <w:t> </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2EC11035" w14:textId="77777777" w:rsidR="00277C14" w:rsidRPr="00277C14" w:rsidRDefault="00277C14" w:rsidP="00277C14">
            <w:pPr>
              <w:rPr>
                <w:rFonts w:cs="Arial"/>
                <w:szCs w:val="20"/>
              </w:rPr>
            </w:pPr>
            <w:r w:rsidRPr="00277C14">
              <w:rPr>
                <w:rFonts w:cs="Arial"/>
                <w:noProof/>
                <w:szCs w:val="20"/>
                <w:lang w:val="pl-PL" w:eastAsia="pl-PL"/>
              </w:rPr>
              <w:drawing>
                <wp:inline distT="0" distB="0" distL="0" distR="0" wp14:anchorId="556CDDA8" wp14:editId="4C80503F">
                  <wp:extent cx="298450" cy="298450"/>
                  <wp:effectExtent l="0" t="0" r="6350" b="6350"/>
                  <wp:docPr id="8" name="Picture 8" descr="Link_icon v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k_icon v2"/>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a:noFill/>
                          </a:ln>
                        </pic:spPr>
                      </pic:pic>
                    </a:graphicData>
                  </a:graphic>
                </wp:inline>
              </w:drawing>
            </w:r>
          </w:p>
        </w:tc>
      </w:tr>
      <w:tr w:rsidR="00277C14" w:rsidRPr="00277C14" w14:paraId="23E0DE8E" w14:textId="77777777" w:rsidTr="00277C14">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333D3AE3" w14:textId="77777777" w:rsidR="00277C14" w:rsidRPr="00277C14" w:rsidRDefault="00277C14" w:rsidP="00277C14">
            <w:pPr>
              <w:rPr>
                <w:rFonts w:cs="Arial"/>
                <w:szCs w:val="20"/>
              </w:rPr>
            </w:pPr>
            <w:r w:rsidRPr="00277C14">
              <w:rPr>
                <w:rFonts w:cs="Arial"/>
                <w:szCs w:val="20"/>
              </w:rPr>
              <w:t xml:space="preserve">Eurasian Group on Combating Money Laundering and Financing of Terrorism (EAG) </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4F08E909" w14:textId="77777777" w:rsidR="00277C14" w:rsidRPr="00277C14" w:rsidRDefault="00277C14" w:rsidP="00277C14">
            <w:pPr>
              <w:rPr>
                <w:rFonts w:cs="Arial"/>
                <w:szCs w:val="20"/>
              </w:rPr>
            </w:pPr>
            <w:r w:rsidRPr="00277C14">
              <w:rPr>
                <w:rFonts w:cs="Arial"/>
                <w:noProof/>
                <w:szCs w:val="20"/>
                <w:lang w:val="pl-PL" w:eastAsia="pl-PL"/>
              </w:rPr>
              <w:drawing>
                <wp:inline distT="0" distB="0" distL="0" distR="0" wp14:anchorId="71934F09" wp14:editId="3B4BF76B">
                  <wp:extent cx="298450" cy="298450"/>
                  <wp:effectExtent l="0" t="0" r="6350" b="6350"/>
                  <wp:docPr id="7" name="Picture 7" descr="Link_icon v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k_icon v2"/>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a:noFill/>
                          </a:ln>
                        </pic:spPr>
                      </pic:pic>
                    </a:graphicData>
                  </a:graphic>
                </wp:inline>
              </w:drawing>
            </w:r>
          </w:p>
        </w:tc>
      </w:tr>
      <w:tr w:rsidR="00277C14" w:rsidRPr="00277C14" w14:paraId="3D1E4596" w14:textId="77777777" w:rsidTr="00277C14">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04C6B0BA" w14:textId="77777777" w:rsidR="00277C14" w:rsidRPr="00277C14" w:rsidRDefault="00277C14" w:rsidP="00277C14">
            <w:pPr>
              <w:rPr>
                <w:rFonts w:cs="Arial"/>
                <w:szCs w:val="20"/>
              </w:rPr>
            </w:pPr>
            <w:r w:rsidRPr="00277C14">
              <w:rPr>
                <w:rFonts w:cs="Arial"/>
                <w:szCs w:val="20"/>
              </w:rPr>
              <w:t>Eastern and Southern Africa Anti-Money Laundering Group (ESAAMLG)</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55767974" w14:textId="77777777" w:rsidR="00277C14" w:rsidRPr="00277C14" w:rsidRDefault="00277C14" w:rsidP="00277C14">
            <w:pPr>
              <w:rPr>
                <w:rFonts w:cs="Arial"/>
                <w:szCs w:val="20"/>
              </w:rPr>
            </w:pPr>
            <w:r w:rsidRPr="00277C14">
              <w:rPr>
                <w:rFonts w:cs="Arial"/>
                <w:noProof/>
                <w:szCs w:val="20"/>
                <w:lang w:val="pl-PL" w:eastAsia="pl-PL"/>
              </w:rPr>
              <w:drawing>
                <wp:inline distT="0" distB="0" distL="0" distR="0" wp14:anchorId="6C5F941E" wp14:editId="29C23158">
                  <wp:extent cx="298450" cy="298450"/>
                  <wp:effectExtent l="0" t="0" r="6350" b="6350"/>
                  <wp:docPr id="6" name="Picture 6" descr="Link_icon v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k_icon v2"/>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a:noFill/>
                          </a:ln>
                        </pic:spPr>
                      </pic:pic>
                    </a:graphicData>
                  </a:graphic>
                </wp:inline>
              </w:drawing>
            </w:r>
          </w:p>
        </w:tc>
      </w:tr>
      <w:tr w:rsidR="00277C14" w:rsidRPr="00277C14" w14:paraId="4BE37043" w14:textId="77777777" w:rsidTr="00277C14">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4D605B4A" w14:textId="77777777" w:rsidR="00277C14" w:rsidRPr="00277C14" w:rsidRDefault="00277C14" w:rsidP="00277C14">
            <w:pPr>
              <w:rPr>
                <w:rFonts w:cs="Arial"/>
                <w:szCs w:val="20"/>
              </w:rPr>
            </w:pPr>
            <w:r w:rsidRPr="00277C14">
              <w:rPr>
                <w:rFonts w:cs="Arial"/>
                <w:szCs w:val="20"/>
              </w:rPr>
              <w:t xml:space="preserve">Financial Action Task Force on Money Laundering of Latin America (GAFILAT) </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049B10E2" w14:textId="77777777" w:rsidR="00277C14" w:rsidRPr="00277C14" w:rsidRDefault="00277C14" w:rsidP="00277C14">
            <w:pPr>
              <w:rPr>
                <w:rFonts w:cs="Arial"/>
                <w:szCs w:val="20"/>
              </w:rPr>
            </w:pPr>
            <w:r w:rsidRPr="00277C14">
              <w:rPr>
                <w:rFonts w:cs="Arial"/>
                <w:noProof/>
                <w:szCs w:val="20"/>
                <w:lang w:val="pl-PL" w:eastAsia="pl-PL"/>
              </w:rPr>
              <w:drawing>
                <wp:inline distT="0" distB="0" distL="0" distR="0" wp14:anchorId="19EBCCEB" wp14:editId="062125F2">
                  <wp:extent cx="298450" cy="298450"/>
                  <wp:effectExtent l="0" t="0" r="6350" b="6350"/>
                  <wp:docPr id="5" name="Picture 5" descr="Link_icon v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nk_icon v2"/>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a:noFill/>
                          </a:ln>
                        </pic:spPr>
                      </pic:pic>
                    </a:graphicData>
                  </a:graphic>
                </wp:inline>
              </w:drawing>
            </w:r>
          </w:p>
        </w:tc>
      </w:tr>
      <w:tr w:rsidR="00277C14" w:rsidRPr="00277C14" w14:paraId="59432B4F" w14:textId="77777777" w:rsidTr="00277C14">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6F56A316" w14:textId="77777777" w:rsidR="00277C14" w:rsidRPr="00277C14" w:rsidRDefault="00277C14" w:rsidP="00277C14">
            <w:pPr>
              <w:rPr>
                <w:rFonts w:cs="Arial"/>
                <w:szCs w:val="20"/>
              </w:rPr>
            </w:pPr>
            <w:r w:rsidRPr="00277C14">
              <w:rPr>
                <w:rFonts w:cs="Arial"/>
                <w:szCs w:val="20"/>
              </w:rPr>
              <w:t xml:space="preserve">Inter-Governmental Action Group against Money Laundering in West Africa (GIABA) </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69BB80A5" w14:textId="77777777" w:rsidR="00277C14" w:rsidRPr="00277C14" w:rsidRDefault="00277C14" w:rsidP="00277C14">
            <w:pPr>
              <w:rPr>
                <w:rFonts w:cs="Arial"/>
                <w:szCs w:val="20"/>
              </w:rPr>
            </w:pPr>
            <w:r w:rsidRPr="00277C14">
              <w:rPr>
                <w:rFonts w:cs="Arial"/>
                <w:noProof/>
                <w:szCs w:val="20"/>
                <w:lang w:val="pl-PL" w:eastAsia="pl-PL"/>
              </w:rPr>
              <w:drawing>
                <wp:inline distT="0" distB="0" distL="0" distR="0" wp14:anchorId="40B96ED5" wp14:editId="24DDCAE1">
                  <wp:extent cx="298450" cy="298450"/>
                  <wp:effectExtent l="0" t="0" r="6350" b="6350"/>
                  <wp:docPr id="4" name="Picture 4" descr="Link_icon v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k_icon v2"/>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a:noFill/>
                          </a:ln>
                        </pic:spPr>
                      </pic:pic>
                    </a:graphicData>
                  </a:graphic>
                </wp:inline>
              </w:drawing>
            </w:r>
          </w:p>
        </w:tc>
      </w:tr>
      <w:tr w:rsidR="00277C14" w:rsidRPr="00277C14" w14:paraId="35633E2D" w14:textId="77777777" w:rsidTr="00277C14">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00E148B9" w14:textId="77777777" w:rsidR="00277C14" w:rsidRPr="00277C14" w:rsidRDefault="00277C14" w:rsidP="00277C14">
            <w:pPr>
              <w:rPr>
                <w:rFonts w:cs="Arial"/>
                <w:szCs w:val="20"/>
              </w:rPr>
            </w:pPr>
            <w:r w:rsidRPr="00277C14">
              <w:rPr>
                <w:rFonts w:cs="Arial"/>
                <w:szCs w:val="20"/>
              </w:rPr>
              <w:t xml:space="preserve">Middle East and North Africa Financial Action Task Force (MENAFATF) </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5DAF9E92" w14:textId="77777777" w:rsidR="00277C14" w:rsidRPr="00277C14" w:rsidRDefault="00277C14" w:rsidP="00277C14">
            <w:pPr>
              <w:rPr>
                <w:rFonts w:cs="Arial"/>
                <w:szCs w:val="20"/>
              </w:rPr>
            </w:pPr>
            <w:r w:rsidRPr="00277C14">
              <w:rPr>
                <w:rFonts w:cs="Arial"/>
                <w:noProof/>
                <w:szCs w:val="20"/>
                <w:lang w:val="pl-PL" w:eastAsia="pl-PL"/>
              </w:rPr>
              <w:drawing>
                <wp:inline distT="0" distB="0" distL="0" distR="0" wp14:anchorId="6BBCE9FC" wp14:editId="496956FE">
                  <wp:extent cx="298450" cy="298450"/>
                  <wp:effectExtent l="0" t="0" r="6350" b="6350"/>
                  <wp:docPr id="3" name="Picture 3" descr="Link_icon v2">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k_icon v2"/>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a:noFill/>
                          </a:ln>
                        </pic:spPr>
                      </pic:pic>
                    </a:graphicData>
                  </a:graphic>
                </wp:inline>
              </w:drawing>
            </w:r>
          </w:p>
        </w:tc>
      </w:tr>
      <w:tr w:rsidR="00277C14" w:rsidRPr="00277C14" w14:paraId="69E3708C" w14:textId="77777777" w:rsidTr="00277C14">
        <w:trPr>
          <w:jc w:val="center"/>
        </w:trPr>
        <w:tc>
          <w:tcPr>
            <w:tcW w:w="8578" w:type="dxa"/>
            <w:tcBorders>
              <w:top w:val="single" w:sz="4" w:space="0" w:color="000000"/>
              <w:left w:val="single" w:sz="4" w:space="0" w:color="000000"/>
              <w:bottom w:val="single" w:sz="4" w:space="0" w:color="000000"/>
              <w:right w:val="nil"/>
            </w:tcBorders>
            <w:shd w:val="clear" w:color="auto" w:fill="auto"/>
            <w:vAlign w:val="center"/>
          </w:tcPr>
          <w:p w14:paraId="3B55224F" w14:textId="77777777" w:rsidR="00277C14" w:rsidRPr="00277C14" w:rsidRDefault="00277C14" w:rsidP="00277C14">
            <w:pPr>
              <w:rPr>
                <w:rFonts w:cs="Arial"/>
                <w:szCs w:val="20"/>
              </w:rPr>
            </w:pPr>
            <w:r w:rsidRPr="00277C14">
              <w:rPr>
                <w:rFonts w:cs="Arial"/>
                <w:iCs/>
                <w:szCs w:val="20"/>
                <w:lang w:val="en-US"/>
              </w:rPr>
              <w:t>Task Force on Money Laundering in Central Africa (GABAC)</w:t>
            </w:r>
          </w:p>
        </w:tc>
        <w:tc>
          <w:tcPr>
            <w:tcW w:w="986" w:type="dxa"/>
            <w:tcBorders>
              <w:top w:val="single" w:sz="4" w:space="0" w:color="000000"/>
              <w:left w:val="nil"/>
              <w:bottom w:val="single" w:sz="4" w:space="0" w:color="000000"/>
              <w:right w:val="single" w:sz="4" w:space="0" w:color="000000"/>
            </w:tcBorders>
            <w:shd w:val="clear" w:color="auto" w:fill="auto"/>
            <w:vAlign w:val="center"/>
          </w:tcPr>
          <w:p w14:paraId="4C1201FF" w14:textId="77777777" w:rsidR="00277C14" w:rsidRPr="00277C14" w:rsidRDefault="00277C14" w:rsidP="00277C14">
            <w:pPr>
              <w:rPr>
                <w:rFonts w:cs="Arial"/>
                <w:szCs w:val="20"/>
              </w:rPr>
            </w:pPr>
            <w:r w:rsidRPr="00277C14">
              <w:rPr>
                <w:rFonts w:cs="Arial"/>
                <w:noProof/>
                <w:szCs w:val="20"/>
                <w:lang w:val="pl-PL" w:eastAsia="pl-PL"/>
              </w:rPr>
              <w:drawing>
                <wp:inline distT="0" distB="0" distL="0" distR="0" wp14:anchorId="693B1E38" wp14:editId="1C034348">
                  <wp:extent cx="298450" cy="298450"/>
                  <wp:effectExtent l="0" t="0" r="6350" b="6350"/>
                  <wp:docPr id="1" name="Picture 1" descr="Link_icon v2">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k_icon v2"/>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a:noFill/>
                          </a:ln>
                        </pic:spPr>
                      </pic:pic>
                    </a:graphicData>
                  </a:graphic>
                </wp:inline>
              </w:drawing>
            </w:r>
            <w:r w:rsidRPr="00277C14">
              <w:rPr>
                <w:rFonts w:cs="Arial"/>
                <w:szCs w:val="20"/>
              </w:rPr>
              <w:t xml:space="preserve"> </w:t>
            </w:r>
          </w:p>
        </w:tc>
      </w:tr>
    </w:tbl>
    <w:p w14:paraId="55618DB0" w14:textId="77777777" w:rsidR="00277C14" w:rsidRPr="00277C14" w:rsidRDefault="00277C14" w:rsidP="00277C14">
      <w:pPr>
        <w:rPr>
          <w:rFonts w:cs="Arial"/>
          <w:b/>
          <w:bCs/>
          <w:szCs w:val="20"/>
        </w:rPr>
      </w:pPr>
    </w:p>
    <w:p w14:paraId="55D11A82" w14:textId="3B4DB0AA" w:rsidR="00277C14" w:rsidRPr="00277C14" w:rsidRDefault="00277C14" w:rsidP="00277C14">
      <w:pPr>
        <w:rPr>
          <w:rFonts w:eastAsia="Times New Roman" w:cs="Arial"/>
          <w:szCs w:val="20"/>
        </w:rPr>
      </w:pPr>
    </w:p>
    <w:sectPr w:rsidR="00277C14" w:rsidRPr="00277C14" w:rsidSect="00D462CE">
      <w:headerReference w:type="even" r:id="rId24"/>
      <w:headerReference w:type="default" r:id="rId25"/>
      <w:footerReference w:type="default" r:id="rId26"/>
      <w:headerReference w:type="first" r:id="rId27"/>
      <w:footerReference w:type="first" r:id="rId28"/>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16731" w14:textId="77777777" w:rsidR="006F5883" w:rsidRDefault="006F5883" w:rsidP="00FD6043">
      <w:r>
        <w:separator/>
      </w:r>
    </w:p>
  </w:endnote>
  <w:endnote w:type="continuationSeparator" w:id="0">
    <w:p w14:paraId="351F4E59" w14:textId="77777777" w:rsidR="006F5883" w:rsidRDefault="006F5883"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auto"/>
    <w:pitch w:val="variable"/>
    <w:sig w:usb0="E00002AF" w:usb1="5000607B"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DepCentury Old Style">
    <w:altName w:val="Times New Roman"/>
    <w:charset w:val="00"/>
    <w:family w:val="roman"/>
    <w:pitch w:val="variable"/>
    <w:sig w:usb0="00000003" w:usb1="00000000" w:usb2="00000000" w:usb3="00000000" w:csb0="00000001" w:csb1="00000000"/>
  </w:font>
  <w:font w:name="Myriad Pro">
    <w:altName w:val="Corbel"/>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ernini Sans Light">
    <w:altName w:val="Arial"/>
    <w:panose1 w:val="00000000000000000000"/>
    <w:charset w:val="00"/>
    <w:family w:val="modern"/>
    <w:notTrueType/>
    <w:pitch w:val="variable"/>
    <w:sig w:usb0="00000001" w:usb1="0000007B" w:usb2="00000000" w:usb3="00000000" w:csb0="00000093" w:csb1="00000000"/>
  </w:font>
  <w:font w:name="Caecilia LT Std Roman">
    <w:panose1 w:val="00000000000000000000"/>
    <w:charset w:val="00"/>
    <w:family w:val="modern"/>
    <w:notTrueType/>
    <w:pitch w:val="variable"/>
    <w:sig w:usb0="800000AF" w:usb1="5000204A"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Bernini Sans">
    <w:altName w:val="Arial"/>
    <w:panose1 w:val="00000000000000000000"/>
    <w:charset w:val="00"/>
    <w:family w:val="modern"/>
    <w:notTrueType/>
    <w:pitch w:val="variable"/>
    <w:sig w:usb0="A00000FF" w:usb1="0000007B" w:usb2="00000000" w:usb3="00000000" w:csb0="00000093" w:csb1="00000000"/>
  </w:font>
  <w:font w:name="StatLink">
    <w:charset w:val="00"/>
    <w:family w:val="auto"/>
    <w:pitch w:val="variable"/>
    <w:sig w:usb0="80000003" w:usb1="00000000" w:usb2="00000000" w:usb3="00000000" w:csb0="00000001" w:csb1="00000000"/>
  </w:font>
  <w:font w:name="Caecilia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0CFD" w14:textId="77777777" w:rsidR="009E6BB1" w:rsidRPr="002F3006" w:rsidRDefault="009E6BB1"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2328" w14:textId="77777777" w:rsidR="009E6BB1" w:rsidRPr="00113EB0" w:rsidRDefault="009E6BB1" w:rsidP="00E15639">
    <w:pPr>
      <w:pStyle w:val="Footer"/>
      <w:rPr>
        <w:sz w:val="16"/>
        <w:szCs w:val="16"/>
      </w:rPr>
    </w:pPr>
    <w:r>
      <w:rPr>
        <w:sz w:val="16"/>
        <w:szCs w:val="16"/>
      </w:rPr>
      <w:t>W</w:t>
    </w:r>
    <w:r w:rsidRPr="00113EB0">
      <w:rPr>
        <w:sz w:val="16"/>
        <w:szCs w:val="16"/>
      </w:rPr>
      <w:t>eb</w:t>
    </w:r>
    <w:r>
      <w:rPr>
        <w:sz w:val="16"/>
        <w:szCs w:val="16"/>
      </w:rPr>
      <w:t>site</w:t>
    </w:r>
    <w:r w:rsidRPr="00113EB0">
      <w:rPr>
        <w:sz w:val="16"/>
        <w:szCs w:val="16"/>
      </w:rPr>
      <w:t xml:space="preserve">: </w:t>
    </w:r>
    <w:hyperlink r:id="rId1" w:history="1">
      <w:r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74BC6" w14:textId="77777777" w:rsidR="006F5883" w:rsidRDefault="006F5883" w:rsidP="00FD6043">
      <w:r>
        <w:separator/>
      </w:r>
    </w:p>
  </w:footnote>
  <w:footnote w:type="continuationSeparator" w:id="0">
    <w:p w14:paraId="18372DF5" w14:textId="77777777" w:rsidR="006F5883" w:rsidRDefault="006F5883" w:rsidP="00FD6043">
      <w:r>
        <w:continuationSeparator/>
      </w:r>
    </w:p>
  </w:footnote>
  <w:footnote w:id="1">
    <w:p w14:paraId="26977DCB" w14:textId="77777777" w:rsidR="009E6BB1" w:rsidRPr="00A12DEC" w:rsidRDefault="009E6BB1" w:rsidP="003D6AC2">
      <w:pPr>
        <w:pStyle w:val="FootnoteText"/>
      </w:pPr>
      <w:r>
        <w:rPr>
          <w:rStyle w:val="FootnoteReference"/>
        </w:rPr>
        <w:footnoteRef/>
      </w:r>
      <w:r w:rsidRPr="00A12DEC">
        <w:t xml:space="preserve"> </w:t>
      </w:r>
      <w:r w:rsidRPr="00D41C91">
        <w:rPr>
          <w:szCs w:val="16"/>
        </w:rPr>
        <w:t>This document has been classified restricted until examination by the Committee of Ministers.</w:t>
      </w:r>
    </w:p>
  </w:footnote>
  <w:footnote w:id="2">
    <w:p w14:paraId="4438DB13" w14:textId="5BD41FA7" w:rsidR="009E6BB1" w:rsidRPr="00B209A2" w:rsidRDefault="009E6BB1" w:rsidP="00277C14">
      <w:pPr>
        <w:pStyle w:val="FootnoteText"/>
        <w:rPr>
          <w:rFonts w:cs="Arial"/>
          <w:szCs w:val="16"/>
        </w:rPr>
      </w:pPr>
      <w:r w:rsidRPr="00B209A2">
        <w:rPr>
          <w:rStyle w:val="FootnoteReference"/>
          <w:rFonts w:cs="Arial"/>
          <w:szCs w:val="16"/>
        </w:rPr>
        <w:footnoteRef/>
      </w:r>
      <w:r w:rsidRPr="00B209A2">
        <w:rPr>
          <w:rFonts w:cs="Arial"/>
          <w:szCs w:val="16"/>
        </w:rPr>
        <w:t xml:space="preserve"> </w:t>
      </w:r>
      <w:r>
        <w:rPr>
          <w:rFonts w:cs="Arial"/>
          <w:szCs w:val="16"/>
        </w:rPr>
        <w:t xml:space="preserve">In the sequence of assessments carried out since 2016: </w:t>
      </w:r>
      <w:r w:rsidRPr="00B209A2">
        <w:rPr>
          <w:rFonts w:cs="Arial"/>
          <w:szCs w:val="16"/>
        </w:rPr>
        <w:t xml:space="preserve">Armenia, Serbia, Hungary, Slovenia, Isle of Man, Andorra, Ukraine, Albania, Latvia, Czech Republic, Lithuania, Israel, </w:t>
      </w:r>
      <w:r w:rsidR="001F36B5">
        <w:rPr>
          <w:rFonts w:cs="Arial"/>
          <w:szCs w:val="16"/>
        </w:rPr>
        <w:t xml:space="preserve">Republic of </w:t>
      </w:r>
      <w:r w:rsidRPr="00B209A2">
        <w:rPr>
          <w:rFonts w:cs="Arial"/>
          <w:szCs w:val="16"/>
        </w:rPr>
        <w:t>Moldova, Malta, Russian Federation, Gibraltar, Cyprus, Slovak Republic, Georgia</w:t>
      </w:r>
      <w:r>
        <w:rPr>
          <w:rFonts w:cs="Arial"/>
          <w:szCs w:val="16"/>
        </w:rPr>
        <w:t>, Holy See/Vatican City State, San Marino, Poland</w:t>
      </w:r>
      <w:r w:rsidR="00AF6E2B">
        <w:rPr>
          <w:rFonts w:cs="Arial"/>
          <w:szCs w:val="16"/>
        </w:rPr>
        <w:t>,</w:t>
      </w:r>
      <w:r>
        <w:rPr>
          <w:rFonts w:cs="Arial"/>
          <w:szCs w:val="16"/>
        </w:rPr>
        <w:t xml:space="preserve"> Croatia</w:t>
      </w:r>
      <w:r w:rsidR="00AF6E2B">
        <w:rPr>
          <w:rFonts w:cs="Arial"/>
          <w:szCs w:val="16"/>
        </w:rPr>
        <w:t xml:space="preserve">, Bulgaria, Liechtenstein, </w:t>
      </w:r>
      <w:proofErr w:type="gramStart"/>
      <w:r w:rsidR="00AF6E2B">
        <w:rPr>
          <w:rFonts w:cs="Arial"/>
          <w:szCs w:val="16"/>
        </w:rPr>
        <w:t>Estonia</w:t>
      </w:r>
      <w:proofErr w:type="gramEnd"/>
      <w:r w:rsidR="00AF6E2B">
        <w:rPr>
          <w:rFonts w:cs="Arial"/>
          <w:szCs w:val="16"/>
        </w:rPr>
        <w:t xml:space="preserve"> and Monaco</w:t>
      </w:r>
      <w:r w:rsidRPr="00B209A2">
        <w:rPr>
          <w:rFonts w:cs="Arial"/>
          <w:szCs w:val="16"/>
        </w:rPr>
        <w:t>.</w:t>
      </w:r>
    </w:p>
  </w:footnote>
  <w:footnote w:id="3">
    <w:p w14:paraId="567062A8" w14:textId="5CDFD370" w:rsidR="00FC2E59" w:rsidRPr="00FC2E59" w:rsidRDefault="00FC2E59">
      <w:pPr>
        <w:pStyle w:val="FootnoteText"/>
      </w:pPr>
      <w:r>
        <w:rPr>
          <w:rStyle w:val="FootnoteReference"/>
        </w:rPr>
        <w:footnoteRef/>
      </w:r>
      <w:r>
        <w:t xml:space="preserve"> </w:t>
      </w:r>
      <w:r w:rsidRPr="00FC2E59">
        <w:rPr>
          <w:szCs w:val="16"/>
        </w:rPr>
        <w:t xml:space="preserve">See </w:t>
      </w:r>
      <w:hyperlink r:id="rId1" w:history="1">
        <w:r w:rsidRPr="00FC2E59">
          <w:rPr>
            <w:color w:val="0000FF"/>
            <w:szCs w:val="16"/>
            <w:u w:val="single"/>
          </w:rPr>
          <w:t>MONEYVAL Strategy - Committee of Experts on the Evaluation of Anti-Money Laundering Measures and the Financing of Terrorism (coe.int)</w:t>
        </w:r>
      </w:hyperlink>
      <w:r>
        <w:rPr>
          <w:szCs w:val="16"/>
        </w:rPr>
        <w:t>.</w:t>
      </w:r>
    </w:p>
  </w:footnote>
  <w:footnote w:id="4">
    <w:p w14:paraId="35F4ACAB" w14:textId="7FB25BD9" w:rsidR="009E6BB1" w:rsidRPr="00777800" w:rsidRDefault="009E6BB1" w:rsidP="00277C14">
      <w:pPr>
        <w:pStyle w:val="FootnoteText"/>
        <w:rPr>
          <w:rFonts w:cs="Arial"/>
          <w:szCs w:val="16"/>
        </w:rPr>
      </w:pPr>
      <w:r w:rsidRPr="00777800">
        <w:rPr>
          <w:rStyle w:val="FootnoteReference"/>
          <w:rFonts w:cs="Arial"/>
          <w:szCs w:val="16"/>
        </w:rPr>
        <w:footnoteRef/>
      </w:r>
      <w:r w:rsidRPr="00777800">
        <w:rPr>
          <w:rFonts w:cs="Arial"/>
          <w:szCs w:val="16"/>
        </w:rPr>
        <w:t xml:space="preserve"> The full list of associate members appears in Appendix I</w:t>
      </w:r>
      <w:r w:rsidR="00622CE0">
        <w:rPr>
          <w:rFonts w:cs="Arial"/>
          <w:szCs w:val="16"/>
        </w:rPr>
        <w:t>I</w:t>
      </w:r>
      <w:r w:rsidRPr="00777800">
        <w:rPr>
          <w:rFonts w:cs="Arial"/>
          <w:szCs w:val="16"/>
        </w:rPr>
        <w:t xml:space="preserve"> to this report.</w:t>
      </w:r>
    </w:p>
  </w:footnote>
  <w:footnote w:id="5">
    <w:p w14:paraId="7F8F6EB0" w14:textId="1F1BA8F0" w:rsidR="009E6BB1" w:rsidRPr="001E0059" w:rsidRDefault="009E6BB1" w:rsidP="00277C14">
      <w:pPr>
        <w:pStyle w:val="FootnoteText"/>
        <w:rPr>
          <w:rFonts w:cs="Arial"/>
          <w:szCs w:val="16"/>
          <w:lang w:val="en-US"/>
        </w:rPr>
      </w:pPr>
      <w:r w:rsidRPr="001E0059">
        <w:rPr>
          <w:rStyle w:val="FootnoteReference"/>
          <w:rFonts w:cs="Arial"/>
          <w:szCs w:val="16"/>
        </w:rPr>
        <w:footnoteRef/>
      </w:r>
      <w:r w:rsidRPr="001E0059">
        <w:rPr>
          <w:rFonts w:cs="Arial"/>
          <w:szCs w:val="16"/>
          <w:lang w:val="en-US"/>
        </w:rPr>
        <w:t xml:space="preserve"> Although the third round of evaluations concluded in 2009, the Holy See (including Vatican City State) was subsequently evaluated in 2011, with the report being adopted in 2012 following the adoption by the Committee of Ministers on 6 April 2011 of Resolution </w:t>
      </w:r>
      <w:bookmarkStart w:id="1157" w:name="_ML_000000000004_VALID"/>
      <w:r w:rsidR="00472E64" w:rsidRPr="00472E64">
        <w:rPr>
          <w:rFonts w:cs="Arial"/>
          <w:szCs w:val="16"/>
          <w:lang w:val="en-US"/>
        </w:rPr>
        <w:fldChar w:fldCharType="begin"/>
      </w:r>
      <w:r w:rsidR="00472E64" w:rsidRPr="00472E64">
        <w:rPr>
          <w:rFonts w:cs="Arial"/>
          <w:szCs w:val="16"/>
          <w:lang w:val="en-US"/>
        </w:rPr>
        <w:instrText xml:space="preserve"> HYPERLINK "https://search.coe.int/cm/Pages/result_details.aspx?Reference=CM/Res(2011)5" \o "Resolution on the participation of the Holy See (including the Vatican City State) in the mutual evaluation processes and procedures of the Committee of Experts on the Evaluation of Anti-Money Laundering Measures and the Financing of Terrorism (MONEYVAL) (Adopted by the Committee of Ministers on 6 April 2011 at the 1111th meeting of the Ministers' Deputies)" </w:instrText>
      </w:r>
      <w:r w:rsidR="00472E64" w:rsidRPr="00472E64">
        <w:rPr>
          <w:rFonts w:cs="Arial"/>
          <w:szCs w:val="16"/>
          <w:lang w:val="en-US"/>
        </w:rPr>
        <w:fldChar w:fldCharType="separate"/>
      </w:r>
      <w:bookmarkEnd w:id="1157"/>
      <w:r w:rsidR="00472E64" w:rsidRPr="00472E64">
        <w:rPr>
          <w:rStyle w:val="Hyperlink"/>
          <w:rFonts w:cs="Arial"/>
          <w:szCs w:val="16"/>
          <w:lang w:val="en-US"/>
        </w:rPr>
        <w:t>CM/Res(2011)5</w:t>
      </w:r>
      <w:r w:rsidR="00472E64" w:rsidRPr="00472E64">
        <w:rPr>
          <w:rFonts w:cs="Arial"/>
          <w:szCs w:val="16"/>
          <w:lang w:val="en-US"/>
        </w:rPr>
        <w:fldChar w:fldCharType="end"/>
      </w:r>
      <w:r w:rsidRPr="001E0059">
        <w:rPr>
          <w:rFonts w:cs="Arial"/>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4BFD0" w14:textId="331091F1" w:rsidR="009E6BB1" w:rsidRPr="00E54322" w:rsidRDefault="009E6BB1" w:rsidP="00E54322">
    <w:pPr>
      <w:pStyle w:val="Header"/>
    </w:pPr>
    <w:proofErr w:type="gramStart"/>
    <w:r w:rsidRPr="00E54322">
      <w:t>CM(</w:t>
    </w:r>
    <w:proofErr w:type="gramEnd"/>
    <w:r>
      <w:t>202</w:t>
    </w:r>
    <w:r w:rsidR="00EA7B7F">
      <w:t>3</w:t>
    </w:r>
    <w:r w:rsidR="000A1889">
      <w:t>)85</w:t>
    </w:r>
    <w:r w:rsidRPr="00E54322">
      <w:tab/>
    </w:r>
    <w:r w:rsidRPr="00E54322">
      <w:fldChar w:fldCharType="begin"/>
    </w:r>
    <w:r w:rsidRPr="00E54322">
      <w:instrText xml:space="preserve"> PAGE  \* Arabic  \* MERGEFORMAT </w:instrText>
    </w:r>
    <w:r w:rsidRPr="00E54322">
      <w:fldChar w:fldCharType="separate"/>
    </w:r>
    <w:r>
      <w:rPr>
        <w:noProof/>
      </w:rPr>
      <w:t>2</w:t>
    </w:r>
    <w:r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953B2" w14:textId="11BE5194" w:rsidR="009E6BB1" w:rsidRPr="00E54322" w:rsidRDefault="009E6BB1" w:rsidP="00E54322">
    <w:pPr>
      <w:pStyle w:val="Header"/>
    </w:pPr>
    <w:r w:rsidRPr="00E54322">
      <w:tab/>
    </w:r>
    <w:r w:rsidRPr="00E54322">
      <w:fldChar w:fldCharType="begin"/>
    </w:r>
    <w:r w:rsidRPr="00E54322">
      <w:instrText xml:space="preserve"> PAGE  \* Arabic  \* MERGEFORMAT </w:instrText>
    </w:r>
    <w:r w:rsidRPr="00E54322">
      <w:fldChar w:fldCharType="separate"/>
    </w:r>
    <w:r>
      <w:rPr>
        <w:noProof/>
      </w:rPr>
      <w:t>3</w:t>
    </w:r>
    <w:r w:rsidRPr="00E54322">
      <w:fldChar w:fldCharType="end"/>
    </w:r>
    <w:r w:rsidRPr="00E54322">
      <w:tab/>
    </w:r>
    <w:proofErr w:type="gramStart"/>
    <w:r w:rsidRPr="00E54322">
      <w:t>CM(</w:t>
    </w:r>
    <w:proofErr w:type="gramEnd"/>
    <w:r>
      <w:t>202</w:t>
    </w:r>
    <w:r w:rsidR="00EA7B7F">
      <w:t>3</w:t>
    </w:r>
    <w:r w:rsidRPr="00E54322">
      <w:t>)</w:t>
    </w:r>
    <w:r w:rsidR="004D5F3C">
      <w:t>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BD209" w14:textId="77777777" w:rsidR="009E6BB1" w:rsidRDefault="009E6BB1" w:rsidP="00123CDD">
    <w:pPr>
      <w:pStyle w:val="Header"/>
      <w:spacing w:after="2280"/>
    </w:pPr>
    <w:r>
      <w:rPr>
        <w:noProof/>
      </w:rPr>
      <w:drawing>
        <wp:anchor distT="0" distB="0" distL="114300" distR="114300" simplePos="0" relativeHeight="251658240" behindDoc="1" locked="0" layoutInCell="1" allowOverlap="0" wp14:anchorId="66D4133B" wp14:editId="70F29DAA">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2.85pt;height:12.85pt" o:bullet="t">
        <v:imagedata r:id="rId1" o:title=""/>
      </v:shape>
    </w:pict>
  </w:numPicBullet>
  <w:abstractNum w:abstractNumId="0" w15:restartNumberingAfterBreak="0">
    <w:nsid w:val="FFFFFF83"/>
    <w:multiLevelType w:val="singleLevel"/>
    <w:tmpl w:val="DA768E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E96EDF54"/>
    <w:lvl w:ilvl="0">
      <w:start w:val="1"/>
      <w:numFmt w:val="decimal"/>
      <w:pStyle w:val="ListNumber"/>
      <w:lvlText w:val="%1."/>
      <w:lvlJc w:val="left"/>
      <w:pPr>
        <w:tabs>
          <w:tab w:val="num" w:pos="360"/>
        </w:tabs>
        <w:ind w:left="360" w:hanging="360"/>
      </w:pPr>
    </w:lvl>
  </w:abstractNum>
  <w:abstractNum w:abstractNumId="2" w15:restartNumberingAfterBreak="0">
    <w:nsid w:val="04A54CC0"/>
    <w:multiLevelType w:val="hybridMultilevel"/>
    <w:tmpl w:val="53CE962A"/>
    <w:lvl w:ilvl="0" w:tplc="E1B215F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F90F62"/>
    <w:multiLevelType w:val="singleLevel"/>
    <w:tmpl w:val="CE5058AE"/>
    <w:lvl w:ilvl="0">
      <w:start w:val="1"/>
      <w:numFmt w:val="bullet"/>
      <w:pStyle w:val="ListBullet"/>
      <w:lvlText w:val="·"/>
      <w:lvlJc w:val="left"/>
      <w:pPr>
        <w:tabs>
          <w:tab w:val="num" w:pos="850"/>
        </w:tabs>
        <w:ind w:left="850" w:hanging="408"/>
      </w:pPr>
      <w:rPr>
        <w:rFonts w:ascii="Symbol" w:hAnsi="Symbol" w:cs="Times New Roman" w:hint="default"/>
        <w:b w:val="0"/>
        <w:i w:val="0"/>
        <w:sz w:val="22"/>
      </w:rPr>
    </w:lvl>
  </w:abstractNum>
  <w:abstractNum w:abstractNumId="4" w15:restartNumberingAfterBreak="0">
    <w:nsid w:val="08247D6C"/>
    <w:multiLevelType w:val="hybridMultilevel"/>
    <w:tmpl w:val="F2007C38"/>
    <w:lvl w:ilvl="0" w:tplc="04090017">
      <w:start w:val="1"/>
      <w:numFmt w:val="lowerLetter"/>
      <w:lvlText w:val="%1)"/>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8595EA3"/>
    <w:multiLevelType w:val="hybridMultilevel"/>
    <w:tmpl w:val="DB8AF31C"/>
    <w:lvl w:ilvl="0" w:tplc="679C4CE2">
      <w:numFmt w:val="bullet"/>
      <w:lvlText w:val="-"/>
      <w:lvlJc w:val="left"/>
      <w:pPr>
        <w:ind w:left="1429" w:hanging="360"/>
      </w:pPr>
      <w:rPr>
        <w:rFonts w:ascii="Arial" w:eastAsia="Calibri" w:hAnsi="Arial" w:cs="Aria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09117C93"/>
    <w:multiLevelType w:val="multilevel"/>
    <w:tmpl w:val="5E9296AE"/>
    <w:lvl w:ilvl="0">
      <w:start w:val="1"/>
      <w:numFmt w:val="none"/>
      <w:lvlText w:val="(a)"/>
      <w:lvlJc w:val="left"/>
      <w:pPr>
        <w:ind w:left="510" w:hanging="150"/>
      </w:pPr>
      <w:rPr>
        <w:rFonts w:ascii="Cambria" w:hAnsi="Cambria" w:hint="default"/>
        <w:sz w:val="22"/>
      </w:rPr>
    </w:lvl>
    <w:lvl w:ilvl="1">
      <w:start w:val="1"/>
      <w:numFmt w:val="lowerLetter"/>
      <w:pStyle w:val="NumberedList1"/>
      <w:lvlText w:val="(%2)"/>
      <w:lvlJc w:val="left"/>
      <w:pPr>
        <w:ind w:left="397" w:firstLine="0"/>
      </w:pPr>
      <w:rPr>
        <w:rFonts w:hint="default"/>
        <w:color w:val="auto"/>
      </w:rPr>
    </w:lvl>
    <w:lvl w:ilvl="2">
      <w:start w:val="1"/>
      <w:numFmt w:val="lowerLetter"/>
      <w:lvlText w:val="%3)"/>
      <w:lvlJc w:val="left"/>
      <w:pPr>
        <w:ind w:left="2685" w:hanging="705"/>
      </w:pPr>
      <w:rPr>
        <w:rFonts w:hint="default"/>
      </w:rPr>
    </w:lvl>
    <w:lvl w:ilvl="3">
      <w:start w:val="15"/>
      <w:numFmt w:val="bullet"/>
      <w:lvlText w:val="•"/>
      <w:lvlJc w:val="left"/>
      <w:pPr>
        <w:ind w:left="3090" w:hanging="570"/>
      </w:pPr>
      <w:rPr>
        <w:rFonts w:ascii="Cambria" w:eastAsiaTheme="minorHAnsi" w:hAnsi="Cambria" w:cstheme="minorHAnsi" w:hint="default"/>
      </w:rPr>
    </w:lvl>
    <w:lvl w:ilvl="4">
      <w:start w:val="1"/>
      <w:numFmt w:val="lowerLetter"/>
      <w:lvlText w:val="%5."/>
      <w:lvlJc w:val="left"/>
      <w:pPr>
        <w:ind w:left="3810" w:hanging="57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C5E238D"/>
    <w:multiLevelType w:val="hybridMultilevel"/>
    <w:tmpl w:val="061A96DA"/>
    <w:lvl w:ilvl="0" w:tplc="040C0001">
      <w:start w:val="1"/>
      <w:numFmt w:val="bullet"/>
      <w:lvlText w:val=""/>
      <w:lvlJc w:val="left"/>
      <w:pPr>
        <w:ind w:left="3600" w:hanging="360"/>
      </w:pPr>
      <w:rPr>
        <w:rFonts w:ascii="Symbol" w:hAnsi="Symbol"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8" w15:restartNumberingAfterBreak="0">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9" w15:restartNumberingAfterBreak="0">
    <w:nsid w:val="0DEA6B1D"/>
    <w:multiLevelType w:val="singleLevel"/>
    <w:tmpl w:val="D5A6E36A"/>
    <w:styleLink w:val="NumericNote"/>
    <w:lvl w:ilvl="0">
      <w:start w:val="1"/>
      <w:numFmt w:val="decimal"/>
      <w:lvlText w:val="%1."/>
      <w:lvlJc w:val="left"/>
      <w:pPr>
        <w:tabs>
          <w:tab w:val="num" w:pos="408"/>
        </w:tabs>
        <w:ind w:left="408" w:hanging="408"/>
      </w:pPr>
    </w:lvl>
  </w:abstractNum>
  <w:abstractNum w:abstractNumId="10" w15:restartNumberingAfterBreak="0">
    <w:nsid w:val="10FA7F52"/>
    <w:multiLevelType w:val="hybridMultilevel"/>
    <w:tmpl w:val="7D2ED8F8"/>
    <w:lvl w:ilvl="0" w:tplc="3752D4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2127231"/>
    <w:multiLevelType w:val="multilevel"/>
    <w:tmpl w:val="00FC1E90"/>
    <w:lvl w:ilvl="0">
      <w:start w:val="1"/>
      <w:numFmt w:val="upperRoman"/>
      <w:pStyle w:val="COEParagraph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COEHeading4"/>
      <w:lvlText w:val="%1.%2.%3.%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2" w15:restartNumberingAfterBreak="0">
    <w:nsid w:val="12FE4AF5"/>
    <w:multiLevelType w:val="singleLevel"/>
    <w:tmpl w:val="B882C7F8"/>
    <w:styleLink w:val="NumberedNote"/>
    <w:lvl w:ilvl="0">
      <w:start w:val="1"/>
      <w:numFmt w:val="decimal"/>
      <w:lvlText w:val="%1."/>
      <w:lvlJc w:val="left"/>
      <w:pPr>
        <w:tabs>
          <w:tab w:val="num" w:pos="171"/>
        </w:tabs>
        <w:ind w:left="171" w:hanging="171"/>
      </w:pPr>
    </w:lvl>
  </w:abstractNum>
  <w:abstractNum w:abstractNumId="13" w15:restartNumberingAfterBreak="0">
    <w:nsid w:val="17DD2C32"/>
    <w:multiLevelType w:val="hybridMultilevel"/>
    <w:tmpl w:val="4DB21C3E"/>
    <w:lvl w:ilvl="0" w:tplc="E1B215F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8924D42"/>
    <w:multiLevelType w:val="singleLevel"/>
    <w:tmpl w:val="665EC318"/>
    <w:lvl w:ilvl="0">
      <w:start w:val="1"/>
      <w:numFmt w:val="decimal"/>
      <w:pStyle w:val="Para"/>
      <w:lvlText w:val="%1."/>
      <w:lvlJc w:val="left"/>
      <w:pPr>
        <w:tabs>
          <w:tab w:val="num" w:pos="0"/>
        </w:tabs>
        <w:ind w:left="0" w:firstLine="0"/>
      </w:pPr>
      <w:rPr>
        <w:rFonts w:ascii="Cambria" w:hAnsi="Cambria" w:hint="default"/>
        <w:b w:val="0"/>
        <w:i w:val="0"/>
        <w:color w:val="auto"/>
        <w:sz w:val="22"/>
        <w:lang w:val="en-GB"/>
      </w:rPr>
    </w:lvl>
  </w:abstractNum>
  <w:abstractNum w:abstractNumId="15" w15:restartNumberingAfterBreak="0">
    <w:nsid w:val="203835AD"/>
    <w:multiLevelType w:val="multilevel"/>
    <w:tmpl w:val="4FDC21F6"/>
    <w:styleLink w:val="1Paragraphlist"/>
    <w:lvl w:ilvl="0">
      <w:start w:val="1"/>
      <w:numFmt w:val="decimal"/>
      <w:lvlText w:val="%1."/>
      <w:lvlJc w:val="left"/>
      <w:pPr>
        <w:ind w:left="0" w:firstLine="0"/>
      </w:pPr>
      <w:rPr>
        <w:rFonts w:ascii="Georgia" w:eastAsiaTheme="minorHAnsi" w:hAnsi="Georgia" w:cstheme="minorBidi"/>
        <w:b w:val="0"/>
        <w:i w:val="0"/>
        <w:color w:val="auto"/>
        <w:sz w:val="20"/>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6" w15:restartNumberingAfterBreak="0">
    <w:nsid w:val="2A5112A4"/>
    <w:multiLevelType w:val="hybridMultilevel"/>
    <w:tmpl w:val="A3E4EBF8"/>
    <w:lvl w:ilvl="0" w:tplc="12E88FD4">
      <w:start w:val="1"/>
      <w:numFmt w:val="decimal"/>
      <w:pStyle w:val="COEHeading5"/>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ACF6F84"/>
    <w:multiLevelType w:val="singleLevel"/>
    <w:tmpl w:val="D51E568A"/>
    <w:name w:val="templateBullet2"/>
    <w:lvl w:ilvl="0">
      <w:start w:val="1"/>
      <w:numFmt w:val="bullet"/>
      <w:lvlText w:val="-"/>
      <w:lvlJc w:val="left"/>
      <w:pPr>
        <w:tabs>
          <w:tab w:val="num" w:pos="1190"/>
        </w:tabs>
        <w:ind w:left="1190" w:hanging="340"/>
      </w:pPr>
      <w:rPr>
        <w:rFonts w:ascii="Symbol" w:hAnsi="Symbol" w:cs="Times New Roman" w:hint="default"/>
        <w:b w:val="0"/>
        <w:i w:val="0"/>
        <w:sz w:val="22"/>
      </w:rPr>
    </w:lvl>
  </w:abstractNum>
  <w:abstractNum w:abstractNumId="18" w15:restartNumberingAfterBreak="0">
    <w:nsid w:val="3030521A"/>
    <w:multiLevelType w:val="hybridMultilevel"/>
    <w:tmpl w:val="8D36E51A"/>
    <w:lvl w:ilvl="0" w:tplc="04090001">
      <w:start w:val="1"/>
      <w:numFmt w:val="bullet"/>
      <w:lvlText w:val=""/>
      <w:lvlJc w:val="left"/>
      <w:pPr>
        <w:tabs>
          <w:tab w:val="num" w:pos="720"/>
        </w:tabs>
        <w:ind w:left="720" w:hanging="360"/>
      </w:pPr>
      <w:rPr>
        <w:rFonts w:ascii="Symbol" w:hAnsi="Symbol" w:hint="default"/>
      </w:rPr>
    </w:lvl>
    <w:lvl w:ilvl="1" w:tplc="92F68026">
      <w:numFmt w:val="bullet"/>
      <w:lvlText w:val="-"/>
      <w:lvlJc w:val="left"/>
      <w:pPr>
        <w:tabs>
          <w:tab w:val="num" w:pos="1440"/>
        </w:tabs>
        <w:ind w:left="1440" w:hanging="360"/>
      </w:pPr>
      <w:rPr>
        <w:rFonts w:ascii="Arial" w:eastAsia="Times New Roman" w:hAnsi="Arial" w:cs="Arial" w:hint="default"/>
      </w:rPr>
    </w:lvl>
    <w:lvl w:ilvl="2" w:tplc="92F68026">
      <w:numFmt w:val="bullet"/>
      <w:lvlText w:val="-"/>
      <w:lvlJc w:val="left"/>
      <w:pPr>
        <w:ind w:left="2340" w:hanging="360"/>
      </w:pPr>
      <w:rPr>
        <w:rFonts w:ascii="Arial" w:eastAsia="Times New Roman" w:hAnsi="Arial" w:cs="Arial"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31041341"/>
    <w:multiLevelType w:val="hybridMultilevel"/>
    <w:tmpl w:val="CB761550"/>
    <w:lvl w:ilvl="0" w:tplc="92F68026">
      <w:numFmt w:val="bullet"/>
      <w:lvlText w:val="-"/>
      <w:lvlJc w:val="left"/>
      <w:pPr>
        <w:tabs>
          <w:tab w:val="num" w:pos="720"/>
        </w:tabs>
        <w:ind w:left="720" w:hanging="360"/>
      </w:pPr>
      <w:rPr>
        <w:rFonts w:ascii="Arial" w:eastAsia="Times New Roman" w:hAnsi="Arial" w:cs="Arial" w:hint="default"/>
      </w:rPr>
    </w:lvl>
    <w:lvl w:ilvl="1" w:tplc="92F68026">
      <w:numFmt w:val="bullet"/>
      <w:lvlText w:val="-"/>
      <w:lvlJc w:val="left"/>
      <w:pPr>
        <w:tabs>
          <w:tab w:val="num" w:pos="1440"/>
        </w:tabs>
        <w:ind w:left="1440" w:hanging="360"/>
      </w:pPr>
      <w:rPr>
        <w:rFonts w:ascii="Arial" w:eastAsia="Times New Roman" w:hAnsi="Arial" w:cs="Arial" w:hint="default"/>
      </w:rPr>
    </w:lvl>
    <w:lvl w:ilvl="2" w:tplc="92F68026">
      <w:numFmt w:val="bullet"/>
      <w:lvlText w:val="-"/>
      <w:lvlJc w:val="left"/>
      <w:pPr>
        <w:ind w:left="2340" w:hanging="360"/>
      </w:pPr>
      <w:rPr>
        <w:rFonts w:ascii="Arial" w:eastAsia="Times New Roman" w:hAnsi="Arial" w:cs="Arial"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381A767A"/>
    <w:multiLevelType w:val="multilevel"/>
    <w:tmpl w:val="1D9EBA40"/>
    <w:lvl w:ilvl="0">
      <w:start w:val="1"/>
      <w:numFmt w:val="decimal"/>
      <w:lvlText w:val="%1."/>
      <w:lvlJc w:val="left"/>
      <w:pPr>
        <w:ind w:left="0" w:firstLine="0"/>
      </w:pPr>
      <w:rPr>
        <w:rFonts w:hint="default"/>
      </w:rPr>
    </w:lvl>
    <w:lvl w:ilvl="1">
      <w:start w:val="1"/>
      <w:numFmt w:val="none"/>
      <w:lvlText w:val="1.1."/>
      <w:lvlJc w:val="left"/>
      <w:pPr>
        <w:ind w:left="0" w:firstLine="360"/>
      </w:pPr>
      <w:rPr>
        <w:rFonts w:ascii="Arial Bold" w:hAnsi="Arial Bold" w:hint="default"/>
        <w:b/>
        <w:i w:val="0"/>
        <w:sz w:val="20"/>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5D0A84"/>
    <w:multiLevelType w:val="multilevel"/>
    <w:tmpl w:val="7F148E5C"/>
    <w:name w:val="templateNumberBox"/>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8518"/>
        </w:tabs>
        <w:ind w:left="8518" w:hanging="360"/>
      </w:pPr>
    </w:lvl>
    <w:lvl w:ilvl="4">
      <w:start w:val="1"/>
      <w:numFmt w:val="lowerLetter"/>
      <w:lvlText w:val="(%5)"/>
      <w:lvlJc w:val="left"/>
      <w:pPr>
        <w:tabs>
          <w:tab w:val="num" w:pos="8878"/>
        </w:tabs>
        <w:ind w:left="8878" w:hanging="360"/>
      </w:pPr>
    </w:lvl>
    <w:lvl w:ilvl="5">
      <w:start w:val="1"/>
      <w:numFmt w:val="lowerRoman"/>
      <w:lvlText w:val="(%6)"/>
      <w:lvlJc w:val="left"/>
      <w:pPr>
        <w:tabs>
          <w:tab w:val="num" w:pos="9238"/>
        </w:tabs>
        <w:ind w:left="9238" w:hanging="360"/>
      </w:pPr>
    </w:lvl>
    <w:lvl w:ilvl="6">
      <w:start w:val="1"/>
      <w:numFmt w:val="decimal"/>
      <w:lvlText w:val="%7."/>
      <w:lvlJc w:val="left"/>
      <w:pPr>
        <w:tabs>
          <w:tab w:val="num" w:pos="9598"/>
        </w:tabs>
        <w:ind w:left="9598" w:hanging="360"/>
      </w:pPr>
    </w:lvl>
    <w:lvl w:ilvl="7">
      <w:start w:val="1"/>
      <w:numFmt w:val="lowerLetter"/>
      <w:lvlText w:val="%8."/>
      <w:lvlJc w:val="left"/>
      <w:pPr>
        <w:tabs>
          <w:tab w:val="num" w:pos="9958"/>
        </w:tabs>
        <w:ind w:left="9958" w:hanging="360"/>
      </w:pPr>
    </w:lvl>
    <w:lvl w:ilvl="8">
      <w:start w:val="1"/>
      <w:numFmt w:val="lowerRoman"/>
      <w:lvlText w:val="%9."/>
      <w:lvlJc w:val="left"/>
      <w:pPr>
        <w:tabs>
          <w:tab w:val="num" w:pos="10318"/>
        </w:tabs>
        <w:ind w:left="10318" w:hanging="360"/>
      </w:pPr>
    </w:lvl>
  </w:abstractNum>
  <w:abstractNum w:abstractNumId="22" w15:restartNumberingAfterBreak="0">
    <w:nsid w:val="39C2745C"/>
    <w:multiLevelType w:val="hybridMultilevel"/>
    <w:tmpl w:val="52EE09A8"/>
    <w:lvl w:ilvl="0" w:tplc="FFFFFFFF">
      <w:start w:val="4"/>
      <w:numFmt w:val="decimal"/>
      <w:pStyle w:val="ParagraphNumberingChar"/>
      <w:lvlText w:val="%1.     "/>
      <w:lvlJc w:val="left"/>
      <w:pPr>
        <w:tabs>
          <w:tab w:val="num" w:pos="851"/>
        </w:tabs>
        <w:ind w:left="0" w:firstLine="0"/>
      </w:pPr>
      <w:rPr>
        <w:rFonts w:ascii="Times New Roman" w:hAnsi="Times New Roman" w:hint="default"/>
        <w:b w:val="0"/>
        <w:i w:val="0"/>
        <w:color w:val="auto"/>
        <w:sz w:val="22"/>
        <w:szCs w:val="22"/>
      </w:rPr>
    </w:lvl>
    <w:lvl w:ilvl="1" w:tplc="FFFFFFFF" w:tentative="1">
      <w:start w:val="1"/>
      <w:numFmt w:val="lowerLetter"/>
      <w:lvlText w:val="%2."/>
      <w:lvlJc w:val="left"/>
      <w:pPr>
        <w:tabs>
          <w:tab w:val="num" w:pos="1233"/>
        </w:tabs>
        <w:ind w:left="1233" w:hanging="360"/>
      </w:pPr>
    </w:lvl>
    <w:lvl w:ilvl="2" w:tplc="FFFFFFFF" w:tentative="1">
      <w:start w:val="1"/>
      <w:numFmt w:val="lowerRoman"/>
      <w:lvlText w:val="%3."/>
      <w:lvlJc w:val="right"/>
      <w:pPr>
        <w:tabs>
          <w:tab w:val="num" w:pos="1953"/>
        </w:tabs>
        <w:ind w:left="1953" w:hanging="180"/>
      </w:pPr>
    </w:lvl>
    <w:lvl w:ilvl="3" w:tplc="FFFFFFFF" w:tentative="1">
      <w:start w:val="1"/>
      <w:numFmt w:val="decimal"/>
      <w:lvlText w:val="%4."/>
      <w:lvlJc w:val="left"/>
      <w:pPr>
        <w:tabs>
          <w:tab w:val="num" w:pos="2673"/>
        </w:tabs>
        <w:ind w:left="2673" w:hanging="360"/>
      </w:pPr>
    </w:lvl>
    <w:lvl w:ilvl="4" w:tplc="FFFFFFFF" w:tentative="1">
      <w:start w:val="1"/>
      <w:numFmt w:val="lowerLetter"/>
      <w:lvlText w:val="%5."/>
      <w:lvlJc w:val="left"/>
      <w:pPr>
        <w:tabs>
          <w:tab w:val="num" w:pos="3393"/>
        </w:tabs>
        <w:ind w:left="3393" w:hanging="360"/>
      </w:pPr>
    </w:lvl>
    <w:lvl w:ilvl="5" w:tplc="FFFFFFFF" w:tentative="1">
      <w:start w:val="1"/>
      <w:numFmt w:val="lowerRoman"/>
      <w:lvlText w:val="%6."/>
      <w:lvlJc w:val="right"/>
      <w:pPr>
        <w:tabs>
          <w:tab w:val="num" w:pos="4113"/>
        </w:tabs>
        <w:ind w:left="4113" w:hanging="180"/>
      </w:pPr>
    </w:lvl>
    <w:lvl w:ilvl="6" w:tplc="FFFFFFFF" w:tentative="1">
      <w:start w:val="1"/>
      <w:numFmt w:val="decimal"/>
      <w:lvlText w:val="%7."/>
      <w:lvlJc w:val="left"/>
      <w:pPr>
        <w:tabs>
          <w:tab w:val="num" w:pos="4833"/>
        </w:tabs>
        <w:ind w:left="4833" w:hanging="360"/>
      </w:pPr>
    </w:lvl>
    <w:lvl w:ilvl="7" w:tplc="FFFFFFFF" w:tentative="1">
      <w:start w:val="1"/>
      <w:numFmt w:val="lowerLetter"/>
      <w:lvlText w:val="%8."/>
      <w:lvlJc w:val="left"/>
      <w:pPr>
        <w:tabs>
          <w:tab w:val="num" w:pos="5553"/>
        </w:tabs>
        <w:ind w:left="5553" w:hanging="360"/>
      </w:pPr>
    </w:lvl>
    <w:lvl w:ilvl="8" w:tplc="FFFFFFFF" w:tentative="1">
      <w:start w:val="1"/>
      <w:numFmt w:val="lowerRoman"/>
      <w:lvlText w:val="%9."/>
      <w:lvlJc w:val="right"/>
      <w:pPr>
        <w:tabs>
          <w:tab w:val="num" w:pos="6273"/>
        </w:tabs>
        <w:ind w:left="6273" w:hanging="180"/>
      </w:pPr>
    </w:lvl>
  </w:abstractNum>
  <w:abstractNum w:abstractNumId="23" w15:restartNumberingAfterBreak="0">
    <w:nsid w:val="3B334FF1"/>
    <w:multiLevelType w:val="hybridMultilevel"/>
    <w:tmpl w:val="2D243D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BC230DE"/>
    <w:multiLevelType w:val="multilevel"/>
    <w:tmpl w:val="F99EB0E0"/>
    <w:name w:val="templateNumber"/>
    <w:lvl w:ilvl="0">
      <w:start w:val="1"/>
      <w:numFmt w:val="decimal"/>
      <w:lvlText w:val="%1."/>
      <w:lvlJc w:val="left"/>
      <w:pPr>
        <w:tabs>
          <w:tab w:val="num" w:pos="850"/>
        </w:tabs>
        <w:ind w:left="850" w:hanging="408"/>
      </w:pPr>
    </w:lvl>
    <w:lvl w:ilvl="1">
      <w:start w:val="1"/>
      <w:numFmt w:val="decimal"/>
      <w:lvlText w:val="%2."/>
      <w:lvlJc w:val="left"/>
      <w:pPr>
        <w:tabs>
          <w:tab w:val="num" w:pos="1191"/>
        </w:tabs>
        <w:ind w:left="1191" w:hanging="341"/>
      </w:pPr>
    </w:lvl>
    <w:lvl w:ilvl="2">
      <w:start w:val="1"/>
      <w:numFmt w:val="decimal"/>
      <w:lvlText w:val="%3."/>
      <w:lvlJc w:val="left"/>
      <w:pPr>
        <w:tabs>
          <w:tab w:val="num" w:pos="1474"/>
        </w:tabs>
        <w:ind w:left="1474" w:hanging="340"/>
      </w:pPr>
    </w:lvl>
    <w:lvl w:ilvl="3">
      <w:start w:val="1"/>
      <w:numFmt w:val="decimal"/>
      <w:lvlText w:val="%4."/>
      <w:lvlJc w:val="left"/>
      <w:pPr>
        <w:tabs>
          <w:tab w:val="num" w:pos="1757"/>
        </w:tabs>
        <w:ind w:left="1757" w:hanging="340"/>
      </w:pPr>
    </w:lvl>
    <w:lvl w:ilvl="4">
      <w:start w:val="1"/>
      <w:numFmt w:val="decimal"/>
      <w:lvlText w:val="%5."/>
      <w:lvlJc w:val="left"/>
      <w:pPr>
        <w:tabs>
          <w:tab w:val="num" w:pos="2041"/>
        </w:tabs>
        <w:ind w:left="2041"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E337798"/>
    <w:multiLevelType w:val="multilevel"/>
    <w:tmpl w:val="9774C276"/>
    <w:lvl w:ilvl="0">
      <w:start w:val="1"/>
      <w:numFmt w:val="decimal"/>
      <w:suff w:val="space"/>
      <w:lvlText w:val="Chapter %1. "/>
      <w:lvlJc w:val="left"/>
      <w:pPr>
        <w:ind w:left="0" w:firstLine="0"/>
      </w:pPr>
      <w:rPr>
        <w:rFonts w:hint="default"/>
      </w:rPr>
    </w:lvl>
    <w:lvl w:ilvl="1">
      <w:start w:val="1"/>
      <w:numFmt w:val="decimal"/>
      <w:pStyle w:val="Para0"/>
      <w:lvlText w:val="%1.%2"/>
      <w:lvlJc w:val="left"/>
      <w:pPr>
        <w:tabs>
          <w:tab w:val="num" w:pos="454"/>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FB7034F"/>
    <w:multiLevelType w:val="hybridMultilevel"/>
    <w:tmpl w:val="F4C84346"/>
    <w:lvl w:ilvl="0" w:tplc="D2D24FF2">
      <w:start w:val="1"/>
      <w:numFmt w:val="bullet"/>
      <w:pStyle w:val="COE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12F6BF5"/>
    <w:multiLevelType w:val="multilevel"/>
    <w:tmpl w:val="0A8AB72C"/>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BC63D3"/>
    <w:multiLevelType w:val="hybridMultilevel"/>
    <w:tmpl w:val="BBBEF048"/>
    <w:lvl w:ilvl="0" w:tplc="EB9A1C5E">
      <w:start w:val="1"/>
      <w:numFmt w:val="decimal"/>
      <w:pStyle w:val="LD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A07041"/>
    <w:multiLevelType w:val="hybridMultilevel"/>
    <w:tmpl w:val="9C76CA90"/>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8BB7503"/>
    <w:multiLevelType w:val="singleLevel"/>
    <w:tmpl w:val="60A0508A"/>
    <w:styleLink w:val="AlphaNote"/>
    <w:lvl w:ilvl="0">
      <w:start w:val="1"/>
      <w:numFmt w:val="lowerLetter"/>
      <w:lvlText w:val="%1."/>
      <w:lvlJc w:val="left"/>
      <w:pPr>
        <w:tabs>
          <w:tab w:val="num" w:pos="408"/>
        </w:tabs>
        <w:ind w:left="408" w:hanging="408"/>
      </w:pPr>
    </w:lvl>
  </w:abstractNum>
  <w:abstractNum w:abstractNumId="31" w15:restartNumberingAfterBreak="0">
    <w:nsid w:val="48EC55A8"/>
    <w:multiLevelType w:val="singleLevel"/>
    <w:tmpl w:val="EBBACA14"/>
    <w:name w:val="templateBullet3"/>
    <w:lvl w:ilvl="0">
      <w:start w:val="1"/>
      <w:numFmt w:val="bullet"/>
      <w:pStyle w:val="ListBullet3"/>
      <w:lvlText w:val="-"/>
      <w:lvlJc w:val="left"/>
      <w:pPr>
        <w:tabs>
          <w:tab w:val="num" w:pos="1474"/>
        </w:tabs>
        <w:ind w:left="1474" w:hanging="340"/>
      </w:pPr>
      <w:rPr>
        <w:rFonts w:ascii="Symbol" w:hAnsi="Symbol" w:cs="Times New Roman" w:hint="default"/>
        <w:b w:val="0"/>
        <w:i w:val="0"/>
        <w:sz w:val="22"/>
      </w:rPr>
    </w:lvl>
  </w:abstractNum>
  <w:abstractNum w:abstractNumId="32" w15:restartNumberingAfterBreak="0">
    <w:nsid w:val="4B827949"/>
    <w:multiLevelType w:val="hybridMultilevel"/>
    <w:tmpl w:val="1D28DC30"/>
    <w:lvl w:ilvl="0" w:tplc="D2D24FF2">
      <w:start w:val="1"/>
      <w:numFmt w:val="bullet"/>
      <w:pStyle w:val="StyleBefore3ptAfter3pt"/>
      <w:lvlText w:val=""/>
      <w:lvlJc w:val="left"/>
      <w:pPr>
        <w:tabs>
          <w:tab w:val="num" w:pos="454"/>
        </w:tabs>
        <w:ind w:left="454" w:hanging="454"/>
      </w:pPr>
      <w:rPr>
        <w:rFonts w:ascii="Symbol" w:hAnsi="Symbol" w:hint="default"/>
      </w:rPr>
    </w:lvl>
    <w:lvl w:ilvl="1" w:tplc="04090003">
      <w:start w:val="1"/>
      <w:numFmt w:val="bullet"/>
      <w:lvlText w:val=""/>
      <w:lvlPicBulletId w:val="0"/>
      <w:lvlJc w:val="left"/>
      <w:pPr>
        <w:tabs>
          <w:tab w:val="num" w:pos="1440"/>
        </w:tabs>
        <w:ind w:left="1440" w:hanging="360"/>
      </w:pPr>
      <w:rPr>
        <w:rFonts w:ascii="Symbol" w:hAnsi="Symbol" w:hint="default"/>
        <w:color w:val="auto"/>
      </w:rPr>
    </w:lvl>
    <w:lvl w:ilvl="2" w:tplc="04090001"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922BCB"/>
    <w:multiLevelType w:val="hybridMultilevel"/>
    <w:tmpl w:val="69600D9C"/>
    <w:lvl w:ilvl="0" w:tplc="CBE6F292">
      <w:start w:val="1"/>
      <w:numFmt w:val="decimal"/>
      <w:pStyle w:val="LDbody"/>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FC165AF"/>
    <w:multiLevelType w:val="hybridMultilevel"/>
    <w:tmpl w:val="996E8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76726A"/>
    <w:multiLevelType w:val="hybridMultilevel"/>
    <w:tmpl w:val="80140844"/>
    <w:lvl w:ilvl="0" w:tplc="4DD6949A">
      <w:start w:val="1"/>
      <w:numFmt w:val="bullet"/>
      <w:pStyle w:val="BulletedList"/>
      <w:lvlText w:val=""/>
      <w:lvlJc w:val="left"/>
      <w:pPr>
        <w:tabs>
          <w:tab w:val="num" w:pos="340"/>
        </w:tabs>
        <w:ind w:left="1361" w:hanging="340"/>
      </w:pPr>
      <w:rPr>
        <w:rFonts w:ascii="Symbol" w:hAnsi="Symbol" w:hint="default"/>
      </w:rPr>
    </w:lvl>
    <w:lvl w:ilvl="1" w:tplc="0254B86C">
      <w:start w:val="1"/>
      <w:numFmt w:val="bullet"/>
      <w:lvlText w:val="o"/>
      <w:lvlJc w:val="left"/>
      <w:pPr>
        <w:tabs>
          <w:tab w:val="num" w:pos="340"/>
        </w:tabs>
        <w:ind w:left="1701" w:hanging="340"/>
      </w:pPr>
      <w:rPr>
        <w:rFonts w:ascii="Courier New" w:hAnsi="Courier New" w:hint="default"/>
      </w:rPr>
    </w:lvl>
    <w:lvl w:ilvl="2" w:tplc="3FCCEC2E">
      <w:start w:val="1"/>
      <w:numFmt w:val="bullet"/>
      <w:lvlText w:val="‒"/>
      <w:lvlJc w:val="left"/>
      <w:pPr>
        <w:tabs>
          <w:tab w:val="num" w:pos="340"/>
        </w:tabs>
        <w:ind w:left="2041" w:hanging="340"/>
      </w:pPr>
      <w:rPr>
        <w:rFonts w:ascii="Calibri" w:hAnsi="Calibri" w:hint="default"/>
      </w:rPr>
    </w:lvl>
    <w:lvl w:ilvl="3" w:tplc="1B2CDE76">
      <w:start w:val="1"/>
      <w:numFmt w:val="bullet"/>
      <w:lvlText w:val="‒"/>
      <w:lvlJc w:val="left"/>
      <w:pPr>
        <w:tabs>
          <w:tab w:val="num" w:pos="340"/>
        </w:tabs>
        <w:ind w:left="2381" w:hanging="340"/>
      </w:pPr>
      <w:rPr>
        <w:rFonts w:ascii="Calibri" w:hAnsi="Calibri" w:hint="default"/>
      </w:rPr>
    </w:lvl>
    <w:lvl w:ilvl="4" w:tplc="EB20ACEC">
      <w:start w:val="1"/>
      <w:numFmt w:val="bullet"/>
      <w:lvlText w:val="‒"/>
      <w:lvlJc w:val="left"/>
      <w:pPr>
        <w:tabs>
          <w:tab w:val="num" w:pos="340"/>
        </w:tabs>
        <w:ind w:left="2722" w:hanging="341"/>
      </w:pPr>
      <w:rPr>
        <w:rFonts w:ascii="Calibri" w:hAnsi="Calibri"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56BE6F79"/>
    <w:multiLevelType w:val="singleLevel"/>
    <w:tmpl w:val="F258D16A"/>
    <w:name w:val="templateBullet4"/>
    <w:lvl w:ilvl="0">
      <w:start w:val="1"/>
      <w:numFmt w:val="bullet"/>
      <w:pStyle w:val="ListBullet4"/>
      <w:lvlText w:val="-"/>
      <w:lvlJc w:val="left"/>
      <w:pPr>
        <w:tabs>
          <w:tab w:val="num" w:pos="1757"/>
        </w:tabs>
        <w:ind w:left="1757" w:hanging="340"/>
      </w:pPr>
      <w:rPr>
        <w:rFonts w:ascii="Symbol" w:hAnsi="Symbol" w:cs="Times New Roman" w:hint="default"/>
        <w:b w:val="0"/>
        <w:i w:val="0"/>
        <w:sz w:val="22"/>
      </w:rPr>
    </w:lvl>
  </w:abstractNum>
  <w:abstractNum w:abstractNumId="37" w15:restartNumberingAfterBreak="0">
    <w:nsid w:val="5BD419CC"/>
    <w:multiLevelType w:val="hybridMultilevel"/>
    <w:tmpl w:val="BD564242"/>
    <w:lvl w:ilvl="0" w:tplc="04090003">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8E0CA3"/>
    <w:multiLevelType w:val="singleLevel"/>
    <w:tmpl w:val="BCFCA2DE"/>
    <w:name w:val="templateBullet5"/>
    <w:lvl w:ilvl="0">
      <w:start w:val="1"/>
      <w:numFmt w:val="bullet"/>
      <w:pStyle w:val="ListBullet5"/>
      <w:lvlText w:val="-"/>
      <w:lvlJc w:val="left"/>
      <w:pPr>
        <w:tabs>
          <w:tab w:val="num" w:pos="2041"/>
        </w:tabs>
        <w:ind w:left="2041" w:hanging="340"/>
      </w:pPr>
      <w:rPr>
        <w:rFonts w:ascii="Symbol" w:hAnsi="Symbol" w:cs="Times New Roman" w:hint="default"/>
        <w:b w:val="0"/>
        <w:i w:val="0"/>
        <w:sz w:val="22"/>
      </w:rPr>
    </w:lvl>
  </w:abstractNum>
  <w:abstractNum w:abstractNumId="39" w15:restartNumberingAfterBreak="0">
    <w:nsid w:val="5D0B2605"/>
    <w:multiLevelType w:val="hybridMultilevel"/>
    <w:tmpl w:val="9CF290EA"/>
    <w:lvl w:ilvl="0" w:tplc="0A628F6E">
      <w:start w:val="1"/>
      <w:numFmt w:val="bullet"/>
      <w:pStyle w:val="Puce1"/>
      <w:lvlText w:val=""/>
      <w:lvlJc w:val="left"/>
      <w:pPr>
        <w:ind w:left="2764" w:hanging="360"/>
      </w:pPr>
      <w:rPr>
        <w:rFonts w:ascii="Wingdings" w:hAnsi="Wingdings" w:hint="default"/>
        <w:color w:val="348093"/>
      </w:rPr>
    </w:lvl>
    <w:lvl w:ilvl="1" w:tplc="040C0003">
      <w:start w:val="1"/>
      <w:numFmt w:val="bullet"/>
      <w:lvlText w:val="o"/>
      <w:lvlJc w:val="left"/>
      <w:pPr>
        <w:ind w:left="3484" w:hanging="360"/>
      </w:pPr>
      <w:rPr>
        <w:rFonts w:ascii="Courier New" w:hAnsi="Courier New" w:cs="Courier New" w:hint="default"/>
      </w:rPr>
    </w:lvl>
    <w:lvl w:ilvl="2" w:tplc="040C0005">
      <w:start w:val="1"/>
      <w:numFmt w:val="bullet"/>
      <w:lvlText w:val=""/>
      <w:lvlJc w:val="left"/>
      <w:pPr>
        <w:ind w:left="4204" w:hanging="360"/>
      </w:pPr>
      <w:rPr>
        <w:rFonts w:ascii="Wingdings" w:hAnsi="Wingdings" w:hint="default"/>
      </w:rPr>
    </w:lvl>
    <w:lvl w:ilvl="3" w:tplc="040C0001">
      <w:start w:val="1"/>
      <w:numFmt w:val="bullet"/>
      <w:lvlText w:val=""/>
      <w:lvlJc w:val="left"/>
      <w:pPr>
        <w:ind w:left="4924" w:hanging="360"/>
      </w:pPr>
      <w:rPr>
        <w:rFonts w:ascii="Symbol" w:hAnsi="Symbol" w:hint="default"/>
      </w:rPr>
    </w:lvl>
    <w:lvl w:ilvl="4" w:tplc="040C0003">
      <w:start w:val="1"/>
      <w:numFmt w:val="bullet"/>
      <w:lvlText w:val="o"/>
      <w:lvlJc w:val="left"/>
      <w:pPr>
        <w:ind w:left="5644" w:hanging="360"/>
      </w:pPr>
      <w:rPr>
        <w:rFonts w:ascii="Courier New" w:hAnsi="Courier New" w:cs="Courier New" w:hint="default"/>
      </w:rPr>
    </w:lvl>
    <w:lvl w:ilvl="5" w:tplc="040C0005">
      <w:start w:val="1"/>
      <w:numFmt w:val="bullet"/>
      <w:lvlText w:val=""/>
      <w:lvlJc w:val="left"/>
      <w:pPr>
        <w:ind w:left="6364" w:hanging="360"/>
      </w:pPr>
      <w:rPr>
        <w:rFonts w:ascii="Wingdings" w:hAnsi="Wingdings" w:hint="default"/>
      </w:rPr>
    </w:lvl>
    <w:lvl w:ilvl="6" w:tplc="040C0001">
      <w:start w:val="1"/>
      <w:numFmt w:val="bullet"/>
      <w:lvlText w:val=""/>
      <w:lvlJc w:val="left"/>
      <w:pPr>
        <w:ind w:left="7084" w:hanging="360"/>
      </w:pPr>
      <w:rPr>
        <w:rFonts w:ascii="Symbol" w:hAnsi="Symbol" w:hint="default"/>
      </w:rPr>
    </w:lvl>
    <w:lvl w:ilvl="7" w:tplc="040C0003">
      <w:start w:val="1"/>
      <w:numFmt w:val="bullet"/>
      <w:lvlText w:val="o"/>
      <w:lvlJc w:val="left"/>
      <w:pPr>
        <w:ind w:left="7804" w:hanging="360"/>
      </w:pPr>
      <w:rPr>
        <w:rFonts w:ascii="Courier New" w:hAnsi="Courier New" w:cs="Courier New" w:hint="default"/>
      </w:rPr>
    </w:lvl>
    <w:lvl w:ilvl="8" w:tplc="040C0005">
      <w:start w:val="1"/>
      <w:numFmt w:val="bullet"/>
      <w:lvlText w:val=""/>
      <w:lvlJc w:val="left"/>
      <w:pPr>
        <w:ind w:left="8524" w:hanging="360"/>
      </w:pPr>
      <w:rPr>
        <w:rFonts w:ascii="Wingdings" w:hAnsi="Wingdings" w:hint="default"/>
      </w:rPr>
    </w:lvl>
  </w:abstractNum>
  <w:abstractNum w:abstractNumId="40" w15:restartNumberingAfterBreak="0">
    <w:nsid w:val="63B73AAB"/>
    <w:multiLevelType w:val="hybridMultilevel"/>
    <w:tmpl w:val="143A3B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7E33770"/>
    <w:multiLevelType w:val="hybridMultilevel"/>
    <w:tmpl w:val="DEF266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E411348"/>
    <w:multiLevelType w:val="hybridMultilevel"/>
    <w:tmpl w:val="C620594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3" w15:restartNumberingAfterBreak="0">
    <w:nsid w:val="6F3472A2"/>
    <w:multiLevelType w:val="multilevel"/>
    <w:tmpl w:val="90488F38"/>
    <w:lvl w:ilvl="0">
      <w:start w:val="1"/>
      <w:numFmt w:val="decimal"/>
      <w:pStyle w:val="LD-Para"/>
      <w:lvlText w:val="%1."/>
      <w:lvlJc w:val="left"/>
      <w:pPr>
        <w:ind w:left="360" w:hanging="360"/>
      </w:pPr>
      <w:rPr>
        <w:b w:val="0"/>
        <w:i w:val="0"/>
        <w:color w:val="auto"/>
      </w:rPr>
    </w:lvl>
    <w:lvl w:ilvl="1">
      <w:start w:val="3"/>
      <w:numFmt w:val="decimal"/>
      <w:lvlText w:val="%1.%2"/>
      <w:lvlJc w:val="left"/>
      <w:pPr>
        <w:ind w:left="1095" w:hanging="375"/>
      </w:pPr>
      <w:rPr>
        <w:b/>
        <w:i w:val="0"/>
      </w:rPr>
    </w:lvl>
    <w:lvl w:ilvl="2">
      <w:start w:val="1"/>
      <w:numFmt w:val="decimal"/>
      <w:lvlText w:val="%1.%2.%3"/>
      <w:lvlJc w:val="left"/>
      <w:pPr>
        <w:ind w:left="2160" w:hanging="720"/>
      </w:pPr>
      <w:rPr>
        <w:b/>
        <w:i w:val="0"/>
      </w:rPr>
    </w:lvl>
    <w:lvl w:ilvl="3">
      <w:start w:val="1"/>
      <w:numFmt w:val="decimal"/>
      <w:lvlText w:val="%1.%2.%3.%4"/>
      <w:lvlJc w:val="left"/>
      <w:pPr>
        <w:ind w:left="2880" w:hanging="720"/>
      </w:pPr>
      <w:rPr>
        <w:b/>
        <w:i w:val="0"/>
      </w:rPr>
    </w:lvl>
    <w:lvl w:ilvl="4">
      <w:start w:val="1"/>
      <w:numFmt w:val="decimal"/>
      <w:lvlText w:val="%1.%2.%3.%4.%5"/>
      <w:lvlJc w:val="left"/>
      <w:pPr>
        <w:ind w:left="3960" w:hanging="1080"/>
      </w:pPr>
      <w:rPr>
        <w:b/>
        <w:i w:val="0"/>
      </w:rPr>
    </w:lvl>
    <w:lvl w:ilvl="5">
      <w:start w:val="1"/>
      <w:numFmt w:val="decimal"/>
      <w:lvlText w:val="%1.%2.%3.%4.%5.%6"/>
      <w:lvlJc w:val="left"/>
      <w:pPr>
        <w:ind w:left="4680" w:hanging="1080"/>
      </w:pPr>
      <w:rPr>
        <w:b/>
        <w:i w:val="0"/>
      </w:rPr>
    </w:lvl>
    <w:lvl w:ilvl="6">
      <w:start w:val="1"/>
      <w:numFmt w:val="decimal"/>
      <w:lvlText w:val="%1.%2.%3.%4.%5.%6.%7"/>
      <w:lvlJc w:val="left"/>
      <w:pPr>
        <w:ind w:left="5760" w:hanging="1440"/>
      </w:pPr>
      <w:rPr>
        <w:b/>
        <w:i w:val="0"/>
      </w:rPr>
    </w:lvl>
    <w:lvl w:ilvl="7">
      <w:start w:val="1"/>
      <w:numFmt w:val="decimal"/>
      <w:lvlText w:val="%1.%2.%3.%4.%5.%6.%7.%8"/>
      <w:lvlJc w:val="left"/>
      <w:pPr>
        <w:ind w:left="6480" w:hanging="1440"/>
      </w:pPr>
      <w:rPr>
        <w:b/>
        <w:i w:val="0"/>
      </w:rPr>
    </w:lvl>
    <w:lvl w:ilvl="8">
      <w:start w:val="1"/>
      <w:numFmt w:val="decimal"/>
      <w:lvlText w:val="%1.%2.%3.%4.%5.%6.%7.%8.%9"/>
      <w:lvlJc w:val="left"/>
      <w:pPr>
        <w:ind w:left="7560" w:hanging="1800"/>
      </w:pPr>
      <w:rPr>
        <w:b/>
        <w:i w:val="0"/>
      </w:rPr>
    </w:lvl>
  </w:abstractNum>
  <w:abstractNum w:abstractNumId="44" w15:restartNumberingAfterBreak="0">
    <w:nsid w:val="75D666C8"/>
    <w:multiLevelType w:val="hybridMultilevel"/>
    <w:tmpl w:val="0D7817F0"/>
    <w:lvl w:ilvl="0" w:tplc="628287D2">
      <w:start w:val="1"/>
      <w:numFmt w:val="bullet"/>
      <w:pStyle w:val="GroupHeading"/>
      <w:lvlText w:val="►"/>
      <w:lvlJc w:val="left"/>
      <w:pPr>
        <w:ind w:left="357" w:hanging="357"/>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6A5377"/>
    <w:multiLevelType w:val="hybridMultilevel"/>
    <w:tmpl w:val="9086C7B4"/>
    <w:lvl w:ilvl="0" w:tplc="92F680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0E4682"/>
    <w:multiLevelType w:val="hybridMultilevel"/>
    <w:tmpl w:val="E62A8F60"/>
    <w:lvl w:ilvl="0" w:tplc="B712C256">
      <w:start w:val="1"/>
      <w:numFmt w:val="decimal"/>
      <w:pStyle w:val="Paragraphedeliste1"/>
      <w:lvlText w:val="%1."/>
      <w:lvlJc w:val="left"/>
      <w:pPr>
        <w:ind w:left="1287" w:hanging="360"/>
      </w:pPr>
      <w:rPr>
        <w:i w:val="0"/>
      </w:rPr>
    </w:lvl>
    <w:lvl w:ilvl="1" w:tplc="08090019" w:tentative="1">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354624701">
    <w:abstractNumId w:val="26"/>
  </w:num>
  <w:num w:numId="2" w16cid:durableId="1445422190">
    <w:abstractNumId w:val="11"/>
  </w:num>
  <w:num w:numId="3" w16cid:durableId="1215119243">
    <w:abstractNumId w:val="16"/>
  </w:num>
  <w:num w:numId="4" w16cid:durableId="1197432326">
    <w:abstractNumId w:val="32"/>
  </w:num>
  <w:num w:numId="5" w16cid:durableId="1896234225">
    <w:abstractNumId w:val="1"/>
  </w:num>
  <w:num w:numId="6" w16cid:durableId="1649170749">
    <w:abstractNumId w:val="0"/>
  </w:num>
  <w:num w:numId="7" w16cid:durableId="138311023">
    <w:abstractNumId w:val="22"/>
  </w:num>
  <w:num w:numId="8" w16cid:durableId="771976151">
    <w:abstractNumId w:val="33"/>
  </w:num>
  <w:num w:numId="9" w16cid:durableId="1309554525">
    <w:abstractNumId w:val="28"/>
  </w:num>
  <w:num w:numId="10" w16cid:durableId="2139832580">
    <w:abstractNumId w:val="46"/>
  </w:num>
  <w:num w:numId="11" w16cid:durableId="1129280771">
    <w:abstractNumId w:val="12"/>
  </w:num>
  <w:num w:numId="12" w16cid:durableId="193810665">
    <w:abstractNumId w:val="8"/>
  </w:num>
  <w:num w:numId="13" w16cid:durableId="905382205">
    <w:abstractNumId w:val="9"/>
  </w:num>
  <w:num w:numId="14" w16cid:durableId="2074041110">
    <w:abstractNumId w:val="30"/>
  </w:num>
  <w:num w:numId="15" w16cid:durableId="2041709082">
    <w:abstractNumId w:val="3"/>
  </w:num>
  <w:num w:numId="16" w16cid:durableId="2024088422">
    <w:abstractNumId w:val="31"/>
  </w:num>
  <w:num w:numId="17" w16cid:durableId="1997611061">
    <w:abstractNumId w:val="36"/>
  </w:num>
  <w:num w:numId="18" w16cid:durableId="2069571116">
    <w:abstractNumId w:val="38"/>
  </w:num>
  <w:num w:numId="19" w16cid:durableId="1385832656">
    <w:abstractNumId w:val="15"/>
  </w:num>
  <w:num w:numId="20" w16cid:durableId="420611100">
    <w:abstractNumId w:val="14"/>
  </w:num>
  <w:num w:numId="21" w16cid:durableId="2126195129">
    <w:abstractNumId w:val="25"/>
  </w:num>
  <w:num w:numId="22" w16cid:durableId="274872403">
    <w:abstractNumId w:val="44"/>
  </w:num>
  <w:num w:numId="23" w16cid:durableId="1907836049">
    <w:abstractNumId w:val="35"/>
  </w:num>
  <w:num w:numId="24" w16cid:durableId="1228808049">
    <w:abstractNumId w:val="39"/>
  </w:num>
  <w:num w:numId="25" w16cid:durableId="15612844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4922447">
    <w:abstractNumId w:val="6"/>
  </w:num>
  <w:num w:numId="27" w16cid:durableId="2081712500">
    <w:abstractNumId w:val="18"/>
  </w:num>
  <w:num w:numId="28" w16cid:durableId="898974654">
    <w:abstractNumId w:val="19"/>
  </w:num>
  <w:num w:numId="29" w16cid:durableId="908081514">
    <w:abstractNumId w:val="42"/>
  </w:num>
  <w:num w:numId="30" w16cid:durableId="1326592203">
    <w:abstractNumId w:val="37"/>
  </w:num>
  <w:num w:numId="31" w16cid:durableId="224415650">
    <w:abstractNumId w:val="4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2634418">
    <w:abstractNumId w:val="45"/>
  </w:num>
  <w:num w:numId="33" w16cid:durableId="31149003">
    <w:abstractNumId w:val="34"/>
  </w:num>
  <w:num w:numId="34" w16cid:durableId="1375690296">
    <w:abstractNumId w:val="4"/>
    <w:lvlOverride w:ilvl="0">
      <w:startOverride w:val="1"/>
    </w:lvlOverride>
    <w:lvlOverride w:ilvl="1"/>
    <w:lvlOverride w:ilvl="2"/>
    <w:lvlOverride w:ilvl="3"/>
    <w:lvlOverride w:ilvl="4"/>
    <w:lvlOverride w:ilvl="5"/>
    <w:lvlOverride w:ilvl="6"/>
    <w:lvlOverride w:ilvl="7"/>
    <w:lvlOverride w:ilvl="8"/>
  </w:num>
  <w:num w:numId="35" w16cid:durableId="1689477494">
    <w:abstractNumId w:val="5"/>
  </w:num>
  <w:num w:numId="36" w16cid:durableId="95448718">
    <w:abstractNumId w:val="23"/>
  </w:num>
  <w:num w:numId="37" w16cid:durableId="1027873969">
    <w:abstractNumId w:val="27"/>
  </w:num>
  <w:num w:numId="38" w16cid:durableId="36663708">
    <w:abstractNumId w:val="20"/>
  </w:num>
  <w:num w:numId="39" w16cid:durableId="155464715">
    <w:abstractNumId w:val="4"/>
  </w:num>
  <w:num w:numId="40" w16cid:durableId="728384033">
    <w:abstractNumId w:val="41"/>
  </w:num>
  <w:num w:numId="41" w16cid:durableId="1124033281">
    <w:abstractNumId w:val="7"/>
  </w:num>
  <w:num w:numId="42" w16cid:durableId="104275396">
    <w:abstractNumId w:val="40"/>
  </w:num>
  <w:num w:numId="43" w16cid:durableId="512063627">
    <w:abstractNumId w:val="13"/>
  </w:num>
  <w:num w:numId="44" w16cid:durableId="1861580831">
    <w:abstractNumId w:val="10"/>
  </w:num>
  <w:num w:numId="45" w16cid:durableId="454834089">
    <w:abstractNumId w:val="2"/>
  </w:num>
  <w:num w:numId="46" w16cid:durableId="1251041147">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BA7"/>
    <w:rsid w:val="0000717A"/>
    <w:rsid w:val="0001238D"/>
    <w:rsid w:val="0001496F"/>
    <w:rsid w:val="00022501"/>
    <w:rsid w:val="000307E9"/>
    <w:rsid w:val="00030995"/>
    <w:rsid w:val="00031F42"/>
    <w:rsid w:val="00035FDF"/>
    <w:rsid w:val="00071EA7"/>
    <w:rsid w:val="00072CBD"/>
    <w:rsid w:val="0008234F"/>
    <w:rsid w:val="00082CEE"/>
    <w:rsid w:val="000913C2"/>
    <w:rsid w:val="00092C06"/>
    <w:rsid w:val="000A1889"/>
    <w:rsid w:val="000A307B"/>
    <w:rsid w:val="000A330F"/>
    <w:rsid w:val="000B3C38"/>
    <w:rsid w:val="000B601D"/>
    <w:rsid w:val="000C26ED"/>
    <w:rsid w:val="000C489B"/>
    <w:rsid w:val="000C52A6"/>
    <w:rsid w:val="000C5B9D"/>
    <w:rsid w:val="000D4785"/>
    <w:rsid w:val="000E50A4"/>
    <w:rsid w:val="000F4CF2"/>
    <w:rsid w:val="000F58C3"/>
    <w:rsid w:val="000F5ADA"/>
    <w:rsid w:val="000F74EB"/>
    <w:rsid w:val="00106141"/>
    <w:rsid w:val="00107B58"/>
    <w:rsid w:val="00110729"/>
    <w:rsid w:val="00113EB0"/>
    <w:rsid w:val="00123CDD"/>
    <w:rsid w:val="00125781"/>
    <w:rsid w:val="00134D9A"/>
    <w:rsid w:val="00135BDB"/>
    <w:rsid w:val="00136FD9"/>
    <w:rsid w:val="00137BCE"/>
    <w:rsid w:val="001407AD"/>
    <w:rsid w:val="00140FC8"/>
    <w:rsid w:val="0014266D"/>
    <w:rsid w:val="0014565D"/>
    <w:rsid w:val="00147EF4"/>
    <w:rsid w:val="00153BB3"/>
    <w:rsid w:val="00154234"/>
    <w:rsid w:val="00156DC1"/>
    <w:rsid w:val="00157DE1"/>
    <w:rsid w:val="00160B03"/>
    <w:rsid w:val="00163947"/>
    <w:rsid w:val="00171115"/>
    <w:rsid w:val="00181414"/>
    <w:rsid w:val="00181ED9"/>
    <w:rsid w:val="0018309A"/>
    <w:rsid w:val="00186095"/>
    <w:rsid w:val="0018757E"/>
    <w:rsid w:val="00187F0A"/>
    <w:rsid w:val="001A6076"/>
    <w:rsid w:val="001B19B8"/>
    <w:rsid w:val="001B2FAB"/>
    <w:rsid w:val="001B3156"/>
    <w:rsid w:val="001B5936"/>
    <w:rsid w:val="001B7E0B"/>
    <w:rsid w:val="001C0ECC"/>
    <w:rsid w:val="001D011D"/>
    <w:rsid w:val="001D6686"/>
    <w:rsid w:val="001D6B4B"/>
    <w:rsid w:val="001D7B68"/>
    <w:rsid w:val="001E2D7E"/>
    <w:rsid w:val="001E7C29"/>
    <w:rsid w:val="001E7D1F"/>
    <w:rsid w:val="001F297D"/>
    <w:rsid w:val="001F36B5"/>
    <w:rsid w:val="001F473F"/>
    <w:rsid w:val="001F4F04"/>
    <w:rsid w:val="001F65FF"/>
    <w:rsid w:val="00201940"/>
    <w:rsid w:val="00205C94"/>
    <w:rsid w:val="00214121"/>
    <w:rsid w:val="00214299"/>
    <w:rsid w:val="002250DD"/>
    <w:rsid w:val="00227EB4"/>
    <w:rsid w:val="00230F99"/>
    <w:rsid w:val="00233725"/>
    <w:rsid w:val="0023437D"/>
    <w:rsid w:val="00234771"/>
    <w:rsid w:val="00241965"/>
    <w:rsid w:val="00242284"/>
    <w:rsid w:val="00242ABB"/>
    <w:rsid w:val="00247D4A"/>
    <w:rsid w:val="00251353"/>
    <w:rsid w:val="00252447"/>
    <w:rsid w:val="00262B36"/>
    <w:rsid w:val="00262FE9"/>
    <w:rsid w:val="00265917"/>
    <w:rsid w:val="002660DB"/>
    <w:rsid w:val="002739D0"/>
    <w:rsid w:val="00277C14"/>
    <w:rsid w:val="00280CFA"/>
    <w:rsid w:val="002861FB"/>
    <w:rsid w:val="00293EE6"/>
    <w:rsid w:val="00295C81"/>
    <w:rsid w:val="002A1591"/>
    <w:rsid w:val="002A6779"/>
    <w:rsid w:val="002B475B"/>
    <w:rsid w:val="002B4E7D"/>
    <w:rsid w:val="002C0872"/>
    <w:rsid w:val="002C20BA"/>
    <w:rsid w:val="002C43B5"/>
    <w:rsid w:val="002C4704"/>
    <w:rsid w:val="002C70F0"/>
    <w:rsid w:val="002D04AA"/>
    <w:rsid w:val="002D0655"/>
    <w:rsid w:val="002D11B8"/>
    <w:rsid w:val="002E2F90"/>
    <w:rsid w:val="002E4089"/>
    <w:rsid w:val="002E4455"/>
    <w:rsid w:val="002F3006"/>
    <w:rsid w:val="002F3359"/>
    <w:rsid w:val="002F405C"/>
    <w:rsid w:val="002F5F50"/>
    <w:rsid w:val="002F6BB7"/>
    <w:rsid w:val="00303712"/>
    <w:rsid w:val="0031373B"/>
    <w:rsid w:val="00316207"/>
    <w:rsid w:val="00322994"/>
    <w:rsid w:val="0032620A"/>
    <w:rsid w:val="00326E4E"/>
    <w:rsid w:val="00330786"/>
    <w:rsid w:val="003354C4"/>
    <w:rsid w:val="00335CAF"/>
    <w:rsid w:val="003364D1"/>
    <w:rsid w:val="00344B93"/>
    <w:rsid w:val="0035129B"/>
    <w:rsid w:val="003524AE"/>
    <w:rsid w:val="0036280B"/>
    <w:rsid w:val="003654E4"/>
    <w:rsid w:val="0037200F"/>
    <w:rsid w:val="00373957"/>
    <w:rsid w:val="00381C50"/>
    <w:rsid w:val="00383A20"/>
    <w:rsid w:val="00385587"/>
    <w:rsid w:val="00391766"/>
    <w:rsid w:val="00392D1D"/>
    <w:rsid w:val="00394957"/>
    <w:rsid w:val="0039661D"/>
    <w:rsid w:val="003A120C"/>
    <w:rsid w:val="003A5046"/>
    <w:rsid w:val="003A5509"/>
    <w:rsid w:val="003A55B5"/>
    <w:rsid w:val="003B2C8C"/>
    <w:rsid w:val="003B345B"/>
    <w:rsid w:val="003B54A6"/>
    <w:rsid w:val="003C2584"/>
    <w:rsid w:val="003C36C8"/>
    <w:rsid w:val="003C5B8F"/>
    <w:rsid w:val="003D0BC2"/>
    <w:rsid w:val="003D3038"/>
    <w:rsid w:val="003D3B17"/>
    <w:rsid w:val="003D48AE"/>
    <w:rsid w:val="003D6AC2"/>
    <w:rsid w:val="003E1A44"/>
    <w:rsid w:val="003F2B88"/>
    <w:rsid w:val="003F3A70"/>
    <w:rsid w:val="003F3D4B"/>
    <w:rsid w:val="003F4509"/>
    <w:rsid w:val="0040027C"/>
    <w:rsid w:val="00400868"/>
    <w:rsid w:val="004256CB"/>
    <w:rsid w:val="004329B7"/>
    <w:rsid w:val="004356CC"/>
    <w:rsid w:val="00440DE9"/>
    <w:rsid w:val="00443709"/>
    <w:rsid w:val="004471E8"/>
    <w:rsid w:val="00447D22"/>
    <w:rsid w:val="004553F6"/>
    <w:rsid w:val="00467CDD"/>
    <w:rsid w:val="00471DBC"/>
    <w:rsid w:val="00472E64"/>
    <w:rsid w:val="00474020"/>
    <w:rsid w:val="00480D8B"/>
    <w:rsid w:val="0048755B"/>
    <w:rsid w:val="0048758A"/>
    <w:rsid w:val="004A37E1"/>
    <w:rsid w:val="004A56BF"/>
    <w:rsid w:val="004A63D4"/>
    <w:rsid w:val="004B25BB"/>
    <w:rsid w:val="004C0C2F"/>
    <w:rsid w:val="004C11B3"/>
    <w:rsid w:val="004C7EF8"/>
    <w:rsid w:val="004D20DD"/>
    <w:rsid w:val="004D5F3C"/>
    <w:rsid w:val="004D663C"/>
    <w:rsid w:val="004E01B0"/>
    <w:rsid w:val="004E7C4F"/>
    <w:rsid w:val="004E7DB7"/>
    <w:rsid w:val="004F6FC2"/>
    <w:rsid w:val="0050115D"/>
    <w:rsid w:val="00501A17"/>
    <w:rsid w:val="005037AC"/>
    <w:rsid w:val="00503E8C"/>
    <w:rsid w:val="0051595F"/>
    <w:rsid w:val="005166D5"/>
    <w:rsid w:val="00537726"/>
    <w:rsid w:val="0054041B"/>
    <w:rsid w:val="005425DE"/>
    <w:rsid w:val="0054637D"/>
    <w:rsid w:val="00550B6C"/>
    <w:rsid w:val="005579BB"/>
    <w:rsid w:val="00560DF0"/>
    <w:rsid w:val="00565570"/>
    <w:rsid w:val="00571998"/>
    <w:rsid w:val="005745B6"/>
    <w:rsid w:val="00574663"/>
    <w:rsid w:val="005821FB"/>
    <w:rsid w:val="005844FD"/>
    <w:rsid w:val="005A142F"/>
    <w:rsid w:val="005A1594"/>
    <w:rsid w:val="005B1FA1"/>
    <w:rsid w:val="005B3604"/>
    <w:rsid w:val="005B3C93"/>
    <w:rsid w:val="005C2F97"/>
    <w:rsid w:val="005C3C4A"/>
    <w:rsid w:val="005C73BB"/>
    <w:rsid w:val="005D0792"/>
    <w:rsid w:val="005D084D"/>
    <w:rsid w:val="005D7CDF"/>
    <w:rsid w:val="005E47E5"/>
    <w:rsid w:val="005F093B"/>
    <w:rsid w:val="005F3DC6"/>
    <w:rsid w:val="006008BE"/>
    <w:rsid w:val="006040B2"/>
    <w:rsid w:val="006065A4"/>
    <w:rsid w:val="00614982"/>
    <w:rsid w:val="00620799"/>
    <w:rsid w:val="00622CE0"/>
    <w:rsid w:val="006240AD"/>
    <w:rsid w:val="00626030"/>
    <w:rsid w:val="00626277"/>
    <w:rsid w:val="00631491"/>
    <w:rsid w:val="0063723C"/>
    <w:rsid w:val="00641CCF"/>
    <w:rsid w:val="00643231"/>
    <w:rsid w:val="00643C3F"/>
    <w:rsid w:val="00644AD3"/>
    <w:rsid w:val="006455FA"/>
    <w:rsid w:val="00660638"/>
    <w:rsid w:val="0066578D"/>
    <w:rsid w:val="00671684"/>
    <w:rsid w:val="00671EA2"/>
    <w:rsid w:val="00675DE7"/>
    <w:rsid w:val="006827E4"/>
    <w:rsid w:val="00684E25"/>
    <w:rsid w:val="00686F5D"/>
    <w:rsid w:val="006908C5"/>
    <w:rsid w:val="006970A4"/>
    <w:rsid w:val="006B2486"/>
    <w:rsid w:val="006B2E26"/>
    <w:rsid w:val="006B4EC8"/>
    <w:rsid w:val="006B7501"/>
    <w:rsid w:val="006C364A"/>
    <w:rsid w:val="006D14F9"/>
    <w:rsid w:val="006E54F2"/>
    <w:rsid w:val="006E7463"/>
    <w:rsid w:val="006F0318"/>
    <w:rsid w:val="006F2C77"/>
    <w:rsid w:val="006F5883"/>
    <w:rsid w:val="006F6B48"/>
    <w:rsid w:val="00702309"/>
    <w:rsid w:val="007102DE"/>
    <w:rsid w:val="00712E65"/>
    <w:rsid w:val="007150DE"/>
    <w:rsid w:val="0072141F"/>
    <w:rsid w:val="00721866"/>
    <w:rsid w:val="00727044"/>
    <w:rsid w:val="00735569"/>
    <w:rsid w:val="0073561D"/>
    <w:rsid w:val="0074051E"/>
    <w:rsid w:val="00744408"/>
    <w:rsid w:val="007541C7"/>
    <w:rsid w:val="00761627"/>
    <w:rsid w:val="00766613"/>
    <w:rsid w:val="00773CFE"/>
    <w:rsid w:val="007802B2"/>
    <w:rsid w:val="00781657"/>
    <w:rsid w:val="00792EEF"/>
    <w:rsid w:val="00793889"/>
    <w:rsid w:val="00795A34"/>
    <w:rsid w:val="007A08B3"/>
    <w:rsid w:val="007A15BB"/>
    <w:rsid w:val="007A543D"/>
    <w:rsid w:val="007B3DD0"/>
    <w:rsid w:val="007C0AD1"/>
    <w:rsid w:val="007D5162"/>
    <w:rsid w:val="007D7A2B"/>
    <w:rsid w:val="007D7B20"/>
    <w:rsid w:val="007E168C"/>
    <w:rsid w:val="007E49E1"/>
    <w:rsid w:val="007F3283"/>
    <w:rsid w:val="007F48A9"/>
    <w:rsid w:val="007F7059"/>
    <w:rsid w:val="007F7C76"/>
    <w:rsid w:val="00800A19"/>
    <w:rsid w:val="0080188F"/>
    <w:rsid w:val="008042E6"/>
    <w:rsid w:val="00805F04"/>
    <w:rsid w:val="00806D9D"/>
    <w:rsid w:val="00810D5A"/>
    <w:rsid w:val="00814AA2"/>
    <w:rsid w:val="00816B16"/>
    <w:rsid w:val="00822AC9"/>
    <w:rsid w:val="0082394F"/>
    <w:rsid w:val="00830172"/>
    <w:rsid w:val="00835A01"/>
    <w:rsid w:val="00836B02"/>
    <w:rsid w:val="00845321"/>
    <w:rsid w:val="00845451"/>
    <w:rsid w:val="00851CE4"/>
    <w:rsid w:val="008523BC"/>
    <w:rsid w:val="00853C90"/>
    <w:rsid w:val="008541D4"/>
    <w:rsid w:val="00855571"/>
    <w:rsid w:val="008565D0"/>
    <w:rsid w:val="008575F2"/>
    <w:rsid w:val="00857F73"/>
    <w:rsid w:val="0087380A"/>
    <w:rsid w:val="008756A7"/>
    <w:rsid w:val="00877B33"/>
    <w:rsid w:val="00877E5C"/>
    <w:rsid w:val="008852F2"/>
    <w:rsid w:val="008B07D4"/>
    <w:rsid w:val="008B7D7A"/>
    <w:rsid w:val="008C12CC"/>
    <w:rsid w:val="008D469C"/>
    <w:rsid w:val="008F0371"/>
    <w:rsid w:val="008F3910"/>
    <w:rsid w:val="0091293A"/>
    <w:rsid w:val="00916BF5"/>
    <w:rsid w:val="009215B8"/>
    <w:rsid w:val="00923554"/>
    <w:rsid w:val="009270C4"/>
    <w:rsid w:val="00933DF9"/>
    <w:rsid w:val="00940F14"/>
    <w:rsid w:val="009432D0"/>
    <w:rsid w:val="009501D9"/>
    <w:rsid w:val="0095038C"/>
    <w:rsid w:val="00950D67"/>
    <w:rsid w:val="009527D7"/>
    <w:rsid w:val="00955512"/>
    <w:rsid w:val="00963962"/>
    <w:rsid w:val="009679C3"/>
    <w:rsid w:val="0097349F"/>
    <w:rsid w:val="00974C41"/>
    <w:rsid w:val="009772AC"/>
    <w:rsid w:val="00977380"/>
    <w:rsid w:val="00991FD2"/>
    <w:rsid w:val="00993B4E"/>
    <w:rsid w:val="009A1F9A"/>
    <w:rsid w:val="009B3AB7"/>
    <w:rsid w:val="009B58DD"/>
    <w:rsid w:val="009B70A0"/>
    <w:rsid w:val="009C5258"/>
    <w:rsid w:val="009C759A"/>
    <w:rsid w:val="009D28F3"/>
    <w:rsid w:val="009D72C0"/>
    <w:rsid w:val="009E3C3C"/>
    <w:rsid w:val="009E42AA"/>
    <w:rsid w:val="009E6142"/>
    <w:rsid w:val="009E6BB1"/>
    <w:rsid w:val="009F2071"/>
    <w:rsid w:val="009F3F6B"/>
    <w:rsid w:val="00A02F00"/>
    <w:rsid w:val="00A12DEC"/>
    <w:rsid w:val="00A22D53"/>
    <w:rsid w:val="00A26D01"/>
    <w:rsid w:val="00A272F6"/>
    <w:rsid w:val="00A35D65"/>
    <w:rsid w:val="00A37214"/>
    <w:rsid w:val="00A4625A"/>
    <w:rsid w:val="00A474E5"/>
    <w:rsid w:val="00A50AF6"/>
    <w:rsid w:val="00A65B8B"/>
    <w:rsid w:val="00A74E02"/>
    <w:rsid w:val="00A77BA6"/>
    <w:rsid w:val="00A77EB8"/>
    <w:rsid w:val="00A823C1"/>
    <w:rsid w:val="00A82E51"/>
    <w:rsid w:val="00A840ED"/>
    <w:rsid w:val="00A842D4"/>
    <w:rsid w:val="00A93736"/>
    <w:rsid w:val="00A93CA3"/>
    <w:rsid w:val="00A9755B"/>
    <w:rsid w:val="00AA260B"/>
    <w:rsid w:val="00AA56A7"/>
    <w:rsid w:val="00AB25B8"/>
    <w:rsid w:val="00AB2726"/>
    <w:rsid w:val="00AB6552"/>
    <w:rsid w:val="00AB67F8"/>
    <w:rsid w:val="00AB7727"/>
    <w:rsid w:val="00AC415D"/>
    <w:rsid w:val="00AC4BA7"/>
    <w:rsid w:val="00AC73AA"/>
    <w:rsid w:val="00AE76B8"/>
    <w:rsid w:val="00AF0CB6"/>
    <w:rsid w:val="00AF6E2B"/>
    <w:rsid w:val="00AF7023"/>
    <w:rsid w:val="00B055EE"/>
    <w:rsid w:val="00B06133"/>
    <w:rsid w:val="00B069FB"/>
    <w:rsid w:val="00B07005"/>
    <w:rsid w:val="00B129D8"/>
    <w:rsid w:val="00B227AE"/>
    <w:rsid w:val="00B303E8"/>
    <w:rsid w:val="00B33588"/>
    <w:rsid w:val="00B37BCF"/>
    <w:rsid w:val="00B41B03"/>
    <w:rsid w:val="00B41EC3"/>
    <w:rsid w:val="00B45AD2"/>
    <w:rsid w:val="00B54D8E"/>
    <w:rsid w:val="00B57AF1"/>
    <w:rsid w:val="00B60D77"/>
    <w:rsid w:val="00B63F08"/>
    <w:rsid w:val="00B64AE2"/>
    <w:rsid w:val="00B76132"/>
    <w:rsid w:val="00B81966"/>
    <w:rsid w:val="00B81BAC"/>
    <w:rsid w:val="00B849E0"/>
    <w:rsid w:val="00B90246"/>
    <w:rsid w:val="00B920E4"/>
    <w:rsid w:val="00BA071E"/>
    <w:rsid w:val="00BA79A3"/>
    <w:rsid w:val="00BB0C33"/>
    <w:rsid w:val="00BB3335"/>
    <w:rsid w:val="00BB7DCE"/>
    <w:rsid w:val="00BC0773"/>
    <w:rsid w:val="00BC25F6"/>
    <w:rsid w:val="00BC6FCB"/>
    <w:rsid w:val="00BD25C0"/>
    <w:rsid w:val="00BD7C2A"/>
    <w:rsid w:val="00C049EE"/>
    <w:rsid w:val="00C109FD"/>
    <w:rsid w:val="00C118DA"/>
    <w:rsid w:val="00C12668"/>
    <w:rsid w:val="00C1364B"/>
    <w:rsid w:val="00C14C2C"/>
    <w:rsid w:val="00C21BE0"/>
    <w:rsid w:val="00C36CF5"/>
    <w:rsid w:val="00C409C2"/>
    <w:rsid w:val="00C43E5E"/>
    <w:rsid w:val="00C52F18"/>
    <w:rsid w:val="00C53A5E"/>
    <w:rsid w:val="00C54F8C"/>
    <w:rsid w:val="00C56DEA"/>
    <w:rsid w:val="00C71F19"/>
    <w:rsid w:val="00C732F6"/>
    <w:rsid w:val="00C74775"/>
    <w:rsid w:val="00C74E6F"/>
    <w:rsid w:val="00C76476"/>
    <w:rsid w:val="00C8348A"/>
    <w:rsid w:val="00C92E41"/>
    <w:rsid w:val="00C92F89"/>
    <w:rsid w:val="00C92FCA"/>
    <w:rsid w:val="00C9598D"/>
    <w:rsid w:val="00CA70F6"/>
    <w:rsid w:val="00CA7DC8"/>
    <w:rsid w:val="00CB1566"/>
    <w:rsid w:val="00CB3465"/>
    <w:rsid w:val="00CC39DC"/>
    <w:rsid w:val="00CD346B"/>
    <w:rsid w:val="00CE1FF8"/>
    <w:rsid w:val="00CE4890"/>
    <w:rsid w:val="00CE6CBE"/>
    <w:rsid w:val="00CE6FD2"/>
    <w:rsid w:val="00CF3F92"/>
    <w:rsid w:val="00D0182E"/>
    <w:rsid w:val="00D0265B"/>
    <w:rsid w:val="00D17BFF"/>
    <w:rsid w:val="00D2467F"/>
    <w:rsid w:val="00D24A57"/>
    <w:rsid w:val="00D3049F"/>
    <w:rsid w:val="00D325A8"/>
    <w:rsid w:val="00D407BC"/>
    <w:rsid w:val="00D41C91"/>
    <w:rsid w:val="00D44387"/>
    <w:rsid w:val="00D462CE"/>
    <w:rsid w:val="00D5058B"/>
    <w:rsid w:val="00D53526"/>
    <w:rsid w:val="00D53843"/>
    <w:rsid w:val="00D53C66"/>
    <w:rsid w:val="00D554E6"/>
    <w:rsid w:val="00D579D4"/>
    <w:rsid w:val="00D70628"/>
    <w:rsid w:val="00D75961"/>
    <w:rsid w:val="00D8086F"/>
    <w:rsid w:val="00D8728E"/>
    <w:rsid w:val="00DA309F"/>
    <w:rsid w:val="00DA7643"/>
    <w:rsid w:val="00DB029C"/>
    <w:rsid w:val="00DB13AA"/>
    <w:rsid w:val="00DB50CE"/>
    <w:rsid w:val="00DB6526"/>
    <w:rsid w:val="00DC162E"/>
    <w:rsid w:val="00DC4774"/>
    <w:rsid w:val="00DC4A39"/>
    <w:rsid w:val="00DC64B3"/>
    <w:rsid w:val="00DD0B75"/>
    <w:rsid w:val="00DD3150"/>
    <w:rsid w:val="00DD3D76"/>
    <w:rsid w:val="00DE0A21"/>
    <w:rsid w:val="00DE2AC8"/>
    <w:rsid w:val="00DE401A"/>
    <w:rsid w:val="00DE4586"/>
    <w:rsid w:val="00DE6370"/>
    <w:rsid w:val="00DE6B0B"/>
    <w:rsid w:val="00DF5CD6"/>
    <w:rsid w:val="00DF6796"/>
    <w:rsid w:val="00E0341E"/>
    <w:rsid w:val="00E125C6"/>
    <w:rsid w:val="00E150B3"/>
    <w:rsid w:val="00E15639"/>
    <w:rsid w:val="00E173B5"/>
    <w:rsid w:val="00E174B8"/>
    <w:rsid w:val="00E24C57"/>
    <w:rsid w:val="00E31A3E"/>
    <w:rsid w:val="00E34DE0"/>
    <w:rsid w:val="00E368E0"/>
    <w:rsid w:val="00E457C3"/>
    <w:rsid w:val="00E45CFD"/>
    <w:rsid w:val="00E475F9"/>
    <w:rsid w:val="00E50881"/>
    <w:rsid w:val="00E50974"/>
    <w:rsid w:val="00E51C76"/>
    <w:rsid w:val="00E534FB"/>
    <w:rsid w:val="00E54322"/>
    <w:rsid w:val="00E549C3"/>
    <w:rsid w:val="00E572BA"/>
    <w:rsid w:val="00E635A1"/>
    <w:rsid w:val="00E73BD4"/>
    <w:rsid w:val="00E82063"/>
    <w:rsid w:val="00E86611"/>
    <w:rsid w:val="00E9408D"/>
    <w:rsid w:val="00E940BF"/>
    <w:rsid w:val="00EA643A"/>
    <w:rsid w:val="00EA7B7F"/>
    <w:rsid w:val="00EB0A8F"/>
    <w:rsid w:val="00EB1C7F"/>
    <w:rsid w:val="00EC2F9A"/>
    <w:rsid w:val="00ED6452"/>
    <w:rsid w:val="00EE34E3"/>
    <w:rsid w:val="00EE5C37"/>
    <w:rsid w:val="00EE6EA5"/>
    <w:rsid w:val="00F01885"/>
    <w:rsid w:val="00F14837"/>
    <w:rsid w:val="00F168A4"/>
    <w:rsid w:val="00F22A10"/>
    <w:rsid w:val="00F2380B"/>
    <w:rsid w:val="00F2440B"/>
    <w:rsid w:val="00F24713"/>
    <w:rsid w:val="00F27948"/>
    <w:rsid w:val="00F27D87"/>
    <w:rsid w:val="00F35690"/>
    <w:rsid w:val="00F40699"/>
    <w:rsid w:val="00F40B21"/>
    <w:rsid w:val="00F40EC3"/>
    <w:rsid w:val="00F412EA"/>
    <w:rsid w:val="00F433D6"/>
    <w:rsid w:val="00F439D8"/>
    <w:rsid w:val="00F61D34"/>
    <w:rsid w:val="00F76BBD"/>
    <w:rsid w:val="00F96689"/>
    <w:rsid w:val="00FA5D5D"/>
    <w:rsid w:val="00FA5DA8"/>
    <w:rsid w:val="00FB4EAB"/>
    <w:rsid w:val="00FB6C23"/>
    <w:rsid w:val="00FC2E59"/>
    <w:rsid w:val="00FD5260"/>
    <w:rsid w:val="00FD6043"/>
    <w:rsid w:val="00FE0529"/>
    <w:rsid w:val="00FE6BC3"/>
    <w:rsid w:val="00FF04EF"/>
    <w:rsid w:val="00FF2641"/>
    <w:rsid w:val="00FF274C"/>
    <w:rsid w:val="00FF3BAB"/>
    <w:rsid w:val="00FF662D"/>
    <w:rsid w:val="00FF6E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03031"/>
  <w15:docId w15:val="{437A14A0-C2E9-4646-8B40-20AA57C65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F58C3"/>
    <w:rPr>
      <w:rFonts w:ascii="Arial" w:hAnsi="Arial"/>
      <w:szCs w:val="22"/>
      <w:lang w:eastAsia="en-US"/>
    </w:rPr>
  </w:style>
  <w:style w:type="paragraph" w:styleId="Heading1">
    <w:name w:val="heading 1"/>
    <w:aliases w:val="Main Section"/>
    <w:basedOn w:val="Normal"/>
    <w:next w:val="Normal"/>
    <w:link w:val="Heading1Char"/>
    <w:qFormat/>
    <w:rsid w:val="00A9755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A9755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eading 3 Char1,Heading 3 Char Char"/>
    <w:basedOn w:val="Normal"/>
    <w:next w:val="Normal"/>
    <w:link w:val="Heading3Char"/>
    <w:unhideWhenUsed/>
    <w:qFormat/>
    <w:rsid w:val="00A9755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A9755B"/>
    <w:pPr>
      <w:keepNext/>
      <w:spacing w:before="240" w:after="60"/>
      <w:outlineLvl w:val="3"/>
    </w:pPr>
    <w:rPr>
      <w:rFonts w:ascii="Times New Roman" w:eastAsia="Times New Roman" w:hAnsi="Times New Roman"/>
      <w:b/>
      <w:bCs/>
      <w:sz w:val="28"/>
      <w:szCs w:val="28"/>
      <w:lang w:val="fr-FR" w:eastAsia="fr-FR"/>
    </w:rPr>
  </w:style>
  <w:style w:type="paragraph" w:styleId="Heading5">
    <w:name w:val="heading 5"/>
    <w:basedOn w:val="Normal"/>
    <w:link w:val="Heading5Char"/>
    <w:qFormat/>
    <w:rsid w:val="00A9755B"/>
    <w:pPr>
      <w:spacing w:before="100" w:beforeAutospacing="1" w:after="100" w:afterAutospacing="1"/>
      <w:outlineLvl w:val="4"/>
    </w:pPr>
    <w:rPr>
      <w:rFonts w:eastAsia="Times New Roman"/>
      <w:szCs w:val="20"/>
      <w:lang w:val="en-US"/>
    </w:rPr>
  </w:style>
  <w:style w:type="paragraph" w:styleId="Heading6">
    <w:name w:val="heading 6"/>
    <w:aliases w:val="Part"/>
    <w:basedOn w:val="Normal"/>
    <w:next w:val="Normal"/>
    <w:link w:val="Heading6Char"/>
    <w:qFormat/>
    <w:rsid w:val="00A9755B"/>
    <w:pPr>
      <w:spacing w:before="240" w:after="60"/>
      <w:outlineLvl w:val="5"/>
    </w:pPr>
    <w:rPr>
      <w:rFonts w:ascii="Times New Roman" w:eastAsia="Times New Roman" w:hAnsi="Times New Roman"/>
      <w:b/>
      <w:bCs/>
      <w:sz w:val="22"/>
      <w:lang w:val="fr-FR" w:eastAsia="fr-FR"/>
    </w:rPr>
  </w:style>
  <w:style w:type="paragraph" w:styleId="Heading7">
    <w:name w:val="heading 7"/>
    <w:aliases w:val="Doc AnnX"/>
    <w:basedOn w:val="Normal"/>
    <w:next w:val="Normal"/>
    <w:link w:val="Heading7Char"/>
    <w:qFormat/>
    <w:rsid w:val="00A9755B"/>
    <w:pPr>
      <w:spacing w:before="240" w:after="60"/>
      <w:outlineLvl w:val="6"/>
    </w:pPr>
    <w:rPr>
      <w:rFonts w:ascii="Times New Roman" w:eastAsia="Times New Roman" w:hAnsi="Times New Roman"/>
      <w:sz w:val="24"/>
      <w:szCs w:val="24"/>
      <w:lang w:val="fr-FR" w:eastAsia="fr-FR"/>
    </w:rPr>
  </w:style>
  <w:style w:type="paragraph" w:styleId="Heading8">
    <w:name w:val="heading 8"/>
    <w:aliases w:val="Part AnnX"/>
    <w:basedOn w:val="Normal"/>
    <w:next w:val="Normal"/>
    <w:link w:val="Heading8Char"/>
    <w:qFormat/>
    <w:rsid w:val="00A9755B"/>
    <w:pPr>
      <w:spacing w:before="240" w:after="60"/>
      <w:outlineLvl w:val="7"/>
    </w:pPr>
    <w:rPr>
      <w:rFonts w:ascii="Times New Roman" w:eastAsia="Times New Roman" w:hAnsi="Times New Roman"/>
      <w:i/>
      <w:iCs/>
      <w:sz w:val="24"/>
      <w:szCs w:val="24"/>
      <w:lang w:val="fr-FR" w:eastAsia="fr-FR"/>
    </w:rPr>
  </w:style>
  <w:style w:type="paragraph" w:styleId="Heading9">
    <w:name w:val="heading 9"/>
    <w:aliases w:val="Chap AnnX"/>
    <w:basedOn w:val="Normal"/>
    <w:next w:val="Normal"/>
    <w:link w:val="Heading9Char"/>
    <w:qFormat/>
    <w:rsid w:val="00A9755B"/>
    <w:pPr>
      <w:spacing w:before="240" w:after="60"/>
      <w:outlineLvl w:val="8"/>
    </w:pPr>
    <w:rPr>
      <w:rFonts w:eastAsia="Times New Roman" w:cs="Arial"/>
      <w:sz w:val="2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31491"/>
    <w:pPr>
      <w:tabs>
        <w:tab w:val="center" w:pos="4820"/>
        <w:tab w:val="right" w:pos="9639"/>
      </w:tabs>
    </w:pPr>
    <w:rPr>
      <w:sz w:val="18"/>
    </w:rPr>
  </w:style>
  <w:style w:type="character" w:customStyle="1" w:styleId="HeaderChar">
    <w:name w:val="Header Char"/>
    <w:link w:val="Header"/>
    <w:rsid w:val="00631491"/>
    <w:rPr>
      <w:rFonts w:ascii="Arial" w:hAnsi="Arial"/>
      <w:sz w:val="18"/>
      <w:szCs w:val="22"/>
      <w:lang w:eastAsia="en-US"/>
    </w:rPr>
  </w:style>
  <w:style w:type="paragraph" w:styleId="Footer">
    <w:name w:val="footer"/>
    <w:basedOn w:val="Normal"/>
    <w:link w:val="FooterChar"/>
    <w:unhideWhenUsed/>
    <w:rsid w:val="00FD6043"/>
    <w:pPr>
      <w:tabs>
        <w:tab w:val="center" w:pos="4513"/>
        <w:tab w:val="right" w:pos="9026"/>
      </w:tabs>
    </w:pPr>
  </w:style>
  <w:style w:type="character" w:customStyle="1" w:styleId="FooterChar">
    <w:name w:val="Footer Char"/>
    <w:basedOn w:val="DefaultParagraphFont"/>
    <w:link w:val="Footer"/>
    <w:rsid w:val="00FD6043"/>
  </w:style>
  <w:style w:type="paragraph" w:styleId="BalloonText">
    <w:name w:val="Balloon Text"/>
    <w:basedOn w:val="Normal"/>
    <w:link w:val="BalloonTextChar"/>
    <w:unhideWhenUsed/>
    <w:rsid w:val="00FD6043"/>
    <w:rPr>
      <w:rFonts w:ascii="Tahoma" w:hAnsi="Tahoma" w:cs="Tahoma"/>
      <w:sz w:val="16"/>
      <w:szCs w:val="16"/>
    </w:rPr>
  </w:style>
  <w:style w:type="character" w:customStyle="1" w:styleId="BalloonTextChar">
    <w:name w:val="Balloon Text Char"/>
    <w:link w:val="BalloonText"/>
    <w:rsid w:val="00FD6043"/>
    <w:rPr>
      <w:rFonts w:ascii="Tahoma" w:hAnsi="Tahoma" w:cs="Tahoma"/>
      <w:sz w:val="16"/>
      <w:szCs w:val="16"/>
    </w:rPr>
  </w:style>
  <w:style w:type="table" w:styleId="TableGrid">
    <w:name w:val="Table Grid"/>
    <w:aliases w:val="Szegély nélküli"/>
    <w:basedOn w:val="TableNormal"/>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nhideWhenUsed/>
    <w:rsid w:val="00E24C57"/>
  </w:style>
  <w:style w:type="character" w:styleId="CommentReference">
    <w:name w:val="annotation reference"/>
    <w:unhideWhenUsed/>
    <w:rsid w:val="002250DD"/>
    <w:rPr>
      <w:sz w:val="18"/>
      <w:szCs w:val="18"/>
    </w:rPr>
  </w:style>
  <w:style w:type="paragraph" w:styleId="CommentText">
    <w:name w:val="annotation text"/>
    <w:basedOn w:val="Normal"/>
    <w:link w:val="CommentTextChar"/>
    <w:unhideWhenUsed/>
    <w:rsid w:val="002250DD"/>
    <w:rPr>
      <w:sz w:val="24"/>
      <w:szCs w:val="24"/>
    </w:rPr>
  </w:style>
  <w:style w:type="character" w:customStyle="1" w:styleId="CommentTextChar">
    <w:name w:val="Comment Text Char"/>
    <w:link w:val="CommentText"/>
    <w:rsid w:val="002250DD"/>
    <w:rPr>
      <w:sz w:val="24"/>
      <w:szCs w:val="24"/>
    </w:rPr>
  </w:style>
  <w:style w:type="paragraph" w:styleId="CommentSubject">
    <w:name w:val="annotation subject"/>
    <w:basedOn w:val="CommentText"/>
    <w:next w:val="CommentText"/>
    <w:link w:val="CommentSubjectChar"/>
    <w:unhideWhenUsed/>
    <w:rsid w:val="002250DD"/>
    <w:rPr>
      <w:b/>
      <w:bCs/>
      <w:sz w:val="20"/>
      <w:szCs w:val="20"/>
    </w:rPr>
  </w:style>
  <w:style w:type="character" w:customStyle="1" w:styleId="CommentSubjectChar">
    <w:name w:val="Comment Subject Char"/>
    <w:link w:val="CommentSubject"/>
    <w:rsid w:val="002250DD"/>
    <w:rPr>
      <w:b/>
      <w:bCs/>
      <w:sz w:val="20"/>
      <w:szCs w:val="20"/>
    </w:rPr>
  </w:style>
  <w:style w:type="paragraph" w:styleId="FootnoteText">
    <w:name w:val="footnote text"/>
    <w:aliases w:val="Footnote Text Char1,Footnote Text Char Char,Footnote Text Char1 Char Char,Footnote Text Char Char Char Char,Footnote Text Char2 Char Char Char Char Char,Footnote Text Char1 Char Char Char Char Char Char,n,Footnote Text Char2,ft,fn,f,Footno"/>
    <w:basedOn w:val="Normal"/>
    <w:link w:val="FootnoteTextChar"/>
    <w:unhideWhenUsed/>
    <w:qFormat/>
    <w:rsid w:val="009C5258"/>
    <w:rPr>
      <w:sz w:val="16"/>
      <w:szCs w:val="20"/>
    </w:rPr>
  </w:style>
  <w:style w:type="character" w:customStyle="1" w:styleId="FootnoteTextChar">
    <w:name w:val="Footnote Text Char"/>
    <w:aliases w:val="Footnote Text Char1 Char,Footnote Text Char Char Char,Footnote Text Char1 Char Char Char,Footnote Text Char Char Char Char Char,Footnote Text Char2 Char Char Char Char Char Char,Footnote Text Char1 Char Char Char Char Char Char Char"/>
    <w:link w:val="FootnoteText"/>
    <w:qFormat/>
    <w:rsid w:val="009C5258"/>
    <w:rPr>
      <w:rFonts w:ascii="Arial" w:hAnsi="Arial"/>
      <w:sz w:val="16"/>
      <w:lang w:val="fr-FR" w:eastAsia="en-US"/>
    </w:rPr>
  </w:style>
  <w:style w:type="character" w:styleId="FootnoteReference">
    <w:name w:val="footnote reference"/>
    <w:aliases w:val="Footnote Reference Char Car Char Char Car Char Car Char Car Char Car Char Char Car Car Char Char Char Char Char Car Char,fr,stylish,BVI fnr,ftref,Footnote Reference-BSA-AML,Ref. de nota al pie,Footnote Reference Number,o"/>
    <w:link w:val="FootnoteReferenceCharCarCharCharCarCharCarCharCarCharCarCharCharCarCarCharCharCharCharCharCar"/>
    <w:unhideWhenUsed/>
    <w:qFormat/>
    <w:rsid w:val="00853C90"/>
    <w:rPr>
      <w:vertAlign w:val="superscript"/>
    </w:rPr>
  </w:style>
  <w:style w:type="paragraph" w:styleId="ListParagraph">
    <w:name w:val="List Paragraph"/>
    <w:aliases w:val="TOC style,lp1,Bullet OSM,Proposal Bullet List,Dot pt,No Spacing1,List Paragraph Char Char Char,Indicator Text,Numbered Para 1,List Paragraph à moi,Welt L Char,Welt L,Bullet List,FooterText,numbered,列出段落,列出段落1,lista_2"/>
    <w:basedOn w:val="Normal"/>
    <w:link w:val="ListParagraphChar"/>
    <w:uiPriority w:val="34"/>
    <w:qFormat/>
    <w:rsid w:val="00792EEF"/>
    <w:pPr>
      <w:ind w:left="720"/>
      <w:contextualSpacing/>
    </w:pPr>
  </w:style>
  <w:style w:type="character" w:styleId="UnresolvedMention">
    <w:name w:val="Unresolved Mention"/>
    <w:basedOn w:val="DefaultParagraphFont"/>
    <w:uiPriority w:val="99"/>
    <w:semiHidden/>
    <w:unhideWhenUsed/>
    <w:rsid w:val="00C1364B"/>
    <w:rPr>
      <w:color w:val="605E5C"/>
      <w:shd w:val="clear" w:color="auto" w:fill="E1DFDD"/>
    </w:rPr>
  </w:style>
  <w:style w:type="paragraph" w:customStyle="1" w:styleId="CMSpace">
    <w:name w:val="CM_Space"/>
    <w:basedOn w:val="Normal"/>
    <w:qFormat/>
    <w:rsid w:val="00A9755B"/>
    <w:rPr>
      <w:rFonts w:eastAsia="Times New Roman"/>
      <w:szCs w:val="24"/>
      <w:lang w:eastAsia="fr-FR"/>
    </w:rPr>
  </w:style>
  <w:style w:type="paragraph" w:styleId="TOC2">
    <w:name w:val="toc 2"/>
    <w:basedOn w:val="Normal"/>
    <w:next w:val="Normal"/>
    <w:autoRedefine/>
    <w:uiPriority w:val="39"/>
    <w:qFormat/>
    <w:rsid w:val="006E54F2"/>
    <w:pPr>
      <w:tabs>
        <w:tab w:val="left" w:pos="400"/>
        <w:tab w:val="right" w:pos="9628"/>
      </w:tabs>
    </w:pPr>
    <w:rPr>
      <w:rFonts w:asciiTheme="minorHAnsi" w:eastAsia="Times New Roman" w:hAnsiTheme="minorHAnsi"/>
      <w:b/>
      <w:bCs/>
      <w:noProof/>
      <w:szCs w:val="20"/>
      <w:lang w:val="fr-FR" w:eastAsia="fr-FR"/>
    </w:rPr>
  </w:style>
  <w:style w:type="paragraph" w:styleId="TOC3">
    <w:name w:val="toc 3"/>
    <w:basedOn w:val="Normal"/>
    <w:next w:val="Normal"/>
    <w:autoRedefine/>
    <w:uiPriority w:val="39"/>
    <w:qFormat/>
    <w:rsid w:val="00A9755B"/>
    <w:pPr>
      <w:ind w:left="200"/>
    </w:pPr>
    <w:rPr>
      <w:rFonts w:asciiTheme="minorHAnsi" w:eastAsia="Times New Roman" w:hAnsiTheme="minorHAnsi"/>
      <w:szCs w:val="20"/>
      <w:lang w:val="fr-FR" w:eastAsia="fr-FR"/>
    </w:rPr>
  </w:style>
  <w:style w:type="paragraph" w:customStyle="1" w:styleId="Default">
    <w:name w:val="Default"/>
    <w:link w:val="DefaultChar"/>
    <w:rsid w:val="00A9755B"/>
    <w:pPr>
      <w:autoSpaceDE w:val="0"/>
      <w:autoSpaceDN w:val="0"/>
      <w:adjustRightInd w:val="0"/>
    </w:pPr>
    <w:rPr>
      <w:rFonts w:ascii="Arial" w:eastAsia="Times New Roman" w:hAnsi="Arial" w:cs="Arial"/>
      <w:color w:val="000000"/>
      <w:sz w:val="24"/>
      <w:szCs w:val="24"/>
      <w:lang w:eastAsia="en-US"/>
    </w:rPr>
  </w:style>
  <w:style w:type="paragraph" w:customStyle="1" w:styleId="Heading10">
    <w:name w:val="Heading1"/>
    <w:basedOn w:val="Normal"/>
    <w:link w:val="Heading1Char0"/>
    <w:qFormat/>
    <w:rsid w:val="00A9755B"/>
    <w:pPr>
      <w:keepNext/>
      <w:widowControl w:val="0"/>
      <w:spacing w:after="120"/>
      <w:ind w:right="284"/>
      <w:jc w:val="both"/>
      <w:outlineLvl w:val="1"/>
    </w:pPr>
    <w:rPr>
      <w:rFonts w:eastAsia="Times New Roman" w:cs="Arial"/>
      <w:b/>
      <w:bCs/>
      <w:caps/>
      <w:color w:val="17365D"/>
      <w:w w:val="105"/>
      <w:kern w:val="28"/>
      <w:sz w:val="24"/>
      <w:szCs w:val="20"/>
      <w:lang w:eastAsia="zh-CN"/>
    </w:rPr>
  </w:style>
  <w:style w:type="character" w:customStyle="1" w:styleId="Heading1Char0">
    <w:name w:val="Heading1 Char"/>
    <w:link w:val="Heading10"/>
    <w:rsid w:val="00A9755B"/>
    <w:rPr>
      <w:rFonts w:ascii="Arial" w:eastAsia="Times New Roman" w:hAnsi="Arial" w:cs="Arial"/>
      <w:b/>
      <w:bCs/>
      <w:caps/>
      <w:color w:val="17365D"/>
      <w:w w:val="105"/>
      <w:kern w:val="28"/>
      <w:sz w:val="24"/>
      <w:lang w:eastAsia="zh-CN"/>
    </w:rPr>
  </w:style>
  <w:style w:type="character" w:customStyle="1" w:styleId="Heading1Char">
    <w:name w:val="Heading 1 Char"/>
    <w:aliases w:val="Main Section Char"/>
    <w:basedOn w:val="DefaultParagraphFont"/>
    <w:link w:val="Heading1"/>
    <w:rsid w:val="00A9755B"/>
    <w:rPr>
      <w:rFonts w:asciiTheme="majorHAnsi" w:eastAsiaTheme="majorEastAsia" w:hAnsiTheme="majorHAnsi" w:cstheme="majorBidi"/>
      <w:color w:val="365F91" w:themeColor="accent1" w:themeShade="BF"/>
      <w:sz w:val="32"/>
      <w:szCs w:val="32"/>
      <w:lang w:eastAsia="en-US"/>
    </w:rPr>
  </w:style>
  <w:style w:type="paragraph" w:styleId="TOCHeading">
    <w:name w:val="TOC Heading"/>
    <w:basedOn w:val="Heading1"/>
    <w:next w:val="Normal"/>
    <w:uiPriority w:val="39"/>
    <w:unhideWhenUsed/>
    <w:qFormat/>
    <w:rsid w:val="00A9755B"/>
    <w:pPr>
      <w:spacing w:before="480" w:line="276" w:lineRule="auto"/>
      <w:outlineLvl w:val="9"/>
    </w:pPr>
    <w:rPr>
      <w:b/>
      <w:bCs/>
      <w:sz w:val="28"/>
      <w:szCs w:val="28"/>
      <w:lang w:val="en-US" w:eastAsia="ja-JP"/>
    </w:rPr>
  </w:style>
  <w:style w:type="table" w:styleId="TableGrid2">
    <w:name w:val="Table Grid 2"/>
    <w:basedOn w:val="TableNormal"/>
    <w:rsid w:val="00A9755B"/>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Heading2Char">
    <w:name w:val="Heading 2 Char"/>
    <w:basedOn w:val="DefaultParagraphFont"/>
    <w:link w:val="Heading2"/>
    <w:rsid w:val="00A9755B"/>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aliases w:val="Heading 3 Char1 Char,Heading 3 Char Char Char"/>
    <w:basedOn w:val="DefaultParagraphFont"/>
    <w:link w:val="Heading3"/>
    <w:rsid w:val="00A9755B"/>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rsid w:val="00A9755B"/>
    <w:rPr>
      <w:rFonts w:ascii="Times New Roman" w:eastAsia="Times New Roman" w:hAnsi="Times New Roman"/>
      <w:b/>
      <w:bCs/>
      <w:sz w:val="28"/>
      <w:szCs w:val="28"/>
      <w:lang w:val="fr-FR" w:eastAsia="fr-FR"/>
    </w:rPr>
  </w:style>
  <w:style w:type="character" w:customStyle="1" w:styleId="Heading5Char">
    <w:name w:val="Heading 5 Char"/>
    <w:basedOn w:val="DefaultParagraphFont"/>
    <w:link w:val="Heading5"/>
    <w:rsid w:val="00A9755B"/>
    <w:rPr>
      <w:rFonts w:ascii="Arial" w:eastAsia="Times New Roman" w:hAnsi="Arial"/>
      <w:lang w:val="en-US" w:eastAsia="en-US"/>
    </w:rPr>
  </w:style>
  <w:style w:type="character" w:customStyle="1" w:styleId="Heading6Char">
    <w:name w:val="Heading 6 Char"/>
    <w:aliases w:val="Part Char"/>
    <w:basedOn w:val="DefaultParagraphFont"/>
    <w:link w:val="Heading6"/>
    <w:rsid w:val="00A9755B"/>
    <w:rPr>
      <w:rFonts w:ascii="Times New Roman" w:eastAsia="Times New Roman" w:hAnsi="Times New Roman"/>
      <w:b/>
      <w:bCs/>
      <w:sz w:val="22"/>
      <w:szCs w:val="22"/>
      <w:lang w:val="fr-FR" w:eastAsia="fr-FR"/>
    </w:rPr>
  </w:style>
  <w:style w:type="character" w:customStyle="1" w:styleId="Heading7Char">
    <w:name w:val="Heading 7 Char"/>
    <w:aliases w:val="Doc AnnX Char"/>
    <w:basedOn w:val="DefaultParagraphFont"/>
    <w:link w:val="Heading7"/>
    <w:rsid w:val="00A9755B"/>
    <w:rPr>
      <w:rFonts w:ascii="Times New Roman" w:eastAsia="Times New Roman" w:hAnsi="Times New Roman"/>
      <w:sz w:val="24"/>
      <w:szCs w:val="24"/>
      <w:lang w:val="fr-FR" w:eastAsia="fr-FR"/>
    </w:rPr>
  </w:style>
  <w:style w:type="character" w:customStyle="1" w:styleId="Heading8Char">
    <w:name w:val="Heading 8 Char"/>
    <w:aliases w:val="Part AnnX Char"/>
    <w:basedOn w:val="DefaultParagraphFont"/>
    <w:link w:val="Heading8"/>
    <w:rsid w:val="00A9755B"/>
    <w:rPr>
      <w:rFonts w:ascii="Times New Roman" w:eastAsia="Times New Roman" w:hAnsi="Times New Roman"/>
      <w:i/>
      <w:iCs/>
      <w:sz w:val="24"/>
      <w:szCs w:val="24"/>
      <w:lang w:val="fr-FR" w:eastAsia="fr-FR"/>
    </w:rPr>
  </w:style>
  <w:style w:type="character" w:customStyle="1" w:styleId="Heading9Char">
    <w:name w:val="Heading 9 Char"/>
    <w:aliases w:val="Chap AnnX Char"/>
    <w:basedOn w:val="DefaultParagraphFont"/>
    <w:link w:val="Heading9"/>
    <w:rsid w:val="00A9755B"/>
    <w:rPr>
      <w:rFonts w:ascii="Arial" w:eastAsia="Times New Roman" w:hAnsi="Arial" w:cs="Arial"/>
      <w:sz w:val="22"/>
      <w:szCs w:val="22"/>
      <w:lang w:val="fr-FR" w:eastAsia="fr-FR"/>
    </w:rPr>
  </w:style>
  <w:style w:type="paragraph" w:customStyle="1" w:styleId="COECote">
    <w:name w:val="COE_Cote"/>
    <w:basedOn w:val="Normal"/>
    <w:rsid w:val="00A9755B"/>
    <w:pPr>
      <w:spacing w:before="240"/>
    </w:pPr>
    <w:rPr>
      <w:rFonts w:eastAsia="Times New Roman"/>
      <w:b/>
      <w:sz w:val="22"/>
      <w:lang w:val="fr-FR" w:eastAsia="fr-FR"/>
    </w:rPr>
  </w:style>
  <w:style w:type="paragraph" w:customStyle="1" w:styleId="COEEnceinte">
    <w:name w:val="COE_Enceinte"/>
    <w:basedOn w:val="COECote"/>
    <w:rsid w:val="00A9755B"/>
    <w:rPr>
      <w:b w:val="0"/>
      <w:i/>
      <w:color w:val="808080"/>
      <w:sz w:val="28"/>
      <w:szCs w:val="28"/>
    </w:rPr>
  </w:style>
  <w:style w:type="paragraph" w:customStyle="1" w:styleId="COEHeading1">
    <w:name w:val="COE_Heading1"/>
    <w:basedOn w:val="Normal"/>
    <w:link w:val="COEHeading1Char"/>
    <w:autoRedefine/>
    <w:rsid w:val="00A9755B"/>
    <w:rPr>
      <w:rFonts w:eastAsia="Times New Roman"/>
      <w:b/>
      <w:sz w:val="24"/>
      <w:szCs w:val="32"/>
    </w:rPr>
  </w:style>
  <w:style w:type="character" w:customStyle="1" w:styleId="COEHeading1Char">
    <w:name w:val="COE_Heading1 Char"/>
    <w:link w:val="COEHeading1"/>
    <w:rsid w:val="00A9755B"/>
    <w:rPr>
      <w:rFonts w:ascii="Arial" w:eastAsia="Times New Roman" w:hAnsi="Arial"/>
      <w:b/>
      <w:sz w:val="24"/>
      <w:szCs w:val="32"/>
      <w:lang w:eastAsia="en-US"/>
    </w:rPr>
  </w:style>
  <w:style w:type="paragraph" w:customStyle="1" w:styleId="COEHeading2">
    <w:name w:val="COE_Heading2"/>
    <w:basedOn w:val="Normal"/>
    <w:link w:val="COEHeading2Char"/>
    <w:autoRedefine/>
    <w:rsid w:val="00A9755B"/>
    <w:rPr>
      <w:rFonts w:ascii="Verdana" w:eastAsia="Times New Roman" w:hAnsi="Verdana"/>
      <w:b/>
      <w:szCs w:val="28"/>
    </w:rPr>
  </w:style>
  <w:style w:type="paragraph" w:customStyle="1" w:styleId="COEHeading3">
    <w:name w:val="COE_Heading3"/>
    <w:basedOn w:val="Normal"/>
    <w:autoRedefine/>
    <w:rsid w:val="00A9755B"/>
    <w:pPr>
      <w:outlineLvl w:val="2"/>
    </w:pPr>
    <w:rPr>
      <w:rFonts w:ascii="Helvetica" w:eastAsia="Times New Roman" w:hAnsi="Helvetica"/>
      <w:i/>
      <w:szCs w:val="24"/>
      <w:lang w:eastAsia="fr-FR"/>
    </w:rPr>
  </w:style>
  <w:style w:type="paragraph" w:customStyle="1" w:styleId="COENoLignes">
    <w:name w:val="COE_NoLignes"/>
    <w:link w:val="COENoLignesChar"/>
    <w:rsid w:val="00A9755B"/>
    <w:rPr>
      <w:rFonts w:ascii="Arial" w:eastAsia="Times New Roman" w:hAnsi="Arial"/>
      <w:lang w:val="en-US" w:eastAsia="en-US"/>
    </w:rPr>
  </w:style>
  <w:style w:type="character" w:customStyle="1" w:styleId="COENoLignesChar">
    <w:name w:val="COE_NoLignes Char"/>
    <w:link w:val="COENoLignes"/>
    <w:rsid w:val="00A9755B"/>
    <w:rPr>
      <w:rFonts w:ascii="Arial" w:eastAsia="Times New Roman" w:hAnsi="Arial"/>
      <w:lang w:val="en-US" w:eastAsia="en-US"/>
    </w:rPr>
  </w:style>
  <w:style w:type="paragraph" w:customStyle="1" w:styleId="COETitre">
    <w:name w:val="COE_Titre"/>
    <w:basedOn w:val="Normal"/>
    <w:link w:val="COETitreChar"/>
    <w:rsid w:val="00A9755B"/>
    <w:pPr>
      <w:spacing w:before="360" w:after="240"/>
    </w:pPr>
    <w:rPr>
      <w:rFonts w:eastAsia="Times New Roman"/>
      <w:sz w:val="36"/>
      <w:szCs w:val="36"/>
      <w:lang w:val="fr-FR" w:eastAsia="fr-FR"/>
    </w:rPr>
  </w:style>
  <w:style w:type="character" w:customStyle="1" w:styleId="COETitreChar">
    <w:name w:val="COE_Titre Char"/>
    <w:link w:val="COETitre"/>
    <w:rsid w:val="00A9755B"/>
    <w:rPr>
      <w:rFonts w:ascii="Arial" w:eastAsia="Times New Roman" w:hAnsi="Arial"/>
      <w:sz w:val="36"/>
      <w:szCs w:val="36"/>
      <w:lang w:val="fr-FR" w:eastAsia="fr-FR"/>
    </w:rPr>
  </w:style>
  <w:style w:type="paragraph" w:customStyle="1" w:styleId="COEType">
    <w:name w:val="COE_Type"/>
    <w:basedOn w:val="Normal"/>
    <w:rsid w:val="00A9755B"/>
    <w:pPr>
      <w:spacing w:before="240"/>
    </w:pPr>
    <w:rPr>
      <w:rFonts w:eastAsia="Times New Roman"/>
      <w:b/>
      <w:sz w:val="28"/>
      <w:szCs w:val="28"/>
      <w:lang w:val="fr-FR" w:eastAsia="fr-FR"/>
    </w:rPr>
  </w:style>
  <w:style w:type="character" w:styleId="Strong">
    <w:name w:val="Strong"/>
    <w:qFormat/>
    <w:rsid w:val="00A9755B"/>
    <w:rPr>
      <w:b/>
    </w:rPr>
  </w:style>
  <w:style w:type="paragraph" w:styleId="NormalWeb">
    <w:name w:val="Normal (Web)"/>
    <w:aliases w:val=" webb"/>
    <w:basedOn w:val="Normal"/>
    <w:uiPriority w:val="99"/>
    <w:rsid w:val="00A9755B"/>
    <w:pPr>
      <w:spacing w:before="100" w:beforeAutospacing="1" w:after="100" w:afterAutospacing="1"/>
    </w:pPr>
    <w:rPr>
      <w:rFonts w:eastAsia="Times New Roman"/>
      <w:sz w:val="17"/>
      <w:szCs w:val="17"/>
      <w:lang w:val="en-US"/>
    </w:rPr>
  </w:style>
  <w:style w:type="paragraph" w:customStyle="1" w:styleId="COEWord">
    <w:name w:val="COE_Word"/>
    <w:basedOn w:val="Normal"/>
    <w:rsid w:val="00A9755B"/>
    <w:pPr>
      <w:jc w:val="right"/>
    </w:pPr>
    <w:rPr>
      <w:rFonts w:eastAsia="Times New Roman"/>
      <w:i/>
      <w:iCs/>
      <w:szCs w:val="24"/>
      <w:lang w:val="fr-FR" w:eastAsia="fr-FR"/>
    </w:rPr>
  </w:style>
  <w:style w:type="character" w:styleId="FollowedHyperlink">
    <w:name w:val="FollowedHyperlink"/>
    <w:rsid w:val="00A9755B"/>
    <w:rPr>
      <w:color w:val="606420"/>
      <w:u w:val="single"/>
    </w:rPr>
  </w:style>
  <w:style w:type="paragraph" w:customStyle="1" w:styleId="COESource">
    <w:name w:val="COE_Source"/>
    <w:basedOn w:val="Normal"/>
    <w:link w:val="COESourceChar"/>
    <w:autoRedefine/>
    <w:rsid w:val="00A9755B"/>
    <w:rPr>
      <w:rFonts w:eastAsia="Times New Roman"/>
      <w:sz w:val="16"/>
      <w:szCs w:val="18"/>
      <w:lang w:val="fr-FR" w:eastAsia="fr-FR"/>
    </w:rPr>
  </w:style>
  <w:style w:type="character" w:customStyle="1" w:styleId="COESourceChar">
    <w:name w:val="COE_Source Char"/>
    <w:link w:val="COESource"/>
    <w:rsid w:val="00A9755B"/>
    <w:rPr>
      <w:rFonts w:ascii="Arial" w:eastAsia="Times New Roman" w:hAnsi="Arial"/>
      <w:sz w:val="16"/>
      <w:szCs w:val="18"/>
      <w:lang w:val="fr-FR" w:eastAsia="fr-FR"/>
    </w:rPr>
  </w:style>
  <w:style w:type="paragraph" w:customStyle="1" w:styleId="CMAuthor">
    <w:name w:val="CM_Author"/>
    <w:basedOn w:val="COEEnceinte"/>
    <w:qFormat/>
    <w:rsid w:val="00A9755B"/>
    <w:pPr>
      <w:suppressLineNumbers/>
      <w:tabs>
        <w:tab w:val="center" w:pos="4513"/>
        <w:tab w:val="right" w:pos="9027"/>
      </w:tabs>
      <w:suppressAutoHyphens/>
      <w:spacing w:before="0"/>
    </w:pPr>
    <w:rPr>
      <w:rFonts w:ascii="Times New Roman" w:hAnsi="Times New Roman"/>
      <w:b/>
      <w:szCs w:val="24"/>
      <w:lang w:val="en-GB"/>
    </w:rPr>
  </w:style>
  <w:style w:type="paragraph" w:customStyle="1" w:styleId="CMCote">
    <w:name w:val="CM_Cote"/>
    <w:basedOn w:val="Normal"/>
    <w:qFormat/>
    <w:rsid w:val="00A9755B"/>
    <w:pPr>
      <w:spacing w:before="120"/>
    </w:pPr>
    <w:rPr>
      <w:rFonts w:eastAsia="Times New Roman"/>
      <w:b/>
      <w:sz w:val="22"/>
      <w:lang w:eastAsia="fr-FR"/>
    </w:rPr>
  </w:style>
  <w:style w:type="paragraph" w:customStyle="1" w:styleId="CMTitle">
    <w:name w:val="CM_Title"/>
    <w:basedOn w:val="COETitre"/>
    <w:link w:val="CMTitleChar"/>
    <w:autoRedefine/>
    <w:qFormat/>
    <w:rsid w:val="00A9755B"/>
    <w:pPr>
      <w:spacing w:before="0" w:after="0"/>
    </w:pPr>
    <w:rPr>
      <w:b/>
      <w:szCs w:val="32"/>
      <w:lang w:val="en-GB"/>
    </w:rPr>
  </w:style>
  <w:style w:type="character" w:customStyle="1" w:styleId="CMTitleChar">
    <w:name w:val="CM_Title Char"/>
    <w:link w:val="CMTitle"/>
    <w:rsid w:val="00A9755B"/>
    <w:rPr>
      <w:rFonts w:ascii="Arial" w:eastAsia="Times New Roman" w:hAnsi="Arial"/>
      <w:b/>
      <w:sz w:val="36"/>
      <w:szCs w:val="32"/>
      <w:lang w:eastAsia="fr-FR"/>
    </w:rPr>
  </w:style>
  <w:style w:type="paragraph" w:customStyle="1" w:styleId="CMDocType">
    <w:name w:val="CM_DocType"/>
    <w:basedOn w:val="CMTitle"/>
    <w:autoRedefine/>
    <w:qFormat/>
    <w:rsid w:val="00A9755B"/>
    <w:rPr>
      <w:rFonts w:ascii="Verdana" w:hAnsi="Verdana"/>
      <w:sz w:val="32"/>
    </w:rPr>
  </w:style>
  <w:style w:type="paragraph" w:customStyle="1" w:styleId="CMEnceinte">
    <w:name w:val="CM_Enceinte"/>
    <w:basedOn w:val="COEEnceinte"/>
    <w:qFormat/>
    <w:rsid w:val="00A9755B"/>
    <w:pPr>
      <w:suppressLineNumbers/>
      <w:tabs>
        <w:tab w:val="center" w:pos="4513"/>
        <w:tab w:val="right" w:pos="9027"/>
      </w:tabs>
      <w:suppressAutoHyphens/>
      <w:spacing w:before="0"/>
    </w:pPr>
    <w:rPr>
      <w:rFonts w:ascii="Times New Roman" w:hAnsi="Times New Roman"/>
      <w:b/>
      <w:szCs w:val="24"/>
      <w:lang w:val="en-GB"/>
    </w:rPr>
  </w:style>
  <w:style w:type="paragraph" w:customStyle="1" w:styleId="CMhLine">
    <w:name w:val="CM_hLine"/>
    <w:basedOn w:val="CMTitle"/>
    <w:qFormat/>
    <w:rsid w:val="00A9755B"/>
    <w:pPr>
      <w:pBdr>
        <w:bottom w:val="single" w:sz="18" w:space="1" w:color="auto"/>
      </w:pBdr>
      <w:spacing w:after="240"/>
      <w:ind w:right="5243"/>
    </w:pPr>
    <w:rPr>
      <w:sz w:val="22"/>
    </w:rPr>
  </w:style>
  <w:style w:type="paragraph" w:customStyle="1" w:styleId="CMLinkedDocs">
    <w:name w:val="CM_LinkedDocs"/>
    <w:basedOn w:val="Normal"/>
    <w:rsid w:val="00A9755B"/>
    <w:rPr>
      <w:rFonts w:eastAsia="Times New Roman"/>
      <w:sz w:val="16"/>
      <w:szCs w:val="24"/>
      <w:lang w:eastAsia="fr-FR"/>
    </w:rPr>
  </w:style>
  <w:style w:type="paragraph" w:customStyle="1" w:styleId="CMMainSubTitle">
    <w:name w:val="CM_MainSubTitle"/>
    <w:basedOn w:val="Normal"/>
    <w:autoRedefine/>
    <w:rsid w:val="00A9755B"/>
    <w:rPr>
      <w:rFonts w:eastAsia="Times New Roman"/>
      <w:sz w:val="32"/>
      <w:szCs w:val="24"/>
      <w:lang w:eastAsia="fr-FR"/>
    </w:rPr>
  </w:style>
  <w:style w:type="paragraph" w:customStyle="1" w:styleId="CMRevision">
    <w:name w:val="CM_Revision"/>
    <w:basedOn w:val="Normal"/>
    <w:link w:val="CMRevisionChar"/>
    <w:rsid w:val="00A9755B"/>
    <w:rPr>
      <w:rFonts w:eastAsia="Times New Roman" w:cs="Arial"/>
      <w:color w:val="FF0000"/>
      <w:szCs w:val="20"/>
      <w:shd w:val="clear" w:color="auto" w:fill="D9D9D9"/>
    </w:rPr>
  </w:style>
  <w:style w:type="character" w:customStyle="1" w:styleId="CMRevisionChar">
    <w:name w:val="CM_Revision Char"/>
    <w:link w:val="CMRevision"/>
    <w:rsid w:val="00A9755B"/>
    <w:rPr>
      <w:rFonts w:ascii="Arial" w:eastAsia="Times New Roman" w:hAnsi="Arial" w:cs="Arial"/>
      <w:color w:val="FF0000"/>
      <w:lang w:eastAsia="en-US"/>
    </w:rPr>
  </w:style>
  <w:style w:type="paragraph" w:customStyle="1" w:styleId="CMRevisionInside">
    <w:name w:val="CM_RevisionInside"/>
    <w:basedOn w:val="Normal"/>
    <w:link w:val="CMRevisionInsideCharChar"/>
    <w:rsid w:val="00A9755B"/>
    <w:rPr>
      <w:rFonts w:eastAsia="Times New Roman"/>
      <w:color w:val="FF0000"/>
      <w:szCs w:val="24"/>
      <w:shd w:val="clear" w:color="auto" w:fill="D9D9D9"/>
      <w:lang w:eastAsia="fr-FR"/>
    </w:rPr>
  </w:style>
  <w:style w:type="character" w:customStyle="1" w:styleId="CMRevisionInsideCharChar">
    <w:name w:val="CM_RevisionInside Char Char"/>
    <w:link w:val="CMRevisionInside"/>
    <w:rsid w:val="00A9755B"/>
    <w:rPr>
      <w:rFonts w:ascii="Arial" w:eastAsia="Times New Roman" w:hAnsi="Arial"/>
      <w:color w:val="FF0000"/>
      <w:szCs w:val="24"/>
      <w:lang w:eastAsia="fr-FR"/>
    </w:rPr>
  </w:style>
  <w:style w:type="paragraph" w:customStyle="1" w:styleId="CMSubTitle">
    <w:name w:val="CM_SubTitle"/>
    <w:basedOn w:val="Normal"/>
    <w:link w:val="CMSubTitleChar"/>
    <w:qFormat/>
    <w:rsid w:val="00A9755B"/>
    <w:rPr>
      <w:rFonts w:eastAsia="Times New Roman"/>
      <w:sz w:val="22"/>
      <w:lang w:eastAsia="fr-FR"/>
    </w:rPr>
  </w:style>
  <w:style w:type="character" w:customStyle="1" w:styleId="CMSubTitleChar">
    <w:name w:val="CM_SubTitle Char"/>
    <w:link w:val="CMSubTitle"/>
    <w:rsid w:val="00A9755B"/>
    <w:rPr>
      <w:rFonts w:ascii="Arial" w:eastAsia="Times New Roman" w:hAnsi="Arial"/>
      <w:sz w:val="22"/>
      <w:szCs w:val="22"/>
      <w:lang w:eastAsia="fr-FR"/>
    </w:rPr>
  </w:style>
  <w:style w:type="paragraph" w:customStyle="1" w:styleId="COEAbstract">
    <w:name w:val="COE_Abstract"/>
    <w:link w:val="COEAbstractChar"/>
    <w:rsid w:val="00A9755B"/>
    <w:pPr>
      <w:spacing w:before="120" w:after="120"/>
    </w:pPr>
    <w:rPr>
      <w:rFonts w:ascii="Verdana" w:eastAsia="Times New Roman" w:hAnsi="Verdana"/>
      <w:lang w:val="fr-FR" w:eastAsia="en-US"/>
    </w:rPr>
  </w:style>
  <w:style w:type="character" w:customStyle="1" w:styleId="COEAbstractChar">
    <w:name w:val="COE_Abstract Char"/>
    <w:link w:val="COEAbstract"/>
    <w:rsid w:val="00A9755B"/>
    <w:rPr>
      <w:rFonts w:ascii="Verdana" w:eastAsia="Times New Roman" w:hAnsi="Verdana"/>
      <w:lang w:val="fr-FR" w:eastAsia="en-US"/>
    </w:rPr>
  </w:style>
  <w:style w:type="paragraph" w:customStyle="1" w:styleId="COEBullet">
    <w:name w:val="COE_Bullet"/>
    <w:basedOn w:val="Normal"/>
    <w:rsid w:val="00A9755B"/>
    <w:pPr>
      <w:numPr>
        <w:numId w:val="1"/>
      </w:numPr>
      <w:spacing w:after="60"/>
    </w:pPr>
    <w:rPr>
      <w:rFonts w:eastAsia="Times New Roman"/>
      <w:szCs w:val="24"/>
      <w:lang w:val="fr-FR" w:eastAsia="fr-FR"/>
    </w:rPr>
  </w:style>
  <w:style w:type="paragraph" w:customStyle="1" w:styleId="COEDate">
    <w:name w:val="COE_Date"/>
    <w:next w:val="Normal"/>
    <w:rsid w:val="00A9755B"/>
    <w:pPr>
      <w:spacing w:before="120" w:after="120"/>
    </w:pPr>
    <w:rPr>
      <w:rFonts w:ascii="Verdana" w:eastAsia="Times New Roman" w:hAnsi="Verdana"/>
      <w:b/>
      <w:color w:val="808080"/>
      <w:szCs w:val="22"/>
      <w:lang w:val="en-US" w:eastAsia="fr-FR"/>
    </w:rPr>
  </w:style>
  <w:style w:type="paragraph" w:customStyle="1" w:styleId="COEFootnote">
    <w:name w:val="COE_Footnote"/>
    <w:basedOn w:val="Normal"/>
    <w:next w:val="Normal"/>
    <w:rsid w:val="00A9755B"/>
    <w:pPr>
      <w:spacing w:before="60" w:after="60"/>
    </w:pPr>
    <w:rPr>
      <w:rFonts w:eastAsia="Times New Roman"/>
      <w:i/>
      <w:szCs w:val="24"/>
      <w:lang w:val="fr-FR" w:eastAsia="fr-FR"/>
    </w:rPr>
  </w:style>
  <w:style w:type="paragraph" w:customStyle="1" w:styleId="COEHeading4">
    <w:name w:val="COE_Heading4"/>
    <w:basedOn w:val="Normal"/>
    <w:next w:val="Normal"/>
    <w:rsid w:val="00A9755B"/>
    <w:pPr>
      <w:numPr>
        <w:ilvl w:val="3"/>
        <w:numId w:val="2"/>
      </w:numPr>
    </w:pPr>
    <w:rPr>
      <w:rFonts w:eastAsia="Times New Roman"/>
      <w:szCs w:val="24"/>
      <w:lang w:val="fr-FR" w:eastAsia="fr-FR"/>
    </w:rPr>
  </w:style>
  <w:style w:type="paragraph" w:customStyle="1" w:styleId="COEIMGPROTECTED">
    <w:name w:val="COE_IMG_PROTECTED"/>
    <w:basedOn w:val="Normal"/>
    <w:rsid w:val="00A9755B"/>
    <w:pPr>
      <w:jc w:val="center"/>
    </w:pPr>
    <w:rPr>
      <w:rFonts w:eastAsia="Times New Roman"/>
      <w:szCs w:val="24"/>
      <w:lang w:val="fr-FR" w:eastAsia="fr-FR"/>
    </w:rPr>
  </w:style>
  <w:style w:type="paragraph" w:customStyle="1" w:styleId="COEInconnu">
    <w:name w:val="COE_Inconnu"/>
    <w:basedOn w:val="COEType"/>
    <w:rsid w:val="00A9755B"/>
    <w:pPr>
      <w:spacing w:before="120"/>
    </w:pPr>
    <w:rPr>
      <w:i/>
      <w:color w:val="99CC00"/>
      <w:sz w:val="24"/>
    </w:rPr>
  </w:style>
  <w:style w:type="paragraph" w:customStyle="1" w:styleId="COELegende">
    <w:name w:val="COE_Legende"/>
    <w:basedOn w:val="Normal"/>
    <w:rsid w:val="00A9755B"/>
    <w:rPr>
      <w:rFonts w:eastAsia="Times New Roman"/>
      <w:i/>
      <w:color w:val="999999"/>
      <w:szCs w:val="24"/>
      <w:lang w:val="fr-FR" w:eastAsia="fr-FR"/>
    </w:rPr>
  </w:style>
  <w:style w:type="paragraph" w:customStyle="1" w:styleId="COELignes">
    <w:name w:val="COE_Lignes"/>
    <w:basedOn w:val="Normal"/>
    <w:rsid w:val="00A9755B"/>
    <w:rPr>
      <w:rFonts w:eastAsia="Times New Roman"/>
      <w:szCs w:val="24"/>
      <w:lang w:val="en-US"/>
    </w:rPr>
  </w:style>
  <w:style w:type="paragraph" w:customStyle="1" w:styleId="COEList">
    <w:name w:val="COE_List"/>
    <w:basedOn w:val="Normal"/>
    <w:rsid w:val="00A9755B"/>
    <w:pPr>
      <w:spacing w:after="60"/>
    </w:pPr>
    <w:rPr>
      <w:rFonts w:eastAsia="Times New Roman"/>
      <w:szCs w:val="24"/>
      <w:lang w:val="fr-FR" w:eastAsia="fr-FR"/>
    </w:rPr>
  </w:style>
  <w:style w:type="paragraph" w:customStyle="1" w:styleId="COEMedium">
    <w:name w:val="COE_Medium"/>
    <w:rsid w:val="00A9755B"/>
    <w:pPr>
      <w:spacing w:before="120" w:after="60"/>
      <w:jc w:val="both"/>
    </w:pPr>
    <w:rPr>
      <w:rFonts w:ascii="Verdana" w:eastAsia="Times New Roman" w:hAnsi="Verdana"/>
      <w:b/>
      <w:sz w:val="24"/>
      <w:szCs w:val="24"/>
      <w:lang w:val="fr-FR" w:eastAsia="fr-FR"/>
    </w:rPr>
  </w:style>
  <w:style w:type="paragraph" w:customStyle="1" w:styleId="COESousTitre">
    <w:name w:val="COE_SousTitre"/>
    <w:next w:val="Normal"/>
    <w:link w:val="COESousTitreChar"/>
    <w:rsid w:val="00A9755B"/>
    <w:pPr>
      <w:spacing w:before="240" w:after="120"/>
    </w:pPr>
    <w:rPr>
      <w:rFonts w:ascii="Verdana" w:eastAsia="Times New Roman" w:hAnsi="Verdana"/>
      <w:sz w:val="28"/>
      <w:szCs w:val="28"/>
      <w:lang w:val="fr-FR" w:eastAsia="fr-FR"/>
    </w:rPr>
  </w:style>
  <w:style w:type="character" w:customStyle="1" w:styleId="COESousTitreChar">
    <w:name w:val="COE_SousTitre Char"/>
    <w:link w:val="COESousTitre"/>
    <w:rsid w:val="00A9755B"/>
    <w:rPr>
      <w:rFonts w:ascii="Verdana" w:eastAsia="Times New Roman" w:hAnsi="Verdana"/>
      <w:sz w:val="28"/>
      <w:szCs w:val="28"/>
      <w:lang w:val="fr-FR" w:eastAsia="fr-FR"/>
    </w:rPr>
  </w:style>
  <w:style w:type="paragraph" w:styleId="TOC1">
    <w:name w:val="toc 1"/>
    <w:basedOn w:val="Normal"/>
    <w:next w:val="Normal"/>
    <w:link w:val="TOC1Char"/>
    <w:autoRedefine/>
    <w:uiPriority w:val="39"/>
    <w:qFormat/>
    <w:rsid w:val="000A1889"/>
    <w:pPr>
      <w:tabs>
        <w:tab w:val="left" w:pos="709"/>
        <w:tab w:val="right" w:leader="dot" w:pos="9639"/>
      </w:tabs>
      <w:spacing w:before="120"/>
    </w:pPr>
    <w:rPr>
      <w:rFonts w:asciiTheme="majorHAnsi" w:eastAsia="Times New Roman" w:hAnsiTheme="majorHAnsi"/>
      <w:b/>
      <w:bCs/>
      <w:caps/>
      <w:sz w:val="24"/>
      <w:szCs w:val="24"/>
      <w:lang w:val="fr-FR" w:eastAsia="fr-FR"/>
    </w:rPr>
  </w:style>
  <w:style w:type="paragraph" w:styleId="TOC4">
    <w:name w:val="toc 4"/>
    <w:basedOn w:val="Normal"/>
    <w:next w:val="Normal"/>
    <w:autoRedefine/>
    <w:uiPriority w:val="39"/>
    <w:rsid w:val="00A9755B"/>
    <w:pPr>
      <w:ind w:left="400"/>
    </w:pPr>
    <w:rPr>
      <w:rFonts w:asciiTheme="minorHAnsi" w:eastAsia="Times New Roman" w:hAnsiTheme="minorHAnsi"/>
      <w:szCs w:val="20"/>
      <w:lang w:val="fr-FR" w:eastAsia="fr-FR"/>
    </w:rPr>
  </w:style>
  <w:style w:type="paragraph" w:customStyle="1" w:styleId="Style1">
    <w:name w:val="Style1"/>
    <w:basedOn w:val="COEHeading1"/>
    <w:link w:val="Style1Char"/>
    <w:autoRedefine/>
    <w:qFormat/>
    <w:rsid w:val="00A9755B"/>
    <w:rPr>
      <w:sz w:val="28"/>
    </w:rPr>
  </w:style>
  <w:style w:type="paragraph" w:customStyle="1" w:styleId="StyleCMAuthorGray-50">
    <w:name w:val="Style CM_Author + Gray-50%"/>
    <w:basedOn w:val="CMAuthor"/>
    <w:autoRedefine/>
    <w:rsid w:val="00A9755B"/>
    <w:rPr>
      <w:bCs/>
      <w:iCs/>
    </w:rPr>
  </w:style>
  <w:style w:type="paragraph" w:customStyle="1" w:styleId="CMNormal">
    <w:name w:val="CM_Normal"/>
    <w:basedOn w:val="Normal"/>
    <w:rsid w:val="00A9755B"/>
    <w:rPr>
      <w:rFonts w:eastAsia="Times New Roman" w:cs="Arial"/>
      <w:color w:val="000000"/>
      <w:szCs w:val="20"/>
      <w:lang w:eastAsia="fr-FR"/>
    </w:rPr>
  </w:style>
  <w:style w:type="paragraph" w:customStyle="1" w:styleId="CMRightAlign">
    <w:name w:val="CM_RightAlign"/>
    <w:basedOn w:val="Normal"/>
    <w:rsid w:val="00A9755B"/>
    <w:pPr>
      <w:jc w:val="right"/>
    </w:pPr>
    <w:rPr>
      <w:rFonts w:eastAsia="Times New Roman" w:cs="Arial"/>
      <w:color w:val="000000"/>
      <w:szCs w:val="20"/>
      <w:lang w:eastAsia="fr-FR"/>
    </w:rPr>
  </w:style>
  <w:style w:type="paragraph" w:customStyle="1" w:styleId="COETitleSystem">
    <w:name w:val="COE_Title(System)"/>
    <w:basedOn w:val="Normal"/>
    <w:next w:val="Normal"/>
    <w:rsid w:val="00A9755B"/>
    <w:rPr>
      <w:rFonts w:ascii="Verdana" w:eastAsia="Times New Roman" w:hAnsi="Verdana"/>
      <w:bCs/>
      <w:color w:val="808080"/>
      <w:sz w:val="26"/>
      <w:szCs w:val="24"/>
      <w:lang w:val="fr-FR" w:eastAsia="fr-FR"/>
    </w:rPr>
  </w:style>
  <w:style w:type="paragraph" w:customStyle="1" w:styleId="COETitleBrowser">
    <w:name w:val="COE_Title(Browser)"/>
    <w:basedOn w:val="COETitleSystem"/>
    <w:next w:val="Normal"/>
    <w:rsid w:val="00A9755B"/>
    <w:rPr>
      <w:color w:val="C0C0C0"/>
      <w:sz w:val="16"/>
    </w:rPr>
  </w:style>
  <w:style w:type="paragraph" w:customStyle="1" w:styleId="COEWCDSearchParams">
    <w:name w:val="COE_WCD_SearchParams"/>
    <w:basedOn w:val="Normal"/>
    <w:autoRedefine/>
    <w:rsid w:val="00A9755B"/>
    <w:rPr>
      <w:rFonts w:ascii="Verdana" w:eastAsia="Times New Roman" w:hAnsi="Verdana"/>
      <w:szCs w:val="24"/>
    </w:rPr>
  </w:style>
  <w:style w:type="paragraph" w:customStyle="1" w:styleId="Style2">
    <w:name w:val="Style2"/>
    <w:basedOn w:val="COEHeading2"/>
    <w:link w:val="Style2Char"/>
    <w:qFormat/>
    <w:rsid w:val="00A9755B"/>
    <w:rPr>
      <w:rFonts w:ascii="Arial" w:hAnsi="Arial"/>
    </w:rPr>
  </w:style>
  <w:style w:type="character" w:styleId="LineNumber">
    <w:name w:val="line number"/>
    <w:basedOn w:val="DefaultParagraphFont"/>
    <w:rsid w:val="00A9755B"/>
  </w:style>
  <w:style w:type="character" w:customStyle="1" w:styleId="txtterm1">
    <w:name w:val="txtterm1"/>
    <w:rsid w:val="00A9755B"/>
    <w:rPr>
      <w:rFonts w:ascii="Times New Roman" w:hAnsi="Times New Roman" w:cs="Times New Roman" w:hint="default"/>
      <w:b/>
      <w:bCs/>
      <w:color w:val="000000"/>
      <w:sz w:val="22"/>
      <w:szCs w:val="22"/>
    </w:rPr>
  </w:style>
  <w:style w:type="paragraph" w:customStyle="1" w:styleId="cmsubtitle0">
    <w:name w:val="cm_subtitle"/>
    <w:basedOn w:val="Normal"/>
    <w:rsid w:val="00A9755B"/>
    <w:rPr>
      <w:rFonts w:ascii="Verdana" w:eastAsia="Times New Roman" w:hAnsi="Verdana"/>
      <w:color w:val="013870"/>
      <w:szCs w:val="20"/>
      <w:lang w:val="en-US"/>
    </w:rPr>
  </w:style>
  <w:style w:type="paragraph" w:customStyle="1" w:styleId="Listeafsnit">
    <w:name w:val="Listeafsnit"/>
    <w:basedOn w:val="Normal"/>
    <w:uiPriority w:val="34"/>
    <w:qFormat/>
    <w:rsid w:val="00A9755B"/>
    <w:pPr>
      <w:ind w:left="1304"/>
    </w:pPr>
    <w:rPr>
      <w:rFonts w:ascii="Times New Roman" w:eastAsia="Times New Roman" w:hAnsi="Times New Roman"/>
      <w:sz w:val="24"/>
      <w:szCs w:val="24"/>
      <w:lang w:val="en-US"/>
    </w:rPr>
  </w:style>
  <w:style w:type="paragraph" w:styleId="PlainText">
    <w:name w:val="Plain Text"/>
    <w:basedOn w:val="Normal"/>
    <w:link w:val="PlainTextChar"/>
    <w:unhideWhenUsed/>
    <w:rsid w:val="00A9755B"/>
    <w:rPr>
      <w:rFonts w:ascii="Calibri" w:hAnsi="Calibri"/>
      <w:sz w:val="22"/>
      <w:szCs w:val="21"/>
    </w:rPr>
  </w:style>
  <w:style w:type="character" w:customStyle="1" w:styleId="PlainTextChar">
    <w:name w:val="Plain Text Char"/>
    <w:basedOn w:val="DefaultParagraphFont"/>
    <w:link w:val="PlainText"/>
    <w:rsid w:val="00A9755B"/>
    <w:rPr>
      <w:sz w:val="22"/>
      <w:szCs w:val="21"/>
      <w:lang w:eastAsia="en-US"/>
    </w:rPr>
  </w:style>
  <w:style w:type="paragraph" w:customStyle="1" w:styleId="NormalWeb1">
    <w:name w:val="Normal (Web)1"/>
    <w:rsid w:val="00A9755B"/>
    <w:pPr>
      <w:spacing w:before="150" w:after="150"/>
    </w:pPr>
    <w:rPr>
      <w:rFonts w:ascii="Times New Roman" w:eastAsia="ヒラギノ角ゴ Pro W3" w:hAnsi="Times New Roman"/>
      <w:color w:val="000000"/>
      <w:sz w:val="24"/>
      <w:lang w:val="en-US"/>
    </w:rPr>
  </w:style>
  <w:style w:type="paragraph" w:styleId="BodyText">
    <w:name w:val="Body Text"/>
    <w:aliases w:val="FATF-text"/>
    <w:basedOn w:val="Normal"/>
    <w:link w:val="BodyTextChar"/>
    <w:rsid w:val="00A9755B"/>
    <w:pPr>
      <w:jc w:val="center"/>
    </w:pPr>
    <w:rPr>
      <w:rFonts w:ascii="Times New Roman" w:eastAsia="MS Mincho" w:hAnsi="Times New Roman"/>
      <w:b/>
      <w:sz w:val="24"/>
      <w:szCs w:val="20"/>
      <w:u w:val="single"/>
    </w:rPr>
  </w:style>
  <w:style w:type="character" w:customStyle="1" w:styleId="BodyTextChar">
    <w:name w:val="Body Text Char"/>
    <w:aliases w:val="FATF-text Char"/>
    <w:basedOn w:val="DefaultParagraphFont"/>
    <w:link w:val="BodyText"/>
    <w:rsid w:val="00A9755B"/>
    <w:rPr>
      <w:rFonts w:ascii="Times New Roman" w:eastAsia="MS Mincho" w:hAnsi="Times New Roman"/>
      <w:b/>
      <w:sz w:val="24"/>
      <w:u w:val="single"/>
      <w:lang w:eastAsia="en-US"/>
    </w:rPr>
  </w:style>
  <w:style w:type="paragraph" w:customStyle="1" w:styleId="Car">
    <w:name w:val="Car"/>
    <w:basedOn w:val="Normal"/>
    <w:rsid w:val="00A9755B"/>
    <w:rPr>
      <w:rFonts w:ascii="Times New Roman" w:eastAsia="Times New Roman" w:hAnsi="Times New Roman"/>
      <w:szCs w:val="24"/>
      <w:lang w:val="pl-PL" w:eastAsia="pl-PL"/>
    </w:rPr>
  </w:style>
  <w:style w:type="paragraph" w:styleId="BodyText3">
    <w:name w:val="Body Text 3"/>
    <w:basedOn w:val="Normal"/>
    <w:link w:val="BodyText3Char"/>
    <w:rsid w:val="00A9755B"/>
    <w:pPr>
      <w:tabs>
        <w:tab w:val="left" w:pos="-1440"/>
        <w:tab w:val="left" w:pos="-864"/>
        <w:tab w:val="left" w:pos="-432"/>
        <w:tab w:val="left" w:pos="1296"/>
        <w:tab w:val="left" w:pos="1728"/>
        <w:tab w:val="left" w:pos="2160"/>
      </w:tabs>
      <w:suppressAutoHyphens/>
      <w:jc w:val="both"/>
    </w:pPr>
    <w:rPr>
      <w:rFonts w:eastAsia="Times New Roman" w:cs="Arial"/>
      <w:szCs w:val="24"/>
      <w:lang w:eastAsia="fr-FR"/>
    </w:rPr>
  </w:style>
  <w:style w:type="character" w:customStyle="1" w:styleId="BodyText3Char">
    <w:name w:val="Body Text 3 Char"/>
    <w:basedOn w:val="DefaultParagraphFont"/>
    <w:link w:val="BodyText3"/>
    <w:rsid w:val="00A9755B"/>
    <w:rPr>
      <w:rFonts w:ascii="Arial" w:eastAsia="Times New Roman" w:hAnsi="Arial" w:cs="Arial"/>
      <w:szCs w:val="24"/>
      <w:lang w:eastAsia="fr-FR"/>
    </w:rPr>
  </w:style>
  <w:style w:type="paragraph" w:styleId="Title">
    <w:name w:val="Title"/>
    <w:basedOn w:val="Normal"/>
    <w:link w:val="TitleChar"/>
    <w:qFormat/>
    <w:rsid w:val="00A9755B"/>
    <w:pPr>
      <w:autoSpaceDE w:val="0"/>
      <w:autoSpaceDN w:val="0"/>
      <w:adjustRightInd w:val="0"/>
      <w:jc w:val="center"/>
    </w:pPr>
    <w:rPr>
      <w:rFonts w:eastAsia="Times New Roman"/>
      <w:b/>
      <w:sz w:val="28"/>
      <w:szCs w:val="20"/>
      <w:u w:val="single"/>
      <w:lang w:val="fr-FR"/>
    </w:rPr>
  </w:style>
  <w:style w:type="character" w:customStyle="1" w:styleId="TitleChar">
    <w:name w:val="Title Char"/>
    <w:basedOn w:val="DefaultParagraphFont"/>
    <w:link w:val="Title"/>
    <w:rsid w:val="00A9755B"/>
    <w:rPr>
      <w:rFonts w:ascii="Arial" w:eastAsia="Times New Roman" w:hAnsi="Arial"/>
      <w:b/>
      <w:sz w:val="28"/>
      <w:u w:val="single"/>
      <w:lang w:val="fr-FR" w:eastAsia="en-US"/>
    </w:rPr>
  </w:style>
  <w:style w:type="paragraph" w:customStyle="1" w:styleId="BalloonText1">
    <w:name w:val="Balloon Text1"/>
    <w:basedOn w:val="Normal"/>
    <w:semiHidden/>
    <w:rsid w:val="00A9755B"/>
    <w:rPr>
      <w:rFonts w:ascii="Tahoma" w:eastAsia="Times New Roman" w:hAnsi="Tahoma" w:cs="Tahoma"/>
      <w:sz w:val="16"/>
      <w:szCs w:val="16"/>
      <w:lang w:eastAsia="fr-FR"/>
    </w:rPr>
  </w:style>
  <w:style w:type="paragraph" w:styleId="BodyText2">
    <w:name w:val="Body Text 2"/>
    <w:basedOn w:val="Normal"/>
    <w:link w:val="BodyText2Char"/>
    <w:rsid w:val="00A9755B"/>
    <w:pPr>
      <w:spacing w:after="120" w:line="480" w:lineRule="auto"/>
    </w:pPr>
    <w:rPr>
      <w:rFonts w:eastAsia="Times"/>
      <w:szCs w:val="20"/>
    </w:rPr>
  </w:style>
  <w:style w:type="character" w:customStyle="1" w:styleId="BodyText2Char">
    <w:name w:val="Body Text 2 Char"/>
    <w:basedOn w:val="DefaultParagraphFont"/>
    <w:link w:val="BodyText2"/>
    <w:rsid w:val="00A9755B"/>
    <w:rPr>
      <w:rFonts w:ascii="Arial" w:eastAsia="Times" w:hAnsi="Arial"/>
      <w:lang w:eastAsia="en-US"/>
    </w:rPr>
  </w:style>
  <w:style w:type="paragraph" w:customStyle="1" w:styleId="Adressedelexpditeur">
    <w:name w:val="Adresse de l'expéditeur"/>
    <w:basedOn w:val="Normal"/>
    <w:rsid w:val="00A9755B"/>
    <w:rPr>
      <w:rFonts w:ascii="Times New Roman" w:eastAsia="Times New Roman" w:hAnsi="Times New Roman"/>
      <w:szCs w:val="20"/>
      <w:lang w:val="fr-FR"/>
    </w:rPr>
  </w:style>
  <w:style w:type="paragraph" w:customStyle="1" w:styleId="COEParagraphn">
    <w:name w:val="COE_Paragraph_n"/>
    <w:basedOn w:val="Normal"/>
    <w:rsid w:val="00A9755B"/>
    <w:pPr>
      <w:numPr>
        <w:numId w:val="2"/>
      </w:numPr>
      <w:spacing w:before="240" w:after="120"/>
      <w:jc w:val="both"/>
    </w:pPr>
    <w:rPr>
      <w:rFonts w:ascii="Times New Roman" w:eastAsia="Times New Roman" w:hAnsi="Times New Roman"/>
      <w:szCs w:val="24"/>
      <w:lang w:eastAsia="fr-FR"/>
    </w:rPr>
  </w:style>
  <w:style w:type="paragraph" w:customStyle="1" w:styleId="COEHeading5">
    <w:name w:val="COE_Heading5"/>
    <w:basedOn w:val="Normal"/>
    <w:next w:val="Normal"/>
    <w:rsid w:val="00A9755B"/>
    <w:pPr>
      <w:numPr>
        <w:numId w:val="3"/>
      </w:numPr>
      <w:tabs>
        <w:tab w:val="clear" w:pos="1440"/>
        <w:tab w:val="num" w:pos="360"/>
      </w:tabs>
      <w:ind w:left="360" w:right="-750" w:hanging="360"/>
      <w:jc w:val="both"/>
    </w:pPr>
    <w:rPr>
      <w:rFonts w:ascii="Times New Roman" w:eastAsia="Times New Roman" w:hAnsi="Times New Roman"/>
      <w:szCs w:val="24"/>
      <w:lang w:val="en-US" w:eastAsia="fr-FR"/>
    </w:rPr>
  </w:style>
  <w:style w:type="paragraph" w:customStyle="1" w:styleId="CommentSubject1">
    <w:name w:val="Comment Subject1"/>
    <w:basedOn w:val="CommentText"/>
    <w:next w:val="CommentText"/>
    <w:semiHidden/>
    <w:rsid w:val="00A9755B"/>
    <w:rPr>
      <w:rFonts w:ascii="Times" w:eastAsia="Times" w:hAnsi="Times"/>
      <w:b/>
      <w:bCs/>
      <w:sz w:val="20"/>
      <w:szCs w:val="20"/>
    </w:rPr>
  </w:style>
  <w:style w:type="paragraph" w:customStyle="1" w:styleId="Heading3-drugi">
    <w:name w:val="Heading 3 - drugi"/>
    <w:basedOn w:val="Heading3"/>
    <w:rsid w:val="00A9755B"/>
    <w:pPr>
      <w:keepLines w:val="0"/>
      <w:numPr>
        <w:ilvl w:val="1"/>
      </w:numPr>
      <w:adjustRightInd w:val="0"/>
      <w:spacing w:before="0" w:line="360" w:lineRule="atLeast"/>
      <w:ind w:left="1080" w:hanging="720"/>
      <w:jc w:val="both"/>
      <w:textAlignment w:val="baseline"/>
    </w:pPr>
    <w:rPr>
      <w:rFonts w:ascii="Times New Roman" w:eastAsia="Times New Roman" w:hAnsi="Times New Roman" w:cs="Times New Roman"/>
      <w:b/>
      <w:bCs/>
      <w:iCs/>
      <w:color w:val="auto"/>
      <w:sz w:val="28"/>
      <w:szCs w:val="20"/>
      <w:lang w:val="en-US"/>
    </w:rPr>
  </w:style>
  <w:style w:type="paragraph" w:customStyle="1" w:styleId="CarCarChar">
    <w:name w:val="Car Car Char"/>
    <w:basedOn w:val="Normal"/>
    <w:rsid w:val="00A9755B"/>
    <w:pPr>
      <w:spacing w:after="160" w:line="240" w:lineRule="exact"/>
    </w:pPr>
    <w:rPr>
      <w:rFonts w:eastAsia="Times New Roman" w:cs="Arial"/>
      <w:szCs w:val="20"/>
      <w:lang w:val="en-US"/>
    </w:rPr>
  </w:style>
  <w:style w:type="character" w:customStyle="1" w:styleId="mw-headline">
    <w:name w:val="mw-headline"/>
    <w:rsid w:val="00A9755B"/>
  </w:style>
  <w:style w:type="character" w:customStyle="1" w:styleId="unicode">
    <w:name w:val="unicode"/>
    <w:rsid w:val="00A9755B"/>
  </w:style>
  <w:style w:type="paragraph" w:customStyle="1" w:styleId="Listeavsnitt">
    <w:name w:val="Listeavsnitt"/>
    <w:basedOn w:val="Normal"/>
    <w:qFormat/>
    <w:rsid w:val="00A9755B"/>
    <w:pPr>
      <w:ind w:left="708"/>
    </w:pPr>
    <w:rPr>
      <w:rFonts w:eastAsia="Times"/>
      <w:szCs w:val="20"/>
    </w:rPr>
  </w:style>
  <w:style w:type="paragraph" w:customStyle="1" w:styleId="Brevoverskrift">
    <w:name w:val="Brevoverskrift"/>
    <w:basedOn w:val="Normal"/>
    <w:next w:val="Normal"/>
    <w:rsid w:val="00A9755B"/>
    <w:pPr>
      <w:spacing w:after="300"/>
    </w:pPr>
    <w:rPr>
      <w:rFonts w:ascii="DepCentury Old Style" w:eastAsia="Times New Roman" w:hAnsi="DepCentury Old Style"/>
      <w:b/>
      <w:sz w:val="28"/>
      <w:szCs w:val="20"/>
      <w:lang w:val="nb-NO"/>
    </w:rPr>
  </w:style>
  <w:style w:type="character" w:customStyle="1" w:styleId="A4">
    <w:name w:val="A4"/>
    <w:rsid w:val="00A9755B"/>
    <w:rPr>
      <w:rFonts w:ascii="Myriad Pro" w:hAnsi="Myriad Pro" w:hint="default"/>
      <w:color w:val="000000"/>
      <w:lang w:val="en-GB"/>
    </w:rPr>
  </w:style>
  <w:style w:type="paragraph" w:customStyle="1" w:styleId="Listenabsatz1">
    <w:name w:val="Listenabsatz1"/>
    <w:basedOn w:val="Normal"/>
    <w:uiPriority w:val="34"/>
    <w:qFormat/>
    <w:rsid w:val="00A9755B"/>
    <w:pPr>
      <w:ind w:left="708"/>
    </w:pPr>
    <w:rPr>
      <w:rFonts w:eastAsia="Times"/>
      <w:szCs w:val="20"/>
    </w:rPr>
  </w:style>
  <w:style w:type="character" w:customStyle="1" w:styleId="TextChar">
    <w:name w:val="Text Char"/>
    <w:link w:val="Text"/>
    <w:rsid w:val="00A9755B"/>
    <w:rPr>
      <w:sz w:val="24"/>
      <w:szCs w:val="24"/>
      <w:lang w:val="cs-CZ" w:eastAsia="cs-CZ"/>
    </w:rPr>
  </w:style>
  <w:style w:type="paragraph" w:customStyle="1" w:styleId="Text">
    <w:name w:val="Text"/>
    <w:basedOn w:val="Normal"/>
    <w:link w:val="TextChar"/>
    <w:rsid w:val="00A9755B"/>
    <w:pPr>
      <w:spacing w:before="120"/>
      <w:ind w:firstLine="851"/>
    </w:pPr>
    <w:rPr>
      <w:rFonts w:ascii="Calibri" w:hAnsi="Calibri"/>
      <w:sz w:val="24"/>
      <w:szCs w:val="24"/>
      <w:lang w:val="cs-CZ" w:eastAsia="cs-CZ"/>
    </w:rPr>
  </w:style>
  <w:style w:type="character" w:customStyle="1" w:styleId="COEHeading2Char">
    <w:name w:val="COE_Heading2 Char"/>
    <w:link w:val="COEHeading2"/>
    <w:rsid w:val="00A9755B"/>
    <w:rPr>
      <w:rFonts w:ascii="Verdana" w:eastAsia="Times New Roman" w:hAnsi="Verdana"/>
      <w:b/>
      <w:szCs w:val="28"/>
      <w:lang w:eastAsia="en-US"/>
    </w:rPr>
  </w:style>
  <w:style w:type="paragraph" w:styleId="NoSpacing">
    <w:name w:val="No Spacing"/>
    <w:link w:val="NoSpacingChar"/>
    <w:uiPriority w:val="1"/>
    <w:qFormat/>
    <w:rsid w:val="00A9755B"/>
    <w:rPr>
      <w:rFonts w:ascii="Arial" w:eastAsia="Times" w:hAnsi="Arial"/>
      <w:lang w:eastAsia="en-US"/>
    </w:rPr>
  </w:style>
  <w:style w:type="character" w:styleId="Emphasis">
    <w:name w:val="Emphasis"/>
    <w:uiPriority w:val="20"/>
    <w:qFormat/>
    <w:rsid w:val="00A9755B"/>
    <w:rPr>
      <w:i/>
      <w:iCs/>
    </w:rPr>
  </w:style>
  <w:style w:type="paragraph" w:styleId="Revision">
    <w:name w:val="Revision"/>
    <w:hidden/>
    <w:uiPriority w:val="99"/>
    <w:semiHidden/>
    <w:rsid w:val="00A9755B"/>
    <w:rPr>
      <w:rFonts w:ascii="Arial" w:eastAsia="Times" w:hAnsi="Arial"/>
      <w:lang w:eastAsia="en-US"/>
    </w:rPr>
  </w:style>
  <w:style w:type="character" w:customStyle="1" w:styleId="underskriftChar">
    <w:name w:val="underskrift Char"/>
    <w:link w:val="underskrift"/>
    <w:locked/>
    <w:rsid w:val="00A9755B"/>
    <w:rPr>
      <w:noProof/>
      <w:sz w:val="24"/>
      <w:lang w:eastAsia="en-US"/>
    </w:rPr>
  </w:style>
  <w:style w:type="paragraph" w:customStyle="1" w:styleId="underskrift">
    <w:name w:val="underskrift"/>
    <w:next w:val="Normal"/>
    <w:link w:val="underskriftChar"/>
    <w:rsid w:val="00A9755B"/>
    <w:pPr>
      <w:spacing w:line="300" w:lineRule="exact"/>
      <w:ind w:left="5387"/>
    </w:pPr>
    <w:rPr>
      <w:noProof/>
      <w:sz w:val="24"/>
      <w:lang w:eastAsia="en-US"/>
    </w:rPr>
  </w:style>
  <w:style w:type="character" w:customStyle="1" w:styleId="Style1Char">
    <w:name w:val="Style1 Char"/>
    <w:link w:val="Style1"/>
    <w:locked/>
    <w:rsid w:val="00A9755B"/>
    <w:rPr>
      <w:rFonts w:ascii="Arial" w:eastAsia="Times New Roman" w:hAnsi="Arial"/>
      <w:b/>
      <w:sz w:val="28"/>
      <w:szCs w:val="32"/>
      <w:lang w:eastAsia="en-US"/>
    </w:rPr>
  </w:style>
  <w:style w:type="character" w:customStyle="1" w:styleId="Style2Char">
    <w:name w:val="Style2 Char"/>
    <w:link w:val="Style2"/>
    <w:locked/>
    <w:rsid w:val="00A9755B"/>
    <w:rPr>
      <w:rFonts w:ascii="Arial" w:eastAsia="Times New Roman" w:hAnsi="Arial"/>
      <w:b/>
      <w:szCs w:val="28"/>
      <w:lang w:eastAsia="en-US"/>
    </w:rPr>
  </w:style>
  <w:style w:type="paragraph" w:customStyle="1" w:styleId="FootnoteReferenceCharCarCharCharCarCharCarCharCarCharCarCharCharCarCarCharCharCharCharCharCar">
    <w:name w:val="Footnote Reference Char Car Char Char Car Char Car Char Car Char Car Char Char Car Car Char Char Char Char Char Car"/>
    <w:aliases w:val="Footnote Reference Char Car Char Char Car Char Car Char Car Char Car Char Char Car Car Char Char Car Car"/>
    <w:basedOn w:val="Normal"/>
    <w:link w:val="FootnoteReference"/>
    <w:rsid w:val="00A9755B"/>
    <w:pPr>
      <w:spacing w:after="160" w:line="240" w:lineRule="exact"/>
    </w:pPr>
    <w:rPr>
      <w:rFonts w:ascii="Calibri" w:hAnsi="Calibri"/>
      <w:szCs w:val="20"/>
      <w:vertAlign w:val="superscript"/>
      <w:lang w:eastAsia="en-GB"/>
    </w:rPr>
  </w:style>
  <w:style w:type="paragraph" w:customStyle="1" w:styleId="StyleBefore3ptAfter3pt">
    <w:name w:val="Style Before:  3 pt After:  3 pt"/>
    <w:basedOn w:val="Normal"/>
    <w:rsid w:val="00A9755B"/>
    <w:pPr>
      <w:numPr>
        <w:numId w:val="4"/>
      </w:numPr>
      <w:spacing w:after="120"/>
      <w:jc w:val="both"/>
    </w:pPr>
    <w:rPr>
      <w:rFonts w:ascii="Times New Roman" w:hAnsi="Times New Roman"/>
      <w:sz w:val="22"/>
      <w:szCs w:val="24"/>
    </w:rPr>
  </w:style>
  <w:style w:type="paragraph" w:customStyle="1" w:styleId="CharCharCharCharCharCharCharCharCharCharCharCharCharChar">
    <w:name w:val="Char Char Char Char Char Char Char Char Char Char Char Char Char Char"/>
    <w:basedOn w:val="Normal"/>
    <w:rsid w:val="00A9755B"/>
    <w:pPr>
      <w:spacing w:after="160" w:line="240" w:lineRule="exact"/>
      <w:jc w:val="both"/>
    </w:pPr>
    <w:rPr>
      <w:rFonts w:eastAsia="Times New Roman" w:cs="Arial"/>
      <w:sz w:val="22"/>
      <w:szCs w:val="20"/>
      <w:lang w:val="en-US"/>
    </w:rPr>
  </w:style>
  <w:style w:type="character" w:customStyle="1" w:styleId="docheader1">
    <w:name w:val="doc_header1"/>
    <w:rsid w:val="00A9755B"/>
    <w:rPr>
      <w:rFonts w:ascii="Times New Roman" w:hAnsi="Times New Roman" w:cs="Times New Roman" w:hint="default"/>
      <w:b/>
      <w:bCs/>
      <w:color w:val="000000"/>
      <w:sz w:val="24"/>
      <w:szCs w:val="24"/>
    </w:rPr>
  </w:style>
  <w:style w:type="paragraph" w:customStyle="1" w:styleId="Prrafodelista">
    <w:name w:val="Párrafo de lista"/>
    <w:basedOn w:val="Normal"/>
    <w:qFormat/>
    <w:rsid w:val="00A9755B"/>
    <w:pPr>
      <w:spacing w:after="200"/>
      <w:ind w:left="720"/>
      <w:contextualSpacing/>
      <w:jc w:val="both"/>
    </w:pPr>
    <w:rPr>
      <w:rFonts w:ascii="Cambria" w:eastAsia="Cambria" w:hAnsi="Cambria"/>
      <w:sz w:val="24"/>
      <w:szCs w:val="24"/>
    </w:rPr>
  </w:style>
  <w:style w:type="paragraph" w:customStyle="1" w:styleId="Paragraphedeliste1">
    <w:name w:val="Paragraphe de liste1"/>
    <w:basedOn w:val="Normal"/>
    <w:qFormat/>
    <w:rsid w:val="00A9755B"/>
    <w:pPr>
      <w:numPr>
        <w:numId w:val="10"/>
      </w:numPr>
      <w:suppressAutoHyphens/>
      <w:ind w:left="0" w:firstLine="0"/>
      <w:jc w:val="both"/>
    </w:pPr>
    <w:rPr>
      <w:rFonts w:eastAsia="MS Mincho"/>
      <w:sz w:val="22"/>
      <w:szCs w:val="24"/>
      <w:lang w:eastAsia="ar-SA"/>
    </w:rPr>
  </w:style>
  <w:style w:type="paragraph" w:styleId="ListNumber">
    <w:name w:val="List Number"/>
    <w:basedOn w:val="Normal"/>
    <w:rsid w:val="00A9755B"/>
    <w:pPr>
      <w:numPr>
        <w:numId w:val="5"/>
      </w:numPr>
      <w:suppressAutoHyphens/>
      <w:spacing w:after="120"/>
      <w:jc w:val="both"/>
    </w:pPr>
    <w:rPr>
      <w:rFonts w:eastAsia="Times New Roman"/>
      <w:sz w:val="22"/>
      <w:szCs w:val="24"/>
      <w:lang w:val="en-US" w:eastAsia="ar-SA"/>
    </w:rPr>
  </w:style>
  <w:style w:type="paragraph" w:styleId="Caption">
    <w:name w:val="caption"/>
    <w:basedOn w:val="Normal"/>
    <w:next w:val="Normal"/>
    <w:qFormat/>
    <w:rsid w:val="00A9755B"/>
    <w:pPr>
      <w:spacing w:after="120"/>
      <w:jc w:val="both"/>
    </w:pPr>
    <w:rPr>
      <w:rFonts w:eastAsia="Times New Roman"/>
      <w:b/>
      <w:bCs/>
      <w:sz w:val="22"/>
      <w:szCs w:val="20"/>
      <w:lang w:eastAsia="fr-FR"/>
    </w:rPr>
  </w:style>
  <w:style w:type="paragraph" w:customStyle="1" w:styleId="TOCHeading1">
    <w:name w:val="TOC Heading1"/>
    <w:basedOn w:val="Heading1"/>
    <w:next w:val="Normal"/>
    <w:uiPriority w:val="39"/>
    <w:unhideWhenUsed/>
    <w:qFormat/>
    <w:rsid w:val="00A9755B"/>
    <w:pPr>
      <w:spacing w:before="480" w:line="276" w:lineRule="auto"/>
      <w:jc w:val="both"/>
      <w:outlineLvl w:val="9"/>
    </w:pPr>
    <w:rPr>
      <w:rFonts w:ascii="Cambria" w:eastAsia="MS Gothic" w:hAnsi="Cambria" w:cs="Times New Roman"/>
      <w:bCs/>
      <w:color w:val="365F91"/>
      <w:w w:val="105"/>
      <w:sz w:val="28"/>
      <w:szCs w:val="28"/>
      <w:lang w:val="en-US" w:eastAsia="ja-JP"/>
    </w:rPr>
  </w:style>
  <w:style w:type="paragraph" w:customStyle="1" w:styleId="LDHeading1">
    <w:name w:val="LDHeading1"/>
    <w:basedOn w:val="Heading10"/>
    <w:link w:val="LDHeading1Char"/>
    <w:qFormat/>
    <w:rsid w:val="00A9755B"/>
    <w:pPr>
      <w:jc w:val="left"/>
    </w:pPr>
    <w:rPr>
      <w:smallCaps/>
    </w:rPr>
  </w:style>
  <w:style w:type="character" w:customStyle="1" w:styleId="LDHeading1Char">
    <w:name w:val="LDHeading1 Char"/>
    <w:link w:val="LDHeading1"/>
    <w:rsid w:val="00A9755B"/>
    <w:rPr>
      <w:rFonts w:ascii="Arial" w:eastAsia="Times New Roman" w:hAnsi="Arial" w:cs="Arial"/>
      <w:b/>
      <w:bCs/>
      <w:caps/>
      <w:smallCaps/>
      <w:color w:val="17365D"/>
      <w:w w:val="105"/>
      <w:kern w:val="28"/>
      <w:sz w:val="24"/>
      <w:lang w:eastAsia="zh-CN"/>
    </w:rPr>
  </w:style>
  <w:style w:type="paragraph" w:customStyle="1" w:styleId="LDHeading3">
    <w:name w:val="LDHeading3"/>
    <w:basedOn w:val="Normal"/>
    <w:link w:val="LDHeading3Char"/>
    <w:qFormat/>
    <w:rsid w:val="00A9755B"/>
    <w:pPr>
      <w:keepNext/>
      <w:widowControl w:val="0"/>
      <w:numPr>
        <w:numId w:val="9"/>
      </w:numPr>
      <w:tabs>
        <w:tab w:val="left" w:pos="-1134"/>
      </w:tabs>
      <w:spacing w:after="120"/>
      <w:ind w:right="284"/>
      <w:jc w:val="both"/>
      <w:outlineLvl w:val="1"/>
    </w:pPr>
    <w:rPr>
      <w:rFonts w:eastAsia="Times New Roman" w:cs="Arial"/>
      <w:b/>
      <w:color w:val="000000"/>
      <w:sz w:val="22"/>
      <w:szCs w:val="20"/>
      <w:lang w:eastAsia="fr-FR"/>
    </w:rPr>
  </w:style>
  <w:style w:type="character" w:customStyle="1" w:styleId="LDHeading3Char">
    <w:name w:val="LDHeading3 Char"/>
    <w:link w:val="LDHeading3"/>
    <w:rsid w:val="00A9755B"/>
    <w:rPr>
      <w:rFonts w:ascii="Arial" w:eastAsia="Times New Roman" w:hAnsi="Arial" w:cs="Arial"/>
      <w:b/>
      <w:color w:val="000000"/>
      <w:sz w:val="22"/>
      <w:lang w:eastAsia="fr-FR"/>
    </w:rPr>
  </w:style>
  <w:style w:type="paragraph" w:customStyle="1" w:styleId="DefaultParagraphFontCharCharCharCharChar">
    <w:name w:val="Default Paragraph Font Char Char Char Char Char"/>
    <w:aliases w:val="Default Paragraph Font Para Char Char Char Char Char Char Char,Default Paragraph Font Char Char11 Char Char Char,Default Paragraph Font Char Char1 Char Char Char Char"/>
    <w:basedOn w:val="Normal"/>
    <w:rsid w:val="00A9755B"/>
    <w:pPr>
      <w:spacing w:after="160" w:line="240" w:lineRule="exact"/>
      <w:jc w:val="both"/>
    </w:pPr>
    <w:rPr>
      <w:rFonts w:eastAsia="Times New Roman" w:cs="Arial"/>
      <w:sz w:val="22"/>
      <w:szCs w:val="20"/>
      <w:lang w:val="en-US"/>
    </w:rPr>
  </w:style>
  <w:style w:type="paragraph" w:styleId="TOC5">
    <w:name w:val="toc 5"/>
    <w:aliases w:val="Annotated Item"/>
    <w:basedOn w:val="Normal"/>
    <w:next w:val="Normal"/>
    <w:autoRedefine/>
    <w:uiPriority w:val="39"/>
    <w:unhideWhenUsed/>
    <w:rsid w:val="00A9755B"/>
    <w:pPr>
      <w:ind w:left="600"/>
    </w:pPr>
    <w:rPr>
      <w:rFonts w:asciiTheme="minorHAnsi" w:eastAsia="Times New Roman" w:hAnsiTheme="minorHAnsi"/>
      <w:szCs w:val="20"/>
      <w:lang w:val="fr-FR" w:eastAsia="fr-FR"/>
    </w:rPr>
  </w:style>
  <w:style w:type="paragraph" w:styleId="TOC6">
    <w:name w:val="toc 6"/>
    <w:basedOn w:val="Normal"/>
    <w:next w:val="Normal"/>
    <w:autoRedefine/>
    <w:uiPriority w:val="39"/>
    <w:unhideWhenUsed/>
    <w:rsid w:val="00A9755B"/>
    <w:pPr>
      <w:ind w:left="800"/>
    </w:pPr>
    <w:rPr>
      <w:rFonts w:asciiTheme="minorHAnsi" w:eastAsia="Times New Roman" w:hAnsiTheme="minorHAnsi"/>
      <w:szCs w:val="20"/>
      <w:lang w:val="fr-FR" w:eastAsia="fr-FR"/>
    </w:rPr>
  </w:style>
  <w:style w:type="paragraph" w:styleId="TOC7">
    <w:name w:val="toc 7"/>
    <w:basedOn w:val="Normal"/>
    <w:next w:val="Normal"/>
    <w:autoRedefine/>
    <w:uiPriority w:val="39"/>
    <w:unhideWhenUsed/>
    <w:rsid w:val="00A9755B"/>
    <w:pPr>
      <w:ind w:left="1000"/>
    </w:pPr>
    <w:rPr>
      <w:rFonts w:asciiTheme="minorHAnsi" w:eastAsia="Times New Roman" w:hAnsiTheme="minorHAnsi"/>
      <w:szCs w:val="20"/>
      <w:lang w:val="fr-FR" w:eastAsia="fr-FR"/>
    </w:rPr>
  </w:style>
  <w:style w:type="paragraph" w:styleId="TOC8">
    <w:name w:val="toc 8"/>
    <w:basedOn w:val="Normal"/>
    <w:next w:val="Normal"/>
    <w:autoRedefine/>
    <w:uiPriority w:val="39"/>
    <w:unhideWhenUsed/>
    <w:rsid w:val="00A9755B"/>
    <w:pPr>
      <w:ind w:left="1200"/>
    </w:pPr>
    <w:rPr>
      <w:rFonts w:asciiTheme="minorHAnsi" w:eastAsia="Times New Roman" w:hAnsiTheme="minorHAnsi"/>
      <w:szCs w:val="20"/>
      <w:lang w:val="fr-FR" w:eastAsia="fr-FR"/>
    </w:rPr>
  </w:style>
  <w:style w:type="paragraph" w:styleId="TOC9">
    <w:name w:val="toc 9"/>
    <w:basedOn w:val="Normal"/>
    <w:next w:val="Normal"/>
    <w:autoRedefine/>
    <w:uiPriority w:val="39"/>
    <w:unhideWhenUsed/>
    <w:rsid w:val="00A9755B"/>
    <w:pPr>
      <w:ind w:left="1400"/>
    </w:pPr>
    <w:rPr>
      <w:rFonts w:asciiTheme="minorHAnsi" w:eastAsia="Times New Roman" w:hAnsiTheme="minorHAnsi"/>
      <w:szCs w:val="20"/>
      <w:lang w:val="fr-FR" w:eastAsia="fr-FR"/>
    </w:rPr>
  </w:style>
  <w:style w:type="paragraph" w:customStyle="1" w:styleId="LDFakeHeading3">
    <w:name w:val="LDFakeHeading3"/>
    <w:basedOn w:val="LDHeading3"/>
    <w:link w:val="LDFakeHeading3Char"/>
    <w:qFormat/>
    <w:rsid w:val="00A9755B"/>
    <w:pPr>
      <w:outlineLvl w:val="9"/>
    </w:pPr>
  </w:style>
  <w:style w:type="paragraph" w:customStyle="1" w:styleId="LDFakeHeading2">
    <w:name w:val="LDFakeHeading2"/>
    <w:basedOn w:val="Heading10"/>
    <w:link w:val="LDFakeHeading2Char"/>
    <w:qFormat/>
    <w:rsid w:val="00A9755B"/>
    <w:pPr>
      <w:tabs>
        <w:tab w:val="num" w:pos="851"/>
      </w:tabs>
    </w:pPr>
  </w:style>
  <w:style w:type="character" w:customStyle="1" w:styleId="LDFakeHeading3Char">
    <w:name w:val="LDFakeHeading3 Char"/>
    <w:link w:val="LDFakeHeading3"/>
    <w:rsid w:val="00A9755B"/>
    <w:rPr>
      <w:rFonts w:ascii="Arial" w:eastAsia="Times New Roman" w:hAnsi="Arial" w:cs="Arial"/>
      <w:b/>
      <w:color w:val="000000"/>
      <w:sz w:val="22"/>
      <w:lang w:eastAsia="fr-FR"/>
    </w:rPr>
  </w:style>
  <w:style w:type="paragraph" w:styleId="List2">
    <w:name w:val="List 2"/>
    <w:basedOn w:val="Normal"/>
    <w:rsid w:val="00A9755B"/>
    <w:pPr>
      <w:spacing w:after="120"/>
      <w:ind w:left="566" w:hanging="283"/>
      <w:contextualSpacing/>
      <w:jc w:val="both"/>
    </w:pPr>
    <w:rPr>
      <w:rFonts w:eastAsia="Times New Roman"/>
      <w:sz w:val="22"/>
      <w:szCs w:val="24"/>
      <w:lang w:eastAsia="fr-FR"/>
    </w:rPr>
  </w:style>
  <w:style w:type="character" w:customStyle="1" w:styleId="LDFakeHeading2Char">
    <w:name w:val="LDFakeHeading2 Char"/>
    <w:link w:val="LDFakeHeading2"/>
    <w:rsid w:val="00A9755B"/>
    <w:rPr>
      <w:rFonts w:ascii="Arial" w:eastAsia="Times New Roman" w:hAnsi="Arial" w:cs="Arial"/>
      <w:b/>
      <w:bCs/>
      <w:caps/>
      <w:color w:val="17365D"/>
      <w:w w:val="105"/>
      <w:kern w:val="28"/>
      <w:sz w:val="24"/>
      <w:lang w:eastAsia="zh-CN"/>
    </w:rPr>
  </w:style>
  <w:style w:type="paragraph" w:styleId="ListBullet2">
    <w:name w:val="List Bullet 2"/>
    <w:basedOn w:val="Normal"/>
    <w:rsid w:val="00A9755B"/>
    <w:pPr>
      <w:numPr>
        <w:numId w:val="6"/>
      </w:numPr>
      <w:tabs>
        <w:tab w:val="clear" w:pos="643"/>
        <w:tab w:val="num" w:pos="720"/>
      </w:tabs>
      <w:ind w:left="720"/>
      <w:jc w:val="both"/>
    </w:pPr>
    <w:rPr>
      <w:rFonts w:ascii="Times New Roman" w:eastAsia="Times New Roman" w:hAnsi="Times New Roman"/>
      <w:sz w:val="22"/>
      <w:szCs w:val="20"/>
      <w:lang w:val="en-US"/>
    </w:rPr>
  </w:style>
  <w:style w:type="paragraph" w:styleId="BodyTextIndent">
    <w:name w:val="Body Text Indent"/>
    <w:basedOn w:val="Normal"/>
    <w:link w:val="BodyTextIndentChar"/>
    <w:rsid w:val="00A9755B"/>
    <w:pPr>
      <w:tabs>
        <w:tab w:val="left" w:pos="570"/>
      </w:tabs>
      <w:ind w:left="570" w:hanging="570"/>
      <w:jc w:val="both"/>
    </w:pPr>
    <w:rPr>
      <w:rFonts w:ascii="Times New Roman" w:eastAsia="Times New Roman" w:hAnsi="Times New Roman"/>
      <w:sz w:val="22"/>
      <w:szCs w:val="24"/>
      <w:lang w:eastAsia="fr-FR"/>
    </w:rPr>
  </w:style>
  <w:style w:type="character" w:customStyle="1" w:styleId="BodyTextIndentChar">
    <w:name w:val="Body Text Indent Char"/>
    <w:basedOn w:val="DefaultParagraphFont"/>
    <w:link w:val="BodyTextIndent"/>
    <w:rsid w:val="00A9755B"/>
    <w:rPr>
      <w:rFonts w:ascii="Times New Roman" w:eastAsia="Times New Roman" w:hAnsi="Times New Roman"/>
      <w:sz w:val="22"/>
      <w:szCs w:val="24"/>
      <w:lang w:eastAsia="fr-FR"/>
    </w:rPr>
  </w:style>
  <w:style w:type="paragraph" w:customStyle="1" w:styleId="ParagraphNumberingChar">
    <w:name w:val="Paragraph Numbering Char"/>
    <w:basedOn w:val="Normal"/>
    <w:rsid w:val="00A9755B"/>
    <w:pPr>
      <w:numPr>
        <w:numId w:val="7"/>
      </w:numPr>
      <w:spacing w:after="240"/>
      <w:jc w:val="both"/>
    </w:pPr>
    <w:rPr>
      <w:rFonts w:ascii="Times New Roman" w:eastAsia="Times New Roman" w:hAnsi="Times New Roman"/>
      <w:sz w:val="22"/>
      <w:lang w:val="en-US"/>
    </w:rPr>
  </w:style>
  <w:style w:type="paragraph" w:customStyle="1" w:styleId="PR">
    <w:name w:val="PR"/>
    <w:rsid w:val="00A9755B"/>
    <w:pPr>
      <w:widowControl w:val="0"/>
      <w:tabs>
        <w:tab w:val="left" w:pos="0"/>
        <w:tab w:val="left" w:pos="708"/>
        <w:tab w:val="left" w:pos="991"/>
        <w:tab w:val="left" w:pos="1417"/>
      </w:tabs>
      <w:suppressAutoHyphens/>
      <w:jc w:val="both"/>
    </w:pPr>
    <w:rPr>
      <w:rFonts w:ascii="Courier" w:eastAsia="Times New Roman" w:hAnsi="Courier"/>
      <w:snapToGrid w:val="0"/>
      <w:spacing w:val="-3"/>
      <w:sz w:val="24"/>
      <w:lang w:val="fr-FR" w:eastAsia="en-US"/>
    </w:rPr>
  </w:style>
  <w:style w:type="paragraph" w:customStyle="1" w:styleId="Num-DocParagraph">
    <w:name w:val="Num-Doc Paragraph"/>
    <w:basedOn w:val="PR"/>
    <w:next w:val="BalloonText"/>
    <w:link w:val="Num-DocParagraph0"/>
    <w:qFormat/>
    <w:rsid w:val="00A9755B"/>
    <w:pPr>
      <w:widowControl/>
      <w:tabs>
        <w:tab w:val="clear" w:pos="0"/>
        <w:tab w:val="clear" w:pos="708"/>
        <w:tab w:val="clear" w:pos="991"/>
        <w:tab w:val="clear" w:pos="1417"/>
        <w:tab w:val="left" w:pos="850"/>
        <w:tab w:val="left" w:pos="1191"/>
        <w:tab w:val="left" w:pos="1531"/>
      </w:tabs>
      <w:suppressAutoHyphens w:val="0"/>
      <w:spacing w:after="240"/>
    </w:pPr>
    <w:rPr>
      <w:rFonts w:ascii="Times New Roman" w:hAnsi="Times New Roman"/>
      <w:snapToGrid/>
      <w:spacing w:val="0"/>
      <w:sz w:val="22"/>
      <w:szCs w:val="22"/>
      <w:lang w:val="en-GB" w:eastAsia="zh-CN"/>
    </w:rPr>
  </w:style>
  <w:style w:type="paragraph" w:customStyle="1" w:styleId="LDbody">
    <w:name w:val="LDbody"/>
    <w:basedOn w:val="Normal"/>
    <w:link w:val="LDbodyChar"/>
    <w:qFormat/>
    <w:rsid w:val="00A9755B"/>
    <w:pPr>
      <w:numPr>
        <w:numId w:val="8"/>
      </w:numPr>
      <w:jc w:val="both"/>
    </w:pPr>
    <w:rPr>
      <w:rFonts w:ascii="Verdana" w:eastAsia="Times New Roman" w:hAnsi="Verdana"/>
      <w:iCs/>
      <w:sz w:val="22"/>
      <w:szCs w:val="20"/>
      <w:lang w:eastAsia="fr-FR"/>
    </w:rPr>
  </w:style>
  <w:style w:type="paragraph" w:customStyle="1" w:styleId="LD3">
    <w:name w:val="LD3"/>
    <w:basedOn w:val="Heading3"/>
    <w:link w:val="LD3Char"/>
    <w:qFormat/>
    <w:rsid w:val="00A9755B"/>
    <w:pPr>
      <w:keepLines w:val="0"/>
      <w:numPr>
        <w:ilvl w:val="1"/>
      </w:numPr>
      <w:tabs>
        <w:tab w:val="left" w:pos="570"/>
      </w:tabs>
      <w:spacing w:before="0"/>
      <w:ind w:left="570" w:hanging="570"/>
      <w:jc w:val="both"/>
    </w:pPr>
    <w:rPr>
      <w:rFonts w:ascii="Verdana" w:eastAsia="Times New Roman" w:hAnsi="Verdana" w:cs="Times New Roman"/>
      <w:bCs/>
      <w:i/>
      <w:iCs/>
      <w:color w:val="1F497D"/>
      <w:sz w:val="20"/>
      <w:szCs w:val="20"/>
    </w:rPr>
  </w:style>
  <w:style w:type="character" w:customStyle="1" w:styleId="LDbodyChar">
    <w:name w:val="LDbody Char"/>
    <w:link w:val="LDbody"/>
    <w:rsid w:val="00A9755B"/>
    <w:rPr>
      <w:rFonts w:ascii="Verdana" w:eastAsia="Times New Roman" w:hAnsi="Verdana"/>
      <w:iCs/>
      <w:sz w:val="22"/>
      <w:lang w:eastAsia="fr-FR"/>
    </w:rPr>
  </w:style>
  <w:style w:type="character" w:customStyle="1" w:styleId="LD3Char">
    <w:name w:val="LD3 Char"/>
    <w:link w:val="LD3"/>
    <w:rsid w:val="00A9755B"/>
    <w:rPr>
      <w:rFonts w:ascii="Verdana" w:eastAsia="Times New Roman" w:hAnsi="Verdana"/>
      <w:bCs/>
      <w:i/>
      <w:iCs/>
      <w:color w:val="1F497D"/>
      <w:lang w:eastAsia="en-US"/>
    </w:rPr>
  </w:style>
  <w:style w:type="paragraph" w:customStyle="1" w:styleId="LDFakeHeading1">
    <w:name w:val="LDFakeHeading1"/>
    <w:basedOn w:val="LDHeading1"/>
    <w:link w:val="LDFakeHeading1Char"/>
    <w:qFormat/>
    <w:rsid w:val="00A9755B"/>
    <w:pPr>
      <w:outlineLvl w:val="9"/>
    </w:pPr>
  </w:style>
  <w:style w:type="character" w:customStyle="1" w:styleId="LDFakeHeading1Char">
    <w:name w:val="LDFakeHeading1 Char"/>
    <w:link w:val="LDFakeHeading1"/>
    <w:rsid w:val="00A9755B"/>
    <w:rPr>
      <w:rFonts w:ascii="Arial" w:eastAsia="Times New Roman" w:hAnsi="Arial" w:cs="Arial"/>
      <w:b/>
      <w:bCs/>
      <w:caps/>
      <w:smallCaps/>
      <w:color w:val="17365D"/>
      <w:w w:val="105"/>
      <w:kern w:val="28"/>
      <w:sz w:val="24"/>
      <w:lang w:eastAsia="zh-CN"/>
    </w:rPr>
  </w:style>
  <w:style w:type="table" w:styleId="TableClassic3">
    <w:name w:val="Table Classic 3"/>
    <w:basedOn w:val="TableNormal"/>
    <w:rsid w:val="00A9755B"/>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A9755B"/>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A9755B"/>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SpacingChar">
    <w:name w:val="No Spacing Char"/>
    <w:link w:val="NoSpacing"/>
    <w:uiPriority w:val="1"/>
    <w:rsid w:val="00A9755B"/>
    <w:rPr>
      <w:rFonts w:ascii="Arial" w:eastAsia="Times" w:hAnsi="Arial"/>
      <w:lang w:eastAsia="en-US"/>
    </w:rPr>
  </w:style>
  <w:style w:type="character" w:customStyle="1" w:styleId="auto-style12">
    <w:name w:val="auto-style12"/>
    <w:rsid w:val="00A9755B"/>
    <w:rPr>
      <w:caps/>
    </w:rPr>
  </w:style>
  <w:style w:type="paragraph" w:customStyle="1" w:styleId="coecote0">
    <w:name w:val="coe_cote"/>
    <w:basedOn w:val="Normal"/>
    <w:rsid w:val="00A9755B"/>
    <w:pPr>
      <w:spacing w:before="100" w:beforeAutospacing="1" w:after="240"/>
    </w:pPr>
    <w:rPr>
      <w:rFonts w:ascii="Verdana" w:eastAsia="Times New Roman" w:hAnsi="Verdana"/>
      <w:color w:val="000000"/>
      <w:sz w:val="26"/>
      <w:szCs w:val="26"/>
      <w:lang w:eastAsia="en-GB"/>
    </w:rPr>
  </w:style>
  <w:style w:type="paragraph" w:customStyle="1" w:styleId="DefaultParagraphFontCharCharChar">
    <w:name w:val="Default Paragraph Font Char Char Char"/>
    <w:aliases w:val="Default Paragraph Font Para Char Char Char Char Char,Default Paragraph Font Char Char11 Char,Default Paragraph Font Char Char1 Char,Default Paragraph Font Para Char Char Char Char1 Char"/>
    <w:basedOn w:val="Normal"/>
    <w:rsid w:val="00A9755B"/>
    <w:pPr>
      <w:spacing w:after="160" w:line="240" w:lineRule="exact"/>
    </w:pPr>
    <w:rPr>
      <w:rFonts w:eastAsia="Times New Roman" w:cs="Arial"/>
      <w:szCs w:val="20"/>
      <w:lang w:val="en-US"/>
    </w:rPr>
  </w:style>
  <w:style w:type="table" w:styleId="Table3Deffects1">
    <w:name w:val="Table 3D effects 1"/>
    <w:basedOn w:val="TableNormal"/>
    <w:rsid w:val="00A9755B"/>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1">
    <w:name w:val="Table Grid 1"/>
    <w:basedOn w:val="TableNormal"/>
    <w:rsid w:val="00A9755B"/>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st1">
    <w:name w:val="st1"/>
    <w:basedOn w:val="DefaultParagraphFont"/>
    <w:rsid w:val="00A9755B"/>
  </w:style>
  <w:style w:type="table" w:styleId="LightList-Accent1">
    <w:name w:val="Light List Accent 1"/>
    <w:basedOn w:val="TableNormal"/>
    <w:uiPriority w:val="61"/>
    <w:rsid w:val="00A9755B"/>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ListParagraphChar">
    <w:name w:val="List Paragraph Char"/>
    <w:aliases w:val="TOC style Char,lp1 Char,Bullet OSM Char,Proposal Bullet List Char,Dot pt Char,No Spacing1 Char,List Paragraph Char Char Char Char,Indicator Text Char,Numbered Para 1 Char,List Paragraph à moi Char,Welt L Char Char,Welt L Char1"/>
    <w:basedOn w:val="DefaultParagraphFont"/>
    <w:link w:val="ListParagraph"/>
    <w:uiPriority w:val="34"/>
    <w:qFormat/>
    <w:rsid w:val="00845451"/>
    <w:rPr>
      <w:rFonts w:ascii="Arial" w:hAnsi="Arial"/>
      <w:szCs w:val="22"/>
      <w:lang w:eastAsia="en-US"/>
    </w:rPr>
  </w:style>
  <w:style w:type="paragraph" w:styleId="Subtitle">
    <w:name w:val="Subtitle"/>
    <w:basedOn w:val="Normal"/>
    <w:next w:val="Para1"/>
    <w:link w:val="SubtitleChar"/>
    <w:uiPriority w:val="1"/>
    <w:rsid w:val="00277C14"/>
    <w:pPr>
      <w:spacing w:after="240" w:line="280" w:lineRule="exact"/>
      <w:jc w:val="center"/>
    </w:pPr>
    <w:rPr>
      <w:rFonts w:ascii="Times New Roman" w:eastAsiaTheme="minorHAnsi" w:hAnsi="Times New Roman" w:cs="Arial"/>
      <w:sz w:val="24"/>
      <w:szCs w:val="24"/>
    </w:rPr>
  </w:style>
  <w:style w:type="character" w:customStyle="1" w:styleId="SubtitleChar">
    <w:name w:val="Subtitle Char"/>
    <w:basedOn w:val="DefaultParagraphFont"/>
    <w:link w:val="Subtitle"/>
    <w:uiPriority w:val="1"/>
    <w:rsid w:val="00277C14"/>
    <w:rPr>
      <w:rFonts w:ascii="Times New Roman" w:eastAsiaTheme="minorHAnsi" w:hAnsi="Times New Roman" w:cs="Arial"/>
      <w:sz w:val="24"/>
      <w:szCs w:val="24"/>
      <w:lang w:eastAsia="en-US"/>
    </w:rPr>
  </w:style>
  <w:style w:type="paragraph" w:customStyle="1" w:styleId="TableCell">
    <w:name w:val="Table Cell"/>
    <w:basedOn w:val="Normal"/>
    <w:uiPriority w:val="10"/>
    <w:qFormat/>
    <w:rsid w:val="00277C14"/>
    <w:pPr>
      <w:keepNext/>
      <w:keepLines/>
      <w:tabs>
        <w:tab w:val="left" w:pos="340"/>
        <w:tab w:val="left" w:pos="680"/>
      </w:tabs>
      <w:spacing w:before="20" w:after="20" w:line="280" w:lineRule="exact"/>
      <w:jc w:val="right"/>
    </w:pPr>
    <w:rPr>
      <w:rFonts w:ascii="Arial Narrow" w:eastAsia="SimSun" w:hAnsi="Arial Narrow" w:cs="Arial"/>
      <w:sz w:val="17"/>
      <w:szCs w:val="18"/>
    </w:rPr>
  </w:style>
  <w:style w:type="paragraph" w:styleId="EndnoteText">
    <w:name w:val="endnote text"/>
    <w:basedOn w:val="FootnoteText"/>
    <w:link w:val="EndnoteTextChar"/>
    <w:semiHidden/>
    <w:rsid w:val="00277C14"/>
    <w:pPr>
      <w:spacing w:after="120" w:line="280" w:lineRule="exact"/>
      <w:ind w:left="680" w:right="680"/>
      <w:jc w:val="both"/>
    </w:pPr>
    <w:rPr>
      <w:rFonts w:ascii="Times New Roman" w:eastAsia="SimSun" w:hAnsi="Times New Roman"/>
      <w:sz w:val="20"/>
    </w:rPr>
  </w:style>
  <w:style w:type="character" w:customStyle="1" w:styleId="EndnoteTextChar">
    <w:name w:val="Endnote Text Char"/>
    <w:basedOn w:val="DefaultParagraphFont"/>
    <w:link w:val="EndnoteText"/>
    <w:semiHidden/>
    <w:rsid w:val="00277C14"/>
    <w:rPr>
      <w:rFonts w:ascii="Times New Roman" w:eastAsia="SimSun" w:hAnsi="Times New Roman"/>
      <w:lang w:eastAsia="en-US"/>
    </w:rPr>
  </w:style>
  <w:style w:type="paragraph" w:customStyle="1" w:styleId="Numberedlist2">
    <w:name w:val="Numbered list 2"/>
    <w:basedOn w:val="Normal"/>
    <w:next w:val="Para1"/>
    <w:uiPriority w:val="7"/>
    <w:qFormat/>
    <w:rsid w:val="00277C14"/>
    <w:pPr>
      <w:keepNext/>
      <w:spacing w:after="120" w:line="280" w:lineRule="exact"/>
      <w:ind w:left="680" w:right="680"/>
      <w:jc w:val="center"/>
    </w:pPr>
    <w:rPr>
      <w:rFonts w:ascii="Cambria" w:eastAsia="SimSun" w:hAnsi="Cambria" w:cs="Arial"/>
      <w:sz w:val="22"/>
      <w:szCs w:val="20"/>
    </w:rPr>
  </w:style>
  <w:style w:type="paragraph" w:styleId="Index1">
    <w:name w:val="index 1"/>
    <w:basedOn w:val="Normal"/>
    <w:next w:val="Normal"/>
    <w:semiHidden/>
    <w:rsid w:val="00277C14"/>
    <w:pPr>
      <w:spacing w:after="120" w:line="280" w:lineRule="exact"/>
      <w:ind w:left="220" w:hanging="220"/>
      <w:jc w:val="both"/>
    </w:pPr>
    <w:rPr>
      <w:rFonts w:ascii="Times New Roman" w:eastAsia="SimSun" w:hAnsi="Times New Roman"/>
      <w:sz w:val="22"/>
      <w:szCs w:val="20"/>
    </w:rPr>
  </w:style>
  <w:style w:type="paragraph" w:styleId="IndexHeading">
    <w:name w:val="index heading"/>
    <w:basedOn w:val="Normal"/>
    <w:next w:val="BodyText"/>
    <w:semiHidden/>
    <w:rsid w:val="00277C14"/>
    <w:pPr>
      <w:keepNext/>
      <w:spacing w:before="1200" w:after="720" w:line="280" w:lineRule="exact"/>
      <w:jc w:val="center"/>
    </w:pPr>
    <w:rPr>
      <w:rFonts w:ascii="Times New Roman" w:eastAsia="SimSun" w:hAnsi="Times New Roman"/>
      <w:b/>
      <w:bCs/>
      <w:caps/>
      <w:sz w:val="22"/>
      <w:szCs w:val="20"/>
    </w:rPr>
  </w:style>
  <w:style w:type="paragraph" w:styleId="List">
    <w:name w:val="List"/>
    <w:basedOn w:val="Normal"/>
    <w:semiHidden/>
    <w:rsid w:val="00277C14"/>
    <w:pPr>
      <w:spacing w:after="120" w:line="280" w:lineRule="exact"/>
      <w:ind w:left="850" w:hanging="283"/>
      <w:jc w:val="both"/>
    </w:pPr>
    <w:rPr>
      <w:rFonts w:ascii="Times New Roman" w:eastAsia="SimSun" w:hAnsi="Times New Roman"/>
      <w:sz w:val="22"/>
      <w:szCs w:val="20"/>
    </w:rPr>
  </w:style>
  <w:style w:type="paragraph" w:styleId="List3">
    <w:name w:val="List 3"/>
    <w:basedOn w:val="Normal"/>
    <w:semiHidden/>
    <w:rsid w:val="00277C14"/>
    <w:pPr>
      <w:spacing w:after="120" w:line="280" w:lineRule="exact"/>
      <w:ind w:left="1417" w:hanging="283"/>
      <w:jc w:val="both"/>
    </w:pPr>
    <w:rPr>
      <w:rFonts w:ascii="Times New Roman" w:eastAsia="SimSun" w:hAnsi="Times New Roman"/>
      <w:sz w:val="22"/>
      <w:szCs w:val="20"/>
    </w:rPr>
  </w:style>
  <w:style w:type="paragraph" w:styleId="List4">
    <w:name w:val="List 4"/>
    <w:basedOn w:val="Normal"/>
    <w:semiHidden/>
    <w:rsid w:val="00277C14"/>
    <w:pPr>
      <w:spacing w:after="120" w:line="280" w:lineRule="exact"/>
      <w:jc w:val="both"/>
    </w:pPr>
    <w:rPr>
      <w:rFonts w:ascii="Times New Roman" w:eastAsia="SimSun" w:hAnsi="Times New Roman"/>
      <w:sz w:val="22"/>
      <w:szCs w:val="20"/>
    </w:rPr>
  </w:style>
  <w:style w:type="paragraph" w:styleId="List5">
    <w:name w:val="List 5"/>
    <w:basedOn w:val="Normal"/>
    <w:semiHidden/>
    <w:rsid w:val="00277C14"/>
    <w:pPr>
      <w:spacing w:after="120" w:line="280" w:lineRule="exact"/>
      <w:ind w:left="1984" w:hanging="283"/>
      <w:jc w:val="both"/>
    </w:pPr>
    <w:rPr>
      <w:rFonts w:ascii="Times New Roman" w:eastAsia="SimSun" w:hAnsi="Times New Roman"/>
      <w:sz w:val="22"/>
      <w:szCs w:val="20"/>
    </w:rPr>
  </w:style>
  <w:style w:type="paragraph" w:styleId="ListBullet">
    <w:name w:val="List Bullet"/>
    <w:basedOn w:val="Normal"/>
    <w:rsid w:val="00277C14"/>
    <w:pPr>
      <w:numPr>
        <w:numId w:val="15"/>
      </w:numPr>
      <w:tabs>
        <w:tab w:val="clear" w:pos="850"/>
        <w:tab w:val="left" w:pos="567"/>
      </w:tabs>
      <w:spacing w:after="120" w:line="280" w:lineRule="exact"/>
      <w:ind w:left="567" w:hanging="227"/>
      <w:jc w:val="both"/>
    </w:pPr>
    <w:rPr>
      <w:rFonts w:ascii="Times New Roman" w:eastAsia="SimSun" w:hAnsi="Times New Roman"/>
      <w:sz w:val="22"/>
      <w:szCs w:val="20"/>
    </w:rPr>
  </w:style>
  <w:style w:type="paragraph" w:styleId="ListBullet3">
    <w:name w:val="List Bullet 3"/>
    <w:basedOn w:val="Normal"/>
    <w:semiHidden/>
    <w:rsid w:val="00277C14"/>
    <w:pPr>
      <w:numPr>
        <w:numId w:val="16"/>
      </w:numPr>
      <w:spacing w:after="120" w:line="280" w:lineRule="exact"/>
      <w:jc w:val="both"/>
    </w:pPr>
    <w:rPr>
      <w:rFonts w:ascii="Times New Roman" w:eastAsia="SimSun" w:hAnsi="Times New Roman"/>
      <w:sz w:val="22"/>
      <w:szCs w:val="20"/>
    </w:rPr>
  </w:style>
  <w:style w:type="paragraph" w:styleId="ListBullet4">
    <w:name w:val="List Bullet 4"/>
    <w:basedOn w:val="Normal"/>
    <w:semiHidden/>
    <w:rsid w:val="00277C14"/>
    <w:pPr>
      <w:numPr>
        <w:numId w:val="17"/>
      </w:numPr>
      <w:spacing w:after="120" w:line="280" w:lineRule="exact"/>
      <w:jc w:val="both"/>
    </w:pPr>
    <w:rPr>
      <w:rFonts w:ascii="Times New Roman" w:eastAsia="SimSun" w:hAnsi="Times New Roman"/>
      <w:sz w:val="22"/>
      <w:szCs w:val="20"/>
    </w:rPr>
  </w:style>
  <w:style w:type="paragraph" w:styleId="ListBullet5">
    <w:name w:val="List Bullet 5"/>
    <w:basedOn w:val="Normal"/>
    <w:semiHidden/>
    <w:rsid w:val="00277C14"/>
    <w:pPr>
      <w:numPr>
        <w:numId w:val="18"/>
      </w:numPr>
      <w:spacing w:after="120" w:line="280" w:lineRule="exact"/>
      <w:jc w:val="both"/>
    </w:pPr>
    <w:rPr>
      <w:rFonts w:ascii="Times New Roman" w:eastAsia="SimSun" w:hAnsi="Times New Roman"/>
      <w:sz w:val="22"/>
      <w:szCs w:val="20"/>
    </w:rPr>
  </w:style>
  <w:style w:type="paragraph" w:styleId="ListContinue">
    <w:name w:val="List Continue"/>
    <w:basedOn w:val="Normal"/>
    <w:semiHidden/>
    <w:rsid w:val="00277C14"/>
    <w:pPr>
      <w:spacing w:after="120" w:line="280" w:lineRule="exact"/>
      <w:ind w:left="850"/>
      <w:jc w:val="both"/>
    </w:pPr>
    <w:rPr>
      <w:rFonts w:ascii="Times New Roman" w:eastAsia="SimSun" w:hAnsi="Times New Roman"/>
      <w:sz w:val="22"/>
      <w:szCs w:val="20"/>
    </w:rPr>
  </w:style>
  <w:style w:type="paragraph" w:styleId="ListContinue2">
    <w:name w:val="List Continue 2"/>
    <w:basedOn w:val="Normal"/>
    <w:semiHidden/>
    <w:rsid w:val="00277C14"/>
    <w:pPr>
      <w:spacing w:after="120" w:line="280" w:lineRule="exact"/>
      <w:ind w:left="1191"/>
      <w:jc w:val="both"/>
    </w:pPr>
    <w:rPr>
      <w:rFonts w:ascii="Times New Roman" w:eastAsia="SimSun" w:hAnsi="Times New Roman"/>
      <w:sz w:val="22"/>
      <w:szCs w:val="20"/>
    </w:rPr>
  </w:style>
  <w:style w:type="paragraph" w:styleId="ListContinue3">
    <w:name w:val="List Continue 3"/>
    <w:basedOn w:val="Normal"/>
    <w:semiHidden/>
    <w:rsid w:val="00277C14"/>
    <w:pPr>
      <w:spacing w:after="120" w:line="280" w:lineRule="exact"/>
      <w:ind w:left="1474"/>
      <w:jc w:val="both"/>
    </w:pPr>
    <w:rPr>
      <w:rFonts w:ascii="Times New Roman" w:eastAsia="SimSun" w:hAnsi="Times New Roman"/>
      <w:sz w:val="22"/>
      <w:szCs w:val="20"/>
    </w:rPr>
  </w:style>
  <w:style w:type="paragraph" w:styleId="ListContinue4">
    <w:name w:val="List Continue 4"/>
    <w:basedOn w:val="Normal"/>
    <w:semiHidden/>
    <w:rsid w:val="00277C14"/>
    <w:pPr>
      <w:spacing w:after="120" w:line="280" w:lineRule="exact"/>
      <w:ind w:left="1757"/>
      <w:jc w:val="both"/>
    </w:pPr>
    <w:rPr>
      <w:rFonts w:ascii="Times New Roman" w:eastAsia="SimSun" w:hAnsi="Times New Roman"/>
      <w:sz w:val="22"/>
      <w:szCs w:val="20"/>
    </w:rPr>
  </w:style>
  <w:style w:type="paragraph" w:styleId="ListContinue5">
    <w:name w:val="List Continue 5"/>
    <w:basedOn w:val="Normal"/>
    <w:semiHidden/>
    <w:rsid w:val="00277C14"/>
    <w:pPr>
      <w:spacing w:after="120" w:line="280" w:lineRule="exact"/>
      <w:ind w:left="2041"/>
      <w:jc w:val="both"/>
    </w:pPr>
    <w:rPr>
      <w:rFonts w:ascii="Times New Roman" w:eastAsia="SimSun" w:hAnsi="Times New Roman"/>
      <w:sz w:val="22"/>
      <w:szCs w:val="20"/>
    </w:rPr>
  </w:style>
  <w:style w:type="paragraph" w:styleId="ListNumber2">
    <w:name w:val="List Number 2"/>
    <w:basedOn w:val="Normal"/>
    <w:rsid w:val="00277C14"/>
    <w:pPr>
      <w:tabs>
        <w:tab w:val="num" w:pos="1191"/>
        <w:tab w:val="left" w:pos="1417"/>
      </w:tabs>
      <w:spacing w:after="120" w:line="280" w:lineRule="exact"/>
      <w:ind w:left="1191" w:hanging="341"/>
      <w:jc w:val="both"/>
    </w:pPr>
    <w:rPr>
      <w:rFonts w:ascii="Times New Roman" w:eastAsia="SimSun" w:hAnsi="Times New Roman"/>
      <w:sz w:val="22"/>
      <w:szCs w:val="20"/>
    </w:rPr>
  </w:style>
  <w:style w:type="paragraph" w:styleId="ListNumber3">
    <w:name w:val="List Number 3"/>
    <w:basedOn w:val="Normal"/>
    <w:rsid w:val="00277C14"/>
    <w:pPr>
      <w:tabs>
        <w:tab w:val="num" w:pos="1474"/>
        <w:tab w:val="left" w:pos="1701"/>
      </w:tabs>
      <w:spacing w:after="120" w:line="280" w:lineRule="exact"/>
      <w:ind w:left="1474" w:hanging="340"/>
      <w:jc w:val="both"/>
    </w:pPr>
    <w:rPr>
      <w:rFonts w:ascii="Times New Roman" w:eastAsia="SimSun" w:hAnsi="Times New Roman"/>
      <w:sz w:val="22"/>
      <w:szCs w:val="20"/>
    </w:rPr>
  </w:style>
  <w:style w:type="paragraph" w:styleId="ListNumber4">
    <w:name w:val="List Number 4"/>
    <w:basedOn w:val="Normal"/>
    <w:rsid w:val="00277C14"/>
    <w:pPr>
      <w:tabs>
        <w:tab w:val="num" w:pos="1757"/>
        <w:tab w:val="left" w:pos="1984"/>
      </w:tabs>
      <w:spacing w:after="120" w:line="280" w:lineRule="exact"/>
      <w:ind w:left="1757" w:hanging="340"/>
      <w:jc w:val="both"/>
    </w:pPr>
    <w:rPr>
      <w:rFonts w:ascii="Times New Roman" w:eastAsia="SimSun" w:hAnsi="Times New Roman"/>
      <w:sz w:val="22"/>
      <w:szCs w:val="20"/>
    </w:rPr>
  </w:style>
  <w:style w:type="paragraph" w:styleId="ListNumber5">
    <w:name w:val="List Number 5"/>
    <w:basedOn w:val="Normal"/>
    <w:rsid w:val="00277C14"/>
    <w:pPr>
      <w:tabs>
        <w:tab w:val="num" w:pos="360"/>
        <w:tab w:val="left" w:pos="2268"/>
      </w:tabs>
      <w:spacing w:after="120" w:line="280" w:lineRule="exact"/>
      <w:jc w:val="both"/>
    </w:pPr>
    <w:rPr>
      <w:rFonts w:ascii="Times New Roman" w:eastAsia="SimSun" w:hAnsi="Times New Roman"/>
      <w:sz w:val="22"/>
      <w:szCs w:val="20"/>
    </w:rPr>
  </w:style>
  <w:style w:type="paragraph" w:customStyle="1" w:styleId="Sourcenotes">
    <w:name w:val="Source &amp; notes"/>
    <w:basedOn w:val="Normal"/>
    <w:uiPriority w:val="9"/>
    <w:qFormat/>
    <w:rsid w:val="00277C14"/>
    <w:pPr>
      <w:keepLines/>
      <w:spacing w:before="120" w:after="240" w:line="280" w:lineRule="exact"/>
      <w:ind w:left="680" w:right="680"/>
      <w:contextualSpacing/>
      <w:jc w:val="both"/>
    </w:pPr>
    <w:rPr>
      <w:rFonts w:ascii="Times New Roman" w:eastAsia="SimSun" w:hAnsi="Times New Roman" w:cs="Arial"/>
      <w:sz w:val="18"/>
      <w:szCs w:val="18"/>
    </w:rPr>
  </w:style>
  <w:style w:type="paragraph" w:styleId="BlockText">
    <w:name w:val="Block Text"/>
    <w:basedOn w:val="Normal"/>
    <w:semiHidden/>
    <w:rsid w:val="00277C14"/>
    <w:pPr>
      <w:spacing w:after="120" w:line="280" w:lineRule="exact"/>
      <w:ind w:left="1440" w:right="1440"/>
      <w:jc w:val="both"/>
    </w:pPr>
    <w:rPr>
      <w:rFonts w:ascii="Times New Roman" w:eastAsia="SimSun" w:hAnsi="Times New Roman"/>
      <w:sz w:val="22"/>
      <w:szCs w:val="20"/>
    </w:rPr>
  </w:style>
  <w:style w:type="numbering" w:customStyle="1" w:styleId="NumberedNote">
    <w:name w:val="Numbered Note"/>
    <w:basedOn w:val="NoList"/>
    <w:rsid w:val="00277C14"/>
    <w:pPr>
      <w:numPr>
        <w:numId w:val="11"/>
      </w:numPr>
    </w:pPr>
  </w:style>
  <w:style w:type="numbering" w:customStyle="1" w:styleId="BulletedNote">
    <w:name w:val="Bulleted Note"/>
    <w:basedOn w:val="NoList"/>
    <w:rsid w:val="00277C14"/>
    <w:pPr>
      <w:numPr>
        <w:numId w:val="12"/>
      </w:numPr>
    </w:pPr>
  </w:style>
  <w:style w:type="numbering" w:customStyle="1" w:styleId="NumericNote">
    <w:name w:val="Numeric Note"/>
    <w:basedOn w:val="NoList"/>
    <w:rsid w:val="00277C14"/>
    <w:pPr>
      <w:numPr>
        <w:numId w:val="13"/>
      </w:numPr>
    </w:pPr>
  </w:style>
  <w:style w:type="numbering" w:customStyle="1" w:styleId="AlphaNote">
    <w:name w:val="Alpha Note"/>
    <w:basedOn w:val="NoList"/>
    <w:rsid w:val="00277C14"/>
    <w:pPr>
      <w:numPr>
        <w:numId w:val="14"/>
      </w:numPr>
    </w:pPr>
  </w:style>
  <w:style w:type="paragraph" w:styleId="EnvelopeAddress">
    <w:name w:val="envelope address"/>
    <w:basedOn w:val="Normal"/>
    <w:semiHidden/>
    <w:rsid w:val="00277C14"/>
    <w:pPr>
      <w:framePr w:w="7938" w:h="1985" w:hRule="exact" w:hSpace="141" w:wrap="auto" w:hAnchor="page" w:xAlign="center" w:yAlign="bottom"/>
      <w:spacing w:after="120" w:line="280" w:lineRule="exact"/>
      <w:ind w:left="2835"/>
      <w:jc w:val="both"/>
    </w:pPr>
    <w:rPr>
      <w:rFonts w:eastAsia="SimSun" w:cs="Arial"/>
      <w:sz w:val="24"/>
      <w:szCs w:val="24"/>
    </w:rPr>
  </w:style>
  <w:style w:type="paragraph" w:styleId="EnvelopeReturn">
    <w:name w:val="envelope return"/>
    <w:basedOn w:val="Normal"/>
    <w:semiHidden/>
    <w:rsid w:val="00277C14"/>
    <w:pPr>
      <w:spacing w:after="120" w:line="280" w:lineRule="exact"/>
      <w:jc w:val="both"/>
    </w:pPr>
    <w:rPr>
      <w:rFonts w:eastAsia="SimSun" w:cs="Arial"/>
      <w:sz w:val="22"/>
      <w:szCs w:val="20"/>
    </w:rPr>
  </w:style>
  <w:style w:type="paragraph" w:styleId="HTMLAddress">
    <w:name w:val="HTML Address"/>
    <w:basedOn w:val="Normal"/>
    <w:link w:val="HTMLAddressChar"/>
    <w:semiHidden/>
    <w:rsid w:val="00277C14"/>
    <w:pPr>
      <w:spacing w:after="120" w:line="280" w:lineRule="exact"/>
      <w:jc w:val="both"/>
    </w:pPr>
    <w:rPr>
      <w:rFonts w:ascii="Times New Roman" w:eastAsia="SimSun" w:hAnsi="Times New Roman"/>
      <w:i/>
      <w:iCs/>
      <w:sz w:val="22"/>
      <w:szCs w:val="20"/>
    </w:rPr>
  </w:style>
  <w:style w:type="character" w:customStyle="1" w:styleId="HTMLAddressChar">
    <w:name w:val="HTML Address Char"/>
    <w:basedOn w:val="DefaultParagraphFont"/>
    <w:link w:val="HTMLAddress"/>
    <w:semiHidden/>
    <w:rsid w:val="00277C14"/>
    <w:rPr>
      <w:rFonts w:ascii="Times New Roman" w:eastAsia="SimSun" w:hAnsi="Times New Roman"/>
      <w:i/>
      <w:iCs/>
      <w:sz w:val="22"/>
      <w:lang w:eastAsia="en-US"/>
    </w:rPr>
  </w:style>
  <w:style w:type="paragraph" w:styleId="Date">
    <w:name w:val="Date"/>
    <w:basedOn w:val="Normal"/>
    <w:next w:val="Normal"/>
    <w:link w:val="DateChar"/>
    <w:unhideWhenUsed/>
    <w:rsid w:val="00277C14"/>
    <w:pPr>
      <w:spacing w:after="120" w:line="280" w:lineRule="exact"/>
      <w:jc w:val="both"/>
    </w:pPr>
    <w:rPr>
      <w:rFonts w:ascii="Times New Roman" w:eastAsia="SimSun" w:hAnsi="Times New Roman"/>
      <w:sz w:val="22"/>
      <w:szCs w:val="20"/>
    </w:rPr>
  </w:style>
  <w:style w:type="character" w:customStyle="1" w:styleId="DateChar">
    <w:name w:val="Date Char"/>
    <w:basedOn w:val="DefaultParagraphFont"/>
    <w:link w:val="Date"/>
    <w:rsid w:val="00277C14"/>
    <w:rPr>
      <w:rFonts w:ascii="Times New Roman" w:eastAsia="SimSun" w:hAnsi="Times New Roman"/>
      <w:sz w:val="22"/>
      <w:lang w:eastAsia="en-US"/>
    </w:rPr>
  </w:style>
  <w:style w:type="paragraph" w:styleId="MessageHeader">
    <w:name w:val="Message Header"/>
    <w:basedOn w:val="Normal"/>
    <w:link w:val="MessageHeaderChar"/>
    <w:semiHidden/>
    <w:rsid w:val="00277C14"/>
    <w:pPr>
      <w:pBdr>
        <w:top w:val="single" w:sz="6" w:space="1" w:color="auto"/>
        <w:left w:val="single" w:sz="6" w:space="1" w:color="auto"/>
        <w:bottom w:val="single" w:sz="6" w:space="1" w:color="auto"/>
        <w:right w:val="single" w:sz="6" w:space="1" w:color="auto"/>
      </w:pBdr>
      <w:shd w:val="pct20" w:color="auto" w:fill="auto"/>
      <w:spacing w:after="120" w:line="280" w:lineRule="exact"/>
      <w:ind w:left="1134" w:hanging="1134"/>
      <w:jc w:val="both"/>
    </w:pPr>
    <w:rPr>
      <w:rFonts w:eastAsia="SimSun" w:cs="Arial"/>
      <w:sz w:val="24"/>
      <w:szCs w:val="24"/>
    </w:rPr>
  </w:style>
  <w:style w:type="character" w:customStyle="1" w:styleId="MessageHeaderChar">
    <w:name w:val="Message Header Char"/>
    <w:basedOn w:val="DefaultParagraphFont"/>
    <w:link w:val="MessageHeader"/>
    <w:semiHidden/>
    <w:rsid w:val="00277C14"/>
    <w:rPr>
      <w:rFonts w:ascii="Arial" w:eastAsia="SimSun" w:hAnsi="Arial" w:cs="Arial"/>
      <w:sz w:val="24"/>
      <w:szCs w:val="24"/>
      <w:shd w:val="pct20" w:color="auto" w:fill="auto"/>
      <w:lang w:eastAsia="en-US"/>
    </w:rPr>
  </w:style>
  <w:style w:type="paragraph" w:styleId="DocumentMap">
    <w:name w:val="Document Map"/>
    <w:basedOn w:val="Normal"/>
    <w:link w:val="DocumentMapChar"/>
    <w:semiHidden/>
    <w:rsid w:val="00277C14"/>
    <w:pPr>
      <w:shd w:val="clear" w:color="auto" w:fill="000080"/>
      <w:spacing w:after="120" w:line="280" w:lineRule="exact"/>
      <w:jc w:val="both"/>
    </w:pPr>
    <w:rPr>
      <w:rFonts w:ascii="Times New Roman" w:eastAsia="SimSun" w:hAnsi="Times New Roman" w:cs="Tahoma"/>
      <w:sz w:val="22"/>
      <w:szCs w:val="20"/>
    </w:rPr>
  </w:style>
  <w:style w:type="character" w:customStyle="1" w:styleId="DocumentMapChar">
    <w:name w:val="Document Map Char"/>
    <w:basedOn w:val="DefaultParagraphFont"/>
    <w:link w:val="DocumentMap"/>
    <w:semiHidden/>
    <w:rsid w:val="00277C14"/>
    <w:rPr>
      <w:rFonts w:ascii="Times New Roman" w:eastAsia="SimSun" w:hAnsi="Times New Roman" w:cs="Tahoma"/>
      <w:sz w:val="22"/>
      <w:shd w:val="clear" w:color="auto" w:fill="000080"/>
      <w:lang w:eastAsia="en-US"/>
    </w:rPr>
  </w:style>
  <w:style w:type="paragraph" w:styleId="Closing">
    <w:name w:val="Closing"/>
    <w:basedOn w:val="Normal"/>
    <w:link w:val="ClosingChar"/>
    <w:semiHidden/>
    <w:rsid w:val="00277C14"/>
    <w:pPr>
      <w:spacing w:after="120" w:line="280" w:lineRule="exact"/>
      <w:ind w:left="4252"/>
      <w:jc w:val="both"/>
    </w:pPr>
    <w:rPr>
      <w:rFonts w:ascii="Times New Roman" w:eastAsia="SimSun" w:hAnsi="Times New Roman"/>
      <w:sz w:val="22"/>
      <w:szCs w:val="20"/>
    </w:rPr>
  </w:style>
  <w:style w:type="character" w:customStyle="1" w:styleId="ClosingChar">
    <w:name w:val="Closing Char"/>
    <w:basedOn w:val="DefaultParagraphFont"/>
    <w:link w:val="Closing"/>
    <w:semiHidden/>
    <w:rsid w:val="00277C14"/>
    <w:rPr>
      <w:rFonts w:ascii="Times New Roman" w:eastAsia="SimSun" w:hAnsi="Times New Roman"/>
      <w:sz w:val="22"/>
      <w:lang w:eastAsia="en-US"/>
    </w:rPr>
  </w:style>
  <w:style w:type="paragraph" w:styleId="Index2">
    <w:name w:val="index 2"/>
    <w:basedOn w:val="Normal"/>
    <w:next w:val="Normal"/>
    <w:semiHidden/>
    <w:rsid w:val="00277C14"/>
    <w:pPr>
      <w:spacing w:after="120" w:line="280" w:lineRule="exact"/>
      <w:ind w:left="440" w:hanging="220"/>
      <w:jc w:val="both"/>
    </w:pPr>
    <w:rPr>
      <w:rFonts w:ascii="Times New Roman" w:eastAsia="SimSun" w:hAnsi="Times New Roman"/>
      <w:sz w:val="22"/>
      <w:szCs w:val="20"/>
    </w:rPr>
  </w:style>
  <w:style w:type="paragraph" w:styleId="Index3">
    <w:name w:val="index 3"/>
    <w:basedOn w:val="Normal"/>
    <w:next w:val="Normal"/>
    <w:semiHidden/>
    <w:rsid w:val="00277C14"/>
    <w:pPr>
      <w:spacing w:after="120" w:line="280" w:lineRule="exact"/>
      <w:ind w:left="660" w:hanging="220"/>
      <w:jc w:val="both"/>
    </w:pPr>
    <w:rPr>
      <w:rFonts w:ascii="Times New Roman" w:eastAsia="SimSun" w:hAnsi="Times New Roman"/>
      <w:sz w:val="22"/>
      <w:szCs w:val="20"/>
    </w:rPr>
  </w:style>
  <w:style w:type="paragraph" w:styleId="Index4">
    <w:name w:val="index 4"/>
    <w:basedOn w:val="Normal"/>
    <w:next w:val="Normal"/>
    <w:semiHidden/>
    <w:rsid w:val="00277C14"/>
    <w:pPr>
      <w:spacing w:after="120" w:line="280" w:lineRule="exact"/>
      <w:ind w:left="880" w:hanging="220"/>
      <w:jc w:val="both"/>
    </w:pPr>
    <w:rPr>
      <w:rFonts w:ascii="Times New Roman" w:eastAsia="SimSun" w:hAnsi="Times New Roman"/>
      <w:sz w:val="22"/>
      <w:szCs w:val="20"/>
    </w:rPr>
  </w:style>
  <w:style w:type="paragraph" w:styleId="Index5">
    <w:name w:val="index 5"/>
    <w:basedOn w:val="Normal"/>
    <w:next w:val="Normal"/>
    <w:semiHidden/>
    <w:rsid w:val="00277C14"/>
    <w:pPr>
      <w:spacing w:after="120" w:line="280" w:lineRule="exact"/>
      <w:ind w:left="1100" w:hanging="220"/>
      <w:jc w:val="both"/>
    </w:pPr>
    <w:rPr>
      <w:rFonts w:ascii="Times New Roman" w:eastAsia="SimSun" w:hAnsi="Times New Roman"/>
      <w:sz w:val="22"/>
      <w:szCs w:val="20"/>
    </w:rPr>
  </w:style>
  <w:style w:type="paragraph" w:styleId="Index6">
    <w:name w:val="index 6"/>
    <w:basedOn w:val="Normal"/>
    <w:next w:val="Normal"/>
    <w:semiHidden/>
    <w:rsid w:val="00277C14"/>
    <w:pPr>
      <w:spacing w:after="120" w:line="280" w:lineRule="exact"/>
      <w:ind w:left="1320" w:hanging="220"/>
      <w:jc w:val="both"/>
    </w:pPr>
    <w:rPr>
      <w:rFonts w:ascii="Times New Roman" w:eastAsia="SimSun" w:hAnsi="Times New Roman"/>
      <w:sz w:val="22"/>
      <w:szCs w:val="20"/>
    </w:rPr>
  </w:style>
  <w:style w:type="paragraph" w:styleId="Index7">
    <w:name w:val="index 7"/>
    <w:basedOn w:val="Normal"/>
    <w:next w:val="Normal"/>
    <w:semiHidden/>
    <w:rsid w:val="00277C14"/>
    <w:pPr>
      <w:spacing w:after="120" w:line="280" w:lineRule="exact"/>
      <w:ind w:left="1540" w:hanging="220"/>
      <w:jc w:val="both"/>
    </w:pPr>
    <w:rPr>
      <w:rFonts w:ascii="Times New Roman" w:eastAsia="SimSun" w:hAnsi="Times New Roman"/>
      <w:sz w:val="22"/>
      <w:szCs w:val="20"/>
    </w:rPr>
  </w:style>
  <w:style w:type="paragraph" w:styleId="Index8">
    <w:name w:val="index 8"/>
    <w:basedOn w:val="Normal"/>
    <w:next w:val="Normal"/>
    <w:semiHidden/>
    <w:rsid w:val="00277C14"/>
    <w:pPr>
      <w:spacing w:after="120" w:line="280" w:lineRule="exact"/>
      <w:ind w:left="1760" w:hanging="220"/>
      <w:jc w:val="both"/>
    </w:pPr>
    <w:rPr>
      <w:rFonts w:ascii="Times New Roman" w:eastAsia="SimSun" w:hAnsi="Times New Roman"/>
      <w:sz w:val="22"/>
      <w:szCs w:val="20"/>
    </w:rPr>
  </w:style>
  <w:style w:type="paragraph" w:styleId="Index9">
    <w:name w:val="index 9"/>
    <w:basedOn w:val="Normal"/>
    <w:next w:val="Normal"/>
    <w:semiHidden/>
    <w:rsid w:val="00277C14"/>
    <w:pPr>
      <w:spacing w:after="120" w:line="280" w:lineRule="exact"/>
      <w:ind w:left="1980" w:hanging="220"/>
      <w:jc w:val="both"/>
    </w:pPr>
    <w:rPr>
      <w:rFonts w:ascii="Times New Roman" w:eastAsia="SimSun" w:hAnsi="Times New Roman"/>
      <w:sz w:val="22"/>
      <w:szCs w:val="20"/>
    </w:rPr>
  </w:style>
  <w:style w:type="paragraph" w:styleId="HTMLPreformatted">
    <w:name w:val="HTML Preformatted"/>
    <w:basedOn w:val="Normal"/>
    <w:link w:val="HTMLPreformattedChar"/>
    <w:semiHidden/>
    <w:rsid w:val="00277C14"/>
    <w:pPr>
      <w:spacing w:after="120" w:line="280" w:lineRule="exact"/>
      <w:jc w:val="both"/>
    </w:pPr>
    <w:rPr>
      <w:rFonts w:ascii="Courier New" w:eastAsia="SimSun" w:hAnsi="Courier New" w:cs="Courier New"/>
      <w:sz w:val="22"/>
      <w:szCs w:val="20"/>
    </w:rPr>
  </w:style>
  <w:style w:type="character" w:customStyle="1" w:styleId="HTMLPreformattedChar">
    <w:name w:val="HTML Preformatted Char"/>
    <w:basedOn w:val="DefaultParagraphFont"/>
    <w:link w:val="HTMLPreformatted"/>
    <w:semiHidden/>
    <w:rsid w:val="00277C14"/>
    <w:rPr>
      <w:rFonts w:ascii="Courier New" w:eastAsia="SimSun" w:hAnsi="Courier New" w:cs="Courier New"/>
      <w:sz w:val="22"/>
      <w:lang w:eastAsia="en-US"/>
    </w:rPr>
  </w:style>
  <w:style w:type="paragraph" w:styleId="BodyTextFirstIndent">
    <w:name w:val="Body Text First Indent"/>
    <w:basedOn w:val="BodyText"/>
    <w:link w:val="BodyTextFirstIndentChar"/>
    <w:semiHidden/>
    <w:rsid w:val="00277C14"/>
    <w:pPr>
      <w:spacing w:after="120" w:line="280" w:lineRule="exact"/>
      <w:ind w:firstLine="210"/>
      <w:jc w:val="both"/>
    </w:pPr>
    <w:rPr>
      <w:rFonts w:eastAsia="SimSun"/>
      <w:b w:val="0"/>
      <w:sz w:val="22"/>
      <w:u w:val="none"/>
    </w:rPr>
  </w:style>
  <w:style w:type="character" w:customStyle="1" w:styleId="BodyTextFirstIndentChar">
    <w:name w:val="Body Text First Indent Char"/>
    <w:basedOn w:val="BodyTextChar"/>
    <w:link w:val="BodyTextFirstIndent"/>
    <w:semiHidden/>
    <w:rsid w:val="00277C14"/>
    <w:rPr>
      <w:rFonts w:ascii="Times New Roman" w:eastAsia="SimSun" w:hAnsi="Times New Roman"/>
      <w:b w:val="0"/>
      <w:sz w:val="22"/>
      <w:u w:val="single"/>
      <w:lang w:eastAsia="en-US"/>
    </w:rPr>
  </w:style>
  <w:style w:type="paragraph" w:styleId="BodyTextIndent2">
    <w:name w:val="Body Text Indent 2"/>
    <w:basedOn w:val="Normal"/>
    <w:link w:val="BodyTextIndent2Char"/>
    <w:semiHidden/>
    <w:rsid w:val="00277C14"/>
    <w:pPr>
      <w:spacing w:after="120" w:line="480" w:lineRule="auto"/>
      <w:ind w:left="283"/>
      <w:jc w:val="both"/>
    </w:pPr>
    <w:rPr>
      <w:rFonts w:ascii="Times New Roman" w:eastAsia="SimSun" w:hAnsi="Times New Roman"/>
      <w:sz w:val="22"/>
      <w:szCs w:val="20"/>
    </w:rPr>
  </w:style>
  <w:style w:type="character" w:customStyle="1" w:styleId="BodyTextIndent2Char">
    <w:name w:val="Body Text Indent 2 Char"/>
    <w:basedOn w:val="DefaultParagraphFont"/>
    <w:link w:val="BodyTextIndent2"/>
    <w:semiHidden/>
    <w:rsid w:val="00277C14"/>
    <w:rPr>
      <w:rFonts w:ascii="Times New Roman" w:eastAsia="SimSun" w:hAnsi="Times New Roman"/>
      <w:sz w:val="22"/>
      <w:lang w:eastAsia="en-US"/>
    </w:rPr>
  </w:style>
  <w:style w:type="paragraph" w:styleId="BodyTextIndent3">
    <w:name w:val="Body Text Indent 3"/>
    <w:basedOn w:val="Normal"/>
    <w:link w:val="BodyTextIndent3Char"/>
    <w:semiHidden/>
    <w:rsid w:val="00277C14"/>
    <w:pPr>
      <w:spacing w:after="120" w:line="280" w:lineRule="exact"/>
      <w:ind w:left="283"/>
      <w:jc w:val="both"/>
    </w:pPr>
    <w:rPr>
      <w:rFonts w:ascii="Times New Roman" w:eastAsia="SimSun" w:hAnsi="Times New Roman"/>
      <w:sz w:val="16"/>
      <w:szCs w:val="16"/>
    </w:rPr>
  </w:style>
  <w:style w:type="character" w:customStyle="1" w:styleId="BodyTextIndent3Char">
    <w:name w:val="Body Text Indent 3 Char"/>
    <w:basedOn w:val="DefaultParagraphFont"/>
    <w:link w:val="BodyTextIndent3"/>
    <w:semiHidden/>
    <w:rsid w:val="00277C14"/>
    <w:rPr>
      <w:rFonts w:ascii="Times New Roman" w:eastAsia="SimSun" w:hAnsi="Times New Roman"/>
      <w:sz w:val="16"/>
      <w:szCs w:val="16"/>
      <w:lang w:eastAsia="en-US"/>
    </w:rPr>
  </w:style>
  <w:style w:type="paragraph" w:styleId="BodyTextFirstIndent2">
    <w:name w:val="Body Text First Indent 2"/>
    <w:basedOn w:val="BodyTextIndent"/>
    <w:link w:val="BodyTextFirstIndent2Char"/>
    <w:semiHidden/>
    <w:rsid w:val="00277C14"/>
    <w:pPr>
      <w:tabs>
        <w:tab w:val="clear" w:pos="570"/>
      </w:tabs>
      <w:spacing w:after="120" w:line="280" w:lineRule="exact"/>
      <w:ind w:left="442" w:firstLine="210"/>
    </w:pPr>
    <w:rPr>
      <w:rFonts w:eastAsia="SimSun"/>
      <w:szCs w:val="20"/>
      <w:lang w:eastAsia="en-US"/>
    </w:rPr>
  </w:style>
  <w:style w:type="character" w:customStyle="1" w:styleId="BodyTextFirstIndent2Char">
    <w:name w:val="Body Text First Indent 2 Char"/>
    <w:basedOn w:val="BodyTextIndentChar"/>
    <w:link w:val="BodyTextFirstIndent2"/>
    <w:semiHidden/>
    <w:rsid w:val="00277C14"/>
    <w:rPr>
      <w:rFonts w:ascii="Times New Roman" w:eastAsia="SimSun" w:hAnsi="Times New Roman"/>
      <w:sz w:val="22"/>
      <w:szCs w:val="24"/>
      <w:lang w:eastAsia="en-US"/>
    </w:rPr>
  </w:style>
  <w:style w:type="paragraph" w:styleId="NormalIndent">
    <w:name w:val="Normal Indent"/>
    <w:basedOn w:val="Normal"/>
    <w:semiHidden/>
    <w:rsid w:val="00277C14"/>
    <w:pPr>
      <w:spacing w:after="120" w:line="280" w:lineRule="exact"/>
      <w:ind w:left="708"/>
      <w:jc w:val="both"/>
    </w:pPr>
    <w:rPr>
      <w:rFonts w:ascii="Times New Roman" w:eastAsia="SimSun" w:hAnsi="Times New Roman"/>
      <w:sz w:val="22"/>
      <w:szCs w:val="20"/>
    </w:rPr>
  </w:style>
  <w:style w:type="paragraph" w:styleId="Salutation">
    <w:name w:val="Salutation"/>
    <w:basedOn w:val="Normal"/>
    <w:next w:val="Normal"/>
    <w:link w:val="SalutationChar"/>
    <w:semiHidden/>
    <w:rsid w:val="00277C14"/>
    <w:pPr>
      <w:spacing w:after="120" w:line="280" w:lineRule="exact"/>
      <w:jc w:val="both"/>
    </w:pPr>
    <w:rPr>
      <w:rFonts w:ascii="Times New Roman" w:eastAsia="SimSun" w:hAnsi="Times New Roman"/>
      <w:sz w:val="22"/>
      <w:szCs w:val="20"/>
    </w:rPr>
  </w:style>
  <w:style w:type="character" w:customStyle="1" w:styleId="SalutationChar">
    <w:name w:val="Salutation Char"/>
    <w:basedOn w:val="DefaultParagraphFont"/>
    <w:link w:val="Salutation"/>
    <w:semiHidden/>
    <w:rsid w:val="00277C14"/>
    <w:rPr>
      <w:rFonts w:ascii="Times New Roman" w:eastAsia="SimSun" w:hAnsi="Times New Roman"/>
      <w:sz w:val="22"/>
      <w:lang w:eastAsia="en-US"/>
    </w:rPr>
  </w:style>
  <w:style w:type="paragraph" w:styleId="Signature">
    <w:name w:val="Signature"/>
    <w:basedOn w:val="Normal"/>
    <w:link w:val="SignatureChar"/>
    <w:semiHidden/>
    <w:rsid w:val="00277C14"/>
    <w:pPr>
      <w:spacing w:after="120" w:line="280" w:lineRule="exact"/>
      <w:ind w:left="4252"/>
      <w:jc w:val="both"/>
    </w:pPr>
    <w:rPr>
      <w:rFonts w:ascii="Times New Roman" w:eastAsia="SimSun" w:hAnsi="Times New Roman"/>
      <w:sz w:val="22"/>
      <w:szCs w:val="20"/>
    </w:rPr>
  </w:style>
  <w:style w:type="character" w:customStyle="1" w:styleId="SignatureChar">
    <w:name w:val="Signature Char"/>
    <w:basedOn w:val="DefaultParagraphFont"/>
    <w:link w:val="Signature"/>
    <w:semiHidden/>
    <w:rsid w:val="00277C14"/>
    <w:rPr>
      <w:rFonts w:ascii="Times New Roman" w:eastAsia="SimSun" w:hAnsi="Times New Roman"/>
      <w:sz w:val="22"/>
      <w:lang w:eastAsia="en-US"/>
    </w:rPr>
  </w:style>
  <w:style w:type="paragraph" w:styleId="E-mailSignature">
    <w:name w:val="E-mail Signature"/>
    <w:basedOn w:val="Normal"/>
    <w:link w:val="E-mailSignatureChar"/>
    <w:semiHidden/>
    <w:rsid w:val="00277C14"/>
    <w:pPr>
      <w:spacing w:after="120" w:line="280" w:lineRule="exact"/>
      <w:jc w:val="both"/>
    </w:pPr>
    <w:rPr>
      <w:rFonts w:ascii="Times New Roman" w:eastAsia="SimSun" w:hAnsi="Times New Roman"/>
      <w:sz w:val="22"/>
      <w:szCs w:val="20"/>
    </w:rPr>
  </w:style>
  <w:style w:type="character" w:customStyle="1" w:styleId="E-mailSignatureChar">
    <w:name w:val="E-mail Signature Char"/>
    <w:basedOn w:val="DefaultParagraphFont"/>
    <w:link w:val="E-mailSignature"/>
    <w:semiHidden/>
    <w:rsid w:val="00277C14"/>
    <w:rPr>
      <w:rFonts w:ascii="Times New Roman" w:eastAsia="SimSun" w:hAnsi="Times New Roman"/>
      <w:sz w:val="22"/>
      <w:lang w:eastAsia="en-US"/>
    </w:rPr>
  </w:style>
  <w:style w:type="paragraph" w:styleId="TableofFigures">
    <w:name w:val="table of figures"/>
    <w:basedOn w:val="Normal"/>
    <w:next w:val="Normal"/>
    <w:uiPriority w:val="99"/>
    <w:unhideWhenUsed/>
    <w:rsid w:val="00277C14"/>
    <w:pPr>
      <w:tabs>
        <w:tab w:val="right" w:leader="dot" w:pos="9072"/>
      </w:tabs>
      <w:spacing w:after="120" w:line="280" w:lineRule="exact"/>
      <w:ind w:left="442" w:hanging="442"/>
      <w:jc w:val="both"/>
    </w:pPr>
    <w:rPr>
      <w:rFonts w:ascii="Times New Roman" w:eastAsia="SimSun" w:hAnsi="Times New Roman"/>
      <w:sz w:val="22"/>
      <w:szCs w:val="20"/>
    </w:rPr>
  </w:style>
  <w:style w:type="paragraph" w:styleId="TableofAuthorities">
    <w:name w:val="table of authorities"/>
    <w:basedOn w:val="Normal"/>
    <w:next w:val="Normal"/>
    <w:semiHidden/>
    <w:rsid w:val="00277C14"/>
    <w:pPr>
      <w:spacing w:after="120" w:line="280" w:lineRule="exact"/>
      <w:ind w:left="220" w:hanging="220"/>
      <w:jc w:val="both"/>
    </w:pPr>
    <w:rPr>
      <w:rFonts w:ascii="Times New Roman" w:eastAsia="SimSun" w:hAnsi="Times New Roman"/>
      <w:sz w:val="22"/>
      <w:szCs w:val="20"/>
    </w:rPr>
  </w:style>
  <w:style w:type="paragraph" w:styleId="MacroText">
    <w:name w:val="macro"/>
    <w:link w:val="MacroTextChar"/>
    <w:semiHidden/>
    <w:rsid w:val="00277C14"/>
    <w:pPr>
      <w:tabs>
        <w:tab w:val="left" w:pos="480"/>
        <w:tab w:val="left" w:pos="960"/>
        <w:tab w:val="left" w:pos="1440"/>
        <w:tab w:val="left" w:pos="1920"/>
        <w:tab w:val="left" w:pos="2400"/>
        <w:tab w:val="left" w:pos="2880"/>
        <w:tab w:val="left" w:pos="3360"/>
        <w:tab w:val="left" w:pos="3840"/>
        <w:tab w:val="left" w:pos="4320"/>
      </w:tabs>
      <w:spacing w:after="160" w:line="259" w:lineRule="auto"/>
      <w:jc w:val="both"/>
    </w:pPr>
    <w:rPr>
      <w:rFonts w:ascii="Courier New" w:eastAsia="SimSun" w:hAnsi="Courier New" w:cs="Courier New"/>
      <w:position w:val="6"/>
      <w:lang w:eastAsia="zh-CN"/>
    </w:rPr>
  </w:style>
  <w:style w:type="character" w:customStyle="1" w:styleId="MacroTextChar">
    <w:name w:val="Macro Text Char"/>
    <w:basedOn w:val="DefaultParagraphFont"/>
    <w:link w:val="MacroText"/>
    <w:semiHidden/>
    <w:rsid w:val="00277C14"/>
    <w:rPr>
      <w:rFonts w:ascii="Courier New" w:eastAsia="SimSun" w:hAnsi="Courier New" w:cs="Courier New"/>
      <w:position w:val="6"/>
      <w:lang w:eastAsia="zh-CN"/>
    </w:rPr>
  </w:style>
  <w:style w:type="paragraph" w:styleId="NoteHeading">
    <w:name w:val="Note Heading"/>
    <w:basedOn w:val="Normal"/>
    <w:next w:val="Normal"/>
    <w:link w:val="NoteHeadingChar"/>
    <w:semiHidden/>
    <w:rsid w:val="00277C14"/>
    <w:pPr>
      <w:spacing w:after="120" w:line="280" w:lineRule="exact"/>
      <w:jc w:val="both"/>
    </w:pPr>
    <w:rPr>
      <w:rFonts w:ascii="Times New Roman" w:eastAsia="SimSun" w:hAnsi="Times New Roman"/>
      <w:sz w:val="22"/>
      <w:szCs w:val="20"/>
    </w:rPr>
  </w:style>
  <w:style w:type="character" w:customStyle="1" w:styleId="NoteHeadingChar">
    <w:name w:val="Note Heading Char"/>
    <w:basedOn w:val="DefaultParagraphFont"/>
    <w:link w:val="NoteHeading"/>
    <w:semiHidden/>
    <w:rsid w:val="00277C14"/>
    <w:rPr>
      <w:rFonts w:ascii="Times New Roman" w:eastAsia="SimSun" w:hAnsi="Times New Roman"/>
      <w:sz w:val="22"/>
      <w:lang w:eastAsia="en-US"/>
    </w:rPr>
  </w:style>
  <w:style w:type="paragraph" w:styleId="TOAHeading">
    <w:name w:val="toa heading"/>
    <w:basedOn w:val="Normal"/>
    <w:next w:val="Normal"/>
    <w:semiHidden/>
    <w:rsid w:val="00277C14"/>
    <w:pPr>
      <w:spacing w:before="120" w:after="120" w:line="280" w:lineRule="exact"/>
      <w:jc w:val="both"/>
    </w:pPr>
    <w:rPr>
      <w:rFonts w:eastAsia="SimSun" w:cs="Arial"/>
      <w:b/>
      <w:bCs/>
      <w:sz w:val="24"/>
      <w:szCs w:val="24"/>
    </w:rPr>
  </w:style>
  <w:style w:type="paragraph" w:styleId="Bibliography">
    <w:name w:val="Bibliography"/>
    <w:basedOn w:val="Normal"/>
    <w:next w:val="Normal"/>
    <w:uiPriority w:val="37"/>
    <w:unhideWhenUsed/>
    <w:rsid w:val="00277C14"/>
    <w:pPr>
      <w:spacing w:after="120" w:line="280" w:lineRule="exact"/>
      <w:ind w:left="284" w:hanging="284"/>
      <w:jc w:val="both"/>
    </w:pPr>
    <w:rPr>
      <w:rFonts w:ascii="Times New Roman" w:eastAsia="SimSun" w:hAnsi="Times New Roman"/>
      <w:sz w:val="22"/>
      <w:szCs w:val="20"/>
    </w:rPr>
  </w:style>
  <w:style w:type="paragraph" w:customStyle="1" w:styleId="IntenseQuote1">
    <w:name w:val="Intense Quote1"/>
    <w:basedOn w:val="Normal"/>
    <w:next w:val="Normal"/>
    <w:uiPriority w:val="30"/>
    <w:semiHidden/>
    <w:rsid w:val="00277C14"/>
    <w:pPr>
      <w:pBdr>
        <w:top w:val="single" w:sz="4" w:space="10" w:color="404040"/>
        <w:bottom w:val="single" w:sz="4" w:space="10" w:color="404040"/>
      </w:pBdr>
      <w:spacing w:before="360" w:after="360" w:line="280" w:lineRule="exact"/>
      <w:ind w:left="864" w:right="864"/>
      <w:jc w:val="center"/>
    </w:pPr>
    <w:rPr>
      <w:rFonts w:ascii="Times New Roman" w:eastAsia="SimSun" w:hAnsi="Times New Roman"/>
      <w:i/>
      <w:iCs/>
      <w:color w:val="404040"/>
      <w:sz w:val="22"/>
      <w:szCs w:val="20"/>
    </w:rPr>
  </w:style>
  <w:style w:type="character" w:customStyle="1" w:styleId="IntenseQuoteChar">
    <w:name w:val="Intense Quote Char"/>
    <w:basedOn w:val="DefaultParagraphFont"/>
    <w:link w:val="IntenseQuote"/>
    <w:uiPriority w:val="30"/>
    <w:rsid w:val="00277C14"/>
    <w:rPr>
      <w:i/>
      <w:iCs/>
      <w:color w:val="404040"/>
    </w:rPr>
  </w:style>
  <w:style w:type="paragraph" w:styleId="Quote">
    <w:name w:val="Quote"/>
    <w:aliases w:val="Quotation (long)"/>
    <w:basedOn w:val="Normal"/>
    <w:link w:val="QuoteChar"/>
    <w:uiPriority w:val="11"/>
    <w:qFormat/>
    <w:rsid w:val="00277C14"/>
    <w:pPr>
      <w:spacing w:after="120" w:line="280" w:lineRule="exact"/>
      <w:ind w:left="1021" w:right="1021"/>
      <w:jc w:val="both"/>
    </w:pPr>
    <w:rPr>
      <w:rFonts w:ascii="Times New Roman" w:eastAsia="SimSun" w:hAnsi="Times New Roman"/>
      <w:i/>
      <w:iCs/>
      <w:color w:val="404040"/>
      <w:sz w:val="22"/>
      <w:szCs w:val="20"/>
    </w:rPr>
  </w:style>
  <w:style w:type="character" w:customStyle="1" w:styleId="QuoteChar">
    <w:name w:val="Quote Char"/>
    <w:aliases w:val="Quotation (long) Char"/>
    <w:basedOn w:val="DefaultParagraphFont"/>
    <w:link w:val="Quote"/>
    <w:uiPriority w:val="11"/>
    <w:rsid w:val="00277C14"/>
    <w:rPr>
      <w:rFonts w:ascii="Times New Roman" w:eastAsia="SimSun" w:hAnsi="Times New Roman"/>
      <w:i/>
      <w:iCs/>
      <w:color w:val="404040"/>
      <w:sz w:val="22"/>
      <w:lang w:eastAsia="en-US"/>
    </w:rPr>
  </w:style>
  <w:style w:type="paragraph" w:customStyle="1" w:styleId="Quotationshort">
    <w:name w:val="Quotation (short)"/>
    <w:basedOn w:val="Normal"/>
    <w:link w:val="QuotationshortChar"/>
    <w:uiPriority w:val="11"/>
    <w:qFormat/>
    <w:rsid w:val="00277C14"/>
    <w:pPr>
      <w:spacing w:after="120" w:line="280" w:lineRule="exact"/>
      <w:jc w:val="both"/>
    </w:pPr>
    <w:rPr>
      <w:rFonts w:ascii="Times New Roman" w:eastAsia="SimSun" w:hAnsi="Times New Roman"/>
      <w:i/>
      <w:color w:val="FF0000"/>
      <w:sz w:val="22"/>
      <w:szCs w:val="20"/>
    </w:rPr>
  </w:style>
  <w:style w:type="character" w:customStyle="1" w:styleId="QuotationshortChar">
    <w:name w:val="Quotation (short) Char"/>
    <w:basedOn w:val="DefaultParagraphFont"/>
    <w:link w:val="Quotationshort"/>
    <w:uiPriority w:val="11"/>
    <w:rsid w:val="00277C14"/>
    <w:rPr>
      <w:rFonts w:ascii="Times New Roman" w:eastAsia="SimSun" w:hAnsi="Times New Roman"/>
      <w:i/>
      <w:color w:val="FF0000"/>
      <w:sz w:val="22"/>
      <w:lang w:eastAsia="en-US"/>
    </w:rPr>
  </w:style>
  <w:style w:type="character" w:customStyle="1" w:styleId="Hyperlink1">
    <w:name w:val="Hyperlink1"/>
    <w:basedOn w:val="DefaultParagraphFont"/>
    <w:uiPriority w:val="99"/>
    <w:unhideWhenUsed/>
    <w:rsid w:val="00277C14"/>
    <w:rPr>
      <w:color w:val="2B3ECD"/>
      <w:u w:val="single"/>
    </w:rPr>
  </w:style>
  <w:style w:type="character" w:customStyle="1" w:styleId="FollowedHyperlink1">
    <w:name w:val="FollowedHyperlink1"/>
    <w:basedOn w:val="DefaultParagraphFont"/>
    <w:uiPriority w:val="99"/>
    <w:semiHidden/>
    <w:unhideWhenUsed/>
    <w:rsid w:val="00277C14"/>
    <w:rPr>
      <w:color w:val="800080"/>
      <w:u w:val="single"/>
    </w:rPr>
  </w:style>
  <w:style w:type="character" w:customStyle="1" w:styleId="SubtleEmphasis1">
    <w:name w:val="Subtle Emphasis1"/>
    <w:basedOn w:val="DefaultParagraphFont"/>
    <w:uiPriority w:val="19"/>
    <w:semiHidden/>
    <w:rsid w:val="00277C14"/>
    <w:rPr>
      <w:i/>
      <w:iCs/>
      <w:color w:val="404040"/>
    </w:rPr>
  </w:style>
  <w:style w:type="character" w:styleId="IntenseEmphasis">
    <w:name w:val="Intense Emphasis"/>
    <w:basedOn w:val="DefaultParagraphFont"/>
    <w:uiPriority w:val="21"/>
    <w:rsid w:val="00277C14"/>
    <w:rPr>
      <w:b/>
      <w:bCs/>
      <w:i/>
      <w:iCs/>
      <w:color w:val="auto"/>
    </w:rPr>
  </w:style>
  <w:style w:type="character" w:customStyle="1" w:styleId="SubtleReference1">
    <w:name w:val="Subtle Reference1"/>
    <w:basedOn w:val="DefaultParagraphFont"/>
    <w:uiPriority w:val="31"/>
    <w:semiHidden/>
    <w:rsid w:val="00277C14"/>
    <w:rPr>
      <w:smallCaps/>
      <w:color w:val="404040"/>
    </w:rPr>
  </w:style>
  <w:style w:type="character" w:customStyle="1" w:styleId="IntenseReference1">
    <w:name w:val="Intense Reference1"/>
    <w:basedOn w:val="DefaultParagraphFont"/>
    <w:uiPriority w:val="32"/>
    <w:semiHidden/>
    <w:rsid w:val="00277C14"/>
    <w:rPr>
      <w:b/>
      <w:bCs/>
      <w:smallCaps/>
      <w:color w:val="404040"/>
      <w:spacing w:val="5"/>
    </w:rPr>
  </w:style>
  <w:style w:type="paragraph" w:customStyle="1" w:styleId="CancelreplaceCoverpage">
    <w:name w:val="Cancel &amp; replace (Cover page)"/>
    <w:basedOn w:val="Normal"/>
    <w:uiPriority w:val="99"/>
    <w:unhideWhenUsed/>
    <w:rsid w:val="00277C14"/>
    <w:pPr>
      <w:autoSpaceDE w:val="0"/>
      <w:autoSpaceDN w:val="0"/>
      <w:adjustRightInd w:val="0"/>
      <w:spacing w:after="227" w:line="360" w:lineRule="atLeast"/>
      <w:jc w:val="both"/>
      <w:textAlignment w:val="center"/>
    </w:pPr>
    <w:rPr>
      <w:rFonts w:ascii="Times New Roman" w:eastAsia="SimSun" w:hAnsi="Times New Roman" w:cs="Bernini Sans Light"/>
      <w:b/>
      <w:position w:val="6"/>
      <w:sz w:val="22"/>
      <w:szCs w:val="28"/>
      <w:lang w:val="fr-FR"/>
    </w:rPr>
  </w:style>
  <w:style w:type="character" w:customStyle="1" w:styleId="HeaderTitle">
    <w:name w:val="Header Title"/>
    <w:uiPriority w:val="99"/>
    <w:unhideWhenUsed/>
    <w:rsid w:val="00277C14"/>
    <w:rPr>
      <w:sz w:val="18"/>
    </w:rPr>
  </w:style>
  <w:style w:type="paragraph" w:customStyle="1" w:styleId="Para">
    <w:name w:val="Para #"/>
    <w:basedOn w:val="Normal"/>
    <w:link w:val="ParaChar"/>
    <w:uiPriority w:val="4"/>
    <w:qFormat/>
    <w:rsid w:val="00277C14"/>
    <w:pPr>
      <w:numPr>
        <w:numId w:val="20"/>
      </w:numPr>
      <w:tabs>
        <w:tab w:val="clear" w:pos="0"/>
      </w:tabs>
      <w:spacing w:before="120" w:after="120" w:line="280" w:lineRule="exact"/>
      <w:jc w:val="both"/>
    </w:pPr>
    <w:rPr>
      <w:rFonts w:ascii="Cambria" w:eastAsia="SimSun" w:hAnsi="Cambria"/>
      <w:sz w:val="22"/>
      <w:szCs w:val="20"/>
    </w:rPr>
  </w:style>
  <w:style w:type="character" w:customStyle="1" w:styleId="ParaChar">
    <w:name w:val="Para # Char"/>
    <w:basedOn w:val="DefaultParagraphFont"/>
    <w:link w:val="Para"/>
    <w:uiPriority w:val="4"/>
    <w:rsid w:val="00277C14"/>
    <w:rPr>
      <w:rFonts w:ascii="Cambria" w:eastAsia="SimSun" w:hAnsi="Cambria"/>
      <w:sz w:val="22"/>
      <w:lang w:eastAsia="en-US"/>
    </w:rPr>
  </w:style>
  <w:style w:type="paragraph" w:customStyle="1" w:styleId="Para0">
    <w:name w:val="Para #.#"/>
    <w:basedOn w:val="Para"/>
    <w:uiPriority w:val="5"/>
    <w:rsid w:val="00277C14"/>
    <w:pPr>
      <w:numPr>
        <w:ilvl w:val="1"/>
        <w:numId w:val="21"/>
      </w:numPr>
      <w:tabs>
        <w:tab w:val="clear" w:pos="454"/>
      </w:tabs>
      <w:ind w:left="680" w:hanging="360"/>
    </w:pPr>
    <w:rPr>
      <w:rFonts w:eastAsia="Caecilia LT Std Roman"/>
      <w:lang w:val="fr-FR"/>
    </w:rPr>
  </w:style>
  <w:style w:type="character" w:customStyle="1" w:styleId="HeaderCoteChar">
    <w:name w:val="Header Cote (Char)"/>
    <w:basedOn w:val="DefaultParagraphFont"/>
    <w:uiPriority w:val="1"/>
    <w:unhideWhenUsed/>
    <w:rsid w:val="00277C14"/>
    <w:rPr>
      <w:rFonts w:ascii="Times New Roman" w:hAnsi="Times New Roman"/>
      <w:b w:val="0"/>
      <w:spacing w:val="0"/>
      <w:sz w:val="22"/>
    </w:rPr>
  </w:style>
  <w:style w:type="character" w:customStyle="1" w:styleId="HeaderClassificationChar">
    <w:name w:val="Header Classification (Char)"/>
    <w:basedOn w:val="DefaultParagraphFont"/>
    <w:uiPriority w:val="1"/>
    <w:unhideWhenUsed/>
    <w:rsid w:val="00277C14"/>
    <w:rPr>
      <w:rFonts w:ascii="Times New Roman" w:hAnsi="Times New Roman"/>
      <w:b w:val="0"/>
      <w:caps w:val="0"/>
      <w:smallCaps w:val="0"/>
      <w:spacing w:val="0"/>
      <w:sz w:val="16"/>
    </w:rPr>
  </w:style>
  <w:style w:type="numbering" w:customStyle="1" w:styleId="1Paragraphlist">
    <w:name w:val="1. Paragraph list"/>
    <w:uiPriority w:val="99"/>
    <w:rsid w:val="00277C14"/>
    <w:pPr>
      <w:numPr>
        <w:numId w:val="19"/>
      </w:numPr>
    </w:pPr>
  </w:style>
  <w:style w:type="paragraph" w:customStyle="1" w:styleId="CoverTitle">
    <w:name w:val="CoverTitle"/>
    <w:basedOn w:val="CoverNormal"/>
    <w:link w:val="CoverTitleChar"/>
    <w:unhideWhenUsed/>
    <w:rsid w:val="00277C14"/>
    <w:rPr>
      <w:b/>
      <w:sz w:val="24"/>
    </w:rPr>
  </w:style>
  <w:style w:type="paragraph" w:customStyle="1" w:styleId="CoverSubTitle">
    <w:name w:val="CoverSubTitle"/>
    <w:basedOn w:val="CoverNormal"/>
    <w:link w:val="CoverSubTitleChar"/>
    <w:unhideWhenUsed/>
    <w:rsid w:val="00277C14"/>
    <w:rPr>
      <w:b/>
    </w:rPr>
  </w:style>
  <w:style w:type="character" w:customStyle="1" w:styleId="CoverTitleChar">
    <w:name w:val="CoverTitle Char"/>
    <w:basedOn w:val="DefaultParagraphFont"/>
    <w:link w:val="CoverTitle"/>
    <w:rsid w:val="00277C14"/>
    <w:rPr>
      <w:rFonts w:ascii="Times New Roman" w:eastAsia="SimSun" w:hAnsi="Times New Roman"/>
      <w:b/>
      <w:sz w:val="24"/>
      <w:lang w:eastAsia="en-US"/>
    </w:rPr>
  </w:style>
  <w:style w:type="paragraph" w:customStyle="1" w:styleId="CoverCancel">
    <w:name w:val="CoverCancel"/>
    <w:basedOn w:val="CoverNormal"/>
    <w:link w:val="CoverCancelChar"/>
    <w:unhideWhenUsed/>
    <w:rsid w:val="00277C14"/>
    <w:pPr>
      <w:spacing w:before="240" w:line="312" w:lineRule="auto"/>
      <w:jc w:val="center"/>
    </w:pPr>
    <w:rPr>
      <w:b/>
      <w:szCs w:val="24"/>
    </w:rPr>
  </w:style>
  <w:style w:type="character" w:customStyle="1" w:styleId="CoverSubTitleChar">
    <w:name w:val="CoverSubTitle Char"/>
    <w:basedOn w:val="DefaultParagraphFont"/>
    <w:link w:val="CoverSubTitle"/>
    <w:rsid w:val="00277C14"/>
    <w:rPr>
      <w:rFonts w:ascii="Times New Roman" w:eastAsia="SimSun" w:hAnsi="Times New Roman"/>
      <w:b/>
      <w:sz w:val="22"/>
      <w:lang w:eastAsia="en-US"/>
    </w:rPr>
  </w:style>
  <w:style w:type="character" w:customStyle="1" w:styleId="CoverCancelChar">
    <w:name w:val="CoverCancel Char"/>
    <w:basedOn w:val="DefaultParagraphFont"/>
    <w:link w:val="CoverCancel"/>
    <w:rsid w:val="00277C14"/>
    <w:rPr>
      <w:rFonts w:ascii="Times New Roman" w:eastAsia="SimSun" w:hAnsi="Times New Roman"/>
      <w:b/>
      <w:sz w:val="22"/>
      <w:szCs w:val="24"/>
      <w:lang w:eastAsia="en-US"/>
    </w:rPr>
  </w:style>
  <w:style w:type="character" w:customStyle="1" w:styleId="CoverCote">
    <w:name w:val="CoverCote"/>
    <w:basedOn w:val="DefaultParagraphFont"/>
    <w:uiPriority w:val="1"/>
    <w:unhideWhenUsed/>
    <w:rsid w:val="00277C14"/>
    <w:rPr>
      <w:rFonts w:ascii="Times New Roman" w:hAnsi="Times New Roman"/>
      <w:b/>
      <w:i w:val="0"/>
      <w:caps/>
      <w:smallCaps w:val="0"/>
      <w:color w:val="auto"/>
      <w:sz w:val="22"/>
      <w:u w:val="none"/>
      <w:bdr w:val="none" w:sz="0" w:space="0" w:color="auto"/>
      <w:shd w:val="clear" w:color="auto" w:fill="auto"/>
    </w:rPr>
  </w:style>
  <w:style w:type="paragraph" w:customStyle="1" w:styleId="CoverNormal">
    <w:name w:val="CoverNormal"/>
    <w:basedOn w:val="Normal"/>
    <w:link w:val="CoverNormalChar"/>
    <w:unhideWhenUsed/>
    <w:rsid w:val="00277C14"/>
    <w:pPr>
      <w:spacing w:after="120" w:line="280" w:lineRule="exact"/>
      <w:jc w:val="both"/>
    </w:pPr>
    <w:rPr>
      <w:rFonts w:ascii="Times New Roman" w:eastAsia="SimSun" w:hAnsi="Times New Roman"/>
      <w:sz w:val="22"/>
      <w:szCs w:val="20"/>
    </w:rPr>
  </w:style>
  <w:style w:type="character" w:customStyle="1" w:styleId="CoverNormalChar">
    <w:name w:val="CoverNormal Char"/>
    <w:basedOn w:val="DefaultParagraphFont"/>
    <w:link w:val="CoverNormal"/>
    <w:rsid w:val="00277C14"/>
    <w:rPr>
      <w:rFonts w:ascii="Times New Roman" w:eastAsia="SimSun" w:hAnsi="Times New Roman"/>
      <w:sz w:val="22"/>
      <w:lang w:eastAsia="en-US"/>
    </w:rPr>
  </w:style>
  <w:style w:type="table" w:customStyle="1" w:styleId="TableGrid10">
    <w:name w:val="Table Grid1"/>
    <w:basedOn w:val="TableNormal"/>
    <w:next w:val="TableGrid"/>
    <w:uiPriority w:val="59"/>
    <w:rsid w:val="00277C14"/>
    <w:pPr>
      <w:jc w:val="both"/>
    </w:pPr>
    <w:rPr>
      <w:rFonts w:ascii="Georgia" w:eastAsiaTheme="minorHAnsi" w:hAnsi="Georgia"/>
      <w:position w:val="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Directorate">
    <w:name w:val="CoverDirectorate"/>
    <w:basedOn w:val="CoverNormal"/>
    <w:link w:val="CoverDirectorateChar"/>
    <w:unhideWhenUsed/>
    <w:rsid w:val="00277C14"/>
    <w:rPr>
      <w:b/>
      <w:color w:val="000000" w:themeColor="text1"/>
    </w:rPr>
  </w:style>
  <w:style w:type="character" w:customStyle="1" w:styleId="CoverDirectorateChar">
    <w:name w:val="CoverDirectorate Char"/>
    <w:basedOn w:val="CoverNormalChar"/>
    <w:link w:val="CoverDirectorate"/>
    <w:rsid w:val="00277C14"/>
    <w:rPr>
      <w:rFonts w:ascii="Times New Roman" w:eastAsia="SimSun" w:hAnsi="Times New Roman"/>
      <w:b/>
      <w:color w:val="000000" w:themeColor="text1"/>
      <w:sz w:val="22"/>
      <w:lang w:eastAsia="en-US"/>
    </w:rPr>
  </w:style>
  <w:style w:type="paragraph" w:customStyle="1" w:styleId="CoverAbstract">
    <w:name w:val="CoverAbstract"/>
    <w:basedOn w:val="CoverNormal"/>
    <w:link w:val="CoverAbstractChar"/>
    <w:unhideWhenUsed/>
    <w:rsid w:val="00277C14"/>
    <w:rPr>
      <w:rFonts w:cs="Arial"/>
      <w:b/>
      <w:szCs w:val="24"/>
    </w:rPr>
  </w:style>
  <w:style w:type="paragraph" w:customStyle="1" w:styleId="CoverDisclaimer">
    <w:name w:val="CoverDisclaimer"/>
    <w:basedOn w:val="Footer"/>
    <w:unhideWhenUsed/>
    <w:rsid w:val="00277C14"/>
    <w:pPr>
      <w:tabs>
        <w:tab w:val="clear" w:pos="4513"/>
        <w:tab w:val="clear" w:pos="9026"/>
      </w:tabs>
      <w:spacing w:after="120" w:line="312" w:lineRule="auto"/>
      <w:jc w:val="both"/>
    </w:pPr>
    <w:rPr>
      <w:rFonts w:ascii="Times New Roman" w:eastAsia="SimSun" w:hAnsi="Times New Roman"/>
      <w:b/>
      <w:i/>
      <w:color w:val="000000" w:themeColor="text1"/>
      <w:sz w:val="16"/>
      <w:szCs w:val="16"/>
    </w:rPr>
  </w:style>
  <w:style w:type="character" w:customStyle="1" w:styleId="CoverAbstractChar">
    <w:name w:val="CoverAbstract Char"/>
    <w:basedOn w:val="DefaultParagraphFont"/>
    <w:link w:val="CoverAbstract"/>
    <w:rsid w:val="00277C14"/>
    <w:rPr>
      <w:rFonts w:ascii="Times New Roman" w:eastAsia="SimSun" w:hAnsi="Times New Roman" w:cs="Arial"/>
      <w:b/>
      <w:sz w:val="22"/>
      <w:szCs w:val="24"/>
      <w:lang w:eastAsia="en-US"/>
    </w:rPr>
  </w:style>
  <w:style w:type="paragraph" w:customStyle="1" w:styleId="CoverJobTicket">
    <w:name w:val="CoverJobTicket"/>
    <w:basedOn w:val="CoverNormal"/>
    <w:unhideWhenUsed/>
    <w:rsid w:val="00277C14"/>
    <w:rPr>
      <w:b/>
    </w:rPr>
  </w:style>
  <w:style w:type="paragraph" w:customStyle="1" w:styleId="CoverDate">
    <w:name w:val="CoverDate"/>
    <w:basedOn w:val="CoverNormal"/>
    <w:link w:val="CoverDateChar"/>
    <w:unhideWhenUsed/>
    <w:rsid w:val="00277C14"/>
    <w:pPr>
      <w:widowControl w:val="0"/>
      <w:autoSpaceDE w:val="0"/>
      <w:autoSpaceDN w:val="0"/>
      <w:snapToGrid w:val="0"/>
      <w:jc w:val="right"/>
    </w:pPr>
    <w:rPr>
      <w:b/>
      <w:sz w:val="18"/>
    </w:rPr>
  </w:style>
  <w:style w:type="character" w:styleId="PlaceholderText">
    <w:name w:val="Placeholder Text"/>
    <w:basedOn w:val="DefaultParagraphFont"/>
    <w:uiPriority w:val="99"/>
    <w:semiHidden/>
    <w:rsid w:val="00277C14"/>
    <w:rPr>
      <w:color w:val="808080"/>
    </w:rPr>
  </w:style>
  <w:style w:type="table" w:customStyle="1" w:styleId="TableGridLight1">
    <w:name w:val="Table Grid Light1"/>
    <w:basedOn w:val="TableNormal"/>
    <w:next w:val="TableGridLight2"/>
    <w:uiPriority w:val="40"/>
    <w:rsid w:val="00277C14"/>
    <w:pPr>
      <w:jc w:val="both"/>
    </w:pPr>
    <w:rPr>
      <w:rFonts w:ascii="Georgia" w:eastAsiaTheme="minorHAnsi" w:hAnsi="Georgia"/>
      <w:position w:val="6"/>
      <w:lang w:val="fr-FR"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ara1">
    <w:name w:val="Para"/>
    <w:basedOn w:val="Normal"/>
    <w:uiPriority w:val="3"/>
    <w:qFormat/>
    <w:rsid w:val="00277C14"/>
    <w:pPr>
      <w:spacing w:before="120" w:after="120" w:line="280" w:lineRule="exact"/>
      <w:ind w:left="680" w:right="680"/>
      <w:jc w:val="both"/>
    </w:pPr>
    <w:rPr>
      <w:rFonts w:ascii="Times New Roman" w:eastAsia="SimSun" w:hAnsi="Times New Roman"/>
      <w:sz w:val="22"/>
      <w:szCs w:val="20"/>
    </w:rPr>
  </w:style>
  <w:style w:type="character" w:styleId="EndnoteReference">
    <w:name w:val="endnote reference"/>
    <w:basedOn w:val="DefaultParagraphFont"/>
    <w:uiPriority w:val="99"/>
    <w:unhideWhenUsed/>
    <w:rsid w:val="00277C14"/>
    <w:rPr>
      <w:rFonts w:ascii="Times New Roman" w:hAnsi="Times New Roman"/>
      <w:i w:val="0"/>
      <w:position w:val="0"/>
      <w:sz w:val="22"/>
      <w:vertAlign w:val="superscript"/>
    </w:rPr>
  </w:style>
  <w:style w:type="table" w:customStyle="1" w:styleId="PlainTable51">
    <w:name w:val="Plain Table 51"/>
    <w:basedOn w:val="TableNormal"/>
    <w:next w:val="PlainTable52"/>
    <w:uiPriority w:val="45"/>
    <w:rsid w:val="00277C14"/>
    <w:pPr>
      <w:jc w:val="both"/>
    </w:pPr>
    <w:rPr>
      <w:rFonts w:ascii="Georgia" w:eastAsia="SimSun" w:hAnsi="Georgia"/>
      <w:position w:val="6"/>
      <w:sz w:val="16"/>
      <w:lang w:val="en-US" w:eastAsia="en-US"/>
    </w:rPr>
    <w:tblPr>
      <w:tblStyleRowBandSize w:val="1"/>
      <w:tblStyleColBandSize w:val="1"/>
    </w:tblPr>
    <w:tblStylePr w:type="firstRow">
      <w:rPr>
        <w:rFonts w:ascii="Georgia" w:eastAsia="SimHei" w:hAnsi="Georgia" w:cs="Times New Roman"/>
        <w:i/>
        <w:iCs/>
        <w:sz w:val="26"/>
      </w:rPr>
      <w:tblPr/>
      <w:tcPr>
        <w:tcBorders>
          <w:bottom w:val="single" w:sz="4" w:space="0" w:color="7F7F7F"/>
        </w:tcBorders>
        <w:shd w:val="clear" w:color="auto" w:fill="FFFFFF"/>
      </w:tcPr>
    </w:tblStylePr>
    <w:tblStylePr w:type="lastRow">
      <w:rPr>
        <w:rFonts w:ascii="Georgia" w:eastAsia="SimHei" w:hAnsi="Georgia" w:cs="Times New Roman"/>
        <w:i/>
        <w:iCs/>
        <w:sz w:val="26"/>
      </w:rPr>
      <w:tblPr/>
      <w:tcPr>
        <w:tcBorders>
          <w:top w:val="single" w:sz="4" w:space="0" w:color="7F7F7F"/>
        </w:tcBorders>
        <w:shd w:val="clear" w:color="auto" w:fill="FFFFFF"/>
      </w:tcPr>
    </w:tblStylePr>
    <w:tblStylePr w:type="firstCol">
      <w:pPr>
        <w:jc w:val="right"/>
      </w:pPr>
      <w:rPr>
        <w:rFonts w:ascii="Georgia" w:eastAsia="SimHei" w:hAnsi="Georgia" w:cs="Times New Roman"/>
        <w:i/>
        <w:iCs/>
        <w:sz w:val="26"/>
      </w:rPr>
      <w:tblPr/>
      <w:tcPr>
        <w:tcBorders>
          <w:right w:val="single" w:sz="4" w:space="0" w:color="7F7F7F"/>
        </w:tcBorders>
        <w:shd w:val="clear" w:color="auto" w:fill="FFFFFF"/>
      </w:tcPr>
    </w:tblStylePr>
    <w:tblStylePr w:type="lastCol">
      <w:rPr>
        <w:rFonts w:ascii="Georgia" w:eastAsia="SimHei" w:hAnsi="Georg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1">
    <w:name w:val="Grid Table 1 Light - Accent 61"/>
    <w:basedOn w:val="TableNormal"/>
    <w:next w:val="GridTable1Light-Accent62"/>
    <w:uiPriority w:val="46"/>
    <w:rsid w:val="00277C14"/>
    <w:pPr>
      <w:jc w:val="both"/>
    </w:pPr>
    <w:rPr>
      <w:rFonts w:ascii="Georgia" w:eastAsia="SimSun" w:hAnsi="Georgia"/>
      <w:position w:val="6"/>
      <w:lang w:val="en-US" w:eastAsia="en-US"/>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paragraph" w:customStyle="1" w:styleId="TableRow">
    <w:name w:val="Table Row"/>
    <w:basedOn w:val="TableCell"/>
    <w:uiPriority w:val="10"/>
    <w:qFormat/>
    <w:rsid w:val="00277C14"/>
    <w:pPr>
      <w:jc w:val="left"/>
    </w:pPr>
  </w:style>
  <w:style w:type="table" w:customStyle="1" w:styleId="GridTable1Light-Accent51">
    <w:name w:val="Grid Table 1 Light - Accent 51"/>
    <w:basedOn w:val="TableNormal"/>
    <w:next w:val="GridTable1Light-Accent52"/>
    <w:uiPriority w:val="46"/>
    <w:rsid w:val="00277C14"/>
    <w:pPr>
      <w:jc w:val="both"/>
    </w:pPr>
    <w:rPr>
      <w:rFonts w:ascii="Georgia" w:eastAsia="SimSun" w:hAnsi="Georgia"/>
      <w:position w:val="6"/>
      <w:lang w:val="en-US" w:eastAsia="en-US"/>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table" w:customStyle="1" w:styleId="PlainTable31">
    <w:name w:val="Plain Table 31"/>
    <w:basedOn w:val="TableNormal"/>
    <w:next w:val="PlainTable32"/>
    <w:uiPriority w:val="43"/>
    <w:rsid w:val="00277C14"/>
    <w:pPr>
      <w:jc w:val="both"/>
    </w:pPr>
    <w:rPr>
      <w:rFonts w:ascii="Georgia" w:eastAsia="SimSun" w:hAnsi="Georgia"/>
      <w:position w:val="6"/>
      <w:lang w:val="en-US"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41">
    <w:name w:val="List Table 4 - Accent 41"/>
    <w:basedOn w:val="TableNormal"/>
    <w:next w:val="ListTable4-Accent42"/>
    <w:uiPriority w:val="49"/>
    <w:rsid w:val="00277C14"/>
    <w:pPr>
      <w:jc w:val="both"/>
    </w:pPr>
    <w:rPr>
      <w:rFonts w:ascii="Georgia" w:eastAsia="SimSun" w:hAnsi="Georgia"/>
      <w:position w:val="6"/>
      <w:lang w:val="en-US" w:eastAsia="en-US"/>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1Light-Accent41">
    <w:name w:val="Grid Table 1 Light - Accent 41"/>
    <w:basedOn w:val="TableNormal"/>
    <w:next w:val="GridTable1Light-Accent42"/>
    <w:uiPriority w:val="46"/>
    <w:rsid w:val="00277C14"/>
    <w:pPr>
      <w:jc w:val="both"/>
    </w:pPr>
    <w:rPr>
      <w:rFonts w:ascii="Georgia" w:eastAsia="SimSun" w:hAnsi="Georgia"/>
      <w:position w:val="6"/>
      <w:lang w:val="en-US" w:eastAsia="en-US"/>
    </w:rPr>
    <w:tblPr>
      <w:tblStyleRowBandSize w:val="1"/>
      <w:tblStyleColBandSize w:val="1"/>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Pr>
    <w:tblStylePr w:type="firstRow">
      <w:rPr>
        <w:b/>
        <w:bCs/>
      </w:rPr>
      <w:tblPr/>
      <w:tcPr>
        <w:tcBorders>
          <w:bottom w:val="single" w:sz="12" w:space="0" w:color="B2B2B2"/>
        </w:tcBorders>
      </w:tcPr>
    </w:tblStylePr>
    <w:tblStylePr w:type="lastRow">
      <w:rPr>
        <w:b/>
        <w:bCs/>
      </w:rPr>
      <w:tblPr/>
      <w:tcPr>
        <w:tcBorders>
          <w:top w:val="double" w:sz="2" w:space="0" w:color="B2B2B2"/>
        </w:tcBorders>
      </w:tcPr>
    </w:tblStylePr>
    <w:tblStylePr w:type="firstCol">
      <w:rPr>
        <w:b/>
        <w:bCs/>
      </w:rPr>
    </w:tblStylePr>
    <w:tblStylePr w:type="lastCol">
      <w:rPr>
        <w:b/>
        <w:bCs/>
      </w:rPr>
    </w:tblStylePr>
  </w:style>
  <w:style w:type="paragraph" w:customStyle="1" w:styleId="TableColumn">
    <w:name w:val="Table Column"/>
    <w:basedOn w:val="TableRow"/>
    <w:uiPriority w:val="10"/>
    <w:qFormat/>
    <w:rsid w:val="00277C14"/>
    <w:pPr>
      <w:jc w:val="center"/>
    </w:pPr>
  </w:style>
  <w:style w:type="table" w:customStyle="1" w:styleId="ListTable3-Accent31">
    <w:name w:val="List Table 3 - Accent 31"/>
    <w:basedOn w:val="TableNormal"/>
    <w:next w:val="ListTable3-Accent32"/>
    <w:uiPriority w:val="48"/>
    <w:rsid w:val="00277C14"/>
    <w:pPr>
      <w:jc w:val="both"/>
    </w:pPr>
    <w:rPr>
      <w:rFonts w:ascii="Georgia" w:eastAsia="SimSun" w:hAnsi="Georgia"/>
      <w:position w:val="6"/>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tblBorders>
    </w:tblPr>
    <w:tblStylePr w:type="firstRow">
      <w:rPr>
        <w:b/>
        <w:bCs/>
        <w:color w:val="FFFFFF"/>
      </w:rPr>
      <w:tblPr/>
      <w:tcPr>
        <w:shd w:val="clear" w:color="auto" w:fill="BFBFBF"/>
      </w:tcPr>
    </w:tblStylePr>
    <w:tblStylePr w:type="lastRow">
      <w:rPr>
        <w:b/>
        <w:bCs/>
      </w:rPr>
      <w:tblPr/>
      <w:tcPr>
        <w:tcBorders>
          <w:top w:val="double" w:sz="4" w:space="0" w:color="BFBFB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BFBFBF"/>
          <w:right w:val="single" w:sz="4" w:space="0" w:color="BFBFBF"/>
        </w:tcBorders>
      </w:tcPr>
    </w:tblStylePr>
    <w:tblStylePr w:type="band1Horz">
      <w:tblPr/>
      <w:tcPr>
        <w:tcBorders>
          <w:top w:val="single" w:sz="4" w:space="0" w:color="BFBFBF"/>
          <w:bottom w:val="single" w:sz="4" w:space="0" w:color="BFBFB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BFBF"/>
          <w:left w:val="nil"/>
        </w:tcBorders>
      </w:tcPr>
    </w:tblStylePr>
    <w:tblStylePr w:type="swCell">
      <w:tblPr/>
      <w:tcPr>
        <w:tcBorders>
          <w:top w:val="double" w:sz="4" w:space="0" w:color="BFBFBF"/>
          <w:right w:val="nil"/>
        </w:tcBorders>
      </w:tcPr>
    </w:tblStylePr>
  </w:style>
  <w:style w:type="table" w:customStyle="1" w:styleId="ListTable4-Accent51">
    <w:name w:val="List Table 4 - Accent 51"/>
    <w:basedOn w:val="TableNormal"/>
    <w:next w:val="ListTable4-Accent52"/>
    <w:uiPriority w:val="49"/>
    <w:rsid w:val="00277C14"/>
    <w:pPr>
      <w:jc w:val="both"/>
    </w:pPr>
    <w:rPr>
      <w:rFonts w:ascii="Georgia" w:eastAsia="SimSun" w:hAnsi="Georgia"/>
      <w:position w:val="6"/>
      <w:lang w:val="en-US" w:eastAsia="en-US"/>
    </w:rPr>
    <w:tblPr>
      <w:tblStyleRowBandSize w:val="1"/>
      <w:tblStyleColBandSize w:val="1"/>
      <w:tblBorders>
        <w:top w:val="single" w:sz="4" w:space="0" w:color="B2B2B2"/>
        <w:left w:val="single" w:sz="4" w:space="0" w:color="B2B2B2"/>
        <w:bottom w:val="single" w:sz="4" w:space="0" w:color="B2B2B2"/>
        <w:right w:val="single" w:sz="4" w:space="0" w:color="B2B2B2"/>
        <w:insideH w:val="single" w:sz="4" w:space="0" w:color="B2B2B2"/>
      </w:tblBorders>
    </w:tblPr>
    <w:tblStylePr w:type="firstRow">
      <w:rPr>
        <w:b/>
        <w:bCs/>
        <w:color w:val="FFFFFF"/>
      </w:rPr>
      <w:tblPr/>
      <w:tcPr>
        <w:tcBorders>
          <w:top w:val="single" w:sz="4" w:space="0" w:color="7F7F7F"/>
          <w:left w:val="single" w:sz="4" w:space="0" w:color="7F7F7F"/>
          <w:bottom w:val="single" w:sz="4" w:space="0" w:color="7F7F7F"/>
          <w:right w:val="single" w:sz="4" w:space="0" w:color="7F7F7F"/>
          <w:insideH w:val="nil"/>
        </w:tcBorders>
        <w:shd w:val="clear" w:color="auto" w:fill="7F7F7F"/>
      </w:tcPr>
    </w:tblStylePr>
    <w:tblStylePr w:type="lastRow">
      <w:rPr>
        <w:b/>
        <w:bCs/>
      </w:rPr>
      <w:tblPr/>
      <w:tcPr>
        <w:tcBorders>
          <w:top w:val="double" w:sz="4" w:space="0" w:color="B2B2B2"/>
        </w:tcBorders>
      </w:tcPr>
    </w:tblStylePr>
    <w:tblStylePr w:type="firstCol">
      <w:rPr>
        <w:b/>
        <w:bCs/>
        <w:color w:val="auto"/>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paragraph" w:customStyle="1" w:styleId="CoverClassification">
    <w:name w:val="CoverClassification"/>
    <w:basedOn w:val="CoverNormal"/>
    <w:unhideWhenUsed/>
    <w:rsid w:val="00277C14"/>
    <w:pPr>
      <w:autoSpaceDE w:val="0"/>
      <w:autoSpaceDN w:val="0"/>
      <w:adjustRightInd w:val="0"/>
      <w:jc w:val="right"/>
      <w:textAlignment w:val="center"/>
    </w:pPr>
    <w:rPr>
      <w:rFonts w:cs="Bernini Sans"/>
      <w:b/>
      <w:bCs/>
      <w:color w:val="000000"/>
      <w:lang w:val="fr-FR"/>
    </w:rPr>
  </w:style>
  <w:style w:type="paragraph" w:customStyle="1" w:styleId="CoverLanguage">
    <w:name w:val="CoverLanguage"/>
    <w:basedOn w:val="CoverNormal"/>
    <w:unhideWhenUsed/>
    <w:rsid w:val="00277C14"/>
    <w:pPr>
      <w:spacing w:before="40" w:after="40"/>
      <w:jc w:val="right"/>
    </w:pPr>
    <w:rPr>
      <w:b/>
    </w:rPr>
  </w:style>
  <w:style w:type="table" w:customStyle="1" w:styleId="ListTable4-Accent31">
    <w:name w:val="List Table 4 - Accent 31"/>
    <w:basedOn w:val="TableNormal"/>
    <w:next w:val="ListTable4-Accent32"/>
    <w:uiPriority w:val="49"/>
    <w:rsid w:val="00277C14"/>
    <w:pPr>
      <w:jc w:val="both"/>
    </w:pPr>
    <w:rPr>
      <w:rFonts w:ascii="Georgia" w:eastAsia="SimSun" w:hAnsi="Georgia"/>
      <w:position w:val="6"/>
      <w:lang w:val="en-US" w:eastAsia="en-US"/>
    </w:rPr>
    <w:tblPr>
      <w:tblStyleRowBandSize w:val="1"/>
      <w:tblStyleColBandSize w:val="1"/>
      <w:tblBorders>
        <w:top w:val="single" w:sz="4" w:space="0" w:color="D8D8D8"/>
        <w:left w:val="single" w:sz="4" w:space="0" w:color="D8D8D8"/>
        <w:bottom w:val="single" w:sz="4" w:space="0" w:color="D8D8D8"/>
        <w:right w:val="single" w:sz="4" w:space="0" w:color="D8D8D8"/>
        <w:insideH w:val="single" w:sz="4" w:space="0" w:color="D8D8D8"/>
      </w:tblBorders>
    </w:tblPr>
    <w:tblStylePr w:type="firstRow">
      <w:rPr>
        <w:b/>
        <w:bCs/>
        <w:color w:val="FFFFFF"/>
      </w:rPr>
      <w:tblPr/>
      <w:tcPr>
        <w:tcBorders>
          <w:top w:val="single" w:sz="4" w:space="0" w:color="BFBFBF"/>
          <w:left w:val="single" w:sz="4" w:space="0" w:color="BFBFBF"/>
          <w:bottom w:val="single" w:sz="4" w:space="0" w:color="BFBFBF"/>
          <w:right w:val="single" w:sz="4" w:space="0" w:color="BFBFBF"/>
          <w:insideH w:val="nil"/>
        </w:tcBorders>
        <w:shd w:val="clear" w:color="auto" w:fill="BFBFBF"/>
      </w:tcPr>
    </w:tblStylePr>
    <w:tblStylePr w:type="lastRow">
      <w:rPr>
        <w:b/>
        <w:bCs/>
      </w:rPr>
      <w:tblPr/>
      <w:tcPr>
        <w:tcBorders>
          <w:top w:val="double" w:sz="4" w:space="0" w:color="D8D8D8"/>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Accent31">
    <w:name w:val="Grid Table 1 Light - Accent 31"/>
    <w:basedOn w:val="TableNormal"/>
    <w:next w:val="GridTable1Light-Accent32"/>
    <w:uiPriority w:val="46"/>
    <w:rsid w:val="00277C14"/>
    <w:pPr>
      <w:jc w:val="both"/>
    </w:pPr>
    <w:rPr>
      <w:rFonts w:ascii="Georgia" w:eastAsia="SimSun" w:hAnsi="Georgia"/>
      <w:position w:val="6"/>
      <w:lang w:val="en-US" w:eastAsia="en-US"/>
    </w:rPr>
    <w:tblPr>
      <w:tblStyleRowBandSize w:val="1"/>
      <w:tblStyleColBandSize w:val="1"/>
      <w:tblBorders>
        <w:top w:val="single" w:sz="4" w:space="0" w:color="E5E5E5"/>
        <w:left w:val="single" w:sz="4" w:space="0" w:color="E5E5E5"/>
        <w:bottom w:val="single" w:sz="4" w:space="0" w:color="E5E5E5"/>
        <w:right w:val="single" w:sz="4" w:space="0" w:color="E5E5E5"/>
        <w:insideH w:val="single" w:sz="4" w:space="0" w:color="E5E5E5"/>
        <w:insideV w:val="single" w:sz="4" w:space="0" w:color="E5E5E5"/>
      </w:tblBorders>
    </w:tblPr>
    <w:tblStylePr w:type="firstRow">
      <w:rPr>
        <w:b/>
        <w:bCs/>
      </w:rPr>
      <w:tblPr/>
      <w:tcPr>
        <w:tcBorders>
          <w:bottom w:val="single" w:sz="12" w:space="0" w:color="D8D8D8"/>
        </w:tcBorders>
      </w:tcPr>
    </w:tblStylePr>
    <w:tblStylePr w:type="lastRow">
      <w:rPr>
        <w:b/>
        <w:bCs/>
      </w:rPr>
      <w:tblPr/>
      <w:tcPr>
        <w:tcBorders>
          <w:top w:val="double" w:sz="2" w:space="0" w:color="D8D8D8"/>
        </w:tcBorders>
      </w:tcPr>
    </w:tblStylePr>
    <w:tblStylePr w:type="firstCol">
      <w:rPr>
        <w:b/>
        <w:bCs/>
      </w:rPr>
    </w:tblStylePr>
    <w:tblStylePr w:type="lastCol">
      <w:rPr>
        <w:b/>
        <w:bCs/>
      </w:rPr>
    </w:tblStylePr>
  </w:style>
  <w:style w:type="table" w:customStyle="1" w:styleId="ListTable1Light-Accent61">
    <w:name w:val="List Table 1 Light - Accent 61"/>
    <w:basedOn w:val="TableNormal"/>
    <w:next w:val="ListTable1Light-Accent62"/>
    <w:uiPriority w:val="46"/>
    <w:rsid w:val="00277C14"/>
    <w:pPr>
      <w:jc w:val="both"/>
    </w:pPr>
    <w:rPr>
      <w:rFonts w:ascii="Georgia" w:eastAsia="SimSun" w:hAnsi="Georgia"/>
      <w:position w:val="6"/>
      <w:lang w:val="en-US" w:eastAsia="en-US"/>
    </w:rPr>
    <w:tblPr>
      <w:tblStyleRowBandSize w:val="1"/>
      <w:tblStyleColBandSize w:val="1"/>
    </w:tblPr>
    <w:tblStylePr w:type="firstRow">
      <w:rPr>
        <w:b/>
        <w:bCs/>
      </w:rPr>
      <w:tblPr/>
      <w:tcPr>
        <w:tcBorders>
          <w:bottom w:val="single" w:sz="4" w:space="0" w:color="B2B2B2"/>
        </w:tcBorders>
      </w:tcPr>
    </w:tblStylePr>
    <w:tblStylePr w:type="lastRow">
      <w:rPr>
        <w:b/>
        <w:bCs/>
      </w:rPr>
      <w:tblPr/>
      <w:tcPr>
        <w:tcBorders>
          <w:top w:val="single" w:sz="4" w:space="0" w:color="B2B2B2"/>
        </w:tcBorders>
      </w:tc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table" w:customStyle="1" w:styleId="GridTable6Colorful1">
    <w:name w:val="Grid Table 6 Colorful1"/>
    <w:basedOn w:val="TableNormal"/>
    <w:next w:val="GridTable6Colorful2"/>
    <w:uiPriority w:val="51"/>
    <w:rsid w:val="00277C14"/>
    <w:pPr>
      <w:jc w:val="both"/>
    </w:pPr>
    <w:rPr>
      <w:rFonts w:ascii="Georgia" w:eastAsia="SimSun" w:hAnsi="Georgia"/>
      <w:color w:val="000000"/>
      <w:position w:val="6"/>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51">
    <w:name w:val="List Table 2 - Accent 51"/>
    <w:basedOn w:val="TableNormal"/>
    <w:next w:val="ListTable2-Accent52"/>
    <w:uiPriority w:val="47"/>
    <w:rsid w:val="00277C14"/>
    <w:pPr>
      <w:jc w:val="both"/>
    </w:pPr>
    <w:rPr>
      <w:rFonts w:ascii="Georgia" w:eastAsia="SimSun" w:hAnsi="Georgia"/>
      <w:position w:val="6"/>
      <w:lang w:val="en-US" w:eastAsia="en-US"/>
    </w:rPr>
    <w:tblPr>
      <w:tblStyleRowBandSize w:val="1"/>
      <w:tblStyleColBandSize w:val="1"/>
      <w:tblBorders>
        <w:top w:val="single" w:sz="4" w:space="0" w:color="B2B2B2"/>
        <w:bottom w:val="single" w:sz="4" w:space="0" w:color="B2B2B2"/>
        <w:insideH w:val="single" w:sz="4" w:space="0" w:color="B2B2B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cPr>
    </w:tblStylePr>
    <w:tblStylePr w:type="band1Horz">
      <w:tblPr/>
      <w:tcPr>
        <w:shd w:val="clear" w:color="auto" w:fill="E5E5E5"/>
      </w:tcPr>
    </w:tblStylePr>
  </w:style>
  <w:style w:type="paragraph" w:customStyle="1" w:styleId="HeaderOdd">
    <w:name w:val="Header Odd"/>
    <w:basedOn w:val="Normal"/>
    <w:next w:val="Normal"/>
    <w:unhideWhenUsed/>
    <w:rsid w:val="00277C14"/>
    <w:pPr>
      <w:pBdr>
        <w:bottom w:val="single" w:sz="4" w:space="0" w:color="auto"/>
      </w:pBdr>
      <w:autoSpaceDE w:val="0"/>
      <w:autoSpaceDN w:val="0"/>
      <w:adjustRightInd w:val="0"/>
      <w:spacing w:after="120" w:line="280" w:lineRule="exact"/>
      <w:jc w:val="right"/>
      <w:textAlignment w:val="center"/>
    </w:pPr>
    <w:rPr>
      <w:rFonts w:ascii="Times New Roman" w:eastAsia="SimSun" w:hAnsi="Times New Roman" w:cs="Bernini Sans"/>
      <w:bCs/>
      <w:sz w:val="2"/>
      <w:szCs w:val="20"/>
      <w:lang w:val="fr-FR"/>
    </w:rPr>
  </w:style>
  <w:style w:type="paragraph" w:customStyle="1" w:styleId="HeaderEven">
    <w:name w:val="Header Even"/>
    <w:basedOn w:val="HeaderOdd"/>
    <w:unhideWhenUsed/>
    <w:rsid w:val="00277C14"/>
    <w:pPr>
      <w:jc w:val="left"/>
    </w:pPr>
    <w:rPr>
      <w:bCs w:val="0"/>
    </w:rPr>
  </w:style>
  <w:style w:type="paragraph" w:styleId="IntenseQuote">
    <w:name w:val="Intense Quote"/>
    <w:basedOn w:val="Normal"/>
    <w:next w:val="Normal"/>
    <w:link w:val="IntenseQuoteChar"/>
    <w:uiPriority w:val="30"/>
    <w:rsid w:val="00277C14"/>
    <w:pPr>
      <w:pBdr>
        <w:top w:val="single" w:sz="4" w:space="10" w:color="4F81BD" w:themeColor="accent1"/>
        <w:bottom w:val="single" w:sz="4" w:space="10" w:color="4F81BD" w:themeColor="accent1"/>
      </w:pBdr>
      <w:spacing w:before="360" w:after="360" w:line="280" w:lineRule="exact"/>
      <w:ind w:left="864" w:right="864"/>
      <w:jc w:val="center"/>
    </w:pPr>
    <w:rPr>
      <w:rFonts w:ascii="Calibri" w:hAnsi="Calibri"/>
      <w:i/>
      <w:iCs/>
      <w:color w:val="404040"/>
      <w:szCs w:val="20"/>
      <w:lang w:eastAsia="en-GB"/>
    </w:rPr>
  </w:style>
  <w:style w:type="character" w:customStyle="1" w:styleId="IntenseQuoteChar1">
    <w:name w:val="Intense Quote Char1"/>
    <w:basedOn w:val="DefaultParagraphFont"/>
    <w:uiPriority w:val="30"/>
    <w:rsid w:val="00277C14"/>
    <w:rPr>
      <w:rFonts w:ascii="Arial" w:hAnsi="Arial"/>
      <w:i/>
      <w:iCs/>
      <w:color w:val="4F81BD" w:themeColor="accent1"/>
      <w:szCs w:val="22"/>
      <w:lang w:eastAsia="en-US"/>
    </w:rPr>
  </w:style>
  <w:style w:type="character" w:styleId="SubtleEmphasis">
    <w:name w:val="Subtle Emphasis"/>
    <w:basedOn w:val="DefaultParagraphFont"/>
    <w:uiPriority w:val="19"/>
    <w:qFormat/>
    <w:rsid w:val="00277C14"/>
    <w:rPr>
      <w:i/>
      <w:iCs/>
      <w:color w:val="404040" w:themeColor="text1" w:themeTint="BF"/>
    </w:rPr>
  </w:style>
  <w:style w:type="character" w:styleId="SubtleReference">
    <w:name w:val="Subtle Reference"/>
    <w:basedOn w:val="DefaultParagraphFont"/>
    <w:uiPriority w:val="31"/>
    <w:rsid w:val="00277C14"/>
    <w:rPr>
      <w:smallCaps/>
      <w:color w:val="5A5A5A" w:themeColor="text1" w:themeTint="A5"/>
    </w:rPr>
  </w:style>
  <w:style w:type="character" w:styleId="IntenseReference">
    <w:name w:val="Intense Reference"/>
    <w:basedOn w:val="DefaultParagraphFont"/>
    <w:uiPriority w:val="32"/>
    <w:rsid w:val="00277C14"/>
    <w:rPr>
      <w:b/>
      <w:bCs/>
      <w:smallCaps/>
      <w:color w:val="4F81BD" w:themeColor="accent1"/>
      <w:spacing w:val="5"/>
    </w:rPr>
  </w:style>
  <w:style w:type="table" w:customStyle="1" w:styleId="TableGridLight2">
    <w:name w:val="Table Grid Light2"/>
    <w:basedOn w:val="TableNormal"/>
    <w:uiPriority w:val="40"/>
    <w:rsid w:val="00277C14"/>
    <w:pPr>
      <w:jc w:val="both"/>
    </w:pPr>
    <w:rPr>
      <w:rFonts w:ascii="Georgia" w:eastAsiaTheme="minorHAnsi" w:hAnsi="Georgia"/>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
    <w:name w:val="Plain Table 52"/>
    <w:basedOn w:val="TableNormal"/>
    <w:uiPriority w:val="45"/>
    <w:rsid w:val="00277C14"/>
    <w:pPr>
      <w:jc w:val="both"/>
    </w:pPr>
    <w:rPr>
      <w:rFonts w:ascii="Georgia" w:eastAsiaTheme="minorHAnsi" w:hAnsi="Georgia"/>
      <w:lang w:val="en-US"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62">
    <w:name w:val="Grid Table 1 Light - Accent 62"/>
    <w:basedOn w:val="TableNormal"/>
    <w:uiPriority w:val="46"/>
    <w:rsid w:val="00277C14"/>
    <w:pPr>
      <w:jc w:val="both"/>
    </w:pPr>
    <w:rPr>
      <w:rFonts w:ascii="Georgia" w:eastAsiaTheme="minorHAnsi" w:hAnsi="Georgia"/>
      <w:lang w:val="en-US"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rsid w:val="00277C14"/>
    <w:pPr>
      <w:jc w:val="both"/>
    </w:pPr>
    <w:rPr>
      <w:rFonts w:ascii="Georgia" w:eastAsiaTheme="minorHAnsi" w:hAnsi="Georgia"/>
      <w:lang w:val="en-US"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PlainTable32">
    <w:name w:val="Plain Table 32"/>
    <w:basedOn w:val="TableNormal"/>
    <w:uiPriority w:val="43"/>
    <w:rsid w:val="00277C14"/>
    <w:pPr>
      <w:jc w:val="both"/>
    </w:pPr>
    <w:rPr>
      <w:rFonts w:ascii="Georgia" w:eastAsiaTheme="minorHAnsi" w:hAnsi="Georgia"/>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4-Accent42">
    <w:name w:val="List Table 4 - Accent 42"/>
    <w:basedOn w:val="TableNormal"/>
    <w:uiPriority w:val="49"/>
    <w:rsid w:val="00277C14"/>
    <w:pPr>
      <w:jc w:val="both"/>
    </w:pPr>
    <w:rPr>
      <w:rFonts w:ascii="Georgia" w:eastAsiaTheme="minorHAnsi" w:hAnsi="Georgia"/>
      <w:lang w:val="en-US"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1Light-Accent42">
    <w:name w:val="Grid Table 1 Light - Accent 42"/>
    <w:basedOn w:val="TableNormal"/>
    <w:uiPriority w:val="46"/>
    <w:rsid w:val="00277C14"/>
    <w:pPr>
      <w:jc w:val="both"/>
    </w:pPr>
    <w:rPr>
      <w:rFonts w:ascii="Georgia" w:eastAsiaTheme="minorHAnsi" w:hAnsi="Georgia"/>
      <w:lang w:val="en-US" w:eastAsia="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ListTable3-Accent32">
    <w:name w:val="List Table 3 - Accent 32"/>
    <w:basedOn w:val="TableNormal"/>
    <w:uiPriority w:val="48"/>
    <w:rsid w:val="00277C14"/>
    <w:pPr>
      <w:jc w:val="both"/>
    </w:pPr>
    <w:rPr>
      <w:rFonts w:ascii="Georgia" w:eastAsiaTheme="minorHAnsi" w:hAnsi="Georgia"/>
      <w:lang w:val="en-US" w:eastAsia="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52">
    <w:name w:val="List Table 4 - Accent 52"/>
    <w:basedOn w:val="TableNormal"/>
    <w:uiPriority w:val="49"/>
    <w:rsid w:val="00277C14"/>
    <w:pPr>
      <w:jc w:val="both"/>
    </w:pPr>
    <w:rPr>
      <w:rFonts w:ascii="Georgia" w:eastAsiaTheme="minorHAnsi" w:hAnsi="Georgia"/>
      <w:lang w:val="en-US"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2">
    <w:name w:val="List Table 4 - Accent 32"/>
    <w:basedOn w:val="TableNormal"/>
    <w:uiPriority w:val="49"/>
    <w:rsid w:val="00277C14"/>
    <w:pPr>
      <w:jc w:val="both"/>
    </w:pPr>
    <w:rPr>
      <w:rFonts w:ascii="Georgia" w:eastAsiaTheme="minorHAnsi" w:hAnsi="Georgia"/>
      <w:lang w:val="en-US"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Accent32">
    <w:name w:val="Grid Table 1 Light - Accent 32"/>
    <w:basedOn w:val="TableNormal"/>
    <w:uiPriority w:val="46"/>
    <w:rsid w:val="00277C14"/>
    <w:pPr>
      <w:jc w:val="both"/>
    </w:pPr>
    <w:rPr>
      <w:rFonts w:ascii="Georgia" w:eastAsiaTheme="minorHAnsi" w:hAnsi="Georgia"/>
      <w:lang w:val="en-US" w:eastAsia="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ListTable1Light-Accent62">
    <w:name w:val="List Table 1 Light - Accent 62"/>
    <w:basedOn w:val="TableNormal"/>
    <w:uiPriority w:val="46"/>
    <w:rsid w:val="00277C14"/>
    <w:pPr>
      <w:jc w:val="both"/>
    </w:pPr>
    <w:rPr>
      <w:rFonts w:ascii="Georgia" w:eastAsiaTheme="minorHAnsi" w:hAnsi="Georgia"/>
      <w:lang w:val="en-US" w:eastAsia="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6Colorful2">
    <w:name w:val="Grid Table 6 Colorful2"/>
    <w:basedOn w:val="TableNormal"/>
    <w:uiPriority w:val="51"/>
    <w:rsid w:val="00277C14"/>
    <w:pPr>
      <w:jc w:val="both"/>
    </w:pPr>
    <w:rPr>
      <w:rFonts w:ascii="Georgia" w:eastAsiaTheme="minorHAnsi" w:hAnsi="Georgia"/>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52">
    <w:name w:val="List Table 2 - Accent 52"/>
    <w:basedOn w:val="TableNormal"/>
    <w:uiPriority w:val="47"/>
    <w:rsid w:val="00277C14"/>
    <w:pPr>
      <w:jc w:val="both"/>
    </w:pPr>
    <w:rPr>
      <w:rFonts w:ascii="Georgia" w:eastAsiaTheme="minorHAnsi" w:hAnsi="Georgia"/>
      <w:lang w:val="en-US" w:eastAsia="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CoverTable">
    <w:name w:val="CoverTable"/>
    <w:basedOn w:val="CoverNormalChar"/>
    <w:uiPriority w:val="1"/>
    <w:unhideWhenUsed/>
    <w:rsid w:val="00277C14"/>
    <w:rPr>
      <w:rFonts w:ascii="Times New Roman" w:eastAsiaTheme="minorEastAsia" w:hAnsi="Times New Roman"/>
      <w:b w:val="0"/>
      <w:i w:val="0"/>
      <w:position w:val="6"/>
      <w:sz w:val="20"/>
      <w:szCs w:val="21"/>
      <w:lang w:eastAsia="en-US"/>
    </w:rPr>
  </w:style>
  <w:style w:type="table" w:customStyle="1" w:styleId="GridTable2-Accent11">
    <w:name w:val="Grid Table 2 - Accent 11"/>
    <w:basedOn w:val="TableNormal"/>
    <w:uiPriority w:val="47"/>
    <w:rsid w:val="00277C14"/>
    <w:pPr>
      <w:jc w:val="both"/>
    </w:pPr>
    <w:rPr>
      <w:rFonts w:ascii="Georgia" w:eastAsiaTheme="minorEastAsia" w:hAnsi="Georgia" w:cstheme="minorBidi"/>
      <w:position w:val="6"/>
      <w:lang w:eastAsia="ko-K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nnexH2">
    <w:name w:val="Annex H2"/>
    <w:basedOn w:val="Normal"/>
    <w:next w:val="Para1"/>
    <w:uiPriority w:val="15"/>
    <w:qFormat/>
    <w:rsid w:val="00277C14"/>
    <w:pPr>
      <w:keepNext/>
      <w:spacing w:before="240" w:after="240" w:line="280" w:lineRule="exact"/>
      <w:ind w:right="680"/>
      <w:jc w:val="both"/>
      <w:outlineLvl w:val="1"/>
    </w:pPr>
    <w:rPr>
      <w:rFonts w:ascii="Times New Roman" w:eastAsiaTheme="minorHAnsi" w:hAnsi="Times New Roman"/>
      <w:b/>
      <w:color w:val="4E81BD"/>
      <w:sz w:val="24"/>
      <w:szCs w:val="20"/>
    </w:rPr>
  </w:style>
  <w:style w:type="paragraph" w:customStyle="1" w:styleId="AnnexH3">
    <w:name w:val="Annex H3"/>
    <w:basedOn w:val="Normal"/>
    <w:next w:val="Para1"/>
    <w:uiPriority w:val="15"/>
    <w:qFormat/>
    <w:rsid w:val="00277C14"/>
    <w:pPr>
      <w:keepNext/>
      <w:keepLines/>
      <w:spacing w:before="240" w:after="120" w:line="280" w:lineRule="exact"/>
      <w:ind w:left="680" w:right="680"/>
      <w:jc w:val="both"/>
      <w:outlineLvl w:val="2"/>
    </w:pPr>
    <w:rPr>
      <w:rFonts w:ascii="Times New Roman" w:eastAsiaTheme="minorHAnsi" w:hAnsi="Times New Roman"/>
      <w:b/>
      <w:i/>
      <w:color w:val="262626"/>
      <w:sz w:val="24"/>
      <w:szCs w:val="20"/>
    </w:rPr>
  </w:style>
  <w:style w:type="paragraph" w:customStyle="1" w:styleId="BulletedList">
    <w:name w:val="Bulleted List"/>
    <w:basedOn w:val="ListParagraph"/>
    <w:uiPriority w:val="6"/>
    <w:qFormat/>
    <w:rsid w:val="00277C14"/>
    <w:pPr>
      <w:numPr>
        <w:numId w:val="23"/>
      </w:numPr>
      <w:tabs>
        <w:tab w:val="clear" w:pos="340"/>
        <w:tab w:val="num" w:pos="360"/>
      </w:tabs>
      <w:spacing w:after="120" w:line="280" w:lineRule="exact"/>
      <w:ind w:left="454" w:right="680" w:firstLine="0"/>
      <w:jc w:val="both"/>
    </w:pPr>
    <w:rPr>
      <w:rFonts w:asciiTheme="majorHAnsi" w:eastAsia="SimSun" w:hAnsiTheme="majorHAnsi"/>
      <w:sz w:val="22"/>
      <w:szCs w:val="20"/>
    </w:rPr>
  </w:style>
  <w:style w:type="paragraph" w:customStyle="1" w:styleId="NumberedList1">
    <w:name w:val="Numbered List 1"/>
    <w:basedOn w:val="ListParagraph"/>
    <w:uiPriority w:val="5"/>
    <w:qFormat/>
    <w:rsid w:val="00277C14"/>
    <w:pPr>
      <w:numPr>
        <w:ilvl w:val="1"/>
        <w:numId w:val="26"/>
      </w:numPr>
      <w:spacing w:after="120" w:line="280" w:lineRule="exact"/>
      <w:ind w:right="680"/>
      <w:jc w:val="both"/>
    </w:pPr>
    <w:rPr>
      <w:rFonts w:ascii="Cambria" w:eastAsia="SimSun" w:hAnsi="Cambria"/>
      <w:sz w:val="22"/>
      <w:szCs w:val="20"/>
    </w:rPr>
  </w:style>
  <w:style w:type="paragraph" w:customStyle="1" w:styleId="CoverCommittee">
    <w:name w:val="CoverCommittee"/>
    <w:basedOn w:val="CoverNormal"/>
    <w:rsid w:val="00277C14"/>
    <w:rPr>
      <w:b/>
    </w:rPr>
  </w:style>
  <w:style w:type="paragraph" w:customStyle="1" w:styleId="CoverWorkingParty">
    <w:name w:val="CoverWorkingParty"/>
    <w:basedOn w:val="CoverNormal"/>
    <w:rsid w:val="00277C14"/>
    <w:rPr>
      <w:b/>
      <w:sz w:val="24"/>
    </w:rPr>
  </w:style>
  <w:style w:type="paragraph" w:customStyle="1" w:styleId="CoverPwbCode">
    <w:name w:val="CoverPwbCode"/>
    <w:basedOn w:val="CoverJobTicket"/>
    <w:rsid w:val="00277C14"/>
  </w:style>
  <w:style w:type="character" w:customStyle="1" w:styleId="DefaultCoverPage">
    <w:name w:val="DefaultCoverPage"/>
    <w:basedOn w:val="DefaultParagraphFont"/>
    <w:uiPriority w:val="1"/>
    <w:rsid w:val="00277C14"/>
    <w:rPr>
      <w:rFonts w:ascii="Times New Roman" w:hAnsi="Times New Roman"/>
      <w:sz w:val="21"/>
    </w:rPr>
  </w:style>
  <w:style w:type="paragraph" w:customStyle="1" w:styleId="Figure">
    <w:name w:val="Figure"/>
    <w:basedOn w:val="Normal"/>
    <w:rsid w:val="00277C14"/>
    <w:pPr>
      <w:keepNext/>
      <w:keepLines/>
      <w:spacing w:after="120" w:line="280" w:lineRule="exact"/>
      <w:jc w:val="center"/>
    </w:pPr>
    <w:rPr>
      <w:rFonts w:ascii="Times New Roman" w:eastAsiaTheme="minorHAnsi" w:hAnsi="Times New Roman"/>
      <w:noProof/>
      <w:sz w:val="22"/>
      <w:szCs w:val="20"/>
      <w:lang w:eastAsia="ko-KR"/>
    </w:rPr>
  </w:style>
  <w:style w:type="paragraph" w:customStyle="1" w:styleId="StatLinkLogo">
    <w:name w:val="StatLink Logo"/>
    <w:basedOn w:val="Para1"/>
    <w:next w:val="Para1"/>
    <w:rsid w:val="00277C14"/>
    <w:pPr>
      <w:spacing w:after="240"/>
      <w:jc w:val="right"/>
    </w:pPr>
    <w:rPr>
      <w:rFonts w:ascii="StatLink" w:hAnsi="StatLink"/>
      <w:sz w:val="14"/>
    </w:rPr>
  </w:style>
  <w:style w:type="character" w:customStyle="1" w:styleId="StatLinkDOI">
    <w:name w:val="StatLink DOI"/>
    <w:basedOn w:val="DefaultParagraphFont"/>
    <w:uiPriority w:val="1"/>
    <w:rsid w:val="00277C14"/>
    <w:rPr>
      <w:rFonts w:ascii="Times New Roman" w:hAnsi="Times New Roman"/>
      <w:sz w:val="14"/>
    </w:rPr>
  </w:style>
  <w:style w:type="paragraph" w:customStyle="1" w:styleId="Title2">
    <w:name w:val="Title 2"/>
    <w:basedOn w:val="Heading2"/>
    <w:next w:val="Para1"/>
    <w:qFormat/>
    <w:rsid w:val="00277C14"/>
    <w:pPr>
      <w:keepLines w:val="0"/>
      <w:spacing w:before="240" w:after="240" w:line="280" w:lineRule="exact"/>
      <w:ind w:right="680"/>
    </w:pPr>
    <w:rPr>
      <w:rFonts w:ascii="Arial" w:eastAsiaTheme="minorHAnsi" w:hAnsi="Arial" w:cs="Times New Roman"/>
      <w:b/>
      <w:bCs/>
      <w:color w:val="000000" w:themeColor="text1"/>
      <w:sz w:val="20"/>
      <w:szCs w:val="20"/>
    </w:rPr>
  </w:style>
  <w:style w:type="paragraph" w:customStyle="1" w:styleId="Title3">
    <w:name w:val="Title 3"/>
    <w:basedOn w:val="Normal"/>
    <w:next w:val="Para1"/>
    <w:qFormat/>
    <w:rsid w:val="00277C14"/>
    <w:pPr>
      <w:keepNext/>
      <w:keepLines/>
      <w:spacing w:before="240" w:after="120" w:line="280" w:lineRule="exact"/>
      <w:ind w:right="680"/>
      <w:jc w:val="both"/>
      <w:outlineLvl w:val="2"/>
    </w:pPr>
    <w:rPr>
      <w:rFonts w:ascii="Times New Roman" w:eastAsiaTheme="minorHAnsi" w:hAnsi="Times New Roman"/>
      <w:b/>
      <w:color w:val="4F81BD" w:themeColor="accent1"/>
      <w:sz w:val="26"/>
      <w:szCs w:val="20"/>
    </w:rPr>
  </w:style>
  <w:style w:type="table" w:styleId="LightShading-Accent1">
    <w:name w:val="Light Shading Accent 1"/>
    <w:basedOn w:val="TableNormal"/>
    <w:uiPriority w:val="60"/>
    <w:rsid w:val="00277C14"/>
    <w:pPr>
      <w:jc w:val="both"/>
    </w:pPr>
    <w:rPr>
      <w:rFonts w:ascii="Georgia" w:eastAsiaTheme="minorHAnsi" w:hAnsi="Georgia"/>
      <w:color w:val="365F91" w:themeColor="accent1" w:themeShade="BF"/>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OECD">
    <w:name w:val="OECD"/>
    <w:basedOn w:val="LightShading-Accent1"/>
    <w:uiPriority w:val="99"/>
    <w:rsid w:val="00277C14"/>
    <w:rPr>
      <w:color w:val="auto"/>
    </w:rPr>
    <w:tblPr>
      <w:jc w:val="center"/>
      <w:tblBorders>
        <w:top w:val="single" w:sz="12" w:space="0" w:color="auto"/>
        <w:bottom w:val="single" w:sz="12" w:space="0" w:color="auto"/>
      </w:tblBorders>
    </w:tblPr>
    <w:trPr>
      <w:jc w:val="center"/>
    </w:trPr>
    <w:tcPr>
      <w:shd w:val="clear" w:color="auto" w:fill="FFFFFF" w:themeFill="background1"/>
    </w:tcPr>
    <w:tblStylePr w:type="firstRow">
      <w:pPr>
        <w:spacing w:before="0" w:after="0" w:line="240" w:lineRule="auto"/>
      </w:pPr>
      <w:rPr>
        <w:b w:val="0"/>
        <w:bCs/>
      </w:rPr>
      <w:tblPr/>
      <w:tcPr>
        <w:tcBorders>
          <w:top w:val="single" w:sz="12" w:space="0" w:color="4E81BD"/>
          <w:left w:val="nil"/>
          <w:bottom w:val="nil"/>
          <w:right w:val="nil"/>
          <w:insideH w:val="nil"/>
          <w:insideV w:val="nil"/>
        </w:tcBorders>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BE5F1" w:themeFill="accent1" w:themeFillTint="33"/>
      </w:tcPr>
    </w:tblStylePr>
    <w:tblStylePr w:type="band2Horz">
      <w:tblPr/>
      <w:tcPr>
        <w:shd w:val="clear" w:color="auto" w:fill="FFFFFF" w:themeFill="background1"/>
      </w:tcPr>
    </w:tblStylePr>
  </w:style>
  <w:style w:type="paragraph" w:customStyle="1" w:styleId="Abstract">
    <w:name w:val="Abstract"/>
    <w:basedOn w:val="Para1"/>
    <w:uiPriority w:val="2"/>
    <w:qFormat/>
    <w:rsid w:val="00277C14"/>
    <w:pPr>
      <w:pBdr>
        <w:top w:val="single" w:sz="4" w:space="12" w:color="auto"/>
        <w:left w:val="single" w:sz="4" w:space="12" w:color="auto"/>
        <w:bottom w:val="single" w:sz="4" w:space="12" w:color="auto"/>
        <w:right w:val="single" w:sz="4" w:space="12" w:color="auto"/>
      </w:pBdr>
    </w:pPr>
    <w:rPr>
      <w:i/>
    </w:rPr>
  </w:style>
  <w:style w:type="paragraph" w:customStyle="1" w:styleId="BoxHeadingtitle">
    <w:name w:val="Box Heading title"/>
    <w:basedOn w:val="Normal"/>
    <w:next w:val="Para1"/>
    <w:uiPriority w:val="8"/>
    <w:qFormat/>
    <w:rsid w:val="00277C14"/>
    <w:pPr>
      <w:keepNext/>
      <w:spacing w:before="240" w:after="120" w:line="280" w:lineRule="exact"/>
      <w:ind w:left="680" w:right="680"/>
      <w:jc w:val="both"/>
    </w:pPr>
    <w:rPr>
      <w:rFonts w:ascii="Times New Roman" w:eastAsiaTheme="minorHAnsi" w:hAnsi="Times New Roman"/>
      <w:b/>
      <w:szCs w:val="20"/>
    </w:rPr>
  </w:style>
  <w:style w:type="paragraph" w:customStyle="1" w:styleId="CoverInformation">
    <w:name w:val="CoverInformation"/>
    <w:basedOn w:val="CoverSubTitle"/>
    <w:rsid w:val="00277C14"/>
  </w:style>
  <w:style w:type="character" w:customStyle="1" w:styleId="CoverDateChar">
    <w:name w:val="CoverDate Char"/>
    <w:basedOn w:val="CoverNormalChar"/>
    <w:link w:val="CoverDate"/>
    <w:rsid w:val="00277C14"/>
    <w:rPr>
      <w:rFonts w:ascii="Times New Roman" w:eastAsia="SimSun" w:hAnsi="Times New Roman"/>
      <w:b/>
      <w:sz w:val="18"/>
      <w:lang w:eastAsia="en-US"/>
    </w:rPr>
  </w:style>
  <w:style w:type="paragraph" w:customStyle="1" w:styleId="Session">
    <w:name w:val="Session"/>
    <w:basedOn w:val="Para1"/>
    <w:next w:val="Time"/>
    <w:rsid w:val="00277C14"/>
    <w:pPr>
      <w:keepNext/>
      <w:pBdr>
        <w:top w:val="single" w:sz="12" w:space="4" w:color="auto"/>
        <w:bottom w:val="single" w:sz="12" w:space="4" w:color="auto"/>
      </w:pBdr>
      <w:shd w:val="clear" w:color="auto" w:fill="DBE5F1"/>
      <w:ind w:left="0" w:right="0"/>
      <w:jc w:val="center"/>
    </w:pPr>
    <w:rPr>
      <w:b/>
      <w:sz w:val="24"/>
    </w:rPr>
  </w:style>
  <w:style w:type="paragraph" w:customStyle="1" w:styleId="GroupHeading">
    <w:name w:val="Group Heading"/>
    <w:basedOn w:val="Para1"/>
    <w:next w:val="Para1"/>
    <w:rsid w:val="00277C14"/>
    <w:pPr>
      <w:keepNext/>
      <w:numPr>
        <w:numId w:val="22"/>
      </w:numPr>
      <w:ind w:right="0"/>
    </w:pPr>
    <w:rPr>
      <w:b/>
      <w:i/>
    </w:rPr>
  </w:style>
  <w:style w:type="paragraph" w:customStyle="1" w:styleId="Break">
    <w:name w:val="Break"/>
    <w:basedOn w:val="Para1"/>
    <w:next w:val="Time"/>
    <w:rsid w:val="00277C14"/>
    <w:pPr>
      <w:pBdr>
        <w:top w:val="single" w:sz="4" w:space="4" w:color="auto"/>
        <w:bottom w:val="single" w:sz="4" w:space="4" w:color="auto"/>
      </w:pBdr>
      <w:shd w:val="pct5" w:color="auto" w:fill="auto"/>
      <w:ind w:left="0" w:right="0"/>
      <w:jc w:val="center"/>
    </w:pPr>
    <w:rPr>
      <w:i/>
    </w:rPr>
  </w:style>
  <w:style w:type="paragraph" w:customStyle="1" w:styleId="Time">
    <w:name w:val="Time"/>
    <w:basedOn w:val="Para1"/>
    <w:rsid w:val="00277C14"/>
  </w:style>
  <w:style w:type="paragraph" w:customStyle="1" w:styleId="RefDocuments">
    <w:name w:val="Ref Documents"/>
    <w:basedOn w:val="Para1"/>
    <w:rsid w:val="00277C14"/>
  </w:style>
  <w:style w:type="paragraph" w:customStyle="1" w:styleId="Action">
    <w:name w:val="Action"/>
    <w:basedOn w:val="Para1"/>
    <w:rsid w:val="00277C14"/>
  </w:style>
  <w:style w:type="paragraph" w:customStyle="1" w:styleId="SpecialItem">
    <w:name w:val="Special Item"/>
    <w:basedOn w:val="Para1"/>
    <w:rsid w:val="00277C14"/>
  </w:style>
  <w:style w:type="paragraph" w:customStyle="1" w:styleId="ImportantInformation">
    <w:name w:val="Important Information"/>
    <w:basedOn w:val="Para1"/>
    <w:rsid w:val="00277C14"/>
  </w:style>
  <w:style w:type="paragraph" w:customStyle="1" w:styleId="CoverTitlePublication">
    <w:name w:val="CoverTitlePublication"/>
    <w:basedOn w:val="CoverNormal"/>
    <w:rsid w:val="00277C14"/>
    <w:pPr>
      <w:jc w:val="center"/>
    </w:pPr>
    <w:rPr>
      <w:rFonts w:ascii="Caecilia Roman" w:hAnsi="Caecilia Roman"/>
      <w:b/>
      <w:sz w:val="52"/>
    </w:rPr>
  </w:style>
  <w:style w:type="paragraph" w:customStyle="1" w:styleId="CoverSubtitlePublication">
    <w:name w:val="CoverSubtitlePublication"/>
    <w:basedOn w:val="CoverTitlePublication"/>
    <w:rsid w:val="00277C14"/>
    <w:rPr>
      <w:b w:val="0"/>
      <w:sz w:val="40"/>
    </w:rPr>
  </w:style>
  <w:style w:type="paragraph" w:customStyle="1" w:styleId="Pieddepageimpaire">
    <w:name w:val="Pied de page impaire"/>
    <w:basedOn w:val="Normal"/>
    <w:unhideWhenUsed/>
    <w:qFormat/>
    <w:rsid w:val="00277C14"/>
    <w:pPr>
      <w:pBdr>
        <w:top w:val="single" w:sz="4" w:space="1" w:color="4F81BD" w:themeColor="accent1"/>
      </w:pBdr>
      <w:spacing w:after="180" w:line="264" w:lineRule="auto"/>
      <w:jc w:val="right"/>
    </w:pPr>
    <w:rPr>
      <w:rFonts w:asciiTheme="minorHAnsi" w:eastAsiaTheme="minorHAnsi" w:hAnsiTheme="minorHAnsi"/>
      <w:color w:val="1F497D" w:themeColor="text2"/>
      <w:kern w:val="24"/>
      <w:szCs w:val="20"/>
      <w:lang w:val="en-US" w:eastAsia="fr-FR"/>
    </w:rPr>
  </w:style>
  <w:style w:type="paragraph" w:customStyle="1" w:styleId="TemplateMERH1">
    <w:name w:val="Template_MER_H1"/>
    <w:basedOn w:val="Heading2"/>
    <w:qFormat/>
    <w:rsid w:val="00277C14"/>
    <w:pPr>
      <w:keepLines w:val="0"/>
      <w:spacing w:before="240" w:after="240" w:line="280" w:lineRule="exact"/>
      <w:jc w:val="center"/>
    </w:pPr>
    <w:rPr>
      <w:rFonts w:ascii="Cambria" w:eastAsia="Times New Roman" w:hAnsi="Cambria" w:cs="Times New Roman"/>
      <w:b/>
      <w:bCs/>
      <w:caps/>
      <w:color w:val="4F81BD" w:themeColor="accent1"/>
      <w:sz w:val="20"/>
      <w:szCs w:val="24"/>
      <w:lang w:eastAsia="zh-CN"/>
    </w:rPr>
  </w:style>
  <w:style w:type="paragraph" w:customStyle="1" w:styleId="TemplateMERH">
    <w:name w:val="Template_MER_H"/>
    <w:basedOn w:val="Heading2"/>
    <w:next w:val="Num-DocParagraph"/>
    <w:qFormat/>
    <w:rsid w:val="00277C14"/>
    <w:pPr>
      <w:keepLines w:val="0"/>
      <w:spacing w:before="240" w:after="240" w:line="280" w:lineRule="exact"/>
      <w:jc w:val="both"/>
    </w:pPr>
    <w:rPr>
      <w:rFonts w:ascii="Cambria" w:eastAsia="Times New Roman" w:hAnsi="Cambria" w:cs="Times New Roman"/>
      <w:b/>
      <w:bCs/>
      <w:i/>
      <w:sz w:val="22"/>
      <w:szCs w:val="22"/>
      <w:lang w:eastAsia="zh-CN"/>
    </w:rPr>
  </w:style>
  <w:style w:type="paragraph" w:customStyle="1" w:styleId="TemplateMERH3">
    <w:name w:val="Template_MER_H3"/>
    <w:basedOn w:val="Heading3"/>
    <w:next w:val="Num-DocParagraph"/>
    <w:qFormat/>
    <w:rsid w:val="00277C14"/>
    <w:pPr>
      <w:keepNext w:val="0"/>
      <w:keepLines w:val="0"/>
      <w:spacing w:before="120" w:after="240" w:line="280" w:lineRule="exact"/>
      <w:jc w:val="both"/>
    </w:pPr>
    <w:rPr>
      <w:rFonts w:ascii="Cambria" w:eastAsia="Times New Roman" w:hAnsi="Cambria" w:cs="Times New Roman"/>
      <w:bCs/>
      <w:i/>
      <w:iCs/>
      <w:color w:val="244061" w:themeColor="accent1" w:themeShade="80"/>
      <w:sz w:val="22"/>
      <w:lang w:eastAsia="zh-CN"/>
    </w:rPr>
  </w:style>
  <w:style w:type="paragraph" w:customStyle="1" w:styleId="NumberedPara">
    <w:name w:val="NumberedPara"/>
    <w:basedOn w:val="Normal"/>
    <w:link w:val="NumberedParaChar"/>
    <w:qFormat/>
    <w:rsid w:val="00277C14"/>
    <w:pPr>
      <w:spacing w:after="240" w:line="280" w:lineRule="exact"/>
      <w:jc w:val="both"/>
    </w:pPr>
    <w:rPr>
      <w:rFonts w:asciiTheme="majorHAnsi" w:eastAsiaTheme="minorHAnsi" w:hAnsiTheme="majorHAnsi"/>
      <w:color w:val="000000" w:themeColor="text1"/>
      <w:kern w:val="24"/>
      <w:sz w:val="22"/>
      <w:szCs w:val="120"/>
      <w:lang w:eastAsia="ja-JP"/>
      <w14:ligatures w14:val="standardContextual"/>
    </w:rPr>
  </w:style>
  <w:style w:type="paragraph" w:customStyle="1" w:styleId="Criteria">
    <w:name w:val="Criteria"/>
    <w:basedOn w:val="ListParagraph"/>
    <w:link w:val="CriteriaChar"/>
    <w:qFormat/>
    <w:rsid w:val="00277C14"/>
    <w:pPr>
      <w:spacing w:before="240" w:after="120" w:line="280" w:lineRule="exact"/>
      <w:ind w:left="851" w:hanging="851"/>
      <w:jc w:val="both"/>
    </w:pPr>
    <w:rPr>
      <w:rFonts w:asciiTheme="minorHAnsi" w:eastAsiaTheme="minorHAnsi" w:hAnsiTheme="minorHAnsi"/>
      <w:b/>
      <w:kern w:val="24"/>
      <w:sz w:val="22"/>
      <w:lang w:eastAsia="ja-JP"/>
      <w14:ligatures w14:val="standardContextual"/>
    </w:rPr>
  </w:style>
  <w:style w:type="character" w:customStyle="1" w:styleId="CriteriaChar">
    <w:name w:val="Criteria Char"/>
    <w:basedOn w:val="DefaultParagraphFont"/>
    <w:link w:val="Criteria"/>
    <w:rsid w:val="00277C14"/>
    <w:rPr>
      <w:rFonts w:asciiTheme="minorHAnsi" w:eastAsiaTheme="minorHAnsi" w:hAnsiTheme="minorHAnsi"/>
      <w:b/>
      <w:kern w:val="24"/>
      <w:sz w:val="22"/>
      <w:szCs w:val="22"/>
      <w:lang w:eastAsia="ja-JP"/>
      <w14:ligatures w14:val="standardContextual"/>
    </w:rPr>
  </w:style>
  <w:style w:type="character" w:customStyle="1" w:styleId="DefaultChar">
    <w:name w:val="Default Char"/>
    <w:basedOn w:val="DefaultParagraphFont"/>
    <w:link w:val="Default"/>
    <w:locked/>
    <w:rsid w:val="00277C14"/>
    <w:rPr>
      <w:rFonts w:ascii="Arial" w:eastAsia="Times New Roman" w:hAnsi="Arial" w:cs="Arial"/>
      <w:color w:val="000000"/>
      <w:sz w:val="24"/>
      <w:szCs w:val="24"/>
      <w:lang w:eastAsia="en-US"/>
    </w:rPr>
  </w:style>
  <w:style w:type="paragraph" w:customStyle="1" w:styleId="Puce1">
    <w:name w:val="Puce 1"/>
    <w:basedOn w:val="Normal"/>
    <w:qFormat/>
    <w:rsid w:val="00277C14"/>
    <w:pPr>
      <w:numPr>
        <w:numId w:val="24"/>
      </w:numPr>
      <w:tabs>
        <w:tab w:val="left" w:pos="2835"/>
      </w:tabs>
      <w:spacing w:after="120" w:line="300" w:lineRule="exact"/>
      <w:jc w:val="both"/>
    </w:pPr>
    <w:rPr>
      <w:rFonts w:ascii="Cambria" w:eastAsiaTheme="minorEastAsia" w:hAnsi="Cambria" w:cstheme="minorBidi"/>
      <w:sz w:val="22"/>
      <w:lang w:val="en-US" w:eastAsia="zh-CN"/>
    </w:rPr>
  </w:style>
  <w:style w:type="character" w:customStyle="1" w:styleId="Num-DocParagraph0">
    <w:name w:val="Num-Doc Paragraph (文字)"/>
    <w:link w:val="Num-DocParagraph"/>
    <w:locked/>
    <w:rsid w:val="00277C14"/>
    <w:rPr>
      <w:rFonts w:ascii="Times New Roman" w:eastAsia="Times New Roman" w:hAnsi="Times New Roman"/>
      <w:sz w:val="22"/>
      <w:szCs w:val="22"/>
      <w:lang w:eastAsia="zh-CN"/>
    </w:rPr>
  </w:style>
  <w:style w:type="character" w:customStyle="1" w:styleId="NumberedParaChar">
    <w:name w:val="NumberedPara Char"/>
    <w:basedOn w:val="DefaultParagraphFont"/>
    <w:link w:val="NumberedPara"/>
    <w:rsid w:val="00277C14"/>
    <w:rPr>
      <w:rFonts w:asciiTheme="majorHAnsi" w:eastAsiaTheme="minorHAnsi" w:hAnsiTheme="majorHAnsi"/>
      <w:color w:val="000000" w:themeColor="text1"/>
      <w:kern w:val="24"/>
      <w:sz w:val="22"/>
      <w:szCs w:val="120"/>
      <w:lang w:eastAsia="ja-JP"/>
      <w14:ligatures w14:val="standardContextual"/>
    </w:rPr>
  </w:style>
  <w:style w:type="paragraph" w:customStyle="1" w:styleId="Response">
    <w:name w:val="Response"/>
    <w:basedOn w:val="Normal"/>
    <w:link w:val="ResponseChar"/>
    <w:qFormat/>
    <w:rsid w:val="00277C14"/>
    <w:pPr>
      <w:pBdr>
        <w:top w:val="single" w:sz="4" w:space="1" w:color="auto"/>
        <w:left w:val="single" w:sz="4" w:space="4" w:color="auto"/>
        <w:bottom w:val="single" w:sz="4" w:space="1" w:color="auto"/>
        <w:right w:val="single" w:sz="4" w:space="4" w:color="auto"/>
      </w:pBdr>
      <w:spacing w:after="120" w:line="280" w:lineRule="exact"/>
      <w:ind w:left="567"/>
      <w:jc w:val="both"/>
    </w:pPr>
    <w:rPr>
      <w:rFonts w:ascii="Calibri" w:hAnsi="Calibri"/>
      <w:color w:val="000000"/>
      <w:kern w:val="24"/>
      <w:sz w:val="24"/>
      <w:szCs w:val="120"/>
      <w:lang w:eastAsia="ja-JP"/>
    </w:rPr>
  </w:style>
  <w:style w:type="character" w:customStyle="1" w:styleId="ResponseChar">
    <w:name w:val="Response Char"/>
    <w:basedOn w:val="DefaultParagraphFont"/>
    <w:link w:val="Response"/>
    <w:rsid w:val="00277C14"/>
    <w:rPr>
      <w:color w:val="000000"/>
      <w:kern w:val="24"/>
      <w:sz w:val="24"/>
      <w:szCs w:val="120"/>
      <w:lang w:eastAsia="ja-JP"/>
    </w:rPr>
  </w:style>
  <w:style w:type="character" w:customStyle="1" w:styleId="UnresolvedMention1">
    <w:name w:val="Unresolved Mention1"/>
    <w:basedOn w:val="DefaultParagraphFont"/>
    <w:uiPriority w:val="99"/>
    <w:semiHidden/>
    <w:unhideWhenUsed/>
    <w:rsid w:val="00277C14"/>
    <w:rPr>
      <w:color w:val="605E5C"/>
      <w:shd w:val="clear" w:color="auto" w:fill="E1DFDD"/>
    </w:rPr>
  </w:style>
  <w:style w:type="paragraph" w:customStyle="1" w:styleId="ftrefCharChar">
    <w:name w:val="ftref Char Char"/>
    <w:aliases w:val="ftref Car Char Char Char, Car Car5 Char Char Car Car Char Char Char Char Char,Footnote Reference.ftref Char.ftref Car Char Char.Car Car5 Char Char Car Car Char Char Char Char Char Char Char Char,callout,Footnotes refss"/>
    <w:basedOn w:val="Normal"/>
    <w:rsid w:val="00277C14"/>
    <w:pPr>
      <w:spacing w:after="160" w:line="240" w:lineRule="exact"/>
      <w:jc w:val="both"/>
    </w:pPr>
    <w:rPr>
      <w:rFonts w:ascii="Times New Roman" w:eastAsiaTheme="minorHAnsi" w:hAnsi="Times New Roman" w:cstheme="minorBidi"/>
      <w:sz w:val="22"/>
      <w:vertAlign w:val="superscript"/>
      <w:lang w:val="en-US"/>
    </w:rPr>
  </w:style>
  <w:style w:type="table" w:customStyle="1" w:styleId="ListTable3-Accent11">
    <w:name w:val="List Table 3 - Accent 11"/>
    <w:basedOn w:val="TableNormal"/>
    <w:next w:val="TableNormal"/>
    <w:uiPriority w:val="48"/>
    <w:rsid w:val="00277C14"/>
    <w:pPr>
      <w:jc w:val="both"/>
    </w:pPr>
    <w:rPr>
      <w:rFonts w:ascii="Times New Roman" w:eastAsia="SimSun" w:hAnsi="Times New Roman"/>
      <w:lang w:val="en-US" w:eastAsia="en-US"/>
    </w:rPr>
    <w:tblPr>
      <w:tblStyleRowBandSize w:val="1"/>
      <w:tblStyleColBandSize w:val="1"/>
      <w:tblBorders>
        <w:top w:val="single" w:sz="4" w:space="0" w:color="348093"/>
        <w:left w:val="single" w:sz="4" w:space="0" w:color="348093"/>
        <w:bottom w:val="single" w:sz="4" w:space="0" w:color="348093"/>
        <w:right w:val="single" w:sz="4" w:space="0" w:color="348093"/>
      </w:tblBorders>
    </w:tblPr>
    <w:tblStylePr w:type="firstRow">
      <w:rPr>
        <w:b/>
        <w:bCs/>
        <w:color w:val="FFFFFF"/>
      </w:rPr>
      <w:tblPr/>
      <w:tcPr>
        <w:shd w:val="clear" w:color="auto" w:fill="348093"/>
      </w:tcPr>
    </w:tblStylePr>
    <w:tblStylePr w:type="lastRow">
      <w:rPr>
        <w:b/>
        <w:bCs/>
      </w:rPr>
      <w:tblPr/>
      <w:tcPr>
        <w:tcBorders>
          <w:top w:val="double" w:sz="4" w:space="0" w:color="34809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348093"/>
          <w:right w:val="single" w:sz="4" w:space="0" w:color="348093"/>
        </w:tcBorders>
      </w:tcPr>
    </w:tblStylePr>
    <w:tblStylePr w:type="band1Horz">
      <w:tblPr/>
      <w:tcPr>
        <w:tcBorders>
          <w:top w:val="single" w:sz="4" w:space="0" w:color="348093"/>
          <w:bottom w:val="single" w:sz="4" w:space="0" w:color="34809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8093"/>
          <w:left w:val="nil"/>
        </w:tcBorders>
      </w:tcPr>
    </w:tblStylePr>
    <w:tblStylePr w:type="swCell">
      <w:tblPr/>
      <w:tcPr>
        <w:tcBorders>
          <w:top w:val="double" w:sz="4" w:space="0" w:color="348093"/>
          <w:right w:val="nil"/>
        </w:tcBorders>
      </w:tcPr>
    </w:tblStylePr>
  </w:style>
  <w:style w:type="table" w:customStyle="1" w:styleId="TableGrid20">
    <w:name w:val="Table Grid2"/>
    <w:basedOn w:val="TableNormal"/>
    <w:next w:val="TableGrid"/>
    <w:uiPriority w:val="59"/>
    <w:rsid w:val="00277C14"/>
    <w:pPr>
      <w:jc w:val="both"/>
    </w:pPr>
    <w:rPr>
      <w:rFonts w:ascii="Georgia" w:eastAsiaTheme="minorHAnsi" w:hAnsi="Georg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ECD1">
    <w:name w:val="OECD1"/>
    <w:basedOn w:val="TableSimple1"/>
    <w:uiPriority w:val="99"/>
    <w:rsid w:val="00277C14"/>
    <w:pPr>
      <w:tabs>
        <w:tab w:val="clear" w:pos="850"/>
        <w:tab w:val="clear" w:pos="1191"/>
        <w:tab w:val="clear" w:pos="1531"/>
      </w:tabs>
      <w:spacing w:before="10" w:after="20" w:line="200" w:lineRule="exact"/>
    </w:pPr>
    <w:rPr>
      <w:rFonts w:ascii="Arial Narrow" w:hAnsi="Arial Narrow"/>
      <w:sz w:val="17"/>
      <w:lang w:val="fr-FR" w:eastAsia="fr-FR"/>
    </w:rPr>
    <w:tblPr>
      <w:tblBorders>
        <w:top w:val="single" w:sz="12" w:space="0" w:color="4F81BD"/>
        <w:bottom w:val="single" w:sz="12" w:space="0" w:color="4F81BD"/>
        <w:insideH w:val="single" w:sz="6" w:space="0" w:color="BFBFBF"/>
        <w:insideV w:val="single" w:sz="6" w:space="0" w:color="BFBFBF"/>
      </w:tblBorders>
    </w:tblPr>
    <w:tcPr>
      <w:shd w:val="clear" w:color="auto" w:fill="auto"/>
    </w:tcPr>
    <w:tblStylePr w:type="firstRow">
      <w:tblPr/>
      <w:tcPr>
        <w:tcBorders>
          <w:bottom w:val="single" w:sz="6" w:space="0" w:color="4F81BD"/>
          <w:tl2br w:val="none" w:sz="0" w:space="0" w:color="auto"/>
          <w:tr2bl w:val="none" w:sz="0" w:space="0" w:color="auto"/>
        </w:tcBorders>
        <w:shd w:val="clear" w:color="auto" w:fill="auto"/>
      </w:tcPr>
    </w:tblStylePr>
    <w:tblStylePr w:type="lastRow">
      <w:tblPr/>
      <w:tcPr>
        <w:tcBorders>
          <w:top w:val="nil"/>
          <w:tl2br w:val="none" w:sz="0" w:space="0" w:color="auto"/>
          <w:tr2bl w:val="none" w:sz="0" w:space="0" w:color="auto"/>
        </w:tcBorders>
        <w:shd w:val="clear" w:color="auto" w:fill="auto"/>
      </w:tcPr>
    </w:tblStylePr>
  </w:style>
  <w:style w:type="table" w:styleId="TableSimple1">
    <w:name w:val="Table Simple 1"/>
    <w:basedOn w:val="TableNormal"/>
    <w:uiPriority w:val="99"/>
    <w:semiHidden/>
    <w:unhideWhenUsed/>
    <w:rsid w:val="00277C14"/>
    <w:pPr>
      <w:tabs>
        <w:tab w:val="left" w:pos="850"/>
        <w:tab w:val="left" w:pos="1191"/>
        <w:tab w:val="left" w:pos="1531"/>
      </w:tabs>
      <w:jc w:val="both"/>
    </w:pPr>
    <w:rPr>
      <w:rFonts w:ascii="Georgia" w:eastAsiaTheme="minorHAnsi" w:hAnsi="Georgia"/>
      <w:lang w:val="en-US"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GridTable5Dark-Accent211">
    <w:name w:val="Grid Table 5 Dark - Accent 211"/>
    <w:basedOn w:val="TableNormal"/>
    <w:uiPriority w:val="50"/>
    <w:rsid w:val="00277C14"/>
    <w:pPr>
      <w:jc w:val="both"/>
    </w:pPr>
    <w:rPr>
      <w:rFonts w:eastAsia="Times New Roman"/>
      <w:sz w:val="24"/>
      <w:szCs w:val="24"/>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customStyle="1" w:styleId="Headfoot">
    <w:name w:val="Head&amp;foot"/>
    <w:basedOn w:val="Normal"/>
    <w:rsid w:val="00277C14"/>
    <w:pPr>
      <w:tabs>
        <w:tab w:val="left" w:pos="6237"/>
      </w:tabs>
      <w:spacing w:line="300" w:lineRule="exact"/>
      <w:jc w:val="both"/>
    </w:pPr>
    <w:rPr>
      <w:rFonts w:eastAsia="Times New Roman"/>
      <w:sz w:val="24"/>
      <w:szCs w:val="20"/>
      <w:lang w:val="el-GR"/>
    </w:rPr>
  </w:style>
  <w:style w:type="character" w:customStyle="1" w:styleId="TOC1Char">
    <w:name w:val="TOC 1 Char"/>
    <w:basedOn w:val="DefaultParagraphFont"/>
    <w:link w:val="TOC1"/>
    <w:uiPriority w:val="39"/>
    <w:rsid w:val="000A1889"/>
    <w:rPr>
      <w:rFonts w:asciiTheme="majorHAnsi" w:eastAsia="Times New Roman" w:hAnsiTheme="majorHAnsi"/>
      <w:b/>
      <w:bCs/>
      <w:caps/>
      <w:sz w:val="24"/>
      <w:szCs w:val="24"/>
      <w:lang w:val="fr-FR" w:eastAsia="fr-FR"/>
    </w:rPr>
  </w:style>
  <w:style w:type="paragraph" w:customStyle="1" w:styleId="Annextext">
    <w:name w:val="Annex text"/>
    <w:basedOn w:val="Para"/>
    <w:link w:val="AnnextextChar"/>
    <w:qFormat/>
    <w:rsid w:val="00277C14"/>
    <w:pPr>
      <w:numPr>
        <w:numId w:val="0"/>
      </w:numPr>
    </w:pPr>
  </w:style>
  <w:style w:type="character" w:customStyle="1" w:styleId="AnnextextChar">
    <w:name w:val="Annex text Char"/>
    <w:basedOn w:val="ParaChar"/>
    <w:link w:val="Annextext"/>
    <w:rsid w:val="00277C14"/>
    <w:rPr>
      <w:rFonts w:ascii="Cambria" w:eastAsia="SimSun" w:hAnsi="Cambria"/>
      <w:sz w:val="22"/>
      <w:lang w:eastAsia="en-US"/>
    </w:rPr>
  </w:style>
  <w:style w:type="paragraph" w:customStyle="1" w:styleId="ListNumberBox">
    <w:name w:val="List Number Box"/>
    <w:basedOn w:val="Normal"/>
    <w:rsid w:val="00277C14"/>
    <w:pPr>
      <w:numPr>
        <w:numId w:val="25"/>
      </w:numPr>
      <w:tabs>
        <w:tab w:val="clear" w:pos="1950"/>
        <w:tab w:val="num" w:pos="360"/>
        <w:tab w:val="left" w:pos="850"/>
      </w:tabs>
      <w:spacing w:after="240"/>
      <w:ind w:left="850" w:firstLine="0"/>
      <w:jc w:val="both"/>
    </w:pPr>
    <w:rPr>
      <w:rFonts w:eastAsia="Times New Roman" w:cs="Arial"/>
      <w:sz w:val="18"/>
      <w:lang w:eastAsia="zh-CN"/>
    </w:rPr>
  </w:style>
  <w:style w:type="paragraph" w:customStyle="1" w:styleId="ListNumberBox2">
    <w:name w:val="List Number Box 2"/>
    <w:basedOn w:val="Normal"/>
    <w:rsid w:val="00277C14"/>
    <w:pPr>
      <w:numPr>
        <w:ilvl w:val="1"/>
        <w:numId w:val="25"/>
      </w:numPr>
      <w:tabs>
        <w:tab w:val="clear" w:pos="2291"/>
        <w:tab w:val="num" w:pos="360"/>
        <w:tab w:val="left" w:pos="1191"/>
      </w:tabs>
      <w:spacing w:after="240"/>
      <w:ind w:left="1191" w:hanging="340"/>
      <w:jc w:val="both"/>
    </w:pPr>
    <w:rPr>
      <w:rFonts w:eastAsia="Times New Roman" w:cs="Arial"/>
      <w:sz w:val="18"/>
      <w:lang w:eastAsia="zh-CN"/>
    </w:rPr>
  </w:style>
  <w:style w:type="paragraph" w:customStyle="1" w:styleId="ListNumberBox3">
    <w:name w:val="List Number Box 3"/>
    <w:basedOn w:val="Normal"/>
    <w:rsid w:val="00277C14"/>
    <w:pPr>
      <w:numPr>
        <w:ilvl w:val="2"/>
        <w:numId w:val="25"/>
      </w:numPr>
      <w:tabs>
        <w:tab w:val="clear" w:pos="2574"/>
        <w:tab w:val="num" w:pos="360"/>
        <w:tab w:val="left" w:pos="1474"/>
      </w:tabs>
      <w:spacing w:after="240"/>
      <w:ind w:left="1474" w:firstLine="0"/>
      <w:jc w:val="both"/>
    </w:pPr>
    <w:rPr>
      <w:rFonts w:eastAsia="Times New Roman" w:cs="Arial"/>
      <w:sz w:val="18"/>
      <w:lang w:eastAsia="zh-CN"/>
    </w:rPr>
  </w:style>
  <w:style w:type="paragraph" w:customStyle="1" w:styleId="Title1">
    <w:name w:val="Title 1"/>
    <w:basedOn w:val="Normal"/>
    <w:link w:val="Title1Char"/>
    <w:qFormat/>
    <w:rsid w:val="00277C14"/>
    <w:pPr>
      <w:keepNext/>
      <w:widowControl w:val="0"/>
      <w:spacing w:before="240" w:after="240"/>
      <w:ind w:right="284"/>
      <w:jc w:val="both"/>
      <w:outlineLvl w:val="1"/>
    </w:pPr>
    <w:rPr>
      <w:rFonts w:eastAsia="Times New Roman" w:cs="Arial"/>
      <w:b/>
      <w:bCs/>
      <w:color w:val="000000"/>
      <w:w w:val="105"/>
      <w:kern w:val="28"/>
      <w:szCs w:val="20"/>
      <w:lang w:eastAsia="zh-CN"/>
    </w:rPr>
  </w:style>
  <w:style w:type="character" w:customStyle="1" w:styleId="Title1Char">
    <w:name w:val="Title 1 Char"/>
    <w:link w:val="Title1"/>
    <w:rsid w:val="00277C14"/>
    <w:rPr>
      <w:rFonts w:ascii="Arial" w:eastAsia="Times New Roman" w:hAnsi="Arial" w:cs="Arial"/>
      <w:b/>
      <w:bCs/>
      <w:color w:val="000000"/>
      <w:w w:val="105"/>
      <w:kern w:val="28"/>
      <w:lang w:eastAsia="zh-CN"/>
    </w:rPr>
  </w:style>
  <w:style w:type="character" w:customStyle="1" w:styleId="LD-ParaChar">
    <w:name w:val="LD-Para Char"/>
    <w:link w:val="LD-Para"/>
    <w:locked/>
    <w:rsid w:val="00277C14"/>
    <w:rPr>
      <w:rFonts w:ascii="Arial" w:hAnsi="Arial" w:cs="Arial"/>
      <w:bCs/>
      <w:iCs/>
      <w:shd w:val="clear" w:color="auto" w:fill="FFFFFF"/>
    </w:rPr>
  </w:style>
  <w:style w:type="paragraph" w:customStyle="1" w:styleId="LD-Para">
    <w:name w:val="LD-Para"/>
    <w:basedOn w:val="Normal"/>
    <w:link w:val="LD-ParaChar"/>
    <w:qFormat/>
    <w:rsid w:val="00277C14"/>
    <w:pPr>
      <w:widowControl w:val="0"/>
      <w:numPr>
        <w:numId w:val="31"/>
      </w:numPr>
      <w:shd w:val="clear" w:color="auto" w:fill="FFFFFF"/>
      <w:snapToGrid w:val="0"/>
      <w:spacing w:before="240" w:after="240"/>
      <w:jc w:val="both"/>
    </w:pPr>
    <w:rPr>
      <w:rFonts w:cs="Arial"/>
      <w:bCs/>
      <w:iCs/>
      <w:szCs w:val="20"/>
      <w:lang w:eastAsia="en-GB"/>
    </w:rPr>
  </w:style>
  <w:style w:type="character" w:customStyle="1" w:styleId="1">
    <w:name w:val="Ανεπίλυτη αναφορά1"/>
    <w:basedOn w:val="DefaultParagraphFont"/>
    <w:uiPriority w:val="99"/>
    <w:semiHidden/>
    <w:unhideWhenUsed/>
    <w:rsid w:val="00277C14"/>
    <w:rPr>
      <w:color w:val="605E5C"/>
      <w:shd w:val="clear" w:color="auto" w:fill="E1DFDD"/>
    </w:rPr>
  </w:style>
  <w:style w:type="paragraph" w:customStyle="1" w:styleId="TitleI">
    <w:name w:val="Title I"/>
    <w:basedOn w:val="Title1"/>
    <w:link w:val="TitleIChar"/>
    <w:qFormat/>
    <w:rsid w:val="00277C14"/>
  </w:style>
  <w:style w:type="paragraph" w:customStyle="1" w:styleId="Title10">
    <w:name w:val="Title1."/>
    <w:basedOn w:val="Normal"/>
    <w:link w:val="Title1Char0"/>
    <w:qFormat/>
    <w:rsid w:val="00277C14"/>
    <w:pPr>
      <w:jc w:val="both"/>
    </w:pPr>
    <w:rPr>
      <w:b/>
    </w:rPr>
  </w:style>
  <w:style w:type="character" w:customStyle="1" w:styleId="TitleIChar">
    <w:name w:val="Title I Char"/>
    <w:basedOn w:val="Title1Char"/>
    <w:link w:val="TitleI"/>
    <w:rsid w:val="00277C14"/>
    <w:rPr>
      <w:rFonts w:ascii="Arial" w:eastAsia="Times New Roman" w:hAnsi="Arial" w:cs="Arial"/>
      <w:b/>
      <w:bCs/>
      <w:color w:val="000000"/>
      <w:w w:val="105"/>
      <w:kern w:val="28"/>
      <w:lang w:eastAsia="zh-CN"/>
    </w:rPr>
  </w:style>
  <w:style w:type="character" w:customStyle="1" w:styleId="Title1Char0">
    <w:name w:val="Title1. Char"/>
    <w:basedOn w:val="DefaultParagraphFont"/>
    <w:link w:val="Title10"/>
    <w:rsid w:val="00277C14"/>
    <w:rPr>
      <w:rFonts w:ascii="Arial" w:hAnsi="Arial"/>
      <w:b/>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5834">
      <w:bodyDiv w:val="1"/>
      <w:marLeft w:val="0"/>
      <w:marRight w:val="0"/>
      <w:marTop w:val="0"/>
      <w:marBottom w:val="0"/>
      <w:divBdr>
        <w:top w:val="none" w:sz="0" w:space="0" w:color="auto"/>
        <w:left w:val="none" w:sz="0" w:space="0" w:color="auto"/>
        <w:bottom w:val="none" w:sz="0" w:space="0" w:color="auto"/>
        <w:right w:val="none" w:sz="0" w:space="0" w:color="auto"/>
      </w:divBdr>
    </w:div>
    <w:div w:id="359280546">
      <w:bodyDiv w:val="1"/>
      <w:marLeft w:val="0"/>
      <w:marRight w:val="0"/>
      <w:marTop w:val="0"/>
      <w:marBottom w:val="0"/>
      <w:divBdr>
        <w:top w:val="none" w:sz="0" w:space="0" w:color="auto"/>
        <w:left w:val="none" w:sz="0" w:space="0" w:color="auto"/>
        <w:bottom w:val="none" w:sz="0" w:space="0" w:color="auto"/>
        <w:right w:val="none" w:sz="0" w:space="0" w:color="auto"/>
      </w:divBdr>
    </w:div>
    <w:div w:id="540636447">
      <w:bodyDiv w:val="1"/>
      <w:marLeft w:val="0"/>
      <w:marRight w:val="0"/>
      <w:marTop w:val="0"/>
      <w:marBottom w:val="0"/>
      <w:divBdr>
        <w:top w:val="none" w:sz="0" w:space="0" w:color="auto"/>
        <w:left w:val="none" w:sz="0" w:space="0" w:color="auto"/>
        <w:bottom w:val="none" w:sz="0" w:space="0" w:color="auto"/>
        <w:right w:val="none" w:sz="0" w:space="0" w:color="auto"/>
      </w:divBdr>
    </w:div>
    <w:div w:id="803549707">
      <w:bodyDiv w:val="1"/>
      <w:marLeft w:val="0"/>
      <w:marRight w:val="0"/>
      <w:marTop w:val="0"/>
      <w:marBottom w:val="0"/>
      <w:divBdr>
        <w:top w:val="none" w:sz="0" w:space="0" w:color="auto"/>
        <w:left w:val="none" w:sz="0" w:space="0" w:color="auto"/>
        <w:bottom w:val="none" w:sz="0" w:space="0" w:color="auto"/>
        <w:right w:val="none" w:sz="0" w:space="0" w:color="auto"/>
      </w:divBdr>
    </w:div>
    <w:div w:id="125004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n.wikipedia.org/wiki/Market_economy" TargetMode="External"/><Relationship Id="rId18" Type="http://schemas.openxmlformats.org/officeDocument/2006/relationships/hyperlink" Target="http://www.eurasiangroup.org/"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giaba.org/" TargetMode="External"/><Relationship Id="rId7" Type="http://schemas.openxmlformats.org/officeDocument/2006/relationships/endnotes" Target="endnotes.xml"/><Relationship Id="rId12" Type="http://schemas.openxmlformats.org/officeDocument/2006/relationships/hyperlink" Target="https://en.wikipedia.org/wiki/Investment" TargetMode="External"/><Relationship Id="rId17" Type="http://schemas.openxmlformats.org/officeDocument/2006/relationships/hyperlink" Target="http://www.coe.int/moneyva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cfatf-gafic.org/" TargetMode="External"/><Relationship Id="rId20" Type="http://schemas.openxmlformats.org/officeDocument/2006/relationships/hyperlink" Target="http://www.gafisud.inf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Investment_ban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pgabac.org/" TargetMode="External"/><Relationship Id="rId28" Type="http://schemas.openxmlformats.org/officeDocument/2006/relationships/footer" Target="footer2.xml"/><Relationship Id="rId10" Type="http://schemas.openxmlformats.org/officeDocument/2006/relationships/hyperlink" Target="https://en.wikipedia.org/wiki/International_financial_institution" TargetMode="External"/><Relationship Id="rId19" Type="http://schemas.openxmlformats.org/officeDocument/2006/relationships/hyperlink" Target="http://www.esaamlg.org/"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apgml.org/" TargetMode="External"/><Relationship Id="rId22" Type="http://schemas.openxmlformats.org/officeDocument/2006/relationships/hyperlink" Target="http://www.menafatf.org/"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oe.int/en/web/moneyval/strategy-and-workpla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celin\ND%20Office%20Echo\DE-WO1BE0I8\CAHAI%203rd%20meeting%20E_CMAbridgedReport%202767-3020-8002%20v.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fr-FR" sz="1200" b="0"/>
              <a:t>Fig.1</a:t>
            </a:r>
            <a:r>
              <a:rPr lang="fr-FR" sz="1200" b="0" baseline="0"/>
              <a:t>: Overview of the e</a:t>
            </a:r>
            <a:r>
              <a:rPr lang="fr-FR" sz="1200" b="0"/>
              <a:t>ffectiveness ratings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fr-FR"/>
        </a:p>
      </c:txPr>
    </c:title>
    <c:autoTitleDeleted val="0"/>
    <c:plotArea>
      <c:layout/>
      <c:barChart>
        <c:barDir val="col"/>
        <c:grouping val="stacked"/>
        <c:varyColors val="0"/>
        <c:ser>
          <c:idx val="0"/>
          <c:order val="0"/>
          <c:tx>
            <c:strRef>
              <c:f>Sheet1!$B$1</c:f>
              <c:strCache>
                <c:ptCount val="1"/>
                <c:pt idx="0">
                  <c:v>Low</c:v>
                </c:pt>
              </c:strCache>
            </c:strRef>
          </c:tx>
          <c:spPr>
            <a:solidFill>
              <a:srgbClr val="FF000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Sheet1!$A$2:$A$12</c:f>
              <c:strCache>
                <c:ptCount val="11"/>
                <c:pt idx="0">
                  <c:v>Risk understanding</c:v>
                </c:pt>
                <c:pt idx="1">
                  <c:v>International cooperation</c:v>
                </c:pt>
                <c:pt idx="2">
                  <c:v>Supervision</c:v>
                </c:pt>
                <c:pt idx="3">
                  <c:v>Private sector</c:v>
                </c:pt>
                <c:pt idx="4">
                  <c:v>Legal persons</c:v>
                </c:pt>
                <c:pt idx="5">
                  <c:v>Financial intelligence</c:v>
                </c:pt>
                <c:pt idx="6">
                  <c:v>ML prosecution</c:v>
                </c:pt>
                <c:pt idx="7">
                  <c:v>Confiscation</c:v>
                </c:pt>
                <c:pt idx="8">
                  <c:v>TF prosecution</c:v>
                </c:pt>
                <c:pt idx="9">
                  <c:v>TF TFS</c:v>
                </c:pt>
                <c:pt idx="10">
                  <c:v>PF TFS</c:v>
                </c:pt>
              </c:strCache>
            </c:strRef>
          </c:cat>
          <c:val>
            <c:numRef>
              <c:f>Sheet1!$B$2:$B$12</c:f>
              <c:numCache>
                <c:formatCode>General</c:formatCode>
                <c:ptCount val="11"/>
                <c:pt idx="0">
                  <c:v>1</c:v>
                </c:pt>
                <c:pt idx="2">
                  <c:v>2</c:v>
                </c:pt>
                <c:pt idx="4">
                  <c:v>3</c:v>
                </c:pt>
                <c:pt idx="5">
                  <c:v>3</c:v>
                </c:pt>
                <c:pt idx="6">
                  <c:v>10</c:v>
                </c:pt>
                <c:pt idx="7">
                  <c:v>9</c:v>
                </c:pt>
                <c:pt idx="8">
                  <c:v>1</c:v>
                </c:pt>
                <c:pt idx="9">
                  <c:v>3</c:v>
                </c:pt>
                <c:pt idx="10">
                  <c:v>5</c:v>
                </c:pt>
              </c:numCache>
            </c:numRef>
          </c:val>
          <c:extLst>
            <c:ext xmlns:c16="http://schemas.microsoft.com/office/drawing/2014/chart" uri="{C3380CC4-5D6E-409C-BE32-E72D297353CC}">
              <c16:uniqueId val="{00000000-027B-4255-AB40-1B812567188F}"/>
            </c:ext>
          </c:extLst>
        </c:ser>
        <c:ser>
          <c:idx val="1"/>
          <c:order val="1"/>
          <c:tx>
            <c:strRef>
              <c:f>Sheet1!$C$1</c:f>
              <c:strCache>
                <c:ptCount val="1"/>
                <c:pt idx="0">
                  <c:v>Moderate</c:v>
                </c:pt>
              </c:strCache>
            </c:strRef>
          </c:tx>
          <c:spPr>
            <a:solidFill>
              <a:srgbClr val="FFC00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Sheet1!$A$2:$A$12</c:f>
              <c:strCache>
                <c:ptCount val="11"/>
                <c:pt idx="0">
                  <c:v>Risk understanding</c:v>
                </c:pt>
                <c:pt idx="1">
                  <c:v>International cooperation</c:v>
                </c:pt>
                <c:pt idx="2">
                  <c:v>Supervision</c:v>
                </c:pt>
                <c:pt idx="3">
                  <c:v>Private sector</c:v>
                </c:pt>
                <c:pt idx="4">
                  <c:v>Legal persons</c:v>
                </c:pt>
                <c:pt idx="5">
                  <c:v>Financial intelligence</c:v>
                </c:pt>
                <c:pt idx="6">
                  <c:v>ML prosecution</c:v>
                </c:pt>
                <c:pt idx="7">
                  <c:v>Confiscation</c:v>
                </c:pt>
                <c:pt idx="8">
                  <c:v>TF prosecution</c:v>
                </c:pt>
                <c:pt idx="9">
                  <c:v>TF TFS</c:v>
                </c:pt>
                <c:pt idx="10">
                  <c:v>PF TFS</c:v>
                </c:pt>
              </c:strCache>
            </c:strRef>
          </c:cat>
          <c:val>
            <c:numRef>
              <c:f>Sheet1!$C$2:$C$12</c:f>
              <c:numCache>
                <c:formatCode>General</c:formatCode>
                <c:ptCount val="11"/>
                <c:pt idx="0">
                  <c:v>17</c:v>
                </c:pt>
                <c:pt idx="1">
                  <c:v>5</c:v>
                </c:pt>
                <c:pt idx="2">
                  <c:v>23</c:v>
                </c:pt>
                <c:pt idx="3">
                  <c:v>22</c:v>
                </c:pt>
                <c:pt idx="4">
                  <c:v>19</c:v>
                </c:pt>
                <c:pt idx="5">
                  <c:v>15</c:v>
                </c:pt>
                <c:pt idx="6">
                  <c:v>15</c:v>
                </c:pt>
                <c:pt idx="7">
                  <c:v>13</c:v>
                </c:pt>
                <c:pt idx="8">
                  <c:v>15</c:v>
                </c:pt>
                <c:pt idx="9">
                  <c:v>21</c:v>
                </c:pt>
                <c:pt idx="10">
                  <c:v>18</c:v>
                </c:pt>
              </c:numCache>
            </c:numRef>
          </c:val>
          <c:extLst>
            <c:ext xmlns:c16="http://schemas.microsoft.com/office/drawing/2014/chart" uri="{C3380CC4-5D6E-409C-BE32-E72D297353CC}">
              <c16:uniqueId val="{00000001-027B-4255-AB40-1B812567188F}"/>
            </c:ext>
          </c:extLst>
        </c:ser>
        <c:ser>
          <c:idx val="2"/>
          <c:order val="2"/>
          <c:tx>
            <c:strRef>
              <c:f>Sheet1!$D$1</c:f>
              <c:strCache>
                <c:ptCount val="1"/>
                <c:pt idx="0">
                  <c:v>Substantial</c:v>
                </c:pt>
              </c:strCache>
            </c:strRef>
          </c:tx>
          <c:spPr>
            <a:solidFill>
              <a:srgbClr val="92D05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Sheet1!$A$2:$A$12</c:f>
              <c:strCache>
                <c:ptCount val="11"/>
                <c:pt idx="0">
                  <c:v>Risk understanding</c:v>
                </c:pt>
                <c:pt idx="1">
                  <c:v>International cooperation</c:v>
                </c:pt>
                <c:pt idx="2">
                  <c:v>Supervision</c:v>
                </c:pt>
                <c:pt idx="3">
                  <c:v>Private sector</c:v>
                </c:pt>
                <c:pt idx="4">
                  <c:v>Legal persons</c:v>
                </c:pt>
                <c:pt idx="5">
                  <c:v>Financial intelligence</c:v>
                </c:pt>
                <c:pt idx="6">
                  <c:v>ML prosecution</c:v>
                </c:pt>
                <c:pt idx="7">
                  <c:v>Confiscation</c:v>
                </c:pt>
                <c:pt idx="8">
                  <c:v>TF prosecution</c:v>
                </c:pt>
                <c:pt idx="9">
                  <c:v>TF TFS</c:v>
                </c:pt>
                <c:pt idx="10">
                  <c:v>PF TFS</c:v>
                </c:pt>
              </c:strCache>
            </c:strRef>
          </c:cat>
          <c:val>
            <c:numRef>
              <c:f>Sheet1!$D$2:$D$12</c:f>
              <c:numCache>
                <c:formatCode>General</c:formatCode>
                <c:ptCount val="11"/>
                <c:pt idx="0">
                  <c:v>8</c:v>
                </c:pt>
                <c:pt idx="1">
                  <c:v>20</c:v>
                </c:pt>
                <c:pt idx="2">
                  <c:v>1</c:v>
                </c:pt>
                <c:pt idx="3">
                  <c:v>4</c:v>
                </c:pt>
                <c:pt idx="4">
                  <c:v>4</c:v>
                </c:pt>
                <c:pt idx="5">
                  <c:v>7</c:v>
                </c:pt>
                <c:pt idx="6">
                  <c:v>1</c:v>
                </c:pt>
                <c:pt idx="7">
                  <c:v>3</c:v>
                </c:pt>
                <c:pt idx="8">
                  <c:v>9</c:v>
                </c:pt>
                <c:pt idx="9">
                  <c:v>2</c:v>
                </c:pt>
                <c:pt idx="10">
                  <c:v>3</c:v>
                </c:pt>
              </c:numCache>
            </c:numRef>
          </c:val>
          <c:extLst>
            <c:ext xmlns:c16="http://schemas.microsoft.com/office/drawing/2014/chart" uri="{C3380CC4-5D6E-409C-BE32-E72D297353CC}">
              <c16:uniqueId val="{00000002-027B-4255-AB40-1B812567188F}"/>
            </c:ext>
          </c:extLst>
        </c:ser>
        <c:ser>
          <c:idx val="3"/>
          <c:order val="3"/>
          <c:tx>
            <c:strRef>
              <c:f>Sheet1!$E$1</c:f>
              <c:strCache>
                <c:ptCount val="1"/>
                <c:pt idx="0">
                  <c:v>High</c:v>
                </c:pt>
              </c:strCache>
            </c:strRef>
          </c:tx>
          <c:spPr>
            <a:solidFill>
              <a:srgbClr val="00B050"/>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Sheet1!$A$2:$A$12</c:f>
              <c:strCache>
                <c:ptCount val="11"/>
                <c:pt idx="0">
                  <c:v>Risk understanding</c:v>
                </c:pt>
                <c:pt idx="1">
                  <c:v>International cooperation</c:v>
                </c:pt>
                <c:pt idx="2">
                  <c:v>Supervision</c:v>
                </c:pt>
                <c:pt idx="3">
                  <c:v>Private sector</c:v>
                </c:pt>
                <c:pt idx="4">
                  <c:v>Legal persons</c:v>
                </c:pt>
                <c:pt idx="5">
                  <c:v>Financial intelligence</c:v>
                </c:pt>
                <c:pt idx="6">
                  <c:v>ML prosecution</c:v>
                </c:pt>
                <c:pt idx="7">
                  <c:v>Confiscation</c:v>
                </c:pt>
                <c:pt idx="8">
                  <c:v>TF prosecution</c:v>
                </c:pt>
                <c:pt idx="9">
                  <c:v>TF TFS</c:v>
                </c:pt>
                <c:pt idx="10">
                  <c:v>PF TFS</c:v>
                </c:pt>
              </c:strCache>
            </c:strRef>
          </c:cat>
          <c:val>
            <c:numRef>
              <c:f>Sheet1!$E$2:$E$12</c:f>
              <c:numCache>
                <c:formatCode>General</c:formatCode>
                <c:ptCount val="11"/>
                <c:pt idx="1">
                  <c:v>1</c:v>
                </c:pt>
                <c:pt idx="5">
                  <c:v>1</c:v>
                </c:pt>
                <c:pt idx="7">
                  <c:v>1</c:v>
                </c:pt>
                <c:pt idx="8">
                  <c:v>1</c:v>
                </c:pt>
              </c:numCache>
            </c:numRef>
          </c:val>
          <c:extLst>
            <c:ext xmlns:c16="http://schemas.microsoft.com/office/drawing/2014/chart" uri="{C3380CC4-5D6E-409C-BE32-E72D297353CC}">
              <c16:uniqueId val="{00000003-027B-4255-AB40-1B812567188F}"/>
            </c:ext>
          </c:extLst>
        </c:ser>
        <c:ser>
          <c:idx val="4"/>
          <c:order val="4"/>
          <c:tx>
            <c:strRef>
              <c:f>Sheet1!$F$1</c:f>
              <c:strCache>
                <c:ptCount val="1"/>
                <c:pt idx="0">
                  <c:v>Column1</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Sheet1!$A$2:$A$12</c:f>
              <c:strCache>
                <c:ptCount val="11"/>
                <c:pt idx="0">
                  <c:v>Risk understanding</c:v>
                </c:pt>
                <c:pt idx="1">
                  <c:v>International cooperation</c:v>
                </c:pt>
                <c:pt idx="2">
                  <c:v>Supervision</c:v>
                </c:pt>
                <c:pt idx="3">
                  <c:v>Private sector</c:v>
                </c:pt>
                <c:pt idx="4">
                  <c:v>Legal persons</c:v>
                </c:pt>
                <c:pt idx="5">
                  <c:v>Financial intelligence</c:v>
                </c:pt>
                <c:pt idx="6">
                  <c:v>ML prosecution</c:v>
                </c:pt>
                <c:pt idx="7">
                  <c:v>Confiscation</c:v>
                </c:pt>
                <c:pt idx="8">
                  <c:v>TF prosecution</c:v>
                </c:pt>
                <c:pt idx="9">
                  <c:v>TF TFS</c:v>
                </c:pt>
                <c:pt idx="10">
                  <c:v>PF TFS</c:v>
                </c:pt>
              </c:strCache>
            </c:strRef>
          </c:cat>
          <c:val>
            <c:numRef>
              <c:f>Sheet1!$F$2:$F$12</c:f>
              <c:numCache>
                <c:formatCode>General</c:formatCode>
                <c:ptCount val="11"/>
              </c:numCache>
            </c:numRef>
          </c:val>
          <c:extLst>
            <c:ext xmlns:c16="http://schemas.microsoft.com/office/drawing/2014/chart" uri="{C3380CC4-5D6E-409C-BE32-E72D297353CC}">
              <c16:uniqueId val="{00000000-58B9-4835-AD6F-7E645F107F9D}"/>
            </c:ext>
          </c:extLst>
        </c:ser>
        <c:ser>
          <c:idx val="5"/>
          <c:order val="5"/>
          <c:tx>
            <c:strRef>
              <c:f>Sheet1!$G$1</c:f>
              <c:strCache>
                <c:ptCount val="1"/>
                <c:pt idx="0">
                  <c:v>Column2</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fr-F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Sheet1!$A$2:$A$12</c:f>
              <c:strCache>
                <c:ptCount val="11"/>
                <c:pt idx="0">
                  <c:v>Risk understanding</c:v>
                </c:pt>
                <c:pt idx="1">
                  <c:v>International cooperation</c:v>
                </c:pt>
                <c:pt idx="2">
                  <c:v>Supervision</c:v>
                </c:pt>
                <c:pt idx="3">
                  <c:v>Private sector</c:v>
                </c:pt>
                <c:pt idx="4">
                  <c:v>Legal persons</c:v>
                </c:pt>
                <c:pt idx="5">
                  <c:v>Financial intelligence</c:v>
                </c:pt>
                <c:pt idx="6">
                  <c:v>ML prosecution</c:v>
                </c:pt>
                <c:pt idx="7">
                  <c:v>Confiscation</c:v>
                </c:pt>
                <c:pt idx="8">
                  <c:v>TF prosecution</c:v>
                </c:pt>
                <c:pt idx="9">
                  <c:v>TF TFS</c:v>
                </c:pt>
                <c:pt idx="10">
                  <c:v>PF TFS</c:v>
                </c:pt>
              </c:strCache>
            </c:strRef>
          </c:cat>
          <c:val>
            <c:numRef>
              <c:f>Sheet1!$G$2:$G$12</c:f>
              <c:numCache>
                <c:formatCode>General</c:formatCode>
                <c:ptCount val="11"/>
              </c:numCache>
            </c:numRef>
          </c:val>
          <c:extLst>
            <c:ext xmlns:c16="http://schemas.microsoft.com/office/drawing/2014/chart" uri="{C3380CC4-5D6E-409C-BE32-E72D297353CC}">
              <c16:uniqueId val="{00000001-58B9-4835-AD6F-7E645F107F9D}"/>
            </c:ext>
          </c:extLst>
        </c:ser>
        <c:dLbls>
          <c:dLblPos val="ctr"/>
          <c:showLegendKey val="0"/>
          <c:showVal val="1"/>
          <c:showCatName val="0"/>
          <c:showSerName val="0"/>
          <c:showPercent val="0"/>
          <c:showBubbleSize val="0"/>
        </c:dLbls>
        <c:gapWidth val="150"/>
        <c:overlap val="100"/>
        <c:axId val="918073416"/>
        <c:axId val="918077680"/>
      </c:barChart>
      <c:catAx>
        <c:axId val="91807341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0"/>
          <a:lstStyle/>
          <a:p>
            <a:pPr>
              <a:defRPr sz="900" b="0" i="0" u="none" strike="noStrike" kern="1200" baseline="0">
                <a:solidFill>
                  <a:schemeClr val="tx2"/>
                </a:solidFill>
                <a:latin typeface="+mn-lt"/>
                <a:ea typeface="+mn-ea"/>
                <a:cs typeface="+mn-cs"/>
              </a:defRPr>
            </a:pPr>
            <a:endParaRPr lang="fr-FR"/>
          </a:p>
        </c:txPr>
        <c:crossAx val="918077680"/>
        <c:crosses val="autoZero"/>
        <c:auto val="1"/>
        <c:lblAlgn val="ctr"/>
        <c:lblOffset val="100"/>
        <c:noMultiLvlLbl val="0"/>
      </c:catAx>
      <c:valAx>
        <c:axId val="91807768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918073416"/>
        <c:crosses val="autoZero"/>
        <c:crossBetween val="between"/>
      </c:valAx>
      <c:spPr>
        <a:noFill/>
        <a:ln>
          <a:noFill/>
        </a:ln>
        <a:effectLst/>
      </c:spPr>
    </c:plotArea>
    <c:legend>
      <c:legendPos val="b"/>
      <c:legendEntry>
        <c:idx val="4"/>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B61C7D4-8C0F-4929-A322-04A422DB3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CAHAI 3rd meeting E_CMAbridgedReport 2767-3020-8002 v.1</Template>
  <TotalTime>1</TotalTime>
  <Pages>30</Pages>
  <Words>15578</Words>
  <Characters>85685</Characters>
  <Application>Microsoft Office Word</Application>
  <DocSecurity>0</DocSecurity>
  <Lines>714</Lines>
  <Paragraphs>202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101061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ANCELIN Lucy</dc:creator>
  <cp:lastModifiedBy>KAMOLNAVIN Kamoljit</cp:lastModifiedBy>
  <cp:revision>2</cp:revision>
  <cp:lastPrinted>2023-05-23T08:46:00Z</cp:lastPrinted>
  <dcterms:created xsi:type="dcterms:W3CDTF">2023-06-13T06:58:00Z</dcterms:created>
  <dcterms:modified xsi:type="dcterms:W3CDTF">2023-06-13T06:58:00Z</dcterms:modified>
</cp:coreProperties>
</file>