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5DAE7624" w14:textId="77777777" w:rsidTr="00491E67">
        <w:trPr>
          <w:trHeight w:val="737"/>
        </w:trPr>
        <w:tc>
          <w:tcPr>
            <w:tcW w:w="1250" w:type="pct"/>
            <w:shd w:val="clear" w:color="auto" w:fill="auto"/>
            <w:vAlign w:val="center"/>
          </w:tcPr>
          <w:p w14:paraId="134F1E9D"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5D561A97"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B46FD7A" w14:textId="603807DD" w:rsidR="002D11B8" w:rsidRPr="008E45BA" w:rsidRDefault="008E45BA" w:rsidP="00491E67">
            <w:pPr>
              <w:ind w:left="-40"/>
              <w:jc w:val="center"/>
              <w:rPr>
                <w:rFonts w:ascii="Arial Narrow" w:hAnsi="Arial Narrow" w:cs="Arial"/>
                <w:b/>
                <w:sz w:val="24"/>
                <w:szCs w:val="24"/>
              </w:rPr>
            </w:pPr>
            <w:proofErr w:type="gramStart"/>
            <w:r w:rsidRPr="008E45BA">
              <w:rPr>
                <w:rFonts w:ascii="Arial Narrow" w:hAnsi="Arial Narrow" w:cs="Calibri"/>
                <w:b/>
                <w:sz w:val="24"/>
                <w:szCs w:val="24"/>
              </w:rPr>
              <w:t>CM(</w:t>
            </w:r>
            <w:proofErr w:type="gramEnd"/>
            <w:r w:rsidRPr="008E45BA">
              <w:rPr>
                <w:rFonts w:ascii="Arial Narrow" w:hAnsi="Arial Narrow" w:cs="Calibri"/>
                <w:b/>
                <w:sz w:val="24"/>
                <w:szCs w:val="24"/>
              </w:rPr>
              <w:t>2023)85</w:t>
            </w:r>
          </w:p>
        </w:tc>
        <w:tc>
          <w:tcPr>
            <w:tcW w:w="1250" w:type="pct"/>
            <w:shd w:val="clear" w:color="auto" w:fill="auto"/>
            <w:vAlign w:val="center"/>
          </w:tcPr>
          <w:p w14:paraId="7D771D5D" w14:textId="06D06878" w:rsidR="002D11B8" w:rsidRPr="00F96689" w:rsidRDefault="008E45BA" w:rsidP="00491E67">
            <w:pPr>
              <w:jc w:val="right"/>
              <w:rPr>
                <w:rFonts w:ascii="Arial Narrow" w:hAnsi="Arial Narrow" w:cs="Arial"/>
                <w:sz w:val="16"/>
                <w:szCs w:val="16"/>
              </w:rPr>
            </w:pPr>
            <w:r w:rsidRPr="008E45BA">
              <w:rPr>
                <w:rFonts w:ascii="Arial Narrow" w:hAnsi="Arial Narrow" w:cs="Calibri"/>
                <w:sz w:val="16"/>
                <w:szCs w:val="16"/>
              </w:rPr>
              <w:t>23 m</w:t>
            </w:r>
            <w:r w:rsidR="004615E1" w:rsidRPr="008E45BA">
              <w:rPr>
                <w:rFonts w:ascii="Arial Narrow" w:hAnsi="Arial Narrow" w:cs="Calibri"/>
                <w:sz w:val="16"/>
                <w:szCs w:val="16"/>
              </w:rPr>
              <w:t xml:space="preserve">ai </w:t>
            </w:r>
            <w:r w:rsidR="00770642" w:rsidRPr="008E45BA">
              <w:rPr>
                <w:rFonts w:ascii="Arial Narrow" w:hAnsi="Arial Narrow" w:cs="Calibri"/>
                <w:sz w:val="16"/>
                <w:szCs w:val="16"/>
              </w:rPr>
              <w:t>202</w:t>
            </w:r>
            <w:r w:rsidR="00AD2D41" w:rsidRPr="008E45BA">
              <w:rPr>
                <w:rFonts w:ascii="Arial Narrow" w:hAnsi="Arial Narrow" w:cs="Calibri"/>
                <w:sz w:val="16"/>
                <w:szCs w:val="16"/>
              </w:rPr>
              <w:t>3</w:t>
            </w:r>
            <w:r w:rsidR="00853C90" w:rsidRPr="00B920E4">
              <w:rPr>
                <w:rStyle w:val="FootnoteReference"/>
                <w:rFonts w:ascii="Arial Narrow" w:hAnsi="Arial Narrow" w:cs="Calibri"/>
                <w:sz w:val="16"/>
                <w:szCs w:val="16"/>
              </w:rPr>
              <w:footnoteReference w:id="1"/>
            </w:r>
          </w:p>
        </w:tc>
      </w:tr>
    </w:tbl>
    <w:p w14:paraId="08F71893"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794FAE76" w14:textId="77777777" w:rsidTr="00491E67">
        <w:tc>
          <w:tcPr>
            <w:tcW w:w="9399" w:type="dxa"/>
            <w:shd w:val="clear" w:color="auto" w:fill="auto"/>
            <w:tcMar>
              <w:top w:w="227" w:type="dxa"/>
              <w:bottom w:w="227" w:type="dxa"/>
            </w:tcMar>
            <w:vAlign w:val="center"/>
          </w:tcPr>
          <w:p w14:paraId="73932AC7" w14:textId="77777777" w:rsidR="004615E1" w:rsidRPr="00AD0EFC" w:rsidRDefault="004615E1" w:rsidP="004615E1">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1469</w:t>
            </w:r>
            <w:r w:rsidRPr="00A27CE5">
              <w:rPr>
                <w:rFonts w:ascii="Arial Narrow" w:hAnsi="Arial Narrow" w:cs="Calibri"/>
                <w:b/>
                <w:bCs/>
                <w:sz w:val="32"/>
                <w:szCs w:val="32"/>
                <w:vertAlign w:val="superscript"/>
              </w:rPr>
              <w:t>e</w:t>
            </w:r>
            <w:r>
              <w:rPr>
                <w:rFonts w:ascii="Arial Narrow" w:hAnsi="Arial Narrow" w:cs="Calibri"/>
                <w:b/>
                <w:bCs/>
                <w:sz w:val="32"/>
                <w:szCs w:val="32"/>
              </w:rPr>
              <w:t> </w:t>
            </w:r>
            <w:r w:rsidRPr="00AD0EFC">
              <w:rPr>
                <w:rFonts w:ascii="Arial Narrow" w:hAnsi="Arial Narrow" w:cs="Calibri"/>
                <w:b/>
                <w:bCs/>
                <w:sz w:val="32"/>
                <w:szCs w:val="32"/>
              </w:rPr>
              <w:t xml:space="preserve">réunion, </w:t>
            </w:r>
            <w:r>
              <w:rPr>
                <w:rFonts w:ascii="Arial Narrow" w:hAnsi="Arial Narrow" w:cs="Calibri"/>
                <w:b/>
                <w:bCs/>
                <w:sz w:val="32"/>
                <w:szCs w:val="32"/>
              </w:rPr>
              <w:t>14 juin</w:t>
            </w:r>
            <w:r w:rsidRPr="00AD0EFC">
              <w:rPr>
                <w:rFonts w:ascii="Arial Narrow" w:hAnsi="Arial Narrow" w:cs="Calibri"/>
                <w:b/>
                <w:bCs/>
                <w:sz w:val="32"/>
                <w:szCs w:val="32"/>
              </w:rPr>
              <w:t xml:space="preserve"> </w:t>
            </w:r>
            <w:r>
              <w:rPr>
                <w:rFonts w:ascii="Arial Narrow" w:hAnsi="Arial Narrow" w:cs="Calibri"/>
                <w:b/>
                <w:bCs/>
                <w:sz w:val="32"/>
                <w:szCs w:val="32"/>
              </w:rPr>
              <w:t>2023</w:t>
            </w:r>
          </w:p>
          <w:p w14:paraId="6FDD0761" w14:textId="77777777" w:rsidR="004615E1" w:rsidRPr="00A27CE5" w:rsidRDefault="004615E1" w:rsidP="004615E1">
            <w:pPr>
              <w:rPr>
                <w:rFonts w:ascii="Arial Narrow" w:hAnsi="Arial Narrow" w:cs="Calibri"/>
                <w:sz w:val="22"/>
              </w:rPr>
            </w:pPr>
            <w:r w:rsidRPr="00A27CE5">
              <w:rPr>
                <w:rFonts w:ascii="Arial Narrow" w:hAnsi="Arial Narrow" w:cs="Calibri"/>
                <w:sz w:val="22"/>
              </w:rPr>
              <w:t>10 Questions juridiques</w:t>
            </w:r>
          </w:p>
          <w:p w14:paraId="0D711472" w14:textId="77777777" w:rsidR="004615E1" w:rsidRPr="00A27CE5" w:rsidRDefault="004615E1" w:rsidP="004615E1">
            <w:pPr>
              <w:rPr>
                <w:rFonts w:ascii="Arial Narrow" w:hAnsi="Arial Narrow" w:cs="Calibri"/>
                <w:i/>
                <w:szCs w:val="20"/>
              </w:rPr>
            </w:pPr>
            <w:r w:rsidRPr="00A27CE5">
              <w:rPr>
                <w:rFonts w:ascii="Arial Narrow" w:hAnsi="Arial Narrow" w:cs="Calibri"/>
                <w:i/>
                <w:szCs w:val="20"/>
              </w:rPr>
              <w:t xml:space="preserve"> </w:t>
            </w:r>
          </w:p>
          <w:p w14:paraId="462A04CC" w14:textId="68D40C50" w:rsidR="004615E1" w:rsidRPr="00F755E9" w:rsidRDefault="004615E1" w:rsidP="004615E1">
            <w:pPr>
              <w:rPr>
                <w:rFonts w:ascii="Arial Narrow" w:hAnsi="Arial Narrow" w:cs="Calibri"/>
                <w:b/>
                <w:sz w:val="28"/>
                <w:szCs w:val="28"/>
              </w:rPr>
            </w:pPr>
            <w:r w:rsidRPr="00DF5B08">
              <w:rPr>
                <w:rFonts w:ascii="Arial Narrow" w:hAnsi="Arial Narrow" w:cs="Calibri"/>
                <w:b/>
                <w:sz w:val="28"/>
                <w:szCs w:val="28"/>
              </w:rPr>
              <w:t>10.</w:t>
            </w:r>
            <w:r w:rsidR="008E45BA">
              <w:rPr>
                <w:rFonts w:ascii="Arial Narrow" w:hAnsi="Arial Narrow" w:cs="Calibri"/>
                <w:b/>
                <w:sz w:val="28"/>
                <w:szCs w:val="28"/>
              </w:rPr>
              <w:t>2</w:t>
            </w:r>
            <w:r w:rsidRPr="00DF5B08">
              <w:rPr>
                <w:rFonts w:ascii="Arial Narrow" w:hAnsi="Arial Narrow" w:cs="Calibri"/>
                <w:b/>
                <w:sz w:val="28"/>
                <w:szCs w:val="28"/>
              </w:rPr>
              <w:t xml:space="preserve"> Comité d’experts sur l’évaluation des mesures de lutte contre le blanchiment de capitaux et le financement du terrorisme (MONEYVAL)</w:t>
            </w:r>
          </w:p>
          <w:p w14:paraId="5506E677" w14:textId="77777777" w:rsidR="004615E1" w:rsidRDefault="004615E1" w:rsidP="004615E1">
            <w:pPr>
              <w:rPr>
                <w:rFonts w:ascii="Arial Narrow" w:hAnsi="Arial Narrow" w:cs="Calibri"/>
                <w:sz w:val="22"/>
              </w:rPr>
            </w:pPr>
            <w:r w:rsidRPr="00DF5B08">
              <w:rPr>
                <w:rFonts w:ascii="Arial Narrow" w:hAnsi="Arial Narrow" w:cs="Calibri"/>
                <w:sz w:val="22"/>
              </w:rPr>
              <w:t>b. Rapport annuel, 202</w:t>
            </w:r>
            <w:r>
              <w:rPr>
                <w:rFonts w:ascii="Arial Narrow" w:hAnsi="Arial Narrow" w:cs="Calibri"/>
                <w:sz w:val="22"/>
              </w:rPr>
              <w:t>2</w:t>
            </w:r>
          </w:p>
          <w:p w14:paraId="04C453B4" w14:textId="77777777" w:rsidR="004615E1" w:rsidRPr="00AD0EFC" w:rsidRDefault="004615E1" w:rsidP="004615E1">
            <w:pPr>
              <w:rPr>
                <w:rFonts w:ascii="Arial Narrow" w:hAnsi="Arial Narrow" w:cs="Calibri"/>
                <w:sz w:val="22"/>
              </w:rPr>
            </w:pPr>
          </w:p>
          <w:p w14:paraId="75B3444A" w14:textId="7ACBC627" w:rsidR="000A307B" w:rsidRPr="00AD0EFC" w:rsidRDefault="004615E1" w:rsidP="004615E1">
            <w:pPr>
              <w:rPr>
                <w:rFonts w:ascii="Arial Narrow" w:hAnsi="Arial Narrow" w:cs="Calibri"/>
                <w:b/>
                <w:szCs w:val="20"/>
              </w:rPr>
            </w:pPr>
            <w:r w:rsidRPr="00AD0EFC">
              <w:rPr>
                <w:rFonts w:ascii="Arial Narrow" w:hAnsi="Arial Narrow" w:cs="Calibri"/>
                <w:b/>
                <w:szCs w:val="20"/>
              </w:rPr>
              <w:t>P</w:t>
            </w:r>
            <w:r>
              <w:rPr>
                <w:rFonts w:ascii="Arial Narrow" w:hAnsi="Arial Narrow" w:cs="Calibri"/>
                <w:b/>
                <w:szCs w:val="20"/>
              </w:rPr>
              <w:t>oint p</w:t>
            </w:r>
            <w:r w:rsidRPr="00AD0EFC">
              <w:rPr>
                <w:rFonts w:ascii="Arial Narrow" w:hAnsi="Arial Narrow" w:cs="Calibri"/>
                <w:b/>
                <w:szCs w:val="20"/>
              </w:rPr>
              <w:t>our examen par le GR-</w:t>
            </w:r>
            <w:r>
              <w:rPr>
                <w:rFonts w:ascii="Arial Narrow" w:hAnsi="Arial Narrow" w:cs="Calibri"/>
                <w:b/>
                <w:szCs w:val="20"/>
              </w:rPr>
              <w:t>J</w:t>
            </w:r>
            <w:r w:rsidRPr="00AD0EFC">
              <w:rPr>
                <w:rFonts w:ascii="Arial Narrow" w:hAnsi="Arial Narrow" w:cs="Calibri"/>
                <w:b/>
                <w:szCs w:val="20"/>
              </w:rPr>
              <w:t xml:space="preserve"> lors de sa réunion du</w:t>
            </w:r>
            <w:r>
              <w:rPr>
                <w:rFonts w:ascii="Arial Narrow" w:hAnsi="Arial Narrow" w:cs="Calibri"/>
                <w:b/>
                <w:szCs w:val="20"/>
              </w:rPr>
              <w:t xml:space="preserve"> 13 juin 2023</w:t>
            </w:r>
          </w:p>
        </w:tc>
      </w:tr>
    </w:tbl>
    <w:p w14:paraId="78F0FF55" w14:textId="245024FF" w:rsidR="00F86A21" w:rsidRPr="005646EF" w:rsidRDefault="00491E67" w:rsidP="00F86A21">
      <w:pPr>
        <w:rPr>
          <w:rFonts w:eastAsia="Times New Roman"/>
          <w:szCs w:val="24"/>
        </w:rPr>
      </w:pPr>
      <w:r w:rsidRPr="00AD0EFC">
        <w:rPr>
          <w:rFonts w:eastAsia="Times New Roman"/>
          <w:szCs w:val="24"/>
        </w:rPr>
        <w:t xml:space="preserve"> </w:t>
      </w:r>
    </w:p>
    <w:p w14:paraId="01DA9B48" w14:textId="77777777" w:rsidR="0091644D" w:rsidRDefault="0091644D" w:rsidP="0002450C">
      <w:pPr>
        <w:rPr>
          <w:rFonts w:eastAsia="Times New Roman"/>
          <w:b/>
          <w:szCs w:val="24"/>
        </w:rPr>
      </w:pPr>
    </w:p>
    <w:p w14:paraId="56788132" w14:textId="77777777" w:rsidR="00DF5B08" w:rsidRPr="00F935E7" w:rsidRDefault="00DF5B08" w:rsidP="00DF5B08">
      <w:pPr>
        <w:jc w:val="both"/>
        <w:rPr>
          <w:rFonts w:eastAsia="Times New Roman" w:cs="Arial"/>
          <w:szCs w:val="20"/>
        </w:rPr>
      </w:pPr>
    </w:p>
    <w:p w14:paraId="68013BF8" w14:textId="77777777" w:rsidR="00DF5B08" w:rsidRPr="00F935E7" w:rsidRDefault="00DF5B08" w:rsidP="00DF5B08">
      <w:pPr>
        <w:jc w:val="both"/>
        <w:rPr>
          <w:rFonts w:eastAsia="Times New Roman" w:cs="Arial"/>
          <w:b/>
          <w:bCs/>
          <w:caps/>
          <w:szCs w:val="20"/>
          <w:lang w:eastAsia="fr-FR"/>
        </w:rPr>
      </w:pPr>
      <w:r w:rsidRPr="00F935E7">
        <w:rPr>
          <w:rFonts w:cs="Arial"/>
          <w:szCs w:val="20"/>
        </w:rPr>
        <w:br w:type="page"/>
      </w:r>
    </w:p>
    <w:sdt>
      <w:sdtPr>
        <w:rPr>
          <w:rFonts w:ascii="Arial" w:eastAsia="Calibri" w:hAnsi="Arial" w:cs="Arial"/>
          <w:b w:val="0"/>
          <w:bCs w:val="0"/>
          <w:color w:val="auto"/>
          <w:sz w:val="20"/>
          <w:szCs w:val="20"/>
          <w:lang w:val="fr-FR" w:eastAsia="en-US"/>
        </w:rPr>
        <w:id w:val="1516879327"/>
        <w:docPartObj>
          <w:docPartGallery w:val="Table of Contents"/>
          <w:docPartUnique/>
        </w:docPartObj>
      </w:sdtPr>
      <w:sdtContent>
        <w:p w14:paraId="12668D03" w14:textId="77777777" w:rsidR="00DF5B08" w:rsidRPr="00624E6D" w:rsidRDefault="00DF5B08" w:rsidP="00AB055A">
          <w:pPr>
            <w:pStyle w:val="TOCHeading"/>
            <w:tabs>
              <w:tab w:val="left" w:pos="709"/>
              <w:tab w:val="right" w:leader="dot" w:pos="9639"/>
            </w:tabs>
            <w:rPr>
              <w:rFonts w:ascii="Arial" w:hAnsi="Arial" w:cs="Arial"/>
              <w:sz w:val="20"/>
              <w:szCs w:val="20"/>
            </w:rPr>
          </w:pPr>
          <w:r w:rsidRPr="00624E6D">
            <w:rPr>
              <w:rFonts w:ascii="Arial" w:hAnsi="Arial" w:cs="Arial"/>
              <w:sz w:val="20"/>
              <w:szCs w:val="20"/>
            </w:rPr>
            <w:t>Table des matières</w:t>
          </w:r>
        </w:p>
        <w:p w14:paraId="033C5F7F" w14:textId="77777777" w:rsidR="00DF5B08" w:rsidRPr="00624E6D" w:rsidRDefault="00DF5B08" w:rsidP="00AB055A">
          <w:pPr>
            <w:tabs>
              <w:tab w:val="left" w:pos="709"/>
              <w:tab w:val="right" w:leader="dot" w:pos="9639"/>
            </w:tabs>
            <w:rPr>
              <w:rFonts w:cs="Arial"/>
              <w:szCs w:val="20"/>
              <w:lang w:val="en-US" w:eastAsia="ja-JP"/>
            </w:rPr>
          </w:pPr>
        </w:p>
        <w:p w14:paraId="430D7D2F" w14:textId="3B0FE0E9" w:rsidR="008F64ED" w:rsidRPr="00624E6D" w:rsidRDefault="00DF5B08" w:rsidP="00F243B8">
          <w:pPr>
            <w:pStyle w:val="TOC2"/>
            <w:rPr>
              <w:rFonts w:ascii="Arial" w:eastAsiaTheme="minorEastAsia" w:hAnsi="Arial" w:cs="Arial"/>
            </w:rPr>
          </w:pPr>
          <w:r w:rsidRPr="00624E6D">
            <w:rPr>
              <w:rFonts w:ascii="Arial" w:hAnsi="Arial" w:cs="Arial"/>
              <w:caps/>
            </w:rPr>
            <w:fldChar w:fldCharType="begin"/>
          </w:r>
          <w:r w:rsidRPr="00624E6D">
            <w:rPr>
              <w:rFonts w:ascii="Arial" w:hAnsi="Arial" w:cs="Arial"/>
            </w:rPr>
            <w:instrText xml:space="preserve"> TOC \o "1-3" \h \z \u </w:instrText>
          </w:r>
          <w:r w:rsidRPr="00624E6D">
            <w:rPr>
              <w:rFonts w:ascii="Arial" w:hAnsi="Arial" w:cs="Arial"/>
              <w:caps/>
            </w:rPr>
            <w:fldChar w:fldCharType="separate"/>
          </w:r>
          <w:hyperlink w:anchor="_Toc135412687" w:history="1">
            <w:r w:rsidR="008F64ED" w:rsidRPr="00624E6D">
              <w:rPr>
                <w:rStyle w:val="Hyperlink"/>
                <w:rFonts w:ascii="Arial" w:hAnsi="Arial" w:cs="Arial"/>
              </w:rPr>
              <w:t>ABRÉVIATIONS ET ACRONYMES FRÉQUEMMENT UTILISÉS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_Toc135412687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3</w:t>
            </w:r>
            <w:r w:rsidR="008F64ED" w:rsidRPr="00624E6D">
              <w:rPr>
                <w:rFonts w:ascii="Arial" w:hAnsi="Arial" w:cs="Arial"/>
                <w:webHidden/>
              </w:rPr>
              <w:fldChar w:fldCharType="end"/>
            </w:r>
          </w:hyperlink>
        </w:p>
        <w:p w14:paraId="77884D9C" w14:textId="2CCD556C" w:rsidR="008F64ED" w:rsidRPr="00624E6D" w:rsidRDefault="00000000" w:rsidP="00F243B8">
          <w:pPr>
            <w:pStyle w:val="TOC2"/>
            <w:rPr>
              <w:rFonts w:ascii="Arial" w:eastAsiaTheme="minorEastAsia" w:hAnsi="Arial" w:cs="Arial"/>
            </w:rPr>
          </w:pPr>
          <w:hyperlink w:anchor="_Toc135412688" w:history="1">
            <w:r w:rsidR="008F64ED" w:rsidRPr="00624E6D">
              <w:rPr>
                <w:rStyle w:val="Hyperlink"/>
                <w:rFonts w:ascii="Arial" w:hAnsi="Arial" w:cs="Arial"/>
              </w:rPr>
              <w:t>INTRODUCTION PAR LA PRÉSIDENTE</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_Toc135412688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4</w:t>
            </w:r>
            <w:r w:rsidR="008F64ED" w:rsidRPr="00624E6D">
              <w:rPr>
                <w:rFonts w:ascii="Arial" w:hAnsi="Arial" w:cs="Arial"/>
                <w:webHidden/>
              </w:rPr>
              <w:fldChar w:fldCharType="end"/>
            </w:r>
          </w:hyperlink>
        </w:p>
        <w:p w14:paraId="43165C32" w14:textId="7401AB89" w:rsidR="008F64ED" w:rsidRPr="00624E6D" w:rsidRDefault="00000000" w:rsidP="00F243B8">
          <w:pPr>
            <w:pStyle w:val="TOC2"/>
            <w:rPr>
              <w:rFonts w:ascii="Arial" w:eastAsiaTheme="minorEastAsia" w:hAnsi="Arial" w:cs="Arial"/>
            </w:rPr>
          </w:pPr>
          <w:hyperlink w:anchor="_Toc135412689" w:history="1">
            <w:r w:rsidR="008F64ED" w:rsidRPr="00624E6D">
              <w:rPr>
                <w:rStyle w:val="Hyperlink"/>
                <w:rFonts w:ascii="Arial" w:hAnsi="Arial" w:cs="Arial"/>
              </w:rPr>
              <w:t>RÉSUMÉ</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_Toc135412689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6</w:t>
            </w:r>
            <w:r w:rsidR="008F64ED" w:rsidRPr="00624E6D">
              <w:rPr>
                <w:rFonts w:ascii="Arial" w:hAnsi="Arial" w:cs="Arial"/>
                <w:webHidden/>
              </w:rPr>
              <w:fldChar w:fldCharType="end"/>
            </w:r>
          </w:hyperlink>
        </w:p>
        <w:p w14:paraId="4BDBD430" w14:textId="56B627AB" w:rsidR="008F64ED" w:rsidRPr="00624E6D" w:rsidRDefault="00000000" w:rsidP="00DB7C4D">
          <w:pPr>
            <w:pStyle w:val="TOC1"/>
            <w:rPr>
              <w:rFonts w:ascii="Arial" w:eastAsiaTheme="minorEastAsia" w:hAnsi="Arial" w:cs="Arial"/>
              <w:noProof/>
              <w:sz w:val="20"/>
              <w:szCs w:val="20"/>
            </w:rPr>
          </w:pPr>
          <w:hyperlink w:anchor="_Toc135412690" w:history="1">
            <w:r w:rsidR="008F64ED" w:rsidRPr="00624E6D">
              <w:rPr>
                <w:rStyle w:val="Hyperlink"/>
                <w:rFonts w:ascii="Arial" w:eastAsiaTheme="minorHAnsi" w:hAnsi="Arial" w:cs="Arial"/>
                <w:noProof/>
                <w:kern w:val="28"/>
                <w:sz w:val="20"/>
                <w:szCs w:val="20"/>
              </w:rPr>
              <w:t>1.</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VISION STRATÉGIQUE</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_Toc135412690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7</w:t>
            </w:r>
            <w:r w:rsidR="008F64ED" w:rsidRPr="00624E6D">
              <w:rPr>
                <w:rFonts w:ascii="Arial" w:hAnsi="Arial" w:cs="Arial"/>
                <w:noProof/>
                <w:webHidden/>
                <w:sz w:val="20"/>
                <w:szCs w:val="20"/>
              </w:rPr>
              <w:fldChar w:fldCharType="end"/>
            </w:r>
          </w:hyperlink>
        </w:p>
        <w:p w14:paraId="4B68101A" w14:textId="5769FD9B" w:rsidR="008F64ED" w:rsidRPr="00624E6D" w:rsidRDefault="00000000" w:rsidP="00F243B8">
          <w:pPr>
            <w:pStyle w:val="TOC2"/>
            <w:spacing w:before="0"/>
            <w:rPr>
              <w:rFonts w:ascii="Arial" w:eastAsiaTheme="minorEastAsia" w:hAnsi="Arial" w:cs="Arial"/>
            </w:rPr>
          </w:pPr>
          <w:hyperlink w:anchor="_Toc135412691" w:history="1">
            <w:r w:rsidR="008F64ED" w:rsidRPr="00624E6D">
              <w:rPr>
                <w:rStyle w:val="Hyperlink"/>
                <w:rFonts w:ascii="Arial" w:eastAsiaTheme="minorHAnsi" w:hAnsi="Arial" w:cs="Arial"/>
              </w:rPr>
              <w:t>1.1.</w:t>
            </w:r>
            <w:r w:rsidR="008F64ED" w:rsidRPr="00624E6D">
              <w:rPr>
                <w:rFonts w:ascii="Arial" w:eastAsiaTheme="minorEastAsia" w:hAnsi="Arial" w:cs="Arial"/>
              </w:rPr>
              <w:tab/>
            </w:r>
            <w:r w:rsidR="008F64ED" w:rsidRPr="00624E6D">
              <w:rPr>
                <w:rStyle w:val="Hyperlink"/>
                <w:rFonts w:ascii="Arial" w:eastAsiaTheme="minorHAnsi" w:hAnsi="Arial" w:cs="Arial"/>
              </w:rPr>
              <w:t>Tendances en matière de conformité</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_Toc135412691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8</w:t>
            </w:r>
            <w:r w:rsidR="008F64ED" w:rsidRPr="00624E6D">
              <w:rPr>
                <w:rFonts w:ascii="Arial" w:hAnsi="Arial" w:cs="Arial"/>
                <w:webHidden/>
              </w:rPr>
              <w:fldChar w:fldCharType="end"/>
            </w:r>
          </w:hyperlink>
        </w:p>
        <w:p w14:paraId="723E870A" w14:textId="79E3CCEB" w:rsidR="008F64ED" w:rsidRPr="00624E6D" w:rsidRDefault="00000000" w:rsidP="00F243B8">
          <w:pPr>
            <w:pStyle w:val="TOC2"/>
            <w:spacing w:before="0"/>
            <w:rPr>
              <w:rFonts w:ascii="Arial" w:eastAsiaTheme="minorEastAsia" w:hAnsi="Arial" w:cs="Arial"/>
            </w:rPr>
          </w:pPr>
          <w:hyperlink w:anchor="_Toc135412692" w:history="1">
            <w:r w:rsidR="008F64ED" w:rsidRPr="00624E6D">
              <w:rPr>
                <w:rStyle w:val="Hyperlink"/>
                <w:rFonts w:ascii="Arial" w:eastAsiaTheme="minorHAnsi" w:hAnsi="Arial" w:cs="Arial"/>
                <w:kern w:val="28"/>
              </w:rPr>
              <w:t>1.2</w:t>
            </w:r>
            <w:r w:rsidR="000F1801" w:rsidRPr="00624E6D">
              <w:rPr>
                <w:rStyle w:val="Hyperlink"/>
                <w:rFonts w:ascii="Arial" w:eastAsiaTheme="minorHAnsi" w:hAnsi="Arial" w:cs="Arial"/>
                <w:kern w:val="28"/>
              </w:rPr>
              <w:tab/>
            </w:r>
            <w:r w:rsidR="008F64ED" w:rsidRPr="00624E6D">
              <w:rPr>
                <w:rStyle w:val="Hyperlink"/>
                <w:rFonts w:ascii="Arial" w:eastAsiaTheme="minorHAnsi" w:hAnsi="Arial" w:cs="Arial"/>
                <w:kern w:val="28"/>
              </w:rPr>
              <w:t>Principaux résultats de la stratégie 2020-2022</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_Toc135412692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10</w:t>
            </w:r>
            <w:r w:rsidR="008F64ED" w:rsidRPr="00624E6D">
              <w:rPr>
                <w:rFonts w:ascii="Arial" w:hAnsi="Arial" w:cs="Arial"/>
                <w:webHidden/>
              </w:rPr>
              <w:fldChar w:fldCharType="end"/>
            </w:r>
          </w:hyperlink>
        </w:p>
        <w:p w14:paraId="63CF836A" w14:textId="38004EE5" w:rsidR="008F64ED" w:rsidRPr="00624E6D" w:rsidRDefault="00000000" w:rsidP="00DB7C4D">
          <w:pPr>
            <w:pStyle w:val="TOC1"/>
            <w:rPr>
              <w:rFonts w:ascii="Arial" w:eastAsiaTheme="minorEastAsia" w:hAnsi="Arial" w:cs="Arial"/>
              <w:noProof/>
              <w:sz w:val="20"/>
              <w:szCs w:val="20"/>
            </w:rPr>
          </w:pPr>
          <w:hyperlink w:anchor="_Toc135412693" w:history="1">
            <w:r w:rsidR="008F64ED" w:rsidRPr="00624E6D">
              <w:rPr>
                <w:rStyle w:val="Hyperlink"/>
                <w:rFonts w:ascii="Arial" w:eastAsiaTheme="minorHAnsi" w:hAnsi="Arial" w:cs="Arial"/>
                <w:noProof/>
                <w:kern w:val="28"/>
                <w:sz w:val="20"/>
                <w:szCs w:val="20"/>
              </w:rPr>
              <w:t>2.</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ÉVALUATIONS MUTUELLES ET SUIVI</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_Toc135412693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12</w:t>
            </w:r>
            <w:r w:rsidR="008F64ED" w:rsidRPr="00624E6D">
              <w:rPr>
                <w:rFonts w:ascii="Arial" w:hAnsi="Arial" w:cs="Arial"/>
                <w:noProof/>
                <w:webHidden/>
                <w:sz w:val="20"/>
                <w:szCs w:val="20"/>
              </w:rPr>
              <w:fldChar w:fldCharType="end"/>
            </w:r>
          </w:hyperlink>
        </w:p>
        <w:p w14:paraId="2AF17238" w14:textId="5C0A683F" w:rsidR="008F64ED" w:rsidRPr="00624E6D" w:rsidRDefault="00000000" w:rsidP="00F243B8">
          <w:pPr>
            <w:pStyle w:val="TOC2"/>
            <w:spacing w:before="0"/>
            <w:rPr>
              <w:rFonts w:ascii="Arial" w:eastAsiaTheme="minorEastAsia" w:hAnsi="Arial" w:cs="Arial"/>
            </w:rPr>
          </w:pPr>
          <w:hyperlink w:anchor="_Toc135412694" w:history="1">
            <w:r w:rsidR="008F64ED" w:rsidRPr="00624E6D">
              <w:rPr>
                <w:rStyle w:val="Hyperlink"/>
                <w:rFonts w:ascii="Arial" w:eastAsiaTheme="minorHAnsi" w:hAnsi="Arial" w:cs="Arial"/>
              </w:rPr>
              <w:t>2.1</w:t>
            </w:r>
            <w:r w:rsidR="000F1801" w:rsidRPr="00624E6D">
              <w:rPr>
                <w:rStyle w:val="Hyperlink"/>
                <w:rFonts w:ascii="Arial" w:eastAsiaTheme="minorHAnsi" w:hAnsi="Arial" w:cs="Arial"/>
              </w:rPr>
              <w:tab/>
            </w:r>
            <w:r w:rsidR="008F64ED" w:rsidRPr="00624E6D">
              <w:rPr>
                <w:rStyle w:val="Hyperlink"/>
                <w:rFonts w:ascii="Arial" w:hAnsi="Arial" w:cs="Arial"/>
              </w:rPr>
              <w:t>Rapport d’évaluation du 5</w:t>
            </w:r>
            <w:r w:rsidR="008F64ED" w:rsidRPr="00624E6D">
              <w:rPr>
                <w:rStyle w:val="Hyperlink"/>
                <w:rFonts w:ascii="Arial" w:hAnsi="Arial" w:cs="Arial"/>
                <w:vertAlign w:val="superscript"/>
              </w:rPr>
              <w:t>ème</w:t>
            </w:r>
            <w:r w:rsidR="008F64ED" w:rsidRPr="00624E6D">
              <w:rPr>
                <w:rStyle w:val="Hyperlink"/>
                <w:rFonts w:ascii="Arial" w:hAnsi="Arial" w:cs="Arial"/>
              </w:rPr>
              <w:t xml:space="preserve"> cycle </w:t>
            </w:r>
            <w:r w:rsidR="008F64ED" w:rsidRPr="00624E6D">
              <w:rPr>
                <w:rStyle w:val="Hyperlink"/>
                <w:rFonts w:ascii="Arial" w:eastAsiaTheme="minorHAnsi" w:hAnsi="Arial" w:cs="Arial"/>
              </w:rPr>
              <w:t>de la Bulgarie</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_Toc135412694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12</w:t>
            </w:r>
            <w:r w:rsidR="008F64ED" w:rsidRPr="00624E6D">
              <w:rPr>
                <w:rFonts w:ascii="Arial" w:hAnsi="Arial" w:cs="Arial"/>
                <w:webHidden/>
              </w:rPr>
              <w:fldChar w:fldCharType="end"/>
            </w:r>
          </w:hyperlink>
        </w:p>
        <w:p w14:paraId="0BB799BA" w14:textId="4CD23400" w:rsidR="008F64ED" w:rsidRPr="00624E6D" w:rsidRDefault="00000000" w:rsidP="00F243B8">
          <w:pPr>
            <w:pStyle w:val="TOC2"/>
            <w:spacing w:before="0"/>
            <w:rPr>
              <w:rFonts w:ascii="Arial" w:eastAsiaTheme="minorEastAsia" w:hAnsi="Arial" w:cs="Arial"/>
            </w:rPr>
          </w:pPr>
          <w:hyperlink w:anchor="_Toc135412695" w:history="1">
            <w:r w:rsidR="008F64ED" w:rsidRPr="00624E6D">
              <w:rPr>
                <w:rStyle w:val="Hyperlink"/>
                <w:rFonts w:ascii="Arial" w:eastAsiaTheme="minorHAnsi" w:hAnsi="Arial" w:cs="Arial"/>
              </w:rPr>
              <w:t xml:space="preserve">2.2 </w:t>
            </w:r>
            <w:r w:rsidR="008F64ED" w:rsidRPr="00624E6D">
              <w:rPr>
                <w:rFonts w:ascii="Arial" w:eastAsiaTheme="minorEastAsia" w:hAnsi="Arial" w:cs="Arial"/>
              </w:rPr>
              <w:tab/>
            </w:r>
            <w:r w:rsidR="008F64ED" w:rsidRPr="00624E6D">
              <w:rPr>
                <w:rStyle w:val="Hyperlink"/>
                <w:rFonts w:ascii="Arial" w:hAnsi="Arial" w:cs="Arial"/>
              </w:rPr>
              <w:t>Rapport d’évaluation du 5</w:t>
            </w:r>
            <w:r w:rsidR="008F64ED" w:rsidRPr="00624E6D">
              <w:rPr>
                <w:rStyle w:val="Hyperlink"/>
                <w:rFonts w:ascii="Arial" w:hAnsi="Arial" w:cs="Arial"/>
                <w:vertAlign w:val="superscript"/>
              </w:rPr>
              <w:t>ème</w:t>
            </w:r>
            <w:r w:rsidR="008F64ED" w:rsidRPr="00624E6D">
              <w:rPr>
                <w:rStyle w:val="Hyperlink"/>
                <w:rFonts w:ascii="Arial" w:hAnsi="Arial" w:cs="Arial"/>
              </w:rPr>
              <w:t xml:space="preserve"> cycle </w:t>
            </w:r>
            <w:r w:rsidR="008F64ED" w:rsidRPr="00624E6D">
              <w:rPr>
                <w:rStyle w:val="Hyperlink"/>
                <w:rFonts w:ascii="Arial" w:eastAsiaTheme="minorHAnsi" w:hAnsi="Arial" w:cs="Arial"/>
              </w:rPr>
              <w:t>du Liechtenstein</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_Toc135412695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13</w:t>
            </w:r>
            <w:r w:rsidR="008F64ED" w:rsidRPr="00624E6D">
              <w:rPr>
                <w:rFonts w:ascii="Arial" w:hAnsi="Arial" w:cs="Arial"/>
                <w:webHidden/>
              </w:rPr>
              <w:fldChar w:fldCharType="end"/>
            </w:r>
          </w:hyperlink>
        </w:p>
        <w:p w14:paraId="1D911DB5" w14:textId="24547497" w:rsidR="008F64ED" w:rsidRPr="00624E6D" w:rsidRDefault="00000000" w:rsidP="00F243B8">
          <w:pPr>
            <w:pStyle w:val="TOC2"/>
            <w:spacing w:before="0"/>
            <w:rPr>
              <w:rFonts w:ascii="Arial" w:eastAsiaTheme="minorEastAsia" w:hAnsi="Arial" w:cs="Arial"/>
            </w:rPr>
          </w:pPr>
          <w:hyperlink w:anchor="_Toc135412696" w:history="1">
            <w:r w:rsidR="008F64ED" w:rsidRPr="00624E6D">
              <w:rPr>
                <w:rStyle w:val="Hyperlink"/>
                <w:rFonts w:ascii="Arial" w:eastAsiaTheme="minorHAnsi" w:hAnsi="Arial" w:cs="Arial"/>
              </w:rPr>
              <w:t>2.3</w:t>
            </w:r>
            <w:r w:rsidR="008F64ED" w:rsidRPr="00624E6D">
              <w:rPr>
                <w:rFonts w:ascii="Arial" w:eastAsiaTheme="minorEastAsia" w:hAnsi="Arial" w:cs="Arial"/>
              </w:rPr>
              <w:tab/>
            </w:r>
            <w:r w:rsidR="008F64ED" w:rsidRPr="00624E6D">
              <w:rPr>
                <w:rStyle w:val="Hyperlink"/>
                <w:rFonts w:ascii="Arial" w:hAnsi="Arial" w:cs="Arial"/>
              </w:rPr>
              <w:t>Rapport d’évaluation du 5</w:t>
            </w:r>
            <w:r w:rsidR="008F64ED" w:rsidRPr="00624E6D">
              <w:rPr>
                <w:rStyle w:val="Hyperlink"/>
                <w:rFonts w:ascii="Arial" w:hAnsi="Arial" w:cs="Arial"/>
                <w:vertAlign w:val="superscript"/>
              </w:rPr>
              <w:t>ème</w:t>
            </w:r>
            <w:r w:rsidR="008F64ED" w:rsidRPr="00624E6D">
              <w:rPr>
                <w:rStyle w:val="Hyperlink"/>
                <w:rFonts w:ascii="Arial" w:hAnsi="Arial" w:cs="Arial"/>
              </w:rPr>
              <w:t xml:space="preserve"> cycle </w:t>
            </w:r>
            <w:r w:rsidR="008F64ED" w:rsidRPr="00624E6D">
              <w:rPr>
                <w:rStyle w:val="Hyperlink"/>
                <w:rFonts w:ascii="Arial" w:eastAsiaTheme="minorHAnsi" w:hAnsi="Arial" w:cs="Arial"/>
              </w:rPr>
              <w:t>de Monaco</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_Toc135412696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14</w:t>
            </w:r>
            <w:r w:rsidR="008F64ED" w:rsidRPr="00624E6D">
              <w:rPr>
                <w:rFonts w:ascii="Arial" w:hAnsi="Arial" w:cs="Arial"/>
                <w:webHidden/>
              </w:rPr>
              <w:fldChar w:fldCharType="end"/>
            </w:r>
          </w:hyperlink>
        </w:p>
        <w:p w14:paraId="632D77E0" w14:textId="242E85F6" w:rsidR="008F64ED" w:rsidRPr="00624E6D" w:rsidRDefault="00000000" w:rsidP="00F243B8">
          <w:pPr>
            <w:pStyle w:val="TOC2"/>
            <w:spacing w:before="0"/>
            <w:rPr>
              <w:rFonts w:ascii="Arial" w:eastAsiaTheme="minorEastAsia" w:hAnsi="Arial" w:cs="Arial"/>
            </w:rPr>
          </w:pPr>
          <w:hyperlink w:anchor="_Toc135412697" w:history="1">
            <w:r w:rsidR="008F64ED" w:rsidRPr="00624E6D">
              <w:rPr>
                <w:rStyle w:val="Hyperlink"/>
                <w:rFonts w:ascii="Arial" w:eastAsiaTheme="minorHAnsi" w:hAnsi="Arial" w:cs="Arial"/>
              </w:rPr>
              <w:t>2.4</w:t>
            </w:r>
            <w:r w:rsidR="000F1801" w:rsidRPr="00624E6D">
              <w:rPr>
                <w:rStyle w:val="Hyperlink"/>
                <w:rFonts w:ascii="Arial" w:eastAsiaTheme="minorHAnsi" w:hAnsi="Arial" w:cs="Arial"/>
              </w:rPr>
              <w:tab/>
            </w:r>
            <w:r w:rsidR="008F64ED" w:rsidRPr="00624E6D">
              <w:rPr>
                <w:rStyle w:val="Hyperlink"/>
                <w:rFonts w:ascii="Arial" w:hAnsi="Arial" w:cs="Arial"/>
              </w:rPr>
              <w:t>Rapport d’évaluation du 5</w:t>
            </w:r>
            <w:r w:rsidR="008F64ED" w:rsidRPr="00624E6D">
              <w:rPr>
                <w:rStyle w:val="Hyperlink"/>
                <w:rFonts w:ascii="Arial" w:hAnsi="Arial" w:cs="Arial"/>
                <w:vertAlign w:val="superscript"/>
              </w:rPr>
              <w:t>ème</w:t>
            </w:r>
            <w:r w:rsidR="008F64ED" w:rsidRPr="00624E6D">
              <w:rPr>
                <w:rStyle w:val="Hyperlink"/>
                <w:rFonts w:ascii="Arial" w:hAnsi="Arial" w:cs="Arial"/>
              </w:rPr>
              <w:t xml:space="preserve"> cycle de l’</w:t>
            </w:r>
            <w:r w:rsidR="008F64ED" w:rsidRPr="00624E6D">
              <w:rPr>
                <w:rStyle w:val="Hyperlink"/>
                <w:rFonts w:ascii="Arial" w:eastAsiaTheme="minorHAnsi" w:hAnsi="Arial" w:cs="Arial"/>
              </w:rPr>
              <w:t>Estonie</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_Toc135412697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15</w:t>
            </w:r>
            <w:r w:rsidR="008F64ED" w:rsidRPr="00624E6D">
              <w:rPr>
                <w:rFonts w:ascii="Arial" w:hAnsi="Arial" w:cs="Arial"/>
                <w:webHidden/>
              </w:rPr>
              <w:fldChar w:fldCharType="end"/>
            </w:r>
          </w:hyperlink>
        </w:p>
        <w:p w14:paraId="625CC562" w14:textId="588CF05B" w:rsidR="008F64ED" w:rsidRPr="00624E6D" w:rsidRDefault="00000000" w:rsidP="00F243B8">
          <w:pPr>
            <w:pStyle w:val="TOC2"/>
            <w:spacing w:before="0"/>
            <w:rPr>
              <w:rFonts w:ascii="Arial" w:eastAsiaTheme="minorEastAsia" w:hAnsi="Arial" w:cs="Arial"/>
            </w:rPr>
          </w:pPr>
          <w:hyperlink w:anchor="_Toc135412698" w:history="1">
            <w:r w:rsidR="008F64ED" w:rsidRPr="00624E6D">
              <w:rPr>
                <w:rStyle w:val="Hyperlink"/>
                <w:rFonts w:ascii="Arial" w:hAnsi="Arial" w:cs="Arial"/>
              </w:rPr>
              <w:t>2.5.</w:t>
            </w:r>
            <w:r w:rsidR="008F64ED" w:rsidRPr="00624E6D">
              <w:rPr>
                <w:rFonts w:ascii="Arial" w:eastAsiaTheme="minorEastAsia" w:hAnsi="Arial" w:cs="Arial"/>
              </w:rPr>
              <w:tab/>
            </w:r>
            <w:r w:rsidR="008F64ED" w:rsidRPr="00624E6D">
              <w:rPr>
                <w:rStyle w:val="Hyperlink"/>
                <w:rFonts w:ascii="Arial" w:hAnsi="Arial" w:cs="Arial"/>
              </w:rPr>
              <w:t>Rapports de suivi du 5</w:t>
            </w:r>
            <w:r w:rsidR="008F64ED" w:rsidRPr="00624E6D">
              <w:rPr>
                <w:rStyle w:val="Hyperlink"/>
                <w:rFonts w:ascii="Arial" w:hAnsi="Arial" w:cs="Arial"/>
                <w:vertAlign w:val="superscript"/>
              </w:rPr>
              <w:t>ème</w:t>
            </w:r>
            <w:r w:rsidR="008F64ED" w:rsidRPr="00624E6D">
              <w:rPr>
                <w:rStyle w:val="Hyperlink"/>
                <w:rFonts w:ascii="Arial" w:hAnsi="Arial" w:cs="Arial"/>
              </w:rPr>
              <w:t xml:space="preserve"> cycle</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_Toc135412698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16</w:t>
            </w:r>
            <w:r w:rsidR="008F64ED" w:rsidRPr="00624E6D">
              <w:rPr>
                <w:rFonts w:ascii="Arial" w:hAnsi="Arial" w:cs="Arial"/>
                <w:webHidden/>
              </w:rPr>
              <w:fldChar w:fldCharType="end"/>
            </w:r>
          </w:hyperlink>
        </w:p>
        <w:p w14:paraId="1C0D27DB" w14:textId="08EEA41F" w:rsidR="008F64ED" w:rsidRPr="00624E6D" w:rsidRDefault="00000000" w:rsidP="00F243B8">
          <w:pPr>
            <w:pStyle w:val="TOC2"/>
            <w:spacing w:before="0"/>
            <w:rPr>
              <w:rFonts w:ascii="Arial" w:eastAsiaTheme="minorEastAsia" w:hAnsi="Arial" w:cs="Arial"/>
            </w:rPr>
          </w:pPr>
          <w:hyperlink w:anchor="_Toc135412699" w:history="1">
            <w:r w:rsidR="008F64ED" w:rsidRPr="00624E6D">
              <w:rPr>
                <w:rStyle w:val="Hyperlink"/>
                <w:rFonts w:ascii="Arial" w:eastAsiaTheme="majorEastAsia" w:hAnsi="Arial" w:cs="Arial"/>
              </w:rPr>
              <w:t xml:space="preserve">2.6 </w:t>
            </w:r>
            <w:r w:rsidR="008F64ED" w:rsidRPr="00624E6D">
              <w:rPr>
                <w:rFonts w:ascii="Arial" w:eastAsiaTheme="minorEastAsia" w:hAnsi="Arial" w:cs="Arial"/>
              </w:rPr>
              <w:tab/>
            </w:r>
            <w:r w:rsidR="008F64ED" w:rsidRPr="00624E6D">
              <w:rPr>
                <w:rStyle w:val="Hyperlink"/>
                <w:rFonts w:ascii="Arial" w:eastAsiaTheme="majorEastAsia" w:hAnsi="Arial" w:cs="Arial"/>
              </w:rPr>
              <w:t>Dispositifs de régularisation fiscale volontaire</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_Toc135412699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18</w:t>
            </w:r>
            <w:r w:rsidR="008F64ED" w:rsidRPr="00624E6D">
              <w:rPr>
                <w:rFonts w:ascii="Arial" w:hAnsi="Arial" w:cs="Arial"/>
                <w:webHidden/>
              </w:rPr>
              <w:fldChar w:fldCharType="end"/>
            </w:r>
          </w:hyperlink>
        </w:p>
        <w:p w14:paraId="3FBEBB93" w14:textId="14C78001" w:rsidR="008F64ED" w:rsidRPr="00624E6D" w:rsidRDefault="00000000" w:rsidP="00F243B8">
          <w:pPr>
            <w:pStyle w:val="TOC2"/>
            <w:spacing w:before="0"/>
            <w:rPr>
              <w:rFonts w:ascii="Arial" w:eastAsiaTheme="minorEastAsia" w:hAnsi="Arial" w:cs="Arial"/>
            </w:rPr>
          </w:pPr>
          <w:hyperlink w:anchor="_Toc135412700" w:history="1">
            <w:r w:rsidR="008F64ED" w:rsidRPr="00624E6D">
              <w:rPr>
                <w:rStyle w:val="Hyperlink"/>
                <w:rFonts w:ascii="Arial" w:hAnsi="Arial" w:cs="Arial"/>
              </w:rPr>
              <w:t>2.7</w:t>
            </w:r>
            <w:r w:rsidR="008F64ED" w:rsidRPr="00624E6D">
              <w:rPr>
                <w:rFonts w:ascii="Arial" w:eastAsiaTheme="minorEastAsia" w:hAnsi="Arial" w:cs="Arial"/>
              </w:rPr>
              <w:tab/>
            </w:r>
            <w:r w:rsidR="008F64ED" w:rsidRPr="00624E6D">
              <w:rPr>
                <w:rStyle w:val="Hyperlink"/>
                <w:rFonts w:ascii="Arial" w:hAnsi="Arial" w:cs="Arial"/>
              </w:rPr>
              <w:t>Procédures de conformité renforcée (PCR)</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_Toc135412700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18</w:t>
            </w:r>
            <w:r w:rsidR="008F64ED" w:rsidRPr="00624E6D">
              <w:rPr>
                <w:rFonts w:ascii="Arial" w:hAnsi="Arial" w:cs="Arial"/>
                <w:webHidden/>
              </w:rPr>
              <w:fldChar w:fldCharType="end"/>
            </w:r>
          </w:hyperlink>
        </w:p>
        <w:p w14:paraId="132EC707" w14:textId="71F4D5FB" w:rsidR="008F64ED" w:rsidRPr="00624E6D" w:rsidRDefault="00000000" w:rsidP="00DB7C4D">
          <w:pPr>
            <w:pStyle w:val="TOC1"/>
            <w:rPr>
              <w:rFonts w:ascii="Arial" w:eastAsiaTheme="minorEastAsia" w:hAnsi="Arial" w:cs="Arial"/>
              <w:noProof/>
              <w:sz w:val="20"/>
              <w:szCs w:val="20"/>
            </w:rPr>
          </w:pPr>
          <w:hyperlink w:anchor="_Toc135412701" w:history="1">
            <w:r w:rsidR="008F64ED" w:rsidRPr="00624E6D">
              <w:rPr>
                <w:rStyle w:val="Hyperlink"/>
                <w:rFonts w:ascii="Arial" w:eastAsiaTheme="minorHAnsi" w:hAnsi="Arial" w:cs="Arial"/>
                <w:noProof/>
                <w:kern w:val="28"/>
                <w:sz w:val="20"/>
                <w:szCs w:val="20"/>
              </w:rPr>
              <w:t>3.</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ENGAGEMENTS DE HAUT NIVEAU ET DE VISIBILITÉ</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_Toc135412701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18</w:t>
            </w:r>
            <w:r w:rsidR="008F64ED" w:rsidRPr="00624E6D">
              <w:rPr>
                <w:rFonts w:ascii="Arial" w:hAnsi="Arial" w:cs="Arial"/>
                <w:noProof/>
                <w:webHidden/>
                <w:sz w:val="20"/>
                <w:szCs w:val="20"/>
              </w:rPr>
              <w:fldChar w:fldCharType="end"/>
            </w:r>
          </w:hyperlink>
        </w:p>
        <w:p w14:paraId="04961C1B" w14:textId="237742AA" w:rsidR="008F64ED" w:rsidRPr="00624E6D" w:rsidRDefault="00000000" w:rsidP="00DB7C4D">
          <w:pPr>
            <w:pStyle w:val="TOC1"/>
            <w:rPr>
              <w:rFonts w:ascii="Arial" w:eastAsiaTheme="minorEastAsia" w:hAnsi="Arial" w:cs="Arial"/>
              <w:noProof/>
              <w:sz w:val="20"/>
              <w:szCs w:val="20"/>
            </w:rPr>
          </w:pPr>
          <w:hyperlink w:anchor="_Toc135412702" w:history="1">
            <w:r w:rsidR="008F64ED" w:rsidRPr="00624E6D">
              <w:rPr>
                <w:rStyle w:val="Hyperlink"/>
                <w:rFonts w:ascii="Arial" w:eastAsiaTheme="minorHAnsi" w:hAnsi="Arial" w:cs="Arial"/>
                <w:noProof/>
                <w:kern w:val="28"/>
                <w:sz w:val="20"/>
                <w:szCs w:val="20"/>
              </w:rPr>
              <w:t>4.</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AUTRES ACTIVITÉS EN 2022</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_Toc135412702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19</w:t>
            </w:r>
            <w:r w:rsidR="008F64ED" w:rsidRPr="00624E6D">
              <w:rPr>
                <w:rFonts w:ascii="Arial" w:hAnsi="Arial" w:cs="Arial"/>
                <w:noProof/>
                <w:webHidden/>
                <w:sz w:val="20"/>
                <w:szCs w:val="20"/>
              </w:rPr>
              <w:fldChar w:fldCharType="end"/>
            </w:r>
          </w:hyperlink>
        </w:p>
        <w:p w14:paraId="0DC0F301" w14:textId="48493493" w:rsidR="008F64ED" w:rsidRPr="00624E6D" w:rsidRDefault="00000000" w:rsidP="00F243B8">
          <w:pPr>
            <w:pStyle w:val="TOC2"/>
            <w:spacing w:before="0"/>
            <w:rPr>
              <w:rFonts w:ascii="Arial" w:eastAsiaTheme="minorEastAsia" w:hAnsi="Arial" w:cs="Arial"/>
            </w:rPr>
          </w:pPr>
          <w:hyperlink w:anchor="_Toc135412703" w:history="1">
            <w:r w:rsidR="008F64ED" w:rsidRPr="00624E6D">
              <w:rPr>
                <w:rStyle w:val="Hyperlink"/>
                <w:rFonts w:ascii="Arial" w:hAnsi="Arial" w:cs="Arial"/>
              </w:rPr>
              <w:t>4.1.</w:t>
            </w:r>
            <w:r w:rsidR="008F64ED" w:rsidRPr="00624E6D">
              <w:rPr>
                <w:rFonts w:ascii="Arial" w:eastAsiaTheme="minorEastAsia" w:hAnsi="Arial" w:cs="Arial"/>
              </w:rPr>
              <w:tab/>
            </w:r>
            <w:r w:rsidR="008F64ED" w:rsidRPr="00624E6D">
              <w:rPr>
                <w:rStyle w:val="Hyperlink"/>
                <w:rFonts w:ascii="Arial" w:hAnsi="Arial" w:cs="Arial"/>
              </w:rPr>
              <w:t>Programme de typologies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_Toc135412703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19</w:t>
            </w:r>
            <w:r w:rsidR="008F64ED" w:rsidRPr="00624E6D">
              <w:rPr>
                <w:rFonts w:ascii="Arial" w:hAnsi="Arial" w:cs="Arial"/>
                <w:webHidden/>
              </w:rPr>
              <w:fldChar w:fldCharType="end"/>
            </w:r>
          </w:hyperlink>
        </w:p>
        <w:p w14:paraId="3E3733DF" w14:textId="3FF9AB2F" w:rsidR="008F64ED" w:rsidRPr="00624E6D" w:rsidRDefault="00000000" w:rsidP="00F243B8">
          <w:pPr>
            <w:pStyle w:val="TOC2"/>
            <w:spacing w:before="0"/>
            <w:rPr>
              <w:rFonts w:ascii="Arial" w:eastAsiaTheme="minorEastAsia" w:hAnsi="Arial" w:cs="Arial"/>
            </w:rPr>
          </w:pPr>
          <w:hyperlink w:anchor="_Toc135412704" w:history="1">
            <w:r w:rsidR="008F64ED" w:rsidRPr="00624E6D">
              <w:rPr>
                <w:rStyle w:val="Hyperlink"/>
                <w:rFonts w:ascii="Arial" w:hAnsi="Arial" w:cs="Arial"/>
              </w:rPr>
              <w:t>4.2.</w:t>
            </w:r>
            <w:r w:rsidR="008F64ED" w:rsidRPr="00624E6D">
              <w:rPr>
                <w:rFonts w:ascii="Arial" w:eastAsiaTheme="minorEastAsia" w:hAnsi="Arial" w:cs="Arial"/>
              </w:rPr>
              <w:tab/>
            </w:r>
            <w:r w:rsidR="008F64ED" w:rsidRPr="00624E6D">
              <w:rPr>
                <w:rStyle w:val="Hyperlink"/>
                <w:rFonts w:ascii="Arial" w:hAnsi="Arial" w:cs="Arial"/>
              </w:rPr>
              <w:t>Plénières et consultations intersessions de MONEYVAL</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_Toc135412704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19</w:t>
            </w:r>
            <w:r w:rsidR="008F64ED" w:rsidRPr="00624E6D">
              <w:rPr>
                <w:rFonts w:ascii="Arial" w:hAnsi="Arial" w:cs="Arial"/>
                <w:webHidden/>
              </w:rPr>
              <w:fldChar w:fldCharType="end"/>
            </w:r>
          </w:hyperlink>
        </w:p>
        <w:p w14:paraId="66CDC8ED" w14:textId="0703EB24" w:rsidR="008F64ED" w:rsidRPr="00624E6D" w:rsidRDefault="00000000" w:rsidP="00F243B8">
          <w:pPr>
            <w:pStyle w:val="TOC2"/>
            <w:spacing w:before="0"/>
            <w:rPr>
              <w:rFonts w:ascii="Arial" w:eastAsiaTheme="minorEastAsia" w:hAnsi="Arial" w:cs="Arial"/>
            </w:rPr>
          </w:pPr>
          <w:hyperlink w:anchor="_Toc135412705" w:history="1">
            <w:r w:rsidR="008F64ED" w:rsidRPr="00624E6D">
              <w:rPr>
                <w:rStyle w:val="Hyperlink"/>
                <w:rFonts w:ascii="Arial" w:hAnsi="Arial" w:cs="Arial"/>
              </w:rPr>
              <w:t>4.3.</w:t>
            </w:r>
            <w:r w:rsidR="008F64ED" w:rsidRPr="00624E6D">
              <w:rPr>
                <w:rFonts w:ascii="Arial" w:eastAsiaTheme="minorEastAsia" w:hAnsi="Arial" w:cs="Arial"/>
              </w:rPr>
              <w:tab/>
            </w:r>
            <w:r w:rsidR="008F64ED" w:rsidRPr="00624E6D">
              <w:rPr>
                <w:rStyle w:val="Hyperlink"/>
                <w:rFonts w:ascii="Arial" w:hAnsi="Arial" w:cs="Arial"/>
              </w:rPr>
              <w:t>Formations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_Toc135412705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20</w:t>
            </w:r>
            <w:r w:rsidR="008F64ED" w:rsidRPr="00624E6D">
              <w:rPr>
                <w:rFonts w:ascii="Arial" w:hAnsi="Arial" w:cs="Arial"/>
                <w:webHidden/>
              </w:rPr>
              <w:fldChar w:fldCharType="end"/>
            </w:r>
          </w:hyperlink>
        </w:p>
        <w:p w14:paraId="7FA220E8" w14:textId="5EA8D3CC" w:rsidR="008F64ED" w:rsidRPr="00624E6D" w:rsidRDefault="00000000" w:rsidP="00DB7C4D">
          <w:pPr>
            <w:pStyle w:val="TOC1"/>
            <w:rPr>
              <w:rFonts w:ascii="Arial" w:eastAsiaTheme="minorEastAsia" w:hAnsi="Arial" w:cs="Arial"/>
              <w:noProof/>
              <w:sz w:val="20"/>
              <w:szCs w:val="20"/>
            </w:rPr>
          </w:pPr>
          <w:hyperlink w:anchor="_Toc135412706" w:history="1">
            <w:r w:rsidR="008F64ED" w:rsidRPr="00624E6D">
              <w:rPr>
                <w:rStyle w:val="Hyperlink"/>
                <w:rFonts w:ascii="Arial" w:eastAsiaTheme="minorHAnsi" w:hAnsi="Arial" w:cs="Arial"/>
                <w:noProof/>
                <w:kern w:val="28"/>
                <w:sz w:val="20"/>
                <w:szCs w:val="20"/>
              </w:rPr>
              <w:t>5.</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PARTENARIATS INTERNATIONAUX CLÉS</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_Toc135412706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20</w:t>
            </w:r>
            <w:r w:rsidR="008F64ED" w:rsidRPr="00624E6D">
              <w:rPr>
                <w:rFonts w:ascii="Arial" w:hAnsi="Arial" w:cs="Arial"/>
                <w:noProof/>
                <w:webHidden/>
                <w:sz w:val="20"/>
                <w:szCs w:val="20"/>
              </w:rPr>
              <w:fldChar w:fldCharType="end"/>
            </w:r>
          </w:hyperlink>
        </w:p>
        <w:p w14:paraId="09D56B4E" w14:textId="4F532444" w:rsidR="008F64ED" w:rsidRPr="00624E6D" w:rsidRDefault="00000000" w:rsidP="00F243B8">
          <w:pPr>
            <w:pStyle w:val="TOC2"/>
            <w:spacing w:before="0"/>
            <w:rPr>
              <w:rFonts w:ascii="Arial" w:eastAsiaTheme="minorEastAsia" w:hAnsi="Arial" w:cs="Arial"/>
            </w:rPr>
          </w:pPr>
          <w:hyperlink w:anchor="_Toc135412707" w:history="1">
            <w:r w:rsidR="008F64ED" w:rsidRPr="00624E6D">
              <w:rPr>
                <w:rStyle w:val="Hyperlink"/>
                <w:rFonts w:ascii="Arial" w:eastAsiaTheme="minorHAnsi" w:hAnsi="Arial" w:cs="Arial"/>
              </w:rPr>
              <w:t>5.1.</w:t>
            </w:r>
            <w:r w:rsidR="008F64ED" w:rsidRPr="00624E6D">
              <w:rPr>
                <w:rFonts w:ascii="Arial" w:eastAsiaTheme="minorEastAsia" w:hAnsi="Arial" w:cs="Arial"/>
              </w:rPr>
              <w:tab/>
            </w:r>
            <w:r w:rsidR="008F64ED" w:rsidRPr="00624E6D">
              <w:rPr>
                <w:rStyle w:val="Hyperlink"/>
                <w:rFonts w:ascii="Arial" w:eastAsiaTheme="minorHAnsi" w:hAnsi="Arial" w:cs="Arial"/>
              </w:rPr>
              <w:t>Groupe d'action financière</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_Toc135412707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20</w:t>
            </w:r>
            <w:r w:rsidR="008F64ED" w:rsidRPr="00624E6D">
              <w:rPr>
                <w:rFonts w:ascii="Arial" w:hAnsi="Arial" w:cs="Arial"/>
                <w:webHidden/>
              </w:rPr>
              <w:fldChar w:fldCharType="end"/>
            </w:r>
          </w:hyperlink>
        </w:p>
        <w:p w14:paraId="5B824F19" w14:textId="673E84FB" w:rsidR="008F64ED" w:rsidRPr="00624E6D" w:rsidRDefault="00000000" w:rsidP="00F243B8">
          <w:pPr>
            <w:pStyle w:val="TOC2"/>
            <w:spacing w:before="0"/>
            <w:rPr>
              <w:rFonts w:ascii="Arial" w:eastAsiaTheme="minorEastAsia" w:hAnsi="Arial" w:cs="Arial"/>
            </w:rPr>
          </w:pPr>
          <w:hyperlink w:anchor="_Toc135412708" w:history="1">
            <w:r w:rsidR="008F64ED" w:rsidRPr="00624E6D">
              <w:rPr>
                <w:rStyle w:val="Hyperlink"/>
                <w:rFonts w:ascii="Arial" w:eastAsiaTheme="minorHAnsi" w:hAnsi="Arial" w:cs="Arial"/>
              </w:rPr>
              <w:t>5.2.</w:t>
            </w:r>
            <w:r w:rsidR="008F64ED" w:rsidRPr="00624E6D">
              <w:rPr>
                <w:rFonts w:ascii="Arial" w:eastAsiaTheme="minorEastAsia" w:hAnsi="Arial" w:cs="Arial"/>
              </w:rPr>
              <w:tab/>
            </w:r>
            <w:r w:rsidR="008F64ED" w:rsidRPr="00624E6D">
              <w:rPr>
                <w:rStyle w:val="Hyperlink"/>
                <w:rFonts w:ascii="Arial" w:eastAsiaTheme="minorHAnsi" w:hAnsi="Arial" w:cs="Arial"/>
              </w:rPr>
              <w:t>Organismes régionaux de type GAFI</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_Toc135412708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21</w:t>
            </w:r>
            <w:r w:rsidR="008F64ED" w:rsidRPr="00624E6D">
              <w:rPr>
                <w:rFonts w:ascii="Arial" w:hAnsi="Arial" w:cs="Arial"/>
                <w:webHidden/>
              </w:rPr>
              <w:fldChar w:fldCharType="end"/>
            </w:r>
          </w:hyperlink>
        </w:p>
        <w:p w14:paraId="31216207" w14:textId="301D59C1" w:rsidR="008F64ED" w:rsidRPr="00624E6D" w:rsidRDefault="00000000" w:rsidP="00F243B8">
          <w:pPr>
            <w:pStyle w:val="TOC2"/>
            <w:spacing w:before="0"/>
            <w:rPr>
              <w:rFonts w:ascii="Arial" w:eastAsiaTheme="minorEastAsia" w:hAnsi="Arial" w:cs="Arial"/>
            </w:rPr>
          </w:pPr>
          <w:hyperlink w:anchor="_Toc135412709" w:history="1">
            <w:r w:rsidR="008F64ED" w:rsidRPr="00624E6D">
              <w:rPr>
                <w:rStyle w:val="Hyperlink"/>
                <w:rFonts w:ascii="Arial" w:eastAsiaTheme="minorHAnsi" w:hAnsi="Arial" w:cs="Arial"/>
              </w:rPr>
              <w:t>5.3.</w:t>
            </w:r>
            <w:r w:rsidR="008F64ED" w:rsidRPr="00624E6D">
              <w:rPr>
                <w:rFonts w:ascii="Arial" w:eastAsiaTheme="minorEastAsia" w:hAnsi="Arial" w:cs="Arial"/>
              </w:rPr>
              <w:tab/>
            </w:r>
            <w:r w:rsidR="008F64ED" w:rsidRPr="00624E6D">
              <w:rPr>
                <w:rStyle w:val="Hyperlink"/>
                <w:rFonts w:ascii="Arial" w:eastAsiaTheme="minorHAnsi" w:hAnsi="Arial" w:cs="Arial"/>
              </w:rPr>
              <w:t>Autres partenariats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_Toc135412709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21</w:t>
            </w:r>
            <w:r w:rsidR="008F64ED" w:rsidRPr="00624E6D">
              <w:rPr>
                <w:rFonts w:ascii="Arial" w:hAnsi="Arial" w:cs="Arial"/>
                <w:webHidden/>
              </w:rPr>
              <w:fldChar w:fldCharType="end"/>
            </w:r>
          </w:hyperlink>
        </w:p>
        <w:p w14:paraId="68BA6841" w14:textId="04508058" w:rsidR="008F64ED" w:rsidRPr="00624E6D" w:rsidRDefault="00000000" w:rsidP="00DB7C4D">
          <w:pPr>
            <w:pStyle w:val="TOC1"/>
            <w:rPr>
              <w:rFonts w:ascii="Arial" w:eastAsiaTheme="minorEastAsia" w:hAnsi="Arial" w:cs="Arial"/>
              <w:noProof/>
              <w:sz w:val="20"/>
              <w:szCs w:val="20"/>
            </w:rPr>
          </w:pPr>
          <w:hyperlink w:anchor="_Toc135412710" w:history="1">
            <w:r w:rsidR="008F64ED" w:rsidRPr="00624E6D">
              <w:rPr>
                <w:rStyle w:val="Hyperlink"/>
                <w:rFonts w:ascii="Arial" w:eastAsiaTheme="minorHAnsi" w:hAnsi="Arial" w:cs="Arial"/>
                <w:noProof/>
                <w:kern w:val="28"/>
                <w:sz w:val="20"/>
                <w:szCs w:val="20"/>
              </w:rPr>
              <w:t>6.</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ENGAGEMENT AU SEIN DU CONSEIL DE L'EUROPE</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_Toc135412710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22</w:t>
            </w:r>
            <w:r w:rsidR="008F64ED" w:rsidRPr="00624E6D">
              <w:rPr>
                <w:rFonts w:ascii="Arial" w:hAnsi="Arial" w:cs="Arial"/>
                <w:noProof/>
                <w:webHidden/>
                <w:sz w:val="20"/>
                <w:szCs w:val="20"/>
              </w:rPr>
              <w:fldChar w:fldCharType="end"/>
            </w:r>
          </w:hyperlink>
        </w:p>
        <w:p w14:paraId="523E6AEA" w14:textId="1CCF1F62" w:rsidR="008F64ED" w:rsidRPr="00624E6D" w:rsidRDefault="00000000" w:rsidP="00DB7C4D">
          <w:pPr>
            <w:pStyle w:val="TOC1"/>
            <w:rPr>
              <w:rFonts w:ascii="Arial" w:eastAsiaTheme="minorEastAsia" w:hAnsi="Arial" w:cs="Arial"/>
              <w:noProof/>
              <w:sz w:val="20"/>
              <w:szCs w:val="20"/>
            </w:rPr>
          </w:pPr>
          <w:hyperlink w:anchor="_Toc135412711" w:history="1">
            <w:r w:rsidR="008F64ED" w:rsidRPr="00624E6D">
              <w:rPr>
                <w:rStyle w:val="Hyperlink"/>
                <w:rFonts w:ascii="Arial" w:eastAsiaTheme="minorHAnsi" w:hAnsi="Arial" w:cs="Arial"/>
                <w:noProof/>
                <w:kern w:val="28"/>
                <w:sz w:val="20"/>
                <w:szCs w:val="20"/>
              </w:rPr>
              <w:t>7.</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RESSOURCES HUMAINES</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_Toc135412711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23</w:t>
            </w:r>
            <w:r w:rsidR="008F64ED" w:rsidRPr="00624E6D">
              <w:rPr>
                <w:rFonts w:ascii="Arial" w:hAnsi="Arial" w:cs="Arial"/>
                <w:noProof/>
                <w:webHidden/>
                <w:sz w:val="20"/>
                <w:szCs w:val="20"/>
              </w:rPr>
              <w:fldChar w:fldCharType="end"/>
            </w:r>
          </w:hyperlink>
        </w:p>
        <w:p w14:paraId="3F988307" w14:textId="2E931ACD" w:rsidR="008F64ED" w:rsidRPr="00624E6D" w:rsidRDefault="00000000" w:rsidP="00DB7C4D">
          <w:pPr>
            <w:pStyle w:val="TOC1"/>
            <w:rPr>
              <w:rFonts w:ascii="Arial" w:eastAsiaTheme="minorEastAsia" w:hAnsi="Arial" w:cs="Arial"/>
              <w:noProof/>
              <w:sz w:val="20"/>
              <w:szCs w:val="20"/>
            </w:rPr>
          </w:pPr>
          <w:hyperlink w:anchor="_Toc135412712" w:history="1">
            <w:r w:rsidR="008F64ED" w:rsidRPr="00624E6D">
              <w:rPr>
                <w:rStyle w:val="Hyperlink"/>
                <w:rFonts w:ascii="Arial" w:eastAsiaTheme="minorHAnsi" w:hAnsi="Arial" w:cs="Arial"/>
                <w:noProof/>
                <w:kern w:val="28"/>
                <w:sz w:val="20"/>
                <w:szCs w:val="20"/>
              </w:rPr>
              <w:t>8.</w:t>
            </w:r>
            <w:r w:rsidR="008F64ED" w:rsidRPr="00624E6D">
              <w:rPr>
                <w:rFonts w:ascii="Arial" w:eastAsiaTheme="minorEastAsia" w:hAnsi="Arial" w:cs="Arial"/>
                <w:noProof/>
                <w:sz w:val="20"/>
                <w:szCs w:val="20"/>
              </w:rPr>
              <w:tab/>
            </w:r>
            <w:r w:rsidR="008F64ED" w:rsidRPr="00624E6D">
              <w:rPr>
                <w:rStyle w:val="Hyperlink"/>
                <w:rFonts w:ascii="Arial" w:eastAsiaTheme="minorHAnsi" w:hAnsi="Arial" w:cs="Arial"/>
                <w:noProof/>
                <w:kern w:val="28"/>
                <w:sz w:val="20"/>
                <w:szCs w:val="20"/>
              </w:rPr>
              <w:t>CADRE DE GOUVERNANCE ET DE PROCÉDURE</w:t>
            </w:r>
            <w:r w:rsidR="008F64ED" w:rsidRPr="00624E6D">
              <w:rPr>
                <w:rFonts w:ascii="Arial" w:hAnsi="Arial" w:cs="Arial"/>
                <w:noProof/>
                <w:webHidden/>
                <w:sz w:val="20"/>
                <w:szCs w:val="20"/>
              </w:rPr>
              <w:tab/>
            </w:r>
            <w:r w:rsidR="008F64ED" w:rsidRPr="00624E6D">
              <w:rPr>
                <w:rFonts w:ascii="Arial" w:hAnsi="Arial" w:cs="Arial"/>
                <w:noProof/>
                <w:webHidden/>
                <w:sz w:val="20"/>
                <w:szCs w:val="20"/>
              </w:rPr>
              <w:fldChar w:fldCharType="begin"/>
            </w:r>
            <w:r w:rsidR="008F64ED" w:rsidRPr="00624E6D">
              <w:rPr>
                <w:rFonts w:ascii="Arial" w:hAnsi="Arial" w:cs="Arial"/>
                <w:noProof/>
                <w:webHidden/>
                <w:sz w:val="20"/>
                <w:szCs w:val="20"/>
              </w:rPr>
              <w:instrText xml:space="preserve"> PAGEREF _Toc135412712 \h </w:instrText>
            </w:r>
            <w:r w:rsidR="008F64ED" w:rsidRPr="00624E6D">
              <w:rPr>
                <w:rFonts w:ascii="Arial" w:hAnsi="Arial" w:cs="Arial"/>
                <w:noProof/>
                <w:webHidden/>
                <w:sz w:val="20"/>
                <w:szCs w:val="20"/>
              </w:rPr>
            </w:r>
            <w:r w:rsidR="008F64ED" w:rsidRPr="00624E6D">
              <w:rPr>
                <w:rFonts w:ascii="Arial" w:hAnsi="Arial" w:cs="Arial"/>
                <w:noProof/>
                <w:webHidden/>
                <w:sz w:val="20"/>
                <w:szCs w:val="20"/>
              </w:rPr>
              <w:fldChar w:fldCharType="separate"/>
            </w:r>
            <w:r w:rsidR="00624E6D">
              <w:rPr>
                <w:rFonts w:ascii="Arial" w:hAnsi="Arial" w:cs="Arial"/>
                <w:noProof/>
                <w:webHidden/>
                <w:sz w:val="20"/>
                <w:szCs w:val="20"/>
              </w:rPr>
              <w:t>23</w:t>
            </w:r>
            <w:r w:rsidR="008F64ED" w:rsidRPr="00624E6D">
              <w:rPr>
                <w:rFonts w:ascii="Arial" w:hAnsi="Arial" w:cs="Arial"/>
                <w:noProof/>
                <w:webHidden/>
                <w:sz w:val="20"/>
                <w:szCs w:val="20"/>
              </w:rPr>
              <w:fldChar w:fldCharType="end"/>
            </w:r>
          </w:hyperlink>
        </w:p>
        <w:p w14:paraId="58E76C39" w14:textId="00B5207C" w:rsidR="008F64ED" w:rsidRPr="00624E6D" w:rsidRDefault="00000000" w:rsidP="00F243B8">
          <w:pPr>
            <w:pStyle w:val="TOC2"/>
            <w:spacing w:before="0"/>
            <w:rPr>
              <w:rFonts w:ascii="Arial" w:eastAsiaTheme="minorEastAsia" w:hAnsi="Arial" w:cs="Arial"/>
            </w:rPr>
          </w:pPr>
          <w:hyperlink w:anchor="_Toc135412713" w:history="1">
            <w:r w:rsidR="008F64ED" w:rsidRPr="00624E6D">
              <w:rPr>
                <w:rStyle w:val="Hyperlink"/>
                <w:rFonts w:ascii="Arial" w:eastAsiaTheme="minorHAnsi" w:hAnsi="Arial" w:cs="Arial"/>
              </w:rPr>
              <w:t>8.1.</w:t>
            </w:r>
            <w:r w:rsidR="008F64ED" w:rsidRPr="00624E6D">
              <w:rPr>
                <w:rFonts w:ascii="Arial" w:eastAsiaTheme="minorEastAsia" w:hAnsi="Arial" w:cs="Arial"/>
              </w:rPr>
              <w:tab/>
            </w:r>
            <w:r w:rsidR="008F64ED" w:rsidRPr="00624E6D">
              <w:rPr>
                <w:rStyle w:val="Hyperlink"/>
                <w:rFonts w:ascii="Arial" w:eastAsiaTheme="minorHAnsi" w:hAnsi="Arial" w:cs="Arial"/>
              </w:rPr>
              <w:t>Membres et observateurs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_Toc135412713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24</w:t>
            </w:r>
            <w:r w:rsidR="008F64ED" w:rsidRPr="00624E6D">
              <w:rPr>
                <w:rFonts w:ascii="Arial" w:hAnsi="Arial" w:cs="Arial"/>
                <w:webHidden/>
              </w:rPr>
              <w:fldChar w:fldCharType="end"/>
            </w:r>
          </w:hyperlink>
        </w:p>
        <w:p w14:paraId="412FA7E4" w14:textId="3F43C287" w:rsidR="008F64ED" w:rsidRPr="00624E6D" w:rsidRDefault="00000000" w:rsidP="00F243B8">
          <w:pPr>
            <w:pStyle w:val="TOC2"/>
            <w:spacing w:before="0"/>
            <w:rPr>
              <w:rFonts w:ascii="Arial" w:eastAsiaTheme="minorEastAsia" w:hAnsi="Arial" w:cs="Arial"/>
            </w:rPr>
          </w:pPr>
          <w:hyperlink w:anchor="_Toc135412714" w:history="1">
            <w:r w:rsidR="008F64ED" w:rsidRPr="00624E6D">
              <w:rPr>
                <w:rStyle w:val="Hyperlink"/>
                <w:rFonts w:ascii="Arial" w:eastAsiaTheme="minorHAnsi" w:hAnsi="Arial" w:cs="Arial"/>
              </w:rPr>
              <w:t>8.2.</w:t>
            </w:r>
            <w:r w:rsidR="008F64ED" w:rsidRPr="00624E6D">
              <w:rPr>
                <w:rFonts w:ascii="Arial" w:eastAsiaTheme="minorEastAsia" w:hAnsi="Arial" w:cs="Arial"/>
              </w:rPr>
              <w:tab/>
            </w:r>
            <w:r w:rsidR="008F64ED" w:rsidRPr="00624E6D">
              <w:rPr>
                <w:rStyle w:val="Hyperlink"/>
                <w:rFonts w:ascii="Arial" w:eastAsiaTheme="minorHAnsi" w:hAnsi="Arial" w:cs="Arial"/>
              </w:rPr>
              <w:t>Bureau</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_Toc135412714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25</w:t>
            </w:r>
            <w:r w:rsidR="008F64ED" w:rsidRPr="00624E6D">
              <w:rPr>
                <w:rFonts w:ascii="Arial" w:hAnsi="Arial" w:cs="Arial"/>
                <w:webHidden/>
              </w:rPr>
              <w:fldChar w:fldCharType="end"/>
            </w:r>
          </w:hyperlink>
        </w:p>
        <w:p w14:paraId="5C489FDB" w14:textId="4FDA62CC" w:rsidR="008F64ED" w:rsidRPr="00624E6D" w:rsidRDefault="00000000" w:rsidP="00F243B8">
          <w:pPr>
            <w:pStyle w:val="TOC2"/>
            <w:spacing w:before="0"/>
            <w:rPr>
              <w:rFonts w:ascii="Arial" w:eastAsiaTheme="minorEastAsia" w:hAnsi="Arial" w:cs="Arial"/>
            </w:rPr>
          </w:pPr>
          <w:hyperlink w:anchor="_Toc135412715" w:history="1">
            <w:r w:rsidR="008F64ED" w:rsidRPr="00624E6D">
              <w:rPr>
                <w:rStyle w:val="Hyperlink"/>
                <w:rFonts w:ascii="Arial" w:eastAsiaTheme="minorHAnsi" w:hAnsi="Arial" w:cs="Arial"/>
              </w:rPr>
              <w:t>8.3.</w:t>
            </w:r>
            <w:r w:rsidR="008F64ED" w:rsidRPr="00624E6D">
              <w:rPr>
                <w:rFonts w:ascii="Arial" w:eastAsiaTheme="minorEastAsia" w:hAnsi="Arial" w:cs="Arial"/>
              </w:rPr>
              <w:tab/>
            </w:r>
            <w:r w:rsidR="008F64ED" w:rsidRPr="00624E6D">
              <w:rPr>
                <w:rStyle w:val="Hyperlink"/>
                <w:rFonts w:ascii="Arial" w:eastAsiaTheme="minorHAnsi" w:hAnsi="Arial" w:cs="Arial"/>
              </w:rPr>
              <w:t>Experts scientifiques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_Toc135412715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25</w:t>
            </w:r>
            <w:r w:rsidR="008F64ED" w:rsidRPr="00624E6D">
              <w:rPr>
                <w:rFonts w:ascii="Arial" w:hAnsi="Arial" w:cs="Arial"/>
                <w:webHidden/>
              </w:rPr>
              <w:fldChar w:fldCharType="end"/>
            </w:r>
          </w:hyperlink>
        </w:p>
        <w:p w14:paraId="69298014" w14:textId="79A3CAAD" w:rsidR="008F64ED" w:rsidRPr="00624E6D" w:rsidRDefault="00000000" w:rsidP="00F243B8">
          <w:pPr>
            <w:pStyle w:val="TOC2"/>
            <w:spacing w:before="0"/>
            <w:rPr>
              <w:rFonts w:ascii="Arial" w:eastAsiaTheme="minorEastAsia" w:hAnsi="Arial" w:cs="Arial"/>
            </w:rPr>
          </w:pPr>
          <w:hyperlink w:anchor="_Toc135412716" w:history="1">
            <w:r w:rsidR="008F64ED" w:rsidRPr="00624E6D">
              <w:rPr>
                <w:rStyle w:val="Hyperlink"/>
                <w:rFonts w:ascii="Arial" w:eastAsiaTheme="minorHAnsi" w:hAnsi="Arial" w:cs="Arial"/>
              </w:rPr>
              <w:t>8.4.</w:t>
            </w:r>
            <w:r w:rsidR="008F64ED" w:rsidRPr="00624E6D">
              <w:rPr>
                <w:rFonts w:ascii="Arial" w:eastAsiaTheme="minorEastAsia" w:hAnsi="Arial" w:cs="Arial"/>
              </w:rPr>
              <w:tab/>
            </w:r>
            <w:r w:rsidR="008F64ED" w:rsidRPr="00624E6D">
              <w:rPr>
                <w:rStyle w:val="Hyperlink"/>
                <w:rFonts w:ascii="Arial" w:eastAsiaTheme="minorHAnsi" w:hAnsi="Arial" w:cs="Arial"/>
              </w:rPr>
              <w:t>Objectifs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_Toc135412716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25</w:t>
            </w:r>
            <w:r w:rsidR="008F64ED" w:rsidRPr="00624E6D">
              <w:rPr>
                <w:rFonts w:ascii="Arial" w:hAnsi="Arial" w:cs="Arial"/>
                <w:webHidden/>
              </w:rPr>
              <w:fldChar w:fldCharType="end"/>
            </w:r>
          </w:hyperlink>
        </w:p>
        <w:p w14:paraId="78237234" w14:textId="605C373A" w:rsidR="008F64ED" w:rsidRPr="00624E6D" w:rsidRDefault="00000000" w:rsidP="00F243B8">
          <w:pPr>
            <w:pStyle w:val="TOC2"/>
            <w:spacing w:before="0"/>
            <w:rPr>
              <w:rFonts w:ascii="Arial" w:eastAsiaTheme="minorEastAsia" w:hAnsi="Arial" w:cs="Arial"/>
            </w:rPr>
          </w:pPr>
          <w:hyperlink w:anchor="_Toc135412717" w:history="1">
            <w:r w:rsidR="008F64ED" w:rsidRPr="00624E6D">
              <w:rPr>
                <w:rStyle w:val="Hyperlink"/>
                <w:rFonts w:ascii="Arial" w:eastAsiaTheme="minorHAnsi" w:hAnsi="Arial" w:cs="Arial"/>
              </w:rPr>
              <w:t>8.5.</w:t>
            </w:r>
            <w:r w:rsidR="008F64ED" w:rsidRPr="00624E6D">
              <w:rPr>
                <w:rFonts w:ascii="Arial" w:eastAsiaTheme="minorEastAsia" w:hAnsi="Arial" w:cs="Arial"/>
              </w:rPr>
              <w:tab/>
            </w:r>
            <w:r w:rsidR="008F64ED" w:rsidRPr="00624E6D">
              <w:rPr>
                <w:rStyle w:val="Hyperlink"/>
                <w:rFonts w:ascii="Arial" w:eastAsiaTheme="minorHAnsi" w:hAnsi="Arial" w:cs="Arial"/>
              </w:rPr>
              <w:t>Cycles d’évaluations mutuelles et procédures de suivi</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_Toc135412717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26</w:t>
            </w:r>
            <w:r w:rsidR="008F64ED" w:rsidRPr="00624E6D">
              <w:rPr>
                <w:rFonts w:ascii="Arial" w:hAnsi="Arial" w:cs="Arial"/>
                <w:webHidden/>
              </w:rPr>
              <w:fldChar w:fldCharType="end"/>
            </w:r>
          </w:hyperlink>
        </w:p>
        <w:p w14:paraId="02E12729" w14:textId="6E5B00F5" w:rsidR="008F64ED" w:rsidRPr="00624E6D" w:rsidRDefault="00000000" w:rsidP="00F243B8">
          <w:pPr>
            <w:pStyle w:val="TOC2"/>
            <w:spacing w:before="0"/>
            <w:rPr>
              <w:rFonts w:ascii="Arial" w:eastAsiaTheme="minorEastAsia" w:hAnsi="Arial" w:cs="Arial"/>
            </w:rPr>
          </w:pPr>
          <w:hyperlink w:anchor="_Toc135412718" w:history="1">
            <w:r w:rsidR="008F64ED" w:rsidRPr="00624E6D">
              <w:rPr>
                <w:rStyle w:val="Hyperlink"/>
                <w:rFonts w:ascii="Arial" w:eastAsiaTheme="minorHAnsi" w:hAnsi="Arial" w:cs="Arial"/>
              </w:rPr>
              <w:t>8.6.</w:t>
            </w:r>
            <w:r w:rsidR="008F64ED" w:rsidRPr="00624E6D">
              <w:rPr>
                <w:rFonts w:ascii="Arial" w:eastAsiaTheme="minorEastAsia" w:hAnsi="Arial" w:cs="Arial"/>
              </w:rPr>
              <w:tab/>
            </w:r>
            <w:r w:rsidR="008F64ED" w:rsidRPr="00624E6D">
              <w:rPr>
                <w:rStyle w:val="Hyperlink"/>
                <w:rFonts w:ascii="Arial" w:eastAsiaTheme="minorHAnsi" w:hAnsi="Arial" w:cs="Arial"/>
              </w:rPr>
              <w:t>Procédures de conformité renforcée</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_Toc135412718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26</w:t>
            </w:r>
            <w:r w:rsidR="008F64ED" w:rsidRPr="00624E6D">
              <w:rPr>
                <w:rFonts w:ascii="Arial" w:hAnsi="Arial" w:cs="Arial"/>
                <w:webHidden/>
              </w:rPr>
              <w:fldChar w:fldCharType="end"/>
            </w:r>
          </w:hyperlink>
        </w:p>
        <w:p w14:paraId="12A80386" w14:textId="2CD356B4" w:rsidR="008F64ED" w:rsidRPr="00624E6D" w:rsidRDefault="00000000" w:rsidP="00F243B8">
          <w:pPr>
            <w:pStyle w:val="TOC2"/>
            <w:rPr>
              <w:rFonts w:ascii="Arial" w:eastAsiaTheme="minorEastAsia" w:hAnsi="Arial" w:cs="Arial"/>
            </w:rPr>
          </w:pPr>
          <w:hyperlink w:anchor="_Toc135412719" w:history="1">
            <w:r w:rsidR="008F64ED" w:rsidRPr="00624E6D">
              <w:rPr>
                <w:rStyle w:val="Hyperlink"/>
                <w:rFonts w:ascii="Arial" w:hAnsi="Arial" w:cs="Arial"/>
              </w:rPr>
              <w:t>ANNEXES</w:t>
            </w:r>
            <w:r w:rsidR="008F64ED" w:rsidRPr="00624E6D">
              <w:rPr>
                <w:rFonts w:ascii="Arial" w:hAnsi="Arial" w:cs="Arial"/>
                <w:webHidden/>
              </w:rPr>
              <w:tab/>
            </w:r>
            <w:r w:rsidR="008F64ED" w:rsidRPr="00624E6D">
              <w:rPr>
                <w:rFonts w:ascii="Arial" w:hAnsi="Arial" w:cs="Arial"/>
                <w:webHidden/>
              </w:rPr>
              <w:fldChar w:fldCharType="begin"/>
            </w:r>
            <w:r w:rsidR="008F64ED" w:rsidRPr="00624E6D">
              <w:rPr>
                <w:rFonts w:ascii="Arial" w:hAnsi="Arial" w:cs="Arial"/>
                <w:webHidden/>
              </w:rPr>
              <w:instrText xml:space="preserve"> PAGEREF _Toc135412719 \h </w:instrText>
            </w:r>
            <w:r w:rsidR="008F64ED" w:rsidRPr="00624E6D">
              <w:rPr>
                <w:rFonts w:ascii="Arial" w:hAnsi="Arial" w:cs="Arial"/>
                <w:webHidden/>
              </w:rPr>
            </w:r>
            <w:r w:rsidR="008F64ED" w:rsidRPr="00624E6D">
              <w:rPr>
                <w:rFonts w:ascii="Arial" w:hAnsi="Arial" w:cs="Arial"/>
                <w:webHidden/>
              </w:rPr>
              <w:fldChar w:fldCharType="separate"/>
            </w:r>
            <w:r w:rsidR="00624E6D">
              <w:rPr>
                <w:rFonts w:ascii="Arial" w:hAnsi="Arial" w:cs="Arial"/>
                <w:webHidden/>
              </w:rPr>
              <w:t>28</w:t>
            </w:r>
            <w:r w:rsidR="008F64ED" w:rsidRPr="00624E6D">
              <w:rPr>
                <w:rFonts w:ascii="Arial" w:hAnsi="Arial" w:cs="Arial"/>
                <w:webHidden/>
              </w:rPr>
              <w:fldChar w:fldCharType="end"/>
            </w:r>
          </w:hyperlink>
        </w:p>
        <w:p w14:paraId="134478AB" w14:textId="529BE4ED" w:rsidR="00DF5B08" w:rsidRPr="002D66CC" w:rsidRDefault="00DF5B08" w:rsidP="00F243B8">
          <w:pPr>
            <w:tabs>
              <w:tab w:val="left" w:pos="709"/>
              <w:tab w:val="right" w:leader="dot" w:pos="9639"/>
            </w:tabs>
            <w:rPr>
              <w:rFonts w:cs="Arial"/>
              <w:szCs w:val="20"/>
            </w:rPr>
          </w:pPr>
          <w:r w:rsidRPr="00624E6D">
            <w:rPr>
              <w:rFonts w:cs="Arial"/>
              <w:b/>
              <w:bCs/>
              <w:szCs w:val="20"/>
            </w:rPr>
            <w:fldChar w:fldCharType="end"/>
          </w:r>
        </w:p>
      </w:sdtContent>
    </w:sdt>
    <w:p w14:paraId="44D60200" w14:textId="77777777" w:rsidR="00DF5B08" w:rsidRPr="002D66CC" w:rsidRDefault="00DF5B08" w:rsidP="00DF5B08">
      <w:pPr>
        <w:rPr>
          <w:rFonts w:eastAsia="Times New Roman" w:cs="Arial"/>
          <w:b/>
          <w:bCs/>
          <w:caps/>
          <w:w w:val="105"/>
          <w:kern w:val="28"/>
          <w:szCs w:val="20"/>
          <w:lang w:val="en-US" w:eastAsia="zh-CN"/>
        </w:rPr>
      </w:pPr>
      <w:r w:rsidRPr="002D66CC">
        <w:rPr>
          <w:rFonts w:eastAsia="Times New Roman" w:cs="Arial"/>
          <w:b/>
          <w:bCs/>
          <w:caps/>
          <w:w w:val="105"/>
          <w:kern w:val="28"/>
          <w:szCs w:val="20"/>
          <w:lang w:val="en-US" w:eastAsia="zh-CN"/>
        </w:rPr>
        <w:br w:type="page"/>
      </w:r>
    </w:p>
    <w:p w14:paraId="611F2A4F" w14:textId="77777777" w:rsidR="00DF5B08" w:rsidRPr="00F935E7" w:rsidRDefault="00DF5B08" w:rsidP="00DF5B08">
      <w:pPr>
        <w:pStyle w:val="Title1"/>
        <w:spacing w:before="0" w:after="0"/>
        <w:rPr>
          <w:color w:val="auto"/>
          <w:lang w:val="fr-FR"/>
        </w:rPr>
      </w:pPr>
      <w:bookmarkStart w:id="0" w:name="lt_pId017"/>
      <w:bookmarkStart w:id="1" w:name="_Toc94256514"/>
      <w:bookmarkStart w:id="2" w:name="_Toc135412687"/>
      <w:r w:rsidRPr="00F935E7">
        <w:rPr>
          <w:color w:val="auto"/>
          <w:lang w:val="fr-FR"/>
        </w:rPr>
        <w:lastRenderedPageBreak/>
        <w:t>ABRÉVIATIONS</w:t>
      </w:r>
      <w:r w:rsidRPr="00D421DE">
        <w:rPr>
          <w:color w:val="auto"/>
          <w:lang w:val="fr-FR"/>
        </w:rPr>
        <w:t xml:space="preserve"> </w:t>
      </w:r>
      <w:r>
        <w:rPr>
          <w:color w:val="auto"/>
          <w:lang w:val="fr-FR"/>
        </w:rPr>
        <w:t xml:space="preserve">ET </w:t>
      </w:r>
      <w:r w:rsidRPr="00F935E7">
        <w:rPr>
          <w:color w:val="auto"/>
          <w:lang w:val="fr-FR"/>
        </w:rPr>
        <w:t>ACRONYMES FRÉQUEMMENT UTILISÉ</w:t>
      </w:r>
      <w:r>
        <w:rPr>
          <w:color w:val="auto"/>
          <w:lang w:val="fr-FR"/>
        </w:rPr>
        <w:t>S</w:t>
      </w:r>
      <w:bookmarkEnd w:id="0"/>
      <w:bookmarkEnd w:id="1"/>
      <w:bookmarkEnd w:id="2"/>
    </w:p>
    <w:p w14:paraId="03A70A38" w14:textId="77777777" w:rsidR="00DF5B08" w:rsidRPr="00F935E7" w:rsidRDefault="00DF5B08" w:rsidP="00DF5B08">
      <w:pPr>
        <w:pStyle w:val="LDHeading1"/>
        <w:spacing w:after="0"/>
        <w:jc w:val="both"/>
        <w:rPr>
          <w:b w:val="0"/>
          <w:color w:val="auto"/>
          <w:sz w:val="20"/>
          <w:lang w:val="fr-FR"/>
        </w:rPr>
      </w:pPr>
    </w:p>
    <w:tbl>
      <w:tblPr>
        <w:tblW w:w="9883" w:type="dxa"/>
        <w:jc w:val="center"/>
        <w:tblLayout w:type="fixed"/>
        <w:tblLook w:val="01E0" w:firstRow="1" w:lastRow="1" w:firstColumn="1" w:lastColumn="1" w:noHBand="0" w:noVBand="0"/>
      </w:tblPr>
      <w:tblGrid>
        <w:gridCol w:w="2914"/>
        <w:gridCol w:w="6969"/>
      </w:tblGrid>
      <w:tr w:rsidR="0014214B" w:rsidRPr="00776250" w14:paraId="7CD5E2BF" w14:textId="77777777" w:rsidTr="00261C54">
        <w:trPr>
          <w:jc w:val="center"/>
        </w:trPr>
        <w:tc>
          <w:tcPr>
            <w:tcW w:w="2914" w:type="dxa"/>
          </w:tcPr>
          <w:p w14:paraId="6C52C44E" w14:textId="77777777" w:rsidR="0014214B" w:rsidRPr="00F935E7" w:rsidRDefault="0014214B" w:rsidP="00261C54">
            <w:pPr>
              <w:jc w:val="both"/>
              <w:rPr>
                <w:rFonts w:cs="Arial"/>
                <w:szCs w:val="20"/>
              </w:rPr>
            </w:pPr>
            <w:bookmarkStart w:id="3" w:name="lt_pId071"/>
            <w:r w:rsidRPr="00F935E7">
              <w:rPr>
                <w:rFonts w:cs="Arial"/>
                <w:szCs w:val="20"/>
              </w:rPr>
              <w:t>APCE</w:t>
            </w:r>
            <w:bookmarkEnd w:id="3"/>
          </w:p>
        </w:tc>
        <w:tc>
          <w:tcPr>
            <w:tcW w:w="6969" w:type="dxa"/>
          </w:tcPr>
          <w:p w14:paraId="3E41C957" w14:textId="77777777" w:rsidR="0014214B" w:rsidRPr="00F935E7" w:rsidRDefault="0014214B" w:rsidP="00261C54">
            <w:pPr>
              <w:rPr>
                <w:rFonts w:cs="Arial"/>
                <w:szCs w:val="20"/>
              </w:rPr>
            </w:pPr>
            <w:bookmarkStart w:id="4" w:name="lt_pId072"/>
            <w:r w:rsidRPr="00F935E7">
              <w:rPr>
                <w:rFonts w:cs="Arial"/>
                <w:szCs w:val="20"/>
              </w:rPr>
              <w:t xml:space="preserve">Assemblée </w:t>
            </w:r>
            <w:r>
              <w:rPr>
                <w:rFonts w:cs="Arial"/>
                <w:szCs w:val="20"/>
              </w:rPr>
              <w:t>p</w:t>
            </w:r>
            <w:r w:rsidRPr="00F935E7">
              <w:rPr>
                <w:rFonts w:cs="Arial"/>
                <w:szCs w:val="20"/>
              </w:rPr>
              <w:t>arlementaire du Conseil de l’Europe</w:t>
            </w:r>
            <w:bookmarkEnd w:id="4"/>
          </w:p>
        </w:tc>
      </w:tr>
      <w:tr w:rsidR="0014214B" w:rsidRPr="00F935E7" w14:paraId="632EBC72" w14:textId="77777777" w:rsidTr="007B53F3">
        <w:trPr>
          <w:jc w:val="center"/>
        </w:trPr>
        <w:tc>
          <w:tcPr>
            <w:tcW w:w="2914" w:type="dxa"/>
          </w:tcPr>
          <w:p w14:paraId="0531E8B4" w14:textId="77777777" w:rsidR="0014214B" w:rsidRPr="00F935E7" w:rsidRDefault="0014214B" w:rsidP="007B53F3">
            <w:pPr>
              <w:jc w:val="both"/>
              <w:rPr>
                <w:rFonts w:cs="Arial"/>
                <w:szCs w:val="20"/>
              </w:rPr>
            </w:pPr>
            <w:bookmarkStart w:id="5" w:name="lt_pId061"/>
            <w:r w:rsidRPr="00F935E7">
              <w:rPr>
                <w:rFonts w:cs="Arial"/>
                <w:szCs w:val="20"/>
              </w:rPr>
              <w:t>BC</w:t>
            </w:r>
            <w:bookmarkEnd w:id="5"/>
          </w:p>
        </w:tc>
        <w:tc>
          <w:tcPr>
            <w:tcW w:w="6969" w:type="dxa"/>
          </w:tcPr>
          <w:p w14:paraId="66B9062C" w14:textId="77777777" w:rsidR="0014214B" w:rsidRPr="00F935E7" w:rsidRDefault="0014214B" w:rsidP="007B53F3">
            <w:pPr>
              <w:rPr>
                <w:rFonts w:cs="Arial"/>
                <w:szCs w:val="20"/>
              </w:rPr>
            </w:pPr>
            <w:bookmarkStart w:id="6" w:name="lt_pId062"/>
            <w:r w:rsidRPr="00F935E7">
              <w:rPr>
                <w:rFonts w:cs="Arial"/>
                <w:szCs w:val="20"/>
              </w:rPr>
              <w:t>Blanchiment de capitaux</w:t>
            </w:r>
            <w:bookmarkEnd w:id="6"/>
          </w:p>
        </w:tc>
      </w:tr>
      <w:tr w:rsidR="00210692" w:rsidRPr="00776250" w14:paraId="2AA36978" w14:textId="77777777" w:rsidTr="00367559">
        <w:trPr>
          <w:jc w:val="center"/>
        </w:trPr>
        <w:tc>
          <w:tcPr>
            <w:tcW w:w="2914" w:type="dxa"/>
          </w:tcPr>
          <w:p w14:paraId="6304D23B" w14:textId="4E820407" w:rsidR="00210692" w:rsidRPr="00F935E7" w:rsidRDefault="00210692" w:rsidP="00210692">
            <w:pPr>
              <w:jc w:val="both"/>
              <w:rPr>
                <w:rFonts w:cs="Arial"/>
                <w:szCs w:val="20"/>
              </w:rPr>
            </w:pPr>
            <w:bookmarkStart w:id="7" w:name="lt_pId091"/>
            <w:r w:rsidRPr="00F935E7">
              <w:rPr>
                <w:rFonts w:cs="Arial"/>
                <w:szCs w:val="20"/>
              </w:rPr>
              <w:t>CCT</w:t>
            </w:r>
            <w:bookmarkEnd w:id="7"/>
          </w:p>
        </w:tc>
        <w:tc>
          <w:tcPr>
            <w:tcW w:w="6969" w:type="dxa"/>
          </w:tcPr>
          <w:p w14:paraId="4B0219C5" w14:textId="105EBDB3" w:rsidR="00210692" w:rsidRPr="00F935E7" w:rsidRDefault="00210692" w:rsidP="00210692">
            <w:pPr>
              <w:rPr>
                <w:rFonts w:cs="Arial"/>
                <w:szCs w:val="20"/>
              </w:rPr>
            </w:pPr>
            <w:bookmarkStart w:id="8" w:name="lt_pId092"/>
            <w:r w:rsidRPr="00F935E7">
              <w:rPr>
                <w:rFonts w:cs="Arial"/>
                <w:szCs w:val="20"/>
              </w:rPr>
              <w:t>Comité des Nations Unies contre le terrorisme</w:t>
            </w:r>
            <w:bookmarkEnd w:id="8"/>
          </w:p>
        </w:tc>
      </w:tr>
      <w:tr w:rsidR="00210692" w:rsidRPr="00776250" w14:paraId="775A341E" w14:textId="77777777" w:rsidTr="00367559">
        <w:trPr>
          <w:jc w:val="center"/>
        </w:trPr>
        <w:tc>
          <w:tcPr>
            <w:tcW w:w="2914" w:type="dxa"/>
          </w:tcPr>
          <w:p w14:paraId="65CE26B8" w14:textId="77777777" w:rsidR="00210692" w:rsidRPr="00F935E7" w:rsidRDefault="00210692" w:rsidP="00210692">
            <w:pPr>
              <w:jc w:val="both"/>
              <w:rPr>
                <w:rFonts w:cs="Arial"/>
                <w:szCs w:val="20"/>
              </w:rPr>
            </w:pPr>
            <w:bookmarkStart w:id="9" w:name="lt_pId031"/>
            <w:r w:rsidRPr="00F935E7">
              <w:rPr>
                <w:rFonts w:cs="Arial"/>
                <w:szCs w:val="20"/>
              </w:rPr>
              <w:t>CdP</w:t>
            </w:r>
            <w:bookmarkEnd w:id="9"/>
          </w:p>
        </w:tc>
        <w:tc>
          <w:tcPr>
            <w:tcW w:w="6969" w:type="dxa"/>
          </w:tcPr>
          <w:p w14:paraId="30B05283" w14:textId="77777777" w:rsidR="00210692" w:rsidRPr="00F935E7" w:rsidRDefault="00210692" w:rsidP="00210692">
            <w:pPr>
              <w:rPr>
                <w:rFonts w:cs="Arial"/>
                <w:szCs w:val="20"/>
              </w:rPr>
            </w:pPr>
            <w:bookmarkStart w:id="10" w:name="lt_pId032"/>
            <w:r w:rsidRPr="00F935E7">
              <w:rPr>
                <w:rFonts w:cs="Arial"/>
                <w:szCs w:val="20"/>
              </w:rPr>
              <w:t>Conférence des Parties à la Convention du Conseil de l’Europe relative au blanchiment, au dépistage, à la saisie et à la confiscation des produits du crime et au financement du terrorisme (2005) – Convention de Varsovie (STCE n° 198)</w:t>
            </w:r>
            <w:bookmarkEnd w:id="10"/>
          </w:p>
        </w:tc>
      </w:tr>
      <w:tr w:rsidR="00210692" w:rsidRPr="00776250" w14:paraId="5A68399A" w14:textId="77777777" w:rsidTr="00367559">
        <w:trPr>
          <w:jc w:val="center"/>
        </w:trPr>
        <w:tc>
          <w:tcPr>
            <w:tcW w:w="2914" w:type="dxa"/>
          </w:tcPr>
          <w:p w14:paraId="78F9B9E4" w14:textId="15BBF063" w:rsidR="00210692" w:rsidRPr="00F935E7" w:rsidRDefault="00210692" w:rsidP="00210692">
            <w:pPr>
              <w:jc w:val="both"/>
              <w:rPr>
                <w:rFonts w:cs="Arial"/>
                <w:szCs w:val="20"/>
              </w:rPr>
            </w:pPr>
            <w:bookmarkStart w:id="11" w:name="lt_pId022"/>
            <w:r w:rsidRPr="006101C1">
              <w:rPr>
                <w:rFonts w:cs="Arial"/>
                <w:szCs w:val="20"/>
              </w:rPr>
              <w:t>CDPC</w:t>
            </w:r>
            <w:bookmarkEnd w:id="11"/>
          </w:p>
        </w:tc>
        <w:tc>
          <w:tcPr>
            <w:tcW w:w="6969" w:type="dxa"/>
          </w:tcPr>
          <w:p w14:paraId="1F5D53E5" w14:textId="6601B4A5" w:rsidR="00210692" w:rsidRPr="00F935E7" w:rsidRDefault="00210692" w:rsidP="00210692">
            <w:pPr>
              <w:rPr>
                <w:rFonts w:cs="Arial"/>
                <w:szCs w:val="20"/>
              </w:rPr>
            </w:pPr>
            <w:r w:rsidRPr="00F935E7">
              <w:rPr>
                <w:rFonts w:cs="Arial"/>
                <w:szCs w:val="20"/>
              </w:rPr>
              <w:t>Comité européen pour les problèmes criminels</w:t>
            </w:r>
          </w:p>
        </w:tc>
      </w:tr>
      <w:tr w:rsidR="00210692" w:rsidRPr="00776250" w14:paraId="3FBEC42B" w14:textId="77777777" w:rsidTr="00344761">
        <w:trPr>
          <w:jc w:val="center"/>
        </w:trPr>
        <w:tc>
          <w:tcPr>
            <w:tcW w:w="2914" w:type="dxa"/>
          </w:tcPr>
          <w:p w14:paraId="01BDD037" w14:textId="77777777" w:rsidR="00210692" w:rsidRPr="00F935E7" w:rsidRDefault="00210692" w:rsidP="00210692">
            <w:pPr>
              <w:jc w:val="both"/>
              <w:rPr>
                <w:rFonts w:cs="Arial"/>
                <w:szCs w:val="20"/>
              </w:rPr>
            </w:pPr>
            <w:bookmarkStart w:id="12" w:name="lt_pId029"/>
            <w:r w:rsidRPr="00F935E7">
              <w:rPr>
                <w:rFonts w:cs="Arial"/>
                <w:szCs w:val="20"/>
              </w:rPr>
              <w:t>CFT</w:t>
            </w:r>
            <w:bookmarkEnd w:id="12"/>
          </w:p>
        </w:tc>
        <w:tc>
          <w:tcPr>
            <w:tcW w:w="6969" w:type="dxa"/>
          </w:tcPr>
          <w:p w14:paraId="69E98C78" w14:textId="77777777" w:rsidR="00210692" w:rsidRPr="00F935E7" w:rsidRDefault="00210692" w:rsidP="00210692">
            <w:pPr>
              <w:rPr>
                <w:rFonts w:cs="Arial"/>
                <w:szCs w:val="20"/>
              </w:rPr>
            </w:pPr>
            <w:bookmarkStart w:id="13" w:name="lt_pId030"/>
            <w:r w:rsidRPr="00F935E7">
              <w:rPr>
                <w:rFonts w:cs="Arial"/>
                <w:szCs w:val="20"/>
              </w:rPr>
              <w:t>Combattre le financement du terrorisme</w:t>
            </w:r>
            <w:bookmarkEnd w:id="13"/>
          </w:p>
        </w:tc>
      </w:tr>
      <w:tr w:rsidR="00210692" w:rsidRPr="00776250" w14:paraId="7BACCFC4" w14:textId="77777777" w:rsidTr="00A60A13">
        <w:trPr>
          <w:jc w:val="center"/>
        </w:trPr>
        <w:tc>
          <w:tcPr>
            <w:tcW w:w="2914" w:type="dxa"/>
          </w:tcPr>
          <w:p w14:paraId="0F79EFA4" w14:textId="790ECCAA" w:rsidR="00210692" w:rsidRDefault="00210692" w:rsidP="00210692">
            <w:pPr>
              <w:jc w:val="both"/>
              <w:rPr>
                <w:rFonts w:cs="Arial"/>
                <w:szCs w:val="20"/>
              </w:rPr>
            </w:pPr>
            <w:r>
              <w:rPr>
                <w:rFonts w:cs="Arial"/>
                <w:szCs w:val="20"/>
              </w:rPr>
              <w:t>CRF</w:t>
            </w:r>
          </w:p>
        </w:tc>
        <w:tc>
          <w:tcPr>
            <w:tcW w:w="6969" w:type="dxa"/>
          </w:tcPr>
          <w:p w14:paraId="53EB0F0A" w14:textId="561A764E" w:rsidR="00210692" w:rsidRPr="00F935E7" w:rsidRDefault="00210692" w:rsidP="00210692">
            <w:pPr>
              <w:rPr>
                <w:rFonts w:cs="Arial"/>
                <w:szCs w:val="20"/>
              </w:rPr>
            </w:pPr>
            <w:r>
              <w:rPr>
                <w:rFonts w:cs="Arial"/>
                <w:szCs w:val="20"/>
              </w:rPr>
              <w:t>Cellule de renseignements financiers</w:t>
            </w:r>
          </w:p>
        </w:tc>
      </w:tr>
      <w:tr w:rsidR="00210692" w:rsidRPr="00776250" w14:paraId="7043462F" w14:textId="77777777" w:rsidTr="00A60A13">
        <w:trPr>
          <w:jc w:val="center"/>
        </w:trPr>
        <w:tc>
          <w:tcPr>
            <w:tcW w:w="2914" w:type="dxa"/>
          </w:tcPr>
          <w:p w14:paraId="4E84E020" w14:textId="146BF589" w:rsidR="00210692" w:rsidRDefault="00210692" w:rsidP="00210692">
            <w:pPr>
              <w:jc w:val="both"/>
              <w:rPr>
                <w:rFonts w:cs="Arial"/>
                <w:szCs w:val="20"/>
              </w:rPr>
            </w:pPr>
            <w:bookmarkStart w:id="14" w:name="lt_pId033"/>
            <w:r w:rsidRPr="00F935E7">
              <w:rPr>
                <w:rFonts w:cs="Arial"/>
                <w:szCs w:val="20"/>
              </w:rPr>
              <w:t>CTED</w:t>
            </w:r>
            <w:bookmarkEnd w:id="14"/>
          </w:p>
        </w:tc>
        <w:tc>
          <w:tcPr>
            <w:tcW w:w="6969" w:type="dxa"/>
          </w:tcPr>
          <w:p w14:paraId="5A970FBA" w14:textId="0D3DDBEF" w:rsidR="00210692" w:rsidRDefault="00210692" w:rsidP="00210692">
            <w:pPr>
              <w:rPr>
                <w:rFonts w:cs="Arial"/>
                <w:szCs w:val="20"/>
              </w:rPr>
            </w:pPr>
            <w:r w:rsidRPr="00F935E7">
              <w:rPr>
                <w:rFonts w:cs="Arial"/>
                <w:szCs w:val="20"/>
              </w:rPr>
              <w:t>Direction exécutive du Comité contre le terrorisme du Conseil de sécurité des Nations Unies</w:t>
            </w:r>
          </w:p>
        </w:tc>
      </w:tr>
      <w:tr w:rsidR="00210692" w:rsidRPr="00776250" w14:paraId="34E230F2" w14:textId="77777777" w:rsidTr="00A60A13">
        <w:trPr>
          <w:jc w:val="center"/>
        </w:trPr>
        <w:tc>
          <w:tcPr>
            <w:tcW w:w="2914" w:type="dxa"/>
          </w:tcPr>
          <w:p w14:paraId="6AA189CF" w14:textId="77777777" w:rsidR="00210692" w:rsidRPr="00F935E7" w:rsidRDefault="00210692" w:rsidP="00210692">
            <w:pPr>
              <w:jc w:val="both"/>
              <w:rPr>
                <w:rFonts w:cs="Arial"/>
                <w:szCs w:val="20"/>
              </w:rPr>
            </w:pPr>
            <w:bookmarkStart w:id="15" w:name="lt_pId077"/>
            <w:r w:rsidRPr="00F935E7">
              <w:rPr>
                <w:rFonts w:cs="Arial"/>
                <w:szCs w:val="20"/>
              </w:rPr>
              <w:t>DAS</w:t>
            </w:r>
            <w:bookmarkEnd w:id="15"/>
          </w:p>
          <w:p w14:paraId="48F14BB9" w14:textId="7F625A38" w:rsidR="000F1CBB" w:rsidRDefault="000F1CBB" w:rsidP="00210692">
            <w:pPr>
              <w:jc w:val="both"/>
              <w:rPr>
                <w:rFonts w:cs="Arial"/>
                <w:szCs w:val="20"/>
              </w:rPr>
            </w:pPr>
            <w:bookmarkStart w:id="16" w:name="lt_pId081"/>
            <w:bookmarkStart w:id="17" w:name="lt_pId036"/>
            <w:r w:rsidRPr="00F935E7">
              <w:rPr>
                <w:rFonts w:cs="Arial"/>
                <w:szCs w:val="20"/>
              </w:rPr>
              <w:t>DOS</w:t>
            </w:r>
            <w:bookmarkEnd w:id="16"/>
          </w:p>
          <w:p w14:paraId="507734B3" w14:textId="104BD9DA" w:rsidR="00210692" w:rsidRPr="00F935E7" w:rsidRDefault="00210692" w:rsidP="00210692">
            <w:pPr>
              <w:jc w:val="both"/>
              <w:rPr>
                <w:rFonts w:cs="Arial"/>
                <w:szCs w:val="20"/>
              </w:rPr>
            </w:pPr>
            <w:r w:rsidRPr="00F935E7">
              <w:rPr>
                <w:rFonts w:cs="Arial"/>
                <w:szCs w:val="20"/>
              </w:rPr>
              <w:t>EAG</w:t>
            </w:r>
            <w:bookmarkEnd w:id="17"/>
          </w:p>
          <w:p w14:paraId="64C843BF" w14:textId="77777777" w:rsidR="00210692" w:rsidRDefault="00210692" w:rsidP="00210692">
            <w:pPr>
              <w:jc w:val="both"/>
              <w:rPr>
                <w:rFonts w:cs="Arial"/>
                <w:szCs w:val="20"/>
              </w:rPr>
            </w:pPr>
          </w:p>
          <w:p w14:paraId="048C573B" w14:textId="77777777" w:rsidR="00210692" w:rsidRDefault="00210692" w:rsidP="00210692">
            <w:pPr>
              <w:jc w:val="both"/>
              <w:rPr>
                <w:rFonts w:cs="Arial"/>
                <w:szCs w:val="20"/>
              </w:rPr>
            </w:pPr>
            <w:r>
              <w:rPr>
                <w:rFonts w:cs="Arial"/>
                <w:szCs w:val="20"/>
              </w:rPr>
              <w:t>EPNFD</w:t>
            </w:r>
          </w:p>
          <w:p w14:paraId="7E79F162" w14:textId="16FB14E7" w:rsidR="00210692" w:rsidRDefault="00210692" w:rsidP="00210692">
            <w:pPr>
              <w:jc w:val="both"/>
              <w:rPr>
                <w:rFonts w:cs="Arial"/>
                <w:szCs w:val="20"/>
              </w:rPr>
            </w:pPr>
            <w:r w:rsidRPr="00F935E7">
              <w:rPr>
                <w:rFonts w:cs="Arial"/>
                <w:szCs w:val="20"/>
              </w:rPr>
              <w:t>ENR</w:t>
            </w:r>
          </w:p>
        </w:tc>
        <w:tc>
          <w:tcPr>
            <w:tcW w:w="6969" w:type="dxa"/>
          </w:tcPr>
          <w:p w14:paraId="038AAA5D" w14:textId="77777777" w:rsidR="00210692" w:rsidRPr="00F935E7" w:rsidRDefault="00210692" w:rsidP="00210692">
            <w:pPr>
              <w:rPr>
                <w:rFonts w:cs="Arial"/>
                <w:szCs w:val="20"/>
              </w:rPr>
            </w:pPr>
            <w:r w:rsidRPr="00F935E7">
              <w:rPr>
                <w:rFonts w:cs="Arial"/>
                <w:szCs w:val="20"/>
              </w:rPr>
              <w:t>Déclaration d’activité suspecte</w:t>
            </w:r>
          </w:p>
          <w:p w14:paraId="5DFAE1D2" w14:textId="0F63564D" w:rsidR="000F1CBB" w:rsidRDefault="000F1CBB" w:rsidP="00210692">
            <w:pPr>
              <w:rPr>
                <w:rFonts w:cs="Arial"/>
                <w:szCs w:val="20"/>
              </w:rPr>
            </w:pPr>
            <w:bookmarkStart w:id="18" w:name="lt_pId083"/>
            <w:r w:rsidRPr="00F935E7">
              <w:rPr>
                <w:rFonts w:cs="Arial"/>
                <w:szCs w:val="20"/>
              </w:rPr>
              <w:t>Déclaration d’opération suspecte</w:t>
            </w:r>
            <w:bookmarkEnd w:id="18"/>
          </w:p>
          <w:p w14:paraId="1AC9FBFC" w14:textId="6BF2D5A4" w:rsidR="00210692" w:rsidRDefault="00210692" w:rsidP="00210692">
            <w:pPr>
              <w:rPr>
                <w:rFonts w:cs="Arial"/>
                <w:szCs w:val="20"/>
              </w:rPr>
            </w:pPr>
            <w:r w:rsidRPr="00F935E7">
              <w:rPr>
                <w:rFonts w:cs="Arial"/>
                <w:szCs w:val="20"/>
              </w:rPr>
              <w:t>Groupe Eurasie sur le blanchiment de capitaux et le financement du terrorisme</w:t>
            </w:r>
          </w:p>
          <w:p w14:paraId="256104D3" w14:textId="77777777" w:rsidR="00210692" w:rsidRPr="00F935E7" w:rsidRDefault="00210692" w:rsidP="00210692">
            <w:pPr>
              <w:rPr>
                <w:rFonts w:cs="Arial"/>
                <w:szCs w:val="20"/>
              </w:rPr>
            </w:pPr>
            <w:r w:rsidRPr="00F935E7">
              <w:rPr>
                <w:rFonts w:cs="Arial"/>
                <w:szCs w:val="20"/>
              </w:rPr>
              <w:t>Entreprises et professions non financières désignées</w:t>
            </w:r>
          </w:p>
          <w:p w14:paraId="272E438D" w14:textId="5871D0C6" w:rsidR="00210692" w:rsidRPr="00F935E7" w:rsidRDefault="00210692" w:rsidP="00210692">
            <w:pPr>
              <w:rPr>
                <w:rFonts w:cs="Arial"/>
                <w:szCs w:val="20"/>
              </w:rPr>
            </w:pPr>
            <w:bookmarkStart w:id="19" w:name="lt_pId068"/>
            <w:r w:rsidRPr="00F935E7">
              <w:rPr>
                <w:rFonts w:cs="Arial"/>
                <w:szCs w:val="20"/>
              </w:rPr>
              <w:t>Évaluation nationale des risques</w:t>
            </w:r>
            <w:bookmarkEnd w:id="19"/>
          </w:p>
        </w:tc>
      </w:tr>
      <w:tr w:rsidR="00210692" w:rsidRPr="00776250" w14:paraId="47DCC85F" w14:textId="77777777" w:rsidTr="00A60A13">
        <w:trPr>
          <w:jc w:val="center"/>
        </w:trPr>
        <w:tc>
          <w:tcPr>
            <w:tcW w:w="2914" w:type="dxa"/>
          </w:tcPr>
          <w:p w14:paraId="708940C5" w14:textId="6504A5B4" w:rsidR="00210692" w:rsidRDefault="00210692" w:rsidP="00210692">
            <w:pPr>
              <w:jc w:val="both"/>
              <w:rPr>
                <w:rFonts w:cs="Arial"/>
                <w:szCs w:val="20"/>
              </w:rPr>
            </w:pPr>
            <w:bookmarkStart w:id="20" w:name="lt_pId055"/>
            <w:r w:rsidRPr="00F935E7">
              <w:rPr>
                <w:rFonts w:cs="Arial"/>
                <w:szCs w:val="20"/>
              </w:rPr>
              <w:t>FMI</w:t>
            </w:r>
            <w:bookmarkEnd w:id="20"/>
          </w:p>
          <w:p w14:paraId="6BF49C11" w14:textId="66D69236" w:rsidR="00210692" w:rsidRDefault="00210692" w:rsidP="00210692">
            <w:pPr>
              <w:jc w:val="both"/>
              <w:rPr>
                <w:rFonts w:cs="Arial"/>
                <w:szCs w:val="20"/>
              </w:rPr>
            </w:pPr>
            <w:bookmarkStart w:id="21" w:name="lt_pId085"/>
            <w:r w:rsidRPr="00F935E7">
              <w:rPr>
                <w:rFonts w:cs="Arial"/>
                <w:szCs w:val="20"/>
              </w:rPr>
              <w:t>FT</w:t>
            </w:r>
            <w:bookmarkEnd w:id="21"/>
          </w:p>
          <w:p w14:paraId="50B414DB" w14:textId="60F0E52B" w:rsidR="00210692" w:rsidRDefault="00C5744D" w:rsidP="00210692">
            <w:pPr>
              <w:jc w:val="both"/>
              <w:rPr>
                <w:rFonts w:cs="Arial"/>
                <w:szCs w:val="20"/>
              </w:rPr>
            </w:pPr>
            <w:bookmarkStart w:id="22" w:name="lt_pId043"/>
            <w:r w:rsidRPr="00F935E7">
              <w:rPr>
                <w:rFonts w:cs="Arial"/>
                <w:szCs w:val="20"/>
              </w:rPr>
              <w:t>GAFI</w:t>
            </w:r>
            <w:bookmarkEnd w:id="22"/>
          </w:p>
          <w:p w14:paraId="14949304" w14:textId="6BF4FE5D" w:rsidR="00C5744D" w:rsidRDefault="00C5744D" w:rsidP="00210692">
            <w:pPr>
              <w:jc w:val="both"/>
              <w:rPr>
                <w:rFonts w:cs="Arial"/>
                <w:szCs w:val="20"/>
              </w:rPr>
            </w:pPr>
            <w:r>
              <w:rPr>
                <w:rFonts w:cs="Arial"/>
                <w:szCs w:val="20"/>
              </w:rPr>
              <w:t>ICRF</w:t>
            </w:r>
          </w:p>
          <w:p w14:paraId="52A27763" w14:textId="0CBBA001" w:rsidR="00C5744D" w:rsidRDefault="00C5744D" w:rsidP="00210692">
            <w:pPr>
              <w:jc w:val="both"/>
              <w:rPr>
                <w:rFonts w:cs="Arial"/>
                <w:szCs w:val="20"/>
              </w:rPr>
            </w:pPr>
            <w:bookmarkStart w:id="23" w:name="lt_pId053"/>
            <w:r w:rsidRPr="00F935E7">
              <w:rPr>
                <w:rFonts w:cs="Arial"/>
                <w:szCs w:val="20"/>
              </w:rPr>
              <w:t>IFI</w:t>
            </w:r>
            <w:bookmarkEnd w:id="23"/>
          </w:p>
          <w:p w14:paraId="514AD518" w14:textId="77777777" w:rsidR="00210692" w:rsidRDefault="00210692" w:rsidP="00210692">
            <w:pPr>
              <w:jc w:val="both"/>
              <w:rPr>
                <w:rFonts w:cs="Arial"/>
                <w:szCs w:val="20"/>
              </w:rPr>
            </w:pPr>
            <w:r>
              <w:rPr>
                <w:rFonts w:cs="Arial"/>
                <w:szCs w:val="20"/>
              </w:rPr>
              <w:t>LBC</w:t>
            </w:r>
          </w:p>
          <w:p w14:paraId="27C2A468" w14:textId="77777777" w:rsidR="00C5744D" w:rsidRPr="00F935E7" w:rsidRDefault="00C5744D" w:rsidP="00C5744D">
            <w:pPr>
              <w:jc w:val="both"/>
              <w:rPr>
                <w:rFonts w:cs="Arial"/>
                <w:szCs w:val="20"/>
              </w:rPr>
            </w:pPr>
            <w:bookmarkStart w:id="24" w:name="lt_pId065"/>
            <w:r w:rsidRPr="00F935E7">
              <w:rPr>
                <w:rFonts w:cs="Arial"/>
                <w:szCs w:val="20"/>
              </w:rPr>
              <w:t>OBNL</w:t>
            </w:r>
            <w:bookmarkEnd w:id="24"/>
          </w:p>
          <w:p w14:paraId="3A3FC0F0" w14:textId="0117E2BE" w:rsidR="00C5744D" w:rsidRPr="00F935E7" w:rsidRDefault="00C5744D" w:rsidP="00210692">
            <w:pPr>
              <w:jc w:val="both"/>
              <w:rPr>
                <w:rFonts w:cs="Arial"/>
                <w:szCs w:val="20"/>
              </w:rPr>
            </w:pPr>
            <w:r w:rsidRPr="00F935E7">
              <w:rPr>
                <w:rFonts w:cs="Arial"/>
                <w:szCs w:val="20"/>
              </w:rPr>
              <w:t>ONU</w:t>
            </w:r>
          </w:p>
        </w:tc>
        <w:tc>
          <w:tcPr>
            <w:tcW w:w="6969" w:type="dxa"/>
          </w:tcPr>
          <w:p w14:paraId="3BF3F5FE" w14:textId="0AD9AB7D" w:rsidR="00210692" w:rsidRDefault="00210692" w:rsidP="00210692">
            <w:pPr>
              <w:rPr>
                <w:rFonts w:cs="Arial"/>
                <w:szCs w:val="20"/>
              </w:rPr>
            </w:pPr>
            <w:bookmarkStart w:id="25" w:name="lt_pId056"/>
            <w:bookmarkStart w:id="26" w:name="lt_pId019"/>
            <w:r w:rsidRPr="00F935E7">
              <w:rPr>
                <w:rFonts w:cs="Arial"/>
                <w:szCs w:val="20"/>
              </w:rPr>
              <w:t>Fonds monétaire international</w:t>
            </w:r>
            <w:bookmarkEnd w:id="25"/>
          </w:p>
          <w:bookmarkEnd w:id="26"/>
          <w:p w14:paraId="48BB7CFD" w14:textId="5BB6C7CE" w:rsidR="00210692" w:rsidRDefault="00210692" w:rsidP="00210692">
            <w:pPr>
              <w:rPr>
                <w:rFonts w:cs="Arial"/>
                <w:szCs w:val="20"/>
              </w:rPr>
            </w:pPr>
            <w:r w:rsidRPr="00F935E7">
              <w:rPr>
                <w:rFonts w:cs="Arial"/>
                <w:szCs w:val="20"/>
              </w:rPr>
              <w:t>Financement du terrorisme</w:t>
            </w:r>
          </w:p>
          <w:p w14:paraId="0E1C1822" w14:textId="3C4C26F0" w:rsidR="00210692" w:rsidRDefault="00C5744D" w:rsidP="00210692">
            <w:pPr>
              <w:rPr>
                <w:rFonts w:cs="Arial"/>
                <w:szCs w:val="20"/>
              </w:rPr>
            </w:pPr>
            <w:bookmarkStart w:id="27" w:name="lt_pId044"/>
            <w:r w:rsidRPr="00F935E7">
              <w:rPr>
                <w:rFonts w:cs="Arial"/>
                <w:szCs w:val="20"/>
              </w:rPr>
              <w:t>Groupe d’action financière</w:t>
            </w:r>
            <w:bookmarkEnd w:id="27"/>
          </w:p>
          <w:p w14:paraId="507E9F2D" w14:textId="51F8D064" w:rsidR="00C5744D" w:rsidRDefault="00C5744D" w:rsidP="00210692">
            <w:pPr>
              <w:rPr>
                <w:rFonts w:cs="Arial"/>
                <w:szCs w:val="20"/>
              </w:rPr>
            </w:pPr>
            <w:bookmarkStart w:id="28" w:name="lt_pId052"/>
            <w:r w:rsidRPr="00F935E7">
              <w:rPr>
                <w:rFonts w:cs="Arial"/>
                <w:szCs w:val="20"/>
              </w:rPr>
              <w:t>Groupe d’examen de la coopération internationale du GAFI</w:t>
            </w:r>
            <w:bookmarkEnd w:id="28"/>
          </w:p>
          <w:p w14:paraId="515F6DE2" w14:textId="619BE4EE" w:rsidR="00C5744D" w:rsidRDefault="00C5744D" w:rsidP="00210692">
            <w:pPr>
              <w:rPr>
                <w:rFonts w:cs="Arial"/>
                <w:szCs w:val="20"/>
              </w:rPr>
            </w:pPr>
            <w:bookmarkStart w:id="29" w:name="lt_pId054"/>
            <w:r w:rsidRPr="00F935E7">
              <w:rPr>
                <w:rFonts w:cs="Arial"/>
                <w:szCs w:val="20"/>
              </w:rPr>
              <w:t>Institutions financières internationales – FMI et Banque mondiale</w:t>
            </w:r>
            <w:bookmarkEnd w:id="29"/>
          </w:p>
          <w:p w14:paraId="456AC788" w14:textId="34AA57C7" w:rsidR="00210692" w:rsidRDefault="00210692" w:rsidP="00210692">
            <w:pPr>
              <w:rPr>
                <w:rFonts w:cs="Arial"/>
                <w:szCs w:val="20"/>
              </w:rPr>
            </w:pPr>
            <w:r w:rsidRPr="00F935E7">
              <w:rPr>
                <w:rFonts w:cs="Arial"/>
                <w:szCs w:val="20"/>
              </w:rPr>
              <w:t xml:space="preserve">Lutte </w:t>
            </w:r>
            <w:r>
              <w:rPr>
                <w:rFonts w:cs="Arial"/>
                <w:szCs w:val="20"/>
              </w:rPr>
              <w:t xml:space="preserve">contre le </w:t>
            </w:r>
            <w:r w:rsidRPr="00F935E7">
              <w:rPr>
                <w:rFonts w:cs="Arial"/>
                <w:szCs w:val="20"/>
              </w:rPr>
              <w:t xml:space="preserve">blanchiment </w:t>
            </w:r>
            <w:r>
              <w:rPr>
                <w:rFonts w:cs="Arial"/>
                <w:szCs w:val="20"/>
              </w:rPr>
              <w:t>des capitaux</w:t>
            </w:r>
            <w:r w:rsidRPr="00F935E7">
              <w:rPr>
                <w:rFonts w:cs="Arial"/>
                <w:szCs w:val="20"/>
              </w:rPr>
              <w:t xml:space="preserve"> </w:t>
            </w:r>
          </w:p>
          <w:p w14:paraId="37A6B87C" w14:textId="77777777" w:rsidR="00C5744D" w:rsidRPr="00F935E7" w:rsidRDefault="00C5744D" w:rsidP="00C5744D">
            <w:pPr>
              <w:rPr>
                <w:rFonts w:cs="Arial"/>
                <w:szCs w:val="20"/>
              </w:rPr>
            </w:pPr>
            <w:r w:rsidRPr="00F935E7">
              <w:rPr>
                <w:rFonts w:cs="Arial"/>
                <w:szCs w:val="20"/>
              </w:rPr>
              <w:t>Organisme à but non lucratif</w:t>
            </w:r>
          </w:p>
          <w:p w14:paraId="3AD992AD" w14:textId="2D76E6D6" w:rsidR="00210692" w:rsidRPr="00F935E7" w:rsidRDefault="000F1CBB" w:rsidP="00210692">
            <w:pPr>
              <w:rPr>
                <w:rFonts w:cs="Arial"/>
                <w:szCs w:val="20"/>
              </w:rPr>
            </w:pPr>
            <w:r>
              <w:rPr>
                <w:rFonts w:cs="Arial"/>
                <w:szCs w:val="20"/>
              </w:rPr>
              <w:t>Organisation des Nations Unies</w:t>
            </w:r>
          </w:p>
        </w:tc>
      </w:tr>
      <w:tr w:rsidR="00210692" w:rsidRPr="00776250" w14:paraId="59188EF4" w14:textId="77777777" w:rsidTr="00A60A13">
        <w:trPr>
          <w:jc w:val="center"/>
        </w:trPr>
        <w:tc>
          <w:tcPr>
            <w:tcW w:w="2914" w:type="dxa"/>
          </w:tcPr>
          <w:p w14:paraId="58663BBC" w14:textId="46B2E34C" w:rsidR="00210692" w:rsidRDefault="000F1CBB" w:rsidP="00210692">
            <w:pPr>
              <w:jc w:val="both"/>
              <w:rPr>
                <w:rFonts w:cs="Arial"/>
                <w:szCs w:val="20"/>
              </w:rPr>
            </w:pPr>
            <w:bookmarkStart w:id="30" w:name="lt_pId093"/>
            <w:r w:rsidRPr="00577A5C">
              <w:rPr>
                <w:rFonts w:cs="Arial"/>
                <w:szCs w:val="20"/>
              </w:rPr>
              <w:t>ONUDC</w:t>
            </w:r>
            <w:bookmarkEnd w:id="30"/>
          </w:p>
          <w:p w14:paraId="297B7FFB" w14:textId="131538A3" w:rsidR="000F1CBB" w:rsidRDefault="000F1CBB" w:rsidP="00210692">
            <w:pPr>
              <w:jc w:val="both"/>
              <w:rPr>
                <w:rFonts w:cs="Arial"/>
                <w:szCs w:val="20"/>
              </w:rPr>
            </w:pPr>
            <w:bookmarkStart w:id="31" w:name="lt_pId047"/>
            <w:bookmarkStart w:id="32" w:name="lt_pId069"/>
            <w:r w:rsidRPr="00F935E7">
              <w:rPr>
                <w:rFonts w:cs="Arial"/>
                <w:szCs w:val="20"/>
              </w:rPr>
              <w:t>ORTG</w:t>
            </w:r>
            <w:bookmarkEnd w:id="31"/>
          </w:p>
          <w:p w14:paraId="5E95E563" w14:textId="3529CA8E" w:rsidR="000F1CBB" w:rsidRDefault="000F1CBB" w:rsidP="00210692">
            <w:pPr>
              <w:jc w:val="both"/>
              <w:rPr>
                <w:rFonts w:cs="Arial"/>
                <w:szCs w:val="20"/>
              </w:rPr>
            </w:pPr>
            <w:r w:rsidRPr="00F935E7">
              <w:rPr>
                <w:rFonts w:cs="Arial"/>
                <w:szCs w:val="20"/>
              </w:rPr>
              <w:t>OSCE</w:t>
            </w:r>
            <w:bookmarkEnd w:id="32"/>
          </w:p>
        </w:tc>
        <w:tc>
          <w:tcPr>
            <w:tcW w:w="6969" w:type="dxa"/>
          </w:tcPr>
          <w:p w14:paraId="40ECECD3" w14:textId="03AB432B" w:rsidR="00210692" w:rsidRDefault="000F1CBB" w:rsidP="00210692">
            <w:pPr>
              <w:rPr>
                <w:rFonts w:cs="Arial"/>
                <w:szCs w:val="20"/>
              </w:rPr>
            </w:pPr>
            <w:bookmarkStart w:id="33" w:name="lt_pId094"/>
            <w:r w:rsidRPr="00577A5C">
              <w:rPr>
                <w:rFonts w:cs="Arial"/>
                <w:szCs w:val="20"/>
              </w:rPr>
              <w:t>Office des Nations Unies contre la drogue et le crime</w:t>
            </w:r>
            <w:bookmarkEnd w:id="33"/>
          </w:p>
          <w:p w14:paraId="0DE82579" w14:textId="500B1696" w:rsidR="000F1CBB" w:rsidRDefault="000F1CBB" w:rsidP="00210692">
            <w:pPr>
              <w:rPr>
                <w:rFonts w:cs="Arial"/>
                <w:szCs w:val="20"/>
              </w:rPr>
            </w:pPr>
            <w:bookmarkStart w:id="34" w:name="lt_pId070"/>
            <w:r w:rsidRPr="00F935E7">
              <w:rPr>
                <w:rFonts w:cs="Arial"/>
                <w:szCs w:val="20"/>
              </w:rPr>
              <w:t>Organisation pour la sécurité et la coopération en Europe</w:t>
            </w:r>
            <w:bookmarkEnd w:id="34"/>
          </w:p>
          <w:p w14:paraId="378DE1B4" w14:textId="4B73D11B" w:rsidR="000F1CBB" w:rsidRPr="00F935E7" w:rsidRDefault="000F1CBB" w:rsidP="00210692">
            <w:pPr>
              <w:rPr>
                <w:rFonts w:cs="Arial"/>
                <w:szCs w:val="20"/>
              </w:rPr>
            </w:pPr>
            <w:bookmarkStart w:id="35" w:name="lt_pId048"/>
            <w:r w:rsidRPr="00F935E7">
              <w:rPr>
                <w:rFonts w:cs="Arial"/>
                <w:szCs w:val="20"/>
              </w:rPr>
              <w:t>Organismes régionaux de type GAFI</w:t>
            </w:r>
            <w:bookmarkEnd w:id="35"/>
          </w:p>
        </w:tc>
      </w:tr>
      <w:tr w:rsidR="00210692" w:rsidRPr="00F935E7" w14:paraId="6DFBB8B1" w14:textId="77777777" w:rsidTr="00A60A13">
        <w:trPr>
          <w:jc w:val="center"/>
        </w:trPr>
        <w:tc>
          <w:tcPr>
            <w:tcW w:w="2914" w:type="dxa"/>
          </w:tcPr>
          <w:p w14:paraId="31D9DC2B" w14:textId="77777777" w:rsidR="00210692" w:rsidRPr="00F935E7" w:rsidRDefault="00210692" w:rsidP="00210692">
            <w:pPr>
              <w:jc w:val="both"/>
              <w:rPr>
                <w:rFonts w:cs="Arial"/>
                <w:szCs w:val="20"/>
              </w:rPr>
            </w:pPr>
            <w:r w:rsidRPr="00F935E7">
              <w:rPr>
                <w:rFonts w:cs="Arial"/>
                <w:szCs w:val="20"/>
              </w:rPr>
              <w:t>PCR</w:t>
            </w:r>
          </w:p>
        </w:tc>
        <w:tc>
          <w:tcPr>
            <w:tcW w:w="6969" w:type="dxa"/>
          </w:tcPr>
          <w:p w14:paraId="0DE0391D" w14:textId="77777777" w:rsidR="00210692" w:rsidRPr="00F935E7" w:rsidRDefault="00210692" w:rsidP="00210692">
            <w:pPr>
              <w:rPr>
                <w:rFonts w:cs="Arial"/>
                <w:szCs w:val="20"/>
              </w:rPr>
            </w:pPr>
            <w:r w:rsidRPr="00F935E7">
              <w:rPr>
                <w:rFonts w:cs="Arial"/>
                <w:szCs w:val="20"/>
              </w:rPr>
              <w:t>Procédures de conformité renforcée</w:t>
            </w:r>
          </w:p>
        </w:tc>
      </w:tr>
      <w:tr w:rsidR="00210692" w:rsidRPr="00776250" w14:paraId="76477218" w14:textId="77777777" w:rsidTr="00A60A13">
        <w:trPr>
          <w:jc w:val="center"/>
        </w:trPr>
        <w:tc>
          <w:tcPr>
            <w:tcW w:w="2914" w:type="dxa"/>
          </w:tcPr>
          <w:p w14:paraId="076E2973" w14:textId="70F9B532" w:rsidR="000F1CBB" w:rsidRDefault="000F1CBB" w:rsidP="00210692">
            <w:pPr>
              <w:jc w:val="both"/>
              <w:rPr>
                <w:rFonts w:cs="Arial"/>
                <w:szCs w:val="20"/>
              </w:rPr>
            </w:pPr>
            <w:bookmarkStart w:id="36" w:name="lt_pId025"/>
            <w:bookmarkStart w:id="37" w:name="lt_pId096"/>
            <w:bookmarkStart w:id="38" w:name="lt_pId074"/>
            <w:bookmarkStart w:id="39" w:name="lt_pId059"/>
            <w:bookmarkStart w:id="40" w:name="lt_pId026"/>
            <w:bookmarkEnd w:id="36"/>
            <w:r w:rsidRPr="00F935E7">
              <w:rPr>
                <w:rFonts w:cs="Arial"/>
                <w:szCs w:val="20"/>
              </w:rPr>
              <w:t>PRFV</w:t>
            </w:r>
            <w:bookmarkEnd w:id="37"/>
          </w:p>
          <w:p w14:paraId="36A9285D" w14:textId="7AED2A60" w:rsidR="000F1CBB" w:rsidRDefault="000F1CBB" w:rsidP="00210692">
            <w:pPr>
              <w:jc w:val="both"/>
              <w:rPr>
                <w:rFonts w:cs="Arial"/>
                <w:szCs w:val="20"/>
              </w:rPr>
            </w:pPr>
            <w:r w:rsidRPr="00F850A9">
              <w:rPr>
                <w:rFonts w:cs="Arial"/>
                <w:szCs w:val="20"/>
              </w:rPr>
              <w:t>PSAV</w:t>
            </w:r>
          </w:p>
          <w:p w14:paraId="5D17EB66" w14:textId="54136748" w:rsidR="000F1CBB" w:rsidRDefault="000F1CBB" w:rsidP="00210692">
            <w:pPr>
              <w:jc w:val="both"/>
              <w:rPr>
                <w:rFonts w:cs="Arial"/>
                <w:szCs w:val="20"/>
              </w:rPr>
            </w:pPr>
            <w:r w:rsidRPr="00F935E7">
              <w:rPr>
                <w:rFonts w:cs="Arial"/>
                <w:szCs w:val="20"/>
              </w:rPr>
              <w:t>R.</w:t>
            </w:r>
            <w:bookmarkEnd w:id="38"/>
          </w:p>
          <w:p w14:paraId="5384719D" w14:textId="77777777" w:rsidR="000F1CBB" w:rsidRPr="00F935E7" w:rsidRDefault="000F1CBB" w:rsidP="000F1CBB">
            <w:pPr>
              <w:jc w:val="both"/>
              <w:rPr>
                <w:rFonts w:cs="Arial"/>
                <w:szCs w:val="20"/>
              </w:rPr>
            </w:pPr>
            <w:bookmarkStart w:id="41" w:name="lt_pId095"/>
            <w:bookmarkStart w:id="42" w:name="lt_pId078"/>
            <w:r w:rsidRPr="00F935E7">
              <w:rPr>
                <w:rFonts w:cs="Arial"/>
                <w:szCs w:val="20"/>
              </w:rPr>
              <w:t>RCSNU</w:t>
            </w:r>
            <w:bookmarkEnd w:id="41"/>
          </w:p>
          <w:p w14:paraId="0762C7F9" w14:textId="77777777" w:rsidR="000F1CBB" w:rsidRDefault="000F1CBB" w:rsidP="000F1CBB">
            <w:pPr>
              <w:jc w:val="both"/>
              <w:rPr>
                <w:rFonts w:cs="Arial"/>
                <w:szCs w:val="20"/>
              </w:rPr>
            </w:pPr>
            <w:r w:rsidRPr="00F935E7">
              <w:rPr>
                <w:rFonts w:cs="Arial"/>
                <w:szCs w:val="20"/>
              </w:rPr>
              <w:t>REM</w:t>
            </w:r>
          </w:p>
          <w:p w14:paraId="659FA1A0" w14:textId="3ED5F03D" w:rsidR="000F1CBB" w:rsidRDefault="000F1CBB" w:rsidP="00210692">
            <w:pPr>
              <w:jc w:val="both"/>
              <w:rPr>
                <w:rFonts w:cs="Arial"/>
                <w:szCs w:val="20"/>
              </w:rPr>
            </w:pPr>
            <w:r w:rsidRPr="00F935E7">
              <w:rPr>
                <w:rFonts w:cs="Arial"/>
                <w:szCs w:val="20"/>
              </w:rPr>
              <w:t>RS.</w:t>
            </w:r>
            <w:bookmarkEnd w:id="42"/>
          </w:p>
          <w:bookmarkEnd w:id="39"/>
          <w:p w14:paraId="24C9962C" w14:textId="74E1528A" w:rsidR="000F1CBB" w:rsidRDefault="00413803" w:rsidP="00210692">
            <w:pPr>
              <w:jc w:val="both"/>
              <w:rPr>
                <w:rFonts w:cs="Arial"/>
                <w:szCs w:val="20"/>
              </w:rPr>
            </w:pPr>
            <w:r>
              <w:rPr>
                <w:rFonts w:cs="Arial"/>
                <w:szCs w:val="20"/>
              </w:rPr>
              <w:t>SFC</w:t>
            </w:r>
          </w:p>
          <w:p w14:paraId="6CE9501D" w14:textId="70F291A0" w:rsidR="00210692" w:rsidRPr="00F935E7" w:rsidRDefault="00210692" w:rsidP="00210692">
            <w:pPr>
              <w:jc w:val="both"/>
              <w:rPr>
                <w:rFonts w:cs="Arial"/>
                <w:szCs w:val="20"/>
              </w:rPr>
            </w:pPr>
            <w:r w:rsidRPr="00F935E7">
              <w:rPr>
                <w:rFonts w:cs="Arial"/>
                <w:szCs w:val="20"/>
              </w:rPr>
              <w:t>STCE n°198</w:t>
            </w:r>
            <w:bookmarkEnd w:id="40"/>
          </w:p>
        </w:tc>
        <w:tc>
          <w:tcPr>
            <w:tcW w:w="6969" w:type="dxa"/>
          </w:tcPr>
          <w:p w14:paraId="26A9997F" w14:textId="22780237" w:rsidR="000F1CBB" w:rsidRDefault="000F1CBB" w:rsidP="00210692">
            <w:pPr>
              <w:rPr>
                <w:rFonts w:cs="Arial"/>
                <w:szCs w:val="20"/>
              </w:rPr>
            </w:pPr>
            <w:bookmarkStart w:id="43" w:name="lt_pId098"/>
            <w:bookmarkStart w:id="44" w:name="lt_pId076"/>
            <w:bookmarkStart w:id="45" w:name="lt_pId060"/>
            <w:r w:rsidRPr="00F935E7">
              <w:rPr>
                <w:rFonts w:cs="Arial"/>
                <w:szCs w:val="20"/>
              </w:rPr>
              <w:t>Programme de régularisation fiscale volontaire</w:t>
            </w:r>
            <w:bookmarkEnd w:id="43"/>
          </w:p>
          <w:p w14:paraId="0D5CBDCA" w14:textId="77777777" w:rsidR="000F1CBB" w:rsidRDefault="000F1CBB" w:rsidP="00210692">
            <w:pPr>
              <w:rPr>
                <w:rFonts w:cs="Arial"/>
                <w:szCs w:val="20"/>
              </w:rPr>
            </w:pPr>
            <w:r>
              <w:rPr>
                <w:rFonts w:cs="Arial"/>
                <w:szCs w:val="20"/>
              </w:rPr>
              <w:t>Prestataire de services d’actifs virtuels</w:t>
            </w:r>
            <w:r w:rsidRPr="00577A5C">
              <w:rPr>
                <w:rFonts w:cs="Arial"/>
                <w:szCs w:val="20"/>
              </w:rPr>
              <w:t xml:space="preserve"> </w:t>
            </w:r>
          </w:p>
          <w:p w14:paraId="3943A2A3" w14:textId="0E026802" w:rsidR="000F1CBB" w:rsidRDefault="000F1CBB" w:rsidP="00210692">
            <w:pPr>
              <w:rPr>
                <w:rFonts w:cs="Arial"/>
                <w:szCs w:val="20"/>
              </w:rPr>
            </w:pPr>
            <w:r w:rsidRPr="00577A5C">
              <w:rPr>
                <w:rFonts w:cs="Arial"/>
                <w:szCs w:val="20"/>
              </w:rPr>
              <w:t>Recommandation</w:t>
            </w:r>
            <w:bookmarkEnd w:id="44"/>
          </w:p>
          <w:p w14:paraId="2461B96E" w14:textId="77777777" w:rsidR="000F1CBB" w:rsidRPr="00F935E7" w:rsidRDefault="000F1CBB" w:rsidP="000F1CBB">
            <w:pPr>
              <w:rPr>
                <w:rFonts w:cs="Arial"/>
                <w:szCs w:val="20"/>
              </w:rPr>
            </w:pPr>
            <w:bookmarkStart w:id="46" w:name="lt_pId097"/>
            <w:bookmarkStart w:id="47" w:name="lt_pId080"/>
            <w:r w:rsidRPr="00F935E7">
              <w:rPr>
                <w:rFonts w:cs="Arial"/>
                <w:szCs w:val="20"/>
              </w:rPr>
              <w:t>Résolution du Conseil de sécurité des Nations Unies</w:t>
            </w:r>
            <w:bookmarkEnd w:id="46"/>
          </w:p>
          <w:p w14:paraId="50816D53" w14:textId="77777777" w:rsidR="000F1CBB" w:rsidRDefault="000F1CBB" w:rsidP="000F1CBB">
            <w:pPr>
              <w:rPr>
                <w:rFonts w:cs="Arial"/>
                <w:szCs w:val="20"/>
              </w:rPr>
            </w:pPr>
            <w:r w:rsidRPr="00F935E7">
              <w:rPr>
                <w:rFonts w:cs="Arial"/>
                <w:szCs w:val="20"/>
              </w:rPr>
              <w:t>Rapport d’évaluation mutuelle</w:t>
            </w:r>
          </w:p>
          <w:p w14:paraId="41B98871" w14:textId="0BD3BF9A" w:rsidR="000F1CBB" w:rsidRDefault="000F1CBB" w:rsidP="00210692">
            <w:pPr>
              <w:rPr>
                <w:rFonts w:cs="Arial"/>
                <w:szCs w:val="20"/>
              </w:rPr>
            </w:pPr>
            <w:r w:rsidRPr="00F935E7">
              <w:rPr>
                <w:rFonts w:cs="Arial"/>
                <w:szCs w:val="20"/>
              </w:rPr>
              <w:t>Recommandation spéciale</w:t>
            </w:r>
            <w:bookmarkEnd w:id="47"/>
          </w:p>
          <w:bookmarkEnd w:id="45"/>
          <w:p w14:paraId="6F66F89B" w14:textId="063C4B3A" w:rsidR="000F1CBB" w:rsidRDefault="00413803" w:rsidP="00210692">
            <w:pPr>
              <w:rPr>
                <w:rFonts w:cs="Arial"/>
                <w:szCs w:val="20"/>
              </w:rPr>
            </w:pPr>
            <w:r>
              <w:rPr>
                <w:rFonts w:cs="Arial"/>
                <w:szCs w:val="20"/>
              </w:rPr>
              <w:t>Sanctions financières ciblées</w:t>
            </w:r>
          </w:p>
          <w:p w14:paraId="4DB36571" w14:textId="6492D0F3" w:rsidR="00210692" w:rsidRPr="00F935E7" w:rsidRDefault="00210692" w:rsidP="00210692">
            <w:pPr>
              <w:rPr>
                <w:rFonts w:cs="Arial"/>
                <w:szCs w:val="20"/>
              </w:rPr>
            </w:pPr>
            <w:r w:rsidRPr="00F935E7">
              <w:rPr>
                <w:rFonts w:cs="Arial"/>
                <w:szCs w:val="20"/>
              </w:rPr>
              <w:t>Convention du Conseil de l’Europe de 2005 relative au blanchiment, au dépistage, à la saisie et à la confiscation des produits du crime et au financement du terrorisme (Convention de Varsovie)</w:t>
            </w:r>
          </w:p>
        </w:tc>
      </w:tr>
      <w:tr w:rsidR="00210692" w:rsidRPr="00F935E7" w14:paraId="295E90C0" w14:textId="77777777" w:rsidTr="00A60A13">
        <w:trPr>
          <w:jc w:val="center"/>
        </w:trPr>
        <w:tc>
          <w:tcPr>
            <w:tcW w:w="2914" w:type="dxa"/>
          </w:tcPr>
          <w:p w14:paraId="4755F8AA" w14:textId="1F4C89F2" w:rsidR="00210692" w:rsidRPr="00F935E7" w:rsidRDefault="00210692" w:rsidP="00210692">
            <w:pPr>
              <w:jc w:val="both"/>
              <w:rPr>
                <w:rFonts w:cs="Arial"/>
                <w:szCs w:val="20"/>
              </w:rPr>
            </w:pPr>
            <w:bookmarkStart w:id="48" w:name="lt_pId041"/>
            <w:r w:rsidRPr="00F935E7">
              <w:rPr>
                <w:rFonts w:cs="Arial"/>
                <w:szCs w:val="20"/>
              </w:rPr>
              <w:t>UE</w:t>
            </w:r>
            <w:bookmarkEnd w:id="48"/>
          </w:p>
        </w:tc>
        <w:tc>
          <w:tcPr>
            <w:tcW w:w="6969" w:type="dxa"/>
          </w:tcPr>
          <w:p w14:paraId="483160E2" w14:textId="1375A6CB" w:rsidR="00210692" w:rsidRPr="00F935E7" w:rsidRDefault="00210692" w:rsidP="00210692">
            <w:pPr>
              <w:rPr>
                <w:rFonts w:cs="Arial"/>
                <w:szCs w:val="20"/>
              </w:rPr>
            </w:pPr>
            <w:bookmarkStart w:id="49" w:name="lt_pId042"/>
            <w:r w:rsidRPr="00F935E7">
              <w:rPr>
                <w:rFonts w:cs="Arial"/>
                <w:szCs w:val="20"/>
              </w:rPr>
              <w:t>Union européenne</w:t>
            </w:r>
            <w:bookmarkEnd w:id="49"/>
          </w:p>
        </w:tc>
      </w:tr>
      <w:tr w:rsidR="00210692" w:rsidRPr="00776250" w14:paraId="3A51BFC8" w14:textId="77777777" w:rsidTr="00A60A13">
        <w:trPr>
          <w:jc w:val="center"/>
        </w:trPr>
        <w:tc>
          <w:tcPr>
            <w:tcW w:w="2914" w:type="dxa"/>
          </w:tcPr>
          <w:p w14:paraId="34876FB3" w14:textId="66FAD9AC" w:rsidR="00210692" w:rsidRPr="00F935E7" w:rsidRDefault="00210692" w:rsidP="00210692">
            <w:pPr>
              <w:jc w:val="both"/>
              <w:rPr>
                <w:rFonts w:cs="Arial"/>
                <w:szCs w:val="20"/>
              </w:rPr>
            </w:pPr>
          </w:p>
        </w:tc>
        <w:tc>
          <w:tcPr>
            <w:tcW w:w="6969" w:type="dxa"/>
          </w:tcPr>
          <w:p w14:paraId="6699EE24" w14:textId="10867B10" w:rsidR="00210692" w:rsidRPr="00F935E7" w:rsidRDefault="00210692" w:rsidP="00210692">
            <w:pPr>
              <w:rPr>
                <w:rFonts w:cs="Arial"/>
                <w:szCs w:val="20"/>
              </w:rPr>
            </w:pPr>
          </w:p>
        </w:tc>
      </w:tr>
    </w:tbl>
    <w:p w14:paraId="41CEBBAA" w14:textId="5A36977D" w:rsidR="00DF5B08" w:rsidRPr="00F850A9" w:rsidRDefault="00DF5B08" w:rsidP="00F850A9">
      <w:pPr>
        <w:jc w:val="both"/>
        <w:rPr>
          <w:rFonts w:cs="Arial"/>
          <w:szCs w:val="20"/>
        </w:rPr>
      </w:pPr>
      <w:bookmarkStart w:id="50" w:name="_Toc446602090"/>
    </w:p>
    <w:p w14:paraId="7796017A" w14:textId="77777777" w:rsidR="00DF5B08" w:rsidRPr="00F935E7" w:rsidRDefault="00DF5B08" w:rsidP="00DF5B08">
      <w:pPr>
        <w:jc w:val="both"/>
        <w:rPr>
          <w:rFonts w:eastAsia="Times New Roman" w:cs="Arial"/>
          <w:b/>
          <w:bCs/>
          <w:w w:val="105"/>
          <w:kern w:val="28"/>
          <w:szCs w:val="20"/>
          <w:lang w:eastAsia="zh-CN"/>
        </w:rPr>
      </w:pPr>
      <w:bookmarkStart w:id="51" w:name="_Toc66712409"/>
      <w:r w:rsidRPr="00F935E7">
        <w:rPr>
          <w:rFonts w:cs="Arial"/>
          <w:szCs w:val="20"/>
        </w:rPr>
        <w:br w:type="page"/>
      </w:r>
    </w:p>
    <w:p w14:paraId="50C39A6F" w14:textId="77777777" w:rsidR="00DF5B08" w:rsidRPr="00F935E7" w:rsidRDefault="00DF5B08" w:rsidP="00DF5B08">
      <w:pPr>
        <w:pStyle w:val="Title1"/>
        <w:spacing w:before="0" w:after="0"/>
        <w:rPr>
          <w:color w:val="auto"/>
          <w:lang w:val="fr-FR"/>
        </w:rPr>
      </w:pPr>
      <w:bookmarkStart w:id="52" w:name="lt_pId099"/>
      <w:bookmarkStart w:id="53" w:name="_Toc94256515"/>
      <w:bookmarkStart w:id="54" w:name="_Toc135412688"/>
      <w:bookmarkEnd w:id="51"/>
      <w:r w:rsidRPr="00F935E7">
        <w:rPr>
          <w:color w:val="auto"/>
          <w:lang w:val="fr-FR"/>
        </w:rPr>
        <w:lastRenderedPageBreak/>
        <w:t>INTRODUCTION PAR LA PRÉSIDENTE</w:t>
      </w:r>
      <w:bookmarkEnd w:id="52"/>
      <w:bookmarkEnd w:id="53"/>
      <w:bookmarkEnd w:id="54"/>
    </w:p>
    <w:p w14:paraId="7B086A90" w14:textId="72EBC1FA" w:rsidR="00DF5B08" w:rsidRPr="00F935E7" w:rsidRDefault="00DF5B08" w:rsidP="00DF5B08">
      <w:pPr>
        <w:pStyle w:val="Title1"/>
        <w:spacing w:before="0" w:after="0"/>
        <w:rPr>
          <w:color w:val="auto"/>
          <w:lang w:val="fr-FR"/>
        </w:rPr>
      </w:pPr>
    </w:p>
    <w:p w14:paraId="16F17A3E" w14:textId="77777777" w:rsidR="00AD2D41" w:rsidRPr="00CC0DE8" w:rsidRDefault="00AD2D41" w:rsidP="008F64ED">
      <w:pPr>
        <w:widowControl w:val="0"/>
        <w:autoSpaceDE w:val="0"/>
        <w:autoSpaceDN w:val="0"/>
        <w:adjustRightInd w:val="0"/>
        <w:rPr>
          <w:rFonts w:cs="Arial"/>
          <w:szCs w:val="20"/>
        </w:rPr>
      </w:pPr>
      <w:r w:rsidRPr="00CC0DE8">
        <w:rPr>
          <w:rFonts w:cs="Arial"/>
          <w:szCs w:val="20"/>
        </w:rPr>
        <w:t xml:space="preserve">J'ai le plaisir de vous présenter le rapport annuel de MONEYVAL, qui met en lumière les </w:t>
      </w:r>
      <w:r>
        <w:rPr>
          <w:rFonts w:cs="Arial"/>
          <w:szCs w:val="20"/>
        </w:rPr>
        <w:t>accomplissements</w:t>
      </w:r>
      <w:r w:rsidRPr="00CC0DE8">
        <w:rPr>
          <w:rFonts w:cs="Arial"/>
          <w:szCs w:val="20"/>
        </w:rPr>
        <w:t xml:space="preserve"> de MONEYVAL en 2022. </w:t>
      </w:r>
    </w:p>
    <w:p w14:paraId="48EB52C5" w14:textId="77777777" w:rsidR="00AD2D41" w:rsidRPr="00CC0DE8" w:rsidRDefault="00AD2D41" w:rsidP="008F64ED">
      <w:pPr>
        <w:widowControl w:val="0"/>
        <w:autoSpaceDE w:val="0"/>
        <w:autoSpaceDN w:val="0"/>
        <w:adjustRightInd w:val="0"/>
        <w:rPr>
          <w:rFonts w:cs="Arial"/>
          <w:szCs w:val="20"/>
        </w:rPr>
      </w:pPr>
    </w:p>
    <w:p w14:paraId="06D33CE4" w14:textId="2CD10DD7" w:rsidR="00AD2D41" w:rsidRPr="00CC0DE8" w:rsidRDefault="00AD2D41" w:rsidP="008F64ED">
      <w:pPr>
        <w:widowControl w:val="0"/>
        <w:autoSpaceDE w:val="0"/>
        <w:autoSpaceDN w:val="0"/>
        <w:adjustRightInd w:val="0"/>
        <w:rPr>
          <w:rFonts w:cs="Arial"/>
          <w:szCs w:val="20"/>
        </w:rPr>
      </w:pPr>
      <w:r w:rsidRPr="00CC0DE8">
        <w:rPr>
          <w:rFonts w:cs="Arial"/>
          <w:szCs w:val="20"/>
        </w:rPr>
        <w:t xml:space="preserve">L'année 2022 a été marquée par des défis importants dans </w:t>
      </w:r>
      <w:r w:rsidRPr="0030481E">
        <w:rPr>
          <w:rFonts w:cs="Arial"/>
          <w:szCs w:val="20"/>
        </w:rPr>
        <w:t xml:space="preserve">les </w:t>
      </w:r>
      <w:r w:rsidRPr="00542FA9">
        <w:rPr>
          <w:rFonts w:cs="Arial"/>
          <w:szCs w:val="20"/>
        </w:rPr>
        <w:t>affaires mondiales</w:t>
      </w:r>
      <w:r w:rsidRPr="0030481E">
        <w:rPr>
          <w:rFonts w:cs="Arial"/>
          <w:szCs w:val="20"/>
        </w:rPr>
        <w:t xml:space="preserve"> qui</w:t>
      </w:r>
      <w:r w:rsidRPr="00CC0DE8">
        <w:rPr>
          <w:rFonts w:cs="Arial"/>
          <w:szCs w:val="20"/>
        </w:rPr>
        <w:t xml:space="preserve"> ont eu un impact sur les efforts de lutte contre le blanchiment de capitaux et le financement du terrorisme.</w:t>
      </w:r>
      <w:r w:rsidR="002146ED">
        <w:rPr>
          <w:rFonts w:cs="Arial"/>
          <w:szCs w:val="20"/>
        </w:rPr>
        <w:t xml:space="preserve"> </w:t>
      </w:r>
      <w:r>
        <w:rPr>
          <w:rFonts w:cs="Arial"/>
          <w:szCs w:val="20"/>
        </w:rPr>
        <w:t>La communauté mondiale et de nombreuses organisations internationales impliquées dans la lutte contre le blanchiment de capitaux et le financement du terrorisme (LBC/FT) ont réagi à</w:t>
      </w:r>
      <w:r w:rsidRPr="00CC0DE8">
        <w:rPr>
          <w:rFonts w:cs="Arial"/>
          <w:szCs w:val="20"/>
        </w:rPr>
        <w:t xml:space="preserve"> </w:t>
      </w:r>
      <w:r>
        <w:rPr>
          <w:rFonts w:cs="Arial"/>
          <w:szCs w:val="20"/>
        </w:rPr>
        <w:t>l’</w:t>
      </w:r>
      <w:r w:rsidRPr="00CC0DE8">
        <w:rPr>
          <w:rFonts w:cs="Arial"/>
          <w:szCs w:val="20"/>
        </w:rPr>
        <w:t>agression de la Fédération de Russie contre l</w:t>
      </w:r>
      <w:r>
        <w:rPr>
          <w:rFonts w:cs="Arial"/>
          <w:szCs w:val="20"/>
        </w:rPr>
        <w:t>’</w:t>
      </w:r>
      <w:r w:rsidRPr="00CC0DE8">
        <w:rPr>
          <w:rFonts w:cs="Arial"/>
          <w:szCs w:val="20"/>
        </w:rPr>
        <w:t>Ukraine</w:t>
      </w:r>
      <w:r>
        <w:rPr>
          <w:rFonts w:cs="Arial"/>
          <w:szCs w:val="20"/>
        </w:rPr>
        <w:t xml:space="preserve">. Après l’exclusion de la Fédération de Russie </w:t>
      </w:r>
      <w:r w:rsidRPr="00CC0DE8">
        <w:rPr>
          <w:rFonts w:cs="Arial"/>
          <w:szCs w:val="20"/>
        </w:rPr>
        <w:t>du Conseil de l'Europe et de MONEYVAL,</w:t>
      </w:r>
      <w:r>
        <w:rPr>
          <w:rFonts w:cs="Arial"/>
          <w:szCs w:val="20"/>
        </w:rPr>
        <w:t xml:space="preserve"> sa participation a été également limitée au sein d’autres organisations internationales, y compris du Groupe d’action financière (GAFI).</w:t>
      </w:r>
      <w:r w:rsidRPr="00CC0DE8">
        <w:rPr>
          <w:rFonts w:cs="Arial"/>
          <w:szCs w:val="20"/>
        </w:rPr>
        <w:t xml:space="preserve"> </w:t>
      </w:r>
      <w:bookmarkStart w:id="55" w:name="_Hlk134608705"/>
      <w:r w:rsidRPr="00CC0DE8">
        <w:rPr>
          <w:rFonts w:cs="Arial"/>
          <w:szCs w:val="20"/>
        </w:rPr>
        <w:t>Compte tenu d</w:t>
      </w:r>
      <w:r w:rsidR="00722A19">
        <w:rPr>
          <w:rFonts w:cs="Arial"/>
          <w:szCs w:val="20"/>
        </w:rPr>
        <w:t>es</w:t>
      </w:r>
      <w:r w:rsidRPr="00CC0DE8">
        <w:rPr>
          <w:rFonts w:cs="Arial"/>
          <w:szCs w:val="20"/>
        </w:rPr>
        <w:t xml:space="preserve"> lien</w:t>
      </w:r>
      <w:r w:rsidR="00722A19">
        <w:rPr>
          <w:rFonts w:cs="Arial"/>
          <w:szCs w:val="20"/>
        </w:rPr>
        <w:t>s</w:t>
      </w:r>
      <w:r w:rsidRPr="00CC0DE8">
        <w:rPr>
          <w:rFonts w:cs="Arial"/>
          <w:szCs w:val="20"/>
        </w:rPr>
        <w:t xml:space="preserve"> entre les efforts </w:t>
      </w:r>
      <w:r>
        <w:rPr>
          <w:rFonts w:cs="Arial"/>
          <w:szCs w:val="20"/>
        </w:rPr>
        <w:t>de LBC/FT</w:t>
      </w:r>
      <w:r w:rsidRPr="00CC0DE8">
        <w:rPr>
          <w:rFonts w:cs="Arial"/>
          <w:szCs w:val="20"/>
        </w:rPr>
        <w:t xml:space="preserve"> et les politiques </w:t>
      </w:r>
      <w:r>
        <w:rPr>
          <w:rFonts w:cs="Arial"/>
          <w:szCs w:val="20"/>
        </w:rPr>
        <w:t>en matière de</w:t>
      </w:r>
      <w:r w:rsidRPr="00CC0DE8">
        <w:rPr>
          <w:rFonts w:cs="Arial"/>
          <w:szCs w:val="20"/>
        </w:rPr>
        <w:t xml:space="preserve"> sanction, des ressources importantes </w:t>
      </w:r>
      <w:r>
        <w:rPr>
          <w:rFonts w:cs="Arial"/>
          <w:szCs w:val="20"/>
        </w:rPr>
        <w:t>au sein des</w:t>
      </w:r>
      <w:r w:rsidRPr="00CC0DE8">
        <w:rPr>
          <w:rFonts w:cs="Arial"/>
          <w:szCs w:val="20"/>
        </w:rPr>
        <w:t xml:space="preserve"> autorités compétentes ont été réorientées vers le dépistage et le gel des </w:t>
      </w:r>
      <w:r>
        <w:rPr>
          <w:rFonts w:cs="Arial"/>
          <w:szCs w:val="20"/>
        </w:rPr>
        <w:t xml:space="preserve">fonds et autres biens des personnes ou entités désignées. </w:t>
      </w:r>
      <w:bookmarkEnd w:id="55"/>
      <w:r w:rsidRPr="00CC0DE8">
        <w:rPr>
          <w:rFonts w:cs="Arial"/>
          <w:szCs w:val="20"/>
        </w:rPr>
        <w:t xml:space="preserve">MONEYVAL s'est rapidement adapté à ces défis </w:t>
      </w:r>
      <w:r>
        <w:rPr>
          <w:rFonts w:cs="Arial"/>
          <w:szCs w:val="20"/>
        </w:rPr>
        <w:t>et a ajusté</w:t>
      </w:r>
      <w:r w:rsidRPr="00CC0DE8">
        <w:rPr>
          <w:rFonts w:cs="Arial"/>
          <w:szCs w:val="20"/>
        </w:rPr>
        <w:t xml:space="preserve"> son programme d'évaluation</w:t>
      </w:r>
      <w:r>
        <w:rPr>
          <w:rFonts w:cs="Arial"/>
          <w:szCs w:val="20"/>
        </w:rPr>
        <w:t>s</w:t>
      </w:r>
      <w:r w:rsidRPr="00CC0DE8">
        <w:rPr>
          <w:rFonts w:cs="Arial"/>
          <w:szCs w:val="20"/>
        </w:rPr>
        <w:t xml:space="preserve"> mutuelle</w:t>
      </w:r>
      <w:r>
        <w:rPr>
          <w:rFonts w:cs="Arial"/>
          <w:szCs w:val="20"/>
        </w:rPr>
        <w:t>s</w:t>
      </w:r>
      <w:r w:rsidRPr="00CC0DE8">
        <w:rPr>
          <w:rFonts w:cs="Arial"/>
          <w:szCs w:val="20"/>
        </w:rPr>
        <w:t xml:space="preserve">, lorsque cela </w:t>
      </w:r>
      <w:r>
        <w:rPr>
          <w:rFonts w:cs="Arial"/>
          <w:szCs w:val="20"/>
        </w:rPr>
        <w:t>s’est avéré</w:t>
      </w:r>
      <w:r w:rsidRPr="00CC0DE8">
        <w:rPr>
          <w:rFonts w:cs="Arial"/>
          <w:szCs w:val="20"/>
        </w:rPr>
        <w:t xml:space="preserve"> nécessaire. </w:t>
      </w:r>
    </w:p>
    <w:p w14:paraId="70D3AAD3" w14:textId="77777777" w:rsidR="00AD2D41" w:rsidRPr="00CC0DE8" w:rsidRDefault="00AD2D41" w:rsidP="008F64ED">
      <w:pPr>
        <w:widowControl w:val="0"/>
        <w:autoSpaceDE w:val="0"/>
        <w:autoSpaceDN w:val="0"/>
        <w:adjustRightInd w:val="0"/>
        <w:rPr>
          <w:rFonts w:cs="Arial"/>
          <w:szCs w:val="20"/>
        </w:rPr>
      </w:pPr>
    </w:p>
    <w:p w14:paraId="034D631B" w14:textId="118C65FB" w:rsidR="00AD2D41" w:rsidRDefault="00AD2D41" w:rsidP="008F64ED">
      <w:pPr>
        <w:widowControl w:val="0"/>
        <w:autoSpaceDE w:val="0"/>
        <w:autoSpaceDN w:val="0"/>
        <w:adjustRightInd w:val="0"/>
        <w:rPr>
          <w:rFonts w:cs="Arial"/>
          <w:szCs w:val="20"/>
        </w:rPr>
      </w:pPr>
      <w:r w:rsidRPr="00CC0DE8">
        <w:rPr>
          <w:rFonts w:cs="Arial"/>
          <w:szCs w:val="20"/>
        </w:rPr>
        <w:t>L'agression de la Russie contre l'Ukraine a mis en évidence le lien entre les régimes autoritaires</w:t>
      </w:r>
      <w:r>
        <w:rPr>
          <w:rFonts w:cs="Arial"/>
          <w:szCs w:val="20"/>
        </w:rPr>
        <w:t xml:space="preserve">, les acteurs corrompus et les flux financiers illicites. </w:t>
      </w:r>
      <w:r w:rsidRPr="00CC0DE8">
        <w:rPr>
          <w:rFonts w:cs="Arial"/>
          <w:szCs w:val="20"/>
        </w:rPr>
        <w:t xml:space="preserve"> </w:t>
      </w:r>
      <w:r>
        <w:rPr>
          <w:rFonts w:cs="Arial"/>
          <w:szCs w:val="20"/>
        </w:rPr>
        <w:t>La</w:t>
      </w:r>
      <w:r w:rsidRPr="00CC0DE8">
        <w:rPr>
          <w:rFonts w:cs="Arial"/>
          <w:szCs w:val="20"/>
        </w:rPr>
        <w:t xml:space="preserve"> nécessité de prendre de nouvelles mesures pour empêcher les </w:t>
      </w:r>
      <w:r w:rsidRPr="00EF6325">
        <w:rPr>
          <w:rFonts w:cs="Arial"/>
          <w:szCs w:val="20"/>
        </w:rPr>
        <w:t>acteurs illicites</w:t>
      </w:r>
      <w:r w:rsidRPr="00CC0DE8">
        <w:rPr>
          <w:rFonts w:cs="Arial"/>
          <w:szCs w:val="20"/>
        </w:rPr>
        <w:t xml:space="preserve"> d'accéder aux fonds et aux ressources </w:t>
      </w:r>
      <w:r>
        <w:rPr>
          <w:rFonts w:cs="Arial"/>
          <w:szCs w:val="20"/>
        </w:rPr>
        <w:t xml:space="preserve">utilisés pour faciliter </w:t>
      </w:r>
      <w:r w:rsidRPr="00CC0DE8">
        <w:rPr>
          <w:rFonts w:cs="Arial"/>
          <w:szCs w:val="20"/>
        </w:rPr>
        <w:t xml:space="preserve">des activités nuisibles, y compris celles </w:t>
      </w:r>
      <w:r>
        <w:rPr>
          <w:rFonts w:cs="Arial"/>
          <w:szCs w:val="20"/>
        </w:rPr>
        <w:t>pouvant</w:t>
      </w:r>
      <w:r w:rsidRPr="00CC0DE8">
        <w:rPr>
          <w:rFonts w:cs="Arial"/>
          <w:szCs w:val="20"/>
        </w:rPr>
        <w:t xml:space="preserve"> compromettre la sécurité et la stabilité de l'Europe</w:t>
      </w:r>
      <w:r>
        <w:rPr>
          <w:rFonts w:cs="Arial"/>
          <w:szCs w:val="20"/>
        </w:rPr>
        <w:t>, est devenue encore plus évidente</w:t>
      </w:r>
      <w:r w:rsidRPr="00CC0DE8">
        <w:rPr>
          <w:rFonts w:cs="Arial"/>
          <w:szCs w:val="20"/>
        </w:rPr>
        <w:t xml:space="preserve">. Le blanchiment </w:t>
      </w:r>
      <w:r>
        <w:rPr>
          <w:rFonts w:cs="Arial"/>
          <w:szCs w:val="20"/>
        </w:rPr>
        <w:t xml:space="preserve">de capitaux </w:t>
      </w:r>
      <w:r w:rsidRPr="00CC0DE8">
        <w:rPr>
          <w:rFonts w:cs="Arial"/>
          <w:szCs w:val="20"/>
        </w:rPr>
        <w:t xml:space="preserve">et la corruption sapent l'État de droit et érodent la confiance du public dans les institutions clés. Les gouvernements doivent donc investir davantage dans leurs programmes de </w:t>
      </w:r>
      <w:r>
        <w:rPr>
          <w:rFonts w:cs="Arial"/>
          <w:szCs w:val="20"/>
        </w:rPr>
        <w:t>LBC/FT</w:t>
      </w:r>
      <w:r w:rsidRPr="00CC0DE8">
        <w:rPr>
          <w:rFonts w:cs="Arial"/>
          <w:szCs w:val="20"/>
        </w:rPr>
        <w:t xml:space="preserve"> et adopter des politiques plus strictes pour empêcher le blanchiment des produits associés à des régimes corrompus. </w:t>
      </w:r>
    </w:p>
    <w:p w14:paraId="4ADFBF6D" w14:textId="77777777" w:rsidR="00AD2D41" w:rsidRDefault="00AD2D41" w:rsidP="008F64ED">
      <w:pPr>
        <w:widowControl w:val="0"/>
        <w:autoSpaceDE w:val="0"/>
        <w:autoSpaceDN w:val="0"/>
        <w:adjustRightInd w:val="0"/>
        <w:rPr>
          <w:rFonts w:cs="Arial"/>
          <w:szCs w:val="20"/>
        </w:rPr>
      </w:pPr>
    </w:p>
    <w:p w14:paraId="04BF906B" w14:textId="066F0AF1" w:rsidR="00AD2D41" w:rsidRPr="00CC0DE8" w:rsidRDefault="00AD2D41" w:rsidP="008F64ED">
      <w:pPr>
        <w:widowControl w:val="0"/>
        <w:autoSpaceDE w:val="0"/>
        <w:autoSpaceDN w:val="0"/>
        <w:adjustRightInd w:val="0"/>
        <w:rPr>
          <w:rFonts w:cs="Arial"/>
          <w:szCs w:val="20"/>
        </w:rPr>
      </w:pPr>
      <w:r w:rsidRPr="00CC0DE8">
        <w:rPr>
          <w:rFonts w:cs="Arial"/>
          <w:szCs w:val="20"/>
        </w:rPr>
        <w:t xml:space="preserve">Le recouvrement des produits du crime reste insuffisant, et MONEYVAL doit prendre des mesures supplémentaires pour soutenir le renforcement des cadres nationaux de gestion des </w:t>
      </w:r>
      <w:r>
        <w:rPr>
          <w:rFonts w:cs="Arial"/>
          <w:szCs w:val="20"/>
        </w:rPr>
        <w:t>avoirs</w:t>
      </w:r>
      <w:r w:rsidRPr="00CC0DE8">
        <w:rPr>
          <w:rFonts w:cs="Arial"/>
          <w:szCs w:val="20"/>
        </w:rPr>
        <w:t xml:space="preserve"> et </w:t>
      </w:r>
      <w:r w:rsidRPr="009B11E4">
        <w:rPr>
          <w:rFonts w:cs="Arial"/>
          <w:szCs w:val="20"/>
        </w:rPr>
        <w:t xml:space="preserve">de recouvrement </w:t>
      </w:r>
      <w:r>
        <w:rPr>
          <w:rFonts w:cs="Arial"/>
          <w:szCs w:val="20"/>
        </w:rPr>
        <w:t>effectif</w:t>
      </w:r>
      <w:r w:rsidRPr="009B11E4">
        <w:rPr>
          <w:rFonts w:cs="Arial"/>
          <w:szCs w:val="20"/>
        </w:rPr>
        <w:t>.</w:t>
      </w:r>
      <w:r w:rsidRPr="00CC0DE8">
        <w:rPr>
          <w:rFonts w:cs="Arial"/>
          <w:szCs w:val="20"/>
        </w:rPr>
        <w:t xml:space="preserve"> </w:t>
      </w:r>
      <w:r>
        <w:rPr>
          <w:rFonts w:cs="Arial"/>
          <w:szCs w:val="20"/>
        </w:rPr>
        <w:t>Reconnaissant que cela constitue également une priorité pour le GAFI,</w:t>
      </w:r>
      <w:r w:rsidRPr="00CC0DE8">
        <w:rPr>
          <w:rFonts w:cs="Arial"/>
          <w:szCs w:val="20"/>
        </w:rPr>
        <w:t xml:space="preserve"> MONEYVAL continuera à </w:t>
      </w:r>
      <w:r>
        <w:rPr>
          <w:rFonts w:cs="Arial"/>
          <w:szCs w:val="20"/>
        </w:rPr>
        <w:t>contribuer</w:t>
      </w:r>
      <w:r w:rsidRPr="00CC0DE8">
        <w:rPr>
          <w:rFonts w:cs="Arial"/>
          <w:szCs w:val="20"/>
        </w:rPr>
        <w:t xml:space="preserve"> activement </w:t>
      </w:r>
      <w:r>
        <w:rPr>
          <w:rFonts w:cs="Arial"/>
          <w:szCs w:val="20"/>
        </w:rPr>
        <w:t>aux</w:t>
      </w:r>
      <w:r w:rsidRPr="00CC0DE8">
        <w:rPr>
          <w:rFonts w:cs="Arial"/>
          <w:szCs w:val="20"/>
        </w:rPr>
        <w:t xml:space="preserve"> initiatives internationales </w:t>
      </w:r>
      <w:r>
        <w:rPr>
          <w:rFonts w:cs="Arial"/>
          <w:szCs w:val="20"/>
        </w:rPr>
        <w:t>dans ce domaine et à soutenir toute action du Conseil de l’Europe relative au recouvrement des avoirs</w:t>
      </w:r>
      <w:r w:rsidRPr="00CC0DE8">
        <w:rPr>
          <w:rFonts w:cs="Arial"/>
          <w:szCs w:val="20"/>
        </w:rPr>
        <w:t xml:space="preserve">. </w:t>
      </w:r>
    </w:p>
    <w:p w14:paraId="44141EDB" w14:textId="77777777" w:rsidR="00AD2D41" w:rsidRPr="00CC0DE8" w:rsidRDefault="00AD2D41" w:rsidP="008F64ED">
      <w:pPr>
        <w:widowControl w:val="0"/>
        <w:autoSpaceDE w:val="0"/>
        <w:autoSpaceDN w:val="0"/>
        <w:adjustRightInd w:val="0"/>
        <w:rPr>
          <w:rFonts w:cs="Arial"/>
          <w:szCs w:val="20"/>
        </w:rPr>
      </w:pPr>
    </w:p>
    <w:p w14:paraId="52F0840F" w14:textId="5AB13706" w:rsidR="00AD2D41" w:rsidRPr="00CC0DE8" w:rsidRDefault="00AD2D41" w:rsidP="008F64ED">
      <w:pPr>
        <w:widowControl w:val="0"/>
        <w:autoSpaceDE w:val="0"/>
        <w:autoSpaceDN w:val="0"/>
        <w:adjustRightInd w:val="0"/>
        <w:rPr>
          <w:rFonts w:cs="Arial"/>
          <w:szCs w:val="20"/>
        </w:rPr>
      </w:pPr>
      <w:r w:rsidRPr="00CC0DE8">
        <w:rPr>
          <w:rFonts w:cs="Arial"/>
          <w:szCs w:val="20"/>
        </w:rPr>
        <w:t xml:space="preserve">Les maillons les plus faibles du système financier international sont ses gardiens, </w:t>
      </w:r>
      <w:r>
        <w:rPr>
          <w:rFonts w:cs="Arial"/>
          <w:szCs w:val="20"/>
        </w:rPr>
        <w:t xml:space="preserve">c’est-à-dire </w:t>
      </w:r>
      <w:r w:rsidRPr="00CC0DE8">
        <w:rPr>
          <w:rFonts w:cs="Arial"/>
          <w:szCs w:val="20"/>
        </w:rPr>
        <w:t xml:space="preserve">les entreprises et professions non financières désignées, notamment les avocats, les notaires, les comptables et les entités spécialisées fournissant des services aux trusts et aux </w:t>
      </w:r>
      <w:r>
        <w:rPr>
          <w:rFonts w:cs="Arial"/>
          <w:szCs w:val="20"/>
        </w:rPr>
        <w:t>personnes morales</w:t>
      </w:r>
      <w:r w:rsidRPr="00E967D0">
        <w:rPr>
          <w:rFonts w:cs="Arial"/>
          <w:szCs w:val="20"/>
        </w:rPr>
        <w:t>. Les facilitateurs professionnels servent souvent à guider les blanchisseurs de capitaux dans la mise en place de schémas complexes à travers</w:t>
      </w:r>
      <w:r w:rsidRPr="00CC0DE8">
        <w:rPr>
          <w:rFonts w:cs="Arial"/>
          <w:szCs w:val="20"/>
        </w:rPr>
        <w:t xml:space="preserve"> de multiples juridictions </w:t>
      </w:r>
      <w:r w:rsidRPr="009B11E4">
        <w:rPr>
          <w:rFonts w:cs="Arial"/>
          <w:szCs w:val="20"/>
        </w:rPr>
        <w:t>au niveau global</w:t>
      </w:r>
      <w:r w:rsidRPr="00CC0DE8">
        <w:rPr>
          <w:rFonts w:cs="Arial"/>
          <w:szCs w:val="20"/>
        </w:rPr>
        <w:t xml:space="preserve">. Après deux années d'efforts soutenus de la part de MONEYVAL, </w:t>
      </w:r>
      <w:r>
        <w:rPr>
          <w:rFonts w:cs="Arial"/>
          <w:szCs w:val="20"/>
        </w:rPr>
        <w:t>ils</w:t>
      </w:r>
      <w:r w:rsidRPr="00CC0DE8">
        <w:rPr>
          <w:rFonts w:cs="Arial"/>
          <w:szCs w:val="20"/>
        </w:rPr>
        <w:t xml:space="preserve"> sont également devenus l'objet d'un intérêt particulier de la part du </w:t>
      </w:r>
      <w:r>
        <w:rPr>
          <w:rFonts w:cs="Arial"/>
          <w:szCs w:val="20"/>
        </w:rPr>
        <w:t>GAFI</w:t>
      </w:r>
      <w:r w:rsidRPr="00CC0DE8">
        <w:rPr>
          <w:rFonts w:cs="Arial"/>
          <w:szCs w:val="20"/>
        </w:rPr>
        <w:t xml:space="preserve"> et </w:t>
      </w:r>
      <w:r>
        <w:rPr>
          <w:rFonts w:cs="Arial"/>
          <w:szCs w:val="20"/>
        </w:rPr>
        <w:t>seront un thème central</w:t>
      </w:r>
      <w:r w:rsidRPr="00CC0DE8">
        <w:rPr>
          <w:rFonts w:cs="Arial"/>
          <w:szCs w:val="20"/>
        </w:rPr>
        <w:t xml:space="preserve"> du prochain cycle mondial d'évaluations mutuelles qui débutera en 2024. </w:t>
      </w:r>
    </w:p>
    <w:p w14:paraId="70071EBE" w14:textId="77777777" w:rsidR="00AD2D41" w:rsidRPr="00CC0DE8" w:rsidRDefault="00AD2D41" w:rsidP="008F64ED">
      <w:pPr>
        <w:widowControl w:val="0"/>
        <w:autoSpaceDE w:val="0"/>
        <w:autoSpaceDN w:val="0"/>
        <w:adjustRightInd w:val="0"/>
        <w:rPr>
          <w:rFonts w:cs="Arial"/>
          <w:szCs w:val="20"/>
        </w:rPr>
      </w:pPr>
    </w:p>
    <w:p w14:paraId="5C33636C" w14:textId="5B98D2EB" w:rsidR="00AD2D41" w:rsidRPr="00CC0DE8" w:rsidRDefault="00AD2D41" w:rsidP="008F64ED">
      <w:pPr>
        <w:widowControl w:val="0"/>
        <w:autoSpaceDE w:val="0"/>
        <w:autoSpaceDN w:val="0"/>
        <w:adjustRightInd w:val="0"/>
        <w:rPr>
          <w:rFonts w:cs="Arial"/>
          <w:szCs w:val="20"/>
        </w:rPr>
      </w:pPr>
      <w:r w:rsidRPr="00CC0DE8">
        <w:rPr>
          <w:rFonts w:cs="Arial"/>
          <w:szCs w:val="20"/>
        </w:rPr>
        <w:t xml:space="preserve">La communauté internationale et ses institutions avancent au même rythme pour relever d'autres défis systémiques et émergents. La transformation numérique de la société et de l'économie conduit les autorités de </w:t>
      </w:r>
      <w:r>
        <w:rPr>
          <w:rFonts w:cs="Arial"/>
          <w:szCs w:val="20"/>
        </w:rPr>
        <w:t>LBC/FT</w:t>
      </w:r>
      <w:r w:rsidRPr="00CC0DE8">
        <w:rPr>
          <w:rFonts w:cs="Arial"/>
          <w:szCs w:val="20"/>
        </w:rPr>
        <w:t xml:space="preserve"> et le secteur privé à adopter des outils plus avancés et à proposer de nouvelles méthodes de </w:t>
      </w:r>
      <w:r>
        <w:rPr>
          <w:rFonts w:cs="Arial"/>
          <w:szCs w:val="20"/>
        </w:rPr>
        <w:t>contrôle</w:t>
      </w:r>
      <w:r w:rsidRPr="00CC0DE8">
        <w:rPr>
          <w:rFonts w:cs="Arial"/>
          <w:szCs w:val="20"/>
        </w:rPr>
        <w:t xml:space="preserve"> des transactions.</w:t>
      </w:r>
      <w:r>
        <w:rPr>
          <w:rFonts w:cs="Arial"/>
          <w:szCs w:val="20"/>
        </w:rPr>
        <w:t xml:space="preserve"> Nonobstant</w:t>
      </w:r>
      <w:r w:rsidRPr="00BD5AFE">
        <w:rPr>
          <w:rFonts w:cs="Arial"/>
          <w:szCs w:val="20"/>
        </w:rPr>
        <w:t xml:space="preserve"> les avantages que les nouvelles technologies, </w:t>
      </w:r>
      <w:r>
        <w:rPr>
          <w:rFonts w:cs="Arial"/>
          <w:szCs w:val="20"/>
        </w:rPr>
        <w:t>notamment</w:t>
      </w:r>
      <w:r w:rsidRPr="00BD5AFE">
        <w:rPr>
          <w:rFonts w:cs="Arial"/>
          <w:szCs w:val="20"/>
        </w:rPr>
        <w:t xml:space="preserve"> l’intelligence artificielle, apportent </w:t>
      </w:r>
      <w:r>
        <w:rPr>
          <w:rFonts w:cs="Arial"/>
          <w:szCs w:val="20"/>
        </w:rPr>
        <w:t>pour</w:t>
      </w:r>
      <w:r w:rsidRPr="00BD5AFE">
        <w:rPr>
          <w:rFonts w:cs="Arial"/>
          <w:szCs w:val="20"/>
        </w:rPr>
        <w:t xml:space="preserve"> une meilleure détection </w:t>
      </w:r>
      <w:r>
        <w:rPr>
          <w:rFonts w:cs="Arial"/>
          <w:szCs w:val="20"/>
        </w:rPr>
        <w:t>en matière de</w:t>
      </w:r>
      <w:r w:rsidRPr="00BD5AFE">
        <w:rPr>
          <w:rFonts w:cs="Arial"/>
          <w:szCs w:val="20"/>
        </w:rPr>
        <w:t xml:space="preserve"> LBC/FT et </w:t>
      </w:r>
      <w:r>
        <w:rPr>
          <w:rFonts w:cs="Arial"/>
          <w:szCs w:val="20"/>
        </w:rPr>
        <w:t>résultats obtenus en termes</w:t>
      </w:r>
      <w:r w:rsidRPr="00BD5AFE">
        <w:rPr>
          <w:rFonts w:cs="Arial"/>
          <w:szCs w:val="20"/>
        </w:rPr>
        <w:t xml:space="preserve"> de conformité, elles soulèvent également de nombreux défis réglementaires et opérationnels dans les États membres. MONEYVAL devrait guider ses membres afin de s’assurer que l’introduction et l’utilisation de ces technologies sont compatibles avec les normes internationales et européennes </w:t>
      </w:r>
      <w:r>
        <w:rPr>
          <w:rFonts w:cs="Arial"/>
          <w:szCs w:val="20"/>
        </w:rPr>
        <w:t>applicables</w:t>
      </w:r>
      <w:r w:rsidRPr="00BD5AFE">
        <w:rPr>
          <w:rFonts w:cs="Arial"/>
          <w:szCs w:val="20"/>
        </w:rPr>
        <w:t>, y compris dans le domaine de la protection des données, de la vie privée et de la cybersécurité.</w:t>
      </w:r>
      <w:r w:rsidRPr="00CC0DE8">
        <w:rPr>
          <w:rFonts w:cs="Arial"/>
          <w:szCs w:val="20"/>
        </w:rPr>
        <w:t xml:space="preserve"> La protection des données, thème central de nos efforts au sein du Conseil de l'Europe, </w:t>
      </w:r>
      <w:r>
        <w:rPr>
          <w:rFonts w:cs="Arial"/>
          <w:szCs w:val="20"/>
        </w:rPr>
        <w:t>devrait</w:t>
      </w:r>
      <w:r w:rsidRPr="00CC0DE8">
        <w:rPr>
          <w:rFonts w:cs="Arial"/>
          <w:szCs w:val="20"/>
        </w:rPr>
        <w:t xml:space="preserve"> rester une considération essentielle à cet égard. Il est également essentiel de garantir une approche fondée sur les droits </w:t>
      </w:r>
      <w:r>
        <w:rPr>
          <w:rFonts w:cs="Arial"/>
          <w:szCs w:val="20"/>
        </w:rPr>
        <w:t>humains</w:t>
      </w:r>
      <w:r w:rsidRPr="00CC0DE8">
        <w:rPr>
          <w:rFonts w:cs="Arial"/>
          <w:szCs w:val="20"/>
        </w:rPr>
        <w:t xml:space="preserve"> au sein du secteur financier, alors que l'intelligence artificielle </w:t>
      </w:r>
      <w:r w:rsidRPr="009B11E4">
        <w:rPr>
          <w:rFonts w:cs="Arial"/>
          <w:szCs w:val="20"/>
        </w:rPr>
        <w:t>s'impose de plus en plus.</w:t>
      </w:r>
      <w:r w:rsidRPr="00CC0DE8">
        <w:rPr>
          <w:rFonts w:cs="Arial"/>
          <w:szCs w:val="20"/>
        </w:rPr>
        <w:t xml:space="preserve"> Un risque connexe </w:t>
      </w:r>
      <w:r>
        <w:rPr>
          <w:rFonts w:cs="Arial"/>
          <w:szCs w:val="20"/>
        </w:rPr>
        <w:t>réside dans</w:t>
      </w:r>
      <w:r w:rsidRPr="00CC0DE8">
        <w:rPr>
          <w:rFonts w:cs="Arial"/>
          <w:szCs w:val="20"/>
        </w:rPr>
        <w:t xml:space="preserve"> l'utilisation abusive des crypto-monnaies et la menace </w:t>
      </w:r>
      <w:r>
        <w:rPr>
          <w:rFonts w:cs="Arial"/>
          <w:szCs w:val="20"/>
        </w:rPr>
        <w:t>grandissante</w:t>
      </w:r>
      <w:r w:rsidRPr="00CC0DE8">
        <w:rPr>
          <w:rFonts w:cs="Arial"/>
          <w:szCs w:val="20"/>
        </w:rPr>
        <w:t xml:space="preserve"> de la cybercriminalité, qui nécessitent </w:t>
      </w:r>
      <w:r>
        <w:rPr>
          <w:rFonts w:cs="Arial"/>
          <w:szCs w:val="20"/>
        </w:rPr>
        <w:t>la</w:t>
      </w:r>
      <w:r w:rsidRPr="00CC0DE8">
        <w:rPr>
          <w:rFonts w:cs="Arial"/>
          <w:szCs w:val="20"/>
        </w:rPr>
        <w:t xml:space="preserve"> participation active et un renforcement des capacités des autorités chargées </w:t>
      </w:r>
      <w:r w:rsidRPr="00E967D0">
        <w:rPr>
          <w:rFonts w:cs="Arial"/>
          <w:szCs w:val="20"/>
        </w:rPr>
        <w:t>de la LBC/FT afin d’y remédier. Nous</w:t>
      </w:r>
      <w:r w:rsidRPr="00CC0DE8">
        <w:rPr>
          <w:rFonts w:cs="Arial"/>
          <w:szCs w:val="20"/>
        </w:rPr>
        <w:t xml:space="preserve"> développons des partenariats avec les comités respectifs du Conseil de l'Europe pour relever conjointement ces défis. </w:t>
      </w:r>
    </w:p>
    <w:p w14:paraId="3A79FE93" w14:textId="77777777" w:rsidR="00AD2D41" w:rsidRPr="00CC0DE8" w:rsidRDefault="00AD2D41" w:rsidP="008F64ED">
      <w:pPr>
        <w:widowControl w:val="0"/>
        <w:autoSpaceDE w:val="0"/>
        <w:autoSpaceDN w:val="0"/>
        <w:adjustRightInd w:val="0"/>
        <w:rPr>
          <w:rFonts w:cs="Arial"/>
          <w:szCs w:val="20"/>
        </w:rPr>
      </w:pPr>
    </w:p>
    <w:p w14:paraId="75282D28" w14:textId="5745DE3E" w:rsidR="00AD2D41" w:rsidRPr="00CC0DE8" w:rsidRDefault="00AD2D41" w:rsidP="008F64ED">
      <w:pPr>
        <w:widowControl w:val="0"/>
        <w:autoSpaceDE w:val="0"/>
        <w:autoSpaceDN w:val="0"/>
        <w:adjustRightInd w:val="0"/>
        <w:rPr>
          <w:rFonts w:cs="Arial"/>
          <w:szCs w:val="20"/>
        </w:rPr>
      </w:pPr>
      <w:r w:rsidRPr="00CC0DE8">
        <w:rPr>
          <w:rFonts w:cs="Arial"/>
          <w:szCs w:val="20"/>
        </w:rPr>
        <w:t xml:space="preserve">Alors que </w:t>
      </w:r>
      <w:r>
        <w:rPr>
          <w:rFonts w:cs="Arial"/>
          <w:szCs w:val="20"/>
        </w:rPr>
        <w:t xml:space="preserve">nous nous approchons de la conclusion de </w:t>
      </w:r>
      <w:r w:rsidRPr="00CC0DE8">
        <w:rPr>
          <w:rFonts w:cs="Arial"/>
          <w:szCs w:val="20"/>
        </w:rPr>
        <w:t>notre 5</w:t>
      </w:r>
      <w:r w:rsidRPr="00FC1764">
        <w:rPr>
          <w:rFonts w:cs="Arial"/>
          <w:szCs w:val="20"/>
          <w:vertAlign w:val="superscript"/>
        </w:rPr>
        <w:t>ème</w:t>
      </w:r>
      <w:r w:rsidRPr="00CC0DE8">
        <w:rPr>
          <w:rFonts w:cs="Arial"/>
          <w:szCs w:val="20"/>
        </w:rPr>
        <w:t xml:space="preserve"> cycle d</w:t>
      </w:r>
      <w:r>
        <w:rPr>
          <w:rFonts w:cs="Arial"/>
          <w:szCs w:val="20"/>
        </w:rPr>
        <w:t>’</w:t>
      </w:r>
      <w:r w:rsidRPr="00CC0DE8">
        <w:rPr>
          <w:rFonts w:cs="Arial"/>
          <w:szCs w:val="20"/>
        </w:rPr>
        <w:t>évaluation</w:t>
      </w:r>
      <w:r>
        <w:rPr>
          <w:rFonts w:cs="Arial"/>
          <w:szCs w:val="20"/>
        </w:rPr>
        <w:t>s</w:t>
      </w:r>
      <w:r w:rsidRPr="00CC0DE8">
        <w:rPr>
          <w:rFonts w:cs="Arial"/>
          <w:szCs w:val="20"/>
        </w:rPr>
        <w:t xml:space="preserve"> mutuelle</w:t>
      </w:r>
      <w:r>
        <w:rPr>
          <w:rFonts w:cs="Arial"/>
          <w:szCs w:val="20"/>
        </w:rPr>
        <w:t>s, qui se terminera en 2024</w:t>
      </w:r>
      <w:r w:rsidRPr="00CC0DE8">
        <w:rPr>
          <w:rFonts w:cs="Arial"/>
          <w:szCs w:val="20"/>
        </w:rPr>
        <w:t xml:space="preserve">, </w:t>
      </w:r>
      <w:r>
        <w:rPr>
          <w:rFonts w:cs="Arial"/>
          <w:szCs w:val="20"/>
        </w:rPr>
        <w:t>ceci constitue</w:t>
      </w:r>
      <w:r w:rsidRPr="00CC0DE8">
        <w:rPr>
          <w:rFonts w:cs="Arial"/>
          <w:szCs w:val="20"/>
        </w:rPr>
        <w:t xml:space="preserve"> un moment de réflexion stratégique et d'intenses délibérations au sein de MONEYVAL sur la </w:t>
      </w:r>
      <w:r>
        <w:rPr>
          <w:rFonts w:cs="Arial"/>
          <w:szCs w:val="20"/>
        </w:rPr>
        <w:t>marche</w:t>
      </w:r>
      <w:r w:rsidRPr="00CC0DE8">
        <w:rPr>
          <w:rFonts w:cs="Arial"/>
          <w:szCs w:val="20"/>
        </w:rPr>
        <w:t xml:space="preserve"> à suivre. </w:t>
      </w:r>
      <w:r>
        <w:rPr>
          <w:rFonts w:cs="Arial"/>
          <w:szCs w:val="20"/>
        </w:rPr>
        <w:t>A travers le</w:t>
      </w:r>
      <w:r w:rsidRPr="00CC0DE8">
        <w:rPr>
          <w:rFonts w:cs="Arial"/>
          <w:szCs w:val="20"/>
        </w:rPr>
        <w:t xml:space="preserve"> réseau mondial dirigé par le GAFI, notre Comité a été reconnu comme faisant </w:t>
      </w:r>
      <w:r w:rsidRPr="00AE4FAE">
        <w:rPr>
          <w:rFonts w:cs="Arial"/>
          <w:szCs w:val="20"/>
        </w:rPr>
        <w:t>partie du peloton de tête des pays les plus performants au niveau global, selon le classement interne le plus récent du GAFI. Nous avons atteint un haut degré d</w:t>
      </w:r>
      <w:r w:rsidRPr="00FC1764">
        <w:rPr>
          <w:rFonts w:cs="Arial"/>
          <w:szCs w:val="20"/>
        </w:rPr>
        <w:t>’expertise parmi les délégations et au sein du Secrétariat et nous avons délivré des évaluations de haute qualité</w:t>
      </w:r>
      <w:r w:rsidRPr="00AE4FAE">
        <w:rPr>
          <w:rFonts w:cs="Arial"/>
          <w:szCs w:val="20"/>
        </w:rPr>
        <w:t>. Cela</w:t>
      </w:r>
      <w:r>
        <w:rPr>
          <w:rFonts w:cs="Arial"/>
          <w:szCs w:val="20"/>
        </w:rPr>
        <w:t xml:space="preserve"> représente, indubitablement,</w:t>
      </w:r>
      <w:r w:rsidRPr="00CC0DE8">
        <w:rPr>
          <w:rFonts w:cs="Arial"/>
          <w:szCs w:val="20"/>
        </w:rPr>
        <w:t xml:space="preserve"> le résultat des efforts continus de plusieurs générations d'experts en matière de </w:t>
      </w:r>
      <w:r>
        <w:rPr>
          <w:rFonts w:cs="Arial"/>
          <w:szCs w:val="20"/>
        </w:rPr>
        <w:t>LBC/FT</w:t>
      </w:r>
      <w:r w:rsidRPr="00CC0DE8">
        <w:rPr>
          <w:rFonts w:cs="Arial"/>
          <w:szCs w:val="20"/>
        </w:rPr>
        <w:t xml:space="preserve"> </w:t>
      </w:r>
      <w:r>
        <w:rPr>
          <w:rFonts w:cs="Arial"/>
          <w:szCs w:val="20"/>
        </w:rPr>
        <w:t>participant</w:t>
      </w:r>
      <w:r w:rsidRPr="00CC0DE8">
        <w:rPr>
          <w:rFonts w:cs="Arial"/>
          <w:szCs w:val="20"/>
        </w:rPr>
        <w:t xml:space="preserve"> activement aux </w:t>
      </w:r>
      <w:r w:rsidRPr="00BC3CA1">
        <w:rPr>
          <w:rFonts w:cs="Arial"/>
          <w:szCs w:val="20"/>
        </w:rPr>
        <w:t>travaux</w:t>
      </w:r>
      <w:r w:rsidRPr="00CC0DE8">
        <w:rPr>
          <w:rFonts w:cs="Arial"/>
          <w:szCs w:val="20"/>
        </w:rPr>
        <w:t xml:space="preserve"> de notre </w:t>
      </w:r>
      <w:r>
        <w:rPr>
          <w:rFonts w:cs="Arial"/>
          <w:szCs w:val="20"/>
        </w:rPr>
        <w:t>Comité</w:t>
      </w:r>
      <w:r w:rsidRPr="00CC0DE8">
        <w:rPr>
          <w:rFonts w:cs="Arial"/>
          <w:szCs w:val="20"/>
        </w:rPr>
        <w:t xml:space="preserve">. </w:t>
      </w:r>
      <w:r>
        <w:rPr>
          <w:rFonts w:cs="Arial"/>
          <w:szCs w:val="20"/>
        </w:rPr>
        <w:t>A l’aune de notre 25</w:t>
      </w:r>
      <w:r w:rsidRPr="00677F81">
        <w:rPr>
          <w:rFonts w:cs="Arial"/>
          <w:szCs w:val="20"/>
          <w:vertAlign w:val="superscript"/>
        </w:rPr>
        <w:t>ème</w:t>
      </w:r>
      <w:r>
        <w:rPr>
          <w:rFonts w:cs="Arial"/>
          <w:szCs w:val="20"/>
        </w:rPr>
        <w:t xml:space="preserve"> anniversaire, </w:t>
      </w:r>
      <w:r w:rsidRPr="00CC0DE8">
        <w:rPr>
          <w:rFonts w:cs="Arial"/>
          <w:szCs w:val="20"/>
        </w:rPr>
        <w:t xml:space="preserve">en décembre 2022, </w:t>
      </w:r>
      <w:r w:rsidRPr="00BC3CA1">
        <w:rPr>
          <w:rFonts w:cs="Arial"/>
          <w:szCs w:val="20"/>
        </w:rPr>
        <w:t xml:space="preserve">je </w:t>
      </w:r>
      <w:r>
        <w:rPr>
          <w:rFonts w:cs="Arial"/>
          <w:szCs w:val="20"/>
        </w:rPr>
        <w:t>souhaiterais</w:t>
      </w:r>
      <w:r w:rsidRPr="00677F81">
        <w:rPr>
          <w:rFonts w:cs="Arial"/>
          <w:szCs w:val="20"/>
        </w:rPr>
        <w:t xml:space="preserve"> à </w:t>
      </w:r>
      <w:r w:rsidRPr="00BC3CA1">
        <w:rPr>
          <w:rFonts w:cs="Arial"/>
          <w:szCs w:val="20"/>
        </w:rPr>
        <w:t>cette occasion remercier tous les collègues qui ont participé</w:t>
      </w:r>
      <w:r w:rsidRPr="00CC0DE8">
        <w:rPr>
          <w:rFonts w:cs="Arial"/>
          <w:szCs w:val="20"/>
        </w:rPr>
        <w:t xml:space="preserve"> </w:t>
      </w:r>
      <w:r w:rsidRPr="00184E0C">
        <w:rPr>
          <w:rFonts w:cs="Arial"/>
          <w:szCs w:val="20"/>
        </w:rPr>
        <w:t>au développement réussi de MONEYVAL depuis sa création en 1997.</w:t>
      </w:r>
    </w:p>
    <w:p w14:paraId="7C50CFFD" w14:textId="68C76D4D" w:rsidR="00AD2D41" w:rsidRPr="00CC0DE8" w:rsidRDefault="00AD2D41" w:rsidP="008F64ED">
      <w:pPr>
        <w:widowControl w:val="0"/>
        <w:autoSpaceDE w:val="0"/>
        <w:autoSpaceDN w:val="0"/>
        <w:adjustRightInd w:val="0"/>
        <w:rPr>
          <w:rFonts w:cs="Arial"/>
          <w:szCs w:val="20"/>
        </w:rPr>
      </w:pPr>
      <w:r w:rsidRPr="00CC0DE8">
        <w:rPr>
          <w:rFonts w:cs="Arial"/>
          <w:szCs w:val="20"/>
        </w:rPr>
        <w:lastRenderedPageBreak/>
        <w:t>Après avoir surmonté efficacement les défis posés par la pandémie de COVID</w:t>
      </w:r>
      <w:r>
        <w:rPr>
          <w:rFonts w:cs="Arial"/>
          <w:szCs w:val="20"/>
        </w:rPr>
        <w:t xml:space="preserve"> ainsi que les barrières qu’elle a créées</w:t>
      </w:r>
      <w:r w:rsidRPr="00CC0DE8">
        <w:rPr>
          <w:rFonts w:cs="Arial"/>
          <w:szCs w:val="20"/>
        </w:rPr>
        <w:t xml:space="preserve"> </w:t>
      </w:r>
      <w:r>
        <w:rPr>
          <w:rFonts w:cs="Arial"/>
          <w:szCs w:val="20"/>
        </w:rPr>
        <w:t>à</w:t>
      </w:r>
      <w:r w:rsidRPr="00CC0DE8">
        <w:rPr>
          <w:rFonts w:cs="Arial"/>
          <w:szCs w:val="20"/>
        </w:rPr>
        <w:t xml:space="preserve"> </w:t>
      </w:r>
      <w:r>
        <w:rPr>
          <w:rFonts w:cs="Arial"/>
          <w:szCs w:val="20"/>
        </w:rPr>
        <w:t>l’exercice de ses activités</w:t>
      </w:r>
      <w:r w:rsidRPr="00CC0DE8">
        <w:rPr>
          <w:rFonts w:cs="Arial"/>
          <w:szCs w:val="20"/>
        </w:rPr>
        <w:t xml:space="preserve">, </w:t>
      </w:r>
      <w:r w:rsidR="00FC1764">
        <w:rPr>
          <w:rFonts w:cs="Arial"/>
          <w:szCs w:val="20"/>
        </w:rPr>
        <w:t xml:space="preserve">notre mécanisme de suivi </w:t>
      </w:r>
      <w:r w:rsidRPr="00CC0DE8">
        <w:rPr>
          <w:rFonts w:cs="Arial"/>
          <w:szCs w:val="20"/>
        </w:rPr>
        <w:t xml:space="preserve">a émergé comme </w:t>
      </w:r>
      <w:r w:rsidRPr="00555521">
        <w:rPr>
          <w:rFonts w:cs="Arial"/>
          <w:szCs w:val="20"/>
        </w:rPr>
        <w:t xml:space="preserve">le </w:t>
      </w:r>
      <w:r>
        <w:rPr>
          <w:rFonts w:cs="Arial"/>
          <w:szCs w:val="20"/>
        </w:rPr>
        <w:t>chef de file</w:t>
      </w:r>
      <w:r w:rsidRPr="00CC0DE8">
        <w:rPr>
          <w:rFonts w:cs="Arial"/>
          <w:szCs w:val="20"/>
        </w:rPr>
        <w:t xml:space="preserve"> parmi ses pairs </w:t>
      </w:r>
      <w:r w:rsidR="00FC1764">
        <w:rPr>
          <w:rFonts w:cs="Arial"/>
          <w:szCs w:val="20"/>
        </w:rPr>
        <w:t xml:space="preserve">au niveau mondial quant au </w:t>
      </w:r>
      <w:r w:rsidRPr="00CC0DE8">
        <w:rPr>
          <w:rFonts w:cs="Arial"/>
          <w:szCs w:val="20"/>
        </w:rPr>
        <w:t xml:space="preserve">nombre total d'évaluations mutuelles achevées au cours des trois dernières années. En conséquence, le GAFI nous a confié le soin d'être les premiers à mener des évaluations mutuelles dans le cadre du nouveau cycle mondial à partir de 2024. </w:t>
      </w:r>
      <w:r>
        <w:rPr>
          <w:rFonts w:cs="Arial"/>
          <w:szCs w:val="20"/>
        </w:rPr>
        <w:t>Ceci est</w:t>
      </w:r>
      <w:r w:rsidRPr="00CC0DE8">
        <w:rPr>
          <w:rFonts w:cs="Arial"/>
          <w:szCs w:val="20"/>
        </w:rPr>
        <w:t xml:space="preserve"> un privilège et notre principale priorité. </w:t>
      </w:r>
    </w:p>
    <w:p w14:paraId="43480FB3" w14:textId="77777777" w:rsidR="00AD2D41" w:rsidRPr="00CC0DE8" w:rsidRDefault="00AD2D41" w:rsidP="008F64ED">
      <w:pPr>
        <w:widowControl w:val="0"/>
        <w:autoSpaceDE w:val="0"/>
        <w:autoSpaceDN w:val="0"/>
        <w:adjustRightInd w:val="0"/>
        <w:rPr>
          <w:rFonts w:cs="Arial"/>
          <w:szCs w:val="20"/>
        </w:rPr>
      </w:pPr>
    </w:p>
    <w:p w14:paraId="3E8F2A5B" w14:textId="77777777" w:rsidR="00AD2D41" w:rsidRPr="00CC0DE8" w:rsidRDefault="00AD2D41" w:rsidP="008F64ED">
      <w:pPr>
        <w:widowControl w:val="0"/>
        <w:autoSpaceDE w:val="0"/>
        <w:autoSpaceDN w:val="0"/>
        <w:adjustRightInd w:val="0"/>
        <w:rPr>
          <w:rFonts w:cs="Arial"/>
          <w:szCs w:val="20"/>
        </w:rPr>
      </w:pPr>
      <w:r w:rsidRPr="00CC0DE8">
        <w:rPr>
          <w:rFonts w:cs="Arial"/>
          <w:szCs w:val="20"/>
        </w:rPr>
        <w:t>Nos efforts dans les années à venir seront concentrés sur la préparation et le déploiement du nouveau cycle d'évaluation</w:t>
      </w:r>
      <w:r>
        <w:rPr>
          <w:rFonts w:cs="Arial"/>
          <w:szCs w:val="20"/>
        </w:rPr>
        <w:t>s</w:t>
      </w:r>
      <w:r w:rsidRPr="00CC0DE8">
        <w:rPr>
          <w:rFonts w:cs="Arial"/>
          <w:szCs w:val="20"/>
        </w:rPr>
        <w:t xml:space="preserve"> et sur le lancement du prochain chapitre ambitieux de notre travail, basé sur la nouvelle stratégie de Varsovie (2023-2027), récemment adoptée par les ministres et les hauts fonctionnaires des membres de MONEYVAL.  Nous continuerons à concentrer l'essentiel de nos efforts sur notre objectif principal, qui est de renforcer les systèmes de </w:t>
      </w:r>
      <w:r>
        <w:rPr>
          <w:rFonts w:cs="Arial"/>
          <w:szCs w:val="20"/>
        </w:rPr>
        <w:t>LBC/FT</w:t>
      </w:r>
      <w:r w:rsidRPr="00CC0DE8">
        <w:rPr>
          <w:rFonts w:cs="Arial"/>
          <w:szCs w:val="20"/>
        </w:rPr>
        <w:t xml:space="preserve"> et leur efficacité dans les pays et territoires évalués par MONEYVAL. Nous visons également à développer le rôle régional de MONEYVAL, </w:t>
      </w:r>
      <w:r>
        <w:rPr>
          <w:rFonts w:cs="Arial"/>
          <w:szCs w:val="20"/>
        </w:rPr>
        <w:t xml:space="preserve">renforcer </w:t>
      </w:r>
      <w:r w:rsidRPr="00CC0DE8">
        <w:rPr>
          <w:rFonts w:cs="Arial"/>
          <w:szCs w:val="20"/>
        </w:rPr>
        <w:t xml:space="preserve">son partenariat avec les institutions de l'Union européenne et </w:t>
      </w:r>
      <w:r>
        <w:rPr>
          <w:rFonts w:cs="Arial"/>
          <w:szCs w:val="20"/>
        </w:rPr>
        <w:t xml:space="preserve">assurer </w:t>
      </w:r>
      <w:r w:rsidRPr="00CC0DE8">
        <w:rPr>
          <w:rFonts w:cs="Arial"/>
          <w:szCs w:val="20"/>
        </w:rPr>
        <w:t xml:space="preserve">un dialogue régulier avec le secteur privé et la société civile. </w:t>
      </w:r>
    </w:p>
    <w:p w14:paraId="1558C738" w14:textId="77777777" w:rsidR="00AD2D41" w:rsidRPr="00CC0DE8" w:rsidRDefault="00AD2D41" w:rsidP="008F64ED">
      <w:pPr>
        <w:widowControl w:val="0"/>
        <w:autoSpaceDE w:val="0"/>
        <w:autoSpaceDN w:val="0"/>
        <w:adjustRightInd w:val="0"/>
        <w:rPr>
          <w:rFonts w:cs="Arial"/>
          <w:szCs w:val="20"/>
        </w:rPr>
      </w:pPr>
    </w:p>
    <w:p w14:paraId="09DF60E0" w14:textId="2E6BD29B" w:rsidR="00AD2D41" w:rsidRPr="00CC0DE8" w:rsidRDefault="00AD2D41" w:rsidP="008F64ED">
      <w:pPr>
        <w:widowControl w:val="0"/>
        <w:autoSpaceDE w:val="0"/>
        <w:autoSpaceDN w:val="0"/>
        <w:adjustRightInd w:val="0"/>
        <w:rPr>
          <w:rFonts w:cs="Arial"/>
          <w:szCs w:val="20"/>
        </w:rPr>
      </w:pPr>
      <w:r w:rsidRPr="00CC0DE8">
        <w:rPr>
          <w:rFonts w:cs="Arial"/>
          <w:szCs w:val="20"/>
        </w:rPr>
        <w:t xml:space="preserve">En </w:t>
      </w:r>
      <w:r w:rsidRPr="00677F81">
        <w:rPr>
          <w:rFonts w:cs="Arial"/>
          <w:szCs w:val="20"/>
        </w:rPr>
        <w:t>2023, j’achève mon mandat de quatre ans de présidence polonaise de MONEYVAL</w:t>
      </w:r>
      <w:r w:rsidRPr="00CC0DE8">
        <w:rPr>
          <w:rFonts w:cs="Arial"/>
          <w:szCs w:val="20"/>
        </w:rPr>
        <w:t xml:space="preserve">, qui a donné lieu à d'importants </w:t>
      </w:r>
      <w:r>
        <w:rPr>
          <w:rFonts w:cs="Arial"/>
          <w:szCs w:val="20"/>
        </w:rPr>
        <w:t>accomplissements</w:t>
      </w:r>
      <w:r w:rsidRPr="00CC0DE8">
        <w:rPr>
          <w:rFonts w:cs="Arial"/>
          <w:szCs w:val="20"/>
        </w:rPr>
        <w:t xml:space="preserve"> pour le Comité, et a défini une voie claire pour son développement, basée sur le soutien de ses membres et du GAFI. La réunion de haut niveau de MONEYVAL qui </w:t>
      </w:r>
      <w:r>
        <w:rPr>
          <w:rFonts w:cs="Arial"/>
          <w:szCs w:val="20"/>
        </w:rPr>
        <w:t>s’est tenue</w:t>
      </w:r>
      <w:r w:rsidRPr="00CC0DE8">
        <w:rPr>
          <w:rFonts w:cs="Arial"/>
          <w:szCs w:val="20"/>
        </w:rPr>
        <w:t xml:space="preserve"> à Varsovie le 25 avril 2023 </w:t>
      </w:r>
      <w:r>
        <w:rPr>
          <w:rFonts w:cs="Arial"/>
          <w:szCs w:val="20"/>
        </w:rPr>
        <w:t>représente</w:t>
      </w:r>
      <w:r w:rsidRPr="00CC0DE8">
        <w:rPr>
          <w:rFonts w:cs="Arial"/>
          <w:szCs w:val="20"/>
        </w:rPr>
        <w:t xml:space="preserve"> une étape historique clé dans nos efforts pour renforcer l'implication politique et ministérielle dans la </w:t>
      </w:r>
      <w:r>
        <w:rPr>
          <w:rFonts w:cs="Arial"/>
          <w:szCs w:val="20"/>
        </w:rPr>
        <w:t>LBC/FT</w:t>
      </w:r>
      <w:r w:rsidRPr="00CC0DE8">
        <w:rPr>
          <w:rFonts w:cs="Arial"/>
          <w:szCs w:val="20"/>
        </w:rPr>
        <w:t xml:space="preserve"> et pour s'assurer que nos efforts communs aboutissent à des résultats tangibles</w:t>
      </w:r>
      <w:r>
        <w:rPr>
          <w:rFonts w:cs="Arial"/>
          <w:szCs w:val="20"/>
        </w:rPr>
        <w:t>, au vu des</w:t>
      </w:r>
      <w:r w:rsidRPr="00CC0DE8">
        <w:rPr>
          <w:rFonts w:cs="Arial"/>
          <w:szCs w:val="20"/>
        </w:rPr>
        <w:t xml:space="preserve"> défis nouveaux et émergents auxquels sont confrontés nos membres. </w:t>
      </w:r>
    </w:p>
    <w:p w14:paraId="59942752" w14:textId="77777777" w:rsidR="00AD2D41" w:rsidRPr="00CC0DE8" w:rsidRDefault="00AD2D41" w:rsidP="008F64ED">
      <w:pPr>
        <w:widowControl w:val="0"/>
        <w:autoSpaceDE w:val="0"/>
        <w:autoSpaceDN w:val="0"/>
        <w:adjustRightInd w:val="0"/>
        <w:rPr>
          <w:rFonts w:cs="Arial"/>
          <w:szCs w:val="20"/>
        </w:rPr>
      </w:pPr>
    </w:p>
    <w:p w14:paraId="23B56C9A" w14:textId="797B553A" w:rsidR="00AD2D41" w:rsidRPr="00CC0DE8" w:rsidRDefault="00AD2D41" w:rsidP="008F64ED">
      <w:pPr>
        <w:widowControl w:val="0"/>
        <w:autoSpaceDE w:val="0"/>
        <w:autoSpaceDN w:val="0"/>
        <w:adjustRightInd w:val="0"/>
        <w:rPr>
          <w:rFonts w:cs="Arial"/>
          <w:szCs w:val="20"/>
        </w:rPr>
      </w:pPr>
      <w:r w:rsidRPr="00CC0DE8">
        <w:rPr>
          <w:rFonts w:cs="Arial"/>
          <w:szCs w:val="20"/>
        </w:rPr>
        <w:t xml:space="preserve">Je </w:t>
      </w:r>
      <w:r>
        <w:rPr>
          <w:rFonts w:cs="Arial"/>
          <w:szCs w:val="20"/>
        </w:rPr>
        <w:t>souhaite à</w:t>
      </w:r>
      <w:r w:rsidRPr="00CC0DE8">
        <w:rPr>
          <w:rFonts w:cs="Arial"/>
          <w:szCs w:val="20"/>
        </w:rPr>
        <w:t xml:space="preserve"> cette occasion exprimer ma sincère reconnaissance à toutes nos parties prenantes européennes et internationales pour leur soutien et leur engagement auprès de MONEYVAL </w:t>
      </w:r>
      <w:r>
        <w:rPr>
          <w:rFonts w:cs="Arial"/>
          <w:szCs w:val="20"/>
        </w:rPr>
        <w:t>en poursuivant</w:t>
      </w:r>
      <w:r w:rsidRPr="00CC0DE8">
        <w:rPr>
          <w:rFonts w:cs="Arial"/>
          <w:szCs w:val="20"/>
        </w:rPr>
        <w:t xml:space="preserve"> nos efforts conjoints pour lutter contre le blanchiment </w:t>
      </w:r>
      <w:r>
        <w:rPr>
          <w:rFonts w:cs="Arial"/>
          <w:szCs w:val="20"/>
        </w:rPr>
        <w:t>de capitaux</w:t>
      </w:r>
      <w:r w:rsidRPr="00CC0DE8">
        <w:rPr>
          <w:rFonts w:cs="Arial"/>
          <w:szCs w:val="20"/>
        </w:rPr>
        <w:t xml:space="preserve">, le financement du terrorisme et la prolifération des armes de destruction massive. </w:t>
      </w:r>
    </w:p>
    <w:p w14:paraId="0214146F" w14:textId="77777777" w:rsidR="00AD2D41" w:rsidRPr="00CC0DE8" w:rsidRDefault="00AD2D41" w:rsidP="008F64ED">
      <w:pPr>
        <w:widowControl w:val="0"/>
        <w:autoSpaceDE w:val="0"/>
        <w:autoSpaceDN w:val="0"/>
        <w:adjustRightInd w:val="0"/>
        <w:rPr>
          <w:rFonts w:cs="Arial"/>
          <w:szCs w:val="20"/>
        </w:rPr>
      </w:pPr>
    </w:p>
    <w:p w14:paraId="57609A8C" w14:textId="77777777" w:rsidR="00AD2D41" w:rsidRDefault="00AD2D41" w:rsidP="00AD2D41">
      <w:pPr>
        <w:jc w:val="both"/>
        <w:rPr>
          <w:rFonts w:cs="Arial"/>
          <w:b/>
          <w:bCs/>
          <w:i/>
          <w:iCs/>
          <w:szCs w:val="20"/>
        </w:rPr>
      </w:pPr>
      <w:proofErr w:type="spellStart"/>
      <w:r w:rsidRPr="00E50881">
        <w:rPr>
          <w:rFonts w:cs="Arial"/>
          <w:b/>
          <w:bCs/>
          <w:i/>
          <w:iCs/>
          <w:szCs w:val="20"/>
        </w:rPr>
        <w:t>Elżbieta</w:t>
      </w:r>
      <w:proofErr w:type="spellEnd"/>
      <w:r w:rsidRPr="00E50881">
        <w:rPr>
          <w:rFonts w:cs="Arial"/>
          <w:b/>
          <w:bCs/>
          <w:i/>
          <w:iCs/>
          <w:szCs w:val="20"/>
        </w:rPr>
        <w:t xml:space="preserve"> </w:t>
      </w:r>
      <w:proofErr w:type="spellStart"/>
      <w:r w:rsidRPr="00E50881">
        <w:rPr>
          <w:rFonts w:cs="Arial"/>
          <w:b/>
          <w:bCs/>
          <w:i/>
          <w:iCs/>
          <w:szCs w:val="20"/>
        </w:rPr>
        <w:t>Frankow-Jaśkiewicz</w:t>
      </w:r>
      <w:proofErr w:type="spellEnd"/>
    </w:p>
    <w:p w14:paraId="3015DDDB" w14:textId="77777777" w:rsidR="00AD2D41" w:rsidRDefault="00AD2D41" w:rsidP="00AD2D41"/>
    <w:p w14:paraId="2B3D065E" w14:textId="77777777" w:rsidR="00DF5B08" w:rsidRPr="00FC1764" w:rsidRDefault="00DF5B08" w:rsidP="00DF5B08">
      <w:pPr>
        <w:jc w:val="both"/>
        <w:rPr>
          <w:rFonts w:cs="Arial"/>
          <w:b/>
          <w:bCs/>
          <w:i/>
          <w:iCs/>
          <w:szCs w:val="20"/>
        </w:rPr>
      </w:pPr>
      <w:bookmarkStart w:id="56" w:name="lt_pId138"/>
      <w:r w:rsidRPr="00FC1764">
        <w:rPr>
          <w:rFonts w:cs="Arial"/>
          <w:b/>
          <w:bCs/>
          <w:i/>
          <w:iCs/>
          <w:szCs w:val="20"/>
        </w:rPr>
        <w:t>Présidente de MONEYVAL</w:t>
      </w:r>
      <w:bookmarkEnd w:id="56"/>
    </w:p>
    <w:p w14:paraId="5F29FD78" w14:textId="77777777" w:rsidR="00DF5B08" w:rsidRPr="00F935E7" w:rsidRDefault="00DF5B08" w:rsidP="00DF5B08">
      <w:pPr>
        <w:keepNext/>
        <w:widowControl w:val="0"/>
        <w:ind w:right="284"/>
        <w:jc w:val="both"/>
        <w:outlineLvl w:val="1"/>
        <w:rPr>
          <w:rFonts w:cs="Arial"/>
          <w:smallCaps/>
          <w:w w:val="105"/>
          <w:kern w:val="28"/>
          <w:szCs w:val="20"/>
          <w:lang w:eastAsia="zh-CN"/>
        </w:rPr>
      </w:pPr>
    </w:p>
    <w:p w14:paraId="68EDBCB5" w14:textId="77777777" w:rsidR="00DF5B08" w:rsidRPr="00F935E7" w:rsidRDefault="00DF5B08" w:rsidP="00DF5B08">
      <w:pPr>
        <w:keepNext/>
        <w:widowControl w:val="0"/>
        <w:ind w:right="284"/>
        <w:jc w:val="both"/>
        <w:outlineLvl w:val="1"/>
        <w:rPr>
          <w:rFonts w:cs="Arial"/>
          <w:smallCaps/>
          <w:w w:val="105"/>
          <w:kern w:val="28"/>
          <w:szCs w:val="20"/>
          <w:lang w:eastAsia="zh-CN"/>
        </w:rPr>
      </w:pPr>
    </w:p>
    <w:p w14:paraId="036D5CF9" w14:textId="77777777" w:rsidR="00DF5B08" w:rsidRPr="00F935E7" w:rsidRDefault="00DF5B08" w:rsidP="00DF5B08">
      <w:pPr>
        <w:jc w:val="both"/>
        <w:rPr>
          <w:rFonts w:cs="Arial"/>
          <w:smallCaps/>
          <w:w w:val="105"/>
          <w:kern w:val="28"/>
          <w:szCs w:val="20"/>
          <w:lang w:eastAsia="zh-CN"/>
        </w:rPr>
      </w:pPr>
      <w:r w:rsidRPr="00F935E7">
        <w:rPr>
          <w:rFonts w:cs="Arial"/>
          <w:smallCaps/>
          <w:w w:val="105"/>
          <w:kern w:val="28"/>
          <w:szCs w:val="20"/>
          <w:lang w:eastAsia="zh-CN"/>
        </w:rPr>
        <w:br w:type="page"/>
      </w:r>
    </w:p>
    <w:p w14:paraId="1594818B" w14:textId="77777777" w:rsidR="00DF5B08" w:rsidRPr="00CD2C26" w:rsidRDefault="00DF5B08" w:rsidP="00DF5B08">
      <w:pPr>
        <w:pStyle w:val="Title1"/>
        <w:spacing w:before="0" w:after="0"/>
        <w:rPr>
          <w:color w:val="auto"/>
          <w:lang w:val="fr-FR"/>
        </w:rPr>
      </w:pPr>
      <w:bookmarkStart w:id="57" w:name="lt_pId139"/>
      <w:bookmarkStart w:id="58" w:name="_Toc94256516"/>
      <w:bookmarkStart w:id="59" w:name="_Toc135412689"/>
      <w:bookmarkEnd w:id="50"/>
      <w:r w:rsidRPr="00CD2C26">
        <w:rPr>
          <w:color w:val="auto"/>
          <w:lang w:val="fr-FR"/>
        </w:rPr>
        <w:lastRenderedPageBreak/>
        <w:t>RÉSUMÉ</w:t>
      </w:r>
      <w:bookmarkEnd w:id="57"/>
      <w:bookmarkEnd w:id="58"/>
      <w:bookmarkEnd w:id="59"/>
    </w:p>
    <w:p w14:paraId="7D3A771A" w14:textId="77777777" w:rsidR="00DF5B08" w:rsidRPr="00F935E7" w:rsidRDefault="00DF5B08" w:rsidP="00DF5B08">
      <w:pPr>
        <w:pStyle w:val="Title1"/>
        <w:spacing w:before="0" w:after="0"/>
        <w:rPr>
          <w:color w:val="auto"/>
          <w:lang w:val="fr-FR"/>
        </w:rPr>
      </w:pPr>
    </w:p>
    <w:p w14:paraId="46F816D5" w14:textId="77CEFBDA" w:rsidR="00DF5B08" w:rsidRPr="00F935E7" w:rsidRDefault="00DF5B08" w:rsidP="00DF5B08">
      <w:pPr>
        <w:widowControl w:val="0"/>
        <w:autoSpaceDE w:val="0"/>
        <w:autoSpaceDN w:val="0"/>
        <w:adjustRightInd w:val="0"/>
        <w:rPr>
          <w:rFonts w:cs="Arial"/>
          <w:szCs w:val="20"/>
        </w:rPr>
      </w:pPr>
      <w:bookmarkStart w:id="60" w:name="lt_pId140"/>
      <w:r w:rsidRPr="00F935E7">
        <w:rPr>
          <w:rFonts w:cs="Arial"/>
          <w:szCs w:val="20"/>
        </w:rPr>
        <w:t xml:space="preserve">Le Comité d’experts sur l’évaluation des mesures de lutte contre le </w:t>
      </w:r>
      <w:r w:rsidRPr="00E967D0">
        <w:rPr>
          <w:rFonts w:cs="Arial"/>
          <w:szCs w:val="20"/>
        </w:rPr>
        <w:t>blanchiment des capitaux et le financement du terrorisme (MONEYVAL) est un organe de suivi du Conseil de l’Europe qui compte 3</w:t>
      </w:r>
      <w:r w:rsidR="00AD2D41" w:rsidRPr="00E967D0">
        <w:rPr>
          <w:rFonts w:cs="Arial"/>
          <w:szCs w:val="20"/>
        </w:rPr>
        <w:t>5</w:t>
      </w:r>
      <w:r w:rsidRPr="00E967D0">
        <w:rPr>
          <w:rFonts w:cs="Arial"/>
          <w:szCs w:val="20"/>
        </w:rPr>
        <w:t xml:space="preserve"> États et </w:t>
      </w:r>
      <w:r w:rsidR="00A72E2D" w:rsidRPr="00E967D0">
        <w:rPr>
          <w:rFonts w:cs="Arial"/>
          <w:szCs w:val="20"/>
        </w:rPr>
        <w:t xml:space="preserve">territoires </w:t>
      </w:r>
      <w:r w:rsidRPr="00E967D0">
        <w:rPr>
          <w:rFonts w:cs="Arial"/>
          <w:szCs w:val="20"/>
        </w:rPr>
        <w:t>membres.</w:t>
      </w:r>
      <w:bookmarkEnd w:id="60"/>
      <w:r w:rsidRPr="00E967D0">
        <w:rPr>
          <w:rFonts w:cs="Arial"/>
          <w:szCs w:val="20"/>
        </w:rPr>
        <w:t xml:space="preserve"> </w:t>
      </w:r>
      <w:bookmarkStart w:id="61" w:name="lt_pId141"/>
      <w:r w:rsidRPr="00E967D0">
        <w:rPr>
          <w:rFonts w:cs="Arial"/>
          <w:szCs w:val="20"/>
        </w:rPr>
        <w:t>Par le biais d’un mécanisme de pression par les pairs, MONEYVAL incite ses</w:t>
      </w:r>
      <w:r w:rsidRPr="00F935E7">
        <w:rPr>
          <w:rFonts w:cs="Arial"/>
          <w:szCs w:val="20"/>
        </w:rPr>
        <w:t xml:space="preserve"> membres à mettre constamment à jour leur législation</w:t>
      </w:r>
      <w:r w:rsidR="00382307">
        <w:rPr>
          <w:rFonts w:cs="Arial"/>
          <w:szCs w:val="20"/>
        </w:rPr>
        <w:t>,</w:t>
      </w:r>
      <w:r w:rsidRPr="00F935E7">
        <w:rPr>
          <w:rFonts w:cs="Arial"/>
          <w:szCs w:val="20"/>
        </w:rPr>
        <w:t xml:space="preserve"> </w:t>
      </w:r>
      <w:r w:rsidR="00382307" w:rsidRPr="00382307">
        <w:rPr>
          <w:rFonts w:cs="Arial"/>
          <w:szCs w:val="20"/>
        </w:rPr>
        <w:t>institutions et pratiques opérationnelles</w:t>
      </w:r>
      <w:r w:rsidR="00382307">
        <w:rPr>
          <w:rFonts w:cs="Arial"/>
          <w:szCs w:val="20"/>
        </w:rPr>
        <w:t xml:space="preserve"> </w:t>
      </w:r>
      <w:r w:rsidRPr="00F935E7">
        <w:rPr>
          <w:rFonts w:cs="Arial"/>
          <w:szCs w:val="20"/>
        </w:rPr>
        <w:t>en matière de lutte contre le blanchiment des capitaux et le financement du terrorisme (</w:t>
      </w:r>
      <w:r>
        <w:rPr>
          <w:rFonts w:cs="Arial"/>
          <w:szCs w:val="20"/>
        </w:rPr>
        <w:t>LBC</w:t>
      </w:r>
      <w:r w:rsidRPr="00F935E7">
        <w:rPr>
          <w:rFonts w:cs="Arial"/>
          <w:szCs w:val="20"/>
        </w:rPr>
        <w:t>/FT).</w:t>
      </w:r>
      <w:bookmarkEnd w:id="61"/>
      <w:r w:rsidRPr="00F935E7">
        <w:rPr>
          <w:rFonts w:cs="Arial"/>
          <w:szCs w:val="20"/>
        </w:rPr>
        <w:t xml:space="preserve"> </w:t>
      </w:r>
      <w:bookmarkStart w:id="62" w:name="lt_pId142"/>
      <w:r w:rsidRPr="00F935E7">
        <w:rPr>
          <w:rFonts w:cs="Arial"/>
          <w:szCs w:val="20"/>
        </w:rPr>
        <w:t xml:space="preserve">Les rapports de MONEYVAL sont publics et largement utilisés par les institutions financières </w:t>
      </w:r>
      <w:r>
        <w:rPr>
          <w:rFonts w:cs="Arial"/>
          <w:szCs w:val="20"/>
        </w:rPr>
        <w:t>dans</w:t>
      </w:r>
      <w:r w:rsidRPr="00F935E7">
        <w:rPr>
          <w:rFonts w:cs="Arial"/>
          <w:szCs w:val="20"/>
        </w:rPr>
        <w:t xml:space="preserve"> le monde </w:t>
      </w:r>
      <w:r>
        <w:rPr>
          <w:rFonts w:cs="Arial"/>
          <w:szCs w:val="20"/>
        </w:rPr>
        <w:t xml:space="preserve">entier </w:t>
      </w:r>
      <w:r w:rsidRPr="00F935E7">
        <w:rPr>
          <w:rFonts w:cs="Arial"/>
          <w:szCs w:val="20"/>
        </w:rPr>
        <w:t>pour déterminer s’il convient d</w:t>
      </w:r>
      <w:r w:rsidR="00E967D0">
        <w:rPr>
          <w:rFonts w:cs="Arial"/>
          <w:szCs w:val="20"/>
        </w:rPr>
        <w:t xml:space="preserve">’entamer une relation d’affaires dans un </w:t>
      </w:r>
      <w:r w:rsidR="00A72E2D">
        <w:rPr>
          <w:rFonts w:cs="Arial"/>
          <w:szCs w:val="20"/>
        </w:rPr>
        <w:t>pays</w:t>
      </w:r>
      <w:r w:rsidRPr="00F935E7">
        <w:rPr>
          <w:rFonts w:cs="Arial"/>
          <w:szCs w:val="20"/>
        </w:rPr>
        <w:t>.</w:t>
      </w:r>
      <w:bookmarkEnd w:id="62"/>
      <w:r w:rsidRPr="00F935E7">
        <w:rPr>
          <w:rFonts w:cs="Arial"/>
          <w:szCs w:val="20"/>
        </w:rPr>
        <w:t xml:space="preserve"> </w:t>
      </w:r>
      <w:bookmarkStart w:id="63" w:name="lt_pId143"/>
      <w:r w:rsidRPr="00E967D0">
        <w:rPr>
          <w:rFonts w:cs="Arial"/>
          <w:szCs w:val="20"/>
        </w:rPr>
        <w:t xml:space="preserve">Les normes internationales de lutte contre le blanchiment de capitaux et le financement du terrorisme dont MONEYVAL assure </w:t>
      </w:r>
      <w:r w:rsidR="008A0052" w:rsidRPr="00E967D0">
        <w:rPr>
          <w:rFonts w:cs="Arial"/>
          <w:szCs w:val="20"/>
        </w:rPr>
        <w:t>le suivi</w:t>
      </w:r>
      <w:r w:rsidRPr="00E967D0">
        <w:rPr>
          <w:rFonts w:cs="Arial"/>
          <w:szCs w:val="20"/>
        </w:rPr>
        <w:t xml:space="preserve"> sont définies par le Groupe d’action financière (GAFI).</w:t>
      </w:r>
      <w:bookmarkEnd w:id="63"/>
      <w:r w:rsidRPr="00E967D0">
        <w:rPr>
          <w:rFonts w:cs="Arial"/>
          <w:szCs w:val="20"/>
        </w:rPr>
        <w:t xml:space="preserve"> </w:t>
      </w:r>
      <w:bookmarkStart w:id="64" w:name="lt_pId144"/>
      <w:r w:rsidRPr="00E967D0">
        <w:rPr>
          <w:rFonts w:cs="Arial"/>
          <w:szCs w:val="20"/>
        </w:rPr>
        <w:t>MONEYVAL est un organisme régional de type GAFI</w:t>
      </w:r>
      <w:r w:rsidRPr="00F935E7">
        <w:rPr>
          <w:rFonts w:cs="Arial"/>
          <w:szCs w:val="20"/>
        </w:rPr>
        <w:t xml:space="preserve"> (ORTG) et aussi un membre associé du GAFI.</w:t>
      </w:r>
      <w:bookmarkEnd w:id="64"/>
      <w:r w:rsidRPr="00F935E7">
        <w:rPr>
          <w:rFonts w:cs="Arial"/>
          <w:szCs w:val="20"/>
        </w:rPr>
        <w:t xml:space="preserve"> </w:t>
      </w:r>
    </w:p>
    <w:p w14:paraId="3690C2EB" w14:textId="77777777" w:rsidR="00DF5B08" w:rsidRPr="00F935E7" w:rsidRDefault="00DF5B08" w:rsidP="00DF5B08">
      <w:pPr>
        <w:widowControl w:val="0"/>
        <w:autoSpaceDE w:val="0"/>
        <w:autoSpaceDN w:val="0"/>
        <w:adjustRightInd w:val="0"/>
        <w:rPr>
          <w:rFonts w:cs="Arial"/>
          <w:szCs w:val="20"/>
        </w:rPr>
      </w:pPr>
    </w:p>
    <w:p w14:paraId="6A928D88" w14:textId="0CA72232" w:rsidR="00DF5B08" w:rsidRPr="00F935E7" w:rsidRDefault="00DF5B08" w:rsidP="00DF5B08">
      <w:pPr>
        <w:rPr>
          <w:rFonts w:cs="Arial"/>
          <w:szCs w:val="20"/>
        </w:rPr>
      </w:pPr>
      <w:bookmarkStart w:id="65" w:name="lt_pId145"/>
      <w:r>
        <w:rPr>
          <w:rFonts w:cs="Arial"/>
          <w:szCs w:val="20"/>
        </w:rPr>
        <w:t xml:space="preserve">Le présent </w:t>
      </w:r>
      <w:r w:rsidRPr="00F935E7">
        <w:rPr>
          <w:rFonts w:cs="Arial"/>
          <w:szCs w:val="20"/>
        </w:rPr>
        <w:t>rapport annuel</w:t>
      </w:r>
      <w:r>
        <w:rPr>
          <w:rFonts w:cs="Arial"/>
          <w:szCs w:val="20"/>
        </w:rPr>
        <w:t xml:space="preserve"> donne </w:t>
      </w:r>
      <w:r w:rsidRPr="00F935E7">
        <w:rPr>
          <w:rFonts w:cs="Arial"/>
          <w:szCs w:val="20"/>
        </w:rPr>
        <w:t xml:space="preserve">une vue d’ensemble des </w:t>
      </w:r>
      <w:r w:rsidR="00E967D0">
        <w:rPr>
          <w:rFonts w:cs="Arial"/>
          <w:szCs w:val="20"/>
        </w:rPr>
        <w:t xml:space="preserve">principales </w:t>
      </w:r>
      <w:r w:rsidRPr="00F935E7">
        <w:rPr>
          <w:rFonts w:cs="Arial"/>
          <w:szCs w:val="20"/>
        </w:rPr>
        <w:t>tendances</w:t>
      </w:r>
      <w:r w:rsidR="00D53FBF">
        <w:rPr>
          <w:rFonts w:cs="Arial"/>
          <w:szCs w:val="20"/>
        </w:rPr>
        <w:t xml:space="preserve"> </w:t>
      </w:r>
      <w:r w:rsidRPr="00F935E7">
        <w:rPr>
          <w:rFonts w:cs="Arial"/>
          <w:szCs w:val="20"/>
        </w:rPr>
        <w:t xml:space="preserve">en matière de conformité dans les </w:t>
      </w:r>
      <w:r w:rsidR="00A72E2D">
        <w:rPr>
          <w:rFonts w:cs="Arial"/>
          <w:szCs w:val="20"/>
        </w:rPr>
        <w:t>pays</w:t>
      </w:r>
      <w:r w:rsidR="00A72E2D" w:rsidRPr="00F935E7">
        <w:rPr>
          <w:rFonts w:cs="Arial"/>
          <w:szCs w:val="20"/>
        </w:rPr>
        <w:t xml:space="preserve"> </w:t>
      </w:r>
      <w:r w:rsidRPr="00F935E7">
        <w:rPr>
          <w:rFonts w:cs="Arial"/>
          <w:szCs w:val="20"/>
        </w:rPr>
        <w:t xml:space="preserve">membres de MONEYVAL </w:t>
      </w:r>
      <w:r w:rsidRPr="00DC648E">
        <w:rPr>
          <w:rFonts w:cs="Arial"/>
          <w:szCs w:val="20"/>
        </w:rPr>
        <w:t xml:space="preserve">et présente les activités </w:t>
      </w:r>
      <w:r w:rsidR="00A72E2D">
        <w:rPr>
          <w:rFonts w:cs="Arial"/>
          <w:szCs w:val="20"/>
        </w:rPr>
        <w:t>principales</w:t>
      </w:r>
      <w:r w:rsidR="00A72E2D" w:rsidRPr="00DC648E">
        <w:rPr>
          <w:rFonts w:cs="Arial"/>
          <w:szCs w:val="20"/>
        </w:rPr>
        <w:t xml:space="preserve"> </w:t>
      </w:r>
      <w:r w:rsidRPr="00DC648E">
        <w:rPr>
          <w:rFonts w:cs="Arial"/>
          <w:szCs w:val="20"/>
        </w:rPr>
        <w:t>de notre Comité, ainsi que les résultats obtenus en 202</w:t>
      </w:r>
      <w:r w:rsidR="00A72E2D">
        <w:rPr>
          <w:rFonts w:cs="Arial"/>
          <w:szCs w:val="20"/>
        </w:rPr>
        <w:t>2</w:t>
      </w:r>
      <w:r w:rsidRPr="00DC648E">
        <w:rPr>
          <w:rFonts w:cs="Arial"/>
          <w:szCs w:val="20"/>
        </w:rPr>
        <w:t xml:space="preserve"> </w:t>
      </w:r>
      <w:r w:rsidR="00E967D0">
        <w:rPr>
          <w:rFonts w:cs="Arial"/>
          <w:szCs w:val="20"/>
        </w:rPr>
        <w:t>concernant</w:t>
      </w:r>
      <w:r w:rsidRPr="00DC648E">
        <w:rPr>
          <w:rFonts w:cs="Arial"/>
          <w:szCs w:val="20"/>
        </w:rPr>
        <w:t xml:space="preserve"> </w:t>
      </w:r>
      <w:r w:rsidR="00E967D0">
        <w:rPr>
          <w:rFonts w:cs="Arial"/>
          <w:szCs w:val="20"/>
        </w:rPr>
        <w:t>l</w:t>
      </w:r>
      <w:r w:rsidRPr="00DC648E">
        <w:rPr>
          <w:rFonts w:cs="Arial"/>
          <w:szCs w:val="20"/>
        </w:rPr>
        <w:t xml:space="preserve">es évaluations mutuelles, </w:t>
      </w:r>
      <w:r w:rsidR="00E967D0">
        <w:rPr>
          <w:rFonts w:cs="Arial"/>
          <w:szCs w:val="20"/>
        </w:rPr>
        <w:t>le</w:t>
      </w:r>
      <w:r w:rsidR="00E967D0" w:rsidRPr="00DC648E">
        <w:rPr>
          <w:rFonts w:cs="Arial"/>
          <w:szCs w:val="20"/>
        </w:rPr>
        <w:t xml:space="preserve"> </w:t>
      </w:r>
      <w:r w:rsidRPr="00DC648E">
        <w:rPr>
          <w:rFonts w:cs="Arial"/>
          <w:szCs w:val="20"/>
        </w:rPr>
        <w:t xml:space="preserve">suivi, </w:t>
      </w:r>
      <w:r w:rsidR="00E967D0">
        <w:rPr>
          <w:rFonts w:cs="Arial"/>
          <w:szCs w:val="20"/>
        </w:rPr>
        <w:t>l</w:t>
      </w:r>
      <w:r w:rsidRPr="00DC648E">
        <w:rPr>
          <w:rFonts w:cs="Arial"/>
          <w:szCs w:val="20"/>
        </w:rPr>
        <w:t xml:space="preserve">es recherches portant sur les typologies, la formation, ainsi que </w:t>
      </w:r>
      <w:r w:rsidR="00E967D0">
        <w:rPr>
          <w:rFonts w:cs="Arial"/>
          <w:szCs w:val="20"/>
        </w:rPr>
        <w:t>l</w:t>
      </w:r>
      <w:r w:rsidRPr="00DC648E">
        <w:rPr>
          <w:rFonts w:cs="Arial"/>
          <w:szCs w:val="20"/>
        </w:rPr>
        <w:t xml:space="preserve">es </w:t>
      </w:r>
      <w:bookmarkStart w:id="66" w:name="_Hlk94427801"/>
      <w:r w:rsidRPr="00DC648E">
        <w:rPr>
          <w:rFonts w:cs="Arial"/>
          <w:szCs w:val="20"/>
        </w:rPr>
        <w:t>engagements externes et internes</w:t>
      </w:r>
      <w:bookmarkEnd w:id="66"/>
      <w:r w:rsidRPr="00DC648E">
        <w:rPr>
          <w:rFonts w:cs="Arial"/>
          <w:szCs w:val="20"/>
        </w:rPr>
        <w:t>.</w:t>
      </w:r>
      <w:bookmarkEnd w:id="65"/>
    </w:p>
    <w:p w14:paraId="134C8448" w14:textId="77777777" w:rsidR="00DF5B08" w:rsidRPr="00F935E7" w:rsidRDefault="00DF5B08" w:rsidP="00DF5B08">
      <w:pPr>
        <w:rPr>
          <w:rFonts w:cs="Arial"/>
          <w:szCs w:val="20"/>
        </w:rPr>
      </w:pPr>
    </w:p>
    <w:p w14:paraId="797B8AE1" w14:textId="1A3CF307" w:rsidR="00DF5B08" w:rsidRPr="00F935E7" w:rsidRDefault="00DF5B08" w:rsidP="00DF5B08">
      <w:pPr>
        <w:rPr>
          <w:rFonts w:cs="Arial"/>
          <w:szCs w:val="20"/>
        </w:rPr>
      </w:pPr>
      <w:bookmarkStart w:id="67" w:name="lt_pId146"/>
      <w:bookmarkStart w:id="68" w:name="_Hlk66644770"/>
      <w:r w:rsidRPr="000F416C">
        <w:rPr>
          <w:rFonts w:cs="Arial"/>
          <w:szCs w:val="20"/>
        </w:rPr>
        <w:t xml:space="preserve">Les États et </w:t>
      </w:r>
      <w:r w:rsidR="00D53FBF" w:rsidRPr="000F416C">
        <w:rPr>
          <w:rFonts w:cs="Arial"/>
          <w:szCs w:val="20"/>
        </w:rPr>
        <w:t xml:space="preserve">territoires </w:t>
      </w:r>
      <w:r w:rsidRPr="000F416C">
        <w:rPr>
          <w:rFonts w:cs="Arial"/>
          <w:szCs w:val="20"/>
        </w:rPr>
        <w:t>membres de MONEYVAL continuent</w:t>
      </w:r>
      <w:r w:rsidR="00D53FBF">
        <w:rPr>
          <w:rFonts w:cs="Arial"/>
          <w:szCs w:val="20"/>
        </w:rPr>
        <w:t xml:space="preserve">, </w:t>
      </w:r>
      <w:r w:rsidR="00C062C0">
        <w:rPr>
          <w:rFonts w:cs="Arial"/>
          <w:szCs w:val="20"/>
        </w:rPr>
        <w:t>globalement</w:t>
      </w:r>
      <w:r w:rsidR="00D53FBF">
        <w:rPr>
          <w:rFonts w:cs="Arial"/>
          <w:szCs w:val="20"/>
        </w:rPr>
        <w:t>,</w:t>
      </w:r>
      <w:r w:rsidRPr="00F935E7">
        <w:rPr>
          <w:rFonts w:cs="Arial"/>
          <w:szCs w:val="20"/>
        </w:rPr>
        <w:t xml:space="preserve"> à faire preuve d’une </w:t>
      </w:r>
      <w:r w:rsidRPr="00A80EF8">
        <w:rPr>
          <w:rFonts w:cs="Arial"/>
          <w:b/>
          <w:bCs/>
          <w:szCs w:val="20"/>
        </w:rPr>
        <w:t>efficacité modérée</w:t>
      </w:r>
      <w:r w:rsidRPr="00F935E7">
        <w:rPr>
          <w:rFonts w:cs="Arial"/>
          <w:szCs w:val="20"/>
        </w:rPr>
        <w:t xml:space="preserve"> dans leurs efforts de </w:t>
      </w:r>
      <w:r w:rsidR="00D53FBF">
        <w:rPr>
          <w:rFonts w:cs="Arial"/>
          <w:szCs w:val="20"/>
        </w:rPr>
        <w:t>LBC/FT</w:t>
      </w:r>
      <w:r w:rsidRPr="00F935E7">
        <w:rPr>
          <w:rFonts w:cs="Arial"/>
          <w:szCs w:val="20"/>
        </w:rPr>
        <w:t>.</w:t>
      </w:r>
      <w:bookmarkEnd w:id="67"/>
      <w:r w:rsidRPr="00F935E7">
        <w:rPr>
          <w:rFonts w:cs="Arial"/>
          <w:szCs w:val="20"/>
        </w:rPr>
        <w:t xml:space="preserve"> </w:t>
      </w:r>
      <w:bookmarkStart w:id="69" w:name="lt_pId147"/>
      <w:r w:rsidRPr="00F935E7">
        <w:rPr>
          <w:rFonts w:cs="Arial"/>
          <w:szCs w:val="20"/>
        </w:rPr>
        <w:t xml:space="preserve">Le niveau médian de conformité est donc </w:t>
      </w:r>
      <w:r w:rsidRPr="00A80EF8">
        <w:rPr>
          <w:rFonts w:cs="Arial"/>
          <w:b/>
          <w:bCs/>
          <w:szCs w:val="20"/>
        </w:rPr>
        <w:t>inférieur au seuil de satisfaction</w:t>
      </w:r>
      <w:r w:rsidRPr="00F935E7">
        <w:rPr>
          <w:rFonts w:cs="Arial"/>
          <w:szCs w:val="20"/>
        </w:rPr>
        <w:t>.</w:t>
      </w:r>
      <w:bookmarkEnd w:id="69"/>
      <w:r w:rsidRPr="00F935E7">
        <w:rPr>
          <w:rFonts w:cs="Arial"/>
          <w:szCs w:val="20"/>
        </w:rPr>
        <w:t xml:space="preserve"> </w:t>
      </w:r>
      <w:bookmarkStart w:id="70" w:name="lt_pId148"/>
      <w:r w:rsidR="00FC1764">
        <w:rPr>
          <w:rFonts w:cs="Arial"/>
          <w:szCs w:val="20"/>
        </w:rPr>
        <w:t>L</w:t>
      </w:r>
      <w:r w:rsidR="00EC1419">
        <w:rPr>
          <w:rFonts w:cs="Arial"/>
          <w:szCs w:val="20"/>
        </w:rPr>
        <w:t xml:space="preserve">es meilleurs résultats </w:t>
      </w:r>
      <w:r w:rsidR="00FC1764">
        <w:rPr>
          <w:rFonts w:cs="Arial"/>
          <w:szCs w:val="20"/>
        </w:rPr>
        <w:t xml:space="preserve">sont obtenus dans </w:t>
      </w:r>
      <w:r w:rsidRPr="00F935E7">
        <w:rPr>
          <w:rFonts w:cs="Arial"/>
          <w:szCs w:val="20"/>
        </w:rPr>
        <w:t>les domaines de l’évaluation des risques, de la coopération internationale et de l’utilisation du renseignement financier.</w:t>
      </w:r>
      <w:bookmarkEnd w:id="70"/>
      <w:r w:rsidRPr="00F935E7">
        <w:rPr>
          <w:rFonts w:cs="Arial"/>
          <w:szCs w:val="20"/>
        </w:rPr>
        <w:t xml:space="preserve"> </w:t>
      </w:r>
      <w:bookmarkStart w:id="71" w:name="lt_pId149"/>
      <w:r w:rsidRPr="00F935E7">
        <w:rPr>
          <w:rFonts w:cs="Arial"/>
          <w:szCs w:val="20"/>
        </w:rPr>
        <w:t xml:space="preserve">En revanche, l’efficacité laisse particulièrement à désirer dans les domaines de la </w:t>
      </w:r>
      <w:r w:rsidR="000F416C">
        <w:rPr>
          <w:rFonts w:cs="Arial"/>
          <w:szCs w:val="20"/>
        </w:rPr>
        <w:t>supervision</w:t>
      </w:r>
      <w:r w:rsidR="000F416C" w:rsidRPr="00F935E7">
        <w:rPr>
          <w:rFonts w:cs="Arial"/>
          <w:szCs w:val="20"/>
        </w:rPr>
        <w:t xml:space="preserve"> </w:t>
      </w:r>
      <w:r w:rsidRPr="00F935E7">
        <w:rPr>
          <w:rFonts w:cs="Arial"/>
          <w:szCs w:val="20"/>
        </w:rPr>
        <w:t xml:space="preserve">du secteur financier, de la conformité du secteur privé, de la transparence des personnes morales, des condamnations et confiscations pour blanchiment de capitaux, ainsi que des sanctions financières </w:t>
      </w:r>
      <w:r w:rsidR="00EC1419">
        <w:rPr>
          <w:rFonts w:cs="Arial"/>
          <w:szCs w:val="20"/>
        </w:rPr>
        <w:t>en matière de</w:t>
      </w:r>
      <w:r w:rsidR="00EC1419" w:rsidRPr="00F935E7">
        <w:rPr>
          <w:rFonts w:cs="Arial"/>
          <w:szCs w:val="20"/>
        </w:rPr>
        <w:t xml:space="preserve"> </w:t>
      </w:r>
      <w:r w:rsidRPr="00F935E7">
        <w:rPr>
          <w:rFonts w:cs="Arial"/>
          <w:szCs w:val="20"/>
        </w:rPr>
        <w:t xml:space="preserve">terrorisme et </w:t>
      </w:r>
      <w:r w:rsidR="00EC1419">
        <w:rPr>
          <w:rFonts w:cs="Arial"/>
          <w:szCs w:val="20"/>
        </w:rPr>
        <w:t>de</w:t>
      </w:r>
      <w:r w:rsidR="00EC1419" w:rsidRPr="00F935E7">
        <w:rPr>
          <w:rFonts w:cs="Arial"/>
          <w:szCs w:val="20"/>
        </w:rPr>
        <w:t xml:space="preserve"> </w:t>
      </w:r>
      <w:r w:rsidRPr="00F935E7">
        <w:rPr>
          <w:rFonts w:cs="Arial"/>
          <w:szCs w:val="20"/>
        </w:rPr>
        <w:t>prolifération d’armes de destruction massive.</w:t>
      </w:r>
      <w:bookmarkEnd w:id="71"/>
      <w:r w:rsidRPr="00F935E7">
        <w:rPr>
          <w:rFonts w:cs="Arial"/>
          <w:szCs w:val="20"/>
        </w:rPr>
        <w:t xml:space="preserve"> </w:t>
      </w:r>
    </w:p>
    <w:bookmarkEnd w:id="68"/>
    <w:p w14:paraId="138BD9F2" w14:textId="77777777" w:rsidR="00DF5B08" w:rsidRPr="00F935E7" w:rsidRDefault="00DF5B08" w:rsidP="00DF5B08">
      <w:pPr>
        <w:rPr>
          <w:rFonts w:cs="Arial"/>
          <w:szCs w:val="20"/>
        </w:rPr>
      </w:pPr>
    </w:p>
    <w:p w14:paraId="7334E886" w14:textId="5C4613D3" w:rsidR="00EC1419" w:rsidRPr="00EC1419" w:rsidRDefault="00FC1764" w:rsidP="00EC1419">
      <w:pPr>
        <w:rPr>
          <w:rFonts w:cs="Arial"/>
          <w:szCs w:val="20"/>
        </w:rPr>
      </w:pPr>
      <w:bookmarkStart w:id="72" w:name="lt_pId150"/>
      <w:r>
        <w:rPr>
          <w:rFonts w:cs="Arial"/>
          <w:szCs w:val="20"/>
        </w:rPr>
        <w:t xml:space="preserve">En </w:t>
      </w:r>
      <w:r w:rsidR="00EC1419" w:rsidRPr="00EC1419">
        <w:rPr>
          <w:rFonts w:cs="Arial"/>
          <w:szCs w:val="20"/>
        </w:rPr>
        <w:t xml:space="preserve">même temps, les membres de MONEYVAL affichent des résultats impressionnants en ce qui concerne le rythme de mise en œuvre des recommandations dans le domaine de la conformité technique, qui couvre les réformes législatives et institutionnelles. Cet indicateur global moyen a atteint 72% dans le cycle actuel, ce qui </w:t>
      </w:r>
      <w:r w:rsidR="000F416C">
        <w:rPr>
          <w:rFonts w:cs="Arial"/>
          <w:szCs w:val="20"/>
        </w:rPr>
        <w:t>représente</w:t>
      </w:r>
      <w:r w:rsidR="00EC1419" w:rsidRPr="00EC1419">
        <w:rPr>
          <w:rFonts w:cs="Arial"/>
          <w:szCs w:val="20"/>
        </w:rPr>
        <w:t xml:space="preserve"> le </w:t>
      </w:r>
      <w:r w:rsidR="000F416C">
        <w:rPr>
          <w:rFonts w:cs="Arial"/>
          <w:szCs w:val="20"/>
        </w:rPr>
        <w:t xml:space="preserve">niveau le </w:t>
      </w:r>
      <w:r w:rsidR="00EC1419" w:rsidRPr="00EC1419">
        <w:rPr>
          <w:rFonts w:cs="Arial"/>
          <w:szCs w:val="20"/>
        </w:rPr>
        <w:t xml:space="preserve">plus élevé dans le réseau mondial dirigé par le GAFI et à égalité avec le GAFI lui-même. </w:t>
      </w:r>
    </w:p>
    <w:p w14:paraId="4FC95696" w14:textId="77777777" w:rsidR="00EC1419" w:rsidRPr="00EC1419" w:rsidRDefault="00EC1419" w:rsidP="00EC1419">
      <w:pPr>
        <w:rPr>
          <w:rFonts w:cs="Arial"/>
          <w:szCs w:val="20"/>
        </w:rPr>
      </w:pPr>
    </w:p>
    <w:p w14:paraId="7A0BA6B5" w14:textId="4085C923" w:rsidR="00EC1419" w:rsidRPr="00EC1419" w:rsidRDefault="00EC1419" w:rsidP="00EC1419">
      <w:pPr>
        <w:rPr>
          <w:rFonts w:cs="Arial"/>
          <w:szCs w:val="20"/>
        </w:rPr>
      </w:pPr>
      <w:r w:rsidRPr="000F416C">
        <w:rPr>
          <w:rFonts w:cs="Arial"/>
          <w:szCs w:val="20"/>
        </w:rPr>
        <w:t xml:space="preserve">Les méthodes de travail liées à la </w:t>
      </w:r>
      <w:r w:rsidR="000F416C" w:rsidRPr="000F416C">
        <w:rPr>
          <w:rFonts w:cs="Arial"/>
          <w:szCs w:val="20"/>
        </w:rPr>
        <w:t>c</w:t>
      </w:r>
      <w:r w:rsidRPr="000F416C">
        <w:rPr>
          <w:rFonts w:cs="Arial"/>
          <w:szCs w:val="20"/>
        </w:rPr>
        <w:t>ovid</w:t>
      </w:r>
      <w:r w:rsidR="000F416C" w:rsidRPr="000F416C">
        <w:rPr>
          <w:rFonts w:cs="Arial"/>
          <w:szCs w:val="20"/>
        </w:rPr>
        <w:t>-19</w:t>
      </w:r>
      <w:r w:rsidRPr="000F416C">
        <w:rPr>
          <w:rFonts w:cs="Arial"/>
          <w:szCs w:val="20"/>
        </w:rPr>
        <w:t xml:space="preserve"> étaient encore utilisées au cours de la première partie de l'année 2022, y compris les outils hybrides pour les évaluations mutuelles, alors qu’elles ont généralement été abandonnées au cours du second semestre. Certains ajustements ont été apportés au calendrier des évaluations mutuelles pour tenir compte des conséquences de l'agression de la Russie contre l'Ukraine, notamment un </w:t>
      </w:r>
      <w:r w:rsidR="00951A12" w:rsidRPr="000F416C">
        <w:rPr>
          <w:rFonts w:cs="Arial"/>
          <w:szCs w:val="20"/>
        </w:rPr>
        <w:t>délai</w:t>
      </w:r>
      <w:r w:rsidRPr="000F416C">
        <w:rPr>
          <w:rFonts w:cs="Arial"/>
          <w:szCs w:val="20"/>
        </w:rPr>
        <w:t xml:space="preserve"> </w:t>
      </w:r>
      <w:r w:rsidR="00951A12" w:rsidRPr="000F416C">
        <w:rPr>
          <w:rFonts w:cs="Arial"/>
          <w:szCs w:val="20"/>
        </w:rPr>
        <w:t>requis</w:t>
      </w:r>
      <w:r w:rsidRPr="000F416C">
        <w:rPr>
          <w:rFonts w:cs="Arial"/>
          <w:szCs w:val="20"/>
        </w:rPr>
        <w:t xml:space="preserve"> par l'Estonie pour sa visite sur place, et une suspension temporaire du suivi pour l'Ukraine. Malgré ces complications</w:t>
      </w:r>
      <w:r w:rsidRPr="00EC1419">
        <w:rPr>
          <w:rFonts w:cs="Arial"/>
          <w:szCs w:val="20"/>
        </w:rPr>
        <w:t xml:space="preserve"> </w:t>
      </w:r>
      <w:r w:rsidR="00951A12">
        <w:rPr>
          <w:rFonts w:cs="Arial"/>
          <w:szCs w:val="20"/>
        </w:rPr>
        <w:t>additionnelles</w:t>
      </w:r>
      <w:r w:rsidRPr="00EC1419">
        <w:rPr>
          <w:rFonts w:cs="Arial"/>
          <w:szCs w:val="20"/>
        </w:rPr>
        <w:t xml:space="preserve"> dans sa région, MONEYVAL est resté en tête de ses pairs internationaux pour le nombre total d'évaluations mutuelles achevées, atteignant un total de dix depuis le début de la pandémie - le nombre le plus élevé du </w:t>
      </w:r>
      <w:r w:rsidR="000F416C">
        <w:rPr>
          <w:rFonts w:cs="Arial"/>
          <w:szCs w:val="20"/>
        </w:rPr>
        <w:t>r</w:t>
      </w:r>
      <w:r w:rsidRPr="00EC1419">
        <w:rPr>
          <w:rFonts w:cs="Arial"/>
          <w:szCs w:val="20"/>
        </w:rPr>
        <w:t xml:space="preserve">éseau mondial de </w:t>
      </w:r>
      <w:r w:rsidR="00951A12">
        <w:rPr>
          <w:rFonts w:cs="Arial"/>
          <w:szCs w:val="20"/>
        </w:rPr>
        <w:t>LBC/FT</w:t>
      </w:r>
      <w:r w:rsidRPr="00EC1419">
        <w:rPr>
          <w:rFonts w:cs="Arial"/>
          <w:szCs w:val="20"/>
        </w:rPr>
        <w:t xml:space="preserve"> dirigé par le GAFI. </w:t>
      </w:r>
    </w:p>
    <w:p w14:paraId="2C077560" w14:textId="77777777" w:rsidR="00EC1419" w:rsidRPr="00EC1419" w:rsidRDefault="00EC1419" w:rsidP="00EC1419">
      <w:pPr>
        <w:rPr>
          <w:rFonts w:cs="Arial"/>
          <w:szCs w:val="20"/>
        </w:rPr>
      </w:pPr>
    </w:p>
    <w:p w14:paraId="352EB506" w14:textId="17AB1B7F" w:rsidR="00EC1419" w:rsidRPr="00EC1419" w:rsidRDefault="00EC1419" w:rsidP="00EC1419">
      <w:pPr>
        <w:rPr>
          <w:rFonts w:cs="Arial"/>
          <w:szCs w:val="20"/>
        </w:rPr>
      </w:pPr>
      <w:r w:rsidRPr="00EC1419">
        <w:rPr>
          <w:rFonts w:cs="Arial"/>
          <w:szCs w:val="20"/>
        </w:rPr>
        <w:t xml:space="preserve">Tout au long de l'année 2022, un total de </w:t>
      </w:r>
      <w:r w:rsidR="00FC1764">
        <w:rPr>
          <w:rFonts w:cs="Arial"/>
          <w:szCs w:val="20"/>
        </w:rPr>
        <w:t>vingt</w:t>
      </w:r>
      <w:r w:rsidRPr="00EC1419">
        <w:rPr>
          <w:rFonts w:cs="Arial"/>
          <w:szCs w:val="20"/>
        </w:rPr>
        <w:t xml:space="preserve"> États </w:t>
      </w:r>
      <w:r w:rsidR="00FC1764">
        <w:rPr>
          <w:rFonts w:cs="Arial"/>
          <w:szCs w:val="20"/>
        </w:rPr>
        <w:t xml:space="preserve">et </w:t>
      </w:r>
      <w:r w:rsidRPr="00EC1419">
        <w:rPr>
          <w:rFonts w:cs="Arial"/>
          <w:szCs w:val="20"/>
        </w:rPr>
        <w:t xml:space="preserve">territoires </w:t>
      </w:r>
      <w:r w:rsidR="00413004">
        <w:rPr>
          <w:rFonts w:cs="Arial"/>
          <w:szCs w:val="20"/>
        </w:rPr>
        <w:t xml:space="preserve">de </w:t>
      </w:r>
      <w:r w:rsidRPr="00EC1419">
        <w:rPr>
          <w:rFonts w:cs="Arial"/>
          <w:szCs w:val="20"/>
        </w:rPr>
        <w:t>MONEYVAL ont fait l'objet de</w:t>
      </w:r>
      <w:r w:rsidR="00413004">
        <w:rPr>
          <w:rFonts w:cs="Arial"/>
          <w:szCs w:val="20"/>
        </w:rPr>
        <w:t>s</w:t>
      </w:r>
      <w:r w:rsidRPr="00EC1419">
        <w:rPr>
          <w:rFonts w:cs="Arial"/>
          <w:szCs w:val="20"/>
        </w:rPr>
        <w:t xml:space="preserve"> processus de </w:t>
      </w:r>
      <w:r w:rsidR="00413004">
        <w:rPr>
          <w:rFonts w:cs="Arial"/>
          <w:szCs w:val="20"/>
        </w:rPr>
        <w:t>suivi</w:t>
      </w:r>
      <w:r w:rsidRPr="00EC1419">
        <w:rPr>
          <w:rFonts w:cs="Arial"/>
          <w:szCs w:val="20"/>
        </w:rPr>
        <w:t xml:space="preserve"> acti</w:t>
      </w:r>
      <w:r w:rsidR="00413004">
        <w:rPr>
          <w:rFonts w:cs="Arial"/>
          <w:szCs w:val="20"/>
        </w:rPr>
        <w:t>f</w:t>
      </w:r>
      <w:r w:rsidRPr="00EC1419">
        <w:rPr>
          <w:rFonts w:cs="Arial"/>
          <w:szCs w:val="20"/>
        </w:rPr>
        <w:t xml:space="preserve"> </w:t>
      </w:r>
      <w:r w:rsidR="00413004">
        <w:rPr>
          <w:rFonts w:cs="Arial"/>
          <w:szCs w:val="20"/>
        </w:rPr>
        <w:t>à travers</w:t>
      </w:r>
      <w:r w:rsidRPr="00EC1419">
        <w:rPr>
          <w:rFonts w:cs="Arial"/>
          <w:szCs w:val="20"/>
        </w:rPr>
        <w:t xml:space="preserve"> de</w:t>
      </w:r>
      <w:r w:rsidR="00413004">
        <w:rPr>
          <w:rFonts w:cs="Arial"/>
          <w:szCs w:val="20"/>
        </w:rPr>
        <w:t>s</w:t>
      </w:r>
      <w:r w:rsidRPr="00EC1419">
        <w:rPr>
          <w:rFonts w:cs="Arial"/>
          <w:szCs w:val="20"/>
        </w:rPr>
        <w:t xml:space="preserve"> visites sur place, de rapports adoptés, de procédures de suivi et de conformité. MONEYVAL a poursuivi son 5</w:t>
      </w:r>
      <w:r w:rsidR="00413004" w:rsidRPr="00FC1764">
        <w:rPr>
          <w:rFonts w:cs="Arial"/>
          <w:szCs w:val="20"/>
          <w:vertAlign w:val="superscript"/>
        </w:rPr>
        <w:t>ème</w:t>
      </w:r>
      <w:r w:rsidRPr="00EC1419">
        <w:rPr>
          <w:rFonts w:cs="Arial"/>
          <w:szCs w:val="20"/>
        </w:rPr>
        <w:t xml:space="preserve"> cycle d'évaluations mutuelles en adoptant quatre rapports d'évaluation mutuelle pour la Bulgarie, l'Estonie, le Liechtenstein et Monaco, et en effectuant des visites sur place pour les évaluations de la Roumanie et de la Macédoine du Nord, qui s'achèveront en 2023. Le processus d'évaluation mutuelle a été lancé pour quatre autres membres (Azerbaïdjan, Bosnie-Herzégovine, Jersey et Monténégro). Le Comité a adopté dix rapports de suivi dans le cadre du 5</w:t>
      </w:r>
      <w:r w:rsidR="00413004" w:rsidRPr="00FC1764">
        <w:rPr>
          <w:rFonts w:cs="Arial"/>
          <w:szCs w:val="20"/>
          <w:vertAlign w:val="superscript"/>
        </w:rPr>
        <w:t>ème</w:t>
      </w:r>
      <w:r w:rsidRPr="00EC1419">
        <w:rPr>
          <w:rFonts w:cs="Arial"/>
          <w:szCs w:val="20"/>
        </w:rPr>
        <w:t xml:space="preserve"> cycle d'évaluations mutuelles. </w:t>
      </w:r>
    </w:p>
    <w:p w14:paraId="5BE37627" w14:textId="77777777" w:rsidR="00EC1419" w:rsidRPr="00EC1419" w:rsidRDefault="00EC1419" w:rsidP="00EC1419">
      <w:pPr>
        <w:rPr>
          <w:rFonts w:cs="Arial"/>
          <w:szCs w:val="20"/>
        </w:rPr>
      </w:pPr>
    </w:p>
    <w:p w14:paraId="4038A13E" w14:textId="02FA7F2A" w:rsidR="00EC1419" w:rsidRPr="00EC1419" w:rsidRDefault="00EC1419" w:rsidP="00EC1419">
      <w:pPr>
        <w:rPr>
          <w:rFonts w:cs="Arial"/>
          <w:szCs w:val="20"/>
        </w:rPr>
      </w:pPr>
      <w:r w:rsidRPr="00EC1419">
        <w:rPr>
          <w:rFonts w:cs="Arial"/>
          <w:szCs w:val="20"/>
        </w:rPr>
        <w:t xml:space="preserve">Au cours de l'année 2022, </w:t>
      </w:r>
      <w:r w:rsidR="00831071">
        <w:rPr>
          <w:rFonts w:cs="Arial"/>
          <w:szCs w:val="20"/>
        </w:rPr>
        <w:t xml:space="preserve">un total de </w:t>
      </w:r>
      <w:r w:rsidRPr="00EC1419">
        <w:rPr>
          <w:rFonts w:cs="Arial"/>
          <w:szCs w:val="20"/>
        </w:rPr>
        <w:t>cinq membres de MONEYVAL ont été examinés à différents stades par le Groupe d'examen de la coopération internationale (</w:t>
      </w:r>
      <w:r w:rsidR="00413004">
        <w:rPr>
          <w:rFonts w:cs="Arial"/>
          <w:szCs w:val="20"/>
        </w:rPr>
        <w:t xml:space="preserve">International </w:t>
      </w:r>
      <w:proofErr w:type="spellStart"/>
      <w:r w:rsidR="00413004">
        <w:rPr>
          <w:rFonts w:cs="Arial"/>
          <w:szCs w:val="20"/>
        </w:rPr>
        <w:t>Co</w:t>
      </w:r>
      <w:r w:rsidR="00440907">
        <w:rPr>
          <w:rFonts w:cs="Arial"/>
          <w:szCs w:val="20"/>
        </w:rPr>
        <w:t>-</w:t>
      </w:r>
      <w:r w:rsidR="00413004">
        <w:rPr>
          <w:rFonts w:cs="Arial"/>
          <w:szCs w:val="20"/>
        </w:rPr>
        <w:t>operation</w:t>
      </w:r>
      <w:proofErr w:type="spellEnd"/>
      <w:r w:rsidR="00413004">
        <w:rPr>
          <w:rFonts w:cs="Arial"/>
          <w:szCs w:val="20"/>
        </w:rPr>
        <w:t xml:space="preserve"> </w:t>
      </w:r>
      <w:proofErr w:type="spellStart"/>
      <w:r w:rsidR="00413004">
        <w:rPr>
          <w:rFonts w:cs="Arial"/>
          <w:szCs w:val="20"/>
        </w:rPr>
        <w:t>Review</w:t>
      </w:r>
      <w:proofErr w:type="spellEnd"/>
      <w:r w:rsidR="00413004">
        <w:rPr>
          <w:rFonts w:cs="Arial"/>
          <w:szCs w:val="20"/>
        </w:rPr>
        <w:t xml:space="preserve"> Group, « ICRG »</w:t>
      </w:r>
      <w:r w:rsidRPr="00EC1419">
        <w:rPr>
          <w:rFonts w:cs="Arial"/>
          <w:szCs w:val="20"/>
        </w:rPr>
        <w:t xml:space="preserve">) du GAFI. Parmi eux, l'Albanie est restée sur la </w:t>
      </w:r>
      <w:r w:rsidR="002E6C1B">
        <w:rPr>
          <w:rFonts w:cs="Arial"/>
          <w:szCs w:val="20"/>
        </w:rPr>
        <w:t>« </w:t>
      </w:r>
      <w:r w:rsidRPr="00EC1419">
        <w:rPr>
          <w:rFonts w:cs="Arial"/>
          <w:szCs w:val="20"/>
        </w:rPr>
        <w:t>liste grise</w:t>
      </w:r>
      <w:r w:rsidR="002E6C1B">
        <w:rPr>
          <w:rFonts w:cs="Arial"/>
          <w:szCs w:val="20"/>
        </w:rPr>
        <w:t> »</w:t>
      </w:r>
      <w:r w:rsidRPr="00EC1419">
        <w:rPr>
          <w:rFonts w:cs="Arial"/>
          <w:szCs w:val="20"/>
        </w:rPr>
        <w:t xml:space="preserve"> du GAFI tout au long de l'année, la dernière préoccupation restante étant liée à son initiative d'entreprendre un </w:t>
      </w:r>
      <w:r w:rsidR="00831071">
        <w:rPr>
          <w:rFonts w:cs="Arial"/>
          <w:szCs w:val="20"/>
        </w:rPr>
        <w:t>dispositif de régularisation fiscale volontaire</w:t>
      </w:r>
      <w:r w:rsidR="00FC1764">
        <w:rPr>
          <w:rFonts w:cs="Arial"/>
          <w:szCs w:val="20"/>
        </w:rPr>
        <w:t xml:space="preserve"> qui ne respecte pas les principes du GAFI</w:t>
      </w:r>
      <w:r w:rsidRPr="00EC1419">
        <w:rPr>
          <w:rFonts w:cs="Arial"/>
          <w:szCs w:val="20"/>
        </w:rPr>
        <w:t xml:space="preserve">. Malte a été retirée avec succès de la </w:t>
      </w:r>
      <w:r w:rsidR="002E6C1B">
        <w:rPr>
          <w:rFonts w:cs="Arial"/>
          <w:szCs w:val="20"/>
        </w:rPr>
        <w:t>« </w:t>
      </w:r>
      <w:r w:rsidRPr="00EC1419">
        <w:rPr>
          <w:rFonts w:cs="Arial"/>
          <w:szCs w:val="20"/>
        </w:rPr>
        <w:t>liste grise</w:t>
      </w:r>
      <w:r w:rsidR="002E6C1B">
        <w:rPr>
          <w:rFonts w:cs="Arial"/>
          <w:szCs w:val="20"/>
        </w:rPr>
        <w:t> »</w:t>
      </w:r>
      <w:r w:rsidRPr="00EC1419">
        <w:rPr>
          <w:rFonts w:cs="Arial"/>
          <w:szCs w:val="20"/>
        </w:rPr>
        <w:t xml:space="preserve"> du GAFI, tandis que Gibraltar a été inscrit par le GAFI en juin 2022. La Bulgarie et la Croatie sont restées en période d'observation</w:t>
      </w:r>
      <w:r w:rsidR="00FC1764">
        <w:rPr>
          <w:rFonts w:cs="Arial"/>
          <w:szCs w:val="20"/>
        </w:rPr>
        <w:t>,</w:t>
      </w:r>
      <w:r w:rsidRPr="00EC1419">
        <w:rPr>
          <w:rFonts w:cs="Arial"/>
          <w:szCs w:val="20"/>
        </w:rPr>
        <w:t xml:space="preserve"> en attendant la décision du GAFI en 2023</w:t>
      </w:r>
      <w:r w:rsidR="00FC1764">
        <w:rPr>
          <w:rFonts w:cs="Arial"/>
          <w:szCs w:val="20"/>
        </w:rPr>
        <w:t>, qui sera prise à la lumière des progrès enregistrés pendant cette période</w:t>
      </w:r>
      <w:r w:rsidRPr="00EC1419">
        <w:rPr>
          <w:rFonts w:cs="Arial"/>
          <w:szCs w:val="20"/>
        </w:rPr>
        <w:t xml:space="preserve">. </w:t>
      </w:r>
    </w:p>
    <w:p w14:paraId="578E90A7" w14:textId="77777777" w:rsidR="00EC1419" w:rsidRPr="00EC1419" w:rsidRDefault="00EC1419" w:rsidP="00EC1419">
      <w:pPr>
        <w:rPr>
          <w:rFonts w:cs="Arial"/>
          <w:szCs w:val="20"/>
        </w:rPr>
      </w:pPr>
    </w:p>
    <w:p w14:paraId="13503B4D" w14:textId="56A3E3AE" w:rsidR="00EC1419" w:rsidRPr="00EC1419" w:rsidRDefault="00EC1419" w:rsidP="00EC1419">
      <w:pPr>
        <w:rPr>
          <w:rFonts w:cs="Arial"/>
          <w:szCs w:val="20"/>
        </w:rPr>
      </w:pPr>
      <w:r w:rsidRPr="00EC1419">
        <w:rPr>
          <w:rFonts w:cs="Arial"/>
          <w:szCs w:val="20"/>
        </w:rPr>
        <w:t>En 2022, MONEYVAL a conclu la mise en œuvre de sa première stratégie pour 2020-2022, en exécutant avec succès toutes les priorités définies dans ce document, à l'exception de la réunion de haut niveau à Varsovie, reportée à avril 2023 en raison d</w:t>
      </w:r>
      <w:r w:rsidR="00831071">
        <w:rPr>
          <w:rFonts w:cs="Arial"/>
          <w:szCs w:val="20"/>
        </w:rPr>
        <w:t xml:space="preserve">e la covid-19 </w:t>
      </w:r>
      <w:r w:rsidRPr="00EC1419">
        <w:rPr>
          <w:rFonts w:cs="Arial"/>
          <w:szCs w:val="20"/>
        </w:rPr>
        <w:t>et de la situation régionale en matière de sécurité. Le Comité a préparé son prochain cycle stratégique pour 2023-2027 et son 6</w:t>
      </w:r>
      <w:r w:rsidR="00E205C6" w:rsidRPr="00FC1764">
        <w:rPr>
          <w:rFonts w:cs="Arial"/>
          <w:szCs w:val="20"/>
          <w:vertAlign w:val="superscript"/>
        </w:rPr>
        <w:t>ème</w:t>
      </w:r>
      <w:r w:rsidRPr="00EC1419">
        <w:rPr>
          <w:rFonts w:cs="Arial"/>
          <w:szCs w:val="20"/>
        </w:rPr>
        <w:t xml:space="preserve"> cycle d'évaluations mutuelles qui doit débuter en 2024. Un dialogue approfondi sur ces questions a eu lieu avec ses membres et les anciens </w:t>
      </w:r>
      <w:r w:rsidRPr="00EC1419">
        <w:rPr>
          <w:rFonts w:cs="Arial"/>
          <w:szCs w:val="20"/>
        </w:rPr>
        <w:lastRenderedPageBreak/>
        <w:t>présidents de MONEYVAL à l'occasion du 25</w:t>
      </w:r>
      <w:r w:rsidR="00E205C6" w:rsidRPr="00FC1764">
        <w:rPr>
          <w:rFonts w:cs="Arial"/>
          <w:szCs w:val="20"/>
          <w:vertAlign w:val="superscript"/>
        </w:rPr>
        <w:t>ème</w:t>
      </w:r>
      <w:r w:rsidRPr="00EC1419">
        <w:rPr>
          <w:rFonts w:cs="Arial"/>
          <w:szCs w:val="20"/>
        </w:rPr>
        <w:t xml:space="preserve"> anniversaire de MONEYVAL célébré par le Comité en décembre 2022.  </w:t>
      </w:r>
    </w:p>
    <w:p w14:paraId="07FFAA47" w14:textId="77777777" w:rsidR="00EC1419" w:rsidRPr="00EC1419" w:rsidRDefault="00EC1419" w:rsidP="00EC1419">
      <w:pPr>
        <w:rPr>
          <w:rFonts w:cs="Arial"/>
          <w:szCs w:val="20"/>
        </w:rPr>
      </w:pPr>
    </w:p>
    <w:p w14:paraId="76342D32" w14:textId="64C37292" w:rsidR="00EC1419" w:rsidRPr="00EC1419" w:rsidRDefault="00EC1419" w:rsidP="00EC1419">
      <w:pPr>
        <w:rPr>
          <w:rFonts w:cs="Arial"/>
          <w:szCs w:val="20"/>
        </w:rPr>
      </w:pPr>
      <w:r w:rsidRPr="00EC1419">
        <w:rPr>
          <w:rFonts w:cs="Arial"/>
          <w:szCs w:val="20"/>
        </w:rPr>
        <w:t xml:space="preserve">MONEYVAL a continué d'étendre son engagement auprès du GAFI et de ses organes régionaux, en développant de nouveaux partenariats avec les régions des Caraïbes et de l'Amérique latine, et en poursuivant le développement de liens avec l'Asie centrale, l'Afrique du Nord et le Moyen-Orient. La Banque islamique de développement s'est vu accorder le statut d'observateur au sein du Comité. En février 2022, le Conseil de l'Europe s'est vu accorder le statut d'observateur au sein du GAFI et a participé </w:t>
      </w:r>
      <w:r w:rsidR="00831071">
        <w:rPr>
          <w:rFonts w:cs="Arial"/>
          <w:szCs w:val="20"/>
        </w:rPr>
        <w:t>à ses</w:t>
      </w:r>
      <w:r w:rsidRPr="00EC1419">
        <w:rPr>
          <w:rFonts w:cs="Arial"/>
          <w:szCs w:val="20"/>
        </w:rPr>
        <w:t xml:space="preserve"> réunions plénières en juin et octobre 2022. Depuis, plusieurs engagements thématiques ont eu lieu entre le GAFI et divers organes du Conseil de l'Europe. </w:t>
      </w:r>
    </w:p>
    <w:p w14:paraId="4AB6DB56" w14:textId="77777777" w:rsidR="00EC1419" w:rsidRPr="00EC1419" w:rsidRDefault="00EC1419" w:rsidP="00EC1419">
      <w:pPr>
        <w:rPr>
          <w:rFonts w:cs="Arial"/>
          <w:szCs w:val="20"/>
        </w:rPr>
      </w:pPr>
    </w:p>
    <w:p w14:paraId="5DBE4AC8" w14:textId="70F4C82A" w:rsidR="00DF5B08" w:rsidRPr="00F935E7" w:rsidRDefault="00EC1419" w:rsidP="00DF5B08">
      <w:pPr>
        <w:autoSpaceDE w:val="0"/>
        <w:autoSpaceDN w:val="0"/>
        <w:adjustRightInd w:val="0"/>
        <w:rPr>
          <w:rFonts w:cs="Arial"/>
          <w:szCs w:val="20"/>
        </w:rPr>
      </w:pPr>
      <w:r w:rsidRPr="00EC1419">
        <w:rPr>
          <w:rFonts w:cs="Arial"/>
          <w:szCs w:val="20"/>
        </w:rPr>
        <w:t xml:space="preserve">L'agression de la Fédération de Russie contre l'Ukraine a occupé une place prépondérante dans l'agenda international de </w:t>
      </w:r>
      <w:r w:rsidR="00FF0FC7">
        <w:rPr>
          <w:rFonts w:cs="Arial"/>
          <w:szCs w:val="20"/>
        </w:rPr>
        <w:t>LBC/FT</w:t>
      </w:r>
      <w:r w:rsidRPr="00EC1419">
        <w:rPr>
          <w:rFonts w:cs="Arial"/>
          <w:szCs w:val="20"/>
        </w:rPr>
        <w:t xml:space="preserve">, </w:t>
      </w:r>
      <w:r w:rsidR="00FF0FC7">
        <w:rPr>
          <w:rFonts w:cs="Arial"/>
          <w:szCs w:val="20"/>
        </w:rPr>
        <w:t xml:space="preserve">avec </w:t>
      </w:r>
      <w:r w:rsidRPr="00EC1419">
        <w:rPr>
          <w:rFonts w:cs="Arial"/>
          <w:szCs w:val="20"/>
        </w:rPr>
        <w:t xml:space="preserve">un certain nombre d'organismes régionaux, tels que le Groupe Asie-Pacifique et le Groupe d'action financière des Caraïbes, ayant suspendu la participation de la Russie en tant qu'observateur. L'Ukraine a lancé </w:t>
      </w:r>
      <w:r w:rsidRPr="00831071">
        <w:rPr>
          <w:rFonts w:cs="Arial"/>
          <w:szCs w:val="20"/>
        </w:rPr>
        <w:t>une proposition d</w:t>
      </w:r>
      <w:r w:rsidR="00831071">
        <w:rPr>
          <w:rFonts w:cs="Arial"/>
          <w:szCs w:val="20"/>
        </w:rPr>
        <w:t>e potentiellement inscrire</w:t>
      </w:r>
      <w:r w:rsidRPr="00831071">
        <w:rPr>
          <w:rFonts w:cs="Arial"/>
          <w:szCs w:val="20"/>
        </w:rPr>
        <w:t xml:space="preserve"> la Fédération de Russie sur la liste du</w:t>
      </w:r>
      <w:r w:rsidRPr="00EC1419">
        <w:rPr>
          <w:rFonts w:cs="Arial"/>
          <w:szCs w:val="20"/>
        </w:rPr>
        <w:t xml:space="preserve"> GAFI, dans l'attente d'une décision en 2023.</w:t>
      </w:r>
      <w:bookmarkEnd w:id="72"/>
      <w:r w:rsidR="00DF5B08" w:rsidRPr="00F935E7">
        <w:rPr>
          <w:rFonts w:cs="Arial"/>
          <w:szCs w:val="20"/>
        </w:rPr>
        <w:t xml:space="preserve"> </w:t>
      </w:r>
    </w:p>
    <w:p w14:paraId="26AFA697" w14:textId="7C4A17EC" w:rsidR="00DF5B08" w:rsidRPr="00F935E7" w:rsidRDefault="00DF5B08" w:rsidP="00DF5B08">
      <w:pPr>
        <w:autoSpaceDE w:val="0"/>
        <w:autoSpaceDN w:val="0"/>
        <w:adjustRightInd w:val="0"/>
        <w:jc w:val="both"/>
        <w:rPr>
          <w:rFonts w:cs="Arial"/>
          <w:szCs w:val="20"/>
        </w:rPr>
      </w:pPr>
    </w:p>
    <w:p w14:paraId="3B96A6E7" w14:textId="77777777" w:rsidR="00DF5B08" w:rsidRPr="00AD7F2C" w:rsidRDefault="00DF5B08" w:rsidP="00194B02">
      <w:pPr>
        <w:pStyle w:val="Heading1"/>
        <w:numPr>
          <w:ilvl w:val="0"/>
          <w:numId w:val="35"/>
        </w:numPr>
        <w:spacing w:before="0"/>
        <w:ind w:left="720" w:hanging="720"/>
        <w:jc w:val="both"/>
        <w:rPr>
          <w:rFonts w:ascii="Arial" w:eastAsiaTheme="minorHAnsi" w:hAnsi="Arial" w:cs="Times New Roman"/>
          <w:b/>
          <w:bCs/>
          <w:color w:val="auto"/>
          <w:kern w:val="28"/>
          <w:sz w:val="20"/>
          <w:szCs w:val="20"/>
          <w:lang w:val="fr-FR"/>
        </w:rPr>
      </w:pPr>
      <w:bookmarkStart w:id="73" w:name="_Toc94256517"/>
      <w:bookmarkStart w:id="74" w:name="_Toc135412690"/>
      <w:r>
        <w:rPr>
          <w:rFonts w:ascii="Arial" w:eastAsiaTheme="minorHAnsi" w:hAnsi="Arial" w:cs="Times New Roman"/>
          <w:b/>
          <w:bCs/>
          <w:color w:val="auto"/>
          <w:kern w:val="28"/>
          <w:sz w:val="20"/>
          <w:szCs w:val="20"/>
          <w:lang w:val="fr-FR"/>
        </w:rPr>
        <w:t>VISION</w:t>
      </w:r>
      <w:r w:rsidRPr="00AD7F2C">
        <w:rPr>
          <w:rFonts w:ascii="Arial" w:eastAsiaTheme="minorHAnsi" w:hAnsi="Arial" w:cs="Times New Roman"/>
          <w:b/>
          <w:bCs/>
          <w:color w:val="auto"/>
          <w:kern w:val="28"/>
          <w:sz w:val="20"/>
          <w:szCs w:val="20"/>
          <w:lang w:val="fr-FR"/>
        </w:rPr>
        <w:t xml:space="preserve"> STRATÉGIQUE</w:t>
      </w:r>
      <w:bookmarkEnd w:id="73"/>
      <w:bookmarkEnd w:id="74"/>
    </w:p>
    <w:p w14:paraId="1D8DC0AA" w14:textId="77777777" w:rsidR="00DF5B08" w:rsidRPr="00F935E7" w:rsidRDefault="00DF5B08" w:rsidP="00DF5B08">
      <w:pPr>
        <w:jc w:val="both"/>
      </w:pPr>
    </w:p>
    <w:p w14:paraId="6224FDF1" w14:textId="107F093E" w:rsidR="00DF5B08" w:rsidRPr="00F935E7" w:rsidRDefault="00DF5B08" w:rsidP="00DF5B08">
      <w:pPr>
        <w:rPr>
          <w:rFonts w:cs="Arial"/>
          <w:szCs w:val="20"/>
        </w:rPr>
      </w:pPr>
      <w:bookmarkStart w:id="75" w:name="lt_pId168"/>
      <w:r w:rsidRPr="00F935E7">
        <w:rPr>
          <w:rFonts w:cs="Arial"/>
          <w:szCs w:val="20"/>
        </w:rPr>
        <w:t>Le blanchiment de capitaux est le processus utilisé par les</w:t>
      </w:r>
      <w:r>
        <w:rPr>
          <w:rFonts w:cs="Arial"/>
          <w:szCs w:val="20"/>
        </w:rPr>
        <w:t xml:space="preserve"> criminels </w:t>
      </w:r>
      <w:r w:rsidRPr="00F935E7">
        <w:rPr>
          <w:rFonts w:cs="Arial"/>
          <w:szCs w:val="20"/>
        </w:rPr>
        <w:t>pour conférer une apparence de légitimité aux produits du crime.</w:t>
      </w:r>
      <w:bookmarkEnd w:id="75"/>
      <w:r w:rsidRPr="00F935E7">
        <w:rPr>
          <w:rFonts w:cs="Arial"/>
          <w:szCs w:val="20"/>
        </w:rPr>
        <w:t xml:space="preserve"> </w:t>
      </w:r>
      <w:bookmarkStart w:id="76" w:name="lt_pId169"/>
      <w:r w:rsidRPr="00F935E7">
        <w:rPr>
          <w:rFonts w:cs="Arial"/>
          <w:szCs w:val="20"/>
        </w:rPr>
        <w:t xml:space="preserve">Il s’agit d’un phénomène en expansion revêtant un caractère de plus en plus international et dont les effets sur l’économie et la société à l’échelle planétaire sont désastreux, puisque les estimations actuelles de </w:t>
      </w:r>
      <w:r w:rsidR="00FF0FC7">
        <w:rPr>
          <w:rFonts w:cs="Arial"/>
          <w:szCs w:val="20"/>
        </w:rPr>
        <w:t>capitaux</w:t>
      </w:r>
      <w:r w:rsidR="00FF0FC7" w:rsidRPr="00F935E7">
        <w:rPr>
          <w:rFonts w:cs="Arial"/>
          <w:szCs w:val="20"/>
        </w:rPr>
        <w:t xml:space="preserve"> </w:t>
      </w:r>
      <w:r w:rsidRPr="00F935E7">
        <w:rPr>
          <w:rFonts w:cs="Arial"/>
          <w:szCs w:val="20"/>
        </w:rPr>
        <w:t>blanchi</w:t>
      </w:r>
      <w:r w:rsidR="00FF0FC7">
        <w:rPr>
          <w:rFonts w:cs="Arial"/>
          <w:szCs w:val="20"/>
        </w:rPr>
        <w:t>s</w:t>
      </w:r>
      <w:r w:rsidRPr="00F935E7">
        <w:rPr>
          <w:rFonts w:cs="Arial"/>
          <w:szCs w:val="20"/>
        </w:rPr>
        <w:t xml:space="preserve"> dans le monde entier font état d’une somme astronomique variant entre 500 milliards et un </w:t>
      </w:r>
      <w:r>
        <w:rPr>
          <w:rFonts w:cs="Arial"/>
          <w:szCs w:val="20"/>
        </w:rPr>
        <w:t>trillion</w:t>
      </w:r>
      <w:r w:rsidRPr="00F935E7">
        <w:rPr>
          <w:rFonts w:cs="Arial"/>
          <w:szCs w:val="20"/>
        </w:rPr>
        <w:t xml:space="preserve"> de dollars.</w:t>
      </w:r>
      <w:bookmarkEnd w:id="76"/>
      <w:r w:rsidRPr="00F935E7">
        <w:rPr>
          <w:rFonts w:cs="Arial"/>
          <w:szCs w:val="20"/>
        </w:rPr>
        <w:t xml:space="preserve"> </w:t>
      </w:r>
      <w:bookmarkStart w:id="77" w:name="lt_pId170"/>
      <w:r w:rsidRPr="00F935E7">
        <w:rPr>
          <w:rFonts w:cs="Arial"/>
          <w:szCs w:val="20"/>
        </w:rPr>
        <w:t xml:space="preserve">Le financement du terrorisme est la condition préalable à toute activité terroriste sous ses formes organisées et, à ce titre, constitue une menace </w:t>
      </w:r>
      <w:r>
        <w:rPr>
          <w:rFonts w:cs="Arial"/>
          <w:szCs w:val="20"/>
        </w:rPr>
        <w:t>prépondérante</w:t>
      </w:r>
      <w:r w:rsidRPr="00F935E7">
        <w:rPr>
          <w:rFonts w:cs="Arial"/>
          <w:szCs w:val="20"/>
        </w:rPr>
        <w:t xml:space="preserve"> pour la sûreté et la sécurité de la société et des populations.</w:t>
      </w:r>
      <w:bookmarkEnd w:id="77"/>
      <w:r w:rsidRPr="00F935E7">
        <w:rPr>
          <w:rFonts w:cs="Arial"/>
          <w:szCs w:val="20"/>
        </w:rPr>
        <w:t xml:space="preserve"> </w:t>
      </w:r>
    </w:p>
    <w:p w14:paraId="402EEBA1" w14:textId="77777777" w:rsidR="00DF5B08" w:rsidRPr="00F935E7" w:rsidRDefault="00DF5B08" w:rsidP="00DF5B08">
      <w:pPr>
        <w:rPr>
          <w:rFonts w:cs="Arial"/>
          <w:szCs w:val="20"/>
        </w:rPr>
      </w:pPr>
    </w:p>
    <w:p w14:paraId="522A9AFD" w14:textId="0E01E069" w:rsidR="00DF5B08" w:rsidRPr="00F935E7" w:rsidRDefault="00DF5B08" w:rsidP="008F64ED">
      <w:pPr>
        <w:rPr>
          <w:rFonts w:cs="Arial"/>
          <w:szCs w:val="20"/>
        </w:rPr>
      </w:pPr>
      <w:bookmarkStart w:id="78" w:name="lt_pId171"/>
      <w:r w:rsidRPr="00F935E7">
        <w:rPr>
          <w:rFonts w:cs="Arial"/>
          <w:szCs w:val="20"/>
        </w:rPr>
        <w:t>Les normes internationales en matière de lutte contre la double menace du blanchiment de capitaux et du financement du terrorisme ont été élaborées par le GAFI. Elles revêtent la forme de 40 recommandations couvrant les aspects juridiques et institutionnels de la conformité, ainsi que de 11 résultats immédiats touchant à l’efficacité.</w:t>
      </w:r>
      <w:bookmarkEnd w:id="78"/>
      <w:r w:rsidRPr="00F935E7">
        <w:rPr>
          <w:rFonts w:cs="Arial"/>
          <w:szCs w:val="20"/>
        </w:rPr>
        <w:t xml:space="preserve"> </w:t>
      </w:r>
      <w:bookmarkStart w:id="79" w:name="lt_pId172"/>
      <w:r w:rsidRPr="00F935E7">
        <w:rPr>
          <w:rFonts w:cs="Arial"/>
          <w:szCs w:val="20"/>
        </w:rPr>
        <w:t>Les normes du GAFI énoncent des exigences</w:t>
      </w:r>
      <w:r>
        <w:rPr>
          <w:rFonts w:cs="Arial"/>
          <w:szCs w:val="20"/>
        </w:rPr>
        <w:t xml:space="preserve"> pesant sur </w:t>
      </w:r>
      <w:r w:rsidRPr="00F935E7">
        <w:rPr>
          <w:rFonts w:cs="Arial"/>
          <w:szCs w:val="20"/>
        </w:rPr>
        <w:t xml:space="preserve">les </w:t>
      </w:r>
      <w:r w:rsidRPr="00AB5409">
        <w:rPr>
          <w:rFonts w:cs="Arial"/>
          <w:szCs w:val="20"/>
        </w:rPr>
        <w:t xml:space="preserve">autorités </w:t>
      </w:r>
      <w:r w:rsidR="00AB5409">
        <w:rPr>
          <w:rFonts w:cs="Arial"/>
          <w:szCs w:val="20"/>
        </w:rPr>
        <w:t>de poursuite pénale</w:t>
      </w:r>
      <w:r w:rsidRPr="00F935E7">
        <w:rPr>
          <w:rFonts w:cs="Arial"/>
          <w:szCs w:val="20"/>
        </w:rPr>
        <w:t xml:space="preserve">, le système judiciaire, les </w:t>
      </w:r>
      <w:r>
        <w:rPr>
          <w:rFonts w:cs="Arial"/>
          <w:szCs w:val="20"/>
        </w:rPr>
        <w:t xml:space="preserve">cellules de </w:t>
      </w:r>
      <w:r w:rsidRPr="00F935E7">
        <w:rPr>
          <w:rFonts w:cs="Arial"/>
          <w:szCs w:val="20"/>
        </w:rPr>
        <w:t>renseignement financier (CRF), ainsi que le secteur privé et ses autorités de contrôle (voir la liste complète des normes du GAFI dans l’annexe I).</w:t>
      </w:r>
      <w:bookmarkEnd w:id="79"/>
      <w:r w:rsidRPr="00F935E7">
        <w:rPr>
          <w:rFonts w:cs="Arial"/>
          <w:szCs w:val="20"/>
        </w:rPr>
        <w:t xml:space="preserve"> </w:t>
      </w:r>
      <w:bookmarkStart w:id="80" w:name="lt_pId173"/>
      <w:r w:rsidRPr="00F935E7">
        <w:rPr>
          <w:rFonts w:cs="Arial"/>
          <w:szCs w:val="20"/>
        </w:rPr>
        <w:t xml:space="preserve">MONEYVAL contrôle l’application de ces exigences pour ses </w:t>
      </w:r>
      <w:r w:rsidR="00FF4365">
        <w:rPr>
          <w:rFonts w:cs="Arial"/>
          <w:szCs w:val="20"/>
        </w:rPr>
        <w:t>3</w:t>
      </w:r>
      <w:r w:rsidR="00AD5AF1">
        <w:rPr>
          <w:rFonts w:cs="Arial"/>
          <w:szCs w:val="20"/>
        </w:rPr>
        <w:t>3</w:t>
      </w:r>
      <w:r w:rsidR="00FF4365" w:rsidRPr="00F935E7">
        <w:rPr>
          <w:rFonts w:cs="Arial"/>
          <w:szCs w:val="20"/>
        </w:rPr>
        <w:t> </w:t>
      </w:r>
      <w:r w:rsidRPr="00F935E7">
        <w:rPr>
          <w:rFonts w:cs="Arial"/>
          <w:szCs w:val="20"/>
        </w:rPr>
        <w:t>États et territoires membres (voir la liste complète dans la section </w:t>
      </w:r>
      <w:r w:rsidR="00FC1764">
        <w:rPr>
          <w:rFonts w:cs="Arial"/>
          <w:szCs w:val="20"/>
        </w:rPr>
        <w:t>8</w:t>
      </w:r>
      <w:r w:rsidRPr="00F935E7">
        <w:rPr>
          <w:rFonts w:cs="Arial"/>
          <w:szCs w:val="20"/>
        </w:rPr>
        <w:t>).</w:t>
      </w:r>
      <w:bookmarkEnd w:id="80"/>
      <w:r w:rsidRPr="00F935E7">
        <w:rPr>
          <w:rFonts w:cs="Arial"/>
          <w:szCs w:val="20"/>
        </w:rPr>
        <w:t xml:space="preserve"> </w:t>
      </w:r>
      <w:bookmarkStart w:id="81" w:name="lt_pId174"/>
      <w:r w:rsidRPr="00F935E7">
        <w:rPr>
          <w:rFonts w:cs="Arial"/>
          <w:szCs w:val="20"/>
        </w:rPr>
        <w:t xml:space="preserve">La </w:t>
      </w:r>
      <w:r>
        <w:rPr>
          <w:rFonts w:cs="Arial"/>
          <w:szCs w:val="20"/>
        </w:rPr>
        <w:t>figure</w:t>
      </w:r>
      <w:r w:rsidRPr="00F935E7">
        <w:rPr>
          <w:rFonts w:cs="Arial"/>
          <w:szCs w:val="20"/>
        </w:rPr>
        <w:t xml:space="preserve"> qui suit décrit le cycle d’efficacité des mesures de </w:t>
      </w:r>
      <w:r>
        <w:rPr>
          <w:rFonts w:cs="Arial"/>
          <w:szCs w:val="20"/>
        </w:rPr>
        <w:t>LBC</w:t>
      </w:r>
      <w:r w:rsidRPr="00F935E7">
        <w:rPr>
          <w:rFonts w:cs="Arial"/>
          <w:szCs w:val="20"/>
        </w:rPr>
        <w:t>/FT :</w:t>
      </w:r>
      <w:bookmarkEnd w:id="81"/>
    </w:p>
    <w:p w14:paraId="4788BBF8" w14:textId="77777777" w:rsidR="00DF5B08" w:rsidRPr="00F935E7" w:rsidRDefault="00DF5B08" w:rsidP="00DF5B08">
      <w:pPr>
        <w:jc w:val="both"/>
        <w:rPr>
          <w:rFonts w:cs="Arial"/>
          <w:noProof/>
          <w:szCs w:val="20"/>
        </w:rPr>
      </w:pPr>
      <w:r>
        <w:rPr>
          <w:noProof/>
        </w:rPr>
        <w:drawing>
          <wp:inline distT="0" distB="0" distL="0" distR="0" wp14:anchorId="2E0E0AC4" wp14:editId="0FB0B970">
            <wp:extent cx="5784850" cy="4358280"/>
            <wp:effectExtent l="0" t="0" r="635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2335" cy="4363919"/>
                    </a:xfrm>
                    <a:prstGeom prst="rect">
                      <a:avLst/>
                    </a:prstGeom>
                  </pic:spPr>
                </pic:pic>
              </a:graphicData>
            </a:graphic>
          </wp:inline>
        </w:drawing>
      </w:r>
    </w:p>
    <w:p w14:paraId="639FEDB0" w14:textId="77777777" w:rsidR="00DF5B08" w:rsidRPr="00625A70" w:rsidRDefault="00DF5B08" w:rsidP="00DF5B08">
      <w:pPr>
        <w:jc w:val="both"/>
        <w:rPr>
          <w:rFonts w:cs="Arial"/>
          <w:b/>
          <w:sz w:val="2"/>
          <w:szCs w:val="2"/>
        </w:rPr>
      </w:pPr>
    </w:p>
    <w:p w14:paraId="096E558D" w14:textId="77777777" w:rsidR="00DF5B08" w:rsidRPr="00DF5B08" w:rsidRDefault="00DF5B08" w:rsidP="00194B02">
      <w:pPr>
        <w:pStyle w:val="Heading2"/>
        <w:keepLines w:val="0"/>
        <w:numPr>
          <w:ilvl w:val="1"/>
          <w:numId w:val="36"/>
        </w:numPr>
        <w:spacing w:before="0"/>
        <w:ind w:right="680" w:firstLine="0"/>
        <w:jc w:val="both"/>
        <w:rPr>
          <w:rStyle w:val="Emphasis"/>
          <w:rFonts w:ascii="Arial" w:eastAsiaTheme="minorHAnsi" w:hAnsi="Arial" w:cs="Times New Roman"/>
          <w:b/>
          <w:i w:val="0"/>
          <w:iCs w:val="0"/>
          <w:color w:val="auto"/>
          <w:sz w:val="20"/>
          <w:szCs w:val="20"/>
          <w:lang w:val="fr-FR"/>
        </w:rPr>
      </w:pPr>
      <w:bookmarkStart w:id="82" w:name="lt_pId175"/>
      <w:bookmarkStart w:id="83" w:name="_Toc94256518"/>
      <w:bookmarkStart w:id="84" w:name="_Toc135412691"/>
      <w:r w:rsidRPr="00DF5B08">
        <w:rPr>
          <w:rStyle w:val="Emphasis"/>
          <w:rFonts w:ascii="Arial" w:eastAsiaTheme="minorHAnsi" w:hAnsi="Arial" w:cs="Times New Roman"/>
          <w:b/>
          <w:i w:val="0"/>
          <w:iCs w:val="0"/>
          <w:color w:val="auto"/>
          <w:sz w:val="20"/>
          <w:szCs w:val="20"/>
          <w:lang w:val="fr-FR"/>
        </w:rPr>
        <w:lastRenderedPageBreak/>
        <w:t>Tendances en matière de conformité</w:t>
      </w:r>
      <w:bookmarkEnd w:id="82"/>
      <w:bookmarkEnd w:id="83"/>
      <w:bookmarkEnd w:id="84"/>
      <w:r w:rsidRPr="00DF5B08">
        <w:rPr>
          <w:rStyle w:val="Emphasis"/>
          <w:rFonts w:ascii="Arial" w:eastAsiaTheme="minorHAnsi" w:hAnsi="Arial" w:cs="Times New Roman"/>
          <w:b/>
          <w:i w:val="0"/>
          <w:iCs w:val="0"/>
          <w:color w:val="auto"/>
          <w:sz w:val="20"/>
          <w:szCs w:val="20"/>
          <w:lang w:val="fr-FR"/>
        </w:rPr>
        <w:t xml:space="preserve"> </w:t>
      </w:r>
    </w:p>
    <w:p w14:paraId="68D4C92D" w14:textId="77777777" w:rsidR="00DF5B08" w:rsidRPr="00F935E7" w:rsidRDefault="00DF5B08" w:rsidP="00DF5B08">
      <w:pPr>
        <w:jc w:val="both"/>
      </w:pPr>
    </w:p>
    <w:p w14:paraId="500F36A4" w14:textId="788015B9" w:rsidR="00FF4365" w:rsidRDefault="00DF5B08">
      <w:pPr>
        <w:rPr>
          <w:rFonts w:cs="Arial"/>
          <w:szCs w:val="20"/>
        </w:rPr>
      </w:pPr>
      <w:bookmarkStart w:id="85" w:name="lt_pId176"/>
      <w:r w:rsidRPr="00F935E7">
        <w:rPr>
          <w:rFonts w:cs="Arial"/>
          <w:szCs w:val="20"/>
        </w:rPr>
        <w:t>MONEYVAL a poursuivi son examen horizontal</w:t>
      </w:r>
      <w:r w:rsidR="00FF4365">
        <w:rPr>
          <w:rFonts w:cs="Arial"/>
          <w:szCs w:val="20"/>
        </w:rPr>
        <w:t xml:space="preserve"> </w:t>
      </w:r>
      <w:r w:rsidRPr="00F935E7">
        <w:rPr>
          <w:rFonts w:cs="Arial"/>
          <w:szCs w:val="20"/>
        </w:rPr>
        <w:t xml:space="preserve">de la mise en œuvre des </w:t>
      </w:r>
      <w:r w:rsidR="00C70562">
        <w:rPr>
          <w:rFonts w:cs="Arial"/>
          <w:szCs w:val="20"/>
        </w:rPr>
        <w:t>r</w:t>
      </w:r>
      <w:r w:rsidRPr="00F935E7">
        <w:rPr>
          <w:rFonts w:cs="Arial"/>
          <w:szCs w:val="20"/>
        </w:rPr>
        <w:t>ecommandations du</w:t>
      </w:r>
      <w:r>
        <w:rPr>
          <w:rFonts w:cs="Arial"/>
          <w:szCs w:val="20"/>
        </w:rPr>
        <w:t xml:space="preserve"> </w:t>
      </w:r>
      <w:r w:rsidRPr="00F935E7">
        <w:rPr>
          <w:rFonts w:cs="Arial"/>
          <w:szCs w:val="20"/>
        </w:rPr>
        <w:t xml:space="preserve">GAFI par ses </w:t>
      </w:r>
      <w:r w:rsidR="00FF4365">
        <w:rPr>
          <w:rFonts w:cs="Arial"/>
          <w:szCs w:val="20"/>
        </w:rPr>
        <w:t>pays</w:t>
      </w:r>
      <w:r w:rsidR="00FF4365" w:rsidRPr="00F935E7">
        <w:rPr>
          <w:rFonts w:cs="Arial"/>
          <w:szCs w:val="20"/>
        </w:rPr>
        <w:t xml:space="preserve"> </w:t>
      </w:r>
      <w:r w:rsidRPr="00F935E7">
        <w:rPr>
          <w:rFonts w:cs="Arial"/>
          <w:szCs w:val="20"/>
        </w:rPr>
        <w:t>membres en</w:t>
      </w:r>
      <w:r w:rsidR="00FF4365">
        <w:rPr>
          <w:rFonts w:cs="Arial"/>
          <w:szCs w:val="20"/>
        </w:rPr>
        <w:t xml:space="preserve"> 2022 en</w:t>
      </w:r>
      <w:r w:rsidRPr="00F935E7">
        <w:rPr>
          <w:rFonts w:cs="Arial"/>
          <w:szCs w:val="20"/>
        </w:rPr>
        <w:t xml:space="preserve"> exploitant à cette fin </w:t>
      </w:r>
      <w:r>
        <w:rPr>
          <w:rFonts w:cs="Arial"/>
          <w:szCs w:val="20"/>
        </w:rPr>
        <w:t>—</w:t>
      </w:r>
      <w:r w:rsidRPr="00F935E7">
        <w:rPr>
          <w:rFonts w:cs="Arial"/>
          <w:szCs w:val="20"/>
        </w:rPr>
        <w:t> de manière systématique et intégrée</w:t>
      </w:r>
      <w:r>
        <w:rPr>
          <w:rFonts w:cs="Arial"/>
          <w:szCs w:val="20"/>
        </w:rPr>
        <w:t xml:space="preserve"> —</w:t>
      </w:r>
      <w:r w:rsidRPr="00F935E7">
        <w:rPr>
          <w:rFonts w:cs="Arial"/>
          <w:szCs w:val="20"/>
        </w:rPr>
        <w:t xml:space="preserve"> les résultats des évaluations mutuelles les plus récentes</w:t>
      </w:r>
      <w:bookmarkEnd w:id="85"/>
      <w:r w:rsidRPr="00F935E7">
        <w:rPr>
          <w:rFonts w:cs="Arial"/>
          <w:szCs w:val="20"/>
          <w:vertAlign w:val="superscript"/>
        </w:rPr>
        <w:footnoteReference w:id="2"/>
      </w:r>
      <w:r w:rsidRPr="00F935E7">
        <w:rPr>
          <w:rFonts w:cs="Arial"/>
          <w:szCs w:val="20"/>
        </w:rPr>
        <w:t xml:space="preserve">. </w:t>
      </w:r>
      <w:bookmarkStart w:id="87" w:name="lt_pId177"/>
      <w:r w:rsidRPr="00F935E7">
        <w:rPr>
          <w:rFonts w:cs="Arial"/>
          <w:szCs w:val="20"/>
        </w:rPr>
        <w:t xml:space="preserve">Le graphique ci-dessous représente les premières tendances relevées en matière de conformité dans </w:t>
      </w:r>
      <w:r w:rsidR="00FF4365">
        <w:rPr>
          <w:rFonts w:cs="Arial"/>
          <w:szCs w:val="20"/>
        </w:rPr>
        <w:t>lesdits</w:t>
      </w:r>
      <w:r w:rsidR="00FF4365" w:rsidRPr="00F935E7">
        <w:rPr>
          <w:rFonts w:cs="Arial"/>
          <w:szCs w:val="20"/>
        </w:rPr>
        <w:t xml:space="preserve"> </w:t>
      </w:r>
      <w:r w:rsidR="00FF4365">
        <w:rPr>
          <w:rFonts w:cs="Arial"/>
          <w:szCs w:val="20"/>
        </w:rPr>
        <w:t>pays</w:t>
      </w:r>
      <w:r w:rsidRPr="00F935E7">
        <w:rPr>
          <w:rFonts w:cs="Arial"/>
          <w:szCs w:val="20"/>
        </w:rPr>
        <w:t>.</w:t>
      </w:r>
      <w:bookmarkEnd w:id="87"/>
      <w:r w:rsidRPr="00F935E7">
        <w:rPr>
          <w:rFonts w:cs="Arial"/>
          <w:szCs w:val="20"/>
        </w:rPr>
        <w:t xml:space="preserve"> </w:t>
      </w:r>
      <w:bookmarkStart w:id="88" w:name="lt_pId178"/>
    </w:p>
    <w:p w14:paraId="19C13312" w14:textId="77777777" w:rsidR="00FF4365" w:rsidRDefault="00FF4365">
      <w:pPr>
        <w:rPr>
          <w:rFonts w:cs="Arial"/>
          <w:szCs w:val="20"/>
        </w:rPr>
      </w:pPr>
    </w:p>
    <w:p w14:paraId="67AD5886" w14:textId="681D8868" w:rsidR="00C062C0" w:rsidRDefault="00DF5B08" w:rsidP="00DF5B08">
      <w:pPr>
        <w:rPr>
          <w:rFonts w:cs="Arial"/>
          <w:szCs w:val="20"/>
        </w:rPr>
      </w:pPr>
      <w:r>
        <w:rPr>
          <w:rFonts w:cs="Arial"/>
          <w:szCs w:val="20"/>
        </w:rPr>
        <w:t>Nous pouvons</w:t>
      </w:r>
      <w:r w:rsidRPr="00F935E7">
        <w:rPr>
          <w:rFonts w:cs="Arial"/>
          <w:szCs w:val="20"/>
        </w:rPr>
        <w:t xml:space="preserve"> observer que les États et </w:t>
      </w:r>
      <w:r w:rsidR="00C062C0">
        <w:rPr>
          <w:rFonts w:cs="Arial"/>
          <w:szCs w:val="20"/>
        </w:rPr>
        <w:t>territoires</w:t>
      </w:r>
      <w:r w:rsidR="00C062C0" w:rsidRPr="00F935E7">
        <w:rPr>
          <w:rFonts w:cs="Arial"/>
          <w:szCs w:val="20"/>
        </w:rPr>
        <w:t xml:space="preserve"> </w:t>
      </w:r>
      <w:r w:rsidRPr="00F935E7">
        <w:rPr>
          <w:rFonts w:cs="Arial"/>
          <w:szCs w:val="20"/>
        </w:rPr>
        <w:t xml:space="preserve">membres de MONEYVAL continuent globalement à faire preuve d’une efficacité </w:t>
      </w:r>
      <w:r>
        <w:rPr>
          <w:rFonts w:cs="Arial"/>
          <w:szCs w:val="20"/>
        </w:rPr>
        <w:t>modérée</w:t>
      </w:r>
      <w:r w:rsidRPr="00F935E7">
        <w:rPr>
          <w:rFonts w:cs="Arial"/>
          <w:szCs w:val="20"/>
        </w:rPr>
        <w:t xml:space="preserve"> dans leurs efforts de lutte contre le blanchiment de capitaux et le financement du terrorisme.</w:t>
      </w:r>
      <w:bookmarkEnd w:id="88"/>
      <w:r w:rsidRPr="00F935E7">
        <w:rPr>
          <w:rFonts w:cs="Arial"/>
          <w:szCs w:val="20"/>
        </w:rPr>
        <w:t xml:space="preserve"> </w:t>
      </w:r>
      <w:bookmarkStart w:id="89" w:name="lt_pId179"/>
      <w:r w:rsidRPr="00F935E7">
        <w:rPr>
          <w:rFonts w:cs="Arial"/>
          <w:szCs w:val="20"/>
        </w:rPr>
        <w:t>Le niveau médian de conformité est donc inférieur au seuil de satisfaction.</w:t>
      </w:r>
      <w:bookmarkEnd w:id="89"/>
      <w:r w:rsidRPr="00F935E7">
        <w:rPr>
          <w:rFonts w:cs="Arial"/>
          <w:szCs w:val="20"/>
        </w:rPr>
        <w:t xml:space="preserve"> </w:t>
      </w:r>
      <w:bookmarkStart w:id="90" w:name="lt_pId180"/>
      <w:r w:rsidR="00C062C0">
        <w:rPr>
          <w:rFonts w:cs="Arial"/>
          <w:szCs w:val="20"/>
        </w:rPr>
        <w:t>Les membres de MONEYVAL ont obtenu les meilleurs résultats d</w:t>
      </w:r>
      <w:r w:rsidR="00C062C0" w:rsidRPr="00F935E7">
        <w:rPr>
          <w:rFonts w:cs="Arial"/>
          <w:szCs w:val="20"/>
        </w:rPr>
        <w:t xml:space="preserve">ans les domaines de l’évaluation des risques, de la coopération internationale et de l’utilisation du renseignement financier. En revanche, l’efficacité laisse particulièrement à désirer dans les domaines de la </w:t>
      </w:r>
      <w:r w:rsidR="0045509E">
        <w:rPr>
          <w:rFonts w:cs="Arial"/>
          <w:szCs w:val="20"/>
        </w:rPr>
        <w:t>supervision</w:t>
      </w:r>
      <w:r w:rsidR="00C062C0" w:rsidRPr="00F935E7">
        <w:rPr>
          <w:rFonts w:cs="Arial"/>
          <w:szCs w:val="20"/>
        </w:rPr>
        <w:t xml:space="preserve"> du secteur financier, de la conformité du secteur privé, de la transparence des personnes morales, des condamnations et confiscations pour blanchiment de capitaux, ainsi que des sanctions financières </w:t>
      </w:r>
      <w:r w:rsidR="00C062C0">
        <w:rPr>
          <w:rFonts w:cs="Arial"/>
          <w:szCs w:val="20"/>
        </w:rPr>
        <w:t>en matière de</w:t>
      </w:r>
      <w:r w:rsidR="00C062C0" w:rsidRPr="00F935E7">
        <w:rPr>
          <w:rFonts w:cs="Arial"/>
          <w:szCs w:val="20"/>
        </w:rPr>
        <w:t xml:space="preserve"> terrorisme et </w:t>
      </w:r>
      <w:r w:rsidR="00C062C0">
        <w:rPr>
          <w:rFonts w:cs="Arial"/>
          <w:szCs w:val="20"/>
        </w:rPr>
        <w:t>de</w:t>
      </w:r>
      <w:r w:rsidR="00C062C0" w:rsidRPr="00F935E7">
        <w:rPr>
          <w:rFonts w:cs="Arial"/>
          <w:szCs w:val="20"/>
        </w:rPr>
        <w:t xml:space="preserve"> prolifération d’armes de destruction massive</w:t>
      </w:r>
      <w:bookmarkStart w:id="91" w:name="lt_pId181"/>
      <w:bookmarkEnd w:id="90"/>
      <w:r w:rsidRPr="00F935E7">
        <w:rPr>
          <w:rFonts w:cs="Arial"/>
          <w:szCs w:val="20"/>
        </w:rPr>
        <w:t>.</w:t>
      </w:r>
      <w:bookmarkEnd w:id="91"/>
      <w:r w:rsidRPr="00F935E7">
        <w:rPr>
          <w:rFonts w:cs="Arial"/>
          <w:szCs w:val="20"/>
        </w:rPr>
        <w:t xml:space="preserve"> </w:t>
      </w:r>
      <w:bookmarkStart w:id="92" w:name="lt_pId183"/>
      <w:r w:rsidRPr="00F935E7">
        <w:rPr>
          <w:rFonts w:cs="Arial"/>
          <w:szCs w:val="20"/>
        </w:rPr>
        <w:t>Les derni</w:t>
      </w:r>
      <w:r w:rsidR="00C062C0">
        <w:rPr>
          <w:rFonts w:cs="Arial"/>
          <w:szCs w:val="20"/>
        </w:rPr>
        <w:t>ers rapports d’</w:t>
      </w:r>
      <w:r w:rsidRPr="00F935E7">
        <w:rPr>
          <w:rFonts w:cs="Arial"/>
          <w:szCs w:val="20"/>
        </w:rPr>
        <w:t>évaluation, adoptés en 202</w:t>
      </w:r>
      <w:r w:rsidR="00C062C0">
        <w:rPr>
          <w:rFonts w:cs="Arial"/>
          <w:szCs w:val="20"/>
        </w:rPr>
        <w:t>2</w:t>
      </w:r>
      <w:r w:rsidRPr="00F935E7">
        <w:rPr>
          <w:rFonts w:cs="Arial"/>
          <w:szCs w:val="20"/>
        </w:rPr>
        <w:t>, ont permis de faire remonter l</w:t>
      </w:r>
      <w:r>
        <w:rPr>
          <w:rFonts w:cs="Arial"/>
          <w:szCs w:val="20"/>
        </w:rPr>
        <w:t>e niveau médian d</w:t>
      </w:r>
      <w:r w:rsidRPr="00F935E7">
        <w:rPr>
          <w:rFonts w:cs="Arial"/>
          <w:szCs w:val="20"/>
        </w:rPr>
        <w:t xml:space="preserve">e conformité dans un certain nombre de domaines, à savoir la coopération internationale, </w:t>
      </w:r>
      <w:r w:rsidR="00C062C0">
        <w:rPr>
          <w:rFonts w:cs="Arial"/>
          <w:szCs w:val="20"/>
        </w:rPr>
        <w:t>l’utilisation du renseignement financier et les poursuites en matière de FT</w:t>
      </w:r>
      <w:r w:rsidRPr="00F935E7">
        <w:rPr>
          <w:rFonts w:cs="Arial"/>
          <w:szCs w:val="20"/>
        </w:rPr>
        <w:t>. Toutefois, la coopération internationale reste le seul domaine où l</w:t>
      </w:r>
      <w:r w:rsidR="00231BC5">
        <w:rPr>
          <w:rFonts w:cs="Arial"/>
          <w:szCs w:val="20"/>
        </w:rPr>
        <w:t>e niveau moyen de</w:t>
      </w:r>
      <w:r w:rsidRPr="00F935E7">
        <w:rPr>
          <w:rFonts w:cs="Arial"/>
          <w:szCs w:val="20"/>
        </w:rPr>
        <w:t xml:space="preserve"> conformité est supérieur au seuil de satisfaction pour tous les membres de MONEYVAL.</w:t>
      </w:r>
      <w:bookmarkEnd w:id="92"/>
    </w:p>
    <w:p w14:paraId="5006F66A" w14:textId="7E302E60" w:rsidR="0042349E" w:rsidRDefault="0042349E" w:rsidP="00DF5B08">
      <w:pPr>
        <w:rPr>
          <w:rFonts w:cs="Arial"/>
          <w:szCs w:val="20"/>
        </w:rPr>
      </w:pPr>
    </w:p>
    <w:p w14:paraId="3E113CC7" w14:textId="4F0AE3AC" w:rsidR="0042349E" w:rsidRDefault="00595626" w:rsidP="00DF5B08">
      <w:pPr>
        <w:rPr>
          <w:rFonts w:cs="Arial"/>
          <w:szCs w:val="20"/>
        </w:rPr>
      </w:pPr>
      <w:r>
        <w:rPr>
          <w:noProof/>
        </w:rPr>
        <w:drawing>
          <wp:anchor distT="0" distB="0" distL="114300" distR="114300" simplePos="0" relativeHeight="251658240" behindDoc="0" locked="0" layoutInCell="1" allowOverlap="1" wp14:anchorId="098A98E7" wp14:editId="75558D80">
            <wp:simplePos x="0" y="0"/>
            <wp:positionH relativeFrom="column">
              <wp:posOffset>111760</wp:posOffset>
            </wp:positionH>
            <wp:positionV relativeFrom="paragraph">
              <wp:posOffset>2999105</wp:posOffset>
            </wp:positionV>
            <wp:extent cx="5562600" cy="134302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2600" cy="1343025"/>
                    </a:xfrm>
                    <a:prstGeom prst="rect">
                      <a:avLst/>
                    </a:prstGeom>
                  </pic:spPr>
                </pic:pic>
              </a:graphicData>
            </a:graphic>
            <wp14:sizeRelV relativeFrom="margin">
              <wp14:pctHeight>0</wp14:pctHeight>
            </wp14:sizeRelV>
          </wp:anchor>
        </w:drawing>
      </w:r>
      <w:r w:rsidR="0042349E" w:rsidRPr="00277C14">
        <w:rPr>
          <w:rFonts w:cs="Arial"/>
          <w:noProof/>
          <w:szCs w:val="20"/>
          <w:lang w:val="en-US"/>
        </w:rPr>
        <w:drawing>
          <wp:inline distT="0" distB="0" distL="0" distR="0" wp14:anchorId="0645152B" wp14:editId="4B25E531">
            <wp:extent cx="5769429" cy="4562475"/>
            <wp:effectExtent l="0" t="0" r="317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5314D2" w14:textId="4E46F414" w:rsidR="00DF5B08" w:rsidRPr="00F935E7" w:rsidRDefault="00DF5B08" w:rsidP="00DF5B08">
      <w:pPr>
        <w:rPr>
          <w:rFonts w:cs="Arial"/>
          <w:szCs w:val="20"/>
        </w:rPr>
      </w:pPr>
    </w:p>
    <w:p w14:paraId="474C5EE2" w14:textId="77777777" w:rsidR="00DF5B08" w:rsidRPr="00F935E7" w:rsidRDefault="00DF5B08" w:rsidP="00DF5B08">
      <w:pPr>
        <w:jc w:val="both"/>
        <w:rPr>
          <w:rFonts w:cs="Arial"/>
          <w:szCs w:val="20"/>
        </w:rPr>
      </w:pPr>
    </w:p>
    <w:p w14:paraId="57E0F218" w14:textId="17ABC1F4" w:rsidR="00DF5B08" w:rsidRPr="00F935E7" w:rsidRDefault="00DF5B08" w:rsidP="00DF5B08">
      <w:pPr>
        <w:rPr>
          <w:rFonts w:cs="Arial"/>
          <w:szCs w:val="20"/>
        </w:rPr>
      </w:pPr>
      <w:bookmarkStart w:id="93" w:name="lt_pId184"/>
      <w:r w:rsidRPr="00F935E7">
        <w:rPr>
          <w:rFonts w:cs="Arial"/>
          <w:szCs w:val="20"/>
        </w:rPr>
        <w:t xml:space="preserve">La compréhension des risques est la clé de voûte de tout système robuste de </w:t>
      </w:r>
      <w:r>
        <w:rPr>
          <w:rFonts w:cs="Arial"/>
          <w:szCs w:val="20"/>
        </w:rPr>
        <w:t>LBC</w:t>
      </w:r>
      <w:r w:rsidRPr="00F935E7">
        <w:rPr>
          <w:rFonts w:cs="Arial"/>
          <w:szCs w:val="20"/>
        </w:rPr>
        <w:t>/FT.</w:t>
      </w:r>
      <w:bookmarkEnd w:id="93"/>
      <w:r w:rsidRPr="00F935E7">
        <w:rPr>
          <w:rFonts w:cs="Arial"/>
          <w:szCs w:val="20"/>
        </w:rPr>
        <w:t xml:space="preserve"> </w:t>
      </w:r>
      <w:bookmarkStart w:id="94" w:name="lt_pId185"/>
      <w:r w:rsidRPr="00F935E7">
        <w:rPr>
          <w:rFonts w:cs="Arial"/>
          <w:szCs w:val="20"/>
        </w:rPr>
        <w:t xml:space="preserve">Une compréhension inadéquate des risques liés au pays en cause </w:t>
      </w:r>
      <w:r>
        <w:rPr>
          <w:rFonts w:cs="Arial"/>
          <w:szCs w:val="20"/>
        </w:rPr>
        <w:t xml:space="preserve">peut en effet conduire </w:t>
      </w:r>
      <w:r w:rsidRPr="00F935E7">
        <w:rPr>
          <w:rFonts w:cs="Arial"/>
          <w:szCs w:val="20"/>
        </w:rPr>
        <w:t>à l’adoption de politiques inappropriées.</w:t>
      </w:r>
      <w:bookmarkEnd w:id="94"/>
      <w:r w:rsidRPr="00F935E7">
        <w:rPr>
          <w:rFonts w:cs="Arial"/>
          <w:szCs w:val="20"/>
        </w:rPr>
        <w:t xml:space="preserve"> </w:t>
      </w:r>
      <w:bookmarkStart w:id="95" w:name="lt_pId186"/>
      <w:r w:rsidRPr="00F935E7">
        <w:rPr>
          <w:rFonts w:cs="Arial"/>
          <w:szCs w:val="20"/>
        </w:rPr>
        <w:t>Dans presque 9</w:t>
      </w:r>
      <w:r w:rsidR="00231BC5">
        <w:rPr>
          <w:rFonts w:cs="Arial"/>
          <w:szCs w:val="20"/>
        </w:rPr>
        <w:t>2</w:t>
      </w:r>
      <w:r w:rsidRPr="00F935E7">
        <w:rPr>
          <w:rFonts w:cs="Arial"/>
          <w:szCs w:val="20"/>
        </w:rPr>
        <w:t xml:space="preserve"> % des </w:t>
      </w:r>
      <w:r w:rsidR="00231BC5">
        <w:rPr>
          <w:rFonts w:cs="Arial"/>
          <w:szCs w:val="20"/>
        </w:rPr>
        <w:t>pays</w:t>
      </w:r>
      <w:r w:rsidR="00231BC5" w:rsidRPr="00F935E7">
        <w:rPr>
          <w:rFonts w:cs="Arial"/>
          <w:szCs w:val="20"/>
        </w:rPr>
        <w:t xml:space="preserve"> </w:t>
      </w:r>
      <w:r w:rsidRPr="00F935E7">
        <w:rPr>
          <w:rFonts w:cs="Arial"/>
          <w:szCs w:val="20"/>
        </w:rPr>
        <w:t>évalués, l’analyse met en évidence l’absence d’évaluation approfondie de certains risques, tels que le financement du terrorisme</w:t>
      </w:r>
      <w:r w:rsidR="00231BC5">
        <w:rPr>
          <w:rFonts w:cs="Arial"/>
          <w:szCs w:val="20"/>
        </w:rPr>
        <w:t>, le secteur des prestataires de services liés aux actifs virtuels (PSAV)</w:t>
      </w:r>
      <w:r w:rsidRPr="00F935E7">
        <w:rPr>
          <w:rFonts w:cs="Arial"/>
          <w:szCs w:val="20"/>
        </w:rPr>
        <w:t xml:space="preserve"> et le blanchiment de capitaux offshore, </w:t>
      </w:r>
      <w:r w:rsidR="001F727F">
        <w:rPr>
          <w:rFonts w:cs="Arial"/>
          <w:szCs w:val="20"/>
        </w:rPr>
        <w:t xml:space="preserve">lorsqu’ils sont pertinents </w:t>
      </w:r>
      <w:r w:rsidRPr="00F935E7">
        <w:rPr>
          <w:rFonts w:cs="Arial"/>
          <w:szCs w:val="20"/>
        </w:rPr>
        <w:t>dans le contexte particulier d</w:t>
      </w:r>
      <w:r w:rsidR="001F727F">
        <w:rPr>
          <w:rFonts w:cs="Arial"/>
          <w:szCs w:val="20"/>
        </w:rPr>
        <w:t>’un pays</w:t>
      </w:r>
      <w:r w:rsidRPr="00F935E7">
        <w:rPr>
          <w:rFonts w:cs="Arial"/>
          <w:szCs w:val="20"/>
        </w:rPr>
        <w:t>.</w:t>
      </w:r>
      <w:bookmarkEnd w:id="95"/>
      <w:r w:rsidRPr="00F935E7">
        <w:rPr>
          <w:rFonts w:cs="Arial"/>
          <w:szCs w:val="20"/>
        </w:rPr>
        <w:t xml:space="preserve"> </w:t>
      </w:r>
      <w:bookmarkStart w:id="96" w:name="lt_pId187"/>
      <w:r w:rsidR="001F727F">
        <w:rPr>
          <w:rFonts w:cs="Arial"/>
          <w:szCs w:val="20"/>
        </w:rPr>
        <w:t>Par ailleurs</w:t>
      </w:r>
      <w:r w:rsidRPr="00F935E7">
        <w:rPr>
          <w:rFonts w:cs="Arial"/>
          <w:szCs w:val="20"/>
        </w:rPr>
        <w:t xml:space="preserve">, en l’absence d’une évaluation approfondie des risques, les </w:t>
      </w:r>
      <w:r>
        <w:rPr>
          <w:rFonts w:cs="Arial"/>
          <w:szCs w:val="20"/>
        </w:rPr>
        <w:t>réponses à ces risques</w:t>
      </w:r>
      <w:r w:rsidRPr="00F935E7">
        <w:rPr>
          <w:rFonts w:cs="Arial"/>
          <w:szCs w:val="20"/>
        </w:rPr>
        <w:t xml:space="preserve"> ne sauraient être adéquat</w:t>
      </w:r>
      <w:r>
        <w:rPr>
          <w:rFonts w:cs="Arial"/>
          <w:szCs w:val="20"/>
        </w:rPr>
        <w:t>e</w:t>
      </w:r>
      <w:r w:rsidRPr="00F935E7">
        <w:rPr>
          <w:rFonts w:cs="Arial"/>
          <w:szCs w:val="20"/>
        </w:rPr>
        <w:t>s.</w:t>
      </w:r>
      <w:bookmarkEnd w:id="96"/>
      <w:r w:rsidRPr="00F935E7">
        <w:rPr>
          <w:rFonts w:cs="Arial"/>
          <w:szCs w:val="20"/>
        </w:rPr>
        <w:t xml:space="preserve"> </w:t>
      </w:r>
      <w:bookmarkStart w:id="97" w:name="lt_pId188"/>
      <w:r>
        <w:rPr>
          <w:rFonts w:cs="Arial"/>
          <w:szCs w:val="20"/>
        </w:rPr>
        <w:t>En effet, l</w:t>
      </w:r>
      <w:r w:rsidRPr="00F935E7">
        <w:rPr>
          <w:rFonts w:cs="Arial"/>
          <w:szCs w:val="20"/>
        </w:rPr>
        <w:t xml:space="preserve">’analyse souligne notamment la difficulté de </w:t>
      </w:r>
      <w:r w:rsidR="001F727F">
        <w:rPr>
          <w:rFonts w:cs="Arial"/>
          <w:szCs w:val="20"/>
        </w:rPr>
        <w:t>sept</w:t>
      </w:r>
      <w:r w:rsidR="001F727F" w:rsidRPr="00F935E7">
        <w:rPr>
          <w:rFonts w:cs="Arial"/>
          <w:szCs w:val="20"/>
        </w:rPr>
        <w:t xml:space="preserve"> </w:t>
      </w:r>
      <w:r w:rsidRPr="00F935E7">
        <w:rPr>
          <w:rFonts w:cs="Arial"/>
          <w:szCs w:val="20"/>
        </w:rPr>
        <w:t xml:space="preserve">pays (26 %) à appliquer </w:t>
      </w:r>
      <w:r w:rsidRPr="00F935E7">
        <w:rPr>
          <w:rFonts w:cs="Arial"/>
          <w:szCs w:val="20"/>
        </w:rPr>
        <w:lastRenderedPageBreak/>
        <w:t xml:space="preserve">avec succès une approche fondée sur le risque associé aux </w:t>
      </w:r>
      <w:r w:rsidR="001F727F">
        <w:rPr>
          <w:rFonts w:cs="Arial"/>
          <w:szCs w:val="20"/>
        </w:rPr>
        <w:t>o</w:t>
      </w:r>
      <w:r>
        <w:rPr>
          <w:rFonts w:cs="Arial"/>
          <w:szCs w:val="20"/>
        </w:rPr>
        <w:t>rganismes à but non lucratif (</w:t>
      </w:r>
      <w:r w:rsidRPr="00F935E7">
        <w:rPr>
          <w:rFonts w:cs="Arial"/>
          <w:szCs w:val="20"/>
        </w:rPr>
        <w:t>OBNL</w:t>
      </w:r>
      <w:r>
        <w:rPr>
          <w:rFonts w:cs="Arial"/>
          <w:szCs w:val="20"/>
        </w:rPr>
        <w:t>)</w:t>
      </w:r>
      <w:r w:rsidRPr="00F935E7">
        <w:rPr>
          <w:rFonts w:cs="Arial"/>
          <w:szCs w:val="20"/>
        </w:rPr>
        <w:t xml:space="preserve"> potentiellement exposés à un risque d’utilisation abusive à des fins de financement du terrorisme.</w:t>
      </w:r>
      <w:bookmarkEnd w:id="97"/>
    </w:p>
    <w:p w14:paraId="050A00B0" w14:textId="77777777" w:rsidR="00DF5B08" w:rsidRPr="00F935E7" w:rsidRDefault="00DF5B08" w:rsidP="00DF5B08">
      <w:pPr>
        <w:rPr>
          <w:rFonts w:cs="Arial"/>
          <w:szCs w:val="20"/>
        </w:rPr>
      </w:pPr>
      <w:bookmarkStart w:id="98" w:name="lt_pId189"/>
      <w:r w:rsidRPr="00F935E7">
        <w:rPr>
          <w:rFonts w:cs="Arial"/>
          <w:szCs w:val="20"/>
        </w:rPr>
        <w:t>Il n’est pas possible de jauger correctement les risques ni d’évaluer la performance du régime sans statistiques adéquates relatives au BC/FT.</w:t>
      </w:r>
      <w:bookmarkEnd w:id="98"/>
      <w:r w:rsidRPr="00F935E7">
        <w:rPr>
          <w:rFonts w:cs="Arial"/>
          <w:szCs w:val="20"/>
        </w:rPr>
        <w:t xml:space="preserve"> </w:t>
      </w:r>
      <w:bookmarkStart w:id="99" w:name="lt_pId190"/>
      <w:r>
        <w:rPr>
          <w:rFonts w:cs="Arial"/>
          <w:szCs w:val="20"/>
        </w:rPr>
        <w:t>L</w:t>
      </w:r>
      <w:r w:rsidRPr="00F935E7">
        <w:rPr>
          <w:rFonts w:cs="Arial"/>
          <w:szCs w:val="20"/>
        </w:rPr>
        <w:t>es pays évalués jusqu’à présent pourraient encore améliorer la collecte et la tenue de statistiques rigoureuses et fiables sur le blanchiment de capitaux et le financement du terrorisme.</w:t>
      </w:r>
      <w:bookmarkEnd w:id="99"/>
      <w:r w:rsidRPr="00F935E7">
        <w:rPr>
          <w:rFonts w:cs="Arial"/>
          <w:szCs w:val="20"/>
        </w:rPr>
        <w:t xml:space="preserve"> </w:t>
      </w:r>
      <w:bookmarkStart w:id="100" w:name="lt_pId191"/>
      <w:r w:rsidRPr="00F935E7">
        <w:rPr>
          <w:rFonts w:cs="Arial"/>
          <w:szCs w:val="20"/>
        </w:rPr>
        <w:t>Ils devraient également associer davantage le secteur privé au processus d’évaluation des risques afin de dresser un tableau complet plus précis des menaces de BC/FT.</w:t>
      </w:r>
      <w:bookmarkEnd w:id="100"/>
    </w:p>
    <w:p w14:paraId="6BC92000" w14:textId="77777777" w:rsidR="00DF5B08" w:rsidRPr="00F935E7" w:rsidRDefault="00DF5B08" w:rsidP="00DF5B08">
      <w:pPr>
        <w:rPr>
          <w:rFonts w:cs="Arial"/>
          <w:szCs w:val="20"/>
        </w:rPr>
      </w:pPr>
    </w:p>
    <w:p w14:paraId="1DDD8575" w14:textId="0E431525" w:rsidR="00DF5B08" w:rsidRPr="00F935E7" w:rsidRDefault="00DF5B08" w:rsidP="00DF5B08">
      <w:pPr>
        <w:rPr>
          <w:rFonts w:cs="Arial"/>
          <w:szCs w:val="20"/>
        </w:rPr>
      </w:pPr>
      <w:bookmarkStart w:id="101" w:name="lt_pId192"/>
      <w:r w:rsidRPr="00F935E7">
        <w:rPr>
          <w:rFonts w:cs="Arial"/>
          <w:szCs w:val="20"/>
        </w:rPr>
        <w:t xml:space="preserve">Compte tenu de la nature du blanchiment de capitaux et du financement du terrorisme, une coopération internationale solide est essentielle à la mise en œuvre efficace des mesures </w:t>
      </w:r>
      <w:r>
        <w:rPr>
          <w:rFonts w:cs="Arial"/>
          <w:szCs w:val="20"/>
        </w:rPr>
        <w:t>LBC</w:t>
      </w:r>
      <w:r w:rsidRPr="00F935E7">
        <w:rPr>
          <w:rFonts w:cs="Arial"/>
          <w:szCs w:val="20"/>
        </w:rPr>
        <w:t>/FT.</w:t>
      </w:r>
      <w:bookmarkEnd w:id="101"/>
      <w:r w:rsidRPr="00F935E7">
        <w:rPr>
          <w:rFonts w:cs="Arial"/>
          <w:szCs w:val="20"/>
        </w:rPr>
        <w:t xml:space="preserve"> </w:t>
      </w:r>
      <w:bookmarkStart w:id="102" w:name="lt_pId193"/>
      <w:r w:rsidRPr="00F935E7">
        <w:rPr>
          <w:rFonts w:cs="Arial"/>
          <w:szCs w:val="20"/>
        </w:rPr>
        <w:t>Les normes du GAFI préconisent une entraide judiciaire et d’autres formes de coopération internationale dans toute la mesure du possible, ainsi qu’un système établi permettant de répondre rapidement aux demandes formulées par des pays tiers.</w:t>
      </w:r>
      <w:bookmarkEnd w:id="102"/>
      <w:r w:rsidRPr="00F935E7">
        <w:rPr>
          <w:rFonts w:cs="Arial"/>
          <w:szCs w:val="20"/>
        </w:rPr>
        <w:t xml:space="preserve"> </w:t>
      </w:r>
      <w:bookmarkStart w:id="103" w:name="lt_pId194"/>
      <w:r w:rsidRPr="00F935E7">
        <w:rPr>
          <w:rFonts w:cs="Arial"/>
          <w:szCs w:val="20"/>
        </w:rPr>
        <w:t>La coopération internationale et l’échange d’informations sont le point fort des membres de MONEYVAL.</w:t>
      </w:r>
      <w:bookmarkEnd w:id="103"/>
      <w:r w:rsidRPr="00F935E7">
        <w:rPr>
          <w:rFonts w:cs="Arial"/>
          <w:szCs w:val="20"/>
        </w:rPr>
        <w:t xml:space="preserve"> </w:t>
      </w:r>
      <w:bookmarkStart w:id="104" w:name="lt_pId195"/>
      <w:r w:rsidRPr="00F935E7">
        <w:rPr>
          <w:rFonts w:cs="Arial"/>
          <w:szCs w:val="20"/>
        </w:rPr>
        <w:t>Vingt</w:t>
      </w:r>
      <w:r w:rsidR="00D67E51">
        <w:rPr>
          <w:rFonts w:cs="Arial"/>
          <w:szCs w:val="20"/>
        </w:rPr>
        <w:t>-</w:t>
      </w:r>
      <w:r w:rsidR="000E2085">
        <w:rPr>
          <w:rFonts w:cs="Arial"/>
          <w:szCs w:val="20"/>
        </w:rPr>
        <w:t>et</w:t>
      </w:r>
      <w:r w:rsidR="00D67E51">
        <w:rPr>
          <w:rFonts w:cs="Arial"/>
          <w:szCs w:val="20"/>
        </w:rPr>
        <w:t>-</w:t>
      </w:r>
      <w:r w:rsidR="000E2085">
        <w:rPr>
          <w:rFonts w:cs="Arial"/>
          <w:szCs w:val="20"/>
        </w:rPr>
        <w:t>un</w:t>
      </w:r>
      <w:r w:rsidRPr="00F935E7">
        <w:rPr>
          <w:rFonts w:cs="Arial"/>
          <w:szCs w:val="20"/>
        </w:rPr>
        <w:t xml:space="preserve"> pays (</w:t>
      </w:r>
      <w:r w:rsidR="00D67E51">
        <w:rPr>
          <w:rFonts w:cs="Arial"/>
          <w:szCs w:val="20"/>
        </w:rPr>
        <w:t xml:space="preserve">soit </w:t>
      </w:r>
      <w:r w:rsidRPr="00F935E7">
        <w:rPr>
          <w:rFonts w:cs="Arial"/>
          <w:szCs w:val="20"/>
        </w:rPr>
        <w:t>8</w:t>
      </w:r>
      <w:r w:rsidR="00D67E51">
        <w:rPr>
          <w:rFonts w:cs="Arial"/>
          <w:szCs w:val="20"/>
        </w:rPr>
        <w:t>0</w:t>
      </w:r>
      <w:r w:rsidRPr="00F935E7">
        <w:rPr>
          <w:rFonts w:cs="Arial"/>
          <w:szCs w:val="20"/>
        </w:rPr>
        <w:t> %)</w:t>
      </w:r>
      <w:r w:rsidR="00D67E51">
        <w:rPr>
          <w:rFonts w:cs="Arial"/>
          <w:szCs w:val="20"/>
        </w:rPr>
        <w:t xml:space="preserve"> parmi ceux évalués par MONEYVAL</w:t>
      </w:r>
      <w:r w:rsidRPr="00F935E7">
        <w:rPr>
          <w:rFonts w:cs="Arial"/>
          <w:szCs w:val="20"/>
        </w:rPr>
        <w:t xml:space="preserve"> </w:t>
      </w:r>
      <w:r>
        <w:rPr>
          <w:rFonts w:cs="Arial"/>
          <w:szCs w:val="20"/>
        </w:rPr>
        <w:t>engagent</w:t>
      </w:r>
      <w:r w:rsidRPr="00F935E7">
        <w:rPr>
          <w:rFonts w:cs="Arial"/>
          <w:szCs w:val="20"/>
        </w:rPr>
        <w:t xml:space="preserve"> </w:t>
      </w:r>
      <w:r>
        <w:rPr>
          <w:rFonts w:cs="Arial"/>
          <w:szCs w:val="20"/>
        </w:rPr>
        <w:t>activement</w:t>
      </w:r>
      <w:r w:rsidRPr="00F935E7">
        <w:rPr>
          <w:rFonts w:cs="Arial"/>
          <w:szCs w:val="20"/>
        </w:rPr>
        <w:t xml:space="preserve"> une coopération internationale, </w:t>
      </w:r>
      <w:r>
        <w:rPr>
          <w:rFonts w:cs="Arial"/>
          <w:szCs w:val="20"/>
        </w:rPr>
        <w:t>et</w:t>
      </w:r>
      <w:r w:rsidRPr="00F935E7">
        <w:rPr>
          <w:rFonts w:cs="Arial"/>
          <w:szCs w:val="20"/>
        </w:rPr>
        <w:t xml:space="preserve"> seulement </w:t>
      </w:r>
      <w:r w:rsidR="00D67E51">
        <w:rPr>
          <w:rFonts w:cs="Arial"/>
          <w:szCs w:val="20"/>
        </w:rPr>
        <w:t>cinq</w:t>
      </w:r>
      <w:r w:rsidR="00D67E51" w:rsidRPr="00F935E7">
        <w:rPr>
          <w:rFonts w:cs="Arial"/>
          <w:szCs w:val="20"/>
        </w:rPr>
        <w:t xml:space="preserve"> </w:t>
      </w:r>
      <w:r w:rsidRPr="00F935E7">
        <w:rPr>
          <w:rFonts w:cs="Arial"/>
          <w:szCs w:val="20"/>
        </w:rPr>
        <w:t>(soit 1</w:t>
      </w:r>
      <w:r>
        <w:rPr>
          <w:rFonts w:cs="Arial"/>
          <w:szCs w:val="20"/>
        </w:rPr>
        <w:t>3</w:t>
      </w:r>
      <w:r w:rsidRPr="00F935E7">
        <w:rPr>
          <w:rFonts w:cs="Arial"/>
          <w:szCs w:val="20"/>
        </w:rPr>
        <w:t xml:space="preserve"> %) </w:t>
      </w:r>
      <w:r>
        <w:rPr>
          <w:rFonts w:cs="Arial"/>
          <w:szCs w:val="20"/>
        </w:rPr>
        <w:t>rencontrent</w:t>
      </w:r>
      <w:r w:rsidRPr="00F935E7">
        <w:rPr>
          <w:rFonts w:cs="Arial"/>
          <w:szCs w:val="20"/>
        </w:rPr>
        <w:t xml:space="preserve"> des difficultés à envoyer et recevoir des demandes d’entraide judicia</w:t>
      </w:r>
      <w:r>
        <w:rPr>
          <w:rFonts w:cs="Arial"/>
          <w:szCs w:val="20"/>
        </w:rPr>
        <w:t>i</w:t>
      </w:r>
      <w:r w:rsidRPr="00F935E7">
        <w:rPr>
          <w:rFonts w:cs="Arial"/>
          <w:szCs w:val="20"/>
        </w:rPr>
        <w:t>re, souffr</w:t>
      </w:r>
      <w:r w:rsidR="00D67E51">
        <w:rPr>
          <w:rFonts w:cs="Arial"/>
          <w:szCs w:val="20"/>
        </w:rPr>
        <w:t>a</w:t>
      </w:r>
      <w:r w:rsidRPr="00F935E7">
        <w:rPr>
          <w:rFonts w:cs="Arial"/>
          <w:szCs w:val="20"/>
        </w:rPr>
        <w:t xml:space="preserve">nt d’un manque de mécanismes de </w:t>
      </w:r>
      <w:r>
        <w:rPr>
          <w:rFonts w:cs="Arial"/>
          <w:szCs w:val="20"/>
        </w:rPr>
        <w:t>priorisation</w:t>
      </w:r>
      <w:r w:rsidRPr="00F935E7">
        <w:rPr>
          <w:rFonts w:cs="Arial"/>
          <w:szCs w:val="20"/>
        </w:rPr>
        <w:t xml:space="preserve"> ou ne </w:t>
      </w:r>
      <w:r w:rsidR="00D67E51">
        <w:rPr>
          <w:rFonts w:cs="Arial"/>
          <w:szCs w:val="20"/>
        </w:rPr>
        <w:t>pouvant</w:t>
      </w:r>
      <w:r w:rsidR="00D67E51" w:rsidRPr="00F935E7">
        <w:rPr>
          <w:rFonts w:cs="Arial"/>
          <w:szCs w:val="20"/>
        </w:rPr>
        <w:t xml:space="preserve"> </w:t>
      </w:r>
      <w:r w:rsidRPr="00F935E7">
        <w:rPr>
          <w:rFonts w:cs="Arial"/>
          <w:szCs w:val="20"/>
        </w:rPr>
        <w:t>pas garantir la fourniture d’informations en temps utile.</w:t>
      </w:r>
      <w:bookmarkEnd w:id="104"/>
      <w:r w:rsidRPr="00F935E7">
        <w:rPr>
          <w:rFonts w:cs="Arial"/>
          <w:szCs w:val="20"/>
        </w:rPr>
        <w:t xml:space="preserve"> </w:t>
      </w:r>
    </w:p>
    <w:p w14:paraId="56558AE1" w14:textId="77777777" w:rsidR="00DF5B08" w:rsidRPr="00F935E7" w:rsidRDefault="00DF5B08" w:rsidP="00DF5B08">
      <w:pPr>
        <w:jc w:val="both"/>
        <w:rPr>
          <w:rFonts w:cs="Arial"/>
          <w:szCs w:val="20"/>
        </w:rPr>
      </w:pPr>
    </w:p>
    <w:p w14:paraId="2ABDCE7A" w14:textId="2CDE4D65" w:rsidR="00DF5B08" w:rsidRPr="00F935E7" w:rsidRDefault="00DF5B08" w:rsidP="00DF5B08">
      <w:pPr>
        <w:rPr>
          <w:rFonts w:cs="Arial"/>
          <w:szCs w:val="20"/>
        </w:rPr>
      </w:pPr>
      <w:bookmarkStart w:id="105" w:name="lt_pId196"/>
      <w:r w:rsidRPr="00F935E7">
        <w:rPr>
          <w:rFonts w:cs="Arial"/>
          <w:szCs w:val="20"/>
        </w:rPr>
        <w:t xml:space="preserve">Un contrôle efficace du secteur privé est à la base de tout régime efficace de </w:t>
      </w:r>
      <w:r>
        <w:rPr>
          <w:rFonts w:cs="Arial"/>
          <w:szCs w:val="20"/>
        </w:rPr>
        <w:t>LBC</w:t>
      </w:r>
      <w:r w:rsidRPr="00F935E7">
        <w:rPr>
          <w:rFonts w:cs="Arial"/>
          <w:szCs w:val="20"/>
        </w:rPr>
        <w:t>/FT.</w:t>
      </w:r>
      <w:bookmarkEnd w:id="105"/>
      <w:r w:rsidRPr="00F935E7">
        <w:rPr>
          <w:rFonts w:cs="Arial"/>
          <w:szCs w:val="20"/>
        </w:rPr>
        <w:t xml:space="preserve"> </w:t>
      </w:r>
      <w:bookmarkStart w:id="106" w:name="lt_pId197"/>
      <w:r w:rsidRPr="00F935E7">
        <w:rPr>
          <w:rFonts w:cs="Arial"/>
          <w:szCs w:val="20"/>
        </w:rPr>
        <w:t xml:space="preserve">Pourtant, </w:t>
      </w:r>
      <w:r w:rsidRPr="009014EA">
        <w:rPr>
          <w:rFonts w:cs="Arial"/>
          <w:szCs w:val="20"/>
        </w:rPr>
        <w:t xml:space="preserve">aucun </w:t>
      </w:r>
      <w:r w:rsidR="00A073E0">
        <w:rPr>
          <w:rFonts w:cs="Arial"/>
          <w:szCs w:val="20"/>
        </w:rPr>
        <w:t>pays</w:t>
      </w:r>
      <w:r w:rsidR="00A073E0" w:rsidRPr="009014EA">
        <w:rPr>
          <w:rFonts w:cs="Arial"/>
          <w:szCs w:val="20"/>
        </w:rPr>
        <w:t xml:space="preserve"> </w:t>
      </w:r>
      <w:r w:rsidRPr="009014EA">
        <w:rPr>
          <w:rFonts w:cs="Arial"/>
          <w:szCs w:val="20"/>
        </w:rPr>
        <w:t>ne s’</w:t>
      </w:r>
      <w:r>
        <w:rPr>
          <w:rFonts w:cs="Arial"/>
          <w:szCs w:val="20"/>
        </w:rPr>
        <w:t>est</w:t>
      </w:r>
      <w:r w:rsidRPr="009014EA">
        <w:rPr>
          <w:rFonts w:cs="Arial"/>
          <w:szCs w:val="20"/>
        </w:rPr>
        <w:t xml:space="preserve"> encore vu attribuer une note élevée en matière de contrôle de conformité</w:t>
      </w:r>
      <w:r>
        <w:rPr>
          <w:rFonts w:cs="Arial"/>
          <w:szCs w:val="20"/>
        </w:rPr>
        <w:t>, et</w:t>
      </w:r>
      <w:r w:rsidRPr="009014EA">
        <w:rPr>
          <w:rFonts w:cs="Arial"/>
          <w:szCs w:val="20"/>
        </w:rPr>
        <w:t xml:space="preserve"> </w:t>
      </w:r>
      <w:r w:rsidRPr="00F935E7">
        <w:rPr>
          <w:rFonts w:cs="Arial"/>
          <w:szCs w:val="20"/>
        </w:rPr>
        <w:t xml:space="preserve">la </w:t>
      </w:r>
      <w:r w:rsidR="00A073E0">
        <w:rPr>
          <w:rFonts w:cs="Arial"/>
          <w:szCs w:val="20"/>
        </w:rPr>
        <w:t>supervision</w:t>
      </w:r>
      <w:r w:rsidR="00A073E0" w:rsidRPr="00F935E7">
        <w:rPr>
          <w:rFonts w:cs="Arial"/>
          <w:szCs w:val="20"/>
        </w:rPr>
        <w:t xml:space="preserve"> </w:t>
      </w:r>
      <w:r w:rsidRPr="00F935E7">
        <w:rPr>
          <w:rFonts w:cs="Arial"/>
          <w:szCs w:val="20"/>
        </w:rPr>
        <w:t>est l’un des domaines où les pays s’avèrent les moins efficaces</w:t>
      </w:r>
      <w:r>
        <w:rPr>
          <w:rFonts w:cs="Arial"/>
          <w:szCs w:val="20"/>
        </w:rPr>
        <w:t>.</w:t>
      </w:r>
      <w:bookmarkEnd w:id="106"/>
      <w:r w:rsidRPr="00F935E7">
        <w:rPr>
          <w:rFonts w:cs="Arial"/>
          <w:szCs w:val="20"/>
        </w:rPr>
        <w:t xml:space="preserve"> </w:t>
      </w:r>
      <w:bookmarkStart w:id="107" w:name="lt_pId198"/>
      <w:r w:rsidRPr="00F935E7">
        <w:rPr>
          <w:rFonts w:cs="Arial"/>
          <w:szCs w:val="20"/>
        </w:rPr>
        <w:t xml:space="preserve">L’analyse souligne des différences significatives dans la compréhension du risque global par les autorités de </w:t>
      </w:r>
      <w:r w:rsidR="00140647">
        <w:rPr>
          <w:rFonts w:cs="Arial"/>
          <w:szCs w:val="20"/>
        </w:rPr>
        <w:t>supervision</w:t>
      </w:r>
      <w:r w:rsidRPr="00F935E7">
        <w:rPr>
          <w:rFonts w:cs="Arial"/>
          <w:szCs w:val="20"/>
        </w:rPr>
        <w:t>, à savoir celles supervisant les entreprises et professions non financières désignées (avocats, notaires, comptables, casinos, prestataires de services aux sociétés et fiducies, agents immobiliers, négociants en métaux et pierres précieux).</w:t>
      </w:r>
      <w:bookmarkEnd w:id="107"/>
      <w:r w:rsidRPr="00F935E7">
        <w:rPr>
          <w:rFonts w:cs="Arial"/>
          <w:szCs w:val="20"/>
        </w:rPr>
        <w:t xml:space="preserve"> </w:t>
      </w:r>
      <w:bookmarkStart w:id="108" w:name="lt_pId199"/>
      <w:r w:rsidRPr="00F935E7">
        <w:rPr>
          <w:rFonts w:cs="Arial"/>
          <w:szCs w:val="20"/>
        </w:rPr>
        <w:t>Dans tous les pays, l’existence</w:t>
      </w:r>
      <w:r>
        <w:rPr>
          <w:rFonts w:cs="Arial"/>
          <w:szCs w:val="20"/>
        </w:rPr>
        <w:t xml:space="preserve"> d’un organisme unique </w:t>
      </w:r>
      <w:r w:rsidRPr="00F935E7">
        <w:rPr>
          <w:rFonts w:cs="Arial"/>
          <w:szCs w:val="20"/>
        </w:rPr>
        <w:t xml:space="preserve">de </w:t>
      </w:r>
      <w:r w:rsidR="00140647">
        <w:rPr>
          <w:rFonts w:cs="Arial"/>
          <w:szCs w:val="20"/>
        </w:rPr>
        <w:t>supervision</w:t>
      </w:r>
      <w:r w:rsidR="00140647" w:rsidRPr="00F935E7">
        <w:rPr>
          <w:rFonts w:cs="Arial"/>
          <w:szCs w:val="20"/>
        </w:rPr>
        <w:t xml:space="preserve"> </w:t>
      </w:r>
      <w:r w:rsidRPr="00F935E7">
        <w:rPr>
          <w:rFonts w:cs="Arial"/>
          <w:szCs w:val="20"/>
        </w:rPr>
        <w:t xml:space="preserve">couvrant les différents secteurs non financiers ne peut </w:t>
      </w:r>
      <w:r>
        <w:rPr>
          <w:rFonts w:cs="Arial"/>
          <w:szCs w:val="20"/>
        </w:rPr>
        <w:t xml:space="preserve">contribuer à renforcer </w:t>
      </w:r>
      <w:r w:rsidRPr="00F935E7">
        <w:rPr>
          <w:rFonts w:cs="Arial"/>
          <w:szCs w:val="20"/>
        </w:rPr>
        <w:t>l’efficacité que si et seulement si</w:t>
      </w:r>
      <w:r>
        <w:rPr>
          <w:rFonts w:cs="Arial"/>
          <w:szCs w:val="20"/>
        </w:rPr>
        <w:t xml:space="preserve"> ledit organisme </w:t>
      </w:r>
      <w:r w:rsidRPr="00F935E7">
        <w:rPr>
          <w:rFonts w:cs="Arial"/>
          <w:szCs w:val="20"/>
        </w:rPr>
        <w:t>bénéficie de pouvoirs et de ressources adéquats</w:t>
      </w:r>
      <w:r>
        <w:rPr>
          <w:rFonts w:cs="Arial"/>
          <w:szCs w:val="20"/>
        </w:rPr>
        <w:t> </w:t>
      </w:r>
      <w:r w:rsidRPr="00F935E7">
        <w:rPr>
          <w:rFonts w:cs="Arial"/>
          <w:szCs w:val="20"/>
        </w:rPr>
        <w:t>; or, force est de constater que ces ressources se sont avérées insuffisantes dans 7</w:t>
      </w:r>
      <w:r w:rsidR="00892AD9">
        <w:rPr>
          <w:rFonts w:cs="Arial"/>
          <w:szCs w:val="20"/>
        </w:rPr>
        <w:t>3</w:t>
      </w:r>
      <w:r w:rsidRPr="00F935E7">
        <w:rPr>
          <w:rFonts w:cs="Arial"/>
          <w:szCs w:val="20"/>
        </w:rPr>
        <w:t xml:space="preserve"> % des </w:t>
      </w:r>
      <w:r w:rsidR="00892AD9">
        <w:rPr>
          <w:rFonts w:cs="Arial"/>
          <w:szCs w:val="20"/>
        </w:rPr>
        <w:t>pays</w:t>
      </w:r>
      <w:r w:rsidR="00892AD9" w:rsidRPr="00F935E7">
        <w:rPr>
          <w:rFonts w:cs="Arial"/>
          <w:szCs w:val="20"/>
        </w:rPr>
        <w:t xml:space="preserve"> </w:t>
      </w:r>
      <w:r w:rsidRPr="00F935E7">
        <w:rPr>
          <w:rFonts w:cs="Arial"/>
          <w:szCs w:val="20"/>
        </w:rPr>
        <w:t>évalués.</w:t>
      </w:r>
      <w:bookmarkEnd w:id="108"/>
    </w:p>
    <w:p w14:paraId="4EA6F802" w14:textId="77777777" w:rsidR="00DF5B08" w:rsidRPr="00F935E7" w:rsidRDefault="00DF5B08" w:rsidP="00DF5B08">
      <w:pPr>
        <w:rPr>
          <w:rFonts w:cs="Arial"/>
          <w:szCs w:val="20"/>
        </w:rPr>
      </w:pPr>
    </w:p>
    <w:p w14:paraId="76854ED2" w14:textId="22942E5F" w:rsidR="00DF5B08" w:rsidRPr="00F935E7" w:rsidRDefault="00DF5B08" w:rsidP="00DF5B08">
      <w:pPr>
        <w:rPr>
          <w:rFonts w:cs="Arial"/>
          <w:szCs w:val="20"/>
        </w:rPr>
      </w:pPr>
      <w:bookmarkStart w:id="109" w:name="lt_pId200"/>
      <w:r w:rsidRPr="00F935E7">
        <w:rPr>
          <w:rFonts w:cs="Arial"/>
          <w:szCs w:val="20"/>
        </w:rPr>
        <w:t xml:space="preserve">Le fait de bénéficier de renseignements financiers exploitables influe considérablement sur l’efficacité d’un régime de </w:t>
      </w:r>
      <w:r>
        <w:rPr>
          <w:rFonts w:cs="Arial"/>
          <w:szCs w:val="20"/>
        </w:rPr>
        <w:t>LBC</w:t>
      </w:r>
      <w:r w:rsidRPr="00F935E7">
        <w:rPr>
          <w:rFonts w:cs="Arial"/>
          <w:szCs w:val="20"/>
        </w:rPr>
        <w:t xml:space="preserve">/FT, dans la mesure où les autorités </w:t>
      </w:r>
      <w:r w:rsidR="00937A20">
        <w:rPr>
          <w:rFonts w:cs="Arial"/>
          <w:szCs w:val="20"/>
        </w:rPr>
        <w:t>de poursuite pénale</w:t>
      </w:r>
      <w:r w:rsidR="00937A20" w:rsidRPr="00F935E7">
        <w:rPr>
          <w:rFonts w:cs="Arial"/>
          <w:szCs w:val="20"/>
        </w:rPr>
        <w:t xml:space="preserve"> </w:t>
      </w:r>
      <w:r w:rsidRPr="00F935E7">
        <w:rPr>
          <w:rFonts w:cs="Arial"/>
          <w:szCs w:val="20"/>
        </w:rPr>
        <w:t>disposent alors d’éléments précieux pour mener leurs enquêtes financières.</w:t>
      </w:r>
      <w:bookmarkEnd w:id="109"/>
      <w:r w:rsidRPr="00F935E7">
        <w:rPr>
          <w:rFonts w:cs="Arial"/>
          <w:szCs w:val="20"/>
        </w:rPr>
        <w:t xml:space="preserve"> </w:t>
      </w:r>
      <w:bookmarkStart w:id="110" w:name="lt_pId201"/>
      <w:r w:rsidRPr="00F935E7">
        <w:rPr>
          <w:rFonts w:cs="Arial"/>
          <w:szCs w:val="20"/>
        </w:rPr>
        <w:t xml:space="preserve">Lorsque le secteur privé fait l’objet d’un contrôle déficient, il est peu enclin à déployer des efforts pour déjouer la criminalité financière et, à supposer qu’il diffuse des </w:t>
      </w:r>
      <w:r>
        <w:rPr>
          <w:rFonts w:cs="Arial"/>
          <w:szCs w:val="20"/>
        </w:rPr>
        <w:t xml:space="preserve">déclarations </w:t>
      </w:r>
      <w:r w:rsidR="00257CD4">
        <w:rPr>
          <w:rFonts w:cs="Arial"/>
          <w:szCs w:val="20"/>
        </w:rPr>
        <w:t>de soupçon</w:t>
      </w:r>
      <w:r w:rsidRPr="00F935E7">
        <w:rPr>
          <w:rFonts w:cs="Arial"/>
          <w:szCs w:val="20"/>
        </w:rPr>
        <w:t>, ce</w:t>
      </w:r>
      <w:r w:rsidR="00257CD4">
        <w:rPr>
          <w:rFonts w:cs="Arial"/>
          <w:szCs w:val="20"/>
        </w:rPr>
        <w:t>lles</w:t>
      </w:r>
      <w:r w:rsidRPr="00F935E7">
        <w:rPr>
          <w:rFonts w:cs="Arial"/>
          <w:szCs w:val="20"/>
        </w:rPr>
        <w:t>-ci sont de qualité médiocre.</w:t>
      </w:r>
      <w:bookmarkEnd w:id="110"/>
      <w:r w:rsidRPr="00F935E7">
        <w:rPr>
          <w:rFonts w:cs="Arial"/>
          <w:szCs w:val="20"/>
        </w:rPr>
        <w:t xml:space="preserve"> </w:t>
      </w:r>
      <w:bookmarkStart w:id="111" w:name="lt_pId202"/>
      <w:r w:rsidRPr="00F935E7">
        <w:rPr>
          <w:rFonts w:cs="Arial"/>
          <w:szCs w:val="20"/>
        </w:rPr>
        <w:t xml:space="preserve">Pour </w:t>
      </w:r>
      <w:r w:rsidR="00892AD9">
        <w:rPr>
          <w:rFonts w:cs="Arial"/>
          <w:szCs w:val="20"/>
        </w:rPr>
        <w:t>dix</w:t>
      </w:r>
      <w:r w:rsidR="00892AD9" w:rsidRPr="00F935E7">
        <w:rPr>
          <w:rFonts w:cs="Arial"/>
          <w:szCs w:val="20"/>
        </w:rPr>
        <w:t xml:space="preserve"> </w:t>
      </w:r>
      <w:r w:rsidRPr="00F935E7">
        <w:rPr>
          <w:rFonts w:cs="Arial"/>
          <w:szCs w:val="20"/>
        </w:rPr>
        <w:t>pays (</w:t>
      </w:r>
      <w:r w:rsidR="00892AD9">
        <w:rPr>
          <w:rFonts w:cs="Arial"/>
          <w:szCs w:val="20"/>
        </w:rPr>
        <w:t>soit 38</w:t>
      </w:r>
      <w:r w:rsidR="00892AD9" w:rsidRPr="00F935E7">
        <w:rPr>
          <w:rFonts w:cs="Arial"/>
          <w:szCs w:val="20"/>
        </w:rPr>
        <w:t> </w:t>
      </w:r>
      <w:r w:rsidRPr="00F935E7">
        <w:rPr>
          <w:rFonts w:cs="Arial"/>
          <w:szCs w:val="20"/>
        </w:rPr>
        <w:t xml:space="preserve">% de l’échantillon), l’analyse recommande </w:t>
      </w:r>
      <w:r>
        <w:rPr>
          <w:rFonts w:cs="Arial"/>
          <w:szCs w:val="20"/>
        </w:rPr>
        <w:t>fortement</w:t>
      </w:r>
      <w:r w:rsidRPr="00F935E7">
        <w:rPr>
          <w:rFonts w:cs="Arial"/>
          <w:szCs w:val="20"/>
        </w:rPr>
        <w:t xml:space="preserve"> de remédier au manque de retour d’information fourni par les CRF au secteur privé.</w:t>
      </w:r>
      <w:bookmarkEnd w:id="111"/>
      <w:r w:rsidRPr="00F935E7">
        <w:rPr>
          <w:rFonts w:cs="Arial"/>
          <w:szCs w:val="20"/>
        </w:rPr>
        <w:t xml:space="preserve"> </w:t>
      </w:r>
      <w:bookmarkStart w:id="112" w:name="lt_pId203"/>
      <w:r w:rsidRPr="00F935E7">
        <w:rPr>
          <w:rFonts w:cs="Arial"/>
          <w:szCs w:val="20"/>
        </w:rPr>
        <w:t>L’analyse met également en relief, pour 7</w:t>
      </w:r>
      <w:r w:rsidR="00892AD9">
        <w:rPr>
          <w:rFonts w:cs="Arial"/>
          <w:szCs w:val="20"/>
        </w:rPr>
        <w:t>0</w:t>
      </w:r>
      <w:r w:rsidRPr="00F935E7">
        <w:rPr>
          <w:rFonts w:cs="Arial"/>
          <w:szCs w:val="20"/>
        </w:rPr>
        <w:t> % des pays, la piètre qualité des contrôles internes dans le secteur non financier.</w:t>
      </w:r>
      <w:bookmarkEnd w:id="112"/>
    </w:p>
    <w:p w14:paraId="732DD648" w14:textId="77777777" w:rsidR="00DF5B08" w:rsidRPr="00F935E7" w:rsidRDefault="00DF5B08" w:rsidP="00DF5B08">
      <w:pPr>
        <w:rPr>
          <w:rFonts w:cs="Arial"/>
          <w:szCs w:val="20"/>
        </w:rPr>
      </w:pPr>
    </w:p>
    <w:p w14:paraId="40827C12" w14:textId="0B8063CA" w:rsidR="00DF5B08" w:rsidRPr="00F935E7" w:rsidRDefault="00DF5B08" w:rsidP="00DF5B08">
      <w:pPr>
        <w:rPr>
          <w:rFonts w:cs="Arial"/>
          <w:szCs w:val="20"/>
        </w:rPr>
      </w:pPr>
      <w:bookmarkStart w:id="113" w:name="lt_pId204"/>
      <w:r w:rsidRPr="00F935E7">
        <w:rPr>
          <w:rFonts w:cs="Arial"/>
          <w:szCs w:val="20"/>
        </w:rPr>
        <w:t xml:space="preserve">Pour pouvoir mener avec succès leurs enquêtes financières, les autorités </w:t>
      </w:r>
      <w:r w:rsidR="004F631C">
        <w:rPr>
          <w:rFonts w:cs="Arial"/>
          <w:szCs w:val="20"/>
        </w:rPr>
        <w:t>de poursuite pénale</w:t>
      </w:r>
      <w:r w:rsidR="004F631C" w:rsidRPr="00F935E7">
        <w:rPr>
          <w:rFonts w:cs="Arial"/>
          <w:szCs w:val="20"/>
        </w:rPr>
        <w:t xml:space="preserve"> </w:t>
      </w:r>
      <w:r w:rsidRPr="00F935E7">
        <w:rPr>
          <w:rFonts w:cs="Arial"/>
          <w:szCs w:val="20"/>
        </w:rPr>
        <w:t>doivent également posséder la capacité d’obtenir facilement et en temps voulu des informations sur les bénéficiaires effectifs.</w:t>
      </w:r>
      <w:bookmarkEnd w:id="113"/>
      <w:r w:rsidRPr="00F935E7">
        <w:rPr>
          <w:rFonts w:cs="Arial"/>
          <w:szCs w:val="20"/>
        </w:rPr>
        <w:t xml:space="preserve"> </w:t>
      </w:r>
      <w:bookmarkStart w:id="114" w:name="lt_pId205"/>
      <w:r w:rsidRPr="00F935E7">
        <w:rPr>
          <w:rFonts w:cs="Arial"/>
          <w:szCs w:val="20"/>
        </w:rPr>
        <w:t>Pourtant, l’analyse révèle que les mesures généralement appliquées par les pays sont insuffisantes pour garantir l’exactitude et la mise à jour de ces informations.</w:t>
      </w:r>
      <w:bookmarkEnd w:id="114"/>
      <w:r w:rsidRPr="00F935E7">
        <w:rPr>
          <w:rFonts w:cs="Arial"/>
          <w:szCs w:val="20"/>
        </w:rPr>
        <w:t xml:space="preserve"> </w:t>
      </w:r>
      <w:bookmarkStart w:id="115" w:name="lt_pId206"/>
      <w:r w:rsidRPr="00F935E7">
        <w:rPr>
          <w:rFonts w:cs="Arial"/>
          <w:szCs w:val="20"/>
        </w:rPr>
        <w:t xml:space="preserve">La tenue de registres des bénéficiaires effectifs est l’un des outils fréquemment utilisés dans l’espace européen et </w:t>
      </w:r>
      <w:r w:rsidR="005B72D9">
        <w:rPr>
          <w:rFonts w:cs="Arial"/>
          <w:szCs w:val="20"/>
        </w:rPr>
        <w:t>onze</w:t>
      </w:r>
      <w:r w:rsidR="005B72D9" w:rsidRPr="00F935E7">
        <w:rPr>
          <w:rFonts w:cs="Arial"/>
          <w:szCs w:val="20"/>
        </w:rPr>
        <w:t xml:space="preserve"> </w:t>
      </w:r>
      <w:r w:rsidRPr="00F935E7">
        <w:rPr>
          <w:rFonts w:cs="Arial"/>
          <w:szCs w:val="20"/>
        </w:rPr>
        <w:t xml:space="preserve">pays évalués à ce jour disposent de </w:t>
      </w:r>
      <w:r>
        <w:rPr>
          <w:rFonts w:cs="Arial"/>
          <w:szCs w:val="20"/>
        </w:rPr>
        <w:t>mécanismes</w:t>
      </w:r>
      <w:r w:rsidRPr="00F935E7">
        <w:rPr>
          <w:rFonts w:cs="Arial"/>
          <w:szCs w:val="20"/>
        </w:rPr>
        <w:t xml:space="preserve"> opérationnels de ce type.</w:t>
      </w:r>
      <w:bookmarkEnd w:id="115"/>
      <w:r w:rsidRPr="00F935E7">
        <w:rPr>
          <w:rFonts w:cs="Arial"/>
          <w:szCs w:val="20"/>
        </w:rPr>
        <w:t xml:space="preserve"> </w:t>
      </w:r>
      <w:bookmarkStart w:id="116" w:name="lt_pId207"/>
      <w:r w:rsidRPr="00F935E7">
        <w:rPr>
          <w:rFonts w:cs="Arial"/>
          <w:szCs w:val="20"/>
        </w:rPr>
        <w:t xml:space="preserve">Dans le même temps, seuls </w:t>
      </w:r>
      <w:r w:rsidR="005B72D9">
        <w:rPr>
          <w:rFonts w:cs="Arial"/>
          <w:szCs w:val="20"/>
        </w:rPr>
        <w:t>six</w:t>
      </w:r>
      <w:r w:rsidR="005B72D9" w:rsidRPr="00F935E7">
        <w:rPr>
          <w:rFonts w:cs="Arial"/>
          <w:szCs w:val="20"/>
        </w:rPr>
        <w:t xml:space="preserve"> </w:t>
      </w:r>
      <w:r w:rsidRPr="00F935E7">
        <w:rPr>
          <w:rFonts w:cs="Arial"/>
          <w:szCs w:val="20"/>
        </w:rPr>
        <w:t>d’entre eux (</w:t>
      </w:r>
      <w:r w:rsidR="00BB0A9E">
        <w:rPr>
          <w:rFonts w:cs="Arial"/>
          <w:szCs w:val="20"/>
        </w:rPr>
        <w:t xml:space="preserve">soit </w:t>
      </w:r>
      <w:r w:rsidRPr="00F935E7">
        <w:rPr>
          <w:rFonts w:cs="Arial"/>
          <w:szCs w:val="20"/>
        </w:rPr>
        <w:t>22 %) disposent de mécanismes efficaces de vérification des informations consignées dans lesdits registres.</w:t>
      </w:r>
      <w:bookmarkEnd w:id="116"/>
    </w:p>
    <w:p w14:paraId="68DE9860" w14:textId="77777777" w:rsidR="00DF5B08" w:rsidRPr="00F935E7" w:rsidRDefault="00DF5B08" w:rsidP="00DF5B08">
      <w:pPr>
        <w:rPr>
          <w:rFonts w:cs="Arial"/>
          <w:szCs w:val="20"/>
        </w:rPr>
      </w:pPr>
    </w:p>
    <w:p w14:paraId="3E8892E9" w14:textId="0C874554" w:rsidR="00DF5B08" w:rsidRPr="00F935E7" w:rsidRDefault="00DF5B08" w:rsidP="00DF5B08">
      <w:pPr>
        <w:rPr>
          <w:rFonts w:cs="Arial"/>
          <w:szCs w:val="20"/>
        </w:rPr>
      </w:pPr>
      <w:bookmarkStart w:id="117" w:name="lt_pId208"/>
      <w:r w:rsidRPr="00F935E7">
        <w:rPr>
          <w:rFonts w:cs="Arial"/>
          <w:szCs w:val="20"/>
        </w:rPr>
        <w:t xml:space="preserve">Les condamnations au titre </w:t>
      </w:r>
      <w:r w:rsidR="001A469B">
        <w:rPr>
          <w:rFonts w:cs="Arial"/>
          <w:szCs w:val="20"/>
        </w:rPr>
        <w:t>des</w:t>
      </w:r>
      <w:r w:rsidR="001A469B" w:rsidRPr="00F935E7">
        <w:rPr>
          <w:rFonts w:cs="Arial"/>
          <w:szCs w:val="20"/>
        </w:rPr>
        <w:t xml:space="preserve"> </w:t>
      </w:r>
      <w:r w:rsidRPr="00F935E7">
        <w:rPr>
          <w:rFonts w:cs="Arial"/>
          <w:szCs w:val="20"/>
        </w:rPr>
        <w:t>infraction</w:t>
      </w:r>
      <w:r w:rsidR="001A469B">
        <w:rPr>
          <w:rFonts w:cs="Arial"/>
          <w:szCs w:val="20"/>
        </w:rPr>
        <w:t>s</w:t>
      </w:r>
      <w:r w:rsidRPr="00F935E7">
        <w:rPr>
          <w:rFonts w:cs="Arial"/>
          <w:szCs w:val="20"/>
        </w:rPr>
        <w:t xml:space="preserve"> grave</w:t>
      </w:r>
      <w:r w:rsidR="00BD42ED">
        <w:rPr>
          <w:rFonts w:cs="Arial"/>
          <w:szCs w:val="20"/>
        </w:rPr>
        <w:t>s</w:t>
      </w:r>
      <w:r w:rsidRPr="00F935E7">
        <w:rPr>
          <w:rFonts w:cs="Arial"/>
          <w:szCs w:val="20"/>
        </w:rPr>
        <w:t xml:space="preserve"> et complexe</w:t>
      </w:r>
      <w:r w:rsidR="00BD42ED">
        <w:rPr>
          <w:rFonts w:cs="Arial"/>
          <w:szCs w:val="20"/>
        </w:rPr>
        <w:t>s</w:t>
      </w:r>
      <w:r w:rsidRPr="00F935E7">
        <w:rPr>
          <w:rFonts w:cs="Arial"/>
          <w:szCs w:val="20"/>
        </w:rPr>
        <w:t xml:space="preserve"> de blanchiment de capitaux semblent encore rares si l’on se fie aux </w:t>
      </w:r>
      <w:r>
        <w:rPr>
          <w:rFonts w:cs="Arial"/>
          <w:szCs w:val="20"/>
        </w:rPr>
        <w:t>notes</w:t>
      </w:r>
      <w:r w:rsidR="00AB6FCC">
        <w:rPr>
          <w:rFonts w:cs="Arial"/>
          <w:szCs w:val="20"/>
        </w:rPr>
        <w:t xml:space="preserve"> obtenues</w:t>
      </w:r>
      <w:r w:rsidRPr="00F935E7">
        <w:rPr>
          <w:rFonts w:cs="Arial"/>
          <w:szCs w:val="20"/>
        </w:rPr>
        <w:t xml:space="preserve"> en matière d’efficacité</w:t>
      </w:r>
      <w:r>
        <w:rPr>
          <w:rFonts w:cs="Arial"/>
          <w:szCs w:val="20"/>
        </w:rPr>
        <w:t>,</w:t>
      </w:r>
      <w:r w:rsidRPr="00F935E7">
        <w:rPr>
          <w:rFonts w:cs="Arial"/>
          <w:szCs w:val="20"/>
        </w:rPr>
        <w:t xml:space="preserve"> puisque </w:t>
      </w:r>
      <w:r w:rsidR="00AB6FCC">
        <w:rPr>
          <w:rFonts w:cs="Arial"/>
          <w:szCs w:val="20"/>
        </w:rPr>
        <w:t>douze</w:t>
      </w:r>
      <w:r w:rsidR="00AB6FCC" w:rsidRPr="00F935E7">
        <w:rPr>
          <w:rFonts w:cs="Arial"/>
          <w:szCs w:val="20"/>
        </w:rPr>
        <w:t xml:space="preserve"> </w:t>
      </w:r>
      <w:r w:rsidRPr="00F935E7">
        <w:rPr>
          <w:rFonts w:cs="Arial"/>
          <w:szCs w:val="20"/>
        </w:rPr>
        <w:t>pays (</w:t>
      </w:r>
      <w:r w:rsidR="001A469B">
        <w:rPr>
          <w:rFonts w:cs="Arial"/>
          <w:szCs w:val="20"/>
        </w:rPr>
        <w:t xml:space="preserve">soit </w:t>
      </w:r>
      <w:r w:rsidR="00AB6FCC">
        <w:rPr>
          <w:rFonts w:cs="Arial"/>
          <w:szCs w:val="20"/>
        </w:rPr>
        <w:t>46</w:t>
      </w:r>
      <w:r w:rsidR="00AB6FCC" w:rsidRPr="00F935E7">
        <w:rPr>
          <w:rFonts w:cs="Arial"/>
          <w:szCs w:val="20"/>
        </w:rPr>
        <w:t> </w:t>
      </w:r>
      <w:r w:rsidRPr="00F935E7">
        <w:rPr>
          <w:rFonts w:cs="Arial"/>
          <w:szCs w:val="20"/>
        </w:rPr>
        <w:t xml:space="preserve">%) ont eu droit à la </w:t>
      </w:r>
      <w:r>
        <w:rPr>
          <w:rFonts w:cs="Arial"/>
          <w:szCs w:val="20"/>
        </w:rPr>
        <w:t>note « faible »</w:t>
      </w:r>
      <w:r w:rsidRPr="00F935E7">
        <w:rPr>
          <w:rFonts w:cs="Arial"/>
          <w:szCs w:val="20"/>
        </w:rPr>
        <w:t>.</w:t>
      </w:r>
      <w:bookmarkEnd w:id="117"/>
      <w:r w:rsidRPr="00F935E7">
        <w:rPr>
          <w:rFonts w:cs="Arial"/>
          <w:szCs w:val="20"/>
        </w:rPr>
        <w:t xml:space="preserve"> </w:t>
      </w:r>
      <w:bookmarkStart w:id="118" w:name="lt_pId209"/>
      <w:r w:rsidRPr="00F935E7">
        <w:rPr>
          <w:rFonts w:cs="Arial"/>
          <w:szCs w:val="20"/>
        </w:rPr>
        <w:t>Le blanchiment de capitaux est le plus souvent traité comme la conséquence d’une activité criminelle</w:t>
      </w:r>
      <w:r>
        <w:rPr>
          <w:rFonts w:cs="Arial"/>
          <w:szCs w:val="20"/>
        </w:rPr>
        <w:t xml:space="preserve"> considérée comme l’infraction principale</w:t>
      </w:r>
      <w:r w:rsidRPr="00F935E7">
        <w:rPr>
          <w:rFonts w:cs="Arial"/>
          <w:szCs w:val="20"/>
        </w:rPr>
        <w:t xml:space="preserve">, comme en témoigne l’absence de poursuite d’enquêtes financières parallèles systématiques dans </w:t>
      </w:r>
      <w:r w:rsidR="001A469B">
        <w:rPr>
          <w:rFonts w:cs="Arial"/>
          <w:szCs w:val="20"/>
        </w:rPr>
        <w:t>quatorze</w:t>
      </w:r>
      <w:r w:rsidR="00AB6FCC" w:rsidRPr="00F935E7">
        <w:rPr>
          <w:rFonts w:cs="Arial"/>
          <w:szCs w:val="20"/>
        </w:rPr>
        <w:t> </w:t>
      </w:r>
      <w:r w:rsidRPr="00F935E7">
        <w:rPr>
          <w:rFonts w:cs="Arial"/>
          <w:szCs w:val="20"/>
        </w:rPr>
        <w:t>pays (</w:t>
      </w:r>
      <w:r w:rsidR="007B403A">
        <w:rPr>
          <w:rFonts w:cs="Arial"/>
          <w:szCs w:val="20"/>
        </w:rPr>
        <w:t xml:space="preserve">soit </w:t>
      </w:r>
      <w:r w:rsidRPr="00F935E7">
        <w:rPr>
          <w:rFonts w:cs="Arial"/>
          <w:szCs w:val="20"/>
        </w:rPr>
        <w:t>5</w:t>
      </w:r>
      <w:r w:rsidR="00AB6FCC">
        <w:rPr>
          <w:rFonts w:cs="Arial"/>
          <w:szCs w:val="20"/>
        </w:rPr>
        <w:t>3</w:t>
      </w:r>
      <w:r w:rsidRPr="00F935E7">
        <w:rPr>
          <w:rFonts w:cs="Arial"/>
          <w:szCs w:val="20"/>
        </w:rPr>
        <w:t> %).</w:t>
      </w:r>
      <w:bookmarkEnd w:id="118"/>
      <w:r w:rsidRPr="00F935E7">
        <w:rPr>
          <w:rFonts w:cs="Arial"/>
          <w:szCs w:val="20"/>
        </w:rPr>
        <w:t xml:space="preserve"> </w:t>
      </w:r>
    </w:p>
    <w:p w14:paraId="1878CE09" w14:textId="77777777" w:rsidR="00DF5B08" w:rsidRPr="00F935E7" w:rsidRDefault="00DF5B08" w:rsidP="00DF5B08">
      <w:pPr>
        <w:rPr>
          <w:rFonts w:cs="Arial"/>
          <w:szCs w:val="20"/>
        </w:rPr>
      </w:pPr>
    </w:p>
    <w:p w14:paraId="6D84FD7E" w14:textId="21497469" w:rsidR="00DF5B08" w:rsidRPr="00F935E7" w:rsidRDefault="00DF5B08" w:rsidP="00DF5B08">
      <w:pPr>
        <w:rPr>
          <w:rFonts w:cs="Arial"/>
          <w:szCs w:val="20"/>
        </w:rPr>
      </w:pPr>
      <w:bookmarkStart w:id="119" w:name="lt_pId210"/>
      <w:r w:rsidRPr="00F935E7">
        <w:rPr>
          <w:rFonts w:cs="Arial"/>
          <w:szCs w:val="20"/>
        </w:rPr>
        <w:t xml:space="preserve">Le même constat peut être dressé s’agissant des poursuites pour FT : dans </w:t>
      </w:r>
      <w:r w:rsidR="00EF124E">
        <w:rPr>
          <w:rFonts w:cs="Arial"/>
          <w:szCs w:val="20"/>
        </w:rPr>
        <w:t>16</w:t>
      </w:r>
      <w:r w:rsidR="00EF124E" w:rsidRPr="00F935E7">
        <w:rPr>
          <w:rFonts w:cs="Arial"/>
          <w:szCs w:val="20"/>
        </w:rPr>
        <w:t> </w:t>
      </w:r>
      <w:r w:rsidRPr="00F935E7">
        <w:rPr>
          <w:rFonts w:cs="Arial"/>
          <w:szCs w:val="20"/>
        </w:rPr>
        <w:t>pays (</w:t>
      </w:r>
      <w:r w:rsidR="007B403A">
        <w:rPr>
          <w:rFonts w:cs="Arial"/>
          <w:szCs w:val="20"/>
        </w:rPr>
        <w:t xml:space="preserve">soit </w:t>
      </w:r>
      <w:r w:rsidR="00EF124E">
        <w:rPr>
          <w:rFonts w:cs="Arial"/>
          <w:szCs w:val="20"/>
        </w:rPr>
        <w:t>62</w:t>
      </w:r>
      <w:r w:rsidRPr="00F935E7">
        <w:rPr>
          <w:rFonts w:cs="Arial"/>
          <w:szCs w:val="20"/>
        </w:rPr>
        <w:t> %), le volet du financement ne fait pas systématiquement l’objet d’une enquête dans le cadre d’investigations pour fait de terrorisme et les aspects financiers sont souvent négligés.</w:t>
      </w:r>
      <w:bookmarkEnd w:id="119"/>
      <w:r w:rsidRPr="00F935E7">
        <w:rPr>
          <w:rFonts w:cs="Arial"/>
          <w:szCs w:val="20"/>
        </w:rPr>
        <w:t xml:space="preserve"> </w:t>
      </w:r>
      <w:bookmarkStart w:id="120" w:name="lt_pId211"/>
      <w:r w:rsidRPr="00F935E7">
        <w:rPr>
          <w:rFonts w:cs="Arial"/>
          <w:szCs w:val="20"/>
        </w:rPr>
        <w:t>S’agissant aussi bien du BC que du FT, il en résulte un défaut de jurisprudence solide, laquelle serait pourtant essentielle pour obtenir plus facilement la condamnation des auteurs de ces infractions.</w:t>
      </w:r>
      <w:bookmarkEnd w:id="120"/>
    </w:p>
    <w:p w14:paraId="21FDBCE4" w14:textId="77777777" w:rsidR="00DF5B08" w:rsidRPr="00F935E7" w:rsidRDefault="00DF5B08" w:rsidP="00DF5B08">
      <w:pPr>
        <w:rPr>
          <w:rFonts w:cs="Arial"/>
          <w:szCs w:val="20"/>
        </w:rPr>
      </w:pPr>
    </w:p>
    <w:p w14:paraId="1E4442E2" w14:textId="38541809" w:rsidR="00DF5B08" w:rsidRPr="00F935E7" w:rsidRDefault="00DF5B08" w:rsidP="00DF5B08">
      <w:pPr>
        <w:rPr>
          <w:rFonts w:cs="Arial"/>
          <w:szCs w:val="20"/>
        </w:rPr>
      </w:pPr>
      <w:bookmarkStart w:id="121" w:name="lt_pId212"/>
      <w:r w:rsidRPr="00F935E7">
        <w:rPr>
          <w:rFonts w:cs="Arial"/>
          <w:szCs w:val="20"/>
        </w:rPr>
        <w:t>Les sanctions financières ciblées (SFC) empêchent que des biens soient mis à la disposition de personnes et d’entités figurant sur une liste comportant par exemple des terroristes ou autres criminels désignés.</w:t>
      </w:r>
      <w:bookmarkEnd w:id="121"/>
      <w:r w:rsidRPr="00F935E7">
        <w:rPr>
          <w:rFonts w:cs="Arial"/>
          <w:szCs w:val="20"/>
        </w:rPr>
        <w:t xml:space="preserve"> </w:t>
      </w:r>
      <w:bookmarkStart w:id="122" w:name="lt_pId213"/>
      <w:r>
        <w:rPr>
          <w:rFonts w:cs="Arial"/>
          <w:szCs w:val="20"/>
        </w:rPr>
        <w:t xml:space="preserve">Il est à noter que </w:t>
      </w:r>
      <w:r w:rsidRPr="00F935E7">
        <w:rPr>
          <w:rFonts w:cs="Arial"/>
          <w:szCs w:val="20"/>
        </w:rPr>
        <w:t>9</w:t>
      </w:r>
      <w:r w:rsidR="00EF124E">
        <w:rPr>
          <w:rFonts w:cs="Arial"/>
          <w:szCs w:val="20"/>
        </w:rPr>
        <w:t>2</w:t>
      </w:r>
      <w:r w:rsidRPr="00F935E7">
        <w:rPr>
          <w:rFonts w:cs="Arial"/>
          <w:szCs w:val="20"/>
        </w:rPr>
        <w:t> % des pays ont reçu une not</w:t>
      </w:r>
      <w:r>
        <w:rPr>
          <w:rFonts w:cs="Arial"/>
          <w:szCs w:val="20"/>
        </w:rPr>
        <w:t>e</w:t>
      </w:r>
      <w:r w:rsidRPr="00F935E7">
        <w:rPr>
          <w:rFonts w:cs="Arial"/>
          <w:szCs w:val="20"/>
        </w:rPr>
        <w:t xml:space="preserve"> </w:t>
      </w:r>
      <w:r>
        <w:rPr>
          <w:rFonts w:cs="Arial"/>
          <w:szCs w:val="20"/>
        </w:rPr>
        <w:t>« modérée »</w:t>
      </w:r>
      <w:r w:rsidRPr="00F935E7">
        <w:rPr>
          <w:rFonts w:cs="Arial"/>
          <w:szCs w:val="20"/>
        </w:rPr>
        <w:t xml:space="preserve"> ou</w:t>
      </w:r>
      <w:r>
        <w:rPr>
          <w:rFonts w:cs="Arial"/>
          <w:szCs w:val="20"/>
        </w:rPr>
        <w:t xml:space="preserve"> « faible » </w:t>
      </w:r>
      <w:r w:rsidRPr="00F935E7">
        <w:rPr>
          <w:rFonts w:cs="Arial"/>
          <w:szCs w:val="20"/>
        </w:rPr>
        <w:t>pour leur régime de SFC.</w:t>
      </w:r>
      <w:bookmarkEnd w:id="122"/>
      <w:r w:rsidRPr="00F935E7">
        <w:rPr>
          <w:rFonts w:cs="Arial"/>
          <w:szCs w:val="20"/>
        </w:rPr>
        <w:t xml:space="preserve"> </w:t>
      </w:r>
      <w:bookmarkStart w:id="123" w:name="lt_pId214"/>
      <w:r w:rsidR="00EF124E">
        <w:rPr>
          <w:rFonts w:cs="Arial"/>
          <w:szCs w:val="20"/>
        </w:rPr>
        <w:t>Sept</w:t>
      </w:r>
      <w:r w:rsidR="00EF124E" w:rsidRPr="00F935E7">
        <w:rPr>
          <w:rFonts w:cs="Arial"/>
          <w:szCs w:val="20"/>
        </w:rPr>
        <w:t xml:space="preserve"> </w:t>
      </w:r>
      <w:r w:rsidRPr="00F935E7">
        <w:rPr>
          <w:rFonts w:cs="Arial"/>
          <w:szCs w:val="20"/>
        </w:rPr>
        <w:t>pays (26 %) ne parviennent pas à transposer en temps voulu les désignations internationales officielles dans leur cadre national.</w:t>
      </w:r>
      <w:bookmarkEnd w:id="123"/>
      <w:r w:rsidRPr="00F935E7">
        <w:rPr>
          <w:rFonts w:cs="Arial"/>
          <w:szCs w:val="20"/>
        </w:rPr>
        <w:t xml:space="preserve"> </w:t>
      </w:r>
      <w:bookmarkStart w:id="124" w:name="lt_pId215"/>
      <w:r w:rsidRPr="00F935E7">
        <w:rPr>
          <w:rFonts w:cs="Arial"/>
          <w:szCs w:val="20"/>
        </w:rPr>
        <w:t>Par ailleurs, il arrive fréquemment qu’une juridiction ne prenne pas les mesures adéquates pour geler les fonds en cause ou s’abstienne même de les identifier.</w:t>
      </w:r>
      <w:bookmarkEnd w:id="124"/>
    </w:p>
    <w:p w14:paraId="069C3687" w14:textId="77777777" w:rsidR="00625A70" w:rsidRDefault="00625A70">
      <w:pPr>
        <w:rPr>
          <w:rFonts w:cs="Arial"/>
          <w:szCs w:val="20"/>
        </w:rPr>
      </w:pPr>
      <w:bookmarkStart w:id="125" w:name="lt_pId216"/>
      <w:r>
        <w:rPr>
          <w:rFonts w:cs="Arial"/>
          <w:szCs w:val="20"/>
        </w:rPr>
        <w:br w:type="page"/>
      </w:r>
    </w:p>
    <w:p w14:paraId="4CFF0641" w14:textId="6D12D5AD" w:rsidR="00DF5B08" w:rsidRDefault="00DF5B08" w:rsidP="00DF5B08">
      <w:pPr>
        <w:rPr>
          <w:rFonts w:cs="Arial"/>
          <w:szCs w:val="20"/>
        </w:rPr>
      </w:pPr>
      <w:r w:rsidRPr="00F935E7">
        <w:rPr>
          <w:rFonts w:cs="Arial"/>
          <w:szCs w:val="20"/>
        </w:rPr>
        <w:lastRenderedPageBreak/>
        <w:t xml:space="preserve">Des améliorations devraient être apportées </w:t>
      </w:r>
      <w:r>
        <w:rPr>
          <w:rFonts w:cs="Arial"/>
          <w:szCs w:val="20"/>
        </w:rPr>
        <w:t xml:space="preserve">d’urgence </w:t>
      </w:r>
      <w:r w:rsidRPr="00F935E7">
        <w:rPr>
          <w:rFonts w:cs="Arial"/>
          <w:szCs w:val="20"/>
        </w:rPr>
        <w:t xml:space="preserve">à l’ensemble du système de sanction, notamment dans le cadre de la </w:t>
      </w:r>
      <w:r w:rsidR="0045509E">
        <w:rPr>
          <w:rFonts w:cs="Arial"/>
          <w:szCs w:val="20"/>
        </w:rPr>
        <w:t>supervision</w:t>
      </w:r>
      <w:r w:rsidR="0045509E" w:rsidRPr="00F935E7">
        <w:rPr>
          <w:rFonts w:cs="Arial"/>
          <w:szCs w:val="20"/>
        </w:rPr>
        <w:t xml:space="preserve"> </w:t>
      </w:r>
      <w:r w:rsidRPr="00F935E7">
        <w:rPr>
          <w:rFonts w:cs="Arial"/>
          <w:szCs w:val="20"/>
        </w:rPr>
        <w:t>du secteur privé et des personnes morales ou constructions juridiques</w:t>
      </w:r>
      <w:r>
        <w:rPr>
          <w:rFonts w:cs="Arial"/>
          <w:szCs w:val="20"/>
        </w:rPr>
        <w:t>, tels que les trusts</w:t>
      </w:r>
      <w:r w:rsidRPr="00F935E7">
        <w:rPr>
          <w:rFonts w:cs="Arial"/>
          <w:szCs w:val="20"/>
        </w:rPr>
        <w:t>.</w:t>
      </w:r>
      <w:bookmarkEnd w:id="125"/>
      <w:r w:rsidRPr="00F935E7">
        <w:rPr>
          <w:rFonts w:cs="Arial"/>
          <w:szCs w:val="20"/>
        </w:rPr>
        <w:t xml:space="preserve"> </w:t>
      </w:r>
      <w:bookmarkStart w:id="126" w:name="lt_pId217"/>
      <w:r w:rsidRPr="00F935E7">
        <w:rPr>
          <w:rFonts w:cs="Arial"/>
          <w:szCs w:val="20"/>
        </w:rPr>
        <w:t xml:space="preserve">L’analyse démontre que les sanctions sont insuffisamment proportionnées, dissuasives et efficaces, voire non appliquées </w:t>
      </w:r>
      <w:r w:rsidR="001C7768">
        <w:rPr>
          <w:rFonts w:cs="Arial"/>
          <w:szCs w:val="20"/>
        </w:rPr>
        <w:t xml:space="preserve">dans de nombreux cas </w:t>
      </w:r>
      <w:r w:rsidRPr="00F935E7">
        <w:rPr>
          <w:rFonts w:cs="Arial"/>
          <w:szCs w:val="20"/>
        </w:rPr>
        <w:t xml:space="preserve">et </w:t>
      </w:r>
      <w:r w:rsidR="001C7768">
        <w:rPr>
          <w:rFonts w:cs="Arial"/>
          <w:szCs w:val="20"/>
        </w:rPr>
        <w:t xml:space="preserve">que, </w:t>
      </w:r>
      <w:r w:rsidRPr="00F935E7">
        <w:rPr>
          <w:rFonts w:cs="Arial"/>
          <w:szCs w:val="20"/>
        </w:rPr>
        <w:t xml:space="preserve">dans </w:t>
      </w:r>
      <w:r w:rsidR="0034382F">
        <w:rPr>
          <w:rFonts w:cs="Arial"/>
          <w:szCs w:val="20"/>
        </w:rPr>
        <w:t>certains pays</w:t>
      </w:r>
      <w:r w:rsidRPr="00F935E7">
        <w:rPr>
          <w:rFonts w:cs="Arial"/>
          <w:szCs w:val="20"/>
        </w:rPr>
        <w:t>, elles ne font même pas partie des moyens mis à la disposition des autorités compétentes.</w:t>
      </w:r>
      <w:bookmarkEnd w:id="126"/>
      <w:r w:rsidRPr="00F935E7">
        <w:rPr>
          <w:rFonts w:cs="Arial"/>
          <w:szCs w:val="20"/>
        </w:rPr>
        <w:t xml:space="preserve"> </w:t>
      </w:r>
      <w:bookmarkStart w:id="127" w:name="lt_pId218"/>
      <w:r>
        <w:rPr>
          <w:rFonts w:cs="Arial"/>
          <w:szCs w:val="20"/>
        </w:rPr>
        <w:t>De</w:t>
      </w:r>
      <w:r w:rsidRPr="00F935E7">
        <w:rPr>
          <w:rFonts w:cs="Arial"/>
          <w:szCs w:val="20"/>
        </w:rPr>
        <w:t xml:space="preserve"> fait, seuls trois </w:t>
      </w:r>
      <w:r w:rsidR="001C7768">
        <w:rPr>
          <w:rFonts w:cs="Arial"/>
          <w:szCs w:val="20"/>
        </w:rPr>
        <w:t>pays</w:t>
      </w:r>
      <w:r w:rsidR="001C7768" w:rsidRPr="00F935E7">
        <w:rPr>
          <w:rFonts w:cs="Arial"/>
          <w:szCs w:val="20"/>
        </w:rPr>
        <w:t xml:space="preserve"> </w:t>
      </w:r>
      <w:r w:rsidRPr="00F935E7">
        <w:rPr>
          <w:rFonts w:cs="Arial"/>
          <w:szCs w:val="20"/>
        </w:rPr>
        <w:t>(</w:t>
      </w:r>
      <w:r w:rsidR="001D2393">
        <w:rPr>
          <w:rFonts w:cs="Arial"/>
          <w:szCs w:val="20"/>
        </w:rPr>
        <w:t xml:space="preserve">soit </w:t>
      </w:r>
      <w:r w:rsidRPr="00F935E7">
        <w:rPr>
          <w:rFonts w:cs="Arial"/>
          <w:szCs w:val="20"/>
        </w:rPr>
        <w:t>13 %) disposent d’un régime de sanction des banques jugé efficace.</w:t>
      </w:r>
      <w:bookmarkEnd w:id="127"/>
      <w:r w:rsidRPr="00F935E7">
        <w:rPr>
          <w:rFonts w:cs="Arial"/>
          <w:szCs w:val="20"/>
        </w:rPr>
        <w:t xml:space="preserve"> </w:t>
      </w:r>
      <w:bookmarkStart w:id="128" w:name="lt_pId219"/>
      <w:r w:rsidRPr="00F935E7">
        <w:rPr>
          <w:rFonts w:cs="Arial"/>
          <w:szCs w:val="20"/>
        </w:rPr>
        <w:t>Aucun</w:t>
      </w:r>
      <w:r w:rsidR="001C7768">
        <w:rPr>
          <w:rFonts w:cs="Arial"/>
          <w:szCs w:val="20"/>
        </w:rPr>
        <w:t xml:space="preserve"> pays </w:t>
      </w:r>
      <w:r w:rsidRPr="00F935E7">
        <w:rPr>
          <w:rFonts w:cs="Arial"/>
          <w:szCs w:val="20"/>
        </w:rPr>
        <w:t xml:space="preserve">ne dispose d’un régime de sanction des institutions non financières jugé efficace, tandis que </w:t>
      </w:r>
      <w:r w:rsidR="001C7768">
        <w:rPr>
          <w:rFonts w:cs="Arial"/>
          <w:szCs w:val="20"/>
        </w:rPr>
        <w:t>19</w:t>
      </w:r>
      <w:r w:rsidR="001C7768" w:rsidRPr="00F935E7">
        <w:rPr>
          <w:rFonts w:cs="Arial"/>
          <w:szCs w:val="20"/>
        </w:rPr>
        <w:t> </w:t>
      </w:r>
      <w:r w:rsidR="001D2393">
        <w:rPr>
          <w:rFonts w:cs="Arial"/>
          <w:szCs w:val="20"/>
        </w:rPr>
        <w:t xml:space="preserve">pays </w:t>
      </w:r>
      <w:r w:rsidRPr="00F935E7">
        <w:rPr>
          <w:rFonts w:cs="Arial"/>
          <w:szCs w:val="20"/>
        </w:rPr>
        <w:t>(</w:t>
      </w:r>
      <w:r w:rsidR="001C7768">
        <w:rPr>
          <w:rFonts w:cs="Arial"/>
          <w:szCs w:val="20"/>
        </w:rPr>
        <w:t>73</w:t>
      </w:r>
      <w:r w:rsidRPr="00F935E7">
        <w:rPr>
          <w:rFonts w:cs="Arial"/>
          <w:szCs w:val="20"/>
        </w:rPr>
        <w:t> %) sont considérés comme disposant d’un régime totalement inefficace.</w:t>
      </w:r>
      <w:bookmarkEnd w:id="128"/>
    </w:p>
    <w:p w14:paraId="00AC2443" w14:textId="77777777" w:rsidR="001C7768" w:rsidRPr="00F935E7" w:rsidRDefault="001C7768" w:rsidP="00DF5B08">
      <w:pPr>
        <w:rPr>
          <w:rFonts w:cs="Arial"/>
          <w:szCs w:val="20"/>
        </w:rPr>
      </w:pPr>
    </w:p>
    <w:p w14:paraId="01D42B6A" w14:textId="55E7D1C3" w:rsidR="00DF5B08" w:rsidRPr="00F935E7" w:rsidRDefault="00DF5B08" w:rsidP="00DF5B08">
      <w:pPr>
        <w:rPr>
          <w:rFonts w:cs="Arial"/>
          <w:szCs w:val="20"/>
        </w:rPr>
      </w:pPr>
      <w:bookmarkStart w:id="129" w:name="lt_pId220"/>
      <w:r>
        <w:rPr>
          <w:rFonts w:cs="Arial"/>
          <w:szCs w:val="20"/>
        </w:rPr>
        <w:t>De plus</w:t>
      </w:r>
      <w:r w:rsidRPr="00F935E7">
        <w:rPr>
          <w:rFonts w:cs="Arial"/>
          <w:szCs w:val="20"/>
        </w:rPr>
        <w:t xml:space="preserve">, la confiscation </w:t>
      </w:r>
      <w:r>
        <w:rPr>
          <w:rFonts w:cs="Arial"/>
          <w:szCs w:val="20"/>
        </w:rPr>
        <w:t>fructueuse</w:t>
      </w:r>
      <w:r w:rsidRPr="00F935E7">
        <w:rPr>
          <w:rFonts w:cs="Arial"/>
          <w:szCs w:val="20"/>
        </w:rPr>
        <w:t xml:space="preserve"> de </w:t>
      </w:r>
      <w:r>
        <w:rPr>
          <w:rFonts w:cs="Arial"/>
          <w:szCs w:val="20"/>
        </w:rPr>
        <w:t>biens</w:t>
      </w:r>
      <w:r w:rsidRPr="00F935E7">
        <w:rPr>
          <w:rFonts w:cs="Arial"/>
          <w:szCs w:val="20"/>
        </w:rPr>
        <w:t xml:space="preserve"> mal acquis </w:t>
      </w:r>
      <w:r>
        <w:rPr>
          <w:rFonts w:cs="Arial"/>
          <w:szCs w:val="20"/>
        </w:rPr>
        <w:t>—</w:t>
      </w:r>
      <w:r w:rsidRPr="00F935E7">
        <w:rPr>
          <w:rFonts w:cs="Arial"/>
          <w:szCs w:val="20"/>
        </w:rPr>
        <w:t> en tant que mesure pénale</w:t>
      </w:r>
      <w:r>
        <w:rPr>
          <w:rFonts w:cs="Arial"/>
          <w:szCs w:val="20"/>
        </w:rPr>
        <w:t xml:space="preserve"> —</w:t>
      </w:r>
      <w:r w:rsidRPr="00F935E7">
        <w:rPr>
          <w:rFonts w:cs="Arial"/>
          <w:szCs w:val="20"/>
        </w:rPr>
        <w:t xml:space="preserve"> demeure plutôt rare eu égard au volume estimé des produits du crime.</w:t>
      </w:r>
      <w:bookmarkEnd w:id="129"/>
      <w:r w:rsidRPr="00F935E7">
        <w:rPr>
          <w:rFonts w:cs="Arial"/>
          <w:szCs w:val="20"/>
        </w:rPr>
        <w:t xml:space="preserve"> </w:t>
      </w:r>
      <w:bookmarkStart w:id="130" w:name="lt_pId221"/>
      <w:r w:rsidRPr="00F935E7">
        <w:rPr>
          <w:rFonts w:cs="Arial"/>
          <w:szCs w:val="20"/>
        </w:rPr>
        <w:t xml:space="preserve">Les pays devraient recourir non seulement au gel, mais aussi à la saisie et à la confiscation des fonds d’origine </w:t>
      </w:r>
      <w:r w:rsidR="001D2393">
        <w:rPr>
          <w:rFonts w:cs="Arial"/>
          <w:szCs w:val="20"/>
        </w:rPr>
        <w:t>illicite</w:t>
      </w:r>
      <w:r w:rsidRPr="00F935E7">
        <w:rPr>
          <w:rFonts w:cs="Arial"/>
          <w:szCs w:val="20"/>
        </w:rPr>
        <w:t>.</w:t>
      </w:r>
      <w:bookmarkEnd w:id="130"/>
      <w:r w:rsidRPr="00F935E7">
        <w:rPr>
          <w:rFonts w:cs="Arial"/>
          <w:szCs w:val="20"/>
        </w:rPr>
        <w:t xml:space="preserve"> </w:t>
      </w:r>
      <w:bookmarkStart w:id="131" w:name="lt_pId222"/>
      <w:r w:rsidRPr="00F935E7">
        <w:rPr>
          <w:rFonts w:cs="Arial"/>
          <w:szCs w:val="20"/>
        </w:rPr>
        <w:t xml:space="preserve">Dans au moins </w:t>
      </w:r>
      <w:r w:rsidR="001C7768">
        <w:rPr>
          <w:rFonts w:cs="Arial"/>
          <w:szCs w:val="20"/>
        </w:rPr>
        <w:t>dix</w:t>
      </w:r>
      <w:r w:rsidR="001C7768" w:rsidRPr="00F935E7">
        <w:rPr>
          <w:rFonts w:cs="Arial"/>
          <w:szCs w:val="20"/>
        </w:rPr>
        <w:t xml:space="preserve"> </w:t>
      </w:r>
      <w:r w:rsidRPr="00F935E7">
        <w:rPr>
          <w:rFonts w:cs="Arial"/>
          <w:szCs w:val="20"/>
        </w:rPr>
        <w:t>pays (</w:t>
      </w:r>
      <w:r w:rsidR="001D2393">
        <w:rPr>
          <w:rFonts w:cs="Arial"/>
          <w:szCs w:val="20"/>
        </w:rPr>
        <w:t xml:space="preserve">soit </w:t>
      </w:r>
      <w:r w:rsidRPr="00F935E7">
        <w:rPr>
          <w:rFonts w:cs="Arial"/>
          <w:szCs w:val="20"/>
        </w:rPr>
        <w:t>3</w:t>
      </w:r>
      <w:r w:rsidR="001C7768">
        <w:rPr>
          <w:rFonts w:cs="Arial"/>
          <w:szCs w:val="20"/>
        </w:rPr>
        <w:t>9</w:t>
      </w:r>
      <w:r w:rsidRPr="00F935E7">
        <w:rPr>
          <w:rFonts w:cs="Arial"/>
          <w:szCs w:val="20"/>
        </w:rPr>
        <w:t> %), l’amélioration des résultats obtenus par les autorités de recouvrement et de gestion de biens passe</w:t>
      </w:r>
      <w:r>
        <w:rPr>
          <w:rFonts w:cs="Arial"/>
          <w:szCs w:val="20"/>
        </w:rPr>
        <w:t>ra</w:t>
      </w:r>
      <w:r w:rsidRPr="00F935E7">
        <w:rPr>
          <w:rFonts w:cs="Arial"/>
          <w:szCs w:val="20"/>
        </w:rPr>
        <w:t xml:space="preserve"> obligatoirement par le renforcement des pouvoirs et ressources de ces </w:t>
      </w:r>
      <w:r>
        <w:rPr>
          <w:rFonts w:cs="Arial"/>
          <w:szCs w:val="20"/>
        </w:rPr>
        <w:t>institutions</w:t>
      </w:r>
      <w:r w:rsidRPr="00F935E7">
        <w:rPr>
          <w:rFonts w:cs="Arial"/>
          <w:szCs w:val="20"/>
        </w:rPr>
        <w:t>.</w:t>
      </w:r>
      <w:bookmarkEnd w:id="131"/>
    </w:p>
    <w:p w14:paraId="4392209A" w14:textId="77777777" w:rsidR="00DF5B08" w:rsidRPr="00F935E7" w:rsidRDefault="00DF5B08" w:rsidP="00DF5B08">
      <w:pPr>
        <w:rPr>
          <w:rFonts w:cs="Arial"/>
          <w:szCs w:val="20"/>
        </w:rPr>
      </w:pPr>
    </w:p>
    <w:p w14:paraId="57F99C66" w14:textId="3BC5D585" w:rsidR="00DF5B08" w:rsidRPr="00F935E7" w:rsidRDefault="00DF5B08" w:rsidP="00DF5B08">
      <w:pPr>
        <w:rPr>
          <w:rFonts w:cs="Arial"/>
          <w:szCs w:val="20"/>
        </w:rPr>
      </w:pPr>
      <w:bookmarkStart w:id="132" w:name="lt_pId223"/>
      <w:r>
        <w:rPr>
          <w:rFonts w:cs="Arial"/>
          <w:szCs w:val="20"/>
        </w:rPr>
        <w:t xml:space="preserve">La pénurie de personnel et le manque </w:t>
      </w:r>
      <w:r w:rsidRPr="00F935E7">
        <w:rPr>
          <w:rFonts w:cs="Arial"/>
          <w:szCs w:val="20"/>
        </w:rPr>
        <w:t>d</w:t>
      </w:r>
      <w:r w:rsidR="004B7880">
        <w:rPr>
          <w:rFonts w:cs="Arial"/>
          <w:szCs w:val="20"/>
        </w:rPr>
        <w:t xml:space="preserve">’expertise </w:t>
      </w:r>
      <w:r w:rsidRPr="00F935E7">
        <w:rPr>
          <w:rFonts w:cs="Arial"/>
          <w:szCs w:val="20"/>
        </w:rPr>
        <w:t>des autorités compétentes relève</w:t>
      </w:r>
      <w:r>
        <w:rPr>
          <w:rFonts w:cs="Arial"/>
          <w:szCs w:val="20"/>
        </w:rPr>
        <w:t>nt</w:t>
      </w:r>
      <w:r w:rsidRPr="00F935E7">
        <w:rPr>
          <w:rFonts w:cs="Arial"/>
          <w:szCs w:val="20"/>
        </w:rPr>
        <w:t xml:space="preserve"> d’un problème transversal touchant la majorité des pays évalués.</w:t>
      </w:r>
      <w:bookmarkEnd w:id="132"/>
      <w:r w:rsidRPr="00F935E7">
        <w:rPr>
          <w:rFonts w:cs="Arial"/>
          <w:szCs w:val="20"/>
        </w:rPr>
        <w:t xml:space="preserve"> </w:t>
      </w:r>
      <w:bookmarkStart w:id="133" w:name="lt_pId224"/>
      <w:r w:rsidRPr="00F935E7">
        <w:rPr>
          <w:rFonts w:cs="Arial"/>
          <w:szCs w:val="20"/>
        </w:rPr>
        <w:t xml:space="preserve">En ce qui concerne les </w:t>
      </w:r>
      <w:r w:rsidR="004B7880">
        <w:rPr>
          <w:rFonts w:cs="Arial"/>
          <w:szCs w:val="20"/>
        </w:rPr>
        <w:t>superviseurs</w:t>
      </w:r>
      <w:r w:rsidRPr="00F935E7">
        <w:rPr>
          <w:rFonts w:cs="Arial"/>
          <w:szCs w:val="20"/>
        </w:rPr>
        <w:t xml:space="preserve">, l’analyse met en évidence le caractère insuffisant de leurs ressources et/ou compétences dans 15 </w:t>
      </w:r>
      <w:r w:rsidR="001C7768">
        <w:rPr>
          <w:rFonts w:cs="Arial"/>
          <w:szCs w:val="20"/>
        </w:rPr>
        <w:t>pays</w:t>
      </w:r>
      <w:r w:rsidR="001C7768" w:rsidRPr="00F935E7">
        <w:rPr>
          <w:rFonts w:cs="Arial"/>
          <w:szCs w:val="20"/>
        </w:rPr>
        <w:t xml:space="preserve"> </w:t>
      </w:r>
      <w:r w:rsidRPr="00F935E7">
        <w:rPr>
          <w:rFonts w:cs="Arial"/>
          <w:szCs w:val="20"/>
        </w:rPr>
        <w:t>évalué</w:t>
      </w:r>
      <w:r w:rsidR="004B7880">
        <w:rPr>
          <w:rFonts w:cs="Arial"/>
          <w:szCs w:val="20"/>
        </w:rPr>
        <w:t xml:space="preserve">s </w:t>
      </w:r>
      <w:r w:rsidR="004B7880" w:rsidRPr="00F935E7">
        <w:rPr>
          <w:rFonts w:cs="Arial"/>
          <w:szCs w:val="20"/>
        </w:rPr>
        <w:t>(</w:t>
      </w:r>
      <w:r w:rsidR="004B7880">
        <w:rPr>
          <w:rFonts w:cs="Arial"/>
          <w:szCs w:val="20"/>
        </w:rPr>
        <w:t xml:space="preserve">soit </w:t>
      </w:r>
      <w:r w:rsidR="004B7880" w:rsidRPr="00F935E7">
        <w:rPr>
          <w:rFonts w:cs="Arial"/>
          <w:szCs w:val="20"/>
        </w:rPr>
        <w:t>65 %)</w:t>
      </w:r>
      <w:r w:rsidR="004B7880">
        <w:rPr>
          <w:rFonts w:cs="Arial"/>
          <w:szCs w:val="20"/>
        </w:rPr>
        <w:t>.</w:t>
      </w:r>
      <w:bookmarkEnd w:id="133"/>
      <w:r w:rsidRPr="00F935E7">
        <w:rPr>
          <w:rFonts w:cs="Arial"/>
          <w:szCs w:val="20"/>
        </w:rPr>
        <w:t xml:space="preserve"> </w:t>
      </w:r>
      <w:bookmarkStart w:id="134" w:name="lt_pId225"/>
      <w:r w:rsidRPr="00F935E7">
        <w:rPr>
          <w:rFonts w:cs="Arial"/>
          <w:szCs w:val="20"/>
        </w:rPr>
        <w:t>Les pays devraient donc envisager de renforcer en permanence leurs ressources humaines et d’accroître les compétences professionnelles de leur personnel.</w:t>
      </w:r>
      <w:bookmarkEnd w:id="134"/>
    </w:p>
    <w:p w14:paraId="1DF1C77A" w14:textId="77777777" w:rsidR="00DF5B08" w:rsidRPr="00F935E7" w:rsidRDefault="00DF5B08" w:rsidP="00DF5B08">
      <w:pPr>
        <w:rPr>
          <w:rFonts w:cs="Arial"/>
          <w:szCs w:val="20"/>
        </w:rPr>
      </w:pPr>
    </w:p>
    <w:p w14:paraId="1DDC0477" w14:textId="6DD6156B" w:rsidR="006D43F1" w:rsidRPr="00FC1764" w:rsidRDefault="006D43F1" w:rsidP="006D43F1">
      <w:pPr>
        <w:pStyle w:val="Heading2"/>
        <w:tabs>
          <w:tab w:val="left" w:pos="709"/>
        </w:tabs>
        <w:spacing w:before="0"/>
        <w:jc w:val="both"/>
        <w:rPr>
          <w:rFonts w:ascii="Arial" w:eastAsiaTheme="minorHAnsi" w:hAnsi="Arial" w:cs="Times New Roman"/>
          <w:b/>
          <w:bCs/>
          <w:color w:val="auto"/>
          <w:kern w:val="28"/>
          <w:sz w:val="20"/>
          <w:szCs w:val="20"/>
          <w:lang w:val="fr-FR"/>
        </w:rPr>
      </w:pPr>
      <w:bookmarkStart w:id="135" w:name="_Toc132203746"/>
      <w:bookmarkStart w:id="136" w:name="_Toc135412692"/>
      <w:bookmarkStart w:id="137" w:name="_Toc94256519"/>
      <w:bookmarkStart w:id="138" w:name="_Hlk94429782"/>
      <w:r w:rsidRPr="00FC1764">
        <w:rPr>
          <w:rFonts w:ascii="Arial" w:eastAsiaTheme="minorHAnsi" w:hAnsi="Arial" w:cs="Times New Roman"/>
          <w:b/>
          <w:bCs/>
          <w:color w:val="auto"/>
          <w:kern w:val="28"/>
          <w:sz w:val="20"/>
          <w:szCs w:val="20"/>
          <w:lang w:val="fr-FR"/>
        </w:rPr>
        <w:t>1.2</w:t>
      </w:r>
      <w:r w:rsidR="00625A70">
        <w:rPr>
          <w:rFonts w:ascii="Arial" w:eastAsiaTheme="minorHAnsi" w:hAnsi="Arial" w:cs="Times New Roman"/>
          <w:b/>
          <w:bCs/>
          <w:color w:val="auto"/>
          <w:kern w:val="28"/>
          <w:sz w:val="20"/>
          <w:szCs w:val="20"/>
          <w:lang w:val="fr-FR"/>
        </w:rPr>
        <w:tab/>
      </w:r>
      <w:r w:rsidRPr="00FC1764">
        <w:rPr>
          <w:rFonts w:ascii="Arial" w:eastAsiaTheme="minorHAnsi" w:hAnsi="Arial" w:cs="Times New Roman"/>
          <w:b/>
          <w:bCs/>
          <w:color w:val="auto"/>
          <w:kern w:val="28"/>
          <w:sz w:val="20"/>
          <w:szCs w:val="20"/>
          <w:lang w:val="fr-FR"/>
        </w:rPr>
        <w:t>Principaux résultats de la stratégie 2020-2022</w:t>
      </w:r>
      <w:bookmarkEnd w:id="135"/>
      <w:bookmarkEnd w:id="136"/>
    </w:p>
    <w:p w14:paraId="1CA3FCC9" w14:textId="77777777" w:rsidR="006D43F1" w:rsidRPr="00FC1764" w:rsidRDefault="006D43F1" w:rsidP="00F9691A"/>
    <w:p w14:paraId="5A255D4C" w14:textId="77777777" w:rsidR="006D43F1" w:rsidRPr="00FC1764" w:rsidRDefault="006D43F1" w:rsidP="00F9691A">
      <w:r w:rsidRPr="00FC1764">
        <w:t>Cette section résume les principaux résultats obtenus par MONEYVAL dans la mise en œuvre de sa stratégie 2020-2022, tels que présentés lors de la réunion plénière de MONEYVAL en décembre 2022.</w:t>
      </w:r>
    </w:p>
    <w:p w14:paraId="667901E0" w14:textId="77777777" w:rsidR="006D43F1" w:rsidRPr="00F9691A" w:rsidRDefault="006D43F1" w:rsidP="00F9691A">
      <w:pPr>
        <w:rPr>
          <w:highlight w:val="yellow"/>
        </w:rPr>
      </w:pPr>
    </w:p>
    <w:p w14:paraId="4B49E356" w14:textId="77777777" w:rsidR="006D43F1" w:rsidRPr="00F9691A" w:rsidRDefault="006D43F1" w:rsidP="00F9691A">
      <w:pPr>
        <w:rPr>
          <w:rFonts w:eastAsiaTheme="minorHAnsi" w:cs="Arial"/>
          <w:szCs w:val="20"/>
          <w:lang w:eastAsia="fr-FR"/>
        </w:rPr>
      </w:pPr>
      <w:r w:rsidRPr="00F9691A">
        <w:rPr>
          <w:rFonts w:eastAsiaTheme="minorHAnsi" w:cs="Arial"/>
          <w:szCs w:val="20"/>
          <w:lang w:eastAsia="fr-FR"/>
        </w:rPr>
        <w:t xml:space="preserve">La stratégie MONEYVAL pour 2020-2022, adoptée en décembre 2019, était le premier document stratégique de MONEYVAL - une première étape clé dans le développement de la planification à long terme. Elle a fait le point sur les principaux axes de travail de MONEYVAL et a fixé des objectifs généraux et spécifiques dans les différents domaines. </w:t>
      </w:r>
    </w:p>
    <w:p w14:paraId="6CA348D5" w14:textId="77777777" w:rsidR="006D43F1" w:rsidRPr="00F9691A" w:rsidRDefault="006D43F1" w:rsidP="00F9691A">
      <w:pPr>
        <w:rPr>
          <w:rFonts w:eastAsiaTheme="minorHAnsi" w:cs="Arial"/>
          <w:szCs w:val="20"/>
          <w:lang w:eastAsia="fr-FR"/>
        </w:rPr>
      </w:pPr>
    </w:p>
    <w:p w14:paraId="4F2E177A" w14:textId="77777777"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La stratégie a défini les objectifs stratégiques suivants pour la période 2020-2022 :</w:t>
      </w:r>
    </w:p>
    <w:p w14:paraId="36478627" w14:textId="77777777" w:rsidR="006D43F1" w:rsidRPr="00F9691A" w:rsidRDefault="006D43F1" w:rsidP="00F9691A">
      <w:pPr>
        <w:rPr>
          <w:rFonts w:eastAsiaTheme="minorHAnsi" w:cs="Arial"/>
          <w:szCs w:val="20"/>
          <w:lang w:eastAsia="fr-FR"/>
        </w:rPr>
      </w:pPr>
    </w:p>
    <w:p w14:paraId="70F2500B" w14:textId="77777777" w:rsidR="006D43F1" w:rsidRPr="00F9691A" w:rsidRDefault="006D43F1" w:rsidP="00F9691A">
      <w:pPr>
        <w:numPr>
          <w:ilvl w:val="0"/>
          <w:numId w:val="39"/>
        </w:numPr>
        <w:spacing w:after="100" w:afterAutospacing="1"/>
        <w:ind w:left="714" w:hanging="357"/>
        <w:contextualSpacing/>
        <w:rPr>
          <w:rFonts w:eastAsiaTheme="minorHAnsi" w:cs="Arial"/>
          <w:szCs w:val="20"/>
          <w:lang w:eastAsia="fr-FR"/>
        </w:rPr>
      </w:pPr>
      <w:r w:rsidRPr="00F9691A">
        <w:rPr>
          <w:rFonts w:eastAsiaTheme="minorHAnsi" w:cs="Arial"/>
          <w:szCs w:val="20"/>
          <w:lang w:eastAsia="fr-FR"/>
        </w:rPr>
        <w:t>Soutenir les activités de suivi et autres de MONEYVAL ;</w:t>
      </w:r>
    </w:p>
    <w:p w14:paraId="1AF5B9F3" w14:textId="77777777" w:rsidR="006D43F1" w:rsidRPr="00F9691A" w:rsidRDefault="006D43F1" w:rsidP="00F9691A">
      <w:pPr>
        <w:numPr>
          <w:ilvl w:val="0"/>
          <w:numId w:val="39"/>
        </w:numPr>
        <w:spacing w:after="100" w:afterAutospacing="1"/>
        <w:ind w:left="714" w:hanging="357"/>
        <w:contextualSpacing/>
        <w:rPr>
          <w:rFonts w:eastAsiaTheme="minorHAnsi" w:cs="Arial"/>
          <w:szCs w:val="20"/>
          <w:lang w:eastAsia="fr-FR"/>
        </w:rPr>
      </w:pPr>
      <w:r w:rsidRPr="00F9691A">
        <w:rPr>
          <w:rFonts w:eastAsiaTheme="minorHAnsi" w:cs="Arial"/>
          <w:szCs w:val="20"/>
          <w:lang w:eastAsia="fr-FR"/>
        </w:rPr>
        <w:t>Renforcer les capacités des membres de MONEYVAL en les formant aux normes du GAFI ;</w:t>
      </w:r>
    </w:p>
    <w:p w14:paraId="5FEB4DCE" w14:textId="3DC9766A" w:rsidR="006D43F1" w:rsidRPr="00F9691A" w:rsidRDefault="006D43F1" w:rsidP="00F9691A">
      <w:pPr>
        <w:numPr>
          <w:ilvl w:val="0"/>
          <w:numId w:val="39"/>
        </w:numPr>
        <w:spacing w:after="100" w:afterAutospacing="1"/>
        <w:ind w:left="714" w:hanging="357"/>
        <w:contextualSpacing/>
        <w:rPr>
          <w:rFonts w:eastAsiaTheme="minorHAnsi" w:cs="Arial"/>
          <w:szCs w:val="20"/>
          <w:lang w:eastAsia="fr-FR"/>
        </w:rPr>
      </w:pPr>
      <w:r w:rsidRPr="00F9691A">
        <w:rPr>
          <w:rFonts w:eastAsiaTheme="minorHAnsi" w:cs="Arial"/>
          <w:szCs w:val="20"/>
          <w:lang w:eastAsia="fr-FR"/>
        </w:rPr>
        <w:t>Renforcer la participation de MONEYVAL au réseau mondial de LBC/FT ;</w:t>
      </w:r>
    </w:p>
    <w:p w14:paraId="6114D052" w14:textId="77777777" w:rsidR="006D43F1" w:rsidRPr="00F9691A" w:rsidRDefault="006D43F1" w:rsidP="00F9691A">
      <w:pPr>
        <w:numPr>
          <w:ilvl w:val="0"/>
          <w:numId w:val="39"/>
        </w:numPr>
        <w:spacing w:after="100" w:afterAutospacing="1"/>
        <w:ind w:left="714" w:hanging="357"/>
        <w:contextualSpacing/>
        <w:rPr>
          <w:rFonts w:eastAsiaTheme="minorHAnsi" w:cs="Arial"/>
          <w:szCs w:val="20"/>
          <w:lang w:eastAsia="fr-FR"/>
        </w:rPr>
      </w:pPr>
      <w:r w:rsidRPr="00F9691A">
        <w:rPr>
          <w:rFonts w:eastAsiaTheme="minorHAnsi" w:cs="Arial"/>
          <w:szCs w:val="20"/>
          <w:lang w:eastAsia="fr-FR"/>
        </w:rPr>
        <w:t>Renforcer la position politique de MONEYVAL ;</w:t>
      </w:r>
    </w:p>
    <w:p w14:paraId="7688B69F" w14:textId="657A457E" w:rsidR="006D43F1" w:rsidRPr="00F9691A" w:rsidRDefault="006D43F1" w:rsidP="00F9691A">
      <w:pPr>
        <w:numPr>
          <w:ilvl w:val="0"/>
          <w:numId w:val="39"/>
        </w:numPr>
        <w:spacing w:after="100" w:afterAutospacing="1"/>
        <w:ind w:left="714" w:hanging="357"/>
        <w:contextualSpacing/>
        <w:rPr>
          <w:rFonts w:eastAsiaTheme="minorHAnsi" w:cs="Arial"/>
          <w:szCs w:val="20"/>
          <w:lang w:eastAsia="fr-FR"/>
        </w:rPr>
      </w:pPr>
      <w:r w:rsidRPr="00F9691A">
        <w:rPr>
          <w:rFonts w:eastAsiaTheme="minorHAnsi" w:cs="Arial"/>
          <w:szCs w:val="20"/>
          <w:lang w:eastAsia="fr-FR"/>
        </w:rPr>
        <w:t xml:space="preserve">Augmenter les ressources du </w:t>
      </w:r>
      <w:r w:rsidR="000927FC">
        <w:rPr>
          <w:rFonts w:eastAsiaTheme="minorHAnsi" w:cs="Arial"/>
          <w:szCs w:val="20"/>
          <w:lang w:eastAsia="fr-FR"/>
        </w:rPr>
        <w:t>s</w:t>
      </w:r>
      <w:r w:rsidRPr="00F9691A">
        <w:rPr>
          <w:rFonts w:eastAsiaTheme="minorHAnsi" w:cs="Arial"/>
          <w:szCs w:val="20"/>
          <w:lang w:eastAsia="fr-FR"/>
        </w:rPr>
        <w:t>ecrétariat de MONEYVAL.</w:t>
      </w:r>
    </w:p>
    <w:p w14:paraId="75D2F3FC" w14:textId="77777777" w:rsidR="006D43F1" w:rsidRPr="00F9691A" w:rsidRDefault="006D43F1" w:rsidP="00F9691A">
      <w:pPr>
        <w:spacing w:after="100" w:afterAutospacing="1"/>
        <w:ind w:left="714"/>
        <w:contextualSpacing/>
        <w:rPr>
          <w:rFonts w:eastAsiaTheme="minorHAnsi" w:cs="Arial"/>
          <w:szCs w:val="20"/>
          <w:lang w:eastAsia="fr-FR"/>
        </w:rPr>
      </w:pPr>
    </w:p>
    <w:p w14:paraId="38E6FF10" w14:textId="4DB4FFDF" w:rsidR="006D43F1" w:rsidRPr="00F9691A" w:rsidRDefault="006D43F1" w:rsidP="00F9691A">
      <w:pPr>
        <w:rPr>
          <w:rFonts w:eastAsiaTheme="minorHAnsi" w:cs="Arial"/>
          <w:szCs w:val="20"/>
          <w:lang w:eastAsia="fr-FR"/>
        </w:rPr>
      </w:pPr>
      <w:r w:rsidRPr="00F9691A">
        <w:rPr>
          <w:rFonts w:eastAsiaTheme="minorHAnsi" w:cs="Arial"/>
          <w:szCs w:val="20"/>
          <w:lang w:eastAsia="fr-FR"/>
        </w:rPr>
        <w:t xml:space="preserve">Dans l'ensemble, MONEYVAL a réalisé des progrès significatifs sur tous ces points de référence, en s'adaptant aux contraintes </w:t>
      </w:r>
      <w:r w:rsidR="00A451A6" w:rsidRPr="00F9691A">
        <w:rPr>
          <w:rFonts w:eastAsiaTheme="minorHAnsi" w:cs="Arial"/>
          <w:szCs w:val="20"/>
          <w:lang w:eastAsia="fr-FR"/>
        </w:rPr>
        <w:t>d’une</w:t>
      </w:r>
      <w:r w:rsidRPr="00F9691A">
        <w:rPr>
          <w:rFonts w:eastAsiaTheme="minorHAnsi" w:cs="Arial"/>
          <w:szCs w:val="20"/>
          <w:lang w:eastAsia="fr-FR"/>
        </w:rPr>
        <w:t xml:space="preserve"> pandémie</w:t>
      </w:r>
      <w:r w:rsidR="00A451A6" w:rsidRPr="00F9691A">
        <w:rPr>
          <w:rFonts w:eastAsiaTheme="minorHAnsi" w:cs="Arial"/>
          <w:szCs w:val="20"/>
          <w:lang w:eastAsia="fr-FR"/>
        </w:rPr>
        <w:t xml:space="preserve"> de </w:t>
      </w:r>
      <w:r w:rsidR="000927FC">
        <w:rPr>
          <w:rFonts w:eastAsiaTheme="minorHAnsi" w:cs="Arial"/>
          <w:szCs w:val="20"/>
          <w:lang w:eastAsia="fr-FR"/>
        </w:rPr>
        <w:t>covid-19</w:t>
      </w:r>
      <w:r w:rsidRPr="00F9691A">
        <w:rPr>
          <w:rFonts w:eastAsiaTheme="minorHAnsi" w:cs="Arial"/>
          <w:szCs w:val="20"/>
          <w:lang w:eastAsia="fr-FR"/>
        </w:rPr>
        <w:t xml:space="preserve"> sans précédent et inattendue et à d'autres facteurs contextuels. </w:t>
      </w:r>
    </w:p>
    <w:p w14:paraId="10D3CDAD" w14:textId="77777777" w:rsidR="006D43F1" w:rsidRPr="00C36CF5" w:rsidRDefault="006D43F1" w:rsidP="00F9691A">
      <w:pPr>
        <w:contextualSpacing/>
        <w:rPr>
          <w:rFonts w:eastAsiaTheme="minorHAnsi" w:cs="Arial"/>
          <w:szCs w:val="20"/>
          <w:highlight w:val="yellow"/>
          <w:lang w:eastAsia="fr-FR"/>
        </w:rPr>
      </w:pPr>
    </w:p>
    <w:p w14:paraId="2886168E" w14:textId="77777777" w:rsidR="006D43F1" w:rsidRPr="00F9691A" w:rsidRDefault="006D43F1" w:rsidP="00F9691A">
      <w:pPr>
        <w:contextualSpacing/>
        <w:rPr>
          <w:rFonts w:eastAsiaTheme="minorHAnsi" w:cs="Arial"/>
          <w:szCs w:val="20"/>
          <w:lang w:eastAsia="fr-FR"/>
        </w:rPr>
      </w:pPr>
      <w:r w:rsidRPr="00F9691A">
        <w:rPr>
          <w:rFonts w:eastAsiaTheme="minorHAnsi" w:cs="Arial"/>
          <w:i/>
          <w:iCs/>
          <w:szCs w:val="20"/>
          <w:lang w:eastAsia="fr-FR"/>
        </w:rPr>
        <w:t xml:space="preserve">Soutenir les activités de suivi et autres de MONEYVAL </w:t>
      </w:r>
    </w:p>
    <w:p w14:paraId="3B1BFB9C" w14:textId="77777777" w:rsidR="006D43F1" w:rsidRPr="00C36CF5" w:rsidRDefault="006D43F1" w:rsidP="00F9691A">
      <w:pPr>
        <w:contextualSpacing/>
        <w:rPr>
          <w:rFonts w:eastAsiaTheme="minorHAnsi" w:cs="Arial"/>
          <w:szCs w:val="20"/>
          <w:highlight w:val="yellow"/>
          <w:lang w:eastAsia="fr-FR"/>
        </w:rPr>
      </w:pPr>
    </w:p>
    <w:p w14:paraId="3B906816" w14:textId="70D573E9"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 xml:space="preserve">Les années 2020-2022 ont représenté un défi important pour le </w:t>
      </w:r>
      <w:r w:rsidRPr="00F9691A">
        <w:rPr>
          <w:rFonts w:eastAsiaTheme="minorHAnsi" w:cs="Arial"/>
          <w:b/>
          <w:bCs/>
          <w:szCs w:val="20"/>
          <w:lang w:eastAsia="fr-FR"/>
        </w:rPr>
        <w:t xml:space="preserve">programme d'évaluations mutuelles </w:t>
      </w:r>
      <w:r w:rsidRPr="00F9691A">
        <w:rPr>
          <w:rFonts w:eastAsiaTheme="minorHAnsi" w:cs="Arial"/>
          <w:szCs w:val="20"/>
          <w:lang w:eastAsia="fr-FR"/>
        </w:rPr>
        <w:t xml:space="preserve">de MONEYVAL - sa mise en œuvre </w:t>
      </w:r>
      <w:r w:rsidR="00A451A6" w:rsidRPr="00F9691A">
        <w:rPr>
          <w:rFonts w:eastAsiaTheme="minorHAnsi" w:cs="Arial"/>
          <w:szCs w:val="20"/>
          <w:lang w:eastAsia="fr-FR"/>
        </w:rPr>
        <w:t>soutenue</w:t>
      </w:r>
      <w:r w:rsidRPr="00F9691A">
        <w:rPr>
          <w:rFonts w:eastAsiaTheme="minorHAnsi" w:cs="Arial"/>
          <w:szCs w:val="20"/>
          <w:lang w:eastAsia="fr-FR"/>
        </w:rPr>
        <w:t xml:space="preserve"> était menacée par les </w:t>
      </w:r>
      <w:r w:rsidR="00A451A6" w:rsidRPr="00F9691A">
        <w:rPr>
          <w:rFonts w:eastAsiaTheme="minorHAnsi" w:cs="Arial"/>
          <w:szCs w:val="20"/>
          <w:lang w:eastAsia="fr-FR"/>
        </w:rPr>
        <w:t>confinements</w:t>
      </w:r>
      <w:r w:rsidRPr="00F9691A">
        <w:rPr>
          <w:rFonts w:eastAsiaTheme="minorHAnsi" w:cs="Arial"/>
          <w:szCs w:val="20"/>
          <w:lang w:eastAsia="fr-FR"/>
        </w:rPr>
        <w:t xml:space="preserve"> du</w:t>
      </w:r>
      <w:r w:rsidR="00A451A6" w:rsidRPr="00F9691A">
        <w:rPr>
          <w:rFonts w:eastAsiaTheme="minorHAnsi" w:cs="Arial"/>
          <w:szCs w:val="20"/>
          <w:lang w:eastAsia="fr-FR"/>
        </w:rPr>
        <w:t xml:space="preserve">s </w:t>
      </w:r>
      <w:r w:rsidR="00E4527E">
        <w:rPr>
          <w:rFonts w:eastAsiaTheme="minorHAnsi" w:cs="Arial"/>
          <w:szCs w:val="20"/>
          <w:lang w:eastAsia="fr-FR"/>
        </w:rPr>
        <w:t>à la covid-19</w:t>
      </w:r>
      <w:r w:rsidRPr="00F9691A">
        <w:rPr>
          <w:rFonts w:eastAsiaTheme="minorHAnsi" w:cs="Arial"/>
          <w:szCs w:val="20"/>
          <w:lang w:eastAsia="fr-FR"/>
        </w:rPr>
        <w:t xml:space="preserve">. Assurer la poursuite du déploiement des évaluations a nécessité des réajustements majeurs des méthodes d'évaluation, ce qui s'est accompagné d'une pression accrue sur les ressources humaines au sein du Secrétariat, du Bureau et des États et territoires membres. MONEYVAL a réussi à relever les défis en lançant des méthodes d'évaluation hybrides et reste l'organisme d'évaluation du réseau mondial qui a réalisé le plus grand nombre d'évaluations depuis le début de la pandémie. </w:t>
      </w:r>
    </w:p>
    <w:p w14:paraId="2DF5FAB8" w14:textId="77777777" w:rsidR="006D43F1" w:rsidRPr="00F9691A" w:rsidRDefault="006D43F1" w:rsidP="00F9691A">
      <w:pPr>
        <w:contextualSpacing/>
        <w:rPr>
          <w:rFonts w:eastAsiaTheme="minorHAnsi" w:cs="Arial"/>
          <w:szCs w:val="20"/>
          <w:lang w:eastAsia="fr-FR"/>
        </w:rPr>
      </w:pPr>
    </w:p>
    <w:p w14:paraId="50A03FCE" w14:textId="30105329"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En tant qu</w:t>
      </w:r>
      <w:r w:rsidR="00A451A6" w:rsidRPr="00F9691A">
        <w:rPr>
          <w:rFonts w:eastAsiaTheme="minorHAnsi" w:cs="Arial"/>
          <w:szCs w:val="20"/>
          <w:lang w:eastAsia="fr-FR"/>
        </w:rPr>
        <w:t>’ORTG</w:t>
      </w:r>
      <w:r w:rsidRPr="00F9691A">
        <w:rPr>
          <w:rFonts w:eastAsiaTheme="minorHAnsi" w:cs="Arial"/>
          <w:szCs w:val="20"/>
          <w:lang w:eastAsia="fr-FR"/>
        </w:rPr>
        <w:t xml:space="preserve"> comptant le plus grand nombre de membres </w:t>
      </w:r>
      <w:r w:rsidR="00A451A6" w:rsidRPr="00F9691A">
        <w:rPr>
          <w:rFonts w:eastAsiaTheme="minorHAnsi" w:cs="Arial"/>
          <w:szCs w:val="20"/>
          <w:lang w:eastAsia="fr-FR"/>
        </w:rPr>
        <w:t xml:space="preserve">qui ne sont pas </w:t>
      </w:r>
      <w:r w:rsidRPr="00F9691A">
        <w:rPr>
          <w:rFonts w:eastAsiaTheme="minorHAnsi" w:cs="Arial"/>
          <w:szCs w:val="20"/>
          <w:lang w:eastAsia="fr-FR"/>
        </w:rPr>
        <w:t xml:space="preserve">membres du GAFI, MONEYVAL a acquis une expérience significative dans le domaine des évaluations mutuelles, qui constitue une excellente base pour la poursuite de l'analyse horizontale et l'identification des tendances. Sur la base de cette expérience, MONEYVAL a lancé un certain nombre de projets horizontaux, notamment l'examen horizontal des évaluations mutuelles (présenté à la </w:t>
      </w:r>
      <w:r w:rsidR="00A97326">
        <w:rPr>
          <w:rFonts w:eastAsiaTheme="minorHAnsi" w:cs="Arial"/>
          <w:szCs w:val="20"/>
          <w:lang w:eastAsia="fr-FR"/>
        </w:rPr>
        <w:t>62</w:t>
      </w:r>
      <w:r w:rsidR="00A97326" w:rsidRPr="00F9691A">
        <w:rPr>
          <w:rFonts w:eastAsiaTheme="minorHAnsi" w:cs="Arial"/>
          <w:szCs w:val="20"/>
          <w:vertAlign w:val="superscript"/>
          <w:lang w:eastAsia="fr-FR"/>
        </w:rPr>
        <w:t>ème</w:t>
      </w:r>
      <w:r w:rsidR="00A97326">
        <w:rPr>
          <w:rFonts w:eastAsiaTheme="minorHAnsi" w:cs="Arial"/>
          <w:szCs w:val="20"/>
          <w:lang w:eastAsia="fr-FR"/>
        </w:rPr>
        <w:t xml:space="preserve"> </w:t>
      </w:r>
      <w:r w:rsidRPr="00F9691A">
        <w:rPr>
          <w:rFonts w:eastAsiaTheme="minorHAnsi" w:cs="Arial"/>
          <w:szCs w:val="20"/>
          <w:lang w:eastAsia="fr-FR"/>
        </w:rPr>
        <w:t xml:space="preserve">plénière en 2021), l'analyse des indicateurs de matérialité (lancée en janvier 2022), la préparation d'un modèle de rapport d'évaluation mutuelle détaillé. Ces projets permettent d'améliorer la qualité et la cohérence des évaluations mutuelles, l'égalité de traitement et le soutien des experts des </w:t>
      </w:r>
      <w:r w:rsidR="00A451A6" w:rsidRPr="00F9691A">
        <w:rPr>
          <w:rFonts w:eastAsiaTheme="minorHAnsi" w:cs="Arial"/>
          <w:szCs w:val="20"/>
          <w:lang w:eastAsia="fr-FR"/>
        </w:rPr>
        <w:t>pays</w:t>
      </w:r>
      <w:r w:rsidRPr="00F9691A">
        <w:rPr>
          <w:rFonts w:eastAsiaTheme="minorHAnsi" w:cs="Arial"/>
          <w:szCs w:val="20"/>
          <w:lang w:eastAsia="fr-FR"/>
        </w:rPr>
        <w:t xml:space="preserve"> membres et des évaluateurs, ainsi que l'efficacité des ressources pour les administrations nationales, les structures et le </w:t>
      </w:r>
      <w:r w:rsidR="00A451A6" w:rsidRPr="00F9691A">
        <w:rPr>
          <w:rFonts w:eastAsiaTheme="minorHAnsi" w:cs="Arial"/>
          <w:szCs w:val="20"/>
          <w:lang w:eastAsia="fr-FR"/>
        </w:rPr>
        <w:t>S</w:t>
      </w:r>
      <w:r w:rsidRPr="00F9691A">
        <w:rPr>
          <w:rFonts w:eastAsiaTheme="minorHAnsi" w:cs="Arial"/>
          <w:szCs w:val="20"/>
          <w:lang w:eastAsia="fr-FR"/>
        </w:rPr>
        <w:t xml:space="preserve">ecrétariat de MONEYVAL. </w:t>
      </w:r>
    </w:p>
    <w:p w14:paraId="2EBCAF4F" w14:textId="77777777" w:rsidR="006D43F1" w:rsidRPr="00C36CF5" w:rsidRDefault="006D43F1" w:rsidP="00F9691A">
      <w:pPr>
        <w:contextualSpacing/>
        <w:rPr>
          <w:rFonts w:eastAsiaTheme="minorHAnsi" w:cs="Arial"/>
          <w:szCs w:val="20"/>
          <w:highlight w:val="yellow"/>
          <w:lang w:eastAsia="fr-FR"/>
        </w:rPr>
      </w:pPr>
    </w:p>
    <w:p w14:paraId="4B7B68A6" w14:textId="77777777" w:rsidR="00625A70" w:rsidRDefault="00625A70">
      <w:pPr>
        <w:rPr>
          <w:rFonts w:eastAsiaTheme="minorHAnsi" w:cs="Arial"/>
          <w:szCs w:val="20"/>
          <w:lang w:eastAsia="fr-FR"/>
        </w:rPr>
      </w:pPr>
      <w:bookmarkStart w:id="139" w:name="_Hlk119840482"/>
      <w:r>
        <w:rPr>
          <w:rFonts w:eastAsiaTheme="minorHAnsi" w:cs="Arial"/>
          <w:szCs w:val="20"/>
          <w:lang w:eastAsia="fr-FR"/>
        </w:rPr>
        <w:br w:type="page"/>
      </w:r>
    </w:p>
    <w:p w14:paraId="179E2BA4" w14:textId="6797F413"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lastRenderedPageBreak/>
        <w:t xml:space="preserve">Entre 2020 et 2022, MONEYVAL a considérablement rationalisé son approche </w:t>
      </w:r>
      <w:r w:rsidR="00A97326" w:rsidRPr="00F9691A">
        <w:rPr>
          <w:rFonts w:eastAsiaTheme="minorHAnsi" w:cs="Arial"/>
          <w:szCs w:val="20"/>
          <w:lang w:eastAsia="fr-FR"/>
        </w:rPr>
        <w:t xml:space="preserve">en matière </w:t>
      </w:r>
      <w:r w:rsidRPr="00F9691A">
        <w:rPr>
          <w:rFonts w:eastAsiaTheme="minorHAnsi" w:cs="Arial"/>
          <w:szCs w:val="20"/>
          <w:lang w:eastAsia="fr-FR"/>
        </w:rPr>
        <w:t xml:space="preserve">de </w:t>
      </w:r>
      <w:r w:rsidRPr="00F9691A">
        <w:rPr>
          <w:rFonts w:eastAsiaTheme="minorHAnsi" w:cs="Arial"/>
          <w:b/>
          <w:bCs/>
          <w:szCs w:val="20"/>
          <w:lang w:eastAsia="fr-FR"/>
        </w:rPr>
        <w:t>rapports de suivi</w:t>
      </w:r>
      <w:r w:rsidRPr="00F9691A">
        <w:rPr>
          <w:rFonts w:eastAsiaTheme="minorHAnsi" w:cs="Arial"/>
          <w:szCs w:val="20"/>
          <w:lang w:eastAsia="fr-FR"/>
        </w:rPr>
        <w:t xml:space="preserve">, afin de gérer le nombre croissant de rapports s'accumulant vers la fin du cycle d'évaluation. Cela comprenait une transition partielle vers des procédures écrites et des ajustements d'efficacité dans la procédure de rapport. L'efficacité des rapports de suivi de MONEYVAL est désormais la plus élevée parmi tous les organismes d'évaluation du réseau mondial, selon une étude récente menée par le GAFI. Cette étude montre que 72 % des recommandations techniques de MONEYVAL en matière de conformité sont mises en œuvre. Les </w:t>
      </w:r>
      <w:r w:rsidRPr="00F9691A">
        <w:rPr>
          <w:rFonts w:eastAsiaTheme="minorHAnsi" w:cs="Arial"/>
          <w:b/>
          <w:bCs/>
          <w:szCs w:val="20"/>
          <w:lang w:eastAsia="fr-FR"/>
        </w:rPr>
        <w:t xml:space="preserve">procédures </w:t>
      </w:r>
      <w:r w:rsidR="00A97326">
        <w:rPr>
          <w:rFonts w:eastAsiaTheme="minorHAnsi" w:cs="Arial"/>
          <w:b/>
          <w:bCs/>
          <w:szCs w:val="20"/>
          <w:lang w:eastAsia="fr-FR"/>
        </w:rPr>
        <w:t>de</w:t>
      </w:r>
      <w:r w:rsidRPr="00F9691A">
        <w:rPr>
          <w:rFonts w:eastAsiaTheme="minorHAnsi" w:cs="Arial"/>
          <w:b/>
          <w:bCs/>
          <w:szCs w:val="20"/>
          <w:lang w:eastAsia="fr-FR"/>
        </w:rPr>
        <w:t xml:space="preserve"> conformité</w:t>
      </w:r>
      <w:r w:rsidR="00A97326">
        <w:rPr>
          <w:rFonts w:eastAsiaTheme="minorHAnsi" w:cs="Arial"/>
          <w:b/>
          <w:bCs/>
          <w:szCs w:val="20"/>
          <w:lang w:eastAsia="fr-FR"/>
        </w:rPr>
        <w:t xml:space="preserve"> renforcée</w:t>
      </w:r>
      <w:r w:rsidRPr="00F9691A">
        <w:rPr>
          <w:rFonts w:eastAsiaTheme="minorHAnsi" w:cs="Arial"/>
          <w:b/>
          <w:bCs/>
          <w:szCs w:val="20"/>
          <w:lang w:eastAsia="fr-FR"/>
        </w:rPr>
        <w:t xml:space="preserve"> (</w:t>
      </w:r>
      <w:r w:rsidR="00A97326">
        <w:rPr>
          <w:rFonts w:eastAsiaTheme="minorHAnsi" w:cs="Arial"/>
          <w:b/>
          <w:bCs/>
          <w:szCs w:val="20"/>
          <w:lang w:eastAsia="fr-FR"/>
        </w:rPr>
        <w:t>PCR</w:t>
      </w:r>
      <w:r w:rsidRPr="00F9691A">
        <w:rPr>
          <w:rFonts w:eastAsiaTheme="minorHAnsi" w:cs="Arial"/>
          <w:b/>
          <w:bCs/>
          <w:szCs w:val="20"/>
          <w:lang w:eastAsia="fr-FR"/>
        </w:rPr>
        <w:t xml:space="preserve">) </w:t>
      </w:r>
      <w:r w:rsidRPr="00F9691A">
        <w:rPr>
          <w:rFonts w:eastAsiaTheme="minorHAnsi" w:cs="Arial"/>
          <w:szCs w:val="20"/>
          <w:lang w:eastAsia="fr-FR"/>
        </w:rPr>
        <w:t xml:space="preserve">continuent d'être un outil important pour </w:t>
      </w:r>
      <w:r w:rsidR="00A77BDB">
        <w:rPr>
          <w:rFonts w:eastAsiaTheme="minorHAnsi" w:cs="Arial"/>
          <w:szCs w:val="20"/>
          <w:lang w:eastAsia="fr-FR"/>
        </w:rPr>
        <w:t>inciter</w:t>
      </w:r>
      <w:r w:rsidRPr="00F9691A">
        <w:rPr>
          <w:rFonts w:eastAsiaTheme="minorHAnsi" w:cs="Arial"/>
          <w:szCs w:val="20"/>
          <w:lang w:eastAsia="fr-FR"/>
        </w:rPr>
        <w:t xml:space="preserve"> les pays évalués à progresser. Leur intégration automatique dans le processus de suivi </w:t>
      </w:r>
      <w:r w:rsidR="006D3E93">
        <w:rPr>
          <w:rFonts w:eastAsiaTheme="minorHAnsi" w:cs="Arial"/>
          <w:szCs w:val="20"/>
          <w:lang w:eastAsia="fr-FR"/>
        </w:rPr>
        <w:t>adopté</w:t>
      </w:r>
      <w:r w:rsidRPr="00F9691A">
        <w:rPr>
          <w:rFonts w:eastAsiaTheme="minorHAnsi" w:cs="Arial"/>
          <w:szCs w:val="20"/>
          <w:lang w:eastAsia="fr-FR"/>
        </w:rPr>
        <w:t xml:space="preserve"> par la </w:t>
      </w:r>
      <w:r w:rsidR="00A97326" w:rsidRPr="00461CDE">
        <w:rPr>
          <w:rFonts w:eastAsiaTheme="minorHAnsi" w:cs="Arial"/>
          <w:szCs w:val="20"/>
          <w:lang w:eastAsia="fr-FR"/>
        </w:rPr>
        <w:t>63</w:t>
      </w:r>
      <w:r w:rsidR="00A97326">
        <w:rPr>
          <w:rFonts w:eastAsiaTheme="minorHAnsi" w:cs="Arial"/>
          <w:szCs w:val="20"/>
          <w:vertAlign w:val="superscript"/>
          <w:lang w:eastAsia="fr-FR"/>
        </w:rPr>
        <w:t>ème</w:t>
      </w:r>
      <w:r w:rsidR="00A97326" w:rsidRPr="00A97326">
        <w:rPr>
          <w:rFonts w:eastAsiaTheme="minorHAnsi" w:cs="Arial"/>
          <w:szCs w:val="20"/>
          <w:lang w:eastAsia="fr-FR"/>
        </w:rPr>
        <w:t xml:space="preserve"> </w:t>
      </w:r>
      <w:r w:rsidRPr="00F9691A">
        <w:rPr>
          <w:rFonts w:eastAsiaTheme="minorHAnsi" w:cs="Arial"/>
          <w:szCs w:val="20"/>
          <w:lang w:eastAsia="fr-FR"/>
        </w:rPr>
        <w:t xml:space="preserve">plénière </w:t>
      </w:r>
      <w:r w:rsidR="00A77BDB">
        <w:rPr>
          <w:rFonts w:eastAsiaTheme="minorHAnsi" w:cs="Arial"/>
          <w:szCs w:val="20"/>
          <w:lang w:eastAsia="fr-FR"/>
        </w:rPr>
        <w:t>renforce davantage</w:t>
      </w:r>
      <w:r w:rsidRPr="00F9691A">
        <w:rPr>
          <w:rFonts w:eastAsiaTheme="minorHAnsi" w:cs="Arial"/>
          <w:szCs w:val="20"/>
          <w:lang w:eastAsia="fr-FR"/>
        </w:rPr>
        <w:t xml:space="preserve"> la boîte à outils de MONEYVAL en matière de pression</w:t>
      </w:r>
      <w:r w:rsidR="00A77BDB">
        <w:rPr>
          <w:rFonts w:eastAsiaTheme="minorHAnsi" w:cs="Arial"/>
          <w:szCs w:val="20"/>
          <w:lang w:eastAsia="fr-FR"/>
        </w:rPr>
        <w:t xml:space="preserve"> mutuelle</w:t>
      </w:r>
      <w:r w:rsidRPr="00F9691A">
        <w:rPr>
          <w:rFonts w:eastAsiaTheme="minorHAnsi" w:cs="Arial"/>
          <w:szCs w:val="20"/>
          <w:lang w:eastAsia="fr-FR"/>
        </w:rPr>
        <w:t xml:space="preserve"> par les </w:t>
      </w:r>
      <w:r w:rsidR="006D3E93">
        <w:rPr>
          <w:rFonts w:eastAsiaTheme="minorHAnsi" w:cs="Arial"/>
          <w:szCs w:val="20"/>
          <w:lang w:eastAsia="fr-FR"/>
        </w:rPr>
        <w:t>États</w:t>
      </w:r>
      <w:r w:rsidR="00A77BDB">
        <w:rPr>
          <w:rFonts w:eastAsiaTheme="minorHAnsi" w:cs="Arial"/>
          <w:szCs w:val="20"/>
          <w:lang w:eastAsia="fr-FR"/>
        </w:rPr>
        <w:t xml:space="preserve"> et territoires membres</w:t>
      </w:r>
      <w:r w:rsidRPr="00F9691A">
        <w:rPr>
          <w:rFonts w:eastAsiaTheme="minorHAnsi" w:cs="Arial"/>
          <w:szCs w:val="20"/>
          <w:lang w:eastAsia="fr-FR"/>
        </w:rPr>
        <w:t xml:space="preserve">. </w:t>
      </w:r>
    </w:p>
    <w:bookmarkEnd w:id="139"/>
    <w:p w14:paraId="29FCE010" w14:textId="77777777" w:rsidR="006D43F1" w:rsidRPr="00C36CF5" w:rsidRDefault="006D43F1" w:rsidP="00F9691A">
      <w:pPr>
        <w:contextualSpacing/>
        <w:rPr>
          <w:rFonts w:eastAsiaTheme="minorHAnsi" w:cs="Arial"/>
          <w:szCs w:val="20"/>
          <w:highlight w:val="yellow"/>
          <w:lang w:eastAsia="fr-FR"/>
        </w:rPr>
      </w:pPr>
    </w:p>
    <w:p w14:paraId="652C831A" w14:textId="77777777" w:rsidR="006D43F1" w:rsidRPr="00F9691A" w:rsidRDefault="006D43F1" w:rsidP="00F9691A">
      <w:pPr>
        <w:contextualSpacing/>
        <w:rPr>
          <w:rFonts w:eastAsiaTheme="minorHAnsi" w:cs="Arial"/>
          <w:i/>
          <w:iCs/>
          <w:szCs w:val="20"/>
          <w:lang w:eastAsia="fr-FR"/>
        </w:rPr>
      </w:pPr>
      <w:r w:rsidRPr="00F9691A">
        <w:rPr>
          <w:rFonts w:eastAsiaTheme="minorHAnsi" w:cs="Arial"/>
          <w:i/>
          <w:iCs/>
          <w:szCs w:val="20"/>
          <w:lang w:eastAsia="fr-FR"/>
        </w:rPr>
        <w:t xml:space="preserve">Capacités des membres de MONEYVAL - formation et typologies </w:t>
      </w:r>
    </w:p>
    <w:p w14:paraId="77AE6C9C" w14:textId="77777777" w:rsidR="006D43F1" w:rsidRPr="00C36CF5" w:rsidRDefault="006D43F1" w:rsidP="00F9691A">
      <w:pPr>
        <w:contextualSpacing/>
        <w:rPr>
          <w:rFonts w:eastAsiaTheme="minorHAnsi" w:cs="Arial"/>
          <w:szCs w:val="20"/>
          <w:highlight w:val="yellow"/>
          <w:lang w:eastAsia="fr-FR"/>
        </w:rPr>
      </w:pPr>
    </w:p>
    <w:p w14:paraId="798999A6" w14:textId="3A65A3B5"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 xml:space="preserve">Au cours </w:t>
      </w:r>
      <w:r w:rsidR="003D4B52" w:rsidRPr="00F9691A">
        <w:rPr>
          <w:rFonts w:eastAsiaTheme="minorHAnsi" w:cs="Arial"/>
          <w:szCs w:val="20"/>
          <w:lang w:eastAsia="fr-FR"/>
        </w:rPr>
        <w:t>de la pandémie de</w:t>
      </w:r>
      <w:r w:rsidRPr="00F9691A">
        <w:rPr>
          <w:rFonts w:eastAsiaTheme="minorHAnsi" w:cs="Arial"/>
          <w:szCs w:val="20"/>
          <w:lang w:eastAsia="fr-FR"/>
        </w:rPr>
        <w:t xml:space="preserve"> </w:t>
      </w:r>
      <w:r w:rsidR="00A77BDB">
        <w:rPr>
          <w:rFonts w:eastAsiaTheme="minorHAnsi" w:cs="Arial"/>
          <w:szCs w:val="20"/>
          <w:lang w:eastAsia="fr-FR"/>
        </w:rPr>
        <w:t>covid-19</w:t>
      </w:r>
      <w:r w:rsidRPr="00F9691A">
        <w:rPr>
          <w:rFonts w:eastAsiaTheme="minorHAnsi" w:cs="Arial"/>
          <w:szCs w:val="20"/>
          <w:lang w:eastAsia="fr-FR"/>
        </w:rPr>
        <w:t xml:space="preserve">, les </w:t>
      </w:r>
      <w:r w:rsidRPr="00F9691A">
        <w:rPr>
          <w:rFonts w:eastAsiaTheme="minorHAnsi" w:cs="Arial"/>
          <w:b/>
          <w:bCs/>
          <w:szCs w:val="20"/>
          <w:lang w:eastAsia="fr-FR"/>
        </w:rPr>
        <w:t xml:space="preserve">programmes de formation </w:t>
      </w:r>
      <w:r w:rsidRPr="00F9691A">
        <w:rPr>
          <w:rFonts w:eastAsiaTheme="minorHAnsi" w:cs="Arial"/>
          <w:szCs w:val="20"/>
          <w:lang w:eastAsia="fr-FR"/>
        </w:rPr>
        <w:t xml:space="preserve">ont été ajustés pour maximiser l'impact et l'utilité </w:t>
      </w:r>
      <w:r w:rsidR="00A77BDB">
        <w:rPr>
          <w:rFonts w:eastAsiaTheme="minorHAnsi" w:cs="Arial"/>
          <w:szCs w:val="20"/>
          <w:lang w:eastAsia="fr-FR"/>
        </w:rPr>
        <w:t>pour</w:t>
      </w:r>
      <w:r w:rsidRPr="00F9691A">
        <w:rPr>
          <w:rFonts w:eastAsiaTheme="minorHAnsi" w:cs="Arial"/>
          <w:szCs w:val="20"/>
          <w:lang w:eastAsia="fr-FR"/>
        </w:rPr>
        <w:t xml:space="preserve"> MONEYVAL. Les besoins en formation des évaluateurs ont été largement satisfaits par des formations conjointes avec le GAFI. La formation aux normes a été introduite en 2021 par le biais d'un atelier sur mesure basé sur les premières conclusions de l'examen horizontal des évaluations mutuelles de MONEYVAL. Une formation conjointe MONEYVAL/</w:t>
      </w:r>
      <w:r w:rsidR="00466BD0" w:rsidRPr="00F9691A">
        <w:rPr>
          <w:rFonts w:eastAsiaTheme="minorHAnsi" w:cs="Arial"/>
          <w:szCs w:val="20"/>
          <w:lang w:eastAsia="fr-FR"/>
        </w:rPr>
        <w:t>GAFI</w:t>
      </w:r>
      <w:r w:rsidRPr="00F9691A">
        <w:rPr>
          <w:rFonts w:eastAsiaTheme="minorHAnsi" w:cs="Arial"/>
          <w:szCs w:val="20"/>
          <w:lang w:eastAsia="fr-FR"/>
        </w:rPr>
        <w:t xml:space="preserve"> sur les normes a ensuite été organisée en 2022 sur la base d'un programme de l'Institut de formation du GAFI. </w:t>
      </w:r>
    </w:p>
    <w:p w14:paraId="2ED8749C" w14:textId="77777777" w:rsidR="006D43F1" w:rsidRPr="00F9691A" w:rsidRDefault="006D43F1" w:rsidP="00F9691A">
      <w:pPr>
        <w:contextualSpacing/>
        <w:rPr>
          <w:rFonts w:eastAsiaTheme="minorHAnsi" w:cs="Arial"/>
          <w:szCs w:val="20"/>
          <w:lang w:eastAsia="fr-FR"/>
        </w:rPr>
      </w:pPr>
    </w:p>
    <w:p w14:paraId="40FE4F87" w14:textId="6486DA65"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 xml:space="preserve">Entre 2020 et 2022, </w:t>
      </w:r>
      <w:r w:rsidRPr="00F9691A">
        <w:rPr>
          <w:rFonts w:eastAsiaTheme="minorHAnsi" w:cs="Arial"/>
          <w:b/>
          <w:bCs/>
          <w:szCs w:val="20"/>
          <w:lang w:eastAsia="fr-FR"/>
        </w:rPr>
        <w:t xml:space="preserve">les typologies </w:t>
      </w:r>
      <w:r w:rsidR="00466BD0" w:rsidRPr="00F9691A">
        <w:rPr>
          <w:rFonts w:eastAsiaTheme="minorHAnsi" w:cs="Arial"/>
          <w:szCs w:val="20"/>
          <w:lang w:eastAsia="fr-FR"/>
        </w:rPr>
        <w:t>ont</w:t>
      </w:r>
      <w:r w:rsidRPr="00F9691A">
        <w:rPr>
          <w:rFonts w:eastAsiaTheme="minorHAnsi" w:cs="Arial"/>
          <w:szCs w:val="20"/>
          <w:lang w:eastAsia="fr-FR"/>
        </w:rPr>
        <w:t xml:space="preserve"> été largement axé</w:t>
      </w:r>
      <w:r w:rsidR="00466BD0" w:rsidRPr="00F9691A">
        <w:rPr>
          <w:rFonts w:eastAsiaTheme="minorHAnsi" w:cs="Arial"/>
          <w:szCs w:val="20"/>
          <w:lang w:eastAsia="fr-FR"/>
        </w:rPr>
        <w:t>es</w:t>
      </w:r>
      <w:r w:rsidRPr="00F9691A">
        <w:rPr>
          <w:rFonts w:eastAsiaTheme="minorHAnsi" w:cs="Arial"/>
          <w:szCs w:val="20"/>
          <w:lang w:eastAsia="fr-FR"/>
        </w:rPr>
        <w:t xml:space="preserve"> sur le renforcement des capacités. Après une pause de plusieurs années (entre 2014 et 2020), ce programme de travail a été relancé avec succès et a apporté une contribution importante aux travaux du </w:t>
      </w:r>
      <w:r w:rsidR="00466BD0" w:rsidRPr="00F9691A">
        <w:rPr>
          <w:rFonts w:eastAsiaTheme="minorHAnsi" w:cs="Arial"/>
          <w:szCs w:val="20"/>
          <w:lang w:eastAsia="fr-FR"/>
        </w:rPr>
        <w:t>C</w:t>
      </w:r>
      <w:r w:rsidRPr="00F9691A">
        <w:rPr>
          <w:rFonts w:eastAsiaTheme="minorHAnsi" w:cs="Arial"/>
          <w:szCs w:val="20"/>
          <w:lang w:eastAsia="fr-FR"/>
        </w:rPr>
        <w:t xml:space="preserve">omité dans le contexte </w:t>
      </w:r>
      <w:r w:rsidR="00D13A88">
        <w:rPr>
          <w:rFonts w:eastAsiaTheme="minorHAnsi" w:cs="Arial"/>
          <w:szCs w:val="20"/>
          <w:lang w:eastAsia="fr-FR"/>
        </w:rPr>
        <w:t>de la</w:t>
      </w:r>
      <w:r w:rsidR="00466BD0" w:rsidRPr="00F9691A">
        <w:rPr>
          <w:rFonts w:eastAsiaTheme="minorHAnsi" w:cs="Arial"/>
          <w:szCs w:val="20"/>
          <w:lang w:eastAsia="fr-FR"/>
        </w:rPr>
        <w:t xml:space="preserve"> </w:t>
      </w:r>
      <w:r w:rsidR="00D13A88">
        <w:rPr>
          <w:rFonts w:eastAsiaTheme="minorHAnsi" w:cs="Arial"/>
          <w:szCs w:val="20"/>
          <w:lang w:eastAsia="fr-FR"/>
        </w:rPr>
        <w:t>covid-19</w:t>
      </w:r>
      <w:r w:rsidRPr="00F9691A">
        <w:rPr>
          <w:rFonts w:eastAsiaTheme="minorHAnsi" w:cs="Arial"/>
          <w:szCs w:val="20"/>
          <w:lang w:eastAsia="fr-FR"/>
        </w:rPr>
        <w:t>. Les études typologi</w:t>
      </w:r>
      <w:r w:rsidR="00466BD0" w:rsidRPr="00F9691A">
        <w:rPr>
          <w:rFonts w:eastAsiaTheme="minorHAnsi" w:cs="Arial"/>
          <w:szCs w:val="20"/>
          <w:lang w:eastAsia="fr-FR"/>
        </w:rPr>
        <w:t>ques</w:t>
      </w:r>
      <w:r w:rsidRPr="00F9691A">
        <w:rPr>
          <w:rFonts w:eastAsiaTheme="minorHAnsi" w:cs="Arial"/>
          <w:szCs w:val="20"/>
          <w:lang w:eastAsia="fr-FR"/>
        </w:rPr>
        <w:t xml:space="preserve"> se sont concentrées sur les méthodes et les tendances, ainsi que sur les indicateurs permettant aux autorités de gérer les facteurs de risque liés </w:t>
      </w:r>
      <w:r w:rsidR="00D13A88">
        <w:rPr>
          <w:rFonts w:eastAsiaTheme="minorHAnsi" w:cs="Arial"/>
          <w:szCs w:val="20"/>
          <w:lang w:eastAsia="fr-FR"/>
        </w:rPr>
        <w:t>à la covid-19</w:t>
      </w:r>
      <w:r w:rsidRPr="00F9691A">
        <w:rPr>
          <w:rFonts w:eastAsiaTheme="minorHAnsi" w:cs="Arial"/>
          <w:szCs w:val="20"/>
          <w:lang w:eastAsia="fr-FR"/>
        </w:rPr>
        <w:t xml:space="preserve"> </w:t>
      </w:r>
      <w:r w:rsidR="00CB1027" w:rsidRPr="00F9691A">
        <w:rPr>
          <w:rFonts w:eastAsiaTheme="minorHAnsi" w:cs="Arial"/>
          <w:szCs w:val="20"/>
          <w:lang w:eastAsia="fr-FR"/>
        </w:rPr>
        <w:t>de manière</w:t>
      </w:r>
      <w:r w:rsidRPr="00F9691A">
        <w:rPr>
          <w:rFonts w:eastAsiaTheme="minorHAnsi" w:cs="Arial"/>
          <w:szCs w:val="20"/>
          <w:lang w:eastAsia="fr-FR"/>
        </w:rPr>
        <w:t xml:space="preserve"> général</w:t>
      </w:r>
      <w:r w:rsidR="00CB1027" w:rsidRPr="00F9691A">
        <w:rPr>
          <w:rFonts w:eastAsiaTheme="minorHAnsi" w:cs="Arial"/>
          <w:szCs w:val="20"/>
          <w:lang w:eastAsia="fr-FR"/>
        </w:rPr>
        <w:t>e</w:t>
      </w:r>
      <w:r w:rsidRPr="00F9691A">
        <w:rPr>
          <w:rFonts w:eastAsiaTheme="minorHAnsi" w:cs="Arial"/>
          <w:szCs w:val="20"/>
          <w:lang w:eastAsia="fr-FR"/>
        </w:rPr>
        <w:t xml:space="preserve">, et plus particulièrement dans le domaine de la </w:t>
      </w:r>
      <w:r w:rsidR="00D13A88">
        <w:rPr>
          <w:rFonts w:eastAsiaTheme="minorHAnsi" w:cs="Arial"/>
          <w:szCs w:val="20"/>
          <w:lang w:eastAsia="fr-FR"/>
        </w:rPr>
        <w:t>supervision</w:t>
      </w:r>
      <w:r w:rsidRPr="00F9691A">
        <w:rPr>
          <w:rFonts w:eastAsiaTheme="minorHAnsi" w:cs="Arial"/>
          <w:szCs w:val="20"/>
          <w:lang w:eastAsia="fr-FR"/>
        </w:rPr>
        <w:t xml:space="preserve"> financière. Les études typologiques ont été fréquemment reprises par les médias et ont apporté une </w:t>
      </w:r>
      <w:r w:rsidRPr="00F9691A">
        <w:rPr>
          <w:rFonts w:eastAsiaTheme="minorHAnsi" w:cs="Arial"/>
          <w:b/>
          <w:bCs/>
          <w:szCs w:val="20"/>
          <w:lang w:eastAsia="fr-FR"/>
        </w:rPr>
        <w:t xml:space="preserve">visibilité </w:t>
      </w:r>
      <w:r w:rsidRPr="00F9691A">
        <w:rPr>
          <w:rFonts w:eastAsiaTheme="minorHAnsi" w:cs="Arial"/>
          <w:szCs w:val="20"/>
          <w:lang w:eastAsia="fr-FR"/>
        </w:rPr>
        <w:t xml:space="preserve">supplémentaire importante au Comité. Depuis 2022, l'utilisation des typologies a été élargie afin d'établir une coopération institutionnelle avec d'autres </w:t>
      </w:r>
      <w:r w:rsidR="00CB1027" w:rsidRPr="00F9691A">
        <w:rPr>
          <w:rFonts w:eastAsiaTheme="minorHAnsi" w:cs="Arial"/>
          <w:szCs w:val="20"/>
          <w:lang w:eastAsia="fr-FR"/>
        </w:rPr>
        <w:t>C</w:t>
      </w:r>
      <w:r w:rsidRPr="00F9691A">
        <w:rPr>
          <w:rFonts w:eastAsiaTheme="minorHAnsi" w:cs="Arial"/>
          <w:szCs w:val="20"/>
          <w:lang w:eastAsia="fr-FR"/>
        </w:rPr>
        <w:t xml:space="preserve">omités du Conseil de l'Europe, en particulier dans le domaine de la cybercriminalité (en ce qui concerne la recherche sur les actifs virtuels). </w:t>
      </w:r>
    </w:p>
    <w:p w14:paraId="773DB320" w14:textId="77777777" w:rsidR="006D43F1" w:rsidRPr="00C36CF5" w:rsidRDefault="006D43F1" w:rsidP="00F9691A">
      <w:pPr>
        <w:contextualSpacing/>
        <w:rPr>
          <w:rFonts w:eastAsiaTheme="minorHAnsi" w:cs="Arial"/>
          <w:szCs w:val="20"/>
          <w:highlight w:val="yellow"/>
          <w:lang w:eastAsia="fr-FR"/>
        </w:rPr>
      </w:pPr>
    </w:p>
    <w:p w14:paraId="150DBE9A" w14:textId="2B73AE63" w:rsidR="006D43F1" w:rsidRPr="00F9691A" w:rsidRDefault="006D43F1" w:rsidP="00F9691A">
      <w:pPr>
        <w:rPr>
          <w:rFonts w:eastAsiaTheme="minorHAnsi" w:cs="Arial"/>
          <w:i/>
          <w:iCs/>
          <w:szCs w:val="20"/>
          <w:lang w:eastAsia="fr-FR"/>
        </w:rPr>
      </w:pPr>
      <w:r w:rsidRPr="00F9691A">
        <w:rPr>
          <w:rFonts w:eastAsiaTheme="minorHAnsi" w:cs="Arial"/>
          <w:i/>
          <w:iCs/>
          <w:szCs w:val="20"/>
          <w:lang w:eastAsia="fr-FR"/>
        </w:rPr>
        <w:t xml:space="preserve">Renforcer la participation de MONEYVAL au réseau mondial de </w:t>
      </w:r>
      <w:r w:rsidR="00CB1027" w:rsidRPr="00F9691A">
        <w:rPr>
          <w:rFonts w:eastAsiaTheme="minorHAnsi" w:cs="Arial"/>
          <w:i/>
          <w:iCs/>
          <w:szCs w:val="20"/>
          <w:lang w:eastAsia="fr-FR"/>
        </w:rPr>
        <w:t>LBC/FT</w:t>
      </w:r>
    </w:p>
    <w:p w14:paraId="4B55C3AE" w14:textId="77777777" w:rsidR="006D43F1" w:rsidRPr="00F9691A" w:rsidRDefault="006D43F1" w:rsidP="00F9691A">
      <w:pPr>
        <w:contextualSpacing/>
        <w:rPr>
          <w:rFonts w:eastAsiaTheme="minorHAnsi" w:cs="Arial"/>
          <w:szCs w:val="20"/>
          <w:lang w:eastAsia="fr-FR"/>
        </w:rPr>
      </w:pPr>
    </w:p>
    <w:p w14:paraId="3440CAB8" w14:textId="43EB9D3E"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MONEYVAL a obtenu des résultats importants dans l'élargissement de son engagement et de son rôle au sein du réseau mondial en promouvant plusieurs initiatives stratégiques visant à réformer les relations entre le GAFI et les organismes régionaux de type GAFI (</w:t>
      </w:r>
      <w:r w:rsidR="00CB1027" w:rsidRPr="00F9691A">
        <w:rPr>
          <w:rFonts w:eastAsiaTheme="minorHAnsi" w:cs="Arial"/>
          <w:szCs w:val="20"/>
          <w:lang w:eastAsia="fr-FR"/>
        </w:rPr>
        <w:t>ORTG</w:t>
      </w:r>
      <w:r w:rsidRPr="00F9691A">
        <w:rPr>
          <w:rFonts w:eastAsiaTheme="minorHAnsi" w:cs="Arial"/>
          <w:szCs w:val="20"/>
          <w:lang w:eastAsia="fr-FR"/>
        </w:rPr>
        <w:t xml:space="preserve">). Il s'agit notamment de la création d'un mécanisme de </w:t>
      </w:r>
      <w:r w:rsidR="002E6C1B">
        <w:rPr>
          <w:rFonts w:eastAsiaTheme="minorHAnsi" w:cs="Arial"/>
          <w:szCs w:val="20"/>
          <w:lang w:eastAsia="fr-FR"/>
        </w:rPr>
        <w:t>« </w:t>
      </w:r>
      <w:r w:rsidRPr="00F9691A">
        <w:rPr>
          <w:rFonts w:eastAsiaTheme="minorHAnsi" w:cs="Arial"/>
          <w:szCs w:val="20"/>
          <w:lang w:eastAsia="fr-FR"/>
        </w:rPr>
        <w:t>retour d'information</w:t>
      </w:r>
      <w:r w:rsidR="002E6C1B">
        <w:rPr>
          <w:rFonts w:eastAsiaTheme="minorHAnsi" w:cs="Arial"/>
          <w:szCs w:val="20"/>
          <w:lang w:eastAsia="fr-FR"/>
        </w:rPr>
        <w:t> »</w:t>
      </w:r>
      <w:r w:rsidRPr="00F9691A">
        <w:rPr>
          <w:rFonts w:eastAsiaTheme="minorHAnsi" w:cs="Arial"/>
          <w:szCs w:val="20"/>
          <w:lang w:eastAsia="fr-FR"/>
        </w:rPr>
        <w:t xml:space="preserve"> permettant aux </w:t>
      </w:r>
      <w:r w:rsidR="00CB1027" w:rsidRPr="00F9691A">
        <w:rPr>
          <w:rFonts w:eastAsiaTheme="minorHAnsi" w:cs="Arial"/>
          <w:szCs w:val="20"/>
          <w:lang w:eastAsia="fr-FR"/>
        </w:rPr>
        <w:t>ORTG</w:t>
      </w:r>
      <w:r w:rsidRPr="00F9691A">
        <w:rPr>
          <w:rFonts w:eastAsiaTheme="minorHAnsi" w:cs="Arial"/>
          <w:szCs w:val="20"/>
          <w:lang w:eastAsia="fr-FR"/>
        </w:rPr>
        <w:t xml:space="preserve"> de demander au GAFI une interprétation des normes mondiales. Ce mécanisme a déjà été activé deux fois par MONEYVAL, ce qui a entraîné des changements dans les recommandations du GAFI. En outre, une initiative conjointe de MONEYVAL et d'autres </w:t>
      </w:r>
      <w:r w:rsidR="00CB1027" w:rsidRPr="00F9691A">
        <w:rPr>
          <w:rFonts w:eastAsiaTheme="minorHAnsi" w:cs="Arial"/>
          <w:szCs w:val="20"/>
          <w:lang w:eastAsia="fr-FR"/>
        </w:rPr>
        <w:t>ORTG</w:t>
      </w:r>
      <w:r w:rsidRPr="00F9691A">
        <w:rPr>
          <w:rFonts w:eastAsiaTheme="minorHAnsi" w:cs="Arial"/>
          <w:szCs w:val="20"/>
          <w:lang w:eastAsia="fr-FR"/>
        </w:rPr>
        <w:t xml:space="preserve"> a été lancée pour développer et mettre en œuvre une nouvelle vision stratégique globale, envisageant un degré plus élevé d'intégration entre les organismes d'évaluation et l'influence des </w:t>
      </w:r>
      <w:r w:rsidR="00CB1027" w:rsidRPr="00F9691A">
        <w:rPr>
          <w:rFonts w:eastAsiaTheme="minorHAnsi" w:cs="Arial"/>
          <w:szCs w:val="20"/>
          <w:lang w:eastAsia="fr-FR"/>
        </w:rPr>
        <w:t>ORTG</w:t>
      </w:r>
      <w:r w:rsidRPr="00F9691A">
        <w:rPr>
          <w:rFonts w:eastAsiaTheme="minorHAnsi" w:cs="Arial"/>
          <w:szCs w:val="20"/>
          <w:lang w:eastAsia="fr-FR"/>
        </w:rPr>
        <w:t xml:space="preserve"> sur le GAFI. Ce projet de longue date sera mis en œuvre tout au long de la période 2022-2024. </w:t>
      </w:r>
    </w:p>
    <w:p w14:paraId="34ADCCE3" w14:textId="77777777" w:rsidR="006D43F1" w:rsidRPr="00F9691A" w:rsidRDefault="006D43F1" w:rsidP="00F9691A">
      <w:pPr>
        <w:contextualSpacing/>
        <w:rPr>
          <w:rFonts w:eastAsiaTheme="minorHAnsi" w:cs="Arial"/>
          <w:szCs w:val="20"/>
          <w:lang w:eastAsia="fr-FR"/>
        </w:rPr>
      </w:pPr>
    </w:p>
    <w:p w14:paraId="0A99E45A" w14:textId="220E1706"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 xml:space="preserve">La coopération avec les autres </w:t>
      </w:r>
      <w:r w:rsidR="00FF5FBE" w:rsidRPr="00F9691A">
        <w:rPr>
          <w:rFonts w:eastAsiaTheme="minorHAnsi" w:cs="Arial"/>
          <w:szCs w:val="20"/>
          <w:lang w:eastAsia="fr-FR"/>
        </w:rPr>
        <w:t>ORTG</w:t>
      </w:r>
      <w:r w:rsidRPr="00F9691A">
        <w:rPr>
          <w:rFonts w:eastAsiaTheme="minorHAnsi" w:cs="Arial"/>
          <w:szCs w:val="20"/>
          <w:lang w:eastAsia="fr-FR"/>
        </w:rPr>
        <w:t xml:space="preserve"> s'est développée grâce à l'engagement de MONEYVAL dans l'examen des rapports d'évaluation mutuelle et des consultations sur les questions stratégiques. Des discussions initiales ont eu lieu entre les </w:t>
      </w:r>
      <w:r w:rsidR="00FF5FBE" w:rsidRPr="00F9691A">
        <w:rPr>
          <w:rFonts w:eastAsiaTheme="minorHAnsi" w:cs="Arial"/>
          <w:szCs w:val="20"/>
          <w:lang w:eastAsia="fr-FR"/>
        </w:rPr>
        <w:t>ORTG</w:t>
      </w:r>
      <w:r w:rsidRPr="00F9691A">
        <w:rPr>
          <w:rFonts w:eastAsiaTheme="minorHAnsi" w:cs="Arial"/>
          <w:szCs w:val="20"/>
          <w:lang w:eastAsia="fr-FR"/>
        </w:rPr>
        <w:t xml:space="preserve"> pour accroître l'enrichissement mutuel en partageant des évaluateurs et en échangeant du personnel de secrétariat pour l</w:t>
      </w:r>
      <w:r w:rsidR="000727F5">
        <w:rPr>
          <w:rFonts w:eastAsiaTheme="minorHAnsi" w:cs="Arial"/>
          <w:szCs w:val="20"/>
          <w:lang w:eastAsia="fr-FR"/>
        </w:rPr>
        <w:t>eurs</w:t>
      </w:r>
      <w:r w:rsidRPr="00F9691A">
        <w:rPr>
          <w:rFonts w:eastAsiaTheme="minorHAnsi" w:cs="Arial"/>
          <w:szCs w:val="20"/>
          <w:lang w:eastAsia="fr-FR"/>
        </w:rPr>
        <w:t xml:space="preserve"> évaluations</w:t>
      </w:r>
      <w:r w:rsidR="000727F5">
        <w:rPr>
          <w:rFonts w:eastAsiaTheme="minorHAnsi" w:cs="Arial"/>
          <w:szCs w:val="20"/>
          <w:lang w:eastAsia="fr-FR"/>
        </w:rPr>
        <w:t xml:space="preserve"> respectives</w:t>
      </w:r>
      <w:r w:rsidRPr="00F9691A">
        <w:rPr>
          <w:rFonts w:eastAsiaTheme="minorHAnsi" w:cs="Arial"/>
          <w:szCs w:val="20"/>
          <w:lang w:eastAsia="fr-FR"/>
        </w:rPr>
        <w:t xml:space="preserve">. </w:t>
      </w:r>
    </w:p>
    <w:p w14:paraId="4CDA19E6" w14:textId="77777777" w:rsidR="006D43F1" w:rsidRPr="00F9691A" w:rsidRDefault="006D43F1" w:rsidP="00F9691A">
      <w:pPr>
        <w:contextualSpacing/>
        <w:rPr>
          <w:rFonts w:eastAsiaTheme="minorHAnsi" w:cs="Arial"/>
          <w:szCs w:val="20"/>
          <w:lang w:eastAsia="fr-FR"/>
        </w:rPr>
      </w:pPr>
    </w:p>
    <w:p w14:paraId="66207826" w14:textId="38DE8551" w:rsidR="006D43F1" w:rsidRPr="00F9691A" w:rsidRDefault="006D43F1" w:rsidP="00F9691A">
      <w:pPr>
        <w:contextualSpacing/>
        <w:rPr>
          <w:rFonts w:eastAsiaTheme="minorHAnsi" w:cs="Arial"/>
          <w:szCs w:val="20"/>
          <w:lang w:eastAsia="fr-FR"/>
        </w:rPr>
      </w:pPr>
      <w:r w:rsidRPr="00F9691A">
        <w:rPr>
          <w:rFonts w:eastAsiaTheme="minorHAnsi" w:cs="Arial"/>
          <w:szCs w:val="20"/>
          <w:lang w:eastAsia="fr-FR"/>
        </w:rPr>
        <w:t xml:space="preserve">MONEYVAL a développé des relations concrètes avec ses homologues du Conseil de l'Europe dans les domaines de la protection des données, de la lutte contre le terrorisme, de la cybercriminalité, des droits </w:t>
      </w:r>
      <w:r w:rsidR="00FF5FBE" w:rsidRPr="00F9691A">
        <w:rPr>
          <w:rFonts w:eastAsiaTheme="minorHAnsi" w:cs="Arial"/>
          <w:szCs w:val="20"/>
          <w:lang w:eastAsia="fr-FR"/>
        </w:rPr>
        <w:t>humains</w:t>
      </w:r>
      <w:r w:rsidRPr="00F9691A">
        <w:rPr>
          <w:rFonts w:eastAsiaTheme="minorHAnsi" w:cs="Arial"/>
          <w:szCs w:val="20"/>
          <w:lang w:eastAsia="fr-FR"/>
        </w:rPr>
        <w:t xml:space="preserve"> et de la réglementation des organisations à but non lucratif, notamment en ce qui concerne les conséquences </w:t>
      </w:r>
      <w:r w:rsidR="005A5104">
        <w:rPr>
          <w:rFonts w:eastAsiaTheme="minorHAnsi" w:cs="Arial"/>
          <w:szCs w:val="20"/>
          <w:lang w:eastAsia="fr-FR"/>
        </w:rPr>
        <w:t>non souhaitées</w:t>
      </w:r>
      <w:r w:rsidRPr="00F9691A">
        <w:rPr>
          <w:rFonts w:eastAsiaTheme="minorHAnsi" w:cs="Arial"/>
          <w:szCs w:val="20"/>
          <w:lang w:eastAsia="fr-FR"/>
        </w:rPr>
        <w:t xml:space="preserve"> des normes du GAFI, ainsi que dans d'autres domaines. Il en résulte des synergies uniques qui profitent à MONEYVAL </w:t>
      </w:r>
      <w:r w:rsidR="0025168A">
        <w:rPr>
          <w:rFonts w:eastAsiaTheme="minorHAnsi" w:cs="Arial"/>
          <w:szCs w:val="20"/>
          <w:lang w:eastAsia="fr-FR"/>
        </w:rPr>
        <w:t>ainsi qu’</w:t>
      </w:r>
      <w:r w:rsidRPr="00F9691A">
        <w:rPr>
          <w:rFonts w:eastAsiaTheme="minorHAnsi" w:cs="Arial"/>
          <w:szCs w:val="20"/>
          <w:lang w:eastAsia="fr-FR"/>
        </w:rPr>
        <w:t xml:space="preserve">au Conseil de l'Europe dans son ensemble. Le </w:t>
      </w:r>
      <w:r w:rsidR="00734F49" w:rsidRPr="00F9691A">
        <w:rPr>
          <w:rFonts w:eastAsiaTheme="minorHAnsi" w:cs="Arial"/>
          <w:szCs w:val="20"/>
          <w:lang w:eastAsia="fr-FR"/>
        </w:rPr>
        <w:t>C</w:t>
      </w:r>
      <w:r w:rsidRPr="00F9691A">
        <w:rPr>
          <w:rFonts w:eastAsiaTheme="minorHAnsi" w:cs="Arial"/>
          <w:szCs w:val="20"/>
          <w:lang w:eastAsia="fr-FR"/>
        </w:rPr>
        <w:t>omité a également facilité la création de nouvelles synergies entre les entités intéressées du Conseil de l'Europe et le GAFI, et a soutenu la demande d'observateur du Conseil de l'Europe auprès du GAFI, qui a été acceptée. MONEYVAL continue à donner la priorité à l'engagement auprès de la Conférence des Parties à la Convention STCE 198 et promeut activement ses normes au niveau mondial du GAFI.</w:t>
      </w:r>
    </w:p>
    <w:p w14:paraId="06AE43B8" w14:textId="77777777" w:rsidR="006D43F1" w:rsidRPr="00C36CF5" w:rsidRDefault="006D43F1" w:rsidP="00F9691A">
      <w:pPr>
        <w:contextualSpacing/>
        <w:rPr>
          <w:rFonts w:eastAsiaTheme="minorHAnsi" w:cs="Arial"/>
          <w:szCs w:val="20"/>
          <w:highlight w:val="yellow"/>
          <w:lang w:eastAsia="fr-FR"/>
        </w:rPr>
      </w:pPr>
    </w:p>
    <w:p w14:paraId="66688B42" w14:textId="77777777" w:rsidR="006D43F1" w:rsidRPr="00F9691A" w:rsidRDefault="006D43F1" w:rsidP="00F9691A">
      <w:pPr>
        <w:rPr>
          <w:rFonts w:eastAsiaTheme="minorHAnsi" w:cs="Arial"/>
          <w:i/>
          <w:iCs/>
          <w:szCs w:val="20"/>
          <w:lang w:eastAsia="fr-FR"/>
        </w:rPr>
      </w:pPr>
      <w:r w:rsidRPr="00F9691A">
        <w:rPr>
          <w:rFonts w:eastAsiaTheme="minorHAnsi" w:cs="Arial"/>
          <w:i/>
          <w:iCs/>
          <w:szCs w:val="20"/>
          <w:lang w:eastAsia="fr-FR"/>
        </w:rPr>
        <w:t>Renforcer la position politique de MONEYVAL</w:t>
      </w:r>
    </w:p>
    <w:p w14:paraId="53B363A1" w14:textId="77777777" w:rsidR="006D43F1" w:rsidRPr="00F9691A" w:rsidRDefault="006D43F1" w:rsidP="00F9691A">
      <w:pPr>
        <w:contextualSpacing/>
        <w:rPr>
          <w:rFonts w:eastAsiaTheme="minorHAnsi" w:cs="Arial"/>
          <w:szCs w:val="20"/>
          <w:lang w:eastAsia="fr-FR"/>
        </w:rPr>
      </w:pPr>
    </w:p>
    <w:p w14:paraId="2401EC9C" w14:textId="17D2B561" w:rsidR="006D43F1" w:rsidRPr="0089480A" w:rsidRDefault="006D43F1" w:rsidP="00F9691A">
      <w:pPr>
        <w:contextualSpacing/>
        <w:rPr>
          <w:rFonts w:eastAsiaTheme="minorHAnsi" w:cs="Arial"/>
          <w:szCs w:val="20"/>
          <w:lang w:eastAsia="fr-FR"/>
        </w:rPr>
      </w:pPr>
      <w:r w:rsidRPr="00F9691A">
        <w:rPr>
          <w:rFonts w:eastAsiaTheme="minorHAnsi" w:cs="Arial"/>
          <w:szCs w:val="20"/>
          <w:lang w:eastAsia="fr-FR"/>
        </w:rPr>
        <w:t xml:space="preserve">L'engagement politique et la visibilité de MONEYVAL se sont accrus, notamment grâce à un engagement de haut niveau avec les gouvernements nationaux faisant l'objet d'évaluations mutuelles. Des consultations stratégiques avec les ministres responsables des questions de LBC/FT </w:t>
      </w:r>
      <w:r w:rsidR="00FC1764">
        <w:rPr>
          <w:rFonts w:eastAsiaTheme="minorHAnsi" w:cs="Arial"/>
          <w:szCs w:val="20"/>
          <w:lang w:eastAsia="fr-FR"/>
        </w:rPr>
        <w:t>ont été initiées</w:t>
      </w:r>
      <w:r w:rsidRPr="00F9691A">
        <w:rPr>
          <w:rFonts w:eastAsiaTheme="minorHAnsi" w:cs="Arial"/>
          <w:szCs w:val="20"/>
          <w:lang w:eastAsia="fr-FR"/>
        </w:rPr>
        <w:t xml:space="preserve"> afin de discuter et d'adopter la nouvelle stratégie</w:t>
      </w:r>
      <w:r w:rsidR="00FC1764">
        <w:rPr>
          <w:rFonts w:eastAsiaTheme="minorHAnsi" w:cs="Arial"/>
          <w:szCs w:val="20"/>
          <w:lang w:eastAsia="fr-FR"/>
        </w:rPr>
        <w:t xml:space="preserve"> en 2023</w:t>
      </w:r>
      <w:r w:rsidRPr="00F9691A">
        <w:rPr>
          <w:rFonts w:eastAsiaTheme="minorHAnsi" w:cs="Arial"/>
          <w:szCs w:val="20"/>
          <w:lang w:eastAsia="fr-FR"/>
        </w:rPr>
        <w:t xml:space="preserve">, de convenir d'engagements stratégiques en matière de ressources en ce qui concerne MONEYVAL et les paramètres de son engagement croissant dans le réseau mondial. </w:t>
      </w:r>
    </w:p>
    <w:p w14:paraId="7F873D77" w14:textId="52AAC652" w:rsidR="0089480A" w:rsidRPr="00F9691A" w:rsidRDefault="0089480A" w:rsidP="00F9691A">
      <w:pPr>
        <w:contextualSpacing/>
        <w:rPr>
          <w:rFonts w:eastAsiaTheme="minorHAnsi" w:cs="Arial"/>
          <w:b/>
          <w:bCs/>
          <w:szCs w:val="20"/>
          <w:lang w:eastAsia="fr-FR"/>
        </w:rPr>
      </w:pPr>
      <w:r w:rsidRPr="00F9691A">
        <w:rPr>
          <w:rFonts w:eastAsiaTheme="minorHAnsi" w:cs="Arial"/>
          <w:b/>
          <w:bCs/>
          <w:szCs w:val="20"/>
          <w:lang w:eastAsia="fr-FR"/>
        </w:rPr>
        <w:lastRenderedPageBreak/>
        <w:t>1.3</w:t>
      </w:r>
      <w:r w:rsidR="00625A70">
        <w:rPr>
          <w:rFonts w:eastAsiaTheme="minorHAnsi" w:cs="Arial"/>
          <w:b/>
          <w:bCs/>
          <w:szCs w:val="20"/>
          <w:lang w:eastAsia="fr-FR"/>
        </w:rPr>
        <w:tab/>
      </w:r>
      <w:r w:rsidRPr="00F9691A">
        <w:rPr>
          <w:rFonts w:eastAsiaTheme="minorHAnsi" w:cs="Arial"/>
          <w:b/>
          <w:bCs/>
          <w:szCs w:val="20"/>
          <w:lang w:eastAsia="fr-FR"/>
        </w:rPr>
        <w:t>Préparation de la stratégie pour 2023-2027</w:t>
      </w:r>
    </w:p>
    <w:p w14:paraId="024DEFC0" w14:textId="77777777" w:rsidR="0089480A" w:rsidRPr="00C36CF5" w:rsidRDefault="0089480A" w:rsidP="00F9691A">
      <w:pPr>
        <w:contextualSpacing/>
        <w:rPr>
          <w:rFonts w:eastAsiaTheme="minorHAnsi" w:cs="Arial"/>
          <w:szCs w:val="20"/>
          <w:highlight w:val="yellow"/>
          <w:lang w:eastAsia="fr-FR"/>
        </w:rPr>
      </w:pPr>
    </w:p>
    <w:p w14:paraId="02F3536C" w14:textId="5113AA39" w:rsidR="0089480A" w:rsidRPr="00FC1764" w:rsidRDefault="0089480A" w:rsidP="00F9691A">
      <w:pPr>
        <w:contextualSpacing/>
        <w:rPr>
          <w:rFonts w:eastAsiaTheme="minorHAnsi" w:cs="Arial"/>
          <w:szCs w:val="20"/>
          <w:lang w:eastAsia="fr-FR"/>
        </w:rPr>
      </w:pPr>
      <w:r w:rsidRPr="00F9691A">
        <w:rPr>
          <w:rFonts w:eastAsiaTheme="minorHAnsi" w:cs="Arial"/>
          <w:szCs w:val="20"/>
          <w:lang w:eastAsia="fr-FR"/>
        </w:rPr>
        <w:t xml:space="preserve">La mise en œuvre de la stratégie 2020-2022 a permis à MONEYVAL, à ses organes directeurs et à son Secrétariat d'acquérir davantage d'expérience en matière de planification stratégique, préparant ainsi le terrain pour </w:t>
      </w:r>
      <w:r w:rsidR="00D06ECD">
        <w:rPr>
          <w:rFonts w:eastAsiaTheme="minorHAnsi" w:cs="Arial"/>
          <w:szCs w:val="20"/>
          <w:lang w:eastAsia="fr-FR"/>
        </w:rPr>
        <w:t>l’élaboration</w:t>
      </w:r>
      <w:r w:rsidRPr="00F9691A">
        <w:rPr>
          <w:rFonts w:eastAsiaTheme="minorHAnsi" w:cs="Arial"/>
          <w:szCs w:val="20"/>
          <w:lang w:eastAsia="fr-FR"/>
        </w:rPr>
        <w:t xml:space="preserve"> de la nouvelle stratégie pour la période 2023-2027. Un groupe stratégique dédié a été créé et s'est réuni en octobre 2022 à cette fin. Ses discussions se sont basées sur une analyse détaillée des forces, faiblesses, opportunités et menaces de MONEYVAL (SWOT), tout en tenant compte des capacités de ressources du Comité et du potentiel soutien extrabudgétaire </w:t>
      </w:r>
      <w:r w:rsidR="00EA4604">
        <w:rPr>
          <w:rFonts w:eastAsiaTheme="minorHAnsi" w:cs="Arial"/>
          <w:szCs w:val="20"/>
          <w:lang w:eastAsia="fr-FR"/>
        </w:rPr>
        <w:t>de la part des</w:t>
      </w:r>
      <w:r w:rsidRPr="00FC1764">
        <w:rPr>
          <w:rFonts w:eastAsiaTheme="minorHAnsi" w:cs="Arial"/>
          <w:szCs w:val="20"/>
          <w:lang w:eastAsia="fr-FR"/>
        </w:rPr>
        <w:t xml:space="preserve"> membres. </w:t>
      </w:r>
    </w:p>
    <w:p w14:paraId="4BD41254" w14:textId="77777777" w:rsidR="0089480A" w:rsidRPr="00FC1764" w:rsidRDefault="0089480A" w:rsidP="00F9691A">
      <w:pPr>
        <w:contextualSpacing/>
        <w:rPr>
          <w:rFonts w:eastAsiaTheme="minorHAnsi" w:cs="Arial"/>
          <w:szCs w:val="20"/>
          <w:lang w:eastAsia="fr-FR"/>
        </w:rPr>
      </w:pPr>
    </w:p>
    <w:p w14:paraId="21D004EB" w14:textId="7A761F5A" w:rsidR="0089480A" w:rsidRPr="00FC1764" w:rsidRDefault="0089480A" w:rsidP="00F9691A">
      <w:pPr>
        <w:contextualSpacing/>
        <w:rPr>
          <w:rFonts w:eastAsiaTheme="minorHAnsi" w:cs="Arial"/>
          <w:szCs w:val="20"/>
          <w:lang w:eastAsia="fr-FR"/>
        </w:rPr>
      </w:pPr>
      <w:r w:rsidRPr="00FC1764">
        <w:rPr>
          <w:rFonts w:eastAsiaTheme="minorHAnsi" w:cs="Arial"/>
          <w:szCs w:val="20"/>
          <w:lang w:eastAsia="fr-FR"/>
        </w:rPr>
        <w:t xml:space="preserve">Le projet de stratégie qui en résulte vise à développer MONEYVAL conformément à cinq piliers stratégiques, liés à : la poursuite de l’amélioration des mécanismes de suivi de MONEYVAL; le renforcement du rôle du Comité en tant que point de référence pour les questions de LBC/FT </w:t>
      </w:r>
      <w:r w:rsidR="00176323">
        <w:rPr>
          <w:rFonts w:eastAsiaTheme="minorHAnsi" w:cs="Arial"/>
          <w:szCs w:val="20"/>
          <w:lang w:eastAsia="fr-FR"/>
        </w:rPr>
        <w:t xml:space="preserve">au niveau régional </w:t>
      </w:r>
      <w:r w:rsidRPr="00FC1764">
        <w:rPr>
          <w:rFonts w:eastAsiaTheme="minorHAnsi" w:cs="Arial"/>
          <w:szCs w:val="20"/>
          <w:lang w:eastAsia="fr-FR"/>
        </w:rPr>
        <w:t xml:space="preserve">; le renforcement de son rôle dans le réseau mondial du GAFI; la poursuite du développement des synergies au sein du Conseil de l'Europe; le développement de la position politique et de la visibilité médiatique de MONEYVAL; et le renforcement des ressources du Comité. </w:t>
      </w:r>
    </w:p>
    <w:p w14:paraId="4459667D" w14:textId="77777777" w:rsidR="0089480A" w:rsidRPr="00FC1764" w:rsidRDefault="0089480A" w:rsidP="00F9691A">
      <w:pPr>
        <w:contextualSpacing/>
        <w:rPr>
          <w:rFonts w:eastAsiaTheme="minorHAnsi" w:cs="Arial"/>
          <w:szCs w:val="20"/>
          <w:lang w:eastAsia="fr-FR"/>
        </w:rPr>
      </w:pPr>
    </w:p>
    <w:p w14:paraId="34BDAF50" w14:textId="7AB3EA25" w:rsidR="0089480A" w:rsidRDefault="0089480A" w:rsidP="00F9691A">
      <w:pPr>
        <w:contextualSpacing/>
        <w:rPr>
          <w:rFonts w:eastAsiaTheme="minorHAnsi" w:cs="Arial"/>
          <w:szCs w:val="20"/>
          <w:lang w:eastAsia="fr-FR"/>
        </w:rPr>
      </w:pPr>
      <w:r w:rsidRPr="00FC1764">
        <w:rPr>
          <w:rFonts w:eastAsiaTheme="minorHAnsi" w:cs="Arial"/>
          <w:szCs w:val="20"/>
          <w:lang w:eastAsia="fr-FR"/>
        </w:rPr>
        <w:t xml:space="preserve">La nouvelle stratégie </w:t>
      </w:r>
      <w:r w:rsidR="00FC1764">
        <w:rPr>
          <w:rFonts w:eastAsiaTheme="minorHAnsi" w:cs="Arial"/>
          <w:szCs w:val="20"/>
          <w:lang w:eastAsia="fr-FR"/>
        </w:rPr>
        <w:t xml:space="preserve">et une déclaration ont </w:t>
      </w:r>
      <w:r w:rsidRPr="00FC1764">
        <w:rPr>
          <w:rFonts w:eastAsiaTheme="minorHAnsi" w:cs="Arial"/>
          <w:szCs w:val="20"/>
          <w:lang w:eastAsia="fr-FR"/>
        </w:rPr>
        <w:t xml:space="preserve">été </w:t>
      </w:r>
      <w:r w:rsidR="00F9691A">
        <w:rPr>
          <w:rFonts w:eastAsiaTheme="minorHAnsi" w:cs="Arial"/>
          <w:szCs w:val="20"/>
          <w:lang w:eastAsia="fr-FR"/>
        </w:rPr>
        <w:t xml:space="preserve">adoptées </w:t>
      </w:r>
      <w:r w:rsidRPr="00FC1764">
        <w:rPr>
          <w:rFonts w:eastAsiaTheme="minorHAnsi" w:cs="Arial"/>
          <w:szCs w:val="20"/>
          <w:lang w:eastAsia="fr-FR"/>
        </w:rPr>
        <w:t>lors de la réunion de haut niveau à Varsovie (Pologne) le 25 avril 2023</w:t>
      </w:r>
      <w:r w:rsidRPr="0089480A">
        <w:rPr>
          <w:rFonts w:eastAsiaTheme="minorHAnsi" w:cs="Arial"/>
          <w:szCs w:val="20"/>
          <w:lang w:eastAsia="fr-FR"/>
        </w:rPr>
        <w:t>.</w:t>
      </w:r>
      <w:r w:rsidR="00F9691A">
        <w:rPr>
          <w:rStyle w:val="FootnoteReference"/>
          <w:rFonts w:eastAsiaTheme="minorHAnsi" w:cs="Arial"/>
          <w:szCs w:val="20"/>
          <w:lang w:eastAsia="fr-FR"/>
        </w:rPr>
        <w:footnoteReference w:id="3"/>
      </w:r>
    </w:p>
    <w:p w14:paraId="1B8E5781" w14:textId="77777777" w:rsidR="0089480A" w:rsidRPr="00FC1764" w:rsidRDefault="0089480A" w:rsidP="006D43F1">
      <w:pPr>
        <w:contextualSpacing/>
        <w:jc w:val="both"/>
        <w:rPr>
          <w:rFonts w:eastAsiaTheme="minorHAnsi" w:cs="Arial"/>
          <w:szCs w:val="20"/>
          <w:lang w:eastAsia="fr-FR"/>
        </w:rPr>
      </w:pPr>
    </w:p>
    <w:p w14:paraId="15F677CC" w14:textId="77777777" w:rsidR="0089480A" w:rsidRPr="00F935E7" w:rsidRDefault="0089480A" w:rsidP="0089480A">
      <w:pPr>
        <w:pStyle w:val="Heading1"/>
        <w:numPr>
          <w:ilvl w:val="0"/>
          <w:numId w:val="35"/>
        </w:numPr>
        <w:spacing w:before="0"/>
        <w:ind w:left="720" w:hanging="720"/>
        <w:rPr>
          <w:rFonts w:ascii="Arial" w:eastAsiaTheme="minorHAnsi" w:hAnsi="Arial" w:cs="Times New Roman"/>
          <w:b/>
          <w:bCs/>
          <w:color w:val="auto"/>
          <w:kern w:val="28"/>
          <w:sz w:val="20"/>
          <w:szCs w:val="20"/>
          <w:lang w:val="fr-FR"/>
        </w:rPr>
      </w:pPr>
      <w:bookmarkStart w:id="140" w:name="_Toc135222708"/>
      <w:bookmarkStart w:id="141" w:name="_Toc135232028"/>
      <w:bookmarkStart w:id="142" w:name="_Toc135307899"/>
      <w:bookmarkStart w:id="143" w:name="_Toc135307935"/>
      <w:bookmarkStart w:id="144" w:name="_Toc135307982"/>
      <w:bookmarkStart w:id="145" w:name="_Toc135412693"/>
      <w:bookmarkEnd w:id="137"/>
      <w:bookmarkEnd w:id="138"/>
      <w:bookmarkEnd w:id="140"/>
      <w:bookmarkEnd w:id="141"/>
      <w:bookmarkEnd w:id="142"/>
      <w:bookmarkEnd w:id="143"/>
      <w:bookmarkEnd w:id="144"/>
      <w:r w:rsidRPr="00F935E7">
        <w:rPr>
          <w:rFonts w:ascii="Arial" w:eastAsiaTheme="minorHAnsi" w:hAnsi="Arial" w:cs="Times New Roman"/>
          <w:b/>
          <w:bCs/>
          <w:color w:val="auto"/>
          <w:kern w:val="28"/>
          <w:sz w:val="20"/>
          <w:szCs w:val="20"/>
          <w:lang w:val="fr-FR"/>
        </w:rPr>
        <w:t>ÉVALUATIONS MUTUELLES ET SUIVI</w:t>
      </w:r>
      <w:bookmarkEnd w:id="145"/>
    </w:p>
    <w:p w14:paraId="3A5A76EE" w14:textId="77777777" w:rsidR="0089480A" w:rsidRPr="000C5B9D" w:rsidRDefault="0089480A" w:rsidP="0089480A"/>
    <w:p w14:paraId="3B915B8F" w14:textId="4AF092F2" w:rsidR="0089480A" w:rsidRDefault="0089480A" w:rsidP="0089480A">
      <w:pPr>
        <w:rPr>
          <w:rFonts w:cs="Arial"/>
          <w:szCs w:val="20"/>
        </w:rPr>
      </w:pPr>
      <w:r w:rsidRPr="0074051E">
        <w:rPr>
          <w:rFonts w:cs="Arial"/>
          <w:szCs w:val="20"/>
        </w:rPr>
        <w:t xml:space="preserve">Les évaluations mutuelles constituent le </w:t>
      </w:r>
      <w:r>
        <w:rPr>
          <w:rFonts w:cs="Arial"/>
          <w:szCs w:val="20"/>
        </w:rPr>
        <w:t>volet</w:t>
      </w:r>
      <w:r w:rsidRPr="0074051E">
        <w:rPr>
          <w:rFonts w:cs="Arial"/>
          <w:szCs w:val="20"/>
        </w:rPr>
        <w:t xml:space="preserve"> central du mandat de MONEYVAL. </w:t>
      </w:r>
      <w:r>
        <w:rPr>
          <w:rFonts w:cs="Arial"/>
          <w:szCs w:val="20"/>
        </w:rPr>
        <w:t xml:space="preserve">Après un retard initial de </w:t>
      </w:r>
      <w:r w:rsidR="002314EA">
        <w:rPr>
          <w:rFonts w:cs="Arial"/>
          <w:szCs w:val="20"/>
        </w:rPr>
        <w:t xml:space="preserve">six mois </w:t>
      </w:r>
      <w:r>
        <w:rPr>
          <w:rFonts w:cs="Arial"/>
          <w:szCs w:val="20"/>
        </w:rPr>
        <w:t>seulement</w:t>
      </w:r>
      <w:r w:rsidR="002314EA">
        <w:rPr>
          <w:rFonts w:cs="Arial"/>
          <w:szCs w:val="20"/>
        </w:rPr>
        <w:t>,</w:t>
      </w:r>
      <w:r>
        <w:rPr>
          <w:rFonts w:cs="Arial"/>
          <w:szCs w:val="20"/>
        </w:rPr>
        <w:t xml:space="preserve"> </w:t>
      </w:r>
      <w:r w:rsidR="00D920D2">
        <w:rPr>
          <w:rFonts w:cs="Arial"/>
          <w:szCs w:val="20"/>
        </w:rPr>
        <w:t xml:space="preserve">dû au confinement consécutif à la covid-19 en 2020, </w:t>
      </w:r>
      <w:r>
        <w:rPr>
          <w:rFonts w:cs="Arial"/>
          <w:szCs w:val="20"/>
        </w:rPr>
        <w:t>le programme d'évaluation</w:t>
      </w:r>
      <w:r w:rsidR="00D920D2">
        <w:rPr>
          <w:rFonts w:cs="Arial"/>
          <w:szCs w:val="20"/>
        </w:rPr>
        <w:t>s</w:t>
      </w:r>
      <w:r>
        <w:rPr>
          <w:rFonts w:cs="Arial"/>
          <w:szCs w:val="20"/>
        </w:rPr>
        <w:t xml:space="preserve"> mutuelle</w:t>
      </w:r>
      <w:r w:rsidR="00D920D2">
        <w:rPr>
          <w:rFonts w:cs="Arial"/>
          <w:szCs w:val="20"/>
        </w:rPr>
        <w:t>s</w:t>
      </w:r>
      <w:r>
        <w:rPr>
          <w:rFonts w:cs="Arial"/>
          <w:szCs w:val="20"/>
        </w:rPr>
        <w:t xml:space="preserve"> s'est poursuivi comme prévu en 2021, puis en 2022, avec quatre visites sur place effectuées en Estonie, à Monaco, en Macédoine du Nord et en Roumanie, et quatre rapports d'évaluation</w:t>
      </w:r>
      <w:r w:rsidR="00D920D2">
        <w:rPr>
          <w:rFonts w:cs="Arial"/>
          <w:szCs w:val="20"/>
        </w:rPr>
        <w:t>s</w:t>
      </w:r>
      <w:r>
        <w:rPr>
          <w:rFonts w:cs="Arial"/>
          <w:szCs w:val="20"/>
        </w:rPr>
        <w:t xml:space="preserve"> mutuelle</w:t>
      </w:r>
      <w:r w:rsidR="00D920D2">
        <w:rPr>
          <w:rFonts w:cs="Arial"/>
          <w:szCs w:val="20"/>
        </w:rPr>
        <w:t>s</w:t>
      </w:r>
      <w:r>
        <w:rPr>
          <w:rFonts w:cs="Arial"/>
          <w:szCs w:val="20"/>
        </w:rPr>
        <w:t xml:space="preserve"> adoptés pour la Bulgarie, l'Estonie, le Liechtenstein et Monaco. </w:t>
      </w:r>
    </w:p>
    <w:p w14:paraId="52724148" w14:textId="77777777" w:rsidR="0089480A" w:rsidRDefault="0089480A" w:rsidP="0089480A">
      <w:pPr>
        <w:rPr>
          <w:rFonts w:cs="Arial"/>
          <w:szCs w:val="20"/>
        </w:rPr>
      </w:pPr>
    </w:p>
    <w:p w14:paraId="043F5A2D" w14:textId="4F2CDAD7" w:rsidR="0089480A" w:rsidRDefault="0089480A" w:rsidP="0089480A">
      <w:pPr>
        <w:rPr>
          <w:rFonts w:cs="Arial"/>
          <w:szCs w:val="20"/>
        </w:rPr>
      </w:pPr>
      <w:r>
        <w:rPr>
          <w:rFonts w:cs="Arial"/>
          <w:szCs w:val="20"/>
        </w:rPr>
        <w:t xml:space="preserve">MONEYVAL a maintenu l'utilisation de moyens hybrides pour les évaluations mutuelles uniquement pour Monaco, afin d'atténuer les risques liés aux annulations de voyage de </w:t>
      </w:r>
      <w:r w:rsidR="00D920D2">
        <w:rPr>
          <w:rFonts w:cs="Arial"/>
          <w:szCs w:val="20"/>
        </w:rPr>
        <w:t>liés à la c</w:t>
      </w:r>
      <w:r>
        <w:rPr>
          <w:rFonts w:cs="Arial"/>
          <w:szCs w:val="20"/>
        </w:rPr>
        <w:t>ovid</w:t>
      </w:r>
      <w:r w:rsidR="00D920D2">
        <w:rPr>
          <w:rFonts w:cs="Arial"/>
          <w:szCs w:val="20"/>
        </w:rPr>
        <w:t>-19</w:t>
      </w:r>
      <w:r>
        <w:rPr>
          <w:rFonts w:cs="Arial"/>
          <w:szCs w:val="20"/>
        </w:rPr>
        <w:t xml:space="preserve"> et aux</w:t>
      </w:r>
      <w:r w:rsidR="00D920D2">
        <w:rPr>
          <w:rFonts w:cs="Arial"/>
          <w:szCs w:val="20"/>
        </w:rPr>
        <w:t xml:space="preserve"> éventuelles</w:t>
      </w:r>
      <w:r>
        <w:rPr>
          <w:rFonts w:cs="Arial"/>
          <w:szCs w:val="20"/>
        </w:rPr>
        <w:t xml:space="preserve"> infections parmi les membres de l'équipe d'évaluation. Les autres évaluations se sont déroulées en mode </w:t>
      </w:r>
      <w:r w:rsidR="00D920D2">
        <w:rPr>
          <w:rFonts w:cs="Arial"/>
          <w:szCs w:val="20"/>
        </w:rPr>
        <w:t>présentiel</w:t>
      </w:r>
      <w:r>
        <w:rPr>
          <w:rFonts w:cs="Arial"/>
          <w:szCs w:val="20"/>
        </w:rPr>
        <w:t>.</w:t>
      </w:r>
      <w:r w:rsidRPr="00277C14">
        <w:rPr>
          <w:rFonts w:cs="Arial"/>
          <w:szCs w:val="20"/>
        </w:rPr>
        <w:t xml:space="preserve"> MONEYVAL </w:t>
      </w:r>
      <w:r>
        <w:rPr>
          <w:rFonts w:cs="Arial"/>
          <w:szCs w:val="20"/>
        </w:rPr>
        <w:t xml:space="preserve">continue d'être l'organisme régional de type GAFI </w:t>
      </w:r>
      <w:r w:rsidR="00D920D2">
        <w:rPr>
          <w:rFonts w:cs="Arial"/>
          <w:szCs w:val="20"/>
        </w:rPr>
        <w:t>ayant</w:t>
      </w:r>
      <w:r>
        <w:rPr>
          <w:rFonts w:cs="Arial"/>
          <w:szCs w:val="20"/>
        </w:rPr>
        <w:t xml:space="preserve"> réalisé le plus grand nombre d'évaluations mutuelles au sein du </w:t>
      </w:r>
      <w:r w:rsidR="00292C71">
        <w:rPr>
          <w:rFonts w:cs="Arial"/>
          <w:szCs w:val="20"/>
        </w:rPr>
        <w:t>r</w:t>
      </w:r>
      <w:r>
        <w:rPr>
          <w:rFonts w:cs="Arial"/>
          <w:szCs w:val="20"/>
        </w:rPr>
        <w:t xml:space="preserve">éseau mondial des organismes </w:t>
      </w:r>
      <w:r w:rsidR="00D920D2">
        <w:rPr>
          <w:rFonts w:cs="Arial"/>
          <w:szCs w:val="20"/>
        </w:rPr>
        <w:t>de surveillance LBC/FT</w:t>
      </w:r>
      <w:r>
        <w:rPr>
          <w:rFonts w:cs="Arial"/>
          <w:szCs w:val="20"/>
        </w:rPr>
        <w:t xml:space="preserve"> depuis le début de la pandémie.  </w:t>
      </w:r>
      <w:r w:rsidRPr="00277C14">
        <w:rPr>
          <w:rFonts w:cs="Arial"/>
          <w:szCs w:val="20"/>
        </w:rPr>
        <w:t xml:space="preserve"> </w:t>
      </w:r>
    </w:p>
    <w:p w14:paraId="3BF49BE0" w14:textId="77777777" w:rsidR="00D76D50" w:rsidRDefault="00D76D50" w:rsidP="0089480A">
      <w:pPr>
        <w:rPr>
          <w:rFonts w:cs="Arial"/>
          <w:szCs w:val="20"/>
        </w:rPr>
      </w:pPr>
    </w:p>
    <w:p w14:paraId="3086FCB6" w14:textId="389920E8" w:rsidR="0089480A" w:rsidRPr="00824558" w:rsidRDefault="0089480A" w:rsidP="00D920D2">
      <w:pPr>
        <w:pStyle w:val="Heading2"/>
        <w:keepLines w:val="0"/>
        <w:tabs>
          <w:tab w:val="left" w:pos="709"/>
        </w:tabs>
        <w:spacing w:before="0"/>
        <w:ind w:right="680"/>
        <w:jc w:val="both"/>
        <w:rPr>
          <w:rFonts w:ascii="Arial" w:eastAsiaTheme="minorHAnsi" w:hAnsi="Arial" w:cs="Times New Roman"/>
          <w:b/>
          <w:bCs/>
          <w:color w:val="auto"/>
          <w:sz w:val="20"/>
          <w:szCs w:val="20"/>
          <w:lang w:val="fr-FR"/>
        </w:rPr>
      </w:pPr>
      <w:bookmarkStart w:id="146" w:name="_Toc132203748"/>
      <w:bookmarkStart w:id="147" w:name="_Toc135412694"/>
      <w:r w:rsidRPr="00F9691A">
        <w:rPr>
          <w:rFonts w:ascii="Arial" w:eastAsiaTheme="minorHAnsi" w:hAnsi="Arial" w:cs="Times New Roman"/>
          <w:b/>
          <w:bCs/>
          <w:color w:val="000000" w:themeColor="text1"/>
          <w:sz w:val="20"/>
          <w:szCs w:val="20"/>
          <w:lang w:val="fr-FR"/>
        </w:rPr>
        <w:t>2.1.</w:t>
      </w:r>
      <w:bookmarkEnd w:id="146"/>
      <w:r w:rsidR="00625A70">
        <w:rPr>
          <w:rStyle w:val="docheader1"/>
          <w:rFonts w:ascii="Arial" w:hAnsi="Arial" w:cs="Arial"/>
          <w:color w:val="auto"/>
          <w:sz w:val="20"/>
          <w:szCs w:val="20"/>
          <w:lang w:val="fr-FR"/>
        </w:rPr>
        <w:tab/>
      </w:r>
      <w:r w:rsidR="00D920D2" w:rsidRPr="00824558">
        <w:rPr>
          <w:rStyle w:val="docheader1"/>
          <w:rFonts w:ascii="Arial" w:hAnsi="Arial" w:cs="Arial"/>
          <w:color w:val="auto"/>
          <w:sz w:val="20"/>
          <w:szCs w:val="20"/>
          <w:lang w:val="fr-FR"/>
        </w:rPr>
        <w:t>Rapport d’évaluation d</w:t>
      </w:r>
      <w:r w:rsidR="00A81874">
        <w:rPr>
          <w:rStyle w:val="docheader1"/>
          <w:rFonts w:ascii="Arial" w:hAnsi="Arial" w:cs="Arial"/>
          <w:color w:val="auto"/>
          <w:sz w:val="20"/>
          <w:szCs w:val="20"/>
          <w:lang w:val="fr-FR"/>
        </w:rPr>
        <w:t>u 5</w:t>
      </w:r>
      <w:r w:rsidR="00A81874" w:rsidRPr="00F9691A">
        <w:rPr>
          <w:rStyle w:val="docheader1"/>
          <w:rFonts w:ascii="Arial" w:hAnsi="Arial" w:cs="Arial"/>
          <w:color w:val="auto"/>
          <w:sz w:val="20"/>
          <w:szCs w:val="20"/>
          <w:vertAlign w:val="superscript"/>
          <w:lang w:val="fr-FR"/>
        </w:rPr>
        <w:t>ème</w:t>
      </w:r>
      <w:r w:rsidR="00A81874">
        <w:rPr>
          <w:rStyle w:val="docheader1"/>
          <w:rFonts w:ascii="Arial" w:hAnsi="Arial" w:cs="Arial"/>
          <w:color w:val="auto"/>
          <w:sz w:val="20"/>
          <w:szCs w:val="20"/>
          <w:lang w:val="fr-FR"/>
        </w:rPr>
        <w:t xml:space="preserve"> </w:t>
      </w:r>
      <w:r w:rsidR="00D920D2" w:rsidRPr="00824558">
        <w:rPr>
          <w:rStyle w:val="docheader1"/>
          <w:rFonts w:ascii="Arial" w:hAnsi="Arial" w:cs="Arial"/>
          <w:color w:val="auto"/>
          <w:sz w:val="20"/>
          <w:szCs w:val="20"/>
          <w:lang w:val="fr-FR"/>
        </w:rPr>
        <w:t xml:space="preserve">cycle </w:t>
      </w:r>
      <w:r w:rsidR="00A81874">
        <w:rPr>
          <w:rFonts w:ascii="Arial" w:eastAsiaTheme="minorHAnsi" w:hAnsi="Arial" w:cs="Times New Roman"/>
          <w:b/>
          <w:bCs/>
          <w:color w:val="auto"/>
          <w:sz w:val="20"/>
          <w:szCs w:val="20"/>
          <w:lang w:val="fr-FR"/>
        </w:rPr>
        <w:t>de</w:t>
      </w:r>
      <w:r w:rsidR="00D920D2" w:rsidRPr="00824558">
        <w:rPr>
          <w:rFonts w:ascii="Arial" w:eastAsiaTheme="minorHAnsi" w:hAnsi="Arial" w:cs="Times New Roman"/>
          <w:b/>
          <w:bCs/>
          <w:color w:val="auto"/>
          <w:sz w:val="20"/>
          <w:szCs w:val="20"/>
          <w:lang w:val="fr-FR"/>
        </w:rPr>
        <w:t xml:space="preserve"> la Bulgarie</w:t>
      </w:r>
      <w:bookmarkEnd w:id="147"/>
    </w:p>
    <w:p w14:paraId="2D0FE99E" w14:textId="77777777" w:rsidR="00D920D2" w:rsidRPr="00F9691A" w:rsidRDefault="00D920D2" w:rsidP="00F9691A"/>
    <w:p w14:paraId="4599A3DD" w14:textId="283DD389" w:rsidR="0089480A" w:rsidRPr="00F9691A" w:rsidRDefault="0089480A" w:rsidP="0089480A">
      <w:r w:rsidRPr="00F9691A">
        <w:t>Le rapport d'évaluation mutuelle du 5</w:t>
      </w:r>
      <w:r w:rsidR="00135BE9" w:rsidRPr="00135BE9">
        <w:rPr>
          <w:vertAlign w:val="superscript"/>
        </w:rPr>
        <w:t>ème</w:t>
      </w:r>
      <w:r w:rsidR="00135BE9" w:rsidRPr="00135BE9">
        <w:t xml:space="preserve"> cycle</w:t>
      </w:r>
      <w:r w:rsidRPr="00F9691A">
        <w:t xml:space="preserve"> de la Bulgarie a été adopté lors de la 63</w:t>
      </w:r>
      <w:r w:rsidR="00D920D2" w:rsidRPr="00F9691A">
        <w:rPr>
          <w:vertAlign w:val="superscript"/>
        </w:rPr>
        <w:t>ème</w:t>
      </w:r>
      <w:r w:rsidR="00D920D2" w:rsidRPr="00F9691A">
        <w:t xml:space="preserve"> </w:t>
      </w:r>
      <w:r w:rsidRPr="00F9691A">
        <w:t>réunion plénière en mai 2022. MONEYVAL conclut que la Bulgarie a atteint un niveau d'efficacité modéré en ce qui concerne l'évaluation des risques de blanchiment de capitaux et de financement du terrorisme, et la coordination nationale, les enquêtes et les poursuites relatives au financement du terrorisme, les sanctions financières ciblées liées au financement du terrorisme, la mise en œuvre de mesures préventives par les institutions financières et les professions non financières (comptables, avocats, notaires, fiducies et prestataires de services aux entreprises, casinos et agents immobiliers) et leur supervision, ainsi qu'en matière de coopération internationale. La Bulgarie fait preuve d'un faible niveau d'efficacité dans les domaines liés à l'utilisation du renseignement financier, aux enquêtes et aux poursuites en matière de blanchiment de capitaux, à la confiscation des produits du crime ou de biens de valeur équivalente, aux sanctions financières ciblées liées au financement de la prolifération et à la prévention de l'utilisation abusive des personnes morales et des constructions juridiques.</w:t>
      </w:r>
    </w:p>
    <w:p w14:paraId="323035A5" w14:textId="77777777" w:rsidR="0089480A" w:rsidRPr="00F9691A" w:rsidRDefault="0089480A" w:rsidP="0089480A"/>
    <w:p w14:paraId="7E86C50B" w14:textId="62E6E76B" w:rsidR="0089480A" w:rsidRPr="00F9691A" w:rsidRDefault="0089480A" w:rsidP="0089480A">
      <w:r w:rsidRPr="00F9691A">
        <w:t xml:space="preserve">MONEYVAL </w:t>
      </w:r>
      <w:r w:rsidR="00F9691A">
        <w:t xml:space="preserve">félicite </w:t>
      </w:r>
      <w:r w:rsidRPr="00F9691A">
        <w:t xml:space="preserve">la Bulgarie </w:t>
      </w:r>
      <w:r w:rsidR="0096226D">
        <w:t>d’</w:t>
      </w:r>
      <w:r w:rsidRPr="00F9691A">
        <w:t xml:space="preserve">avoir mené une évaluation nationale complète des risques et note que la Bulgarie a, en général, une compréhension raisonnable des principaux risques de blanchiment de capitaux, alors que la compréhension des risques de financement du terrorisme était limitée. Le rapport constate que l'absence de statistiques complètes limite la compréhension des autorités et leur capacité à réagir aux risques. Les défis sont également relevés en ce qui concerne la coopération entre les </w:t>
      </w:r>
      <w:r w:rsidR="00135BE9" w:rsidRPr="00F9691A">
        <w:t>autorités de poursuite pénale</w:t>
      </w:r>
      <w:r w:rsidRPr="00F9691A">
        <w:t>, qui est particulièrement entravée par le manque d'outils techniques nécessaires.</w:t>
      </w:r>
    </w:p>
    <w:p w14:paraId="1342297D" w14:textId="77777777" w:rsidR="0089480A" w:rsidRPr="00F9691A" w:rsidRDefault="0089480A" w:rsidP="0089480A">
      <w:pPr>
        <w:rPr>
          <w:highlight w:val="yellow"/>
        </w:rPr>
      </w:pPr>
    </w:p>
    <w:p w14:paraId="6C3E68DD" w14:textId="15469DCF" w:rsidR="0089480A" w:rsidRPr="00F9691A" w:rsidRDefault="0089480A" w:rsidP="0089480A">
      <w:r w:rsidRPr="00F9691A">
        <w:t xml:space="preserve">Le nombre d'enquêtes, de poursuites et de condamnations pour blanchiment de capitaux, ainsi que la sévérité des sanctions pénales pour blanchiment de capitaux sont généralement faibles et ne sont pas proportionnels aux risques de blanchiment de capitaux identifiés. MONEYVAL note que la Bulgarie devrait améliorer l'utilisation du renseignement financier, les enquêtes et les poursuites en matière de blanchiment de capitaux et le régime de confiscation, qui sont actuellement entravés par plusieurs contraintes techniques et procédurales. En outre, le rapport estime que la Bulgarie devrait adopter une approche plus systématique pour enquêter sur les aspects financiers des infractions liées au terrorisme, améliorer le mécanisme national de mise en œuvre </w:t>
      </w:r>
      <w:r w:rsidRPr="00F9691A">
        <w:lastRenderedPageBreak/>
        <w:t xml:space="preserve">des sanctions financières ciblées et effectuer une analyse plus complète des vulnérabilités en matière de financement du terrorisme dans les secteurs à but non lucratif. La Bulgarie devrait également renforcer la supervision ou le suivi, en fonction des risques, des organisations à but non lucratif qui risquent d'être </w:t>
      </w:r>
      <w:r w:rsidR="00135BE9" w:rsidRPr="00F9691A">
        <w:t>détournées à des fins de</w:t>
      </w:r>
      <w:r w:rsidRPr="00F9691A">
        <w:t xml:space="preserve"> financement du terrorisme.</w:t>
      </w:r>
    </w:p>
    <w:p w14:paraId="3149D8ED" w14:textId="77777777" w:rsidR="0089480A" w:rsidRPr="00F9691A" w:rsidRDefault="0089480A" w:rsidP="0089480A">
      <w:pPr>
        <w:rPr>
          <w:highlight w:val="yellow"/>
        </w:rPr>
      </w:pPr>
    </w:p>
    <w:p w14:paraId="7913D2A3" w14:textId="3809F29D" w:rsidR="0089480A" w:rsidRPr="00F9691A" w:rsidRDefault="0089480A" w:rsidP="0089480A">
      <w:r w:rsidRPr="00F9691A">
        <w:t xml:space="preserve">La connaissance des obligations en matière de lutte contre le blanchiment de capitaux et le financement du terrorisme par les entités </w:t>
      </w:r>
      <w:r w:rsidR="00135BE9" w:rsidRPr="00F9691A">
        <w:t xml:space="preserve">assujetties </w:t>
      </w:r>
      <w:r w:rsidRPr="00F9691A">
        <w:t xml:space="preserve">est généralement élevée, mais la compréhension des risques liés à l'activité et l'application des mesures préventives dans les domaines à haut risque </w:t>
      </w:r>
      <w:r w:rsidR="00135BE9" w:rsidRPr="00F9691A">
        <w:t>doit</w:t>
      </w:r>
      <w:r w:rsidRPr="00F9691A">
        <w:t xml:space="preserve"> être améliorée. Les </w:t>
      </w:r>
      <w:r w:rsidR="00135BE9" w:rsidRPr="00F9691A">
        <w:t>superviseurs</w:t>
      </w:r>
      <w:r w:rsidRPr="00F9691A">
        <w:t xml:space="preserve"> appliquent dans une large mesure l'approche fondée sur les risques pour le secteur financier, tandis que pour les autres secteurs, </w:t>
      </w:r>
      <w:r w:rsidR="00135BE9" w:rsidRPr="00F9691A">
        <w:t>la supervision</w:t>
      </w:r>
      <w:r w:rsidRPr="00F9691A">
        <w:t xml:space="preserve"> n</w:t>
      </w:r>
      <w:r w:rsidR="00135BE9" w:rsidRPr="00F9691A">
        <w:t xml:space="preserve">’est pas </w:t>
      </w:r>
      <w:r w:rsidRPr="00F9691A">
        <w:t>toujours fondée sur les risques ni efficace, ce qui peut être attribué à un manque important de ressources. En outre, l'absence de mesures visant à empêcher les criminels d'entrer sur le marché dans certains secteurs (tels que les courtiers en immobilier, les fiducies et les prestataires de services aux entreprises, les comptables, les prestataires de services d'actifs virtuels) est préoccupante</w:t>
      </w:r>
      <w:r w:rsidR="00BD79A2" w:rsidRPr="00BD79A2">
        <w:t xml:space="preserve"> Le rapport note également l’absence de vérification des dossiers de criminalité ou autre test d’honorabilité concernant les opérateurs de monnaie postale ou les actionnaires des bureaux de change et que le seuil de propriété des casinos qui déclenche les contrôles d’honorabilité est plus élevé que celui autorisé par le GAFI.</w:t>
      </w:r>
      <w:r w:rsidRPr="00F9691A">
        <w:t xml:space="preserve"> MONEYVAL recommande d'établir de telles mesures d'entrée sur le marché et de prendre des mesures proactives pour empêcher les entreprises </w:t>
      </w:r>
      <w:r w:rsidR="00BD79A2" w:rsidRPr="00BD79A2">
        <w:t>sans licence</w:t>
      </w:r>
      <w:r w:rsidRPr="00F9691A">
        <w:t xml:space="preserve"> (</w:t>
      </w:r>
      <w:proofErr w:type="spellStart"/>
      <w:r w:rsidRPr="00F9691A">
        <w:t>hawala</w:t>
      </w:r>
      <w:proofErr w:type="spellEnd"/>
      <w:r w:rsidRPr="00F9691A">
        <w:t>).</w:t>
      </w:r>
    </w:p>
    <w:p w14:paraId="0884AF8E" w14:textId="77777777" w:rsidR="0089480A" w:rsidRPr="00F9691A" w:rsidRDefault="0089480A" w:rsidP="0089480A">
      <w:pPr>
        <w:rPr>
          <w:highlight w:val="yellow"/>
        </w:rPr>
      </w:pPr>
    </w:p>
    <w:p w14:paraId="654F8345" w14:textId="3532C6CD" w:rsidR="0089480A" w:rsidRPr="00F9691A" w:rsidRDefault="0089480A" w:rsidP="0089480A">
      <w:r w:rsidRPr="00F9691A">
        <w:t>Malgré les efforts déployés par la Bulgarie pour accroître la transparence du régime des bénéficiaires effectifs, l'exactitude des informations relatives aux bénéficiaires effectifs figurant dans les registres et fournies par les entités soumises à l'obligation de déclaration suscite de</w:t>
      </w:r>
      <w:r w:rsidR="00BD79A2">
        <w:t>s préoccupations importantes</w:t>
      </w:r>
      <w:r w:rsidRPr="00F9691A">
        <w:t>. MONEYVAL recommande de revoir d'urgence les politiques et de prendre des mesures urgentes dans ce domaine.</w:t>
      </w:r>
    </w:p>
    <w:p w14:paraId="366BE01C" w14:textId="77777777" w:rsidR="0089480A" w:rsidRPr="00F9691A" w:rsidRDefault="0089480A" w:rsidP="0089480A">
      <w:pPr>
        <w:rPr>
          <w:highlight w:val="yellow"/>
        </w:rPr>
      </w:pPr>
    </w:p>
    <w:p w14:paraId="72A9EA39" w14:textId="77777777" w:rsidR="00043335" w:rsidRPr="00F9691A" w:rsidRDefault="0089480A" w:rsidP="00043335">
      <w:r w:rsidRPr="00F9691A">
        <w:t>Enfin, le rapport conclut qu'en dépit de certaines contraintes techniques et procédurales, la Bulgarie fournit généralement une assistance opportune et constructive pour l'ensemble des demandes de coopération internationale, y compris l'entraide judiciaire.</w:t>
      </w:r>
    </w:p>
    <w:p w14:paraId="2482F039" w14:textId="77777777" w:rsidR="00043335" w:rsidRDefault="00043335" w:rsidP="00043335">
      <w:pPr>
        <w:rPr>
          <w:highlight w:val="yellow"/>
        </w:rPr>
      </w:pPr>
    </w:p>
    <w:p w14:paraId="67F6949F" w14:textId="4C072E2E" w:rsidR="0089480A" w:rsidRDefault="0089480A" w:rsidP="00043335">
      <w:r w:rsidRPr="00F9691A">
        <w:t>Sur la base des résultats de son évaluation, MONEYVAL a décidé d'appliquer sa procédure de suivi renforcée et a invité la Bulgarie à présenter un rapport en mai 2024.</w:t>
      </w:r>
    </w:p>
    <w:p w14:paraId="4A8372D4" w14:textId="77777777" w:rsidR="00043335" w:rsidRPr="00F9691A" w:rsidRDefault="00043335" w:rsidP="00F9691A"/>
    <w:p w14:paraId="79B0975D" w14:textId="39A6ED7F" w:rsidR="0089480A" w:rsidRPr="00F9691A" w:rsidRDefault="0089480A" w:rsidP="0089480A">
      <w:pPr>
        <w:pStyle w:val="Heading2"/>
        <w:keepLines w:val="0"/>
        <w:tabs>
          <w:tab w:val="left" w:pos="709"/>
        </w:tabs>
        <w:spacing w:before="0"/>
        <w:ind w:right="680"/>
        <w:jc w:val="both"/>
        <w:rPr>
          <w:rFonts w:ascii="Arial" w:eastAsiaTheme="minorHAnsi" w:hAnsi="Arial" w:cs="Times New Roman"/>
          <w:b/>
          <w:bCs/>
          <w:color w:val="000000" w:themeColor="text1"/>
          <w:sz w:val="20"/>
          <w:szCs w:val="20"/>
          <w:lang w:val="fr-FR"/>
        </w:rPr>
      </w:pPr>
      <w:bookmarkStart w:id="148" w:name="_Toc132203749"/>
      <w:bookmarkStart w:id="149" w:name="_Toc135412695"/>
      <w:r w:rsidRPr="00F9691A">
        <w:rPr>
          <w:rFonts w:ascii="Arial" w:eastAsiaTheme="minorHAnsi" w:hAnsi="Arial" w:cs="Times New Roman"/>
          <w:b/>
          <w:bCs/>
          <w:color w:val="000000" w:themeColor="text1"/>
          <w:sz w:val="20"/>
          <w:szCs w:val="20"/>
          <w:lang w:val="fr-FR"/>
        </w:rPr>
        <w:t xml:space="preserve">2.2 </w:t>
      </w:r>
      <w:r w:rsidRPr="00F9691A">
        <w:rPr>
          <w:rFonts w:ascii="Arial" w:eastAsiaTheme="minorHAnsi" w:hAnsi="Arial" w:cs="Times New Roman"/>
          <w:b/>
          <w:bCs/>
          <w:color w:val="000000" w:themeColor="text1"/>
          <w:sz w:val="20"/>
          <w:szCs w:val="20"/>
          <w:lang w:val="fr-FR"/>
        </w:rPr>
        <w:tab/>
      </w:r>
      <w:r w:rsidR="00E44F77" w:rsidRPr="00E44F77">
        <w:rPr>
          <w:rStyle w:val="docheader1"/>
          <w:rFonts w:ascii="Arial" w:hAnsi="Arial" w:cs="Arial"/>
          <w:color w:val="auto"/>
          <w:sz w:val="20"/>
          <w:szCs w:val="20"/>
          <w:lang w:val="fr-FR"/>
        </w:rPr>
        <w:t>Rapport d’évaluation d</w:t>
      </w:r>
      <w:r w:rsidR="00A81874">
        <w:rPr>
          <w:rStyle w:val="docheader1"/>
          <w:rFonts w:ascii="Arial" w:hAnsi="Arial" w:cs="Arial"/>
          <w:color w:val="auto"/>
          <w:sz w:val="20"/>
          <w:szCs w:val="20"/>
          <w:lang w:val="fr-FR"/>
        </w:rPr>
        <w:t>u 5</w:t>
      </w:r>
      <w:r w:rsidR="00A81874" w:rsidRPr="00F9691A">
        <w:rPr>
          <w:rStyle w:val="docheader1"/>
          <w:rFonts w:ascii="Arial" w:hAnsi="Arial" w:cs="Arial"/>
          <w:color w:val="auto"/>
          <w:sz w:val="20"/>
          <w:szCs w:val="20"/>
          <w:vertAlign w:val="superscript"/>
          <w:lang w:val="fr-FR"/>
        </w:rPr>
        <w:t>ème</w:t>
      </w:r>
      <w:r w:rsidR="00A81874">
        <w:rPr>
          <w:rStyle w:val="docheader1"/>
          <w:rFonts w:ascii="Arial" w:hAnsi="Arial" w:cs="Arial"/>
          <w:color w:val="auto"/>
          <w:sz w:val="20"/>
          <w:szCs w:val="20"/>
          <w:lang w:val="fr-FR"/>
        </w:rPr>
        <w:t xml:space="preserve"> </w:t>
      </w:r>
      <w:r w:rsidR="00E44F77" w:rsidRPr="00E44F77">
        <w:rPr>
          <w:rStyle w:val="docheader1"/>
          <w:rFonts w:ascii="Arial" w:hAnsi="Arial" w:cs="Arial"/>
          <w:color w:val="auto"/>
          <w:sz w:val="20"/>
          <w:szCs w:val="20"/>
          <w:lang w:val="fr-FR"/>
        </w:rPr>
        <w:t xml:space="preserve">cycle </w:t>
      </w:r>
      <w:r w:rsidR="00A81874">
        <w:rPr>
          <w:rFonts w:ascii="Arial" w:eastAsiaTheme="minorHAnsi" w:hAnsi="Arial" w:cs="Times New Roman"/>
          <w:b/>
          <w:bCs/>
          <w:color w:val="auto"/>
          <w:sz w:val="20"/>
          <w:szCs w:val="20"/>
          <w:lang w:val="fr-FR"/>
        </w:rPr>
        <w:t>du</w:t>
      </w:r>
      <w:r w:rsidR="00E44F77" w:rsidRPr="00E44F77">
        <w:rPr>
          <w:rFonts w:ascii="Arial" w:eastAsiaTheme="minorHAnsi" w:hAnsi="Arial" w:cs="Times New Roman"/>
          <w:b/>
          <w:bCs/>
          <w:color w:val="auto"/>
          <w:sz w:val="20"/>
          <w:szCs w:val="20"/>
          <w:lang w:val="fr-FR"/>
        </w:rPr>
        <w:t xml:space="preserve"> </w:t>
      </w:r>
      <w:r w:rsidRPr="00F9691A">
        <w:rPr>
          <w:rFonts w:ascii="Arial" w:eastAsiaTheme="minorHAnsi" w:hAnsi="Arial" w:cs="Times New Roman"/>
          <w:b/>
          <w:bCs/>
          <w:color w:val="000000" w:themeColor="text1"/>
          <w:sz w:val="20"/>
          <w:szCs w:val="20"/>
          <w:lang w:val="fr-FR"/>
        </w:rPr>
        <w:t>Liechtenstein</w:t>
      </w:r>
      <w:bookmarkEnd w:id="148"/>
      <w:bookmarkEnd w:id="149"/>
    </w:p>
    <w:p w14:paraId="06ABB171" w14:textId="77777777" w:rsidR="0089480A" w:rsidRPr="00F9691A" w:rsidRDefault="0089480A" w:rsidP="0089480A">
      <w:pPr>
        <w:rPr>
          <w:highlight w:val="yellow"/>
        </w:rPr>
      </w:pPr>
    </w:p>
    <w:p w14:paraId="03C2E9D6" w14:textId="4B8527F3" w:rsidR="0089480A" w:rsidRPr="00F9691A" w:rsidRDefault="0089480A" w:rsidP="0089480A">
      <w:r w:rsidRPr="00F9691A">
        <w:t>Le rapport d'évaluation mutuelle du 5</w:t>
      </w:r>
      <w:r w:rsidR="00E44F77" w:rsidRPr="00F9691A">
        <w:rPr>
          <w:vertAlign w:val="superscript"/>
        </w:rPr>
        <w:t>ème</w:t>
      </w:r>
      <w:r w:rsidRPr="00F9691A">
        <w:t xml:space="preserve"> cycle du Liechtenstein a été adopté lors de la 63</w:t>
      </w:r>
      <w:r w:rsidR="00E44F77" w:rsidRPr="00F9691A">
        <w:rPr>
          <w:vertAlign w:val="superscript"/>
        </w:rPr>
        <w:t>ème</w:t>
      </w:r>
      <w:r w:rsidRPr="00F9691A">
        <w:t xml:space="preserve"> réunion plénière en mai 2022. Il reconnaît que le pays a démontré un niveau substantiel d'efficacité en ce qui concerne la compréhension d</w:t>
      </w:r>
      <w:r w:rsidR="00E44F77" w:rsidRPr="00F9691A">
        <w:t>es</w:t>
      </w:r>
      <w:r w:rsidRPr="00F9691A">
        <w:t xml:space="preserve"> risque</w:t>
      </w:r>
      <w:r w:rsidR="00E44F77" w:rsidRPr="00F9691A">
        <w:t>s</w:t>
      </w:r>
      <w:r w:rsidRPr="00F9691A">
        <w:t xml:space="preserve"> de blanchiment de capitaux et de financement du terrorisme, la mise en place de politiques nationales de LBC/FT et la coordination, l'utilisation du renseignement financier, la confiscation des produits du crime, les enquêtes et les poursuites en matière de financement du terrorisme, et la coopération internationale. Le rapport constate que des améliorations supplémentaires sont nécessaires pour renforcer la supervision, l'application de mesures préventives de LBC/FT par le secteur privé, la transparence de</w:t>
      </w:r>
      <w:r w:rsidR="00E44F77" w:rsidRPr="00F9691A">
        <w:t xml:space="preserve">s bénéficiaires effectifs </w:t>
      </w:r>
      <w:r w:rsidRPr="00F9691A">
        <w:t>des personnes morales et des constructions juridiques, les enquêtes et les poursuites en matière de blanchiment de capitaux et la mise en œuvre de sanctions financières ciblées.</w:t>
      </w:r>
    </w:p>
    <w:p w14:paraId="6791698B" w14:textId="77777777" w:rsidR="0089480A" w:rsidRPr="00F9691A" w:rsidRDefault="0089480A" w:rsidP="0089480A"/>
    <w:p w14:paraId="508AD92E" w14:textId="3CF93BFB" w:rsidR="0089480A" w:rsidRPr="00F9691A" w:rsidRDefault="0089480A" w:rsidP="0089480A">
      <w:r w:rsidRPr="00F9691A">
        <w:t xml:space="preserve">MONEYVAL félicite le Liechtenstein d'avoir une compréhension large et convergente de ses principaux risques de blanchiment </w:t>
      </w:r>
      <w:r w:rsidR="00E44F77" w:rsidRPr="00F9691A">
        <w:t>de capitaux</w:t>
      </w:r>
      <w:r w:rsidRPr="00F9691A">
        <w:t xml:space="preserve"> et de financement du terrorisme. Le rapport note également que, bien qu'une compréhension plus complète des risques dans certains domaines particuliers soit nécessaire, cet effort ne nécessiterait que des améliorations d'un processus d'évaluation des risques bien établi.</w:t>
      </w:r>
    </w:p>
    <w:p w14:paraId="79BA91D3" w14:textId="77777777" w:rsidR="0089480A" w:rsidRPr="00F9691A" w:rsidRDefault="0089480A" w:rsidP="0089480A">
      <w:pPr>
        <w:rPr>
          <w:highlight w:val="yellow"/>
        </w:rPr>
      </w:pPr>
    </w:p>
    <w:p w14:paraId="05793CDF" w14:textId="48FB0D12" w:rsidR="0089480A" w:rsidRPr="00F9691A" w:rsidRDefault="0089480A" w:rsidP="0089480A">
      <w:r w:rsidRPr="00F9691A">
        <w:t xml:space="preserve">Si le rapport constate que les autorités compétentes produisent des renseignements financiers de bonne qualité et parviennent à confisquer les produits du crime, des efforts supplémentaires doivent être consentis dans les enquêtes et les poursuites relatives au blanchiment de capitaux portant sur </w:t>
      </w:r>
      <w:r w:rsidR="00E44F77" w:rsidRPr="00F9691A">
        <w:t>l’</w:t>
      </w:r>
      <w:r w:rsidRPr="00F9691A">
        <w:t>éventail le plus large d</w:t>
      </w:r>
      <w:r w:rsidR="00E44F77" w:rsidRPr="00F9691A">
        <w:t>’ infractions sous-jacentes commises à l’</w:t>
      </w:r>
      <w:r w:rsidRPr="00F9691A">
        <w:t xml:space="preserve">étranger, qui visent des systèmes sophistiqués de blanchiment </w:t>
      </w:r>
      <w:r w:rsidR="00E44F77" w:rsidRPr="00F9691A">
        <w:t>de capitaux</w:t>
      </w:r>
      <w:r w:rsidRPr="00F9691A">
        <w:t>, y compris des structures juridiques complexes établies et gérées dans le pays.</w:t>
      </w:r>
    </w:p>
    <w:p w14:paraId="1720FC2C" w14:textId="77777777" w:rsidR="0089480A" w:rsidRPr="00F9691A" w:rsidRDefault="0089480A" w:rsidP="0089480A">
      <w:pPr>
        <w:rPr>
          <w:highlight w:val="yellow"/>
        </w:rPr>
      </w:pPr>
    </w:p>
    <w:p w14:paraId="6776F08F" w14:textId="6F48F148" w:rsidR="0089480A" w:rsidRPr="00F9691A" w:rsidRDefault="00F26F79" w:rsidP="0089480A">
      <w:r w:rsidRPr="00F26F79">
        <w:t>É</w:t>
      </w:r>
      <w:r>
        <w:t>tant</w:t>
      </w:r>
      <w:r w:rsidR="0089480A" w:rsidRPr="00F9691A">
        <w:t xml:space="preserve"> géographiquement</w:t>
      </w:r>
      <w:r w:rsidR="00BD79A2">
        <w:t xml:space="preserve"> entouré</w:t>
      </w:r>
      <w:r w:rsidR="0089480A" w:rsidRPr="00F9691A">
        <w:t xml:space="preserve"> par la Suisse et l'Autriche, le Liechtenstein coopère étroitement avec ces deux pays dans la lutte contre le terrorisme et le financement du terrorisme. Le rapport, qui examine les caractéristiques des enquêtes menées par les autorités compétentes en matière de lutte contre le terrorisme, conclut que ces autorités disposent des compétences et des connaissances nécessaires pour détecter la collecte, le mouvement et l'utilisation de fonds à des fins de lutte contre le terrorisme.</w:t>
      </w:r>
    </w:p>
    <w:p w14:paraId="58F79037" w14:textId="77777777" w:rsidR="0089480A" w:rsidRPr="00F9691A" w:rsidRDefault="0089480A" w:rsidP="0089480A">
      <w:pPr>
        <w:rPr>
          <w:highlight w:val="yellow"/>
        </w:rPr>
      </w:pPr>
    </w:p>
    <w:p w14:paraId="2C6467E5" w14:textId="4F9097DE" w:rsidR="0089480A" w:rsidRPr="00F9691A" w:rsidRDefault="0089480A" w:rsidP="0089480A">
      <w:r w:rsidRPr="00F9691A">
        <w:t xml:space="preserve">La compréhension des risques et des obligations en matière de blanchiment </w:t>
      </w:r>
      <w:r w:rsidR="00BB579A" w:rsidRPr="00F9691A">
        <w:t>de capitaux</w:t>
      </w:r>
      <w:r w:rsidRPr="00F9691A">
        <w:t xml:space="preserve"> et de financement du terrorisme est désormais généralement </w:t>
      </w:r>
      <w:r w:rsidR="00BB579A" w:rsidRPr="00F9691A">
        <w:t>satisfaisante</w:t>
      </w:r>
      <w:r w:rsidRPr="00F9691A">
        <w:t xml:space="preserve"> dans le secteur privé. Les banques et les grands prestataires de services aux sociétés et fiducies ont fait preuve de la meilleure compréhension des risques de blanchiment</w:t>
      </w:r>
      <w:r w:rsidR="00BB579A" w:rsidRPr="00F9691A">
        <w:t xml:space="preserve"> de capitaux</w:t>
      </w:r>
      <w:r w:rsidRPr="00F9691A">
        <w:t xml:space="preserve"> et de financement du terrorisme, liés à la banque privée et à la gestion de patrimoine. </w:t>
      </w:r>
      <w:r w:rsidR="00BB579A" w:rsidRPr="00F9691A">
        <w:t>En matière de supervision, l</w:t>
      </w:r>
      <w:r w:rsidRPr="00F9691A">
        <w:t>'approch</w:t>
      </w:r>
      <w:r w:rsidR="00BB579A" w:rsidRPr="00F9691A">
        <w:t>e</w:t>
      </w:r>
      <w:r w:rsidRPr="00F9691A">
        <w:t xml:space="preserve"> appliquée par </w:t>
      </w:r>
      <w:r w:rsidR="00BB579A" w:rsidRPr="00F9691A">
        <w:t>le principal superviseur</w:t>
      </w:r>
      <w:r w:rsidRPr="00F9691A">
        <w:t xml:space="preserve"> de la LBC/FT a fait l'objet d'une </w:t>
      </w:r>
      <w:r w:rsidRPr="00F9691A">
        <w:lastRenderedPageBreak/>
        <w:t xml:space="preserve">révision importante et il est désormais fait davantage appel aux inspections menées par son propre personnel, plutôt qu'à des cabinets d'audit externes. Néanmoins, la </w:t>
      </w:r>
      <w:r w:rsidR="00BB579A">
        <w:t>supervision</w:t>
      </w:r>
      <w:r w:rsidRPr="00F9691A">
        <w:t xml:space="preserve"> des entités évaluées comme présentant un risque élevé ou moyennement élevé est jugée insuffisante.</w:t>
      </w:r>
    </w:p>
    <w:p w14:paraId="22F294D5" w14:textId="77777777" w:rsidR="0089480A" w:rsidRPr="00F9691A" w:rsidRDefault="0089480A" w:rsidP="0089480A"/>
    <w:p w14:paraId="4F4484A6" w14:textId="23650067" w:rsidR="0089480A" w:rsidRPr="00F9691A" w:rsidRDefault="0089480A" w:rsidP="0089480A">
      <w:r w:rsidRPr="00F9691A">
        <w:t xml:space="preserve">Les autorités compétentes peuvent obtenir des informations sur </w:t>
      </w:r>
      <w:r w:rsidR="00926982" w:rsidRPr="00F9691A">
        <w:t>les bénéficiaires effectifs</w:t>
      </w:r>
      <w:r w:rsidRPr="00F9691A">
        <w:t xml:space="preserve"> des personnes morales et des constructions juridiques à partir d'un registre tenu par l'Office de la justice et directement auprès du secteur privé. Bien que le rapport note qu'il n'y a </w:t>
      </w:r>
      <w:proofErr w:type="gramStart"/>
      <w:r w:rsidRPr="00F9691A">
        <w:t>eu</w:t>
      </w:r>
      <w:proofErr w:type="gramEnd"/>
      <w:r w:rsidRPr="00F9691A">
        <w:t xml:space="preserve"> aucune difficulté à accéder à ces informations en temps utile, l'exhaustivité et la plausibilité des informations contenues dans le registre </w:t>
      </w:r>
      <w:r w:rsidR="00926982" w:rsidRPr="00F9691A">
        <w:t>de BE</w:t>
      </w:r>
      <w:r w:rsidRPr="00F9691A">
        <w:t xml:space="preserve"> n'ont pas encore fait l'objet d'un contrôle de la part de l'Office de la justice.</w:t>
      </w:r>
    </w:p>
    <w:p w14:paraId="12A1A2E8" w14:textId="77777777" w:rsidR="0089480A" w:rsidRPr="00F9691A" w:rsidRDefault="0089480A" w:rsidP="0089480A">
      <w:pPr>
        <w:rPr>
          <w:highlight w:val="yellow"/>
        </w:rPr>
      </w:pPr>
    </w:p>
    <w:p w14:paraId="5DF36683" w14:textId="77777777" w:rsidR="0089480A" w:rsidRPr="00F9691A" w:rsidRDefault="0089480A" w:rsidP="0089480A">
      <w:r w:rsidRPr="00F9691A">
        <w:t>Enfin, le rapport conclut que, malgré certaines contraintes procédurales, le Liechtenstein fournit une assistance opportune et constructive pour l'ensemble des demandes de coopération internationale, y compris l'entraide judiciaire.</w:t>
      </w:r>
    </w:p>
    <w:p w14:paraId="5DB08D53" w14:textId="77777777" w:rsidR="0089480A" w:rsidRPr="00F9691A" w:rsidRDefault="0089480A" w:rsidP="0089480A"/>
    <w:p w14:paraId="592A8BE8" w14:textId="5CF869B7" w:rsidR="0089480A" w:rsidRPr="00F9691A" w:rsidRDefault="0089480A" w:rsidP="0089480A">
      <w:r w:rsidRPr="00F9691A">
        <w:t>Le Liechtenstein sera soumis au processus de suivi régulier de MONEYVAL à la suite d</w:t>
      </w:r>
      <w:r w:rsidR="00926982" w:rsidRPr="00926982">
        <w:t>e ce</w:t>
      </w:r>
      <w:r w:rsidRPr="00F9691A">
        <w:t xml:space="preserve"> rapport.</w:t>
      </w:r>
    </w:p>
    <w:p w14:paraId="50462C8E" w14:textId="77777777" w:rsidR="0089480A" w:rsidRPr="00F9691A" w:rsidRDefault="0089480A" w:rsidP="0089480A"/>
    <w:p w14:paraId="32C388F8" w14:textId="04AB204E" w:rsidR="00926982" w:rsidRPr="00824558" w:rsidRDefault="0089480A" w:rsidP="00926982">
      <w:pPr>
        <w:pStyle w:val="Heading2"/>
        <w:keepLines w:val="0"/>
        <w:tabs>
          <w:tab w:val="left" w:pos="709"/>
        </w:tabs>
        <w:spacing w:before="0"/>
        <w:ind w:right="680"/>
        <w:jc w:val="both"/>
        <w:rPr>
          <w:rFonts w:ascii="Arial" w:eastAsiaTheme="minorHAnsi" w:hAnsi="Arial" w:cs="Times New Roman"/>
          <w:b/>
          <w:bCs/>
          <w:color w:val="auto"/>
          <w:sz w:val="20"/>
          <w:szCs w:val="20"/>
          <w:lang w:val="fr-FR"/>
        </w:rPr>
      </w:pPr>
      <w:bookmarkStart w:id="150" w:name="_Toc135412696"/>
      <w:bookmarkStart w:id="151" w:name="_Toc132203750"/>
      <w:r w:rsidRPr="00F9691A">
        <w:rPr>
          <w:rFonts w:ascii="Arial" w:eastAsiaTheme="minorHAnsi" w:hAnsi="Arial" w:cs="Times New Roman"/>
          <w:b/>
          <w:bCs/>
          <w:color w:val="000000" w:themeColor="text1"/>
          <w:sz w:val="20"/>
          <w:szCs w:val="20"/>
          <w:lang w:val="fr-FR"/>
        </w:rPr>
        <w:t>2.3</w:t>
      </w:r>
      <w:r w:rsidRPr="00F9691A">
        <w:rPr>
          <w:rFonts w:ascii="Arial" w:eastAsiaTheme="minorHAnsi" w:hAnsi="Arial" w:cs="Times New Roman"/>
          <w:b/>
          <w:bCs/>
          <w:color w:val="000000" w:themeColor="text1"/>
          <w:sz w:val="20"/>
          <w:szCs w:val="20"/>
          <w:lang w:val="fr-FR"/>
        </w:rPr>
        <w:tab/>
      </w:r>
      <w:r w:rsidR="00926982" w:rsidRPr="00926982">
        <w:rPr>
          <w:rStyle w:val="docheader1"/>
          <w:rFonts w:ascii="Arial" w:hAnsi="Arial" w:cs="Arial"/>
          <w:color w:val="auto"/>
          <w:sz w:val="20"/>
          <w:szCs w:val="20"/>
          <w:lang w:val="fr-FR"/>
        </w:rPr>
        <w:t>Rapport d’évaluation d</w:t>
      </w:r>
      <w:r w:rsidR="00A81874">
        <w:rPr>
          <w:rStyle w:val="docheader1"/>
          <w:rFonts w:ascii="Arial" w:hAnsi="Arial" w:cs="Arial"/>
          <w:color w:val="auto"/>
          <w:sz w:val="20"/>
          <w:szCs w:val="20"/>
          <w:lang w:val="fr-FR"/>
        </w:rPr>
        <w:t>u 5</w:t>
      </w:r>
      <w:r w:rsidR="00A81874" w:rsidRPr="00F9691A">
        <w:rPr>
          <w:rStyle w:val="docheader1"/>
          <w:rFonts w:ascii="Arial" w:hAnsi="Arial" w:cs="Arial"/>
          <w:color w:val="auto"/>
          <w:sz w:val="20"/>
          <w:szCs w:val="20"/>
          <w:vertAlign w:val="superscript"/>
          <w:lang w:val="fr-FR"/>
        </w:rPr>
        <w:t>ème</w:t>
      </w:r>
      <w:r w:rsidR="00A81874">
        <w:rPr>
          <w:rStyle w:val="docheader1"/>
          <w:rFonts w:ascii="Arial" w:hAnsi="Arial" w:cs="Arial"/>
          <w:color w:val="auto"/>
          <w:sz w:val="20"/>
          <w:szCs w:val="20"/>
          <w:lang w:val="fr-FR"/>
        </w:rPr>
        <w:t xml:space="preserve"> </w:t>
      </w:r>
      <w:r w:rsidR="00926982" w:rsidRPr="00926982">
        <w:rPr>
          <w:rStyle w:val="docheader1"/>
          <w:rFonts w:ascii="Arial" w:hAnsi="Arial" w:cs="Arial"/>
          <w:color w:val="auto"/>
          <w:sz w:val="20"/>
          <w:szCs w:val="20"/>
          <w:lang w:val="fr-FR"/>
        </w:rPr>
        <w:t xml:space="preserve">cycle </w:t>
      </w:r>
      <w:r w:rsidR="00A81874">
        <w:rPr>
          <w:rFonts w:ascii="Arial" w:eastAsiaTheme="minorHAnsi" w:hAnsi="Arial" w:cs="Times New Roman"/>
          <w:b/>
          <w:bCs/>
          <w:color w:val="auto"/>
          <w:sz w:val="20"/>
          <w:szCs w:val="20"/>
          <w:lang w:val="fr-FR"/>
        </w:rPr>
        <w:t>de</w:t>
      </w:r>
      <w:r w:rsidR="00926982" w:rsidRPr="00926982">
        <w:rPr>
          <w:rFonts w:ascii="Arial" w:eastAsiaTheme="minorHAnsi" w:hAnsi="Arial" w:cs="Times New Roman"/>
          <w:b/>
          <w:bCs/>
          <w:color w:val="auto"/>
          <w:sz w:val="20"/>
          <w:szCs w:val="20"/>
          <w:lang w:val="fr-FR"/>
        </w:rPr>
        <w:t xml:space="preserve"> Monaco</w:t>
      </w:r>
      <w:bookmarkEnd w:id="150"/>
    </w:p>
    <w:bookmarkEnd w:id="151"/>
    <w:p w14:paraId="4A418EFA" w14:textId="77777777" w:rsidR="0089480A" w:rsidRPr="00333228" w:rsidRDefault="0089480A" w:rsidP="0089480A">
      <w:pPr>
        <w:rPr>
          <w:highlight w:val="yellow"/>
        </w:rPr>
      </w:pPr>
    </w:p>
    <w:p w14:paraId="5016DC05" w14:textId="79F489EB" w:rsidR="0089480A" w:rsidRPr="00F9691A" w:rsidRDefault="0089480A" w:rsidP="0089480A">
      <w:r w:rsidRPr="00F9691A">
        <w:t>Le rapport d'évaluation mutuelle du 5</w:t>
      </w:r>
      <w:r w:rsidR="00A81874" w:rsidRPr="00F9691A">
        <w:rPr>
          <w:vertAlign w:val="superscript"/>
        </w:rPr>
        <w:t>ème</w:t>
      </w:r>
      <w:r w:rsidRPr="00F9691A">
        <w:t xml:space="preserve"> cycle de Monaco a été adopté lors de la 64</w:t>
      </w:r>
      <w:r w:rsidR="00A81874" w:rsidRPr="00F9691A">
        <w:rPr>
          <w:vertAlign w:val="superscript"/>
        </w:rPr>
        <w:t>ème</w:t>
      </w:r>
      <w:r w:rsidR="00A81874">
        <w:t xml:space="preserve"> </w:t>
      </w:r>
      <w:r w:rsidRPr="00F9691A">
        <w:t>réunion plénière en décembre 2022. Le rapport MONEYVAL considère que le pays a démontré un niveau modéré d'efficacité en ce qui concerne la compréhension des risques de blanchiment de capitaux et de financement du terrorisme, la coopération internationale, l'application de mesures préventives de lutte contre le blanchiment de capitaux et le financement du terrorisme par le secteur privé, l'utilisation du renseignement financier et la mise en œuvre des sanctions financières ciblées (</w:t>
      </w:r>
      <w:r w:rsidR="00C507B9" w:rsidRPr="00F9691A">
        <w:t>SFC</w:t>
      </w:r>
      <w:r w:rsidRPr="00F9691A">
        <w:t>) des Nations Unies sur le financement du terrorisme et le financement de la prolifération (PF). Le rapport constate que des améliorations majeures sont également nécessaires en ce qui concerne la transparence des personnes morales, ainsi que les enquêtes et les poursuites en matière de lutte contre le financement du terrorisme.</w:t>
      </w:r>
    </w:p>
    <w:p w14:paraId="1803856F" w14:textId="77777777" w:rsidR="0089480A" w:rsidRPr="00F9691A" w:rsidRDefault="0089480A" w:rsidP="0089480A">
      <w:pPr>
        <w:rPr>
          <w:highlight w:val="yellow"/>
        </w:rPr>
      </w:pPr>
    </w:p>
    <w:p w14:paraId="19F4CA96" w14:textId="77777777" w:rsidR="00C507B9" w:rsidRPr="00C507B9" w:rsidRDefault="00C507B9" w:rsidP="00C507B9">
      <w:r w:rsidRPr="00C507B9">
        <w:t>Le rapport note la nécessité d‘améliorations fondamentales pour renforcer l'efficacité de la supervision, des enquêtes et des poursuites en matière de BC et de la confiscation des produits du crime.</w:t>
      </w:r>
    </w:p>
    <w:p w14:paraId="7FCA481B" w14:textId="77777777" w:rsidR="0089480A" w:rsidRPr="00F9691A" w:rsidRDefault="0089480A" w:rsidP="0089480A">
      <w:pPr>
        <w:rPr>
          <w:highlight w:val="yellow"/>
        </w:rPr>
      </w:pPr>
    </w:p>
    <w:p w14:paraId="011D09D8" w14:textId="77777777" w:rsidR="00C507B9" w:rsidRPr="00C507B9" w:rsidRDefault="00C507B9" w:rsidP="00C507B9">
      <w:r w:rsidRPr="00C507B9">
        <w:t xml:space="preserve">MONEYVAL reconnaît le travail considérable entrepris par Monaco dans l’identification des risques de BC/FT. Si les résultats obtenus permettent une certaine compréhension des risques pour un nombre de secteurs, des approfondissements sont nécessaires quant à d'autres (casinos, prestataires des services aux sociétés, trusts et actifs virtuels). En outre, une analyse plus approfondie de la menace, notamment en lien avec la criminalité organisée et les menaces externes de BC, est nécessaire. </w:t>
      </w:r>
    </w:p>
    <w:p w14:paraId="5B187ED2" w14:textId="77777777" w:rsidR="0089480A" w:rsidRPr="00F9691A" w:rsidRDefault="0089480A" w:rsidP="0089480A">
      <w:pPr>
        <w:rPr>
          <w:highlight w:val="yellow"/>
        </w:rPr>
      </w:pPr>
    </w:p>
    <w:p w14:paraId="6F890828" w14:textId="77777777" w:rsidR="00C507B9" w:rsidRPr="00C507B9" w:rsidRDefault="00C507B9" w:rsidP="00C507B9">
      <w:r w:rsidRPr="00C507B9">
        <w:t xml:space="preserve">La cellule de renseignement financier monégasque (SICCFIN) est une source essentielle de renseignement financier. Malgré un manque important de ressources humaines et techniques, le SICCFIN a prouvé sa capacité à produire des analyses de haute qualité, qui ne sont toutefois pas pleinement utilisées par les autorités chargées des enquêtes. </w:t>
      </w:r>
    </w:p>
    <w:p w14:paraId="2E13BF15" w14:textId="77777777" w:rsidR="0089480A" w:rsidRPr="00F9691A" w:rsidRDefault="0089480A" w:rsidP="0089480A">
      <w:pPr>
        <w:rPr>
          <w:highlight w:val="yellow"/>
        </w:rPr>
      </w:pPr>
    </w:p>
    <w:p w14:paraId="72A6BB02" w14:textId="77777777" w:rsidR="00C507B9" w:rsidRPr="00C507B9" w:rsidRDefault="00C507B9" w:rsidP="00C507B9">
      <w:r w:rsidRPr="00C507B9">
        <w:t xml:space="preserve">MONEYVAL a noté que les enquêtes et les poursuites en matière de BC ne semblent pas correspondre au profil de risque de Monaco, avec des lacunes particulières concernant les affaires complexes. Le rapport exprime des inquiétudes quant au très faible nombre de condamnations obtenues, et au nombre encore plus réduit de mesures de confiscation ordonnées, dont aucune ne concerne des biens de valeur équivalente ou des biens détenus par des tiers. Monaco doit intensifier ses efforts pour identifier et prioriser les affaires de BC, saisir, confisquer et recouvrer les produits du BC et des infractions sous-jacentes. </w:t>
      </w:r>
    </w:p>
    <w:p w14:paraId="3D8113BD" w14:textId="77777777" w:rsidR="005237A0" w:rsidRDefault="005237A0" w:rsidP="00C507B9"/>
    <w:p w14:paraId="226DD768" w14:textId="67B59E26" w:rsidR="00C507B9" w:rsidRPr="00C507B9" w:rsidRDefault="00C507B9" w:rsidP="00C507B9">
      <w:r w:rsidRPr="00C507B9">
        <w:t>Monaco doit améliorer fondamentalement son système de supervision. Les lacunes relevées en lien avec les contrôles d’honorabilité et de probité des bénéficiaires effectifs (BE) et avec la compréhension des risques compromettent la capacité des autorités à mener une supervision adaptée pour un certain nombre d’assujettis. Les sanctions pour le non-respect des obligations en matière de LBC/FT sont limitées, non proportionnées aux griefs relevés, non dissuasives et imposées tardivement.</w:t>
      </w:r>
    </w:p>
    <w:p w14:paraId="072E49E2" w14:textId="77777777" w:rsidR="0089480A" w:rsidRPr="00F9691A" w:rsidRDefault="0089480A" w:rsidP="0089480A">
      <w:pPr>
        <w:rPr>
          <w:highlight w:val="yellow"/>
        </w:rPr>
      </w:pPr>
    </w:p>
    <w:p w14:paraId="5059248A" w14:textId="257099F1" w:rsidR="00C507B9" w:rsidRPr="00C507B9" w:rsidRDefault="00C507B9" w:rsidP="00C507B9">
      <w:r w:rsidRPr="00C507B9">
        <w:t>En ce qui concerne le secteur privé, MONEYVAL note que les obligations en matière de LBC/FT sont appliquées dans une certaine mesure. Le nombre de déclarations de soupçons (DOS) émanant du secteur bancaire peut être considéré comme assez satisfaisant, bien que le volume important de déclarations dites «</w:t>
      </w:r>
      <w:r w:rsidR="002E6C1B">
        <w:t> </w:t>
      </w:r>
      <w:r w:rsidRPr="00C507B9">
        <w:t xml:space="preserve">de couverture » ainsi que les délais de transmission excessivement longs soulèvent des questions quant à la qualité des informations fournies. Les entreprises et professions non financières désignées (EPNFD) ont une moins bonne compréhension des risques de LBC/FT et une culture de conformité moindre. Le nombre de DOS émanant des casinos et des bijoutiers demeure limité, alors que ces secteurs présentent une importance particulière dans la Principauté.    </w:t>
      </w:r>
    </w:p>
    <w:p w14:paraId="4F022CE8" w14:textId="77777777" w:rsidR="00625A70" w:rsidRDefault="00625A70">
      <w:r>
        <w:br w:type="page"/>
      </w:r>
    </w:p>
    <w:p w14:paraId="42220694" w14:textId="2061478A" w:rsidR="00C507B9" w:rsidRPr="00C507B9" w:rsidRDefault="00C507B9" w:rsidP="00C507B9">
      <w:r w:rsidRPr="00C507B9">
        <w:lastRenderedPageBreak/>
        <w:t xml:space="preserve">Monaco est loué pour la réforme du cadre permettant la mise en œuvre des SFC. Depuis mai 2021 les délais existants sous le régime précédent ont été réduits, malgré les lacunes techniques identifiées, principalement en ce qui concerne le risque de levée de gel. Bien que Monaco ait procédé à une première évaluation des risques du secteur à but non lucratif, en raison de sa formalisation récente, elle n’a pas contribué à l’application d’une approche fondée sur les risques. Les mesures de sensibilisation et de surveillance existantes n'ont pas pu être considérées comme proportionnées et ciblées. </w:t>
      </w:r>
    </w:p>
    <w:p w14:paraId="1E1639DB" w14:textId="77777777" w:rsidR="0089480A" w:rsidRPr="00F9691A" w:rsidRDefault="0089480A" w:rsidP="0089480A">
      <w:pPr>
        <w:rPr>
          <w:highlight w:val="yellow"/>
        </w:rPr>
      </w:pPr>
    </w:p>
    <w:p w14:paraId="65C38AFD" w14:textId="77777777" w:rsidR="00A81874" w:rsidRDefault="00C507B9" w:rsidP="00A81874">
      <w:r w:rsidRPr="00C507B9">
        <w:t xml:space="preserve">MONEYVAL note l’absence de poursuites ou de condamnations pour FT à Monaco. Compte tenu de certaines lacunes identifiées dans l'analyse des risques de FT, il n'a pas été possible de conclure que cette situation est entièrement conforme au profil de risque de la Principauté.  </w:t>
      </w:r>
    </w:p>
    <w:p w14:paraId="0CE84E91" w14:textId="77777777" w:rsidR="00A81874" w:rsidRDefault="00A81874" w:rsidP="00A81874"/>
    <w:p w14:paraId="59FF5AFD" w14:textId="77777777" w:rsidR="00A81874" w:rsidRDefault="00C507B9" w:rsidP="00A81874">
      <w:r w:rsidRPr="00C507B9">
        <w:t>MONEYVAL reconnaît la bonne compréhension, par les autorités monégasques, des risques de BC/FT associés aux activités de divers types de personnes morales tout en relevant les lacunes majeures dans l’obtention des informations sur les BE. Les mesures d'atténuation appliquées sont insuffisantes quant aux catégories de personnes morales à haut risque et aux organismes à but non lucratif. La plupart des sanctions applicables ne sont pas dissuasives et sont rarement imposées.</w:t>
      </w:r>
    </w:p>
    <w:p w14:paraId="2CB0A15E" w14:textId="77777777" w:rsidR="00A81874" w:rsidRDefault="00A81874" w:rsidP="00A81874"/>
    <w:p w14:paraId="0B3296FA" w14:textId="4603D3B2" w:rsidR="00A24766" w:rsidRDefault="00C507B9">
      <w:r w:rsidRPr="00C507B9">
        <w:t xml:space="preserve">Des améliorations majeures sont nécessaires pour renforcer l'efficacité de la Principauté en matière de coopération internationale. Monaco recherche généralement la coopération de ses homologues, bien que cela ne soit pas entièrement adapté à ses risques et contexte. Les autorités de poursuite pénale exécutent les demandes de manière satisfaisante, malgré l’existence des obstacles législatifs systémiques et atypiques entravant l’octroi d’entraide judiciaire par Monaco. En ce qui concerne l'extradition, l'interprétation restrictive des tribunaux du principe de double incrimination entraîne le refus d'une demande sur deux.  </w:t>
      </w:r>
    </w:p>
    <w:p w14:paraId="6CDC6B2A" w14:textId="77777777" w:rsidR="00A24766" w:rsidRPr="00C507B9" w:rsidRDefault="00A24766" w:rsidP="00F9691A"/>
    <w:p w14:paraId="65421E8A" w14:textId="021E164B" w:rsidR="0089480A" w:rsidRPr="00F9691A" w:rsidRDefault="00C507B9" w:rsidP="00F9691A">
      <w:r w:rsidRPr="00C507B9">
        <w:t>Sur la base des résultats de son évaluation, MONEYVAL a décidé d'appliquer sa procédure de suivi renforcé et a invité Monaco à rendre compte des progrès réalisés en décembre 2024.</w:t>
      </w:r>
    </w:p>
    <w:p w14:paraId="349A765D" w14:textId="77777777" w:rsidR="0089480A" w:rsidRPr="00F9691A" w:rsidRDefault="0089480A" w:rsidP="0089480A">
      <w:pPr>
        <w:pStyle w:val="Heading2"/>
        <w:keepLines w:val="0"/>
        <w:tabs>
          <w:tab w:val="left" w:pos="709"/>
        </w:tabs>
        <w:spacing w:before="0"/>
        <w:ind w:right="680"/>
        <w:jc w:val="both"/>
        <w:rPr>
          <w:rFonts w:ascii="Arial" w:eastAsiaTheme="minorHAnsi" w:hAnsi="Arial" w:cs="Times New Roman"/>
          <w:b/>
          <w:bCs/>
          <w:color w:val="000000" w:themeColor="text1"/>
          <w:sz w:val="20"/>
          <w:szCs w:val="20"/>
          <w:lang w:val="fr-FR"/>
        </w:rPr>
      </w:pPr>
    </w:p>
    <w:p w14:paraId="24BBACA5" w14:textId="07E5198E" w:rsidR="0089480A" w:rsidRPr="00F9691A" w:rsidRDefault="0089480A" w:rsidP="0089480A">
      <w:pPr>
        <w:pStyle w:val="Heading2"/>
        <w:keepLines w:val="0"/>
        <w:tabs>
          <w:tab w:val="left" w:pos="709"/>
        </w:tabs>
        <w:spacing w:before="0"/>
        <w:ind w:right="680"/>
        <w:jc w:val="both"/>
        <w:rPr>
          <w:rFonts w:ascii="Arial" w:eastAsiaTheme="minorHAnsi" w:hAnsi="Arial" w:cs="Times New Roman"/>
          <w:b/>
          <w:bCs/>
          <w:color w:val="000000" w:themeColor="text1"/>
          <w:sz w:val="20"/>
          <w:szCs w:val="20"/>
          <w:lang w:val="fr-FR"/>
        </w:rPr>
      </w:pPr>
      <w:bookmarkStart w:id="152" w:name="_Toc132203751"/>
      <w:bookmarkStart w:id="153" w:name="_Toc135412697"/>
      <w:r w:rsidRPr="00F9691A">
        <w:rPr>
          <w:rFonts w:ascii="Arial" w:eastAsiaTheme="minorHAnsi" w:hAnsi="Arial" w:cs="Times New Roman"/>
          <w:b/>
          <w:bCs/>
          <w:color w:val="000000" w:themeColor="text1"/>
          <w:sz w:val="20"/>
          <w:szCs w:val="20"/>
          <w:lang w:val="fr-FR"/>
        </w:rPr>
        <w:t xml:space="preserve">2.4 </w:t>
      </w:r>
      <w:r w:rsidR="00F0657C">
        <w:rPr>
          <w:rFonts w:ascii="Arial" w:eastAsiaTheme="minorHAnsi" w:hAnsi="Arial" w:cs="Times New Roman"/>
          <w:b/>
          <w:bCs/>
          <w:color w:val="000000" w:themeColor="text1"/>
          <w:sz w:val="20"/>
          <w:szCs w:val="20"/>
          <w:lang w:val="fr-FR"/>
        </w:rPr>
        <w:tab/>
      </w:r>
      <w:r w:rsidR="00C507B9" w:rsidRPr="00C507B9">
        <w:rPr>
          <w:rStyle w:val="docheader1"/>
          <w:rFonts w:ascii="Arial" w:hAnsi="Arial" w:cs="Arial"/>
          <w:color w:val="auto"/>
          <w:sz w:val="20"/>
          <w:szCs w:val="20"/>
          <w:lang w:val="fr-FR"/>
        </w:rPr>
        <w:t>Rapport d’évaluation d</w:t>
      </w:r>
      <w:r w:rsidR="00A81874">
        <w:rPr>
          <w:rStyle w:val="docheader1"/>
          <w:rFonts w:ascii="Arial" w:hAnsi="Arial" w:cs="Arial"/>
          <w:color w:val="auto"/>
          <w:sz w:val="20"/>
          <w:szCs w:val="20"/>
          <w:lang w:val="fr-FR"/>
        </w:rPr>
        <w:t>u 5</w:t>
      </w:r>
      <w:r w:rsidR="00A81874" w:rsidRPr="00F9691A">
        <w:rPr>
          <w:rStyle w:val="docheader1"/>
          <w:rFonts w:ascii="Arial" w:hAnsi="Arial" w:cs="Arial"/>
          <w:color w:val="auto"/>
          <w:sz w:val="20"/>
          <w:szCs w:val="20"/>
          <w:vertAlign w:val="superscript"/>
          <w:lang w:val="fr-FR"/>
        </w:rPr>
        <w:t>ème</w:t>
      </w:r>
      <w:r w:rsidR="00A81874">
        <w:rPr>
          <w:rStyle w:val="docheader1"/>
          <w:rFonts w:ascii="Arial" w:hAnsi="Arial" w:cs="Arial"/>
          <w:color w:val="auto"/>
          <w:sz w:val="20"/>
          <w:szCs w:val="20"/>
          <w:lang w:val="fr-FR"/>
        </w:rPr>
        <w:t xml:space="preserve"> </w:t>
      </w:r>
      <w:r w:rsidR="00C507B9" w:rsidRPr="00C507B9">
        <w:rPr>
          <w:rStyle w:val="docheader1"/>
          <w:rFonts w:ascii="Arial" w:hAnsi="Arial" w:cs="Arial"/>
          <w:color w:val="auto"/>
          <w:sz w:val="20"/>
          <w:szCs w:val="20"/>
          <w:lang w:val="fr-FR"/>
        </w:rPr>
        <w:t xml:space="preserve">cycle </w:t>
      </w:r>
      <w:r w:rsidR="00A81874">
        <w:rPr>
          <w:rStyle w:val="docheader1"/>
          <w:rFonts w:ascii="Arial" w:hAnsi="Arial" w:cs="Arial"/>
          <w:color w:val="auto"/>
          <w:sz w:val="20"/>
          <w:szCs w:val="20"/>
          <w:lang w:val="fr-FR"/>
        </w:rPr>
        <w:t>de</w:t>
      </w:r>
      <w:r w:rsidR="00C507B9" w:rsidRPr="00C507B9">
        <w:rPr>
          <w:rStyle w:val="docheader1"/>
          <w:rFonts w:ascii="Arial" w:hAnsi="Arial" w:cs="Arial"/>
          <w:color w:val="auto"/>
          <w:sz w:val="20"/>
          <w:szCs w:val="20"/>
          <w:lang w:val="fr-FR"/>
        </w:rPr>
        <w:t xml:space="preserve"> l’</w:t>
      </w:r>
      <w:r w:rsidRPr="00F9691A">
        <w:rPr>
          <w:rFonts w:ascii="Arial" w:eastAsiaTheme="minorHAnsi" w:hAnsi="Arial" w:cs="Times New Roman"/>
          <w:b/>
          <w:bCs/>
          <w:color w:val="000000" w:themeColor="text1"/>
          <w:sz w:val="20"/>
          <w:szCs w:val="20"/>
          <w:lang w:val="fr-FR"/>
        </w:rPr>
        <w:t>Estonie</w:t>
      </w:r>
      <w:bookmarkEnd w:id="152"/>
      <w:bookmarkEnd w:id="153"/>
    </w:p>
    <w:p w14:paraId="4EDB0E22" w14:textId="77777777" w:rsidR="0089480A" w:rsidRPr="006E7463" w:rsidRDefault="0089480A" w:rsidP="0089480A">
      <w:pPr>
        <w:rPr>
          <w:rFonts w:cs="Arial"/>
          <w:szCs w:val="20"/>
          <w:highlight w:val="yellow"/>
        </w:rPr>
      </w:pPr>
    </w:p>
    <w:p w14:paraId="44BA002C" w14:textId="6F4D74B7" w:rsidR="0089480A" w:rsidRPr="00F9691A" w:rsidRDefault="0089480A" w:rsidP="0089480A">
      <w:pPr>
        <w:rPr>
          <w:rFonts w:cs="Arial"/>
          <w:szCs w:val="20"/>
        </w:rPr>
      </w:pPr>
      <w:r w:rsidRPr="00B86166">
        <w:rPr>
          <w:rFonts w:cs="Arial"/>
          <w:szCs w:val="20"/>
        </w:rPr>
        <w:t>Le rapport d'évaluation mutuelle du 5</w:t>
      </w:r>
      <w:r w:rsidR="00F0657C" w:rsidRPr="00F0657C">
        <w:rPr>
          <w:rFonts w:cs="Arial"/>
          <w:szCs w:val="20"/>
          <w:vertAlign w:val="superscript"/>
        </w:rPr>
        <w:t>ème</w:t>
      </w:r>
      <w:r w:rsidR="00F0657C">
        <w:rPr>
          <w:rFonts w:cs="Arial"/>
          <w:szCs w:val="20"/>
        </w:rPr>
        <w:t xml:space="preserve"> </w:t>
      </w:r>
      <w:r w:rsidRPr="00B86166">
        <w:rPr>
          <w:rFonts w:cs="Arial"/>
          <w:szCs w:val="20"/>
        </w:rPr>
        <w:t>cycle de l'Estonie a été adopté lors de la 64</w:t>
      </w:r>
      <w:r w:rsidR="00F0657C" w:rsidRPr="00F0657C">
        <w:rPr>
          <w:rFonts w:cs="Arial"/>
          <w:szCs w:val="20"/>
          <w:vertAlign w:val="superscript"/>
        </w:rPr>
        <w:t>ème</w:t>
      </w:r>
      <w:r w:rsidR="00F0657C">
        <w:rPr>
          <w:rFonts w:cs="Arial"/>
          <w:szCs w:val="20"/>
        </w:rPr>
        <w:t xml:space="preserve"> </w:t>
      </w:r>
      <w:r w:rsidRPr="00B86166">
        <w:rPr>
          <w:rFonts w:cs="Arial"/>
          <w:szCs w:val="20"/>
        </w:rPr>
        <w:t xml:space="preserve">réunion plénière en décembre 2022. </w:t>
      </w:r>
      <w:r w:rsidRPr="00F9691A">
        <w:rPr>
          <w:rFonts w:cs="Arial"/>
          <w:szCs w:val="20"/>
        </w:rPr>
        <w:t xml:space="preserve">Le rapport reconnaît que le pays a démontré un niveau substantiel d'efficacité </w:t>
      </w:r>
      <w:r w:rsidR="00C507B9" w:rsidRPr="00F9691A">
        <w:rPr>
          <w:rFonts w:cs="Arial"/>
          <w:szCs w:val="20"/>
        </w:rPr>
        <w:t>en matière de</w:t>
      </w:r>
      <w:r w:rsidRPr="00F9691A">
        <w:rPr>
          <w:rFonts w:cs="Arial"/>
          <w:szCs w:val="20"/>
        </w:rPr>
        <w:t xml:space="preserve"> coopération internationale, l'utilisation du renseignement financier et la mise en œuvre des sanctions financières ciblées des Nations Unies sur le financement de la prolifération. Le rapport constate que des améliorations </w:t>
      </w:r>
      <w:r w:rsidR="00C507B9" w:rsidRPr="00F9691A">
        <w:rPr>
          <w:rFonts w:cs="Arial"/>
          <w:szCs w:val="20"/>
        </w:rPr>
        <w:t>additionnelles</w:t>
      </w:r>
      <w:r w:rsidRPr="00F9691A">
        <w:rPr>
          <w:rFonts w:cs="Arial"/>
          <w:szCs w:val="20"/>
        </w:rPr>
        <w:t xml:space="preserve"> sont nécessaires </w:t>
      </w:r>
      <w:r w:rsidR="00B86166" w:rsidRPr="00F9691A">
        <w:rPr>
          <w:rFonts w:cs="Arial"/>
          <w:szCs w:val="20"/>
        </w:rPr>
        <w:t xml:space="preserve">en matière de </w:t>
      </w:r>
      <w:r w:rsidRPr="00F9691A">
        <w:rPr>
          <w:rFonts w:cs="Arial"/>
          <w:szCs w:val="20"/>
        </w:rPr>
        <w:t xml:space="preserve">compréhension des risques de blanchiment </w:t>
      </w:r>
      <w:r w:rsidR="00B86166" w:rsidRPr="00F9691A">
        <w:rPr>
          <w:rFonts w:cs="Arial"/>
          <w:szCs w:val="20"/>
        </w:rPr>
        <w:t>de capitaux</w:t>
      </w:r>
      <w:r w:rsidRPr="00F9691A">
        <w:rPr>
          <w:rFonts w:cs="Arial"/>
          <w:szCs w:val="20"/>
        </w:rPr>
        <w:t xml:space="preserve"> et de financement du terrorisme, l'efficacité des enquêtes et des poursuites en matière de blanchiment </w:t>
      </w:r>
      <w:r w:rsidR="00B86166" w:rsidRPr="00F9691A">
        <w:rPr>
          <w:rFonts w:cs="Arial"/>
          <w:szCs w:val="20"/>
        </w:rPr>
        <w:t>de capitaux</w:t>
      </w:r>
      <w:r w:rsidRPr="00F9691A">
        <w:rPr>
          <w:rFonts w:cs="Arial"/>
          <w:szCs w:val="20"/>
        </w:rPr>
        <w:t xml:space="preserve"> et de financement du terrorisme, la confiscation des produits du crime, la mise en œuvre des sanctions financières ciblées sur le financement du terrorisme, l'application de mesures préventives de lutte contre le blanchiment </w:t>
      </w:r>
      <w:r w:rsidR="00B86166" w:rsidRPr="00F9691A">
        <w:rPr>
          <w:rFonts w:cs="Arial"/>
          <w:szCs w:val="20"/>
        </w:rPr>
        <w:t>de capitaux</w:t>
      </w:r>
      <w:r w:rsidRPr="00F9691A">
        <w:rPr>
          <w:rFonts w:cs="Arial"/>
          <w:szCs w:val="20"/>
        </w:rPr>
        <w:t xml:space="preserve"> et le financement du terrorisme par le secteur privé, la supervision et la transparence </w:t>
      </w:r>
      <w:r w:rsidR="00B86166" w:rsidRPr="00F9691A">
        <w:rPr>
          <w:rFonts w:cs="Arial"/>
          <w:szCs w:val="20"/>
        </w:rPr>
        <w:t>des bénéficiaires effectifs</w:t>
      </w:r>
      <w:r w:rsidRPr="00F9691A">
        <w:rPr>
          <w:rFonts w:cs="Arial"/>
          <w:szCs w:val="20"/>
        </w:rPr>
        <w:t xml:space="preserve"> des personnes morales et des constructions juridiques.</w:t>
      </w:r>
    </w:p>
    <w:p w14:paraId="2EA57F50" w14:textId="77777777" w:rsidR="0089480A" w:rsidRPr="00F9691A" w:rsidRDefault="0089480A" w:rsidP="0089480A">
      <w:pPr>
        <w:rPr>
          <w:rFonts w:cs="Arial"/>
          <w:szCs w:val="20"/>
        </w:rPr>
      </w:pPr>
    </w:p>
    <w:p w14:paraId="1E11E60C" w14:textId="1B742215" w:rsidR="0089480A" w:rsidRPr="00F9691A" w:rsidRDefault="0089480A" w:rsidP="0089480A">
      <w:pPr>
        <w:rPr>
          <w:rFonts w:cs="Arial"/>
          <w:szCs w:val="20"/>
        </w:rPr>
      </w:pPr>
      <w:r w:rsidRPr="00F9691A">
        <w:rPr>
          <w:rFonts w:cs="Arial"/>
          <w:szCs w:val="20"/>
        </w:rPr>
        <w:t xml:space="preserve">MONEYVAL considère que l'Estonie dispose d'un mécanisme approprié pour l'identification, l'évaluation et, par la suite, la compréhension des risques de blanchiment </w:t>
      </w:r>
      <w:r w:rsidR="000C25E8" w:rsidRPr="00F9691A">
        <w:rPr>
          <w:rFonts w:cs="Arial"/>
          <w:szCs w:val="20"/>
        </w:rPr>
        <w:t>de capitaux</w:t>
      </w:r>
      <w:r w:rsidRPr="00F9691A">
        <w:rPr>
          <w:rFonts w:cs="Arial"/>
          <w:szCs w:val="20"/>
        </w:rPr>
        <w:t xml:space="preserve"> et de financement du terrorisme. Si les résultats obtenus fournissent des indications utiles sur les secteurs les plus exposés aux risques, ils ne donnent pas une </w:t>
      </w:r>
      <w:r w:rsidR="000C25E8">
        <w:rPr>
          <w:rFonts w:cs="Arial"/>
          <w:szCs w:val="20"/>
        </w:rPr>
        <w:t>visibilité</w:t>
      </w:r>
      <w:r w:rsidRPr="00F9691A">
        <w:rPr>
          <w:rFonts w:cs="Arial"/>
          <w:szCs w:val="20"/>
        </w:rPr>
        <w:t xml:space="preserve"> </w:t>
      </w:r>
      <w:r w:rsidR="000C25E8">
        <w:rPr>
          <w:rFonts w:cs="Arial"/>
          <w:szCs w:val="20"/>
        </w:rPr>
        <w:t>entièrement</w:t>
      </w:r>
      <w:r w:rsidRPr="00F9691A">
        <w:rPr>
          <w:rFonts w:cs="Arial"/>
          <w:szCs w:val="20"/>
        </w:rPr>
        <w:t xml:space="preserve"> suffisante de l'environnement de risque.</w:t>
      </w:r>
    </w:p>
    <w:p w14:paraId="2FB326DD" w14:textId="77777777" w:rsidR="0089480A" w:rsidRPr="00F9691A" w:rsidRDefault="0089480A" w:rsidP="0089480A">
      <w:pPr>
        <w:rPr>
          <w:rFonts w:cs="Arial"/>
          <w:szCs w:val="20"/>
        </w:rPr>
      </w:pPr>
    </w:p>
    <w:p w14:paraId="06E6B139" w14:textId="2E6C6955" w:rsidR="0089480A" w:rsidRPr="00F9691A" w:rsidRDefault="0089480A" w:rsidP="0089480A">
      <w:pPr>
        <w:rPr>
          <w:rFonts w:cs="Arial"/>
          <w:szCs w:val="20"/>
        </w:rPr>
      </w:pPr>
      <w:r w:rsidRPr="00F9691A">
        <w:rPr>
          <w:rFonts w:cs="Arial"/>
          <w:szCs w:val="20"/>
        </w:rPr>
        <w:t xml:space="preserve">L'Estonie est </w:t>
      </w:r>
      <w:r w:rsidR="00550CE2" w:rsidRPr="00F9691A">
        <w:rPr>
          <w:rFonts w:cs="Arial"/>
          <w:szCs w:val="20"/>
        </w:rPr>
        <w:t>louée</w:t>
      </w:r>
      <w:r w:rsidRPr="00F9691A">
        <w:rPr>
          <w:rFonts w:cs="Arial"/>
          <w:szCs w:val="20"/>
        </w:rPr>
        <w:t xml:space="preserve"> pour la coordination et la coopération entre la cellule de renseignement financier estonienne (EFIU) et les autorités </w:t>
      </w:r>
      <w:r w:rsidR="00550CE2" w:rsidRPr="00F9691A">
        <w:rPr>
          <w:rFonts w:cs="Arial"/>
          <w:szCs w:val="20"/>
        </w:rPr>
        <w:t>de poursuite pénale</w:t>
      </w:r>
      <w:r w:rsidRPr="00F9691A">
        <w:rPr>
          <w:rFonts w:cs="Arial"/>
          <w:szCs w:val="20"/>
        </w:rPr>
        <w:t xml:space="preserve">. Dans le même temps, le rapport estime que la cellule de renseignement financier devrait renforcer la détection proactive des cibles de blanchiment </w:t>
      </w:r>
      <w:r w:rsidR="00550CE2" w:rsidRPr="00F9691A">
        <w:rPr>
          <w:rFonts w:cs="Arial"/>
          <w:szCs w:val="20"/>
        </w:rPr>
        <w:t>de capitaux</w:t>
      </w:r>
      <w:r w:rsidRPr="00F9691A">
        <w:rPr>
          <w:rFonts w:cs="Arial"/>
          <w:szCs w:val="20"/>
        </w:rPr>
        <w:t xml:space="preserve"> et de financement du terrorisme. Des efforts supplémentaires sont nécessaires pour améliorer l'interprétation de l'infraction de blanchiment </w:t>
      </w:r>
      <w:r w:rsidR="00550CE2" w:rsidRPr="00F9691A">
        <w:rPr>
          <w:rFonts w:cs="Arial"/>
          <w:szCs w:val="20"/>
        </w:rPr>
        <w:t>de capitaux</w:t>
      </w:r>
      <w:r w:rsidRPr="00F9691A">
        <w:rPr>
          <w:rFonts w:cs="Arial"/>
          <w:szCs w:val="20"/>
        </w:rPr>
        <w:t xml:space="preserve"> et pour enquêter et poursuivre les auteurs de ce délit en fonction du risque dans le pays. Les autorités </w:t>
      </w:r>
      <w:r w:rsidR="00550CE2" w:rsidRPr="00F9691A">
        <w:rPr>
          <w:rFonts w:cs="Arial"/>
          <w:szCs w:val="20"/>
        </w:rPr>
        <w:t xml:space="preserve">de poursuite pénale </w:t>
      </w:r>
      <w:r w:rsidRPr="00F9691A">
        <w:rPr>
          <w:rFonts w:cs="Arial"/>
          <w:szCs w:val="20"/>
        </w:rPr>
        <w:t xml:space="preserve">et les procureurs devraient redoubler d'efforts pour traiter les types complexes de blanchiment </w:t>
      </w:r>
      <w:r w:rsidR="00550CE2" w:rsidRPr="00F9691A">
        <w:rPr>
          <w:rFonts w:cs="Arial"/>
          <w:szCs w:val="20"/>
        </w:rPr>
        <w:t>de capitaux</w:t>
      </w:r>
      <w:r w:rsidRPr="00F9691A">
        <w:rPr>
          <w:rFonts w:cs="Arial"/>
          <w:szCs w:val="20"/>
        </w:rPr>
        <w:t xml:space="preserve">, y compris lorsque des personnes morales et des prestataires de services aux entreprises sont impliqués et </w:t>
      </w:r>
      <w:r w:rsidR="00550CE2" w:rsidRPr="00F9691A">
        <w:rPr>
          <w:rFonts w:cs="Arial"/>
          <w:szCs w:val="20"/>
        </w:rPr>
        <w:t>détournés</w:t>
      </w:r>
      <w:r w:rsidRPr="00F9691A">
        <w:rPr>
          <w:rFonts w:cs="Arial"/>
          <w:szCs w:val="20"/>
        </w:rPr>
        <w:t xml:space="preserve">. L'Estonie doit intensifier considérablement ses efforts pour saisir, confisquer et récupérer les produits du blanchiment </w:t>
      </w:r>
      <w:r w:rsidR="00550CE2" w:rsidRPr="00F9691A">
        <w:rPr>
          <w:rFonts w:cs="Arial"/>
          <w:szCs w:val="20"/>
        </w:rPr>
        <w:t>de capitaux</w:t>
      </w:r>
      <w:r w:rsidRPr="00F9691A">
        <w:rPr>
          <w:rFonts w:cs="Arial"/>
          <w:szCs w:val="20"/>
        </w:rPr>
        <w:t xml:space="preserve"> et des infractions principales, en particulier ceux qui sont transférés à l'étranger, en fonction des risques de blanchiment </w:t>
      </w:r>
      <w:r w:rsidR="00550CE2" w:rsidRPr="00F9691A">
        <w:rPr>
          <w:rFonts w:cs="Arial"/>
          <w:szCs w:val="20"/>
        </w:rPr>
        <w:t>de capitaux</w:t>
      </w:r>
      <w:r w:rsidRPr="00F9691A">
        <w:rPr>
          <w:rFonts w:cs="Arial"/>
          <w:szCs w:val="20"/>
        </w:rPr>
        <w:t xml:space="preserve"> et de financement du terrorisme.</w:t>
      </w:r>
    </w:p>
    <w:p w14:paraId="5B298F61" w14:textId="77777777" w:rsidR="0089480A" w:rsidRPr="006E7463" w:rsidRDefault="0089480A" w:rsidP="0089480A">
      <w:pPr>
        <w:rPr>
          <w:rFonts w:cs="Arial"/>
          <w:szCs w:val="20"/>
          <w:highlight w:val="yellow"/>
        </w:rPr>
      </w:pPr>
    </w:p>
    <w:p w14:paraId="646E5480" w14:textId="77777777" w:rsidR="0089480A" w:rsidRPr="00F9691A" w:rsidRDefault="0089480A" w:rsidP="0089480A">
      <w:pPr>
        <w:rPr>
          <w:rFonts w:cs="Arial"/>
          <w:szCs w:val="20"/>
        </w:rPr>
      </w:pPr>
      <w:r w:rsidRPr="00F9691A">
        <w:rPr>
          <w:rFonts w:cs="Arial"/>
          <w:szCs w:val="20"/>
        </w:rPr>
        <w:t>MONEYVAL a noté que les autorités mènent des enquêtes sur le financement du terrorisme et ont obtenu une condamnation, ce qui démontre les compétences et les connaissances des autorités en matière de lutte contre le financement du terrorisme. Néanmoins, ces efforts doivent être renforcés en fonction d'une meilleure compréhension des risques nationaux en matière de lutte contre le terrorisme, et l'efficacité des sanctions pénales devrait être améliorée.</w:t>
      </w:r>
    </w:p>
    <w:p w14:paraId="77ACB1A6" w14:textId="77777777" w:rsidR="0089480A" w:rsidRPr="006E7463" w:rsidRDefault="0089480A" w:rsidP="0089480A">
      <w:pPr>
        <w:rPr>
          <w:rFonts w:cs="Arial"/>
          <w:szCs w:val="20"/>
          <w:highlight w:val="yellow"/>
        </w:rPr>
      </w:pPr>
    </w:p>
    <w:p w14:paraId="06F666ED" w14:textId="77777777" w:rsidR="00625A70" w:rsidRDefault="00625A70">
      <w:pPr>
        <w:rPr>
          <w:rFonts w:cs="Arial"/>
          <w:szCs w:val="20"/>
        </w:rPr>
      </w:pPr>
      <w:r>
        <w:rPr>
          <w:rFonts w:cs="Arial"/>
          <w:szCs w:val="20"/>
        </w:rPr>
        <w:br w:type="page"/>
      </w:r>
    </w:p>
    <w:p w14:paraId="372836E0" w14:textId="2181ADD4" w:rsidR="0089480A" w:rsidRDefault="0089480A" w:rsidP="0089480A">
      <w:pPr>
        <w:rPr>
          <w:rFonts w:cs="Arial"/>
          <w:szCs w:val="20"/>
          <w:highlight w:val="yellow"/>
        </w:rPr>
      </w:pPr>
      <w:r w:rsidRPr="00F9691A">
        <w:rPr>
          <w:rFonts w:cs="Arial"/>
          <w:szCs w:val="20"/>
        </w:rPr>
        <w:lastRenderedPageBreak/>
        <w:t xml:space="preserve">La mise en œuvre des mesures préventives s'est nettement améliorée au cours de la période d'évaluation grâce à des actions de </w:t>
      </w:r>
      <w:r w:rsidR="00550CE2" w:rsidRPr="00F9691A">
        <w:rPr>
          <w:rFonts w:cs="Arial"/>
          <w:szCs w:val="20"/>
        </w:rPr>
        <w:t>supervision</w:t>
      </w:r>
      <w:r w:rsidRPr="00F9691A">
        <w:rPr>
          <w:rFonts w:cs="Arial"/>
          <w:szCs w:val="20"/>
        </w:rPr>
        <w:t xml:space="preserve"> ciblées. Le rapport conclut qu'à l'heure actuelle, le secteur bancaire a une bonne compréhension des risques de blanchiment </w:t>
      </w:r>
      <w:r w:rsidR="00F662A9" w:rsidRPr="00F9691A">
        <w:rPr>
          <w:rFonts w:cs="Arial"/>
          <w:szCs w:val="20"/>
        </w:rPr>
        <w:t>de capitaux</w:t>
      </w:r>
      <w:r w:rsidRPr="00F9691A">
        <w:rPr>
          <w:rFonts w:cs="Arial"/>
          <w:szCs w:val="20"/>
        </w:rPr>
        <w:t xml:space="preserve"> et de financement du terrorisme. Les </w:t>
      </w:r>
      <w:r w:rsidR="00F662A9" w:rsidRPr="00F9691A">
        <w:rPr>
          <w:rFonts w:cs="Arial"/>
          <w:szCs w:val="20"/>
        </w:rPr>
        <w:t>prestataires</w:t>
      </w:r>
      <w:r w:rsidRPr="00F9691A">
        <w:rPr>
          <w:rFonts w:cs="Arial"/>
          <w:szCs w:val="20"/>
        </w:rPr>
        <w:t xml:space="preserve"> de services d'actifs virtuels (</w:t>
      </w:r>
      <w:r w:rsidR="00F662A9" w:rsidRPr="00F9691A">
        <w:rPr>
          <w:rFonts w:cs="Arial"/>
          <w:szCs w:val="20"/>
        </w:rPr>
        <w:t>PSAV</w:t>
      </w:r>
      <w:r w:rsidRPr="00F9691A">
        <w:rPr>
          <w:rFonts w:cs="Arial"/>
          <w:szCs w:val="20"/>
        </w:rPr>
        <w:t xml:space="preserve">) et les CSP ont fait preuve d'une compréhension superficielle des risques de blanchiment </w:t>
      </w:r>
      <w:r w:rsidR="00F662A9" w:rsidRPr="00F9691A">
        <w:rPr>
          <w:rFonts w:cs="Arial"/>
          <w:szCs w:val="20"/>
        </w:rPr>
        <w:t>de capitaux</w:t>
      </w:r>
      <w:r w:rsidRPr="00F9691A">
        <w:rPr>
          <w:rFonts w:cs="Arial"/>
          <w:szCs w:val="20"/>
        </w:rPr>
        <w:t xml:space="preserve"> auxquels leurs activités individuelles sont exposées. La compréhension des risques de blanchiment </w:t>
      </w:r>
      <w:r w:rsidR="00F662A9" w:rsidRPr="00F9691A">
        <w:rPr>
          <w:rFonts w:cs="Arial"/>
          <w:szCs w:val="20"/>
        </w:rPr>
        <w:t>de capitaux</w:t>
      </w:r>
      <w:r w:rsidRPr="00F9691A">
        <w:rPr>
          <w:rFonts w:cs="Arial"/>
          <w:szCs w:val="20"/>
        </w:rPr>
        <w:t xml:space="preserve"> et de financement du terrorisme est généralement plus faible dans tous les secteurs. Les banques et les prestataires de services d'actifs virtuels ont généralement une bonne compréhension de leurs obligations en matière de lutte contre le blanchiment </w:t>
      </w:r>
      <w:r w:rsidR="00F662A9" w:rsidRPr="00F9691A">
        <w:rPr>
          <w:rFonts w:cs="Arial"/>
          <w:szCs w:val="20"/>
        </w:rPr>
        <w:t>de capitaux</w:t>
      </w:r>
      <w:r w:rsidRPr="00F9691A">
        <w:rPr>
          <w:rFonts w:cs="Arial"/>
          <w:szCs w:val="20"/>
        </w:rPr>
        <w:t xml:space="preserve"> et le financement du terrorisme, tandis que les prestataires de services d'actifs virtuels en ont une moins bonne. Par conséquent, les autorités de contrôle devraient poursuivre leurs efforts pour renforcer la mise en œuvre de mesures préventives par le secteur privé.</w:t>
      </w:r>
    </w:p>
    <w:p w14:paraId="1CCDF5BC" w14:textId="77777777" w:rsidR="0089480A" w:rsidRPr="006E7463" w:rsidRDefault="0089480A" w:rsidP="0089480A">
      <w:pPr>
        <w:rPr>
          <w:rFonts w:cs="Arial"/>
          <w:szCs w:val="20"/>
          <w:highlight w:val="yellow"/>
        </w:rPr>
      </w:pPr>
    </w:p>
    <w:p w14:paraId="2458F647" w14:textId="57DC75CE" w:rsidR="0089480A" w:rsidRPr="00F9691A" w:rsidRDefault="0089480A" w:rsidP="0089480A">
      <w:pPr>
        <w:rPr>
          <w:rFonts w:cs="Arial"/>
          <w:szCs w:val="20"/>
        </w:rPr>
      </w:pPr>
      <w:r w:rsidRPr="00F9691A">
        <w:rPr>
          <w:rFonts w:cs="Arial"/>
          <w:szCs w:val="20"/>
        </w:rPr>
        <w:t xml:space="preserve">Les autorités compétentes disposent d'informations sur </w:t>
      </w:r>
      <w:r w:rsidR="00F662A9" w:rsidRPr="00F9691A">
        <w:rPr>
          <w:rFonts w:cs="Arial"/>
          <w:szCs w:val="20"/>
        </w:rPr>
        <w:t>les bénéficiaires effectifs</w:t>
      </w:r>
      <w:r w:rsidRPr="00F9691A">
        <w:rPr>
          <w:rFonts w:cs="Arial"/>
          <w:szCs w:val="20"/>
        </w:rPr>
        <w:t xml:space="preserve"> des personnes morales, mais les mesures en place ne permettent pas de disposer d'informations adéquates, exactes et actuelles sur le</w:t>
      </w:r>
      <w:r w:rsidR="00F662A9" w:rsidRPr="00F9691A">
        <w:rPr>
          <w:rFonts w:cs="Arial"/>
          <w:szCs w:val="20"/>
        </w:rPr>
        <w:t>s bénéficiaires effectifs</w:t>
      </w:r>
      <w:r w:rsidRPr="00F9691A">
        <w:rPr>
          <w:rFonts w:cs="Arial"/>
          <w:szCs w:val="20"/>
        </w:rPr>
        <w:t xml:space="preserve">. La part importante de sociétés estoniennes ayant des e-résidents comme propriétaires de base ou bénéficiaires effectifs, l'implication significative des CSP agréés et non agréés dans les processus d'enregistrement des sociétés, associée à des mesures </w:t>
      </w:r>
      <w:r w:rsidR="00F662A9" w:rsidRPr="00F9691A">
        <w:rPr>
          <w:rFonts w:cs="Arial"/>
          <w:szCs w:val="20"/>
        </w:rPr>
        <w:t>de vigilance à l’égard de</w:t>
      </w:r>
      <w:r w:rsidR="00B448FD" w:rsidRPr="00F9691A">
        <w:rPr>
          <w:rFonts w:cs="Arial"/>
          <w:szCs w:val="20"/>
        </w:rPr>
        <w:t xml:space="preserve"> la clientèle </w:t>
      </w:r>
      <w:r w:rsidRPr="00F9691A">
        <w:rPr>
          <w:rFonts w:cs="Arial"/>
          <w:szCs w:val="20"/>
        </w:rPr>
        <w:t>mal conçues et mal comprises mises en œuvre par ces derniers, sont des facteurs qui ont un impact négatif sur la qualité des informations relatives à la propriété effective. Les sanctions applicables ne sont pas efficaces.</w:t>
      </w:r>
    </w:p>
    <w:p w14:paraId="03ECD87D" w14:textId="77777777" w:rsidR="0089480A" w:rsidRPr="006E7463" w:rsidRDefault="0089480A" w:rsidP="0089480A">
      <w:pPr>
        <w:rPr>
          <w:rFonts w:cs="Arial"/>
          <w:szCs w:val="20"/>
          <w:highlight w:val="yellow"/>
        </w:rPr>
      </w:pPr>
    </w:p>
    <w:p w14:paraId="3039ECF5" w14:textId="77777777" w:rsidR="0089480A" w:rsidRPr="00F9691A" w:rsidRDefault="0089480A" w:rsidP="0089480A">
      <w:pPr>
        <w:rPr>
          <w:rFonts w:cs="Arial"/>
          <w:szCs w:val="20"/>
        </w:rPr>
      </w:pPr>
      <w:r w:rsidRPr="00F9691A">
        <w:rPr>
          <w:rFonts w:cs="Arial"/>
          <w:szCs w:val="20"/>
        </w:rPr>
        <w:t>Enfin, le rapport conclut qu'en dépit de certaines contraintes techniques et procédurales, l'Estonie fournit généralement une assistance opportune et constructive pour l'ensemble des demandes de coopération internationale, y compris l'entraide judiciaire.</w:t>
      </w:r>
    </w:p>
    <w:p w14:paraId="394439A9" w14:textId="77777777" w:rsidR="0089480A" w:rsidRPr="006E7463" w:rsidRDefault="0089480A" w:rsidP="0089480A">
      <w:pPr>
        <w:rPr>
          <w:rFonts w:cs="Arial"/>
          <w:szCs w:val="20"/>
          <w:highlight w:val="yellow"/>
        </w:rPr>
      </w:pPr>
    </w:p>
    <w:p w14:paraId="0964ED40" w14:textId="77777777" w:rsidR="0089480A" w:rsidRDefault="0089480A" w:rsidP="0089480A">
      <w:pPr>
        <w:rPr>
          <w:rFonts w:cs="Arial"/>
          <w:szCs w:val="20"/>
        </w:rPr>
      </w:pPr>
      <w:r w:rsidRPr="00F9691A">
        <w:rPr>
          <w:rFonts w:cs="Arial"/>
          <w:szCs w:val="20"/>
        </w:rPr>
        <w:t>L'Estonie est soumise à la procédure de suivi renforcée de MONEYVAL à la suite de ce rapport.</w:t>
      </w:r>
    </w:p>
    <w:p w14:paraId="7A4347E8" w14:textId="77777777" w:rsidR="0089480A" w:rsidRDefault="0089480A" w:rsidP="0089480A">
      <w:pPr>
        <w:rPr>
          <w:rFonts w:cs="Arial"/>
          <w:szCs w:val="20"/>
        </w:rPr>
      </w:pPr>
    </w:p>
    <w:p w14:paraId="022A9495" w14:textId="5E3ACBCE" w:rsidR="0089480A" w:rsidRPr="00F9691A" w:rsidRDefault="0089480A" w:rsidP="0089480A">
      <w:pPr>
        <w:pStyle w:val="Heading2"/>
        <w:keepLines w:val="0"/>
        <w:tabs>
          <w:tab w:val="left" w:pos="709"/>
        </w:tabs>
        <w:spacing w:before="0"/>
        <w:ind w:right="680"/>
        <w:jc w:val="both"/>
        <w:rPr>
          <w:rStyle w:val="docheader1"/>
          <w:rFonts w:ascii="Arial" w:hAnsi="Arial" w:cs="Arial"/>
          <w:color w:val="000000" w:themeColor="text1"/>
          <w:sz w:val="20"/>
          <w:szCs w:val="20"/>
          <w:lang w:val="fr-FR"/>
        </w:rPr>
      </w:pPr>
      <w:bookmarkStart w:id="154" w:name="_Toc132203752"/>
      <w:bookmarkStart w:id="155" w:name="_Toc135412698"/>
      <w:r w:rsidRPr="00F9691A">
        <w:rPr>
          <w:rStyle w:val="docheader1"/>
          <w:rFonts w:ascii="Arial" w:hAnsi="Arial" w:cs="Arial"/>
          <w:color w:val="000000" w:themeColor="text1"/>
          <w:sz w:val="20"/>
          <w:szCs w:val="20"/>
          <w:lang w:val="fr-FR"/>
        </w:rPr>
        <w:t>2.5.</w:t>
      </w:r>
      <w:r w:rsidRPr="00F9691A">
        <w:rPr>
          <w:rStyle w:val="docheader1"/>
          <w:rFonts w:ascii="Arial" w:hAnsi="Arial" w:cs="Arial"/>
          <w:color w:val="000000" w:themeColor="text1"/>
          <w:sz w:val="20"/>
          <w:szCs w:val="20"/>
          <w:lang w:val="fr-FR"/>
        </w:rPr>
        <w:tab/>
        <w:t xml:space="preserve">Rapports de suivi du </w:t>
      </w:r>
      <w:r w:rsidR="00A17BDF" w:rsidRPr="00F9691A">
        <w:rPr>
          <w:rStyle w:val="docheader1"/>
          <w:rFonts w:ascii="Arial" w:hAnsi="Arial" w:cs="Arial"/>
          <w:color w:val="000000" w:themeColor="text1"/>
          <w:sz w:val="20"/>
          <w:szCs w:val="20"/>
          <w:lang w:val="fr-FR"/>
        </w:rPr>
        <w:t>5</w:t>
      </w:r>
      <w:r w:rsidR="00A17BDF" w:rsidRPr="00F9691A">
        <w:rPr>
          <w:rStyle w:val="docheader1"/>
          <w:rFonts w:ascii="Arial" w:hAnsi="Arial" w:cs="Arial"/>
          <w:color w:val="000000" w:themeColor="text1"/>
          <w:sz w:val="20"/>
          <w:szCs w:val="20"/>
          <w:vertAlign w:val="superscript"/>
          <w:lang w:val="fr-FR"/>
        </w:rPr>
        <w:t>ème</w:t>
      </w:r>
      <w:r w:rsidR="00A17BDF" w:rsidRPr="00F9691A">
        <w:rPr>
          <w:rStyle w:val="docheader1"/>
          <w:rFonts w:ascii="Arial" w:hAnsi="Arial" w:cs="Arial"/>
          <w:color w:val="000000" w:themeColor="text1"/>
          <w:sz w:val="20"/>
          <w:szCs w:val="20"/>
          <w:lang w:val="fr-FR"/>
        </w:rPr>
        <w:t xml:space="preserve"> </w:t>
      </w:r>
      <w:r w:rsidRPr="00F9691A">
        <w:rPr>
          <w:rStyle w:val="docheader1"/>
          <w:rFonts w:ascii="Arial" w:hAnsi="Arial" w:cs="Arial"/>
          <w:color w:val="000000" w:themeColor="text1"/>
          <w:sz w:val="20"/>
          <w:szCs w:val="20"/>
          <w:lang w:val="fr-FR"/>
        </w:rPr>
        <w:t>cycle</w:t>
      </w:r>
      <w:bookmarkEnd w:id="154"/>
      <w:bookmarkEnd w:id="155"/>
    </w:p>
    <w:p w14:paraId="3692D100" w14:textId="77777777" w:rsidR="0089480A" w:rsidRPr="00C36CF5" w:rsidRDefault="0089480A" w:rsidP="0089480A">
      <w:pPr>
        <w:rPr>
          <w:highlight w:val="yellow"/>
        </w:rPr>
      </w:pPr>
    </w:p>
    <w:p w14:paraId="3968C1AC" w14:textId="2E3EB965" w:rsidR="0089480A" w:rsidRPr="00F9691A" w:rsidRDefault="0089480A" w:rsidP="0089480A">
      <w:pPr>
        <w:rPr>
          <w:rFonts w:cs="Arial"/>
          <w:szCs w:val="20"/>
        </w:rPr>
      </w:pPr>
      <w:r w:rsidRPr="00F9691A">
        <w:rPr>
          <w:rFonts w:cs="Arial"/>
          <w:szCs w:val="20"/>
        </w:rPr>
        <w:t xml:space="preserve">MONEYVAL a progressivement réformé son </w:t>
      </w:r>
      <w:r w:rsidR="00806124" w:rsidRPr="00806124">
        <w:rPr>
          <w:rFonts w:cs="Arial"/>
          <w:szCs w:val="20"/>
        </w:rPr>
        <w:t>mécanisme</w:t>
      </w:r>
      <w:r w:rsidR="008B154A" w:rsidRPr="00F9691A">
        <w:rPr>
          <w:rFonts w:cs="Arial"/>
          <w:szCs w:val="20"/>
        </w:rPr>
        <w:t xml:space="preserve"> en matière</w:t>
      </w:r>
      <w:r w:rsidRPr="00F9691A">
        <w:rPr>
          <w:rFonts w:cs="Arial"/>
          <w:szCs w:val="20"/>
        </w:rPr>
        <w:t xml:space="preserve"> de rapports de suivi afin d'améliorer la transparence et l'engagement des membres dans le processus selon des modalités similaires à l'approche de l'évaluation mutuelle, y compris des réunions en face-à-face. En 2022, le Comité a examiné dix rapports de suivi du </w:t>
      </w:r>
      <w:r w:rsidR="008B154A" w:rsidRPr="00F9691A">
        <w:rPr>
          <w:rFonts w:cs="Arial"/>
          <w:szCs w:val="20"/>
        </w:rPr>
        <w:t>5</w:t>
      </w:r>
      <w:r w:rsidR="008B154A" w:rsidRPr="00F9691A">
        <w:rPr>
          <w:rFonts w:cs="Arial"/>
          <w:szCs w:val="20"/>
          <w:vertAlign w:val="superscript"/>
        </w:rPr>
        <w:t>ème</w:t>
      </w:r>
      <w:r w:rsidR="008B154A" w:rsidRPr="00F9691A">
        <w:rPr>
          <w:rFonts w:cs="Arial"/>
          <w:szCs w:val="20"/>
        </w:rPr>
        <w:t xml:space="preserve"> </w:t>
      </w:r>
      <w:r w:rsidRPr="00F9691A">
        <w:rPr>
          <w:rFonts w:cs="Arial"/>
          <w:szCs w:val="20"/>
        </w:rPr>
        <w:t>cycle.</w:t>
      </w:r>
    </w:p>
    <w:p w14:paraId="02DAB7B5" w14:textId="77777777" w:rsidR="0089480A" w:rsidRPr="00C36CF5" w:rsidRDefault="0089480A" w:rsidP="0089480A">
      <w:pPr>
        <w:rPr>
          <w:rFonts w:cs="Arial"/>
          <w:szCs w:val="20"/>
          <w:highlight w:val="yellow"/>
        </w:rPr>
      </w:pPr>
    </w:p>
    <w:p w14:paraId="1BC65487" w14:textId="29FCD19B" w:rsidR="0089480A" w:rsidRPr="00F9691A" w:rsidRDefault="0089480A" w:rsidP="0089480A">
      <w:pPr>
        <w:rPr>
          <w:rFonts w:cs="Arial"/>
          <w:szCs w:val="20"/>
        </w:rPr>
      </w:pPr>
      <w:r w:rsidRPr="00F9691A">
        <w:rPr>
          <w:rFonts w:cs="Arial"/>
          <w:szCs w:val="20"/>
        </w:rPr>
        <w:t>Le rapport de suivi pour l'</w:t>
      </w:r>
      <w:r w:rsidRPr="00F9691A">
        <w:rPr>
          <w:rFonts w:cs="Arial"/>
          <w:b/>
          <w:bCs/>
          <w:szCs w:val="20"/>
        </w:rPr>
        <w:t>Albanie</w:t>
      </w:r>
      <w:r w:rsidRPr="00F9691A">
        <w:rPr>
          <w:rFonts w:cs="Arial"/>
          <w:szCs w:val="20"/>
        </w:rPr>
        <w:t xml:space="preserve"> a</w:t>
      </w:r>
      <w:r w:rsidRPr="00F9691A">
        <w:rPr>
          <w:rFonts w:cs="Arial"/>
          <w:b/>
          <w:bCs/>
          <w:szCs w:val="20"/>
        </w:rPr>
        <w:t xml:space="preserve"> </w:t>
      </w:r>
      <w:r w:rsidRPr="00F9691A">
        <w:rPr>
          <w:rFonts w:cs="Arial"/>
          <w:szCs w:val="20"/>
        </w:rPr>
        <w:t>constaté que ce pays a amélioré les mesures de lutte contre le blanchiment de capitaux et le financement du terrorisme conformément aux recommandations du GAFI.  Les mesures positives prises par les autorités ont permis de relever les notes du pays de</w:t>
      </w:r>
      <w:r w:rsidR="002E6C1B">
        <w:rPr>
          <w:rFonts w:cs="Arial"/>
          <w:szCs w:val="20"/>
        </w:rPr>
        <w:t xml:space="preserve"> « </w:t>
      </w:r>
      <w:r w:rsidRPr="00F9691A">
        <w:rPr>
          <w:rFonts w:cs="Arial"/>
          <w:szCs w:val="20"/>
        </w:rPr>
        <w:t>partiellement conforme</w:t>
      </w:r>
      <w:r w:rsidR="002E6C1B">
        <w:rPr>
          <w:rFonts w:cs="Arial"/>
          <w:szCs w:val="20"/>
        </w:rPr>
        <w:t xml:space="preserve"> » </w:t>
      </w:r>
      <w:r w:rsidRPr="00F9691A">
        <w:rPr>
          <w:rFonts w:cs="Arial"/>
          <w:szCs w:val="20"/>
        </w:rPr>
        <w:t xml:space="preserve">à </w:t>
      </w:r>
      <w:r w:rsidR="002E6C1B">
        <w:rPr>
          <w:rFonts w:cs="Arial"/>
          <w:szCs w:val="20"/>
        </w:rPr>
        <w:t>« </w:t>
      </w:r>
      <w:r w:rsidRPr="00F9691A">
        <w:rPr>
          <w:rFonts w:cs="Arial"/>
          <w:szCs w:val="20"/>
        </w:rPr>
        <w:t>largement conforme</w:t>
      </w:r>
      <w:r w:rsidR="002E6C1B">
        <w:rPr>
          <w:rFonts w:cs="Arial"/>
          <w:szCs w:val="20"/>
        </w:rPr>
        <w:t> »</w:t>
      </w:r>
      <w:r w:rsidRPr="00F9691A">
        <w:rPr>
          <w:rFonts w:cs="Arial"/>
          <w:szCs w:val="20"/>
        </w:rPr>
        <w:t xml:space="preserve"> dans deux domaines liés à la transparence et à la propriété effective des personnes morales, et à la réglementation et à la </w:t>
      </w:r>
      <w:r w:rsidR="008B154A" w:rsidRPr="00F9691A">
        <w:rPr>
          <w:rFonts w:cs="Arial"/>
          <w:szCs w:val="20"/>
        </w:rPr>
        <w:t>supervision</w:t>
      </w:r>
      <w:r w:rsidRPr="00F9691A">
        <w:rPr>
          <w:rFonts w:cs="Arial"/>
          <w:szCs w:val="20"/>
        </w:rPr>
        <w:t xml:space="preserve"> des institutions financières ; ainsi que de passer de </w:t>
      </w:r>
      <w:r w:rsidR="002E6C1B">
        <w:rPr>
          <w:rFonts w:cs="Arial"/>
          <w:szCs w:val="20"/>
        </w:rPr>
        <w:t>« </w:t>
      </w:r>
      <w:r w:rsidRPr="00F9691A">
        <w:rPr>
          <w:rFonts w:cs="Arial"/>
          <w:szCs w:val="20"/>
        </w:rPr>
        <w:t>partiellement conforme</w:t>
      </w:r>
      <w:r w:rsidR="002E6C1B">
        <w:rPr>
          <w:rFonts w:cs="Arial"/>
          <w:szCs w:val="20"/>
        </w:rPr>
        <w:t xml:space="preserve"> » </w:t>
      </w:r>
      <w:r w:rsidRPr="00F9691A">
        <w:rPr>
          <w:rFonts w:cs="Arial"/>
          <w:szCs w:val="20"/>
        </w:rPr>
        <w:t xml:space="preserve">à </w:t>
      </w:r>
      <w:r w:rsidR="002E6C1B">
        <w:rPr>
          <w:rFonts w:cs="Arial"/>
          <w:szCs w:val="20"/>
        </w:rPr>
        <w:t>« </w:t>
      </w:r>
      <w:r w:rsidRPr="00F9691A">
        <w:rPr>
          <w:rFonts w:cs="Arial"/>
          <w:szCs w:val="20"/>
        </w:rPr>
        <w:t>conforme</w:t>
      </w:r>
      <w:r w:rsidR="002E6C1B">
        <w:rPr>
          <w:rFonts w:cs="Arial"/>
          <w:szCs w:val="20"/>
        </w:rPr>
        <w:t> »</w:t>
      </w:r>
      <w:r w:rsidRPr="00F9691A">
        <w:rPr>
          <w:rFonts w:cs="Arial"/>
          <w:szCs w:val="20"/>
        </w:rPr>
        <w:t xml:space="preserve"> dans le domaine de l'entraide judiciaire en ce qui concerne le gel des avoirs et la confiscation. Dans l'ensemble, l'Albanie a répondu aux attentes générales de MONEYVAL en remédiant à la plupart, voire à la totalité, des lacunes techniques en matière de conformité dans les trois ans qui ont suivi l'adoption du rapport d'évaluation mutuelle.</w:t>
      </w:r>
    </w:p>
    <w:p w14:paraId="22A5743F" w14:textId="77777777" w:rsidR="0089480A" w:rsidRPr="00C36CF5" w:rsidRDefault="0089480A" w:rsidP="0089480A">
      <w:pPr>
        <w:rPr>
          <w:rFonts w:cs="Arial"/>
          <w:szCs w:val="20"/>
          <w:highlight w:val="yellow"/>
        </w:rPr>
      </w:pPr>
    </w:p>
    <w:p w14:paraId="40695E04" w14:textId="4EB644A9" w:rsidR="0089480A" w:rsidRPr="00F9691A" w:rsidRDefault="0089480A" w:rsidP="0089480A">
      <w:pPr>
        <w:rPr>
          <w:rFonts w:cs="Arial"/>
          <w:szCs w:val="20"/>
        </w:rPr>
      </w:pPr>
      <w:r w:rsidRPr="00F9691A">
        <w:rPr>
          <w:rFonts w:cs="Arial"/>
          <w:szCs w:val="20"/>
        </w:rPr>
        <w:t xml:space="preserve">Dans son rapport de suivi pour la </w:t>
      </w:r>
      <w:r w:rsidRPr="00F9691A">
        <w:rPr>
          <w:rFonts w:cs="Arial"/>
          <w:b/>
          <w:bCs/>
          <w:szCs w:val="20"/>
        </w:rPr>
        <w:t>Hongrie</w:t>
      </w:r>
      <w:r w:rsidRPr="00F9691A">
        <w:rPr>
          <w:rFonts w:cs="Arial"/>
          <w:szCs w:val="20"/>
        </w:rPr>
        <w:t xml:space="preserve">, MONEYVAL a conclu que la Hongrie a amélioré les mesures de lutte contre le blanchiment de capitaux et le financement du terrorisme, démontrant des progrès notables dans le niveau de conformité avec les normes du GAFI. Les mesures positives prises par les autorités ont permis à la Hongrie de passer du statut de </w:t>
      </w:r>
      <w:r w:rsidR="002E6C1B">
        <w:rPr>
          <w:rFonts w:cs="Arial"/>
          <w:szCs w:val="20"/>
        </w:rPr>
        <w:t>« </w:t>
      </w:r>
      <w:r w:rsidRPr="00F9691A">
        <w:rPr>
          <w:rFonts w:cs="Arial"/>
          <w:szCs w:val="20"/>
        </w:rPr>
        <w:t>partiellement conforme</w:t>
      </w:r>
      <w:r w:rsidR="002E6C1B">
        <w:rPr>
          <w:rFonts w:cs="Arial"/>
          <w:szCs w:val="20"/>
        </w:rPr>
        <w:t> »</w:t>
      </w:r>
      <w:r w:rsidRPr="00F9691A">
        <w:rPr>
          <w:rFonts w:cs="Arial"/>
          <w:szCs w:val="20"/>
        </w:rPr>
        <w:t xml:space="preserve"> à celui de </w:t>
      </w:r>
      <w:r w:rsidR="002E6C1B">
        <w:rPr>
          <w:rFonts w:cs="Arial"/>
          <w:szCs w:val="20"/>
        </w:rPr>
        <w:t>« </w:t>
      </w:r>
      <w:r w:rsidRPr="00F9691A">
        <w:rPr>
          <w:rFonts w:cs="Arial"/>
          <w:szCs w:val="20"/>
        </w:rPr>
        <w:t>largement conforme</w:t>
      </w:r>
      <w:r w:rsidR="002E6C1B">
        <w:rPr>
          <w:rFonts w:cs="Arial"/>
          <w:szCs w:val="20"/>
        </w:rPr>
        <w:t> »</w:t>
      </w:r>
      <w:r w:rsidRPr="00F9691A">
        <w:rPr>
          <w:rFonts w:cs="Arial"/>
          <w:szCs w:val="20"/>
        </w:rPr>
        <w:t xml:space="preserve"> dans trois domaines liés aux relations de correspondance bancaire, aux contrôles internes des institutions financières et à la transparence et à la propriété effective des personnes morales. Parmi les évolutions positives relevées par MONEYVAL figurent les modifications apportées au registre des sociétés, qui a établi les exigences nécessaires pour garantir l'exactitude des informations de base des personnes morales soumises </w:t>
      </w:r>
      <w:r w:rsidR="00B448FD" w:rsidRPr="00F9691A">
        <w:rPr>
          <w:rFonts w:cs="Arial"/>
          <w:szCs w:val="20"/>
        </w:rPr>
        <w:t>à l’enregistrement</w:t>
      </w:r>
      <w:r w:rsidRPr="00F9691A">
        <w:rPr>
          <w:rFonts w:cs="Arial"/>
          <w:szCs w:val="20"/>
        </w:rPr>
        <w:t xml:space="preserve">. En outre, la Hongrie a introduit des exigences pour les institutions financières concernant les procédures de sélection lors </w:t>
      </w:r>
      <w:r w:rsidR="00B448FD" w:rsidRPr="00F9691A">
        <w:rPr>
          <w:rFonts w:cs="Arial"/>
          <w:szCs w:val="20"/>
        </w:rPr>
        <w:t>du recrutement</w:t>
      </w:r>
      <w:r w:rsidRPr="00F9691A">
        <w:rPr>
          <w:rFonts w:cs="Arial"/>
          <w:szCs w:val="20"/>
        </w:rPr>
        <w:t xml:space="preserve"> et les formations continues. En outre, de nouvelles exigences ont été introduites concernant les relations de correspondant bancaire avec les institutions financières établies au sein de l'UE. Dans l'ensemble, la Hongrie a réussi à répondre à l'attente générale de MONEYVAL, selon laquelle les pays doivent avoir remédié à la plupart - sinon à la totalité - des lacunes techniques en matière de conformité dans les cinq ans suivant l'adoption du rapport d'évaluation mutuelle. </w:t>
      </w:r>
    </w:p>
    <w:p w14:paraId="2548A415" w14:textId="77777777" w:rsidR="0089480A" w:rsidRPr="00C36CF5" w:rsidRDefault="0089480A" w:rsidP="0089480A">
      <w:pPr>
        <w:rPr>
          <w:rFonts w:cs="Arial"/>
          <w:szCs w:val="20"/>
          <w:highlight w:val="yellow"/>
        </w:rPr>
      </w:pPr>
    </w:p>
    <w:p w14:paraId="6ECB914B" w14:textId="6A7D4FC0" w:rsidR="0089480A" w:rsidRDefault="0089480A" w:rsidP="0089480A">
      <w:pPr>
        <w:rPr>
          <w:rFonts w:cs="Arial"/>
          <w:szCs w:val="20"/>
          <w:highlight w:val="yellow"/>
        </w:rPr>
      </w:pPr>
      <w:r w:rsidRPr="00F9691A">
        <w:rPr>
          <w:rFonts w:cs="Arial"/>
          <w:szCs w:val="20"/>
        </w:rPr>
        <w:t xml:space="preserve">MONEYVAL a constaté une série d'améliorations apportées par la </w:t>
      </w:r>
      <w:r w:rsidRPr="00F9691A">
        <w:rPr>
          <w:rFonts w:cs="Arial"/>
          <w:b/>
          <w:bCs/>
          <w:szCs w:val="20"/>
        </w:rPr>
        <w:t>République de Mold</w:t>
      </w:r>
      <w:r w:rsidR="00F9691A">
        <w:rPr>
          <w:rFonts w:cs="Arial"/>
          <w:b/>
          <w:bCs/>
          <w:szCs w:val="20"/>
        </w:rPr>
        <w:t>ova</w:t>
      </w:r>
      <w:r w:rsidRPr="00F9691A">
        <w:rPr>
          <w:rFonts w:cs="Arial"/>
          <w:b/>
          <w:bCs/>
          <w:szCs w:val="20"/>
        </w:rPr>
        <w:t xml:space="preserve"> </w:t>
      </w:r>
      <w:r w:rsidRPr="00F9691A">
        <w:rPr>
          <w:rFonts w:cs="Arial"/>
          <w:szCs w:val="20"/>
        </w:rPr>
        <w:t xml:space="preserve">à ses mesures de lutte contre le blanchiment de capitaux et le financement du terrorisme. Les mesures positives prises par les autorités ont conduit au relèvement des notes du pays de </w:t>
      </w:r>
      <w:r w:rsidR="002E6C1B">
        <w:rPr>
          <w:rFonts w:cs="Arial"/>
          <w:szCs w:val="20"/>
        </w:rPr>
        <w:t>« </w:t>
      </w:r>
      <w:r w:rsidRPr="00F9691A">
        <w:rPr>
          <w:rFonts w:cs="Arial"/>
          <w:szCs w:val="20"/>
        </w:rPr>
        <w:t>partiellement conforme</w:t>
      </w:r>
      <w:r w:rsidR="002E6C1B">
        <w:rPr>
          <w:rFonts w:cs="Arial"/>
          <w:szCs w:val="20"/>
        </w:rPr>
        <w:t> »</w:t>
      </w:r>
      <w:r w:rsidRPr="00F9691A">
        <w:rPr>
          <w:rFonts w:cs="Arial"/>
          <w:szCs w:val="20"/>
        </w:rPr>
        <w:t xml:space="preserve"> à </w:t>
      </w:r>
      <w:r w:rsidR="002E6C1B">
        <w:rPr>
          <w:rFonts w:cs="Arial"/>
          <w:szCs w:val="20"/>
        </w:rPr>
        <w:t>« </w:t>
      </w:r>
      <w:r w:rsidRPr="00F9691A">
        <w:rPr>
          <w:rFonts w:cs="Arial"/>
          <w:szCs w:val="20"/>
        </w:rPr>
        <w:t>largement conforme</w:t>
      </w:r>
      <w:r w:rsidR="002E6C1B">
        <w:rPr>
          <w:rFonts w:cs="Arial"/>
          <w:szCs w:val="20"/>
        </w:rPr>
        <w:t> »</w:t>
      </w:r>
      <w:r w:rsidRPr="00F9691A">
        <w:rPr>
          <w:rFonts w:cs="Arial"/>
          <w:szCs w:val="20"/>
        </w:rPr>
        <w:t xml:space="preserve"> dans quatre domaines liés aux activités des entreprises et professions non financières désignées, au devoir de vigilance à l'égard de la clientèle, aux personnes politiquement exposées et aux pays à haut risque. Toutefois, dans le domaine des nouvelles technologies, où de nouvelles exigences internationales ont été introduites pour les actifs virtuels, la note de la Mold</w:t>
      </w:r>
      <w:r w:rsidR="002F7D0A">
        <w:rPr>
          <w:rFonts w:cs="Arial"/>
          <w:szCs w:val="20"/>
        </w:rPr>
        <w:t>ova</w:t>
      </w:r>
      <w:r w:rsidRPr="00F9691A">
        <w:rPr>
          <w:rFonts w:cs="Arial"/>
          <w:szCs w:val="20"/>
        </w:rPr>
        <w:t xml:space="preserve"> a été abaissée. Parmi les évolutions positives identifiées par </w:t>
      </w:r>
      <w:r w:rsidRPr="00F9691A">
        <w:rPr>
          <w:rFonts w:cs="Arial"/>
          <w:szCs w:val="20"/>
        </w:rPr>
        <w:lastRenderedPageBreak/>
        <w:t xml:space="preserve">MONEYVAL figure l'élargissement du champ d'application des entités </w:t>
      </w:r>
      <w:r w:rsidR="00C27BE7" w:rsidRPr="00F9691A">
        <w:rPr>
          <w:rFonts w:cs="Arial"/>
          <w:szCs w:val="20"/>
        </w:rPr>
        <w:t xml:space="preserve">assujetties </w:t>
      </w:r>
      <w:r w:rsidRPr="00F9691A">
        <w:rPr>
          <w:rFonts w:cs="Arial"/>
          <w:szCs w:val="20"/>
        </w:rPr>
        <w:t xml:space="preserve">tenues d'appliquer les obligations de vigilance à l'égard de la clientèle. Les lacunes précédemment identifiées concernant la nécessité de renforcer le devoir de diligence pour les pays à haut risque ont également été </w:t>
      </w:r>
      <w:r w:rsidR="00C27BE7" w:rsidRPr="00F9691A">
        <w:rPr>
          <w:rFonts w:cs="Arial"/>
          <w:szCs w:val="20"/>
        </w:rPr>
        <w:t>remédiées</w:t>
      </w:r>
      <w:r w:rsidRPr="00F9691A">
        <w:rPr>
          <w:rFonts w:cs="Arial"/>
          <w:szCs w:val="20"/>
        </w:rPr>
        <w:t>. La Mold</w:t>
      </w:r>
      <w:r w:rsidR="002F7D0A">
        <w:rPr>
          <w:rFonts w:cs="Arial"/>
          <w:szCs w:val="20"/>
        </w:rPr>
        <w:t>ova</w:t>
      </w:r>
      <w:r w:rsidRPr="00F9691A">
        <w:rPr>
          <w:rFonts w:cs="Arial"/>
          <w:szCs w:val="20"/>
        </w:rPr>
        <w:t xml:space="preserve"> a également pris les mesures nécessaires dans le domaine des personnes politiquement exposées en vue de renforcer les exigences imposées aux institutions financières.</w:t>
      </w:r>
    </w:p>
    <w:p w14:paraId="1291D805" w14:textId="77777777" w:rsidR="0089480A" w:rsidRPr="00C36CF5" w:rsidRDefault="0089480A" w:rsidP="0089480A">
      <w:pPr>
        <w:rPr>
          <w:rFonts w:cs="Arial"/>
          <w:szCs w:val="20"/>
          <w:highlight w:val="yellow"/>
        </w:rPr>
      </w:pPr>
    </w:p>
    <w:p w14:paraId="0018EF58" w14:textId="2ACEE44A" w:rsidR="0089480A" w:rsidRPr="00F9691A" w:rsidRDefault="0089480A" w:rsidP="0089480A">
      <w:pPr>
        <w:rPr>
          <w:rFonts w:cs="Arial"/>
          <w:szCs w:val="20"/>
        </w:rPr>
      </w:pPr>
      <w:r w:rsidRPr="00F9691A">
        <w:rPr>
          <w:rFonts w:cs="Arial"/>
          <w:szCs w:val="20"/>
        </w:rPr>
        <w:t>MONEYVAL a noté les progrès positifs de la</w:t>
      </w:r>
      <w:r w:rsidRPr="00F9691A">
        <w:rPr>
          <w:rFonts w:cs="Arial"/>
          <w:b/>
          <w:bCs/>
          <w:szCs w:val="20"/>
        </w:rPr>
        <w:t xml:space="preserve"> Slovénie </w:t>
      </w:r>
      <w:r w:rsidRPr="00F9691A">
        <w:rPr>
          <w:rFonts w:cs="Arial"/>
          <w:szCs w:val="20"/>
        </w:rPr>
        <w:t>dans les réformes L</w:t>
      </w:r>
      <w:r w:rsidR="00C27BE7" w:rsidRPr="00F9691A">
        <w:rPr>
          <w:rFonts w:cs="Arial"/>
          <w:szCs w:val="20"/>
        </w:rPr>
        <w:t>BC</w:t>
      </w:r>
      <w:r w:rsidRPr="00F9691A">
        <w:rPr>
          <w:rFonts w:cs="Arial"/>
          <w:szCs w:val="20"/>
        </w:rPr>
        <w:t xml:space="preserve">/FT, qui ont conduit à une amélioration de </w:t>
      </w:r>
      <w:r w:rsidR="002E6C1B">
        <w:rPr>
          <w:rFonts w:cs="Arial"/>
          <w:szCs w:val="20"/>
        </w:rPr>
        <w:t>« </w:t>
      </w:r>
      <w:r w:rsidRPr="00F9691A">
        <w:rPr>
          <w:rFonts w:cs="Arial"/>
          <w:szCs w:val="20"/>
        </w:rPr>
        <w:t>partiellement conforme</w:t>
      </w:r>
      <w:r w:rsidR="002E6C1B">
        <w:rPr>
          <w:rFonts w:cs="Arial"/>
          <w:szCs w:val="20"/>
        </w:rPr>
        <w:t> »</w:t>
      </w:r>
      <w:r w:rsidRPr="00F9691A">
        <w:rPr>
          <w:rFonts w:cs="Arial"/>
          <w:szCs w:val="20"/>
        </w:rPr>
        <w:t xml:space="preserve"> à </w:t>
      </w:r>
      <w:r w:rsidR="002E6C1B">
        <w:rPr>
          <w:rFonts w:cs="Arial"/>
          <w:szCs w:val="20"/>
        </w:rPr>
        <w:t>« </w:t>
      </w:r>
      <w:r w:rsidRPr="00F9691A">
        <w:rPr>
          <w:rFonts w:cs="Arial"/>
          <w:szCs w:val="20"/>
        </w:rPr>
        <w:t>largement conforme</w:t>
      </w:r>
      <w:r w:rsidR="002E6C1B">
        <w:rPr>
          <w:rFonts w:cs="Arial"/>
          <w:szCs w:val="20"/>
        </w:rPr>
        <w:t> »</w:t>
      </w:r>
      <w:r w:rsidRPr="00F9691A">
        <w:rPr>
          <w:rFonts w:cs="Arial"/>
          <w:szCs w:val="20"/>
        </w:rPr>
        <w:t xml:space="preserve"> dans le domaine lié à l'évaluation des risques de blanchiment de capitaux et de financement du terrorisme (ML/TF). Toutefois, la législation présente encore des lacunes importantes en ce qui concerne l'incrimination du financement du terrorisme. Par conséquent, la Slovénie n'a pas réussi à répondre à l'attente générale de MONEYVAL, selon laquelle les pays devraient avoir remédié à la plupart - sinon à la totalité - des lacunes de conformité technique dans les trois ans suivant l'adoption du rapport d'évaluation mutuelle en juin 2017. Dans ces circonstances, MONEYVAL a décidé d'appliquer ses procédures </w:t>
      </w:r>
      <w:r w:rsidR="00C27BE7" w:rsidRPr="00F9691A">
        <w:rPr>
          <w:rFonts w:cs="Arial"/>
          <w:szCs w:val="20"/>
        </w:rPr>
        <w:t>de conformité renforcée</w:t>
      </w:r>
      <w:r w:rsidRPr="00F9691A">
        <w:rPr>
          <w:rFonts w:cs="Arial"/>
          <w:szCs w:val="20"/>
        </w:rPr>
        <w:t xml:space="preserve"> (</w:t>
      </w:r>
      <w:r w:rsidR="00C27BE7" w:rsidRPr="00F9691A">
        <w:rPr>
          <w:rFonts w:cs="Arial"/>
          <w:szCs w:val="20"/>
        </w:rPr>
        <w:t>PCR</w:t>
      </w:r>
      <w:r w:rsidRPr="00F9691A">
        <w:rPr>
          <w:rFonts w:cs="Arial"/>
          <w:szCs w:val="20"/>
        </w:rPr>
        <w:t xml:space="preserve">) à l'égard de la Slovénie. La première étape consistait à inviter </w:t>
      </w:r>
      <w:r w:rsidR="00C27BE7" w:rsidRPr="00F9691A">
        <w:rPr>
          <w:rFonts w:cs="Arial"/>
          <w:szCs w:val="20"/>
        </w:rPr>
        <w:t>la</w:t>
      </w:r>
      <w:r w:rsidRPr="00F9691A">
        <w:rPr>
          <w:rFonts w:cs="Arial"/>
          <w:szCs w:val="20"/>
        </w:rPr>
        <w:t xml:space="preserve"> Secrétaire </w:t>
      </w:r>
      <w:r w:rsidR="00C27BE7" w:rsidRPr="00F9691A">
        <w:rPr>
          <w:rFonts w:cs="Arial"/>
          <w:szCs w:val="20"/>
        </w:rPr>
        <w:t>Générale</w:t>
      </w:r>
      <w:r w:rsidRPr="00F9691A">
        <w:rPr>
          <w:rFonts w:cs="Arial"/>
          <w:szCs w:val="20"/>
        </w:rPr>
        <w:t xml:space="preserve"> du Conseil de l'Europe à envoyer une lettre aux autorités du pays pour leur demander de prendre les mesures correctives nécessaires. L'échange de lettres entre l</w:t>
      </w:r>
      <w:r w:rsidR="00C27BE7" w:rsidRPr="00F9691A">
        <w:rPr>
          <w:rFonts w:cs="Arial"/>
          <w:szCs w:val="20"/>
        </w:rPr>
        <w:t>a</w:t>
      </w:r>
      <w:r w:rsidRPr="00F9691A">
        <w:rPr>
          <w:rFonts w:cs="Arial"/>
          <w:szCs w:val="20"/>
        </w:rPr>
        <w:t xml:space="preserve"> Secrétaire </w:t>
      </w:r>
      <w:r w:rsidR="00C27BE7" w:rsidRPr="00F9691A">
        <w:rPr>
          <w:rFonts w:cs="Arial"/>
          <w:szCs w:val="20"/>
        </w:rPr>
        <w:t>G</w:t>
      </w:r>
      <w:r w:rsidRPr="00F9691A">
        <w:rPr>
          <w:rFonts w:cs="Arial"/>
          <w:szCs w:val="20"/>
        </w:rPr>
        <w:t>énéral</w:t>
      </w:r>
      <w:r w:rsidR="00C27BE7" w:rsidRPr="00F9691A">
        <w:rPr>
          <w:rFonts w:cs="Arial"/>
          <w:szCs w:val="20"/>
        </w:rPr>
        <w:t>e</w:t>
      </w:r>
      <w:r w:rsidRPr="00F9691A">
        <w:rPr>
          <w:rFonts w:cs="Arial"/>
          <w:szCs w:val="20"/>
        </w:rPr>
        <w:t xml:space="preserve"> et les autorités slovènes a abouti à des changements législatifs positifs qui seront examinés par MONEYVAL en 2023. </w:t>
      </w:r>
    </w:p>
    <w:p w14:paraId="57A2A6EF" w14:textId="77777777" w:rsidR="0089480A" w:rsidRPr="00C36CF5" w:rsidRDefault="0089480A" w:rsidP="0089480A">
      <w:pPr>
        <w:rPr>
          <w:rFonts w:cs="Arial"/>
          <w:szCs w:val="20"/>
          <w:highlight w:val="yellow"/>
        </w:rPr>
      </w:pPr>
    </w:p>
    <w:p w14:paraId="15EAFFDC" w14:textId="5B78A6A6" w:rsidR="0089480A" w:rsidRDefault="0089480A" w:rsidP="0089480A">
      <w:pPr>
        <w:rPr>
          <w:rFonts w:cs="Arial"/>
          <w:szCs w:val="20"/>
          <w:highlight w:val="yellow"/>
        </w:rPr>
      </w:pPr>
      <w:r w:rsidRPr="00F9691A">
        <w:rPr>
          <w:rFonts w:cs="Arial"/>
          <w:szCs w:val="20"/>
        </w:rPr>
        <w:t xml:space="preserve">MONEYVAL considère que la </w:t>
      </w:r>
      <w:r w:rsidRPr="00F9691A">
        <w:rPr>
          <w:rFonts w:cs="Arial"/>
          <w:b/>
          <w:bCs/>
          <w:szCs w:val="20"/>
        </w:rPr>
        <w:t xml:space="preserve">République tchèque </w:t>
      </w:r>
      <w:r w:rsidRPr="00F9691A">
        <w:rPr>
          <w:rFonts w:cs="Arial"/>
          <w:szCs w:val="20"/>
        </w:rPr>
        <w:t>a pris certaines mesures pour améliorer son niveau de conformité avec les normes du GAFI, en particulier en ce qui concerne le transport physique transfrontalier d'espèces et d'instruments négociables au porteur</w:t>
      </w:r>
      <w:r w:rsidR="003E562E" w:rsidRPr="00806124">
        <w:rPr>
          <w:rFonts w:cs="Arial"/>
          <w:szCs w:val="20"/>
        </w:rPr>
        <w:t xml:space="preserve"> (INP)</w:t>
      </w:r>
      <w:r w:rsidRPr="00F9691A">
        <w:rPr>
          <w:rFonts w:cs="Arial"/>
          <w:szCs w:val="20"/>
        </w:rPr>
        <w:t>. MONEYVAL conclut que les autorités ont pris des mesures positives pour permettre aux douanes de retenir temporairement les devises et les instruments négociables au porteur, bien que ce cadre juridique établi ne s'applique qu'aux devises et aux IN</w:t>
      </w:r>
      <w:r w:rsidR="003E562E" w:rsidRPr="00F9691A">
        <w:rPr>
          <w:rFonts w:cs="Arial"/>
          <w:szCs w:val="20"/>
        </w:rPr>
        <w:t>P</w:t>
      </w:r>
      <w:r w:rsidRPr="00F9691A">
        <w:rPr>
          <w:rFonts w:cs="Arial"/>
          <w:szCs w:val="20"/>
        </w:rPr>
        <w:t xml:space="preserve"> entrant ou sortant de l'UE. La République tchèque devrait rendre compte à MONEYVAL des progrès réalisés pour renforcer la mise en œuvre des mesures de lutte contre le blanchiment </w:t>
      </w:r>
      <w:r w:rsidR="003E562E" w:rsidRPr="00F9691A">
        <w:rPr>
          <w:rFonts w:cs="Arial"/>
          <w:szCs w:val="20"/>
        </w:rPr>
        <w:t>de capitaux</w:t>
      </w:r>
      <w:r w:rsidRPr="00F9691A">
        <w:rPr>
          <w:rFonts w:cs="Arial"/>
          <w:szCs w:val="20"/>
        </w:rPr>
        <w:t xml:space="preserve"> et le financement du terrorisme en 2023.</w:t>
      </w:r>
    </w:p>
    <w:p w14:paraId="736664A6" w14:textId="77777777" w:rsidR="0089480A" w:rsidRPr="00F9691A" w:rsidRDefault="0089480A" w:rsidP="0089480A">
      <w:pPr>
        <w:rPr>
          <w:rFonts w:cs="Arial"/>
          <w:szCs w:val="20"/>
        </w:rPr>
      </w:pPr>
    </w:p>
    <w:p w14:paraId="3A302A51" w14:textId="4D39EE67" w:rsidR="0089480A" w:rsidRPr="00F9691A" w:rsidRDefault="0089480A" w:rsidP="0089480A">
      <w:pPr>
        <w:rPr>
          <w:rFonts w:cs="Arial"/>
          <w:szCs w:val="20"/>
        </w:rPr>
      </w:pPr>
      <w:r w:rsidRPr="00F9691A">
        <w:rPr>
          <w:rFonts w:cs="Arial"/>
          <w:szCs w:val="20"/>
        </w:rPr>
        <w:t xml:space="preserve">La </w:t>
      </w:r>
      <w:r w:rsidRPr="00F9691A">
        <w:rPr>
          <w:rFonts w:cs="Arial"/>
          <w:b/>
          <w:bCs/>
          <w:szCs w:val="20"/>
        </w:rPr>
        <w:t xml:space="preserve">République </w:t>
      </w:r>
      <w:r w:rsidR="00F9691A">
        <w:rPr>
          <w:rFonts w:cs="Arial"/>
          <w:b/>
          <w:bCs/>
          <w:szCs w:val="20"/>
        </w:rPr>
        <w:t>s</w:t>
      </w:r>
      <w:r w:rsidRPr="00F9691A">
        <w:rPr>
          <w:rFonts w:cs="Arial"/>
          <w:b/>
          <w:bCs/>
          <w:szCs w:val="20"/>
        </w:rPr>
        <w:t xml:space="preserve">lovaque </w:t>
      </w:r>
      <w:r w:rsidRPr="00F9691A">
        <w:rPr>
          <w:rFonts w:cs="Arial"/>
          <w:szCs w:val="20"/>
        </w:rPr>
        <w:t xml:space="preserve">a amélioré les mesures de lutte contre le blanchiment de capitaux et le financement du terrorisme, démontrant des progrès notables dans le niveau de conformité avec les normes du GAFI. Les mesures positives prises par les autorités ont conduit au relèvement des notes du pays de </w:t>
      </w:r>
      <w:r w:rsidR="002E6C1B">
        <w:rPr>
          <w:rFonts w:cs="Arial"/>
          <w:szCs w:val="20"/>
        </w:rPr>
        <w:t>« </w:t>
      </w:r>
      <w:r w:rsidRPr="00F9691A">
        <w:rPr>
          <w:rFonts w:cs="Arial"/>
          <w:szCs w:val="20"/>
        </w:rPr>
        <w:t>partiellement conforme</w:t>
      </w:r>
      <w:r w:rsidR="002E6C1B">
        <w:rPr>
          <w:rFonts w:cs="Arial"/>
          <w:szCs w:val="20"/>
        </w:rPr>
        <w:t> »</w:t>
      </w:r>
      <w:r w:rsidRPr="00F9691A">
        <w:rPr>
          <w:rFonts w:cs="Arial"/>
          <w:szCs w:val="20"/>
        </w:rPr>
        <w:t xml:space="preserve"> à </w:t>
      </w:r>
      <w:r w:rsidR="002E6C1B">
        <w:rPr>
          <w:rFonts w:cs="Arial"/>
          <w:szCs w:val="20"/>
        </w:rPr>
        <w:t>« </w:t>
      </w:r>
      <w:r w:rsidRPr="00F9691A">
        <w:rPr>
          <w:rFonts w:cs="Arial"/>
          <w:szCs w:val="20"/>
        </w:rPr>
        <w:t>largement conforme</w:t>
      </w:r>
      <w:r w:rsidR="002E6C1B">
        <w:rPr>
          <w:rFonts w:cs="Arial"/>
          <w:szCs w:val="20"/>
        </w:rPr>
        <w:t> »</w:t>
      </w:r>
      <w:r w:rsidRPr="00F9691A">
        <w:rPr>
          <w:rFonts w:cs="Arial"/>
          <w:szCs w:val="20"/>
        </w:rPr>
        <w:t xml:space="preserve"> dans quatre domaines liés à l'évaluation des risques de blanchiment de capitaux et de financement du terrorisme, à la déclaration des transactions suspectes, à la désignation d'une autorité compétente en matière de blanchiment de capitaux et à la tenue de statistiques exhaustives. Cependant, dans le domaine des nouvelles technologies, où des exigences internationales pour les actifs virtuels ont été récemment introduites, la note de la Slovaquie a été abaissée. Parmi les développements positifs identifiés par MONEYVAL figure l'adoption du plan d'action pour gérer et atténuer les risques de blanchiment </w:t>
      </w:r>
      <w:r w:rsidR="00C946D2" w:rsidRPr="00F9691A">
        <w:rPr>
          <w:rFonts w:cs="Arial"/>
          <w:szCs w:val="20"/>
        </w:rPr>
        <w:t>de capitaux</w:t>
      </w:r>
      <w:r w:rsidRPr="00F9691A">
        <w:rPr>
          <w:rFonts w:cs="Arial"/>
          <w:szCs w:val="20"/>
        </w:rPr>
        <w:t xml:space="preserve"> et de financement du terrorisme. Les lacunes précédemment identifiées concernant l'obligation de signaler les transactions suspectes à la cellule de renseignement financier ont également été comblées. La Slovaquie a également pris les mesures nécessaires pour mettre en place une autorité compétente chargée d'enquêter sur les cas de blanchiment </w:t>
      </w:r>
      <w:r w:rsidR="00F63977" w:rsidRPr="00F9691A">
        <w:rPr>
          <w:rFonts w:cs="Arial"/>
          <w:szCs w:val="20"/>
        </w:rPr>
        <w:t>de capitaux</w:t>
      </w:r>
      <w:r w:rsidRPr="00F9691A">
        <w:rPr>
          <w:rFonts w:cs="Arial"/>
          <w:szCs w:val="20"/>
        </w:rPr>
        <w:t xml:space="preserve"> et pour imposer l'obligation de conserver et de mettre à jour des données statistiques complètes.</w:t>
      </w:r>
    </w:p>
    <w:p w14:paraId="64D4428F" w14:textId="77777777" w:rsidR="0089480A" w:rsidRPr="00F9691A" w:rsidRDefault="0089480A" w:rsidP="0089480A">
      <w:pPr>
        <w:rPr>
          <w:rFonts w:cs="Arial"/>
          <w:szCs w:val="20"/>
        </w:rPr>
      </w:pPr>
    </w:p>
    <w:p w14:paraId="3E0A5FAF" w14:textId="0D7A950F" w:rsidR="0089480A" w:rsidRPr="00F9691A" w:rsidRDefault="0089480A" w:rsidP="0089480A">
      <w:pPr>
        <w:rPr>
          <w:rFonts w:cs="Arial"/>
          <w:szCs w:val="20"/>
        </w:rPr>
      </w:pPr>
      <w:r w:rsidRPr="00F9691A">
        <w:rPr>
          <w:rFonts w:cs="Arial"/>
          <w:szCs w:val="20"/>
        </w:rPr>
        <w:t xml:space="preserve">MONEYVAL a évalué les progrès réalisés par </w:t>
      </w:r>
      <w:r w:rsidRPr="00F9691A">
        <w:rPr>
          <w:rFonts w:cs="Arial"/>
          <w:b/>
          <w:bCs/>
          <w:szCs w:val="20"/>
        </w:rPr>
        <w:t xml:space="preserve">Chypre </w:t>
      </w:r>
      <w:r w:rsidRPr="00F9691A">
        <w:rPr>
          <w:rFonts w:cs="Arial"/>
          <w:szCs w:val="20"/>
        </w:rPr>
        <w:t xml:space="preserve">en matière de mesures législatives, réglementaires et institutionnelles pour lutter contre le blanchiment de capitaux et le financement du terrorisme, et a constaté que Chypre a </w:t>
      </w:r>
      <w:r w:rsidR="005641FD" w:rsidRPr="00F9691A">
        <w:rPr>
          <w:rFonts w:cs="Arial"/>
          <w:szCs w:val="20"/>
        </w:rPr>
        <w:t>progressé</w:t>
      </w:r>
      <w:r w:rsidRPr="00F9691A">
        <w:rPr>
          <w:rFonts w:cs="Arial"/>
          <w:szCs w:val="20"/>
        </w:rPr>
        <w:t xml:space="preserve"> dans l'amélioration de son niveau de conformité avec les normes du GAFI. Les autorités chypriotes ont pris des mesures visant à améliorer le niveau de conformité avec les recommandations du GAFI concernant les organisations à but non lucratif, les </w:t>
      </w:r>
      <w:r w:rsidR="005641FD" w:rsidRPr="00F9691A">
        <w:rPr>
          <w:rFonts w:cs="Arial"/>
          <w:szCs w:val="20"/>
        </w:rPr>
        <w:t>prestataires</w:t>
      </w:r>
      <w:r w:rsidRPr="00F9691A">
        <w:rPr>
          <w:rFonts w:cs="Arial"/>
          <w:szCs w:val="20"/>
        </w:rPr>
        <w:t xml:space="preserve"> de services d'actifs virtuels (</w:t>
      </w:r>
      <w:r w:rsidR="005641FD" w:rsidRPr="00F9691A">
        <w:rPr>
          <w:rFonts w:cs="Arial"/>
          <w:szCs w:val="20"/>
        </w:rPr>
        <w:t>PSAV</w:t>
      </w:r>
      <w:r w:rsidRPr="00F9691A">
        <w:rPr>
          <w:rFonts w:cs="Arial"/>
          <w:szCs w:val="20"/>
        </w:rPr>
        <w:t xml:space="preserve">) et les pouvoirs des autorités d'enquête et de répression, mais des lacunes modérées subsistent. </w:t>
      </w:r>
      <w:r w:rsidRPr="00F9691A">
        <w:t xml:space="preserve">En particulier, </w:t>
      </w:r>
      <w:r w:rsidRPr="00F9691A">
        <w:rPr>
          <w:rFonts w:cs="Arial"/>
          <w:szCs w:val="20"/>
        </w:rPr>
        <w:t xml:space="preserve">les autorités ont pris plusieurs mesures pour évaluer l'exposition au risque de financement du terrorisme (FT) par le secteur à but non lucratif et renforcer </w:t>
      </w:r>
      <w:r w:rsidR="005641FD" w:rsidRPr="00F9691A">
        <w:rPr>
          <w:rFonts w:cs="Arial"/>
          <w:szCs w:val="20"/>
        </w:rPr>
        <w:t>la supervision</w:t>
      </w:r>
      <w:r w:rsidRPr="00F9691A">
        <w:rPr>
          <w:rFonts w:cs="Arial"/>
          <w:szCs w:val="20"/>
        </w:rPr>
        <w:t xml:space="preserve">, mais ces mesures n'ont pas encore été pleinement mises en œuvre. Des progrès substantiels ont été réalisés par Chypre dans la mise en œuvre de son régime </w:t>
      </w:r>
      <w:r w:rsidR="005641FD" w:rsidRPr="00F9691A">
        <w:rPr>
          <w:rFonts w:cs="Arial"/>
          <w:szCs w:val="20"/>
        </w:rPr>
        <w:t>PSAV</w:t>
      </w:r>
      <w:r w:rsidRPr="00F9691A">
        <w:rPr>
          <w:rFonts w:cs="Arial"/>
          <w:szCs w:val="20"/>
        </w:rPr>
        <w:t xml:space="preserve">, mais il n'existe pas, entre autres, de plan d'action national pour traiter les risques identifiés dans le secteur </w:t>
      </w:r>
      <w:r w:rsidR="00333192" w:rsidRPr="00F9691A">
        <w:rPr>
          <w:rFonts w:cs="Arial"/>
          <w:szCs w:val="20"/>
        </w:rPr>
        <w:t>PSAV</w:t>
      </w:r>
      <w:r w:rsidRPr="00F9691A">
        <w:rPr>
          <w:rFonts w:cs="Arial"/>
          <w:szCs w:val="20"/>
        </w:rPr>
        <w:t xml:space="preserve"> et certaines </w:t>
      </w:r>
      <w:r w:rsidR="00333192" w:rsidRPr="00F9691A">
        <w:rPr>
          <w:rFonts w:cs="Arial"/>
          <w:szCs w:val="20"/>
        </w:rPr>
        <w:t>lacunes</w:t>
      </w:r>
      <w:r w:rsidRPr="00F9691A">
        <w:rPr>
          <w:rFonts w:cs="Arial"/>
          <w:szCs w:val="20"/>
        </w:rPr>
        <w:t xml:space="preserve"> techniques subsistent dans la mise en œuvre des mesures préventives, y compris la règle dite </w:t>
      </w:r>
      <w:r w:rsidR="002E6C1B">
        <w:rPr>
          <w:rFonts w:cs="Arial"/>
          <w:szCs w:val="20"/>
        </w:rPr>
        <w:t>« </w:t>
      </w:r>
      <w:r w:rsidR="00BC722F" w:rsidRPr="00F9691A">
        <w:rPr>
          <w:rFonts w:cs="Arial"/>
          <w:szCs w:val="20"/>
        </w:rPr>
        <w:t>du</w:t>
      </w:r>
      <w:r w:rsidRPr="00F9691A">
        <w:rPr>
          <w:rFonts w:cs="Arial"/>
          <w:szCs w:val="20"/>
        </w:rPr>
        <w:t xml:space="preserve"> voyage</w:t>
      </w:r>
      <w:r w:rsidR="002E6C1B">
        <w:rPr>
          <w:rFonts w:cs="Arial"/>
          <w:szCs w:val="20"/>
        </w:rPr>
        <w:t> »</w:t>
      </w:r>
      <w:r w:rsidRPr="00F9691A">
        <w:rPr>
          <w:rFonts w:cs="Arial"/>
          <w:szCs w:val="20"/>
        </w:rPr>
        <w:t>. En outre, des lacunes modérées subsistent en ce qui concerne l'absence de pouvoirs d'interception du contenu des communications dans le cadre d'enquêtes sur le blanchiment de capitaux, le financement du terrorisme et d'autres infractions principales connexes, telles que l'exploitation sexuelle, la participation à un groupe criminel organisé, la fraude, le vol, le trafic d'armes, certaines infractions de corruption et les délits fiscaux, entre autres.</w:t>
      </w:r>
    </w:p>
    <w:p w14:paraId="2F05A074" w14:textId="77777777" w:rsidR="0089480A" w:rsidRPr="00C36CF5" w:rsidRDefault="0089480A" w:rsidP="0089480A">
      <w:pPr>
        <w:rPr>
          <w:rFonts w:cs="Arial"/>
          <w:szCs w:val="20"/>
          <w:highlight w:val="yellow"/>
        </w:rPr>
      </w:pPr>
    </w:p>
    <w:p w14:paraId="05E960DB" w14:textId="1064B1CA" w:rsidR="0089480A" w:rsidRDefault="0089480A" w:rsidP="0089480A">
      <w:pPr>
        <w:rPr>
          <w:rFonts w:cs="Arial"/>
          <w:szCs w:val="20"/>
          <w:highlight w:val="yellow"/>
        </w:rPr>
      </w:pPr>
      <w:r w:rsidRPr="00F9691A">
        <w:rPr>
          <w:rFonts w:cs="Arial"/>
          <w:szCs w:val="20"/>
        </w:rPr>
        <w:t xml:space="preserve">Le rapport de suivi de MONEYVAL sur la </w:t>
      </w:r>
      <w:r w:rsidRPr="00F9691A">
        <w:rPr>
          <w:rFonts w:cs="Arial"/>
          <w:b/>
          <w:bCs/>
          <w:szCs w:val="20"/>
        </w:rPr>
        <w:t xml:space="preserve">Géorgie </w:t>
      </w:r>
      <w:r w:rsidRPr="00F9691A">
        <w:rPr>
          <w:rFonts w:cs="Arial"/>
          <w:szCs w:val="20"/>
        </w:rPr>
        <w:t xml:space="preserve">a constaté des améliorations dans ses mesures de lutte contre le blanchiment de capitaux et le financement du terrorisme. Il note les bons progrès réalisés par la Géorgie au sein de sa cellule de renseignement financier, ce qui a permis de passer de </w:t>
      </w:r>
      <w:r w:rsidR="002E6C1B">
        <w:rPr>
          <w:rFonts w:cs="Arial"/>
          <w:szCs w:val="20"/>
        </w:rPr>
        <w:t>« </w:t>
      </w:r>
      <w:r w:rsidRPr="00F9691A">
        <w:rPr>
          <w:rFonts w:cs="Arial"/>
          <w:szCs w:val="20"/>
        </w:rPr>
        <w:t>partiellement conforme</w:t>
      </w:r>
      <w:r w:rsidR="002E6C1B">
        <w:rPr>
          <w:rFonts w:cs="Arial"/>
          <w:szCs w:val="20"/>
        </w:rPr>
        <w:t> »</w:t>
      </w:r>
      <w:r w:rsidRPr="00F9691A">
        <w:rPr>
          <w:rFonts w:cs="Arial"/>
          <w:szCs w:val="20"/>
        </w:rPr>
        <w:t xml:space="preserve"> à </w:t>
      </w:r>
      <w:r w:rsidR="002E6C1B">
        <w:rPr>
          <w:rFonts w:cs="Arial"/>
          <w:szCs w:val="20"/>
        </w:rPr>
        <w:t>« </w:t>
      </w:r>
      <w:r w:rsidRPr="00F9691A">
        <w:rPr>
          <w:rFonts w:cs="Arial"/>
          <w:szCs w:val="20"/>
        </w:rPr>
        <w:t>largement conforme</w:t>
      </w:r>
      <w:r w:rsidR="002E6C1B">
        <w:rPr>
          <w:rFonts w:cs="Arial"/>
          <w:szCs w:val="20"/>
        </w:rPr>
        <w:t> »</w:t>
      </w:r>
      <w:r w:rsidRPr="00F9691A">
        <w:rPr>
          <w:rFonts w:cs="Arial"/>
          <w:szCs w:val="20"/>
        </w:rPr>
        <w:t xml:space="preserve"> </w:t>
      </w:r>
      <w:r w:rsidR="00245AED" w:rsidRPr="00F9691A">
        <w:rPr>
          <w:rFonts w:cs="Arial"/>
          <w:szCs w:val="20"/>
        </w:rPr>
        <w:t>pour</w:t>
      </w:r>
      <w:r w:rsidRPr="00F9691A">
        <w:rPr>
          <w:rFonts w:cs="Arial"/>
          <w:szCs w:val="20"/>
        </w:rPr>
        <w:t xml:space="preserve"> la recommandation 29 du GAFI. En renforçant les pouvoirs du </w:t>
      </w:r>
      <w:r w:rsidR="00245AED" w:rsidRPr="00F9691A">
        <w:rPr>
          <w:rFonts w:cs="Arial"/>
          <w:szCs w:val="20"/>
        </w:rPr>
        <w:t>S</w:t>
      </w:r>
      <w:r w:rsidRPr="00F9691A">
        <w:rPr>
          <w:rFonts w:cs="Arial"/>
          <w:szCs w:val="20"/>
        </w:rPr>
        <w:t xml:space="preserve">ervice de </w:t>
      </w:r>
      <w:r w:rsidR="00245AED" w:rsidRPr="00F9691A">
        <w:rPr>
          <w:rFonts w:cs="Arial"/>
          <w:szCs w:val="20"/>
        </w:rPr>
        <w:t>Supervision</w:t>
      </w:r>
      <w:r w:rsidRPr="00F9691A">
        <w:rPr>
          <w:rFonts w:cs="Arial"/>
          <w:szCs w:val="20"/>
        </w:rPr>
        <w:t xml:space="preserve"> </w:t>
      </w:r>
      <w:r w:rsidR="00245AED" w:rsidRPr="00F9691A">
        <w:rPr>
          <w:rFonts w:cs="Arial"/>
          <w:szCs w:val="20"/>
        </w:rPr>
        <w:t>F</w:t>
      </w:r>
      <w:r w:rsidRPr="00F9691A">
        <w:rPr>
          <w:rFonts w:cs="Arial"/>
          <w:szCs w:val="20"/>
        </w:rPr>
        <w:t xml:space="preserve">inancière (cellule de renseignement financier de Géorgie) en matière de </w:t>
      </w:r>
      <w:r w:rsidR="00245AED" w:rsidRPr="00F9691A">
        <w:rPr>
          <w:rFonts w:cs="Arial"/>
          <w:szCs w:val="20"/>
        </w:rPr>
        <w:t>dissémination</w:t>
      </w:r>
      <w:r w:rsidRPr="00F9691A">
        <w:rPr>
          <w:rFonts w:cs="Arial"/>
          <w:szCs w:val="20"/>
        </w:rPr>
        <w:t xml:space="preserve"> </w:t>
      </w:r>
      <w:r w:rsidRPr="00F9691A">
        <w:rPr>
          <w:rFonts w:cs="Arial"/>
          <w:szCs w:val="20"/>
        </w:rPr>
        <w:lastRenderedPageBreak/>
        <w:t xml:space="preserve">d'informations et de résultats d'analyses sur demande et sans ordonnance judiciaire à l'ensemble des autorités </w:t>
      </w:r>
      <w:r w:rsidR="00245AED" w:rsidRPr="00F9691A">
        <w:rPr>
          <w:rFonts w:cs="Arial"/>
          <w:szCs w:val="20"/>
        </w:rPr>
        <w:t>de poursuite pénale</w:t>
      </w:r>
      <w:r w:rsidRPr="00F9691A">
        <w:rPr>
          <w:rFonts w:cs="Arial"/>
          <w:szCs w:val="20"/>
        </w:rPr>
        <w:t xml:space="preserve">, la Géorgie a remédié à une lacune importante identifiée précédemment. Seules des lacunes mineures subsistent en ce qui concerne l'absence de référence explicite à l'obligation pour le </w:t>
      </w:r>
      <w:r w:rsidR="00245AED" w:rsidRPr="00F9691A">
        <w:rPr>
          <w:rFonts w:cs="Arial"/>
          <w:szCs w:val="20"/>
        </w:rPr>
        <w:t>S</w:t>
      </w:r>
      <w:r w:rsidRPr="00F9691A">
        <w:rPr>
          <w:rFonts w:cs="Arial"/>
          <w:szCs w:val="20"/>
        </w:rPr>
        <w:t xml:space="preserve">ervice de </w:t>
      </w:r>
      <w:r w:rsidR="00245AED" w:rsidRPr="00F9691A">
        <w:rPr>
          <w:rFonts w:cs="Arial"/>
          <w:szCs w:val="20"/>
        </w:rPr>
        <w:t>S</w:t>
      </w:r>
      <w:r w:rsidRPr="00F9691A">
        <w:rPr>
          <w:rFonts w:cs="Arial"/>
          <w:szCs w:val="20"/>
        </w:rPr>
        <w:t xml:space="preserve">urveillance </w:t>
      </w:r>
      <w:r w:rsidR="00245AED" w:rsidRPr="00F9691A">
        <w:rPr>
          <w:rFonts w:cs="Arial"/>
          <w:szCs w:val="20"/>
        </w:rPr>
        <w:t>F</w:t>
      </w:r>
      <w:r w:rsidRPr="00F9691A">
        <w:rPr>
          <w:rFonts w:cs="Arial"/>
          <w:szCs w:val="20"/>
        </w:rPr>
        <w:t>inancière de procéder à une analyse opérationnelle et stratégique et le champ d'application de la définition du blanchiment de capitaux.</w:t>
      </w:r>
    </w:p>
    <w:p w14:paraId="65355573" w14:textId="77777777" w:rsidR="0089480A" w:rsidRPr="00C36CF5" w:rsidRDefault="0089480A" w:rsidP="0089480A">
      <w:pPr>
        <w:rPr>
          <w:rFonts w:cs="Arial"/>
          <w:szCs w:val="20"/>
          <w:highlight w:val="yellow"/>
        </w:rPr>
      </w:pPr>
    </w:p>
    <w:p w14:paraId="4A1BF6D7" w14:textId="77777777" w:rsidR="0089480A" w:rsidRPr="00F9691A" w:rsidRDefault="0089480A" w:rsidP="0089480A">
      <w:pPr>
        <w:rPr>
          <w:rFonts w:cs="Arial"/>
          <w:szCs w:val="20"/>
        </w:rPr>
      </w:pPr>
      <w:r w:rsidRPr="00F9691A">
        <w:rPr>
          <w:rFonts w:cs="Arial"/>
          <w:szCs w:val="20"/>
        </w:rPr>
        <w:t>MONEYVAL a adopté le rapport de suivi de l'</w:t>
      </w:r>
      <w:r w:rsidRPr="00F9691A">
        <w:rPr>
          <w:rFonts w:cs="Arial"/>
          <w:b/>
          <w:bCs/>
          <w:szCs w:val="20"/>
        </w:rPr>
        <w:t>Île de Man</w:t>
      </w:r>
      <w:r w:rsidRPr="00F9691A">
        <w:rPr>
          <w:rFonts w:cs="Arial"/>
          <w:szCs w:val="20"/>
        </w:rPr>
        <w:t xml:space="preserve">, ne constatant que quelques lacunes résiduelles dans son régime de LBC/FT, en particulier en ce qui concerne les exigences de conformité pour les entreprises et professions non financières désignées conformément à la recommandation 23 du GAFI. Pour le reste, l'Île de Man a atteint un niveau adéquat de conformité avec toutes les autres exigences en matière de lutte contre le blanchiment de capitaux et le financement du terrorisme, comme le prévoient les recommandations du GAFI. </w:t>
      </w:r>
    </w:p>
    <w:p w14:paraId="2DD97CAF" w14:textId="77777777" w:rsidR="0089480A" w:rsidRPr="00C36CF5" w:rsidRDefault="0089480A" w:rsidP="0089480A">
      <w:pPr>
        <w:rPr>
          <w:rFonts w:cs="Arial"/>
          <w:szCs w:val="20"/>
          <w:highlight w:val="yellow"/>
        </w:rPr>
      </w:pPr>
    </w:p>
    <w:p w14:paraId="0B91129B" w14:textId="05D9A3BE" w:rsidR="0089480A" w:rsidRDefault="0089480A" w:rsidP="0089480A">
      <w:pPr>
        <w:rPr>
          <w:rFonts w:cs="Arial"/>
          <w:szCs w:val="20"/>
        </w:rPr>
      </w:pPr>
      <w:r w:rsidRPr="00F9691A">
        <w:rPr>
          <w:rFonts w:cs="Arial"/>
          <w:szCs w:val="20"/>
        </w:rPr>
        <w:t xml:space="preserve">MONEYVAL a estimé </w:t>
      </w:r>
      <w:r w:rsidRPr="00F0657C">
        <w:rPr>
          <w:rFonts w:cs="Arial"/>
          <w:szCs w:val="20"/>
        </w:rPr>
        <w:t>que la</w:t>
      </w:r>
      <w:r w:rsidRPr="00F9691A">
        <w:rPr>
          <w:rFonts w:cs="Arial"/>
          <w:b/>
          <w:bCs/>
          <w:szCs w:val="20"/>
        </w:rPr>
        <w:t xml:space="preserve"> Lituanie </w:t>
      </w:r>
      <w:r w:rsidRPr="00F0657C">
        <w:rPr>
          <w:rFonts w:cs="Arial"/>
          <w:szCs w:val="20"/>
        </w:rPr>
        <w:t>progressait</w:t>
      </w:r>
      <w:r w:rsidRPr="00F9691A">
        <w:rPr>
          <w:rFonts w:cs="Arial"/>
          <w:b/>
          <w:bCs/>
          <w:szCs w:val="20"/>
        </w:rPr>
        <w:t xml:space="preserve"> </w:t>
      </w:r>
      <w:r w:rsidRPr="00F9691A">
        <w:rPr>
          <w:rFonts w:cs="Arial"/>
          <w:szCs w:val="20"/>
        </w:rPr>
        <w:t xml:space="preserve">pour remédier à la plupart des manquements techniques constatés après l'adoption du rapport d'évaluation mutuelle dans un délai de deux ans, mais que des efforts soutenus restaient nécessaires.  La Lituanie a amélioré ses mesures relatives à la transparence des personnes morales et des </w:t>
      </w:r>
      <w:r w:rsidR="00BC722F" w:rsidRPr="00F9691A">
        <w:rPr>
          <w:rFonts w:cs="Arial"/>
          <w:szCs w:val="20"/>
        </w:rPr>
        <w:t>passeurs</w:t>
      </w:r>
      <w:r w:rsidRPr="00F9691A">
        <w:rPr>
          <w:rFonts w:cs="Arial"/>
          <w:szCs w:val="20"/>
        </w:rPr>
        <w:t xml:space="preserve"> de fonds. En renforçant les pouvoirs de l'autorité douanière pour demander et obtenir des informations supplémentaires lorsqu'une fausse déclaration ou divulgation, ou un défaut de déclaration, a été détecté, la Lituanie a remédié à une lacune importante identifiée précédemment. En outre, la Lituanie a renforcé ses mécanismes de coordination entre les autorités douanières et d'immigration et la CRF. Quelques lacunes mineures subsistent en ce qui concerne l'obligation de déclaration pour le transport </w:t>
      </w:r>
      <w:r w:rsidR="00BC722F">
        <w:rPr>
          <w:rFonts w:cs="Arial"/>
          <w:szCs w:val="20"/>
        </w:rPr>
        <w:t>d’espèces</w:t>
      </w:r>
      <w:r w:rsidRPr="00F9691A">
        <w:rPr>
          <w:rFonts w:cs="Arial"/>
          <w:szCs w:val="20"/>
        </w:rPr>
        <w:t xml:space="preserve"> par courrier/</w:t>
      </w:r>
      <w:r w:rsidR="00BC722F" w:rsidRPr="00F9691A">
        <w:rPr>
          <w:rFonts w:cs="Arial"/>
          <w:szCs w:val="20"/>
        </w:rPr>
        <w:t>fret</w:t>
      </w:r>
      <w:r w:rsidRPr="00F9691A">
        <w:rPr>
          <w:rFonts w:cs="Arial"/>
          <w:szCs w:val="20"/>
        </w:rPr>
        <w:t xml:space="preserve"> et la </w:t>
      </w:r>
      <w:r w:rsidR="00BC722F" w:rsidRPr="00F9691A">
        <w:rPr>
          <w:rFonts w:cs="Arial"/>
          <w:szCs w:val="20"/>
        </w:rPr>
        <w:t>retenue d’espèces</w:t>
      </w:r>
      <w:r w:rsidRPr="00F9691A">
        <w:rPr>
          <w:rFonts w:cs="Arial"/>
          <w:szCs w:val="20"/>
        </w:rPr>
        <w:t xml:space="preserve"> pendant une période raisonnable afin de vérifier si des preuves de blanchiment </w:t>
      </w:r>
      <w:r w:rsidR="00941B25" w:rsidRPr="00F9691A">
        <w:rPr>
          <w:rFonts w:cs="Arial"/>
          <w:szCs w:val="20"/>
        </w:rPr>
        <w:t>de capitaux</w:t>
      </w:r>
      <w:r w:rsidRPr="00F9691A">
        <w:rPr>
          <w:rFonts w:cs="Arial"/>
          <w:szCs w:val="20"/>
        </w:rPr>
        <w:t xml:space="preserve"> ou de financement du terrorisme peuvent être trouvées. En outre, la Lituanie a pris des mesures importantes pour améliorer la transparence des personnes morales. Le pays a mis en place un registre des bénéficiaires effectifs et a commencé à collecter des informations sur les actionnaires, les membres et les propriétaires des personnes morales. Bien que la Lituanie ait amélioré son cadre juridique, plusieurs lacunes subsistent en ce qui concerne la proportionnalité et le caractère dissuasif des sanctions, ainsi que l'absence d'évaluation des risques encourus par les personnes morales.</w:t>
      </w:r>
    </w:p>
    <w:p w14:paraId="57836D4B" w14:textId="77777777" w:rsidR="0089480A" w:rsidRDefault="0089480A" w:rsidP="0089480A">
      <w:pPr>
        <w:rPr>
          <w:rFonts w:cs="Arial"/>
          <w:szCs w:val="20"/>
        </w:rPr>
      </w:pPr>
    </w:p>
    <w:p w14:paraId="18F21600" w14:textId="7D30E796" w:rsidR="0089480A" w:rsidRDefault="0089480A" w:rsidP="0089480A">
      <w:pPr>
        <w:keepNext/>
        <w:tabs>
          <w:tab w:val="left" w:pos="709"/>
        </w:tabs>
        <w:ind w:right="680"/>
        <w:jc w:val="both"/>
        <w:outlineLvl w:val="1"/>
        <w:rPr>
          <w:rFonts w:eastAsiaTheme="majorEastAsia" w:cs="Arial"/>
          <w:b/>
          <w:bCs/>
          <w:color w:val="000000" w:themeColor="text1"/>
          <w:szCs w:val="20"/>
        </w:rPr>
      </w:pPr>
      <w:bookmarkStart w:id="156" w:name="_Toc132203753"/>
      <w:bookmarkStart w:id="157" w:name="_Toc135412699"/>
      <w:r w:rsidRPr="005037AC">
        <w:rPr>
          <w:rFonts w:eastAsiaTheme="majorEastAsia" w:cs="Arial"/>
          <w:b/>
          <w:bCs/>
          <w:color w:val="000000" w:themeColor="text1"/>
          <w:szCs w:val="20"/>
        </w:rPr>
        <w:t>2.</w:t>
      </w:r>
      <w:r>
        <w:rPr>
          <w:rFonts w:eastAsiaTheme="majorEastAsia" w:cs="Arial"/>
          <w:b/>
          <w:bCs/>
          <w:color w:val="000000" w:themeColor="text1"/>
          <w:szCs w:val="20"/>
        </w:rPr>
        <w:t xml:space="preserve">6 </w:t>
      </w:r>
      <w:r w:rsidRPr="005037AC">
        <w:rPr>
          <w:rFonts w:eastAsiaTheme="majorEastAsia" w:cs="Arial"/>
          <w:b/>
          <w:bCs/>
          <w:color w:val="000000" w:themeColor="text1"/>
          <w:szCs w:val="20"/>
        </w:rPr>
        <w:tab/>
      </w:r>
      <w:r w:rsidR="00BC722F" w:rsidRPr="00DF5871">
        <w:rPr>
          <w:rFonts w:eastAsiaTheme="majorEastAsia" w:cs="Arial"/>
          <w:b/>
          <w:bCs/>
          <w:color w:val="000000" w:themeColor="text1"/>
          <w:szCs w:val="20"/>
        </w:rPr>
        <w:t>Dispositifs</w:t>
      </w:r>
      <w:r w:rsidRPr="00722A19">
        <w:rPr>
          <w:rFonts w:eastAsiaTheme="majorEastAsia" w:cs="Arial"/>
          <w:b/>
          <w:bCs/>
          <w:color w:val="000000" w:themeColor="text1"/>
          <w:szCs w:val="20"/>
        </w:rPr>
        <w:t xml:space="preserve"> de </w:t>
      </w:r>
      <w:r w:rsidR="00BC722F" w:rsidRPr="00722A19">
        <w:rPr>
          <w:rFonts w:eastAsiaTheme="majorEastAsia" w:cs="Arial"/>
          <w:b/>
          <w:bCs/>
          <w:color w:val="000000" w:themeColor="text1"/>
          <w:szCs w:val="20"/>
        </w:rPr>
        <w:t>régularisation</w:t>
      </w:r>
      <w:r w:rsidRPr="00722A19">
        <w:rPr>
          <w:rFonts w:eastAsiaTheme="majorEastAsia" w:cs="Arial"/>
          <w:b/>
          <w:bCs/>
          <w:color w:val="000000" w:themeColor="text1"/>
          <w:szCs w:val="20"/>
        </w:rPr>
        <w:t xml:space="preserve"> fiscale volontaire</w:t>
      </w:r>
      <w:bookmarkEnd w:id="156"/>
      <w:bookmarkEnd w:id="157"/>
    </w:p>
    <w:p w14:paraId="1A42BE24" w14:textId="77777777" w:rsidR="0089480A" w:rsidRPr="005037AC" w:rsidRDefault="0089480A" w:rsidP="0089480A"/>
    <w:p w14:paraId="0D853124" w14:textId="748A08EE" w:rsidR="0089480A" w:rsidRDefault="0089480A" w:rsidP="0089480A">
      <w:r w:rsidRPr="00F9691A">
        <w:t xml:space="preserve">MONEYVAL a continué à suivre et à évaluer les </w:t>
      </w:r>
      <w:r w:rsidR="00BC722F">
        <w:t>dispositifs de régularisation</w:t>
      </w:r>
      <w:r w:rsidRPr="00F9691A">
        <w:t xml:space="preserve"> fiscale volontaire (</w:t>
      </w:r>
      <w:r w:rsidR="00BC722F" w:rsidRPr="00F9691A">
        <w:t>DRFV</w:t>
      </w:r>
      <w:r w:rsidRPr="00F9691A">
        <w:t xml:space="preserve">) dans ses États et territoires membres. En 2022, MONEYVAL a examiné l'initiative </w:t>
      </w:r>
      <w:r w:rsidR="00F9691A">
        <w:t xml:space="preserve">provisoire </w:t>
      </w:r>
      <w:r w:rsidRPr="00F9691A">
        <w:t xml:space="preserve">de </w:t>
      </w:r>
      <w:r w:rsidR="00BC722F">
        <w:t>DRFV</w:t>
      </w:r>
      <w:r w:rsidRPr="00F9691A">
        <w:t xml:space="preserve"> en Albanie, dans le cadre de son examen par le </w:t>
      </w:r>
      <w:r w:rsidR="00043335">
        <w:t>G</w:t>
      </w:r>
      <w:r w:rsidRPr="00F9691A">
        <w:t>roupe d</w:t>
      </w:r>
      <w:r w:rsidR="00043335">
        <w:t>’E</w:t>
      </w:r>
      <w:r w:rsidRPr="00F9691A">
        <w:t xml:space="preserve">xamen de la </w:t>
      </w:r>
      <w:r w:rsidR="00043335">
        <w:t>C</w:t>
      </w:r>
      <w:r w:rsidRPr="00F9691A">
        <w:t xml:space="preserve">oopération </w:t>
      </w:r>
      <w:r w:rsidR="00043335">
        <w:t>I</w:t>
      </w:r>
      <w:r w:rsidRPr="00F9691A">
        <w:t>nternationale</w:t>
      </w:r>
      <w:r w:rsidR="00043335">
        <w:t xml:space="preserve"> (ICRG)</w:t>
      </w:r>
      <w:r w:rsidRPr="00F9691A">
        <w:t xml:space="preserve"> du GAFI. </w:t>
      </w:r>
    </w:p>
    <w:p w14:paraId="49BADF2F" w14:textId="77777777" w:rsidR="0089480A" w:rsidRPr="005B3C93" w:rsidRDefault="0089480A" w:rsidP="0089480A"/>
    <w:p w14:paraId="2110F541" w14:textId="512753CF" w:rsidR="0089480A" w:rsidRPr="00F9691A" w:rsidRDefault="0089480A" w:rsidP="0089480A">
      <w:pPr>
        <w:pStyle w:val="Heading2"/>
        <w:keepLines w:val="0"/>
        <w:tabs>
          <w:tab w:val="left" w:pos="709"/>
        </w:tabs>
        <w:spacing w:before="0"/>
        <w:ind w:right="680"/>
        <w:jc w:val="both"/>
        <w:rPr>
          <w:rStyle w:val="docheader1"/>
          <w:rFonts w:ascii="Arial" w:hAnsi="Arial" w:cs="Arial"/>
          <w:color w:val="000000" w:themeColor="text1"/>
          <w:sz w:val="20"/>
          <w:szCs w:val="20"/>
          <w:lang w:val="fr-FR"/>
        </w:rPr>
      </w:pPr>
      <w:bookmarkStart w:id="158" w:name="_Toc132203754"/>
      <w:bookmarkStart w:id="159" w:name="_Toc135412700"/>
      <w:r w:rsidRPr="00F9691A">
        <w:rPr>
          <w:rStyle w:val="docheader1"/>
          <w:rFonts w:ascii="Arial" w:hAnsi="Arial" w:cs="Arial"/>
          <w:color w:val="000000" w:themeColor="text1"/>
          <w:sz w:val="20"/>
          <w:szCs w:val="20"/>
          <w:lang w:val="fr-FR"/>
        </w:rPr>
        <w:t>2.7</w:t>
      </w:r>
      <w:r w:rsidRPr="00F9691A">
        <w:rPr>
          <w:rStyle w:val="docheader1"/>
          <w:rFonts w:ascii="Arial" w:hAnsi="Arial" w:cs="Arial"/>
          <w:color w:val="000000" w:themeColor="text1"/>
          <w:sz w:val="20"/>
          <w:szCs w:val="20"/>
          <w:lang w:val="fr-FR"/>
        </w:rPr>
        <w:tab/>
        <w:t xml:space="preserve">Procédures </w:t>
      </w:r>
      <w:r w:rsidR="00043335">
        <w:rPr>
          <w:rStyle w:val="docheader1"/>
          <w:rFonts w:ascii="Arial" w:hAnsi="Arial" w:cs="Arial"/>
          <w:color w:val="000000" w:themeColor="text1"/>
          <w:sz w:val="20"/>
          <w:szCs w:val="20"/>
          <w:lang w:val="fr-FR"/>
        </w:rPr>
        <w:t>de conformité</w:t>
      </w:r>
      <w:r w:rsidRPr="00F9691A">
        <w:rPr>
          <w:rStyle w:val="docheader1"/>
          <w:rFonts w:ascii="Arial" w:hAnsi="Arial" w:cs="Arial"/>
          <w:color w:val="000000" w:themeColor="text1"/>
          <w:sz w:val="20"/>
          <w:szCs w:val="20"/>
          <w:lang w:val="fr-FR"/>
        </w:rPr>
        <w:t xml:space="preserve"> </w:t>
      </w:r>
      <w:r w:rsidR="00043335">
        <w:rPr>
          <w:rStyle w:val="docheader1"/>
          <w:rFonts w:ascii="Arial" w:hAnsi="Arial" w:cs="Arial"/>
          <w:color w:val="000000" w:themeColor="text1"/>
          <w:sz w:val="20"/>
          <w:szCs w:val="20"/>
          <w:lang w:val="fr-FR"/>
        </w:rPr>
        <w:t>renforcée</w:t>
      </w:r>
      <w:r w:rsidRPr="00F9691A">
        <w:rPr>
          <w:rStyle w:val="docheader1"/>
          <w:rFonts w:ascii="Arial" w:hAnsi="Arial" w:cs="Arial"/>
          <w:color w:val="000000" w:themeColor="text1"/>
          <w:sz w:val="20"/>
          <w:szCs w:val="20"/>
          <w:lang w:val="fr-FR"/>
        </w:rPr>
        <w:t xml:space="preserve"> (</w:t>
      </w:r>
      <w:r w:rsidR="00043335">
        <w:rPr>
          <w:rStyle w:val="docheader1"/>
          <w:rFonts w:ascii="Arial" w:hAnsi="Arial" w:cs="Arial"/>
          <w:color w:val="000000" w:themeColor="text1"/>
          <w:sz w:val="20"/>
          <w:szCs w:val="20"/>
          <w:lang w:val="fr-FR"/>
        </w:rPr>
        <w:t>PCR</w:t>
      </w:r>
      <w:r w:rsidRPr="00F9691A">
        <w:rPr>
          <w:rStyle w:val="docheader1"/>
          <w:rFonts w:ascii="Arial" w:hAnsi="Arial" w:cs="Arial"/>
          <w:color w:val="000000" w:themeColor="text1"/>
          <w:sz w:val="20"/>
          <w:szCs w:val="20"/>
          <w:lang w:val="fr-FR"/>
        </w:rPr>
        <w:t>)</w:t>
      </w:r>
      <w:bookmarkEnd w:id="158"/>
      <w:bookmarkEnd w:id="159"/>
    </w:p>
    <w:p w14:paraId="229D76A9" w14:textId="77777777" w:rsidR="0089480A" w:rsidRPr="00DB50CE" w:rsidRDefault="0089480A" w:rsidP="0089480A"/>
    <w:p w14:paraId="0DDE0624" w14:textId="1EF1130D" w:rsidR="0089480A" w:rsidRPr="00F9691A" w:rsidRDefault="0089480A" w:rsidP="0089480A">
      <w:pPr>
        <w:pStyle w:val="Default"/>
        <w:rPr>
          <w:sz w:val="20"/>
          <w:szCs w:val="20"/>
          <w:lang w:val="fr-FR"/>
        </w:rPr>
      </w:pPr>
      <w:r w:rsidRPr="00F9691A">
        <w:rPr>
          <w:sz w:val="20"/>
          <w:szCs w:val="20"/>
          <w:lang w:val="fr-FR"/>
        </w:rPr>
        <w:t>La Slovénie se trouve actuellement à l'étape 1 des procédures de conformité</w:t>
      </w:r>
      <w:r w:rsidR="005237A0">
        <w:rPr>
          <w:sz w:val="20"/>
          <w:szCs w:val="20"/>
          <w:lang w:val="fr-FR"/>
        </w:rPr>
        <w:t xml:space="preserve"> renforcée</w:t>
      </w:r>
      <w:r w:rsidRPr="00F9691A">
        <w:rPr>
          <w:sz w:val="20"/>
          <w:szCs w:val="20"/>
          <w:lang w:val="fr-FR"/>
        </w:rPr>
        <w:t xml:space="preserve"> de MONEYVAL, en raison de lacunes persistantes dans l</w:t>
      </w:r>
      <w:r w:rsidR="008B154A" w:rsidRPr="00F9691A">
        <w:rPr>
          <w:sz w:val="20"/>
          <w:szCs w:val="20"/>
          <w:lang w:val="fr-FR"/>
        </w:rPr>
        <w:t xml:space="preserve">’incrimination de l’infraction </w:t>
      </w:r>
      <w:r w:rsidRPr="00F9691A">
        <w:rPr>
          <w:sz w:val="20"/>
          <w:szCs w:val="20"/>
          <w:lang w:val="fr-FR"/>
        </w:rPr>
        <w:t>d</w:t>
      </w:r>
      <w:r w:rsidR="008B154A" w:rsidRPr="00F9691A">
        <w:rPr>
          <w:sz w:val="20"/>
          <w:szCs w:val="20"/>
          <w:lang w:val="fr-FR"/>
        </w:rPr>
        <w:t>e</w:t>
      </w:r>
      <w:r w:rsidRPr="00F9691A">
        <w:rPr>
          <w:sz w:val="20"/>
          <w:szCs w:val="20"/>
          <w:lang w:val="fr-FR"/>
        </w:rPr>
        <w:t xml:space="preserve"> financement du terrorisme. </w:t>
      </w:r>
      <w:proofErr w:type="gramStart"/>
      <w:r w:rsidRPr="00F9691A">
        <w:rPr>
          <w:sz w:val="20"/>
          <w:szCs w:val="20"/>
          <w:lang w:val="fr-FR"/>
        </w:rPr>
        <w:t>Suite à un</w:t>
      </w:r>
      <w:proofErr w:type="gramEnd"/>
      <w:r w:rsidRPr="00F9691A">
        <w:rPr>
          <w:sz w:val="20"/>
          <w:szCs w:val="20"/>
          <w:lang w:val="fr-FR"/>
        </w:rPr>
        <w:t xml:space="preserve"> échange de lettres entre l</w:t>
      </w:r>
      <w:r w:rsidR="008B154A" w:rsidRPr="00F9691A">
        <w:rPr>
          <w:sz w:val="20"/>
          <w:szCs w:val="20"/>
          <w:lang w:val="fr-FR"/>
        </w:rPr>
        <w:t>a</w:t>
      </w:r>
      <w:r w:rsidRPr="00F9691A">
        <w:rPr>
          <w:sz w:val="20"/>
          <w:szCs w:val="20"/>
          <w:lang w:val="fr-FR"/>
        </w:rPr>
        <w:t xml:space="preserve"> Secrétaire Général</w:t>
      </w:r>
      <w:r w:rsidR="008B154A" w:rsidRPr="00F9691A">
        <w:rPr>
          <w:sz w:val="20"/>
          <w:szCs w:val="20"/>
          <w:lang w:val="fr-FR"/>
        </w:rPr>
        <w:t>e</w:t>
      </w:r>
      <w:r w:rsidRPr="00F9691A">
        <w:rPr>
          <w:sz w:val="20"/>
          <w:szCs w:val="20"/>
          <w:lang w:val="fr-FR"/>
        </w:rPr>
        <w:t xml:space="preserve"> du Conseil de l'Europe et les autorités slovènes en 2022, les mesures nécessaires ont été prises par le gouvernement slovène pour introduire et adopter la législation nécessaire pour </w:t>
      </w:r>
      <w:r w:rsidR="008B154A">
        <w:rPr>
          <w:sz w:val="20"/>
          <w:szCs w:val="20"/>
          <w:lang w:val="fr-FR"/>
        </w:rPr>
        <w:t>remédier aux</w:t>
      </w:r>
      <w:r w:rsidRPr="00F9691A">
        <w:rPr>
          <w:sz w:val="20"/>
          <w:szCs w:val="20"/>
          <w:lang w:val="fr-FR"/>
        </w:rPr>
        <w:t xml:space="preserve"> lacunes existantes.  </w:t>
      </w:r>
    </w:p>
    <w:p w14:paraId="199E5744" w14:textId="77777777" w:rsidR="0089480A" w:rsidRPr="00F9691A" w:rsidRDefault="0089480A" w:rsidP="0089480A">
      <w:pPr>
        <w:pStyle w:val="Default"/>
        <w:rPr>
          <w:sz w:val="20"/>
          <w:szCs w:val="20"/>
          <w:lang w:val="fr-FR"/>
        </w:rPr>
      </w:pPr>
    </w:p>
    <w:p w14:paraId="6A868A6A" w14:textId="77777777" w:rsidR="0089480A" w:rsidRPr="00F0657C" w:rsidRDefault="0089480A" w:rsidP="00625A70">
      <w:pPr>
        <w:pStyle w:val="Heading1"/>
        <w:numPr>
          <w:ilvl w:val="0"/>
          <w:numId w:val="35"/>
        </w:numPr>
        <w:spacing w:before="0"/>
        <w:ind w:left="720" w:hanging="720"/>
        <w:rPr>
          <w:rFonts w:ascii="Arial" w:eastAsiaTheme="minorHAnsi" w:hAnsi="Arial" w:cs="Times New Roman"/>
          <w:b/>
          <w:bCs/>
          <w:color w:val="auto"/>
          <w:kern w:val="28"/>
          <w:sz w:val="20"/>
          <w:szCs w:val="20"/>
          <w:lang w:val="fr-FR"/>
        </w:rPr>
      </w:pPr>
      <w:bookmarkStart w:id="160" w:name="_Toc66712422"/>
      <w:bookmarkStart w:id="161" w:name="_Toc132203755"/>
      <w:bookmarkStart w:id="162" w:name="_Toc135412701"/>
      <w:r w:rsidRPr="00F0657C">
        <w:rPr>
          <w:rFonts w:ascii="Arial" w:eastAsiaTheme="minorHAnsi" w:hAnsi="Arial" w:cs="Times New Roman"/>
          <w:b/>
          <w:bCs/>
          <w:color w:val="auto"/>
          <w:kern w:val="28"/>
          <w:sz w:val="20"/>
          <w:szCs w:val="20"/>
          <w:lang w:val="fr-FR"/>
        </w:rPr>
        <w:t>ENGAGEMENTS DE HAUT NIVEAU ET DE VISIBILITÉ</w:t>
      </w:r>
      <w:bookmarkEnd w:id="160"/>
      <w:bookmarkEnd w:id="161"/>
      <w:bookmarkEnd w:id="162"/>
    </w:p>
    <w:p w14:paraId="467905FC" w14:textId="77777777" w:rsidR="0089480A" w:rsidRPr="00F0657C" w:rsidRDefault="0089480A" w:rsidP="0089480A"/>
    <w:p w14:paraId="2BE76998" w14:textId="3B72FC52" w:rsidR="0089480A" w:rsidRPr="00F0657C" w:rsidRDefault="008D01BF" w:rsidP="00625A70">
      <w:pPr>
        <w:pStyle w:val="Default"/>
        <w:rPr>
          <w:color w:val="auto"/>
          <w:sz w:val="20"/>
          <w:szCs w:val="20"/>
          <w:shd w:val="clear" w:color="auto" w:fill="FFFFFF"/>
          <w:lang w:val="fr-FR"/>
        </w:rPr>
      </w:pPr>
      <w:r w:rsidRPr="00F0657C">
        <w:rPr>
          <w:color w:val="auto"/>
          <w:sz w:val="20"/>
          <w:szCs w:val="20"/>
          <w:shd w:val="clear" w:color="auto" w:fill="FFFFFF"/>
          <w:lang w:val="fr-FR"/>
        </w:rPr>
        <w:t xml:space="preserve">En </w:t>
      </w:r>
      <w:r w:rsidR="0089480A" w:rsidRPr="00F0657C">
        <w:rPr>
          <w:color w:val="auto"/>
          <w:sz w:val="20"/>
          <w:szCs w:val="20"/>
          <w:shd w:val="clear" w:color="auto" w:fill="FFFFFF"/>
          <w:lang w:val="fr-FR"/>
        </w:rPr>
        <w:t xml:space="preserve">2022, la </w:t>
      </w:r>
      <w:r w:rsidRPr="00F0657C">
        <w:rPr>
          <w:color w:val="auto"/>
          <w:sz w:val="20"/>
          <w:szCs w:val="20"/>
          <w:shd w:val="clear" w:color="auto" w:fill="FFFFFF"/>
          <w:lang w:val="fr-FR"/>
        </w:rPr>
        <w:t>P</w:t>
      </w:r>
      <w:r w:rsidR="0089480A" w:rsidRPr="00F0657C">
        <w:rPr>
          <w:color w:val="auto"/>
          <w:sz w:val="20"/>
          <w:szCs w:val="20"/>
          <w:shd w:val="clear" w:color="auto" w:fill="FFFFFF"/>
          <w:lang w:val="fr-FR"/>
        </w:rPr>
        <w:t xml:space="preserve">résidence et le </w:t>
      </w:r>
      <w:r w:rsidRPr="00F0657C">
        <w:rPr>
          <w:color w:val="auto"/>
          <w:sz w:val="20"/>
          <w:szCs w:val="20"/>
          <w:shd w:val="clear" w:color="auto" w:fill="FFFFFF"/>
          <w:lang w:val="fr-FR"/>
        </w:rPr>
        <w:t>S</w:t>
      </w:r>
      <w:r w:rsidR="0089480A" w:rsidRPr="00F0657C">
        <w:rPr>
          <w:color w:val="auto"/>
          <w:sz w:val="20"/>
          <w:szCs w:val="20"/>
          <w:shd w:val="clear" w:color="auto" w:fill="FFFFFF"/>
          <w:lang w:val="fr-FR"/>
        </w:rPr>
        <w:t xml:space="preserve">ecrétariat de MONEYVAL ont mené un certain nombre d'activités de haut niveau et de visibilité et se sont engagés auprès d'homologues externes, notamment les actions suivantes : </w:t>
      </w:r>
    </w:p>
    <w:p w14:paraId="67CAA5E9" w14:textId="77777777" w:rsidR="0089480A" w:rsidRPr="00F0657C" w:rsidRDefault="0089480A" w:rsidP="00625A70">
      <w:pPr>
        <w:pStyle w:val="Default"/>
        <w:rPr>
          <w:color w:val="auto"/>
          <w:sz w:val="20"/>
          <w:szCs w:val="20"/>
          <w:shd w:val="clear" w:color="auto" w:fill="FFFFFF"/>
          <w:lang w:val="fr-FR"/>
        </w:rPr>
      </w:pPr>
    </w:p>
    <w:p w14:paraId="644BD69A" w14:textId="3DCF5B93" w:rsidR="0089480A" w:rsidRPr="00F0657C" w:rsidRDefault="0089480A" w:rsidP="00625A70">
      <w:pPr>
        <w:pStyle w:val="Default"/>
        <w:numPr>
          <w:ilvl w:val="0"/>
          <w:numId w:val="37"/>
        </w:numPr>
        <w:ind w:left="714" w:hanging="357"/>
        <w:rPr>
          <w:color w:val="auto"/>
          <w:sz w:val="20"/>
          <w:szCs w:val="20"/>
          <w:shd w:val="clear" w:color="auto" w:fill="FFFFFF"/>
          <w:lang w:val="fr-FR"/>
        </w:rPr>
      </w:pPr>
      <w:r w:rsidRPr="00F0657C">
        <w:rPr>
          <w:color w:val="auto"/>
          <w:sz w:val="20"/>
          <w:szCs w:val="20"/>
          <w:shd w:val="clear" w:color="auto" w:fill="FFFFFF"/>
          <w:lang w:val="fr-FR"/>
        </w:rPr>
        <w:t>Du 1</w:t>
      </w:r>
      <w:r w:rsidR="00F0657C">
        <w:rPr>
          <w:color w:val="auto"/>
          <w:sz w:val="20"/>
          <w:szCs w:val="20"/>
          <w:shd w:val="clear" w:color="auto" w:fill="FFFFFF"/>
          <w:vertAlign w:val="superscript"/>
          <w:lang w:val="fr-FR"/>
        </w:rPr>
        <w:t xml:space="preserve">er </w:t>
      </w:r>
      <w:r w:rsidRPr="00F0657C">
        <w:rPr>
          <w:color w:val="auto"/>
          <w:sz w:val="20"/>
          <w:szCs w:val="20"/>
          <w:shd w:val="clear" w:color="auto" w:fill="FFFFFF"/>
          <w:lang w:val="fr-FR"/>
        </w:rPr>
        <w:t xml:space="preserve">au 4 mars 2022, la délégation de MONEYVAL, </w:t>
      </w:r>
      <w:r w:rsidR="007401D3" w:rsidRPr="00F0657C">
        <w:rPr>
          <w:color w:val="auto"/>
          <w:sz w:val="20"/>
          <w:szCs w:val="20"/>
          <w:shd w:val="clear" w:color="auto" w:fill="FFFFFF"/>
          <w:lang w:val="fr-FR"/>
        </w:rPr>
        <w:t>représentée</w:t>
      </w:r>
      <w:r w:rsidRPr="00F0657C">
        <w:rPr>
          <w:color w:val="auto"/>
          <w:sz w:val="20"/>
          <w:szCs w:val="20"/>
          <w:shd w:val="clear" w:color="auto" w:fill="FFFFFF"/>
          <w:lang w:val="fr-FR"/>
        </w:rPr>
        <w:t xml:space="preserve"> par la </w:t>
      </w:r>
      <w:r w:rsidR="007401D3" w:rsidRPr="00F0657C">
        <w:rPr>
          <w:color w:val="auto"/>
          <w:sz w:val="20"/>
          <w:szCs w:val="20"/>
          <w:shd w:val="clear" w:color="auto" w:fill="FFFFFF"/>
          <w:lang w:val="fr-FR"/>
        </w:rPr>
        <w:t>P</w:t>
      </w:r>
      <w:r w:rsidRPr="00F0657C">
        <w:rPr>
          <w:color w:val="auto"/>
          <w:sz w:val="20"/>
          <w:szCs w:val="20"/>
          <w:shd w:val="clear" w:color="auto" w:fill="FFFFFF"/>
          <w:lang w:val="fr-FR"/>
        </w:rPr>
        <w:t xml:space="preserve">résidente Mme </w:t>
      </w:r>
      <w:proofErr w:type="spellStart"/>
      <w:r w:rsidRPr="00F0657C">
        <w:rPr>
          <w:color w:val="auto"/>
          <w:sz w:val="20"/>
          <w:szCs w:val="20"/>
          <w:shd w:val="clear" w:color="auto" w:fill="FFFFFF"/>
          <w:lang w:val="fr-FR"/>
        </w:rPr>
        <w:t>Elżbieta</w:t>
      </w:r>
      <w:proofErr w:type="spellEnd"/>
      <w:r w:rsidRPr="00F0657C">
        <w:rPr>
          <w:color w:val="auto"/>
          <w:sz w:val="20"/>
          <w:szCs w:val="20"/>
          <w:shd w:val="clear" w:color="auto" w:fill="FFFFFF"/>
          <w:lang w:val="fr-FR"/>
        </w:rPr>
        <w:t xml:space="preserve"> </w:t>
      </w:r>
      <w:proofErr w:type="spellStart"/>
      <w:r w:rsidRPr="00F0657C">
        <w:rPr>
          <w:color w:val="auto"/>
          <w:sz w:val="20"/>
          <w:szCs w:val="20"/>
          <w:shd w:val="clear" w:color="auto" w:fill="FFFFFF"/>
          <w:lang w:val="fr-FR"/>
        </w:rPr>
        <w:t>Franków-Jaśkiewicz</w:t>
      </w:r>
      <w:proofErr w:type="spellEnd"/>
      <w:r w:rsidRPr="00F0657C">
        <w:rPr>
          <w:color w:val="auto"/>
          <w:sz w:val="20"/>
          <w:szCs w:val="20"/>
          <w:shd w:val="clear" w:color="auto" w:fill="FFFFFF"/>
          <w:lang w:val="fr-FR"/>
        </w:rPr>
        <w:t xml:space="preserve">, a participé à la réunion plénière du GAFI à Paris, en France. Cette réunion plénière a achevé le processus d'examen stratégique du GAFI en adoptant la nouvelle méthodologie et les procédures du GAFI pour le prochain cycle d'évaluations mutuelles, qui serviront de base au prochain cycle d'évaluation de MONEYVAL. Le GAFI a approuvé une nouvelle vision stratégique pour le réseau mondial </w:t>
      </w:r>
      <w:r w:rsidR="00300927" w:rsidRPr="00F0657C">
        <w:rPr>
          <w:color w:val="auto"/>
          <w:sz w:val="20"/>
          <w:szCs w:val="20"/>
          <w:shd w:val="clear" w:color="auto" w:fill="FFFFFF"/>
          <w:lang w:val="fr-FR"/>
        </w:rPr>
        <w:t>de LBC/FT</w:t>
      </w:r>
      <w:r w:rsidRPr="00F0657C">
        <w:rPr>
          <w:color w:val="auto"/>
          <w:sz w:val="20"/>
          <w:szCs w:val="20"/>
          <w:shd w:val="clear" w:color="auto" w:fill="FFFFFF"/>
          <w:lang w:val="fr-FR"/>
        </w:rPr>
        <w:t xml:space="preserve">, soutenue par MONEYVAL. La plénière a également adopté le rapport d'évaluation mutuelle de la France, pour lequel MONEYVAL a été </w:t>
      </w:r>
      <w:r w:rsidR="00300927" w:rsidRPr="00F0657C">
        <w:rPr>
          <w:color w:val="auto"/>
          <w:sz w:val="20"/>
          <w:szCs w:val="20"/>
          <w:shd w:val="clear" w:color="auto" w:fill="FFFFFF"/>
          <w:lang w:val="fr-FR"/>
        </w:rPr>
        <w:t>impliqué</w:t>
      </w:r>
      <w:r w:rsidRPr="00F0657C">
        <w:rPr>
          <w:color w:val="auto"/>
          <w:sz w:val="20"/>
          <w:szCs w:val="20"/>
          <w:shd w:val="clear" w:color="auto" w:fill="FFFFFF"/>
          <w:lang w:val="fr-FR"/>
        </w:rPr>
        <w:t xml:space="preserve"> en tant que réviseur.</w:t>
      </w:r>
    </w:p>
    <w:p w14:paraId="7F4AC881" w14:textId="77777777" w:rsidR="00625A70" w:rsidRPr="00F0657C" w:rsidRDefault="00625A70" w:rsidP="00625A70">
      <w:pPr>
        <w:pStyle w:val="Default"/>
        <w:ind w:left="714"/>
        <w:rPr>
          <w:color w:val="auto"/>
          <w:sz w:val="20"/>
          <w:szCs w:val="20"/>
          <w:shd w:val="clear" w:color="auto" w:fill="FFFFFF"/>
          <w:lang w:val="fr-FR"/>
        </w:rPr>
      </w:pPr>
    </w:p>
    <w:p w14:paraId="4C74AE8E" w14:textId="72FB0B73" w:rsidR="0089480A" w:rsidRPr="00F0657C" w:rsidRDefault="0089480A" w:rsidP="00625A70">
      <w:pPr>
        <w:pStyle w:val="Default"/>
        <w:numPr>
          <w:ilvl w:val="0"/>
          <w:numId w:val="37"/>
        </w:numPr>
        <w:ind w:left="714" w:hanging="357"/>
        <w:rPr>
          <w:color w:val="auto"/>
          <w:sz w:val="20"/>
          <w:szCs w:val="20"/>
          <w:shd w:val="clear" w:color="auto" w:fill="FFFFFF"/>
          <w:lang w:val="fr-FR"/>
        </w:rPr>
      </w:pPr>
      <w:r w:rsidRPr="00F0657C">
        <w:rPr>
          <w:color w:val="auto"/>
          <w:sz w:val="20"/>
          <w:szCs w:val="20"/>
          <w:shd w:val="clear" w:color="auto" w:fill="FFFFFF"/>
          <w:lang w:val="fr-FR"/>
        </w:rPr>
        <w:t xml:space="preserve">Le 30 mars 2022, la Présidente de MONEYVAL, Mme </w:t>
      </w:r>
      <w:proofErr w:type="spellStart"/>
      <w:r w:rsidRPr="00F0657C">
        <w:rPr>
          <w:color w:val="auto"/>
          <w:sz w:val="20"/>
          <w:szCs w:val="20"/>
          <w:shd w:val="clear" w:color="auto" w:fill="FFFFFF"/>
          <w:lang w:val="fr-FR"/>
        </w:rPr>
        <w:t>Elżbieta</w:t>
      </w:r>
      <w:proofErr w:type="spellEnd"/>
      <w:r w:rsidRPr="00F0657C">
        <w:rPr>
          <w:color w:val="auto"/>
          <w:sz w:val="20"/>
          <w:szCs w:val="20"/>
          <w:shd w:val="clear" w:color="auto" w:fill="FFFFFF"/>
          <w:lang w:val="fr-FR"/>
        </w:rPr>
        <w:t xml:space="preserve"> </w:t>
      </w:r>
      <w:proofErr w:type="spellStart"/>
      <w:r w:rsidRPr="00F0657C">
        <w:rPr>
          <w:color w:val="auto"/>
          <w:sz w:val="20"/>
          <w:szCs w:val="20"/>
          <w:shd w:val="clear" w:color="auto" w:fill="FFFFFF"/>
          <w:lang w:val="fr-FR"/>
        </w:rPr>
        <w:t>Franków-Jaśkiewicz</w:t>
      </w:r>
      <w:proofErr w:type="spellEnd"/>
      <w:r w:rsidRPr="00F0657C">
        <w:rPr>
          <w:color w:val="auto"/>
          <w:sz w:val="20"/>
          <w:szCs w:val="20"/>
          <w:shd w:val="clear" w:color="auto" w:fill="FFFFFF"/>
          <w:lang w:val="fr-FR"/>
        </w:rPr>
        <w:t xml:space="preserve">, a tenu un échange de vues avec le Comité des Ministres du Conseil de l'Europe. La réunion a porté sur les tendances internationales et européennes actuelles dans le domaine du blanchiment </w:t>
      </w:r>
      <w:r w:rsidR="00282866" w:rsidRPr="00F0657C">
        <w:rPr>
          <w:color w:val="auto"/>
          <w:sz w:val="20"/>
          <w:szCs w:val="20"/>
          <w:shd w:val="clear" w:color="auto" w:fill="FFFFFF"/>
          <w:lang w:val="fr-FR"/>
        </w:rPr>
        <w:t>de capitaux</w:t>
      </w:r>
      <w:r w:rsidRPr="00F0657C">
        <w:rPr>
          <w:color w:val="auto"/>
          <w:sz w:val="20"/>
          <w:szCs w:val="20"/>
          <w:shd w:val="clear" w:color="auto" w:fill="FFFFFF"/>
          <w:lang w:val="fr-FR"/>
        </w:rPr>
        <w:t>, du financement du terrorisme et de la prolifération des armes de destruction massive. L</w:t>
      </w:r>
      <w:r w:rsidR="007401D3" w:rsidRPr="00F0657C">
        <w:rPr>
          <w:color w:val="auto"/>
          <w:sz w:val="20"/>
          <w:szCs w:val="20"/>
          <w:shd w:val="clear" w:color="auto" w:fill="FFFFFF"/>
          <w:lang w:val="fr-FR"/>
        </w:rPr>
        <w:t>a</w:t>
      </w:r>
      <w:r w:rsidRPr="00F0657C">
        <w:rPr>
          <w:color w:val="auto"/>
          <w:sz w:val="20"/>
          <w:szCs w:val="20"/>
          <w:shd w:val="clear" w:color="auto" w:fill="FFFFFF"/>
          <w:lang w:val="fr-FR"/>
        </w:rPr>
        <w:t xml:space="preserve"> </w:t>
      </w:r>
      <w:r w:rsidR="007401D3" w:rsidRPr="00F0657C">
        <w:rPr>
          <w:color w:val="auto"/>
          <w:sz w:val="20"/>
          <w:szCs w:val="20"/>
          <w:shd w:val="clear" w:color="auto" w:fill="FFFFFF"/>
          <w:lang w:val="fr-FR"/>
        </w:rPr>
        <w:t>P</w:t>
      </w:r>
      <w:r w:rsidRPr="00F0657C">
        <w:rPr>
          <w:color w:val="auto"/>
          <w:sz w:val="20"/>
          <w:szCs w:val="20"/>
          <w:shd w:val="clear" w:color="auto" w:fill="FFFFFF"/>
          <w:lang w:val="fr-FR"/>
        </w:rPr>
        <w:t>résident de MONEYVAL a également présenté le rapport annuel de MONEYVAL pour 2021, ainsi que les résultats obtenus jusqu'à présent par le Comité dans le cadre du cycle actuel d'évaluations mutuelles.</w:t>
      </w:r>
    </w:p>
    <w:p w14:paraId="23F32E18" w14:textId="77777777" w:rsidR="00625A70" w:rsidRPr="00F0657C" w:rsidRDefault="00625A70" w:rsidP="00625A70">
      <w:pPr>
        <w:pStyle w:val="Default"/>
        <w:rPr>
          <w:color w:val="auto"/>
          <w:sz w:val="20"/>
          <w:szCs w:val="20"/>
          <w:shd w:val="clear" w:color="auto" w:fill="FFFFFF"/>
          <w:lang w:val="fr-FR"/>
        </w:rPr>
      </w:pPr>
    </w:p>
    <w:p w14:paraId="41F93EBD" w14:textId="77777777" w:rsidR="00625A70" w:rsidRPr="00F0657C" w:rsidRDefault="00625A70">
      <w:pPr>
        <w:rPr>
          <w:rFonts w:eastAsia="Times New Roman" w:cs="Arial"/>
          <w:szCs w:val="20"/>
          <w:shd w:val="clear" w:color="auto" w:fill="FFFFFF"/>
        </w:rPr>
      </w:pPr>
      <w:r w:rsidRPr="00F0657C">
        <w:rPr>
          <w:szCs w:val="20"/>
          <w:shd w:val="clear" w:color="auto" w:fill="FFFFFF"/>
        </w:rPr>
        <w:br w:type="page"/>
      </w:r>
    </w:p>
    <w:p w14:paraId="33596AE8" w14:textId="367858F3" w:rsidR="0089480A" w:rsidRDefault="0089480A" w:rsidP="00625A70">
      <w:pPr>
        <w:pStyle w:val="Default"/>
        <w:numPr>
          <w:ilvl w:val="0"/>
          <w:numId w:val="37"/>
        </w:numPr>
        <w:ind w:left="714" w:hanging="357"/>
        <w:rPr>
          <w:color w:val="161616"/>
          <w:sz w:val="20"/>
          <w:szCs w:val="20"/>
          <w:shd w:val="clear" w:color="auto" w:fill="FFFFFF"/>
          <w:lang w:val="fr-FR"/>
        </w:rPr>
      </w:pPr>
      <w:r w:rsidRPr="00F9691A">
        <w:rPr>
          <w:color w:val="161616"/>
          <w:sz w:val="20"/>
          <w:szCs w:val="20"/>
          <w:shd w:val="clear" w:color="auto" w:fill="FFFFFF"/>
          <w:lang w:val="fr-FR"/>
        </w:rPr>
        <w:lastRenderedPageBreak/>
        <w:t xml:space="preserve">Les 10 et 11 avril 2022, des représentants du GAFI et de MONEYVAL ont effectué une visite à Malte afin d'évaluer les progrès réalisés par ce pays dans le cadre de la procédure de radiation de la liste du GAFI. L'équipe a rencontré des représentants des autorités maltaises impliquées dans la lutte contre le blanchiment </w:t>
      </w:r>
      <w:r w:rsidR="000A04E5" w:rsidRPr="00F9691A">
        <w:rPr>
          <w:color w:val="161616"/>
          <w:sz w:val="20"/>
          <w:szCs w:val="20"/>
          <w:shd w:val="clear" w:color="auto" w:fill="FFFFFF"/>
          <w:lang w:val="fr-FR"/>
        </w:rPr>
        <w:t>de capitaux</w:t>
      </w:r>
      <w:r w:rsidRPr="00F9691A">
        <w:rPr>
          <w:color w:val="161616"/>
          <w:sz w:val="20"/>
          <w:szCs w:val="20"/>
          <w:shd w:val="clear" w:color="auto" w:fill="FFFFFF"/>
          <w:lang w:val="fr-FR"/>
        </w:rPr>
        <w:t xml:space="preserve"> et le financement du terrorisme et a été reçue par le Premier ministre de Malte, M. Robert Abela.</w:t>
      </w:r>
    </w:p>
    <w:p w14:paraId="27E30185" w14:textId="77777777" w:rsidR="00625A70" w:rsidRPr="00F9691A" w:rsidRDefault="00625A70" w:rsidP="00625A70">
      <w:pPr>
        <w:pStyle w:val="Default"/>
        <w:ind w:left="714"/>
        <w:rPr>
          <w:color w:val="161616"/>
          <w:sz w:val="20"/>
          <w:szCs w:val="20"/>
          <w:shd w:val="clear" w:color="auto" w:fill="FFFFFF"/>
          <w:lang w:val="fr-FR"/>
        </w:rPr>
      </w:pPr>
    </w:p>
    <w:p w14:paraId="086720A6" w14:textId="2B9F29D2" w:rsidR="0089480A" w:rsidRDefault="0089480A" w:rsidP="00625A70">
      <w:pPr>
        <w:pStyle w:val="Default"/>
        <w:numPr>
          <w:ilvl w:val="0"/>
          <w:numId w:val="37"/>
        </w:numPr>
        <w:ind w:left="714" w:hanging="357"/>
        <w:rPr>
          <w:color w:val="161616"/>
          <w:sz w:val="20"/>
          <w:szCs w:val="20"/>
          <w:shd w:val="clear" w:color="auto" w:fill="FFFFFF"/>
          <w:lang w:val="fr-FR"/>
        </w:rPr>
      </w:pPr>
      <w:r w:rsidRPr="00F9691A">
        <w:rPr>
          <w:color w:val="161616"/>
          <w:sz w:val="20"/>
          <w:szCs w:val="20"/>
          <w:shd w:val="clear" w:color="auto" w:fill="FFFFFF"/>
          <w:lang w:val="fr-FR"/>
        </w:rPr>
        <w:t xml:space="preserve">La </w:t>
      </w:r>
      <w:r w:rsidR="00341168" w:rsidRPr="00F9691A">
        <w:rPr>
          <w:color w:val="161616"/>
          <w:sz w:val="20"/>
          <w:szCs w:val="20"/>
          <w:shd w:val="clear" w:color="auto" w:fill="FFFFFF"/>
          <w:lang w:val="fr-FR"/>
        </w:rPr>
        <w:t>P</w:t>
      </w:r>
      <w:r w:rsidRPr="00F9691A">
        <w:rPr>
          <w:color w:val="161616"/>
          <w:sz w:val="20"/>
          <w:szCs w:val="20"/>
          <w:shd w:val="clear" w:color="auto" w:fill="FFFFFF"/>
          <w:lang w:val="fr-FR"/>
        </w:rPr>
        <w:t>résiden</w:t>
      </w:r>
      <w:r w:rsidR="007401D3">
        <w:rPr>
          <w:color w:val="161616"/>
          <w:sz w:val="20"/>
          <w:szCs w:val="20"/>
          <w:shd w:val="clear" w:color="auto" w:fill="FFFFFF"/>
          <w:lang w:val="fr-FR"/>
        </w:rPr>
        <w:t>t</w:t>
      </w:r>
      <w:r w:rsidRPr="00F9691A">
        <w:rPr>
          <w:color w:val="161616"/>
          <w:sz w:val="20"/>
          <w:szCs w:val="20"/>
          <w:shd w:val="clear" w:color="auto" w:fill="FFFFFF"/>
          <w:lang w:val="fr-FR"/>
        </w:rPr>
        <w:t xml:space="preserve">e et le </w:t>
      </w:r>
      <w:r w:rsidR="00341168" w:rsidRPr="00F9691A">
        <w:rPr>
          <w:color w:val="161616"/>
          <w:sz w:val="20"/>
          <w:szCs w:val="20"/>
          <w:shd w:val="clear" w:color="auto" w:fill="FFFFFF"/>
          <w:lang w:val="fr-FR"/>
        </w:rPr>
        <w:t>S</w:t>
      </w:r>
      <w:r w:rsidRPr="00F9691A">
        <w:rPr>
          <w:color w:val="161616"/>
          <w:sz w:val="20"/>
          <w:szCs w:val="20"/>
          <w:shd w:val="clear" w:color="auto" w:fill="FFFFFF"/>
          <w:lang w:val="fr-FR"/>
        </w:rPr>
        <w:t>ecrétariat de MONEYVAL ont participé à la réunion plénière du GAFI du 14 au 17</w:t>
      </w:r>
      <w:r w:rsidR="002E6C1B">
        <w:rPr>
          <w:color w:val="161616"/>
          <w:sz w:val="20"/>
          <w:szCs w:val="20"/>
          <w:shd w:val="clear" w:color="auto" w:fill="FFFFFF"/>
          <w:lang w:val="fr-FR"/>
        </w:rPr>
        <w:t> </w:t>
      </w:r>
      <w:r w:rsidRPr="00F9691A">
        <w:rPr>
          <w:color w:val="161616"/>
          <w:sz w:val="20"/>
          <w:szCs w:val="20"/>
          <w:shd w:val="clear" w:color="auto" w:fill="FFFFFF"/>
          <w:lang w:val="fr-FR"/>
        </w:rPr>
        <w:t xml:space="preserve">juin 2022 à Berlin, Allemagne. La délégation de MONEYVAL a activement participé à la discussion des rapports d'évaluation mutuelle du GAFI de l'Allemagne et des Pays-Bas. Le GAFI a pris la décision de retirer Malte de sa </w:t>
      </w:r>
      <w:r w:rsidR="002E6C1B">
        <w:rPr>
          <w:color w:val="161616"/>
          <w:sz w:val="20"/>
          <w:szCs w:val="20"/>
          <w:shd w:val="clear" w:color="auto" w:fill="FFFFFF"/>
          <w:lang w:val="fr-FR"/>
        </w:rPr>
        <w:t>« </w:t>
      </w:r>
      <w:r w:rsidRPr="00F9691A">
        <w:rPr>
          <w:color w:val="161616"/>
          <w:sz w:val="20"/>
          <w:szCs w:val="20"/>
          <w:shd w:val="clear" w:color="auto" w:fill="FFFFFF"/>
          <w:lang w:val="fr-FR"/>
        </w:rPr>
        <w:t>liste grise</w:t>
      </w:r>
      <w:r w:rsidR="002E6C1B">
        <w:rPr>
          <w:color w:val="161616"/>
          <w:sz w:val="20"/>
          <w:szCs w:val="20"/>
          <w:shd w:val="clear" w:color="auto" w:fill="FFFFFF"/>
          <w:lang w:val="fr-FR"/>
        </w:rPr>
        <w:t> »</w:t>
      </w:r>
      <w:r w:rsidRPr="00F9691A">
        <w:rPr>
          <w:color w:val="161616"/>
          <w:sz w:val="20"/>
          <w:szCs w:val="20"/>
          <w:shd w:val="clear" w:color="auto" w:fill="FFFFFF"/>
          <w:lang w:val="fr-FR"/>
        </w:rPr>
        <w:t xml:space="preserve">, tout en décidant d'y inclure Gibraltar. </w:t>
      </w:r>
    </w:p>
    <w:p w14:paraId="7862A6B4" w14:textId="77777777" w:rsidR="00625A70" w:rsidRPr="00F9691A" w:rsidRDefault="00625A70" w:rsidP="00625A70">
      <w:pPr>
        <w:pStyle w:val="Default"/>
        <w:rPr>
          <w:color w:val="161616"/>
          <w:sz w:val="20"/>
          <w:szCs w:val="20"/>
          <w:shd w:val="clear" w:color="auto" w:fill="FFFFFF"/>
          <w:lang w:val="fr-FR"/>
        </w:rPr>
      </w:pPr>
    </w:p>
    <w:p w14:paraId="775C3606" w14:textId="3FB1DA3D" w:rsidR="0089480A" w:rsidRDefault="0089480A" w:rsidP="00625A70">
      <w:pPr>
        <w:pStyle w:val="Default"/>
        <w:numPr>
          <w:ilvl w:val="0"/>
          <w:numId w:val="37"/>
        </w:numPr>
        <w:ind w:left="714" w:hanging="357"/>
        <w:rPr>
          <w:color w:val="161616"/>
          <w:sz w:val="20"/>
          <w:szCs w:val="20"/>
          <w:shd w:val="clear" w:color="auto" w:fill="FFFFFF"/>
          <w:lang w:val="fr-FR"/>
        </w:rPr>
      </w:pPr>
      <w:r w:rsidRPr="00F9691A">
        <w:rPr>
          <w:color w:val="161616"/>
          <w:sz w:val="20"/>
          <w:szCs w:val="20"/>
          <w:shd w:val="clear" w:color="auto" w:fill="FFFFFF"/>
          <w:lang w:val="fr-FR"/>
        </w:rPr>
        <w:t>L</w:t>
      </w:r>
      <w:r w:rsidR="007401D3">
        <w:rPr>
          <w:color w:val="161616"/>
          <w:sz w:val="20"/>
          <w:szCs w:val="20"/>
          <w:shd w:val="clear" w:color="auto" w:fill="FFFFFF"/>
          <w:lang w:val="fr-FR"/>
        </w:rPr>
        <w:t>a</w:t>
      </w:r>
      <w:r w:rsidRPr="00F9691A">
        <w:rPr>
          <w:color w:val="161616"/>
          <w:sz w:val="20"/>
          <w:szCs w:val="20"/>
          <w:shd w:val="clear" w:color="auto" w:fill="FFFFFF"/>
          <w:lang w:val="fr-FR"/>
        </w:rPr>
        <w:t xml:space="preserve"> </w:t>
      </w:r>
      <w:r w:rsidR="00341168" w:rsidRPr="00F9691A">
        <w:rPr>
          <w:color w:val="161616"/>
          <w:sz w:val="20"/>
          <w:szCs w:val="20"/>
          <w:shd w:val="clear" w:color="auto" w:fill="FFFFFF"/>
          <w:lang w:val="fr-FR"/>
        </w:rPr>
        <w:t>P</w:t>
      </w:r>
      <w:r w:rsidRPr="00F9691A">
        <w:rPr>
          <w:color w:val="161616"/>
          <w:sz w:val="20"/>
          <w:szCs w:val="20"/>
          <w:shd w:val="clear" w:color="auto" w:fill="FFFFFF"/>
          <w:lang w:val="fr-FR"/>
        </w:rPr>
        <w:t>résident</w:t>
      </w:r>
      <w:r w:rsidR="007401D3">
        <w:rPr>
          <w:color w:val="161616"/>
          <w:sz w:val="20"/>
          <w:szCs w:val="20"/>
          <w:shd w:val="clear" w:color="auto" w:fill="FFFFFF"/>
          <w:lang w:val="fr-FR"/>
        </w:rPr>
        <w:t>e</w:t>
      </w:r>
      <w:r w:rsidRPr="00F9691A">
        <w:rPr>
          <w:color w:val="161616"/>
          <w:sz w:val="20"/>
          <w:szCs w:val="20"/>
          <w:shd w:val="clear" w:color="auto" w:fill="FFFFFF"/>
          <w:lang w:val="fr-FR"/>
        </w:rPr>
        <w:t xml:space="preserve"> et le </w:t>
      </w:r>
      <w:r w:rsidR="00341168" w:rsidRPr="00F9691A">
        <w:rPr>
          <w:color w:val="161616"/>
          <w:sz w:val="20"/>
          <w:szCs w:val="20"/>
          <w:shd w:val="clear" w:color="auto" w:fill="FFFFFF"/>
          <w:lang w:val="fr-FR"/>
        </w:rPr>
        <w:t>S</w:t>
      </w:r>
      <w:r w:rsidRPr="00F9691A">
        <w:rPr>
          <w:color w:val="161616"/>
          <w:sz w:val="20"/>
          <w:szCs w:val="20"/>
          <w:shd w:val="clear" w:color="auto" w:fill="FFFFFF"/>
          <w:lang w:val="fr-FR"/>
        </w:rPr>
        <w:t>ecrétariat de MONEYVAL ont participé à la réunion plénière du GAFI du 17 au 21</w:t>
      </w:r>
      <w:r w:rsidR="002E6C1B">
        <w:rPr>
          <w:color w:val="161616"/>
          <w:sz w:val="20"/>
          <w:szCs w:val="20"/>
          <w:shd w:val="clear" w:color="auto" w:fill="FFFFFF"/>
          <w:lang w:val="fr-FR"/>
        </w:rPr>
        <w:t> </w:t>
      </w:r>
      <w:r w:rsidRPr="00F9691A">
        <w:rPr>
          <w:color w:val="161616"/>
          <w:sz w:val="20"/>
          <w:szCs w:val="20"/>
          <w:shd w:val="clear" w:color="auto" w:fill="FFFFFF"/>
          <w:lang w:val="fr-FR"/>
        </w:rPr>
        <w:t xml:space="preserve">octobre 2022 à Paris, France. La réunion plénière a discuté des questions liées à la préparation du prochain cycle d'évaluations mutuelles, y compris la possibilité de permettre à MONEYVAL de diriger les premières évaluations du cycle. La réunion plénière a également finalisé les travaux du GAFI dans un certain nombre de domaines importants, y compris une mise à jour des orientations pour une approche fondée sur le risque </w:t>
      </w:r>
      <w:r w:rsidR="007401D3" w:rsidRPr="00F9691A">
        <w:rPr>
          <w:color w:val="161616"/>
          <w:sz w:val="20"/>
          <w:szCs w:val="20"/>
          <w:shd w:val="clear" w:color="auto" w:fill="FFFFFF"/>
          <w:lang w:val="fr-FR"/>
        </w:rPr>
        <w:t xml:space="preserve">en matière </w:t>
      </w:r>
      <w:r w:rsidRPr="00F9691A">
        <w:rPr>
          <w:color w:val="161616"/>
          <w:sz w:val="20"/>
          <w:szCs w:val="20"/>
          <w:shd w:val="clear" w:color="auto" w:fill="FFFFFF"/>
          <w:lang w:val="fr-FR"/>
        </w:rPr>
        <w:t>d</w:t>
      </w:r>
      <w:r w:rsidR="007401D3" w:rsidRPr="00F9691A">
        <w:rPr>
          <w:color w:val="161616"/>
          <w:sz w:val="20"/>
          <w:szCs w:val="20"/>
          <w:shd w:val="clear" w:color="auto" w:fill="FFFFFF"/>
          <w:lang w:val="fr-FR"/>
        </w:rPr>
        <w:t>’</w:t>
      </w:r>
      <w:r w:rsidRPr="00F9691A">
        <w:rPr>
          <w:color w:val="161616"/>
          <w:sz w:val="20"/>
          <w:szCs w:val="20"/>
          <w:shd w:val="clear" w:color="auto" w:fill="FFFFFF"/>
          <w:lang w:val="fr-FR"/>
        </w:rPr>
        <w:t>actifs virtuels et de prestataires de services d'actifs virtuels.</w:t>
      </w:r>
    </w:p>
    <w:p w14:paraId="1D52A34B" w14:textId="77777777" w:rsidR="00625A70" w:rsidRPr="00F9691A" w:rsidRDefault="00625A70" w:rsidP="00625A70">
      <w:pPr>
        <w:pStyle w:val="Default"/>
        <w:rPr>
          <w:color w:val="161616"/>
          <w:sz w:val="20"/>
          <w:szCs w:val="20"/>
          <w:shd w:val="clear" w:color="auto" w:fill="FFFFFF"/>
          <w:lang w:val="fr-FR"/>
        </w:rPr>
      </w:pPr>
    </w:p>
    <w:p w14:paraId="27918D73" w14:textId="652C6ED3" w:rsidR="0089480A" w:rsidRPr="00F9691A" w:rsidRDefault="0089480A" w:rsidP="00625A70">
      <w:pPr>
        <w:pStyle w:val="Default"/>
        <w:numPr>
          <w:ilvl w:val="0"/>
          <w:numId w:val="37"/>
        </w:numPr>
        <w:ind w:left="714" w:hanging="357"/>
        <w:rPr>
          <w:color w:val="161616"/>
          <w:sz w:val="20"/>
          <w:szCs w:val="20"/>
          <w:shd w:val="clear" w:color="auto" w:fill="FFFFFF"/>
          <w:lang w:val="fr-FR"/>
        </w:rPr>
      </w:pPr>
      <w:r w:rsidRPr="00F9691A">
        <w:rPr>
          <w:color w:val="161616"/>
          <w:sz w:val="20"/>
          <w:szCs w:val="20"/>
          <w:shd w:val="clear" w:color="auto" w:fill="FFFFFF"/>
          <w:lang w:val="fr-FR"/>
        </w:rPr>
        <w:t>L</w:t>
      </w:r>
      <w:r w:rsidR="000F6261" w:rsidRPr="00F9691A">
        <w:rPr>
          <w:color w:val="161616"/>
          <w:sz w:val="20"/>
          <w:szCs w:val="20"/>
          <w:shd w:val="clear" w:color="auto" w:fill="FFFFFF"/>
          <w:lang w:val="fr-FR"/>
        </w:rPr>
        <w:t>a</w:t>
      </w:r>
      <w:r w:rsidRPr="00F9691A">
        <w:rPr>
          <w:color w:val="161616"/>
          <w:sz w:val="20"/>
          <w:szCs w:val="20"/>
          <w:shd w:val="clear" w:color="auto" w:fill="FFFFFF"/>
          <w:lang w:val="fr-FR"/>
        </w:rPr>
        <w:t xml:space="preserve"> </w:t>
      </w:r>
      <w:r w:rsidR="000F6261" w:rsidRPr="00F9691A">
        <w:rPr>
          <w:color w:val="161616"/>
          <w:sz w:val="20"/>
          <w:szCs w:val="20"/>
          <w:shd w:val="clear" w:color="auto" w:fill="FFFFFF"/>
          <w:lang w:val="fr-FR"/>
        </w:rPr>
        <w:t>P</w:t>
      </w:r>
      <w:r w:rsidRPr="00F9691A">
        <w:rPr>
          <w:color w:val="161616"/>
          <w:sz w:val="20"/>
          <w:szCs w:val="20"/>
          <w:shd w:val="clear" w:color="auto" w:fill="FFFFFF"/>
          <w:lang w:val="fr-FR"/>
        </w:rPr>
        <w:t>résident</w:t>
      </w:r>
      <w:r w:rsidR="000F6261" w:rsidRPr="00F9691A">
        <w:rPr>
          <w:color w:val="161616"/>
          <w:sz w:val="20"/>
          <w:szCs w:val="20"/>
          <w:shd w:val="clear" w:color="auto" w:fill="FFFFFF"/>
          <w:lang w:val="fr-FR"/>
        </w:rPr>
        <w:t>e</w:t>
      </w:r>
      <w:r w:rsidRPr="00F9691A">
        <w:rPr>
          <w:color w:val="161616"/>
          <w:sz w:val="20"/>
          <w:szCs w:val="20"/>
          <w:shd w:val="clear" w:color="auto" w:fill="FFFFFF"/>
          <w:lang w:val="fr-FR"/>
        </w:rPr>
        <w:t xml:space="preserve"> de MONEYVAL a participé à la troisième conférence ministérielle </w:t>
      </w:r>
      <w:r w:rsidR="002E6C1B">
        <w:rPr>
          <w:color w:val="161616"/>
          <w:sz w:val="20"/>
          <w:szCs w:val="20"/>
          <w:shd w:val="clear" w:color="auto" w:fill="FFFFFF"/>
          <w:lang w:val="fr-FR"/>
        </w:rPr>
        <w:t>« </w:t>
      </w:r>
      <w:r w:rsidRPr="00F9691A">
        <w:rPr>
          <w:color w:val="161616"/>
          <w:sz w:val="20"/>
          <w:szCs w:val="20"/>
          <w:shd w:val="clear" w:color="auto" w:fill="FFFFFF"/>
          <w:lang w:val="fr-FR"/>
        </w:rPr>
        <w:t>Pas d'argent pour la terreur</w:t>
      </w:r>
      <w:r w:rsidR="002E6C1B">
        <w:rPr>
          <w:color w:val="161616"/>
          <w:sz w:val="20"/>
          <w:szCs w:val="20"/>
          <w:shd w:val="clear" w:color="auto" w:fill="FFFFFF"/>
          <w:lang w:val="fr-FR"/>
        </w:rPr>
        <w:t> »</w:t>
      </w:r>
      <w:r w:rsidRPr="00F9691A">
        <w:rPr>
          <w:color w:val="161616"/>
          <w:sz w:val="20"/>
          <w:szCs w:val="20"/>
          <w:shd w:val="clear" w:color="auto" w:fill="FFFFFF"/>
          <w:lang w:val="fr-FR"/>
        </w:rPr>
        <w:t xml:space="preserve"> à New Delhi, les 18 et 19 novembre 2022. Cette conférence a rassemblé plus de 500</w:t>
      </w:r>
      <w:r w:rsidR="002E6C1B">
        <w:rPr>
          <w:color w:val="161616"/>
          <w:sz w:val="20"/>
          <w:szCs w:val="20"/>
          <w:shd w:val="clear" w:color="auto" w:fill="FFFFFF"/>
          <w:lang w:val="fr-FR"/>
        </w:rPr>
        <w:t> </w:t>
      </w:r>
      <w:r w:rsidRPr="00F9691A">
        <w:rPr>
          <w:color w:val="161616"/>
          <w:sz w:val="20"/>
          <w:szCs w:val="20"/>
          <w:shd w:val="clear" w:color="auto" w:fill="FFFFFF"/>
          <w:lang w:val="fr-FR"/>
        </w:rPr>
        <w:t xml:space="preserve">délégués du monde entier, dont des ministres, des chefs d'organisations multilatérales et des chefs de délégation du GAFI. Le Premier ministre indien, M. </w:t>
      </w:r>
      <w:proofErr w:type="spellStart"/>
      <w:r w:rsidRPr="00F9691A">
        <w:rPr>
          <w:color w:val="161616"/>
          <w:sz w:val="20"/>
          <w:szCs w:val="20"/>
          <w:shd w:val="clear" w:color="auto" w:fill="FFFFFF"/>
          <w:lang w:val="fr-FR"/>
        </w:rPr>
        <w:t>Shri</w:t>
      </w:r>
      <w:proofErr w:type="spellEnd"/>
      <w:r w:rsidRPr="00F9691A">
        <w:rPr>
          <w:color w:val="161616"/>
          <w:sz w:val="20"/>
          <w:szCs w:val="20"/>
          <w:shd w:val="clear" w:color="auto" w:fill="FFFFFF"/>
          <w:lang w:val="fr-FR"/>
        </w:rPr>
        <w:t xml:space="preserve"> Narendra Modi, s'est adressé à la conférence en soulignant que le Conseil de sécurité des Nations unies, le Groupe d'action financière, les cellules de renseignement financier et le Groupe Egmont renforcent la coopération en matière de prévention, de détection et de poursuite des flux de fonds illégaux. Le Premier ministre a souligné que ce cadre contribuait à la guerre contre le terrorisme de multiples façons au cours des deux dernières décennies.</w:t>
      </w:r>
    </w:p>
    <w:p w14:paraId="15EC45A1" w14:textId="77777777" w:rsidR="0089480A" w:rsidRDefault="0089480A" w:rsidP="0089480A">
      <w:pPr>
        <w:rPr>
          <w:rFonts w:eastAsia="Times New Roman" w:cs="Arial"/>
          <w:color w:val="161616"/>
          <w:szCs w:val="20"/>
          <w:shd w:val="clear" w:color="auto" w:fill="FFFFFF"/>
        </w:rPr>
      </w:pPr>
    </w:p>
    <w:p w14:paraId="2437E497" w14:textId="0A15AB46" w:rsidR="0089480A" w:rsidRDefault="0089480A" w:rsidP="002E6C1B">
      <w:pPr>
        <w:pStyle w:val="Heading1"/>
        <w:numPr>
          <w:ilvl w:val="0"/>
          <w:numId w:val="35"/>
        </w:numPr>
        <w:spacing w:before="0"/>
        <w:ind w:left="720" w:hanging="720"/>
        <w:rPr>
          <w:rFonts w:ascii="Arial" w:eastAsiaTheme="minorHAnsi" w:hAnsi="Arial" w:cs="Times New Roman"/>
          <w:b/>
          <w:bCs/>
          <w:color w:val="auto"/>
          <w:kern w:val="28"/>
          <w:sz w:val="20"/>
          <w:szCs w:val="20"/>
        </w:rPr>
      </w:pPr>
      <w:bookmarkStart w:id="163" w:name="_Toc66712423"/>
      <w:bookmarkStart w:id="164" w:name="_Toc132203756"/>
      <w:bookmarkStart w:id="165" w:name="_Toc135412702"/>
      <w:r w:rsidRPr="00DB50CE">
        <w:rPr>
          <w:rFonts w:ascii="Arial" w:eastAsiaTheme="minorHAnsi" w:hAnsi="Arial" w:cs="Times New Roman"/>
          <w:b/>
          <w:bCs/>
          <w:color w:val="auto"/>
          <w:kern w:val="28"/>
          <w:sz w:val="20"/>
          <w:szCs w:val="20"/>
        </w:rPr>
        <w:t xml:space="preserve">AUTRES ACTIVITÉS </w:t>
      </w:r>
      <w:r w:rsidR="00F9691A">
        <w:rPr>
          <w:rFonts w:ascii="Arial" w:eastAsiaTheme="minorHAnsi" w:hAnsi="Arial" w:cs="Times New Roman"/>
          <w:b/>
          <w:bCs/>
          <w:color w:val="auto"/>
          <w:kern w:val="28"/>
          <w:sz w:val="20"/>
          <w:szCs w:val="20"/>
        </w:rPr>
        <w:t xml:space="preserve">EN </w:t>
      </w:r>
      <w:r w:rsidRPr="00DB50CE">
        <w:rPr>
          <w:rFonts w:ascii="Arial" w:eastAsiaTheme="minorHAnsi" w:hAnsi="Arial" w:cs="Times New Roman"/>
          <w:b/>
          <w:bCs/>
          <w:color w:val="auto"/>
          <w:kern w:val="28"/>
          <w:sz w:val="20"/>
          <w:szCs w:val="20"/>
        </w:rPr>
        <w:t>2022</w:t>
      </w:r>
      <w:bookmarkEnd w:id="163"/>
      <w:bookmarkEnd w:id="164"/>
      <w:bookmarkEnd w:id="165"/>
    </w:p>
    <w:p w14:paraId="0F494A0D" w14:textId="77777777" w:rsidR="0089480A" w:rsidRPr="00DB50CE" w:rsidRDefault="0089480A" w:rsidP="0089480A"/>
    <w:p w14:paraId="09AA9C5C" w14:textId="533D9747" w:rsidR="0089480A" w:rsidRPr="00F9691A" w:rsidRDefault="0089480A" w:rsidP="0089480A">
      <w:pPr>
        <w:pStyle w:val="Default"/>
        <w:rPr>
          <w:sz w:val="20"/>
          <w:szCs w:val="20"/>
          <w:lang w:val="fr-FR"/>
        </w:rPr>
      </w:pPr>
      <w:r w:rsidRPr="00F9691A">
        <w:rPr>
          <w:sz w:val="20"/>
          <w:szCs w:val="20"/>
          <w:lang w:val="fr-FR"/>
        </w:rPr>
        <w:t xml:space="preserve">Outre ses cycles d'évaluation </w:t>
      </w:r>
      <w:r w:rsidR="008B127B" w:rsidRPr="005E0228">
        <w:rPr>
          <w:sz w:val="20"/>
          <w:szCs w:val="20"/>
          <w:lang w:val="fr-FR"/>
        </w:rPr>
        <w:t>classiques</w:t>
      </w:r>
      <w:r w:rsidRPr="00F9691A">
        <w:rPr>
          <w:sz w:val="20"/>
          <w:szCs w:val="20"/>
          <w:lang w:val="fr-FR"/>
        </w:rPr>
        <w:t>, ses rapports d'avancement et de suivi et d'autres mécanismes d'évaluation de la pression exercée par les pairs, MONEYVAL s'engage dans d'autres activités, notamment celles énumérées ci-dessous.</w:t>
      </w:r>
    </w:p>
    <w:p w14:paraId="713D1B68" w14:textId="77777777" w:rsidR="0089480A" w:rsidRPr="00F9691A" w:rsidRDefault="0089480A" w:rsidP="0089480A">
      <w:pPr>
        <w:pStyle w:val="Default"/>
        <w:rPr>
          <w:sz w:val="20"/>
          <w:szCs w:val="20"/>
          <w:lang w:val="fr-FR"/>
        </w:rPr>
      </w:pPr>
    </w:p>
    <w:p w14:paraId="50516881" w14:textId="77777777" w:rsidR="0089480A" w:rsidRPr="00F9691A" w:rsidRDefault="0089480A" w:rsidP="0089480A">
      <w:pPr>
        <w:pStyle w:val="Heading2"/>
        <w:keepLines w:val="0"/>
        <w:tabs>
          <w:tab w:val="left" w:pos="709"/>
        </w:tabs>
        <w:spacing w:before="0"/>
        <w:ind w:right="680"/>
        <w:jc w:val="both"/>
        <w:rPr>
          <w:rStyle w:val="docheader1"/>
          <w:rFonts w:ascii="Arial" w:hAnsi="Arial" w:cs="Arial"/>
          <w:color w:val="000000" w:themeColor="text1"/>
          <w:sz w:val="20"/>
          <w:szCs w:val="20"/>
          <w:lang w:val="fr-FR"/>
        </w:rPr>
      </w:pPr>
      <w:bookmarkStart w:id="166" w:name="_Toc132203757"/>
      <w:bookmarkStart w:id="167" w:name="_Toc135412703"/>
      <w:r w:rsidRPr="00F9691A">
        <w:rPr>
          <w:rStyle w:val="docheader1"/>
          <w:rFonts w:ascii="Arial" w:hAnsi="Arial" w:cs="Arial"/>
          <w:color w:val="000000" w:themeColor="text1"/>
          <w:sz w:val="20"/>
          <w:szCs w:val="20"/>
          <w:lang w:val="fr-FR"/>
        </w:rPr>
        <w:t>4.1.</w:t>
      </w:r>
      <w:r w:rsidRPr="00F9691A">
        <w:rPr>
          <w:rStyle w:val="docheader1"/>
          <w:rFonts w:ascii="Arial" w:hAnsi="Arial" w:cs="Arial"/>
          <w:color w:val="000000" w:themeColor="text1"/>
          <w:sz w:val="20"/>
          <w:szCs w:val="20"/>
          <w:lang w:val="fr-FR"/>
        </w:rPr>
        <w:tab/>
        <w:t>Programme de typologies</w:t>
      </w:r>
      <w:bookmarkEnd w:id="166"/>
      <w:bookmarkEnd w:id="167"/>
    </w:p>
    <w:p w14:paraId="5E23034A" w14:textId="77777777" w:rsidR="0089480A" w:rsidRPr="00DB50CE" w:rsidRDefault="0089480A" w:rsidP="0089480A"/>
    <w:p w14:paraId="00421357" w14:textId="1293D0EE" w:rsidR="0089480A" w:rsidRPr="00F9691A" w:rsidRDefault="0089480A" w:rsidP="0089480A">
      <w:pPr>
        <w:pStyle w:val="Default"/>
        <w:rPr>
          <w:sz w:val="20"/>
          <w:szCs w:val="20"/>
          <w:highlight w:val="yellow"/>
          <w:lang w:val="fr-FR"/>
        </w:rPr>
      </w:pPr>
      <w:r w:rsidRPr="00F9691A">
        <w:rPr>
          <w:sz w:val="20"/>
          <w:szCs w:val="20"/>
          <w:lang w:val="fr-FR"/>
        </w:rPr>
        <w:t xml:space="preserve">Les résultats du premier projet de recherche sur les typologies (mené par la Pologne) sur le thème </w:t>
      </w:r>
      <w:r w:rsidR="002E6C1B">
        <w:rPr>
          <w:sz w:val="20"/>
          <w:szCs w:val="20"/>
          <w:lang w:val="fr-FR"/>
        </w:rPr>
        <w:t>« </w:t>
      </w:r>
      <w:r w:rsidRPr="00F9691A">
        <w:rPr>
          <w:sz w:val="20"/>
          <w:szCs w:val="20"/>
          <w:lang w:val="fr-FR"/>
        </w:rPr>
        <w:t xml:space="preserve">La supervision </w:t>
      </w:r>
      <w:r w:rsidR="00446200">
        <w:rPr>
          <w:sz w:val="20"/>
          <w:szCs w:val="20"/>
          <w:lang w:val="fr-FR"/>
        </w:rPr>
        <w:t>en matière de LBC/FT</w:t>
      </w:r>
      <w:r w:rsidRPr="00F9691A">
        <w:rPr>
          <w:sz w:val="20"/>
          <w:szCs w:val="20"/>
          <w:lang w:val="fr-FR"/>
        </w:rPr>
        <w:t xml:space="preserve"> en temps de crise et de facteurs externes difficiles</w:t>
      </w:r>
      <w:r w:rsidR="002E6C1B">
        <w:rPr>
          <w:sz w:val="20"/>
          <w:szCs w:val="20"/>
          <w:lang w:val="fr-FR"/>
        </w:rPr>
        <w:t> »</w:t>
      </w:r>
      <w:r w:rsidRPr="00F9691A">
        <w:rPr>
          <w:sz w:val="20"/>
          <w:szCs w:val="20"/>
          <w:lang w:val="fr-FR"/>
        </w:rPr>
        <w:t xml:space="preserve"> ont été publiés le 25</w:t>
      </w:r>
      <w:r w:rsidR="002E6C1B">
        <w:rPr>
          <w:sz w:val="20"/>
          <w:szCs w:val="20"/>
          <w:lang w:val="fr-FR"/>
        </w:rPr>
        <w:t> </w:t>
      </w:r>
      <w:r w:rsidRPr="00F9691A">
        <w:rPr>
          <w:sz w:val="20"/>
          <w:szCs w:val="20"/>
          <w:lang w:val="fr-FR"/>
        </w:rPr>
        <w:t xml:space="preserve">janvier 2022. Le rapport est basé sur les informations recueillies auprès des superviseurs des </w:t>
      </w:r>
      <w:r w:rsidR="00116C0B" w:rsidRPr="00F9691A">
        <w:rPr>
          <w:sz w:val="20"/>
          <w:szCs w:val="20"/>
          <w:lang w:val="fr-FR"/>
        </w:rPr>
        <w:t>pays</w:t>
      </w:r>
      <w:r w:rsidRPr="00F9691A">
        <w:rPr>
          <w:sz w:val="20"/>
          <w:szCs w:val="20"/>
          <w:lang w:val="fr-FR"/>
        </w:rPr>
        <w:t xml:space="preserve"> MONEYVAL et d'autres acteurs internationaux sur les mesures qu'ils ont prises pour surmonter les difficultés causées par la pandémie d</w:t>
      </w:r>
      <w:r w:rsidR="00116C0B" w:rsidRPr="00F9691A">
        <w:rPr>
          <w:sz w:val="20"/>
          <w:szCs w:val="20"/>
          <w:lang w:val="fr-FR"/>
        </w:rPr>
        <w:t>e la</w:t>
      </w:r>
      <w:r w:rsidRPr="00F9691A">
        <w:rPr>
          <w:sz w:val="20"/>
          <w:szCs w:val="20"/>
          <w:lang w:val="fr-FR"/>
        </w:rPr>
        <w:t xml:space="preserve"> </w:t>
      </w:r>
      <w:r w:rsidR="00116C0B" w:rsidRPr="00F9691A">
        <w:rPr>
          <w:sz w:val="20"/>
          <w:szCs w:val="20"/>
          <w:lang w:val="fr-FR"/>
        </w:rPr>
        <w:t>covid</w:t>
      </w:r>
      <w:r w:rsidRPr="00F9691A">
        <w:rPr>
          <w:sz w:val="20"/>
          <w:szCs w:val="20"/>
          <w:lang w:val="fr-FR"/>
        </w:rPr>
        <w:t xml:space="preserve">-19, y compris les limitations opérationnelles, notamment les restrictions de mouvement physique entravant </w:t>
      </w:r>
      <w:r w:rsidR="005E0228" w:rsidRPr="00F9691A">
        <w:rPr>
          <w:sz w:val="20"/>
          <w:szCs w:val="20"/>
          <w:lang w:val="fr-FR"/>
        </w:rPr>
        <w:t>le déroulement</w:t>
      </w:r>
      <w:r w:rsidRPr="00F9691A">
        <w:rPr>
          <w:sz w:val="20"/>
          <w:szCs w:val="20"/>
          <w:lang w:val="fr-FR"/>
        </w:rPr>
        <w:t xml:space="preserve"> des visites sur place, les ressources humaines limitées et les complications techniques. Il s'appuie sur des travaux antérieurs menés par MONEYVAL sur le thème des risques liés à la pandémie de</w:t>
      </w:r>
      <w:r w:rsidR="00F9691A">
        <w:rPr>
          <w:sz w:val="20"/>
          <w:szCs w:val="20"/>
          <w:lang w:val="fr-FR"/>
        </w:rPr>
        <w:t xml:space="preserve"> la</w:t>
      </w:r>
      <w:r w:rsidRPr="00F9691A">
        <w:rPr>
          <w:sz w:val="20"/>
          <w:szCs w:val="20"/>
          <w:lang w:val="fr-FR"/>
        </w:rPr>
        <w:t xml:space="preserve"> </w:t>
      </w:r>
      <w:r w:rsidR="00F9691A">
        <w:rPr>
          <w:sz w:val="20"/>
          <w:szCs w:val="20"/>
          <w:lang w:val="fr-FR"/>
        </w:rPr>
        <w:t>C</w:t>
      </w:r>
      <w:r w:rsidR="007542BB" w:rsidRPr="00F9691A">
        <w:rPr>
          <w:sz w:val="20"/>
          <w:szCs w:val="20"/>
          <w:lang w:val="fr-FR"/>
        </w:rPr>
        <w:t>ovid-</w:t>
      </w:r>
      <w:r w:rsidRPr="00F9691A">
        <w:rPr>
          <w:sz w:val="20"/>
          <w:szCs w:val="20"/>
          <w:lang w:val="fr-FR"/>
        </w:rPr>
        <w:t>19.</w:t>
      </w:r>
    </w:p>
    <w:p w14:paraId="01ECA1D6" w14:textId="77777777" w:rsidR="0089480A" w:rsidRPr="00F9691A" w:rsidRDefault="0089480A" w:rsidP="0089480A">
      <w:pPr>
        <w:pStyle w:val="Default"/>
        <w:rPr>
          <w:sz w:val="20"/>
          <w:szCs w:val="20"/>
          <w:highlight w:val="yellow"/>
          <w:lang w:val="fr-FR"/>
        </w:rPr>
      </w:pPr>
    </w:p>
    <w:p w14:paraId="6E094F2E" w14:textId="4BB57111" w:rsidR="0089480A" w:rsidRPr="00F9691A" w:rsidRDefault="0089480A" w:rsidP="0089480A">
      <w:pPr>
        <w:pStyle w:val="Default"/>
        <w:rPr>
          <w:sz w:val="20"/>
          <w:szCs w:val="20"/>
          <w:lang w:val="fr-FR"/>
        </w:rPr>
      </w:pPr>
      <w:r w:rsidRPr="00F9691A">
        <w:rPr>
          <w:sz w:val="20"/>
          <w:szCs w:val="20"/>
          <w:lang w:val="fr-FR"/>
        </w:rPr>
        <w:t xml:space="preserve">En 2022, MONEYVAL a poursuivi sa recherche sur les typologies en se concentrant sur divers aspects de </w:t>
      </w:r>
      <w:r w:rsidR="00547AEB" w:rsidRPr="00F9691A">
        <w:rPr>
          <w:sz w:val="20"/>
          <w:szCs w:val="20"/>
          <w:lang w:val="fr-FR"/>
        </w:rPr>
        <w:t>potentiel détournement</w:t>
      </w:r>
      <w:r w:rsidRPr="00F9691A">
        <w:rPr>
          <w:sz w:val="20"/>
          <w:szCs w:val="20"/>
          <w:lang w:val="fr-FR"/>
        </w:rPr>
        <w:t xml:space="preserve"> des actifs virtuels</w:t>
      </w:r>
      <w:r w:rsidR="00547AEB" w:rsidRPr="00547AEB">
        <w:rPr>
          <w:sz w:val="20"/>
          <w:szCs w:val="20"/>
          <w:lang w:val="fr-FR"/>
        </w:rPr>
        <w:t xml:space="preserve"> (AV)</w:t>
      </w:r>
      <w:r w:rsidRPr="00F9691A">
        <w:rPr>
          <w:sz w:val="20"/>
          <w:szCs w:val="20"/>
          <w:lang w:val="fr-FR"/>
        </w:rPr>
        <w:t xml:space="preserve"> et des </w:t>
      </w:r>
      <w:r w:rsidR="00547AEB" w:rsidRPr="00F9691A">
        <w:rPr>
          <w:sz w:val="20"/>
          <w:szCs w:val="20"/>
          <w:lang w:val="fr-FR"/>
        </w:rPr>
        <w:t>prestataires</w:t>
      </w:r>
      <w:r w:rsidRPr="00F9691A">
        <w:rPr>
          <w:sz w:val="20"/>
          <w:szCs w:val="20"/>
          <w:lang w:val="fr-FR"/>
        </w:rPr>
        <w:t xml:space="preserve"> de services d</w:t>
      </w:r>
      <w:r w:rsidR="00547AEB" w:rsidRPr="00547AEB">
        <w:rPr>
          <w:sz w:val="20"/>
          <w:szCs w:val="20"/>
          <w:lang w:val="fr-FR"/>
        </w:rPr>
        <w:t>’</w:t>
      </w:r>
      <w:r w:rsidRPr="00F9691A">
        <w:rPr>
          <w:sz w:val="20"/>
          <w:szCs w:val="20"/>
          <w:lang w:val="fr-FR"/>
        </w:rPr>
        <w:t>actifs virtuels</w:t>
      </w:r>
      <w:r w:rsidR="00547AEB" w:rsidRPr="00547AEB">
        <w:rPr>
          <w:sz w:val="20"/>
          <w:szCs w:val="20"/>
          <w:lang w:val="fr-FR"/>
        </w:rPr>
        <w:t xml:space="preserve"> (PSAV)</w:t>
      </w:r>
      <w:r w:rsidRPr="00F9691A">
        <w:rPr>
          <w:sz w:val="20"/>
          <w:szCs w:val="20"/>
          <w:lang w:val="fr-FR"/>
        </w:rPr>
        <w:t xml:space="preserve"> dans les systèmes de blanchiment </w:t>
      </w:r>
      <w:r w:rsidR="00547AEB" w:rsidRPr="00F9691A">
        <w:rPr>
          <w:sz w:val="20"/>
          <w:szCs w:val="20"/>
          <w:lang w:val="fr-FR"/>
        </w:rPr>
        <w:t>de capitaux</w:t>
      </w:r>
      <w:r w:rsidRPr="00F9691A">
        <w:rPr>
          <w:sz w:val="20"/>
          <w:szCs w:val="20"/>
          <w:lang w:val="fr-FR"/>
        </w:rPr>
        <w:t xml:space="preserve"> ou de financement du terrorisme. Le projet de recherche, mené par l'île de Man, examine les questions liées au risque, à la supervision et à la déclaration d'activités suspectes. Le thème de</w:t>
      </w:r>
      <w:r w:rsidR="002B02F1">
        <w:rPr>
          <w:sz w:val="20"/>
          <w:szCs w:val="20"/>
          <w:lang w:val="fr-FR"/>
        </w:rPr>
        <w:t xml:space="preserve">s </w:t>
      </w:r>
      <w:r w:rsidRPr="00F9691A">
        <w:rPr>
          <w:sz w:val="20"/>
          <w:szCs w:val="20"/>
          <w:lang w:val="fr-FR"/>
        </w:rPr>
        <w:t xml:space="preserve">AV et </w:t>
      </w:r>
      <w:r w:rsidR="00547AEB" w:rsidRPr="00F9691A">
        <w:rPr>
          <w:sz w:val="20"/>
          <w:szCs w:val="20"/>
          <w:lang w:val="fr-FR"/>
        </w:rPr>
        <w:t>PSAV</w:t>
      </w:r>
      <w:r w:rsidRPr="00F9691A">
        <w:rPr>
          <w:sz w:val="20"/>
          <w:szCs w:val="20"/>
          <w:lang w:val="fr-FR"/>
        </w:rPr>
        <w:t xml:space="preserve"> a énormément évolué ces dernières années. Une série de nouveaux produits, services et modèles d'entreprise ont été mis au point et sont susceptibles de stimuler l'innovation et l'efficacité </w:t>
      </w:r>
      <w:r w:rsidR="00547AEB" w:rsidRPr="00F9691A">
        <w:rPr>
          <w:sz w:val="20"/>
          <w:szCs w:val="20"/>
          <w:lang w:val="fr-FR"/>
        </w:rPr>
        <w:t xml:space="preserve">en matière </w:t>
      </w:r>
      <w:r w:rsidRPr="00F9691A">
        <w:rPr>
          <w:sz w:val="20"/>
          <w:szCs w:val="20"/>
          <w:lang w:val="fr-FR"/>
        </w:rPr>
        <w:t xml:space="preserve">financière et d'améliorer l'inclusion financière, mais ils créent également de nouvelles opportunités pour les criminels et les terroristes de blanchir leurs </w:t>
      </w:r>
      <w:r w:rsidR="00547AEB" w:rsidRPr="00F9691A">
        <w:rPr>
          <w:sz w:val="20"/>
          <w:szCs w:val="20"/>
          <w:lang w:val="fr-FR"/>
        </w:rPr>
        <w:t>capitaux</w:t>
      </w:r>
      <w:r w:rsidRPr="00F9691A">
        <w:rPr>
          <w:sz w:val="20"/>
          <w:szCs w:val="20"/>
          <w:lang w:val="fr-FR"/>
        </w:rPr>
        <w:t xml:space="preserve"> ou de financer leurs activités illicites. L'étude sur les typologies devrait être achevée et publiée en 2023. </w:t>
      </w:r>
    </w:p>
    <w:p w14:paraId="762F8804" w14:textId="77777777" w:rsidR="0089480A" w:rsidRPr="00F9691A" w:rsidRDefault="0089480A" w:rsidP="0089480A">
      <w:pPr>
        <w:pStyle w:val="Default"/>
        <w:rPr>
          <w:sz w:val="20"/>
          <w:szCs w:val="20"/>
          <w:lang w:val="fr-FR"/>
        </w:rPr>
      </w:pPr>
    </w:p>
    <w:p w14:paraId="1881E63C" w14:textId="494E3975" w:rsidR="0089480A" w:rsidRPr="00F9691A" w:rsidRDefault="0089480A" w:rsidP="0089480A">
      <w:pPr>
        <w:pStyle w:val="Heading2"/>
        <w:keepLines w:val="0"/>
        <w:tabs>
          <w:tab w:val="left" w:pos="709"/>
        </w:tabs>
        <w:spacing w:before="0"/>
        <w:ind w:right="680"/>
        <w:jc w:val="both"/>
        <w:rPr>
          <w:rStyle w:val="docheader1"/>
          <w:rFonts w:ascii="Arial" w:hAnsi="Arial" w:cs="Arial"/>
          <w:color w:val="000000" w:themeColor="text1"/>
          <w:sz w:val="20"/>
          <w:szCs w:val="20"/>
          <w:lang w:val="fr-FR"/>
        </w:rPr>
      </w:pPr>
      <w:bookmarkStart w:id="168" w:name="_Toc132203758"/>
      <w:bookmarkStart w:id="169" w:name="_Toc135412704"/>
      <w:r w:rsidRPr="00F9691A">
        <w:rPr>
          <w:rStyle w:val="docheader1"/>
          <w:rFonts w:ascii="Arial" w:hAnsi="Arial" w:cs="Arial"/>
          <w:color w:val="000000" w:themeColor="text1"/>
          <w:sz w:val="20"/>
          <w:szCs w:val="20"/>
          <w:lang w:val="fr-FR"/>
        </w:rPr>
        <w:t>4.2.</w:t>
      </w:r>
      <w:r w:rsidRPr="00F9691A">
        <w:rPr>
          <w:rStyle w:val="docheader1"/>
          <w:rFonts w:ascii="Arial" w:hAnsi="Arial" w:cs="Arial"/>
          <w:color w:val="000000" w:themeColor="text1"/>
          <w:sz w:val="20"/>
          <w:szCs w:val="20"/>
          <w:lang w:val="fr-FR"/>
        </w:rPr>
        <w:tab/>
        <w:t xml:space="preserve">Plénières et consultations </w:t>
      </w:r>
      <w:r w:rsidR="00F9691A" w:rsidRPr="00F9691A">
        <w:rPr>
          <w:rStyle w:val="docheader1"/>
          <w:rFonts w:ascii="Arial" w:hAnsi="Arial" w:cs="Arial"/>
          <w:color w:val="000000" w:themeColor="text1"/>
          <w:sz w:val="20"/>
          <w:szCs w:val="20"/>
          <w:lang w:val="fr-FR"/>
        </w:rPr>
        <w:t>inter</w:t>
      </w:r>
      <w:r w:rsidR="00F9691A">
        <w:rPr>
          <w:rStyle w:val="docheader1"/>
          <w:rFonts w:ascii="Arial" w:hAnsi="Arial" w:cs="Arial"/>
          <w:color w:val="000000" w:themeColor="text1"/>
          <w:sz w:val="20"/>
          <w:szCs w:val="20"/>
          <w:lang w:val="fr-FR"/>
        </w:rPr>
        <w:t>s</w:t>
      </w:r>
      <w:r w:rsidR="00F9691A" w:rsidRPr="00F9691A">
        <w:rPr>
          <w:rStyle w:val="docheader1"/>
          <w:rFonts w:ascii="Arial" w:hAnsi="Arial" w:cs="Arial"/>
          <w:color w:val="000000" w:themeColor="text1"/>
          <w:sz w:val="20"/>
          <w:szCs w:val="20"/>
          <w:lang w:val="fr-FR"/>
        </w:rPr>
        <w:t>essions</w:t>
      </w:r>
      <w:r w:rsidRPr="00F9691A">
        <w:rPr>
          <w:rStyle w:val="docheader1"/>
          <w:rFonts w:ascii="Arial" w:hAnsi="Arial" w:cs="Arial"/>
          <w:color w:val="000000" w:themeColor="text1"/>
          <w:sz w:val="20"/>
          <w:szCs w:val="20"/>
          <w:lang w:val="fr-FR"/>
        </w:rPr>
        <w:t xml:space="preserve"> de MONEYVAL</w:t>
      </w:r>
      <w:bookmarkEnd w:id="168"/>
      <w:bookmarkEnd w:id="169"/>
    </w:p>
    <w:p w14:paraId="4A6A4B1C" w14:textId="77777777" w:rsidR="0089480A" w:rsidRPr="00DB50CE" w:rsidRDefault="0089480A" w:rsidP="0089480A"/>
    <w:p w14:paraId="6AD05DAA" w14:textId="01D003F3" w:rsidR="0089480A" w:rsidRDefault="0089480A" w:rsidP="0089480A">
      <w:pPr>
        <w:pStyle w:val="Default"/>
        <w:rPr>
          <w:sz w:val="20"/>
          <w:szCs w:val="20"/>
          <w:lang w:val="fr-FR"/>
        </w:rPr>
      </w:pPr>
      <w:r w:rsidRPr="00F9691A">
        <w:rPr>
          <w:sz w:val="20"/>
          <w:szCs w:val="20"/>
          <w:lang w:val="fr-FR"/>
        </w:rPr>
        <w:t xml:space="preserve">Lors de ses réunions plénières en 2022, MONEYVAL a débattu d'un certain nombre de sujets d'actualité dans le domaine de </w:t>
      </w:r>
      <w:r w:rsidR="00553300" w:rsidRPr="00FE4838">
        <w:rPr>
          <w:sz w:val="20"/>
          <w:szCs w:val="20"/>
          <w:lang w:val="fr-FR"/>
        </w:rPr>
        <w:t>la LBC/FT</w:t>
      </w:r>
      <w:r w:rsidRPr="00F9691A">
        <w:rPr>
          <w:sz w:val="20"/>
          <w:szCs w:val="20"/>
          <w:lang w:val="fr-FR"/>
        </w:rPr>
        <w:t xml:space="preserve">, et a eu des échanges de vues avec des experts de la </w:t>
      </w:r>
      <w:r w:rsidR="00553300" w:rsidRPr="00FE4838">
        <w:rPr>
          <w:sz w:val="20"/>
          <w:szCs w:val="20"/>
          <w:lang w:val="fr-FR"/>
        </w:rPr>
        <w:t>LBC/FT</w:t>
      </w:r>
      <w:r w:rsidRPr="00F9691A">
        <w:rPr>
          <w:sz w:val="20"/>
          <w:szCs w:val="20"/>
          <w:lang w:val="fr-FR"/>
        </w:rPr>
        <w:t xml:space="preserve">. Outre les questions </w:t>
      </w:r>
      <w:r w:rsidR="00FE4838" w:rsidRPr="00FE4838">
        <w:rPr>
          <w:sz w:val="20"/>
          <w:szCs w:val="20"/>
          <w:lang w:val="fr-FR"/>
        </w:rPr>
        <w:t>préalablement</w:t>
      </w:r>
      <w:r w:rsidRPr="00F9691A">
        <w:rPr>
          <w:sz w:val="20"/>
          <w:szCs w:val="20"/>
          <w:lang w:val="fr-FR"/>
        </w:rPr>
        <w:t xml:space="preserve"> abordées dans d'autres parties du présent rapport, une sélection de ces décisions et de ces échanges est présentée ci-après. En particulier la plénière de MONEYVAL :</w:t>
      </w:r>
    </w:p>
    <w:p w14:paraId="24342E3D" w14:textId="77777777" w:rsidR="002E6C1B" w:rsidRPr="00F9691A" w:rsidRDefault="002E6C1B" w:rsidP="0089480A">
      <w:pPr>
        <w:pStyle w:val="Default"/>
        <w:rPr>
          <w:sz w:val="20"/>
          <w:szCs w:val="20"/>
          <w:lang w:val="fr-FR"/>
        </w:rPr>
      </w:pPr>
    </w:p>
    <w:p w14:paraId="56A6438F" w14:textId="00DE8D0B" w:rsidR="0089480A" w:rsidRDefault="0089480A" w:rsidP="0089480A">
      <w:pPr>
        <w:pStyle w:val="Default"/>
        <w:numPr>
          <w:ilvl w:val="0"/>
          <w:numId w:val="40"/>
        </w:numPr>
        <w:rPr>
          <w:sz w:val="20"/>
          <w:szCs w:val="20"/>
          <w:lang w:val="fr-FR"/>
        </w:rPr>
      </w:pPr>
      <w:proofErr w:type="gramStart"/>
      <w:r w:rsidRPr="00F9691A">
        <w:rPr>
          <w:sz w:val="20"/>
          <w:szCs w:val="20"/>
          <w:lang w:val="fr-FR"/>
        </w:rPr>
        <w:t>a</w:t>
      </w:r>
      <w:proofErr w:type="gramEnd"/>
      <w:r w:rsidRPr="00F9691A">
        <w:rPr>
          <w:sz w:val="20"/>
          <w:szCs w:val="20"/>
          <w:lang w:val="fr-FR"/>
        </w:rPr>
        <w:t xml:space="preserve"> approuvé les modifications apportées à la procédure de suivi des évaluations mutuelles, y compris une nouvelle approche en matière de rapports, son lien avec les procédures de </w:t>
      </w:r>
      <w:r w:rsidR="00FE4838" w:rsidRPr="00F9691A">
        <w:rPr>
          <w:sz w:val="20"/>
          <w:szCs w:val="20"/>
          <w:lang w:val="fr-FR"/>
        </w:rPr>
        <w:t>conformité renforcée</w:t>
      </w:r>
      <w:r w:rsidRPr="00F9691A">
        <w:rPr>
          <w:sz w:val="20"/>
          <w:szCs w:val="20"/>
          <w:lang w:val="fr-FR"/>
        </w:rPr>
        <w:t xml:space="preserve"> et un engagement accru entre l'équipe de rapporteurs et le pays examiné ;</w:t>
      </w:r>
    </w:p>
    <w:p w14:paraId="437AA814" w14:textId="06308AB9" w:rsidR="0089480A" w:rsidRDefault="009D26C6" w:rsidP="0089480A">
      <w:pPr>
        <w:pStyle w:val="Default"/>
        <w:numPr>
          <w:ilvl w:val="0"/>
          <w:numId w:val="40"/>
        </w:numPr>
        <w:rPr>
          <w:sz w:val="20"/>
          <w:szCs w:val="20"/>
          <w:lang w:val="fr-FR"/>
        </w:rPr>
      </w:pPr>
      <w:proofErr w:type="gramStart"/>
      <w:r>
        <w:rPr>
          <w:sz w:val="20"/>
          <w:szCs w:val="20"/>
          <w:lang w:val="fr-FR"/>
        </w:rPr>
        <w:lastRenderedPageBreak/>
        <w:t>a</w:t>
      </w:r>
      <w:proofErr w:type="gramEnd"/>
      <w:r w:rsidR="0089480A" w:rsidRPr="00F9691A">
        <w:rPr>
          <w:sz w:val="20"/>
          <w:szCs w:val="20"/>
          <w:lang w:val="fr-FR"/>
        </w:rPr>
        <w:t xml:space="preserve"> discuté de la planification et du calendrier du 6</w:t>
      </w:r>
      <w:r w:rsidR="00F0657C" w:rsidRPr="00F0657C">
        <w:rPr>
          <w:sz w:val="20"/>
          <w:szCs w:val="20"/>
          <w:vertAlign w:val="superscript"/>
          <w:lang w:val="fr-FR"/>
        </w:rPr>
        <w:t>ème</w:t>
      </w:r>
      <w:r w:rsidR="00F0657C">
        <w:rPr>
          <w:sz w:val="20"/>
          <w:szCs w:val="20"/>
          <w:lang w:val="fr-FR"/>
        </w:rPr>
        <w:t xml:space="preserve"> </w:t>
      </w:r>
      <w:r w:rsidR="0089480A" w:rsidRPr="00F9691A">
        <w:rPr>
          <w:sz w:val="20"/>
          <w:szCs w:val="20"/>
          <w:lang w:val="fr-FR"/>
        </w:rPr>
        <w:t>cycle d'évaluations mutuelles ;</w:t>
      </w:r>
    </w:p>
    <w:p w14:paraId="3E94DE22" w14:textId="77777777" w:rsidR="002E6C1B" w:rsidRPr="00F9691A" w:rsidRDefault="002E6C1B" w:rsidP="002E6C1B">
      <w:pPr>
        <w:pStyle w:val="Default"/>
        <w:rPr>
          <w:sz w:val="20"/>
          <w:szCs w:val="20"/>
          <w:lang w:val="fr-FR"/>
        </w:rPr>
      </w:pPr>
    </w:p>
    <w:p w14:paraId="538EED04" w14:textId="493EAB19" w:rsidR="0089480A" w:rsidRDefault="0089480A" w:rsidP="0089480A">
      <w:pPr>
        <w:pStyle w:val="Default"/>
        <w:numPr>
          <w:ilvl w:val="0"/>
          <w:numId w:val="40"/>
        </w:numPr>
        <w:rPr>
          <w:sz w:val="20"/>
          <w:szCs w:val="20"/>
          <w:lang w:val="fr-FR"/>
        </w:rPr>
      </w:pPr>
      <w:proofErr w:type="gramStart"/>
      <w:r w:rsidRPr="00F9691A">
        <w:rPr>
          <w:sz w:val="20"/>
          <w:szCs w:val="20"/>
          <w:lang w:val="fr-FR"/>
        </w:rPr>
        <w:t>a</w:t>
      </w:r>
      <w:proofErr w:type="gramEnd"/>
      <w:r w:rsidRPr="00F9691A">
        <w:rPr>
          <w:sz w:val="20"/>
          <w:szCs w:val="20"/>
          <w:lang w:val="fr-FR"/>
        </w:rPr>
        <w:t xml:space="preserve"> discuté et adopté les principes organisationnels au cours du processus d'évaluation mutuelle pour les pays et territoires évalués ;</w:t>
      </w:r>
    </w:p>
    <w:p w14:paraId="0436C783" w14:textId="77777777" w:rsidR="002E6C1B" w:rsidRPr="00F9691A" w:rsidRDefault="002E6C1B" w:rsidP="002E6C1B">
      <w:pPr>
        <w:pStyle w:val="Default"/>
        <w:rPr>
          <w:sz w:val="20"/>
          <w:szCs w:val="20"/>
          <w:lang w:val="fr-FR"/>
        </w:rPr>
      </w:pPr>
    </w:p>
    <w:p w14:paraId="2D27A5EB" w14:textId="78DE3A6D" w:rsidR="0089480A" w:rsidRDefault="0089480A" w:rsidP="0089480A">
      <w:pPr>
        <w:pStyle w:val="Default"/>
        <w:numPr>
          <w:ilvl w:val="0"/>
          <w:numId w:val="40"/>
        </w:numPr>
        <w:rPr>
          <w:sz w:val="20"/>
          <w:szCs w:val="20"/>
          <w:lang w:val="fr-FR"/>
        </w:rPr>
      </w:pPr>
      <w:proofErr w:type="gramStart"/>
      <w:r w:rsidRPr="00F9691A">
        <w:rPr>
          <w:sz w:val="20"/>
          <w:szCs w:val="20"/>
          <w:lang w:val="fr-FR"/>
        </w:rPr>
        <w:t>a</w:t>
      </w:r>
      <w:proofErr w:type="gramEnd"/>
      <w:r w:rsidRPr="00F9691A">
        <w:rPr>
          <w:sz w:val="20"/>
          <w:szCs w:val="20"/>
          <w:lang w:val="fr-FR"/>
        </w:rPr>
        <w:t xml:space="preserve"> tenu une session thématique sur le blanchiment </w:t>
      </w:r>
      <w:r w:rsidR="00FE4838" w:rsidRPr="00F9691A">
        <w:rPr>
          <w:sz w:val="20"/>
          <w:szCs w:val="20"/>
          <w:lang w:val="fr-FR"/>
        </w:rPr>
        <w:t>de capitaux</w:t>
      </w:r>
      <w:r w:rsidRPr="00F9691A">
        <w:rPr>
          <w:sz w:val="20"/>
          <w:szCs w:val="20"/>
          <w:lang w:val="fr-FR"/>
        </w:rPr>
        <w:t xml:space="preserve"> et la traite des êtres humains, y compris un échange de vues avec Mme Helga</w:t>
      </w:r>
      <w:r w:rsidR="005E0228">
        <w:rPr>
          <w:sz w:val="20"/>
          <w:szCs w:val="20"/>
          <w:lang w:val="fr-FR"/>
        </w:rPr>
        <w:t xml:space="preserve"> </w:t>
      </w:r>
      <w:proofErr w:type="spellStart"/>
      <w:r w:rsidRPr="00F9691A">
        <w:rPr>
          <w:sz w:val="20"/>
          <w:szCs w:val="20"/>
          <w:lang w:val="fr-FR"/>
        </w:rPr>
        <w:t>Gayer</w:t>
      </w:r>
      <w:proofErr w:type="spellEnd"/>
      <w:r w:rsidRPr="00F9691A">
        <w:rPr>
          <w:sz w:val="20"/>
          <w:szCs w:val="20"/>
          <w:lang w:val="fr-FR"/>
        </w:rPr>
        <w:t>, présidente du Groupe d'experts sur la lutte contre la traite des êtres humains (GRETA) ;</w:t>
      </w:r>
    </w:p>
    <w:p w14:paraId="00745D64" w14:textId="77777777" w:rsidR="002E6C1B" w:rsidRPr="00F9691A" w:rsidRDefault="002E6C1B" w:rsidP="002E6C1B">
      <w:pPr>
        <w:pStyle w:val="Default"/>
        <w:rPr>
          <w:sz w:val="20"/>
          <w:szCs w:val="20"/>
          <w:lang w:val="fr-FR"/>
        </w:rPr>
      </w:pPr>
    </w:p>
    <w:p w14:paraId="6514FEB0" w14:textId="77777777" w:rsidR="0089480A" w:rsidRPr="00F9691A" w:rsidRDefault="0089480A" w:rsidP="0089480A">
      <w:pPr>
        <w:pStyle w:val="Default"/>
        <w:numPr>
          <w:ilvl w:val="0"/>
          <w:numId w:val="40"/>
        </w:numPr>
        <w:rPr>
          <w:sz w:val="20"/>
          <w:szCs w:val="20"/>
          <w:lang w:val="fr-FR"/>
        </w:rPr>
      </w:pPr>
      <w:proofErr w:type="gramStart"/>
      <w:r w:rsidRPr="00F9691A">
        <w:rPr>
          <w:sz w:val="20"/>
          <w:szCs w:val="20"/>
          <w:lang w:val="fr-FR"/>
        </w:rPr>
        <w:t>a</w:t>
      </w:r>
      <w:proofErr w:type="gramEnd"/>
      <w:r w:rsidRPr="00F9691A">
        <w:rPr>
          <w:sz w:val="20"/>
          <w:szCs w:val="20"/>
          <w:lang w:val="fr-FR"/>
        </w:rPr>
        <w:t xml:space="preserve"> examiné le projet de stratégie MONEYVAL pour 2023-2027 et a entendu les interventions des anciens présidents de MONEYVAL et d'experts scientifiques.</w:t>
      </w:r>
    </w:p>
    <w:p w14:paraId="717B895D" w14:textId="77777777" w:rsidR="0089480A" w:rsidRPr="00F9691A" w:rsidRDefault="0089480A" w:rsidP="0089480A">
      <w:pPr>
        <w:pStyle w:val="Default"/>
        <w:rPr>
          <w:sz w:val="20"/>
          <w:szCs w:val="20"/>
          <w:lang w:val="fr-FR"/>
        </w:rPr>
      </w:pPr>
    </w:p>
    <w:p w14:paraId="2B51B66A" w14:textId="5580FA33" w:rsidR="0089480A" w:rsidRPr="00F9691A" w:rsidRDefault="0089480A" w:rsidP="0089480A">
      <w:pPr>
        <w:pStyle w:val="Heading2"/>
        <w:keepLines w:val="0"/>
        <w:tabs>
          <w:tab w:val="left" w:pos="709"/>
        </w:tabs>
        <w:spacing w:before="0"/>
        <w:ind w:right="680"/>
        <w:jc w:val="both"/>
        <w:rPr>
          <w:rStyle w:val="docheader1"/>
          <w:rFonts w:ascii="Arial" w:hAnsi="Arial" w:cs="Arial"/>
          <w:color w:val="000000" w:themeColor="text1"/>
          <w:sz w:val="20"/>
          <w:szCs w:val="20"/>
          <w:lang w:val="fr-FR"/>
        </w:rPr>
      </w:pPr>
      <w:bookmarkStart w:id="170" w:name="_Toc132203759"/>
      <w:bookmarkStart w:id="171" w:name="_Toc135412705"/>
      <w:r w:rsidRPr="00F9691A">
        <w:rPr>
          <w:rStyle w:val="docheader1"/>
          <w:rFonts w:ascii="Arial" w:hAnsi="Arial" w:cs="Arial"/>
          <w:color w:val="000000" w:themeColor="text1"/>
          <w:sz w:val="20"/>
          <w:szCs w:val="20"/>
          <w:lang w:val="fr-FR"/>
        </w:rPr>
        <w:t>4.3.</w:t>
      </w:r>
      <w:r w:rsidRPr="00F9691A">
        <w:rPr>
          <w:rStyle w:val="docheader1"/>
          <w:rFonts w:ascii="Arial" w:hAnsi="Arial" w:cs="Arial"/>
          <w:color w:val="000000" w:themeColor="text1"/>
          <w:sz w:val="20"/>
          <w:szCs w:val="20"/>
          <w:lang w:val="fr-FR"/>
        </w:rPr>
        <w:tab/>
        <w:t>Formations</w:t>
      </w:r>
      <w:bookmarkEnd w:id="170"/>
      <w:bookmarkEnd w:id="171"/>
    </w:p>
    <w:p w14:paraId="78CFBD46" w14:textId="77777777" w:rsidR="0089480A" w:rsidRPr="00DB50CE" w:rsidRDefault="0089480A" w:rsidP="0089480A"/>
    <w:p w14:paraId="549D0C2E" w14:textId="0FB69536" w:rsidR="0089480A" w:rsidRPr="00F9691A" w:rsidRDefault="0089480A" w:rsidP="0089480A">
      <w:pPr>
        <w:pStyle w:val="Default"/>
        <w:rPr>
          <w:sz w:val="20"/>
          <w:szCs w:val="20"/>
          <w:lang w:val="fr-FR"/>
        </w:rPr>
      </w:pPr>
      <w:r w:rsidRPr="00F9691A">
        <w:rPr>
          <w:sz w:val="20"/>
          <w:szCs w:val="20"/>
          <w:lang w:val="fr-FR"/>
        </w:rPr>
        <w:t xml:space="preserve">Du 14 au 24 février 2022, des délégations de MONEYVAL ont participé à la dixième formation virtuelle sur les techniques de lutte contre le blanchiment </w:t>
      </w:r>
      <w:r w:rsidR="0018337C" w:rsidRPr="00F9691A">
        <w:rPr>
          <w:sz w:val="20"/>
          <w:szCs w:val="20"/>
          <w:lang w:val="fr-FR"/>
        </w:rPr>
        <w:t>de capitaux</w:t>
      </w:r>
      <w:r w:rsidRPr="00F9691A">
        <w:rPr>
          <w:sz w:val="20"/>
          <w:szCs w:val="20"/>
          <w:lang w:val="fr-FR"/>
        </w:rPr>
        <w:t xml:space="preserve">, le financement du terrorisme et le financement de la lutte contre la prolifération. La formation a été dispensée conjointement par des spécialistes de la formation de l'Institut de formation du GAFI à Busan, République de Corée, et des experts de MONEYVAL. Le cours de formation aux normes visait à améliorer la compréhension des participants des normes du GAFI en matière de </w:t>
      </w:r>
      <w:r w:rsidR="0018337C" w:rsidRPr="00F9691A">
        <w:rPr>
          <w:sz w:val="20"/>
          <w:szCs w:val="20"/>
          <w:lang w:val="fr-FR"/>
        </w:rPr>
        <w:t>LBC/FT</w:t>
      </w:r>
      <w:r w:rsidRPr="00F9691A">
        <w:rPr>
          <w:sz w:val="20"/>
          <w:szCs w:val="20"/>
          <w:lang w:val="fr-FR"/>
        </w:rPr>
        <w:t xml:space="preserve"> et la mise en œuvre de mesures efficaces pour lutter contre le blanchiment de capitaux et le financement du terrorisme. Il s'agissait d'une formation de niveau intermédiaire, conçue pour les praticiens de la LBC/FT ayant déjà </w:t>
      </w:r>
      <w:r w:rsidR="005E0228" w:rsidRPr="005E0228">
        <w:rPr>
          <w:sz w:val="20"/>
          <w:szCs w:val="20"/>
          <w:lang w:val="fr-FR"/>
        </w:rPr>
        <w:t>une connaissance des</w:t>
      </w:r>
      <w:r w:rsidRPr="00F9691A">
        <w:rPr>
          <w:sz w:val="20"/>
          <w:szCs w:val="20"/>
          <w:lang w:val="fr-FR"/>
        </w:rPr>
        <w:t xml:space="preserve"> normes du GAFI, et dispensée par le biais d'une série de formations en ligne, de présentations, de discussions de groupe et d'activités en groupes</w:t>
      </w:r>
      <w:r w:rsidR="005E0228" w:rsidRPr="00F9691A">
        <w:rPr>
          <w:sz w:val="20"/>
          <w:szCs w:val="20"/>
          <w:lang w:val="fr-FR"/>
        </w:rPr>
        <w:t xml:space="preserve"> restreints</w:t>
      </w:r>
      <w:r w:rsidRPr="00F9691A">
        <w:rPr>
          <w:sz w:val="20"/>
          <w:szCs w:val="20"/>
          <w:lang w:val="fr-FR"/>
        </w:rPr>
        <w:t xml:space="preserve">. En outre, ce cours est également destiné aux praticiens qui cherchent à améliorer les mesures de </w:t>
      </w:r>
      <w:r w:rsidR="0018337C" w:rsidRPr="00F9691A">
        <w:rPr>
          <w:sz w:val="20"/>
          <w:szCs w:val="20"/>
          <w:lang w:val="fr-FR"/>
        </w:rPr>
        <w:t xml:space="preserve">LBC/FT </w:t>
      </w:r>
      <w:r w:rsidR="005E0228" w:rsidRPr="00F9691A">
        <w:rPr>
          <w:sz w:val="20"/>
          <w:szCs w:val="20"/>
          <w:lang w:val="fr-FR"/>
        </w:rPr>
        <w:t>dans</w:t>
      </w:r>
      <w:r w:rsidRPr="00F9691A">
        <w:rPr>
          <w:sz w:val="20"/>
          <w:szCs w:val="20"/>
          <w:lang w:val="fr-FR"/>
        </w:rPr>
        <w:t xml:space="preserve"> leur pays.</w:t>
      </w:r>
    </w:p>
    <w:p w14:paraId="27E93454" w14:textId="77777777" w:rsidR="0089480A" w:rsidRDefault="0089480A" w:rsidP="0089480A"/>
    <w:p w14:paraId="61C2ECEF" w14:textId="77777777" w:rsidR="00333228" w:rsidRDefault="00333228" w:rsidP="002E6C1B">
      <w:pPr>
        <w:pStyle w:val="Heading1"/>
        <w:numPr>
          <w:ilvl w:val="0"/>
          <w:numId w:val="35"/>
        </w:numPr>
        <w:spacing w:before="0"/>
        <w:ind w:left="720" w:hanging="720"/>
        <w:rPr>
          <w:rFonts w:ascii="Arial" w:eastAsiaTheme="minorHAnsi" w:hAnsi="Arial" w:cs="Times New Roman"/>
          <w:b/>
          <w:bCs/>
          <w:color w:val="auto"/>
          <w:kern w:val="28"/>
          <w:sz w:val="20"/>
          <w:szCs w:val="20"/>
        </w:rPr>
      </w:pPr>
      <w:bookmarkStart w:id="172" w:name="_Toc66712429"/>
      <w:bookmarkStart w:id="173" w:name="_Toc132203760"/>
      <w:bookmarkStart w:id="174" w:name="_Toc135412706"/>
      <w:r w:rsidRPr="005745B6">
        <w:rPr>
          <w:rFonts w:ascii="Arial" w:eastAsiaTheme="minorHAnsi" w:hAnsi="Arial" w:cs="Times New Roman"/>
          <w:b/>
          <w:bCs/>
          <w:color w:val="auto"/>
          <w:kern w:val="28"/>
          <w:sz w:val="20"/>
          <w:szCs w:val="20"/>
        </w:rPr>
        <w:t>PARTENARIATS INTERNATIONAUX CLÉS</w:t>
      </w:r>
      <w:bookmarkEnd w:id="172"/>
      <w:bookmarkEnd w:id="173"/>
      <w:bookmarkEnd w:id="174"/>
    </w:p>
    <w:p w14:paraId="0E0867A4" w14:textId="77777777" w:rsidR="00333228" w:rsidRPr="005745B6" w:rsidRDefault="00333228" w:rsidP="00333228"/>
    <w:p w14:paraId="737CB7BF" w14:textId="77777777" w:rsidR="00333228" w:rsidRPr="00333228" w:rsidRDefault="00333228" w:rsidP="00333228">
      <w:pPr>
        <w:pStyle w:val="Default"/>
        <w:rPr>
          <w:sz w:val="20"/>
          <w:szCs w:val="20"/>
          <w:lang w:val="fr-FR"/>
        </w:rPr>
      </w:pPr>
      <w:r w:rsidRPr="00333228">
        <w:rPr>
          <w:sz w:val="20"/>
          <w:szCs w:val="20"/>
          <w:lang w:val="fr-FR"/>
        </w:rPr>
        <w:t xml:space="preserve">MONEYVAL est un partenaire clé du réseau mondial des organismes d'évaluation de la lutte contre le blanchiment de capitaux et le financement du terrorisme, dirigé par le GAFI. Le développement de partenariats horizontaux au sein de ce réseau est essentiel à son fonctionnement cohérent et à son efficacité globale. </w:t>
      </w:r>
    </w:p>
    <w:p w14:paraId="12A20AEF" w14:textId="77777777" w:rsidR="00333228" w:rsidRPr="00333228" w:rsidRDefault="00333228" w:rsidP="00333228">
      <w:pPr>
        <w:pStyle w:val="Default"/>
        <w:rPr>
          <w:sz w:val="20"/>
          <w:szCs w:val="20"/>
          <w:lang w:val="fr-FR"/>
        </w:rPr>
      </w:pPr>
    </w:p>
    <w:p w14:paraId="6D8A1FB4" w14:textId="77777777" w:rsidR="00333228" w:rsidRPr="00333228" w:rsidRDefault="00333228" w:rsidP="00333228">
      <w:pPr>
        <w:pStyle w:val="Heading2"/>
        <w:keepLines w:val="0"/>
        <w:spacing w:before="0"/>
        <w:ind w:right="680"/>
        <w:jc w:val="both"/>
        <w:rPr>
          <w:rStyle w:val="Strong"/>
          <w:rFonts w:ascii="Arial" w:eastAsiaTheme="minorHAnsi" w:hAnsi="Arial" w:cs="Arial"/>
          <w:bCs/>
          <w:color w:val="auto"/>
          <w:sz w:val="20"/>
          <w:szCs w:val="20"/>
          <w:lang w:val="fr-FR"/>
        </w:rPr>
      </w:pPr>
      <w:bookmarkStart w:id="175" w:name="_Toc132203761"/>
      <w:bookmarkStart w:id="176" w:name="_Toc135412707"/>
      <w:r w:rsidRPr="00333228">
        <w:rPr>
          <w:rStyle w:val="Strong"/>
          <w:rFonts w:ascii="Arial" w:eastAsiaTheme="minorHAnsi" w:hAnsi="Arial" w:cs="Arial"/>
          <w:bCs/>
          <w:color w:val="auto"/>
          <w:sz w:val="20"/>
          <w:szCs w:val="20"/>
          <w:lang w:val="fr-FR"/>
        </w:rPr>
        <w:t>5.1.</w:t>
      </w:r>
      <w:r w:rsidRPr="00333228">
        <w:rPr>
          <w:rStyle w:val="Strong"/>
          <w:rFonts w:ascii="Arial" w:eastAsiaTheme="minorHAnsi" w:hAnsi="Arial" w:cs="Arial"/>
          <w:bCs/>
          <w:color w:val="auto"/>
          <w:sz w:val="20"/>
          <w:szCs w:val="20"/>
          <w:lang w:val="fr-FR"/>
        </w:rPr>
        <w:tab/>
        <w:t>Groupe d'action financière</w:t>
      </w:r>
      <w:bookmarkEnd w:id="175"/>
      <w:bookmarkEnd w:id="176"/>
    </w:p>
    <w:p w14:paraId="66EF3506" w14:textId="77777777" w:rsidR="00333228" w:rsidRPr="00333228" w:rsidRDefault="00333228" w:rsidP="00333228"/>
    <w:p w14:paraId="01D2121B" w14:textId="77777777" w:rsidR="00333228" w:rsidRPr="00333228" w:rsidRDefault="00333228" w:rsidP="00333228">
      <w:pPr>
        <w:pStyle w:val="Default"/>
        <w:rPr>
          <w:sz w:val="20"/>
          <w:szCs w:val="20"/>
          <w:lang w:val="fr-FR"/>
        </w:rPr>
      </w:pPr>
      <w:r w:rsidRPr="00333228">
        <w:rPr>
          <w:sz w:val="20"/>
          <w:szCs w:val="20"/>
          <w:lang w:val="fr-FR"/>
        </w:rPr>
        <w:t>Le Groupe d'action financière (GAFI) reste le principal partenaire et collaborateur international de MONEYVAL. Le GAFI est un organisme intergouvernemental créé en 1989 et conçu pour fixer des normes et promouvoir une mise en œuvre efficace des mesures de lutte contre le blanchiment d'argent et le financement du terrorisme. Le GAFI est donc un organe d'élaboration des politiques qui s'efforce de susciter la volonté politique nécessaire à la mise en œuvre de réformes législatives et réglementaires au niveau national. Il fonctionne en combinaison avec neuf organismes régionaux de type GAFI, parmi lesquels MONEYVAL est reconnu comme un membre de premier plan.</w:t>
      </w:r>
    </w:p>
    <w:p w14:paraId="730D5100" w14:textId="77777777" w:rsidR="00333228" w:rsidRPr="00333228" w:rsidRDefault="00333228" w:rsidP="00333228">
      <w:pPr>
        <w:pStyle w:val="Default"/>
        <w:rPr>
          <w:sz w:val="20"/>
          <w:szCs w:val="20"/>
          <w:lang w:val="fr-FR"/>
        </w:rPr>
      </w:pPr>
    </w:p>
    <w:p w14:paraId="60E959DF" w14:textId="77777777" w:rsidR="00333228" w:rsidRPr="00333228" w:rsidRDefault="00333228" w:rsidP="00333228">
      <w:pPr>
        <w:pStyle w:val="Default"/>
        <w:rPr>
          <w:sz w:val="20"/>
          <w:szCs w:val="20"/>
          <w:lang w:val="fr-FR"/>
        </w:rPr>
      </w:pPr>
      <w:r w:rsidRPr="00333228">
        <w:rPr>
          <w:sz w:val="20"/>
          <w:szCs w:val="20"/>
          <w:lang w:val="fr-FR"/>
        </w:rPr>
        <w:t xml:space="preserve">En tant que membre associé du GAFI depuis 2006, MONEYVAL contribue au travail d'élaboration des politiques du GAFI. Le président, les vice-présidents et le secrétaire exécutif assistent systématiquement et contribuent activement aux groupes de travail et aux réunions plénières du GAFI, ainsi que les délégués des États et territoires de MONEYVAL qui participent sous le drapeau de MONEYVAL. Les membres de MONEYVAL ont ainsi de réelles possibilités de contribuer à l'élaboration des politiques mondiales du GAFI en matière de lutte contre le blanchiment d'argent et le financement du terrorisme. </w:t>
      </w:r>
    </w:p>
    <w:p w14:paraId="7329ADEE" w14:textId="77777777" w:rsidR="00333228" w:rsidRPr="00333228" w:rsidRDefault="00333228" w:rsidP="00333228">
      <w:pPr>
        <w:pStyle w:val="Default"/>
        <w:rPr>
          <w:sz w:val="20"/>
          <w:szCs w:val="20"/>
          <w:lang w:val="fr-FR"/>
        </w:rPr>
      </w:pPr>
    </w:p>
    <w:p w14:paraId="21026F36" w14:textId="58FF1698" w:rsidR="00333228" w:rsidRPr="00333228" w:rsidRDefault="00333228" w:rsidP="00333228">
      <w:pPr>
        <w:pStyle w:val="Default"/>
        <w:rPr>
          <w:sz w:val="20"/>
          <w:szCs w:val="20"/>
          <w:lang w:val="fr-FR"/>
        </w:rPr>
      </w:pPr>
      <w:r w:rsidRPr="00333228">
        <w:rPr>
          <w:sz w:val="20"/>
          <w:szCs w:val="20"/>
          <w:lang w:val="fr-FR"/>
        </w:rPr>
        <w:t xml:space="preserve">Des ressources considérables du secrétariat de MONEYVAL sont consacrées au suivi des travaux de chacun des principaux groupes de travail du GAFI et à la participation aux réunions intersessions. Cela concerne en particulier le Groupe d'examen de la coopération internationale (ICRG), auquel quatre membres de MONEYVAL ont été renvoyés au cours des années précédentes. Mais il s'agit également du </w:t>
      </w:r>
      <w:r w:rsidR="007D6D14">
        <w:rPr>
          <w:sz w:val="20"/>
          <w:szCs w:val="20"/>
          <w:lang w:val="fr-FR"/>
        </w:rPr>
        <w:t>Groupe « Politiques et Développement » (</w:t>
      </w:r>
      <w:r w:rsidRPr="00333228">
        <w:rPr>
          <w:sz w:val="20"/>
          <w:szCs w:val="20"/>
          <w:lang w:val="fr-FR"/>
        </w:rPr>
        <w:t xml:space="preserve">Policy and </w:t>
      </w:r>
      <w:proofErr w:type="spellStart"/>
      <w:r w:rsidRPr="00333228">
        <w:rPr>
          <w:sz w:val="20"/>
          <w:szCs w:val="20"/>
          <w:lang w:val="fr-FR"/>
        </w:rPr>
        <w:t>Development</w:t>
      </w:r>
      <w:proofErr w:type="spellEnd"/>
      <w:r w:rsidRPr="00333228">
        <w:rPr>
          <w:sz w:val="20"/>
          <w:szCs w:val="20"/>
          <w:lang w:val="fr-FR"/>
        </w:rPr>
        <w:t xml:space="preserve"> Group</w:t>
      </w:r>
      <w:r w:rsidR="007D6D14">
        <w:rPr>
          <w:sz w:val="20"/>
          <w:szCs w:val="20"/>
          <w:lang w:val="fr-FR"/>
        </w:rPr>
        <w:t>,</w:t>
      </w:r>
      <w:r w:rsidRPr="00333228">
        <w:rPr>
          <w:sz w:val="20"/>
          <w:szCs w:val="20"/>
          <w:lang w:val="fr-FR"/>
        </w:rPr>
        <w:t xml:space="preserve"> (PDG)</w:t>
      </w:r>
      <w:r w:rsidR="007D6D14">
        <w:rPr>
          <w:sz w:val="20"/>
          <w:szCs w:val="20"/>
          <w:lang w:val="fr-FR"/>
        </w:rPr>
        <w:t>)</w:t>
      </w:r>
      <w:r w:rsidRPr="00333228">
        <w:rPr>
          <w:sz w:val="20"/>
          <w:szCs w:val="20"/>
          <w:lang w:val="fr-FR"/>
        </w:rPr>
        <w:t xml:space="preserve"> chargé d'amender les normes du GAFI, ainsi que du </w:t>
      </w:r>
      <w:r w:rsidR="007D6D14">
        <w:rPr>
          <w:sz w:val="20"/>
          <w:szCs w:val="20"/>
          <w:lang w:val="fr-FR"/>
        </w:rPr>
        <w:t>Groupe « </w:t>
      </w:r>
      <w:r w:rsidR="00BC1D63">
        <w:rPr>
          <w:sz w:val="20"/>
          <w:szCs w:val="20"/>
          <w:lang w:val="fr-FR"/>
        </w:rPr>
        <w:t>Évaluations</w:t>
      </w:r>
      <w:r w:rsidR="007D6D14">
        <w:rPr>
          <w:sz w:val="20"/>
          <w:szCs w:val="20"/>
          <w:lang w:val="fr-FR"/>
        </w:rPr>
        <w:t xml:space="preserve"> et Conformité » (</w:t>
      </w:r>
      <w:r w:rsidRPr="00333228">
        <w:rPr>
          <w:sz w:val="20"/>
          <w:szCs w:val="20"/>
          <w:lang w:val="fr-FR"/>
        </w:rPr>
        <w:t>Evaluations and Compliance Group</w:t>
      </w:r>
      <w:r w:rsidR="007D6D14">
        <w:rPr>
          <w:sz w:val="20"/>
          <w:szCs w:val="20"/>
          <w:lang w:val="fr-FR"/>
        </w:rPr>
        <w:t>,</w:t>
      </w:r>
      <w:r w:rsidRPr="00333228">
        <w:rPr>
          <w:sz w:val="20"/>
          <w:szCs w:val="20"/>
          <w:lang w:val="fr-FR"/>
        </w:rPr>
        <w:t xml:space="preserve"> (ECG)</w:t>
      </w:r>
      <w:r w:rsidR="007D6D14">
        <w:rPr>
          <w:sz w:val="20"/>
          <w:szCs w:val="20"/>
          <w:lang w:val="fr-FR"/>
        </w:rPr>
        <w:t>)</w:t>
      </w:r>
      <w:r w:rsidRPr="00333228">
        <w:rPr>
          <w:sz w:val="20"/>
          <w:szCs w:val="20"/>
          <w:lang w:val="fr-FR"/>
        </w:rPr>
        <w:t xml:space="preserve"> </w:t>
      </w:r>
      <w:r w:rsidR="005216D5">
        <w:rPr>
          <w:sz w:val="20"/>
          <w:szCs w:val="20"/>
          <w:lang w:val="fr-FR"/>
        </w:rPr>
        <w:t>traitant</w:t>
      </w:r>
      <w:r w:rsidRPr="00333228">
        <w:rPr>
          <w:sz w:val="20"/>
          <w:szCs w:val="20"/>
          <w:lang w:val="fr-FR"/>
        </w:rPr>
        <w:t xml:space="preserve"> des questions relatives à l'interprétation des normes du GAFI et au développement de la méthodologie globale de lutte contre le blanchiment de capitaux et le financement du terrorisme. L'implication de MONEYVAL est essentielle dans ces groupes de travail, étant donné que les modifications des standards du GAFI ou les décisions sur leur interprétation </w:t>
      </w:r>
      <w:proofErr w:type="gramStart"/>
      <w:r w:rsidRPr="00333228">
        <w:rPr>
          <w:sz w:val="20"/>
          <w:szCs w:val="20"/>
          <w:lang w:val="fr-FR"/>
        </w:rPr>
        <w:t>ont</w:t>
      </w:r>
      <w:proofErr w:type="gramEnd"/>
      <w:r w:rsidRPr="00333228">
        <w:rPr>
          <w:sz w:val="20"/>
          <w:szCs w:val="20"/>
          <w:lang w:val="fr-FR"/>
        </w:rPr>
        <w:t xml:space="preserve"> des conséquences directes sur toutes les évaluations futures de MONEYVAL. Il est donc dans l'intérêt de tous ses membres que MONEYVAL soit correctement et suffisamment représenté dans ces groupes de travail lors des plénières du GAFI. </w:t>
      </w:r>
    </w:p>
    <w:p w14:paraId="757125E2" w14:textId="77777777" w:rsidR="00333228" w:rsidRPr="00333228" w:rsidRDefault="00333228" w:rsidP="00333228">
      <w:pPr>
        <w:pStyle w:val="Default"/>
        <w:rPr>
          <w:sz w:val="20"/>
          <w:szCs w:val="20"/>
          <w:lang w:val="fr-FR"/>
        </w:rPr>
      </w:pPr>
    </w:p>
    <w:p w14:paraId="2288A17B" w14:textId="77777777" w:rsidR="002E6C1B" w:rsidRDefault="002E6C1B">
      <w:pPr>
        <w:rPr>
          <w:rFonts w:eastAsia="Times New Roman" w:cs="Arial"/>
          <w:color w:val="000000"/>
          <w:szCs w:val="20"/>
        </w:rPr>
      </w:pPr>
      <w:r>
        <w:rPr>
          <w:szCs w:val="20"/>
        </w:rPr>
        <w:br w:type="page"/>
      </w:r>
    </w:p>
    <w:p w14:paraId="10C742F2" w14:textId="45DF4C8D" w:rsidR="00333228" w:rsidRPr="00333228" w:rsidRDefault="00333228" w:rsidP="00333228">
      <w:pPr>
        <w:pStyle w:val="Default"/>
        <w:rPr>
          <w:sz w:val="20"/>
          <w:szCs w:val="20"/>
          <w:lang w:val="fr-FR"/>
        </w:rPr>
      </w:pPr>
      <w:r>
        <w:rPr>
          <w:sz w:val="20"/>
          <w:szCs w:val="20"/>
          <w:lang w:val="fr-FR"/>
        </w:rPr>
        <w:lastRenderedPageBreak/>
        <w:t>En</w:t>
      </w:r>
      <w:r w:rsidRPr="00333228">
        <w:rPr>
          <w:sz w:val="20"/>
          <w:szCs w:val="20"/>
          <w:lang w:val="fr-FR"/>
        </w:rPr>
        <w:t xml:space="preserve"> 2022, la délégation de MONEYVAL a participé à trois Plénières du GAFI et à de nombreuses autres réunions de groupes de travail et de projets du GAFI. La contribution de MONEYVAL a eu un impact significatif sur la révision en cours des normes du GAFI et sur un certain nombre de questions de procédure dans le cadre des travaux du GAFI. MONEYVAL contribue activement au processus en cours de l'examen stratégique du GAFI, qui déterminera les paramètres du prochain cycle d'évaluation pour l'ensemble du réseau mondial. </w:t>
      </w:r>
    </w:p>
    <w:p w14:paraId="475FEA7F" w14:textId="77777777" w:rsidR="00333228" w:rsidRPr="00333228" w:rsidRDefault="00333228" w:rsidP="00333228">
      <w:pPr>
        <w:pStyle w:val="Default"/>
        <w:rPr>
          <w:sz w:val="20"/>
          <w:szCs w:val="20"/>
          <w:lang w:val="fr-FR"/>
        </w:rPr>
      </w:pPr>
    </w:p>
    <w:p w14:paraId="45B3E6E6" w14:textId="4FDD9719" w:rsidR="00333228" w:rsidRPr="00333228" w:rsidRDefault="00333228" w:rsidP="00333228">
      <w:pPr>
        <w:pStyle w:val="Default"/>
        <w:rPr>
          <w:sz w:val="20"/>
          <w:szCs w:val="20"/>
          <w:lang w:val="fr-FR"/>
        </w:rPr>
      </w:pPr>
      <w:r w:rsidRPr="00333228">
        <w:rPr>
          <w:sz w:val="20"/>
          <w:szCs w:val="20"/>
          <w:lang w:val="fr-FR"/>
        </w:rPr>
        <w:t xml:space="preserve">Un sujet important d'engagement entre le GAFI et MONEYVAL est le Groupe d'examen de la coopération internationale du GAFI (ICRG), qui travaille sur les listes de </w:t>
      </w:r>
      <w:r w:rsidR="00BC1D63">
        <w:rPr>
          <w:sz w:val="20"/>
          <w:szCs w:val="20"/>
          <w:lang w:val="fr-FR"/>
        </w:rPr>
        <w:t>pays</w:t>
      </w:r>
      <w:r w:rsidR="00BC1D63" w:rsidRPr="00333228">
        <w:rPr>
          <w:sz w:val="20"/>
          <w:szCs w:val="20"/>
          <w:lang w:val="fr-FR"/>
        </w:rPr>
        <w:t xml:space="preserve"> </w:t>
      </w:r>
      <w:r w:rsidRPr="00333228">
        <w:rPr>
          <w:sz w:val="20"/>
          <w:szCs w:val="20"/>
          <w:lang w:val="fr-FR"/>
        </w:rPr>
        <w:t xml:space="preserve">dites </w:t>
      </w:r>
      <w:r w:rsidR="002E6C1B">
        <w:rPr>
          <w:sz w:val="20"/>
          <w:szCs w:val="20"/>
          <w:lang w:val="fr-FR"/>
        </w:rPr>
        <w:t>« </w:t>
      </w:r>
      <w:r w:rsidRPr="00333228">
        <w:rPr>
          <w:sz w:val="20"/>
          <w:szCs w:val="20"/>
          <w:lang w:val="fr-FR"/>
        </w:rPr>
        <w:t>grises</w:t>
      </w:r>
      <w:r w:rsidR="002E6C1B">
        <w:rPr>
          <w:sz w:val="20"/>
          <w:szCs w:val="20"/>
          <w:lang w:val="fr-FR"/>
        </w:rPr>
        <w:t> »</w:t>
      </w:r>
      <w:r w:rsidRPr="00333228">
        <w:rPr>
          <w:sz w:val="20"/>
          <w:szCs w:val="20"/>
          <w:lang w:val="fr-FR"/>
        </w:rPr>
        <w:t xml:space="preserve"> et </w:t>
      </w:r>
      <w:r w:rsidR="002E6C1B">
        <w:rPr>
          <w:sz w:val="20"/>
          <w:szCs w:val="20"/>
          <w:lang w:val="fr-FR"/>
        </w:rPr>
        <w:t>« </w:t>
      </w:r>
      <w:r w:rsidRPr="00333228">
        <w:rPr>
          <w:sz w:val="20"/>
          <w:szCs w:val="20"/>
          <w:lang w:val="fr-FR"/>
        </w:rPr>
        <w:t>listes noires</w:t>
      </w:r>
      <w:r w:rsidR="002E6C1B">
        <w:rPr>
          <w:sz w:val="20"/>
          <w:szCs w:val="20"/>
          <w:lang w:val="fr-FR"/>
        </w:rPr>
        <w:t> »</w:t>
      </w:r>
      <w:r w:rsidRPr="00333228">
        <w:rPr>
          <w:sz w:val="20"/>
          <w:szCs w:val="20"/>
          <w:lang w:val="fr-FR"/>
        </w:rPr>
        <w:t xml:space="preserve">. Il y a actuellement cinq juridictions MONEYVAL à différentes phases du processus ICRG. Les années précédentes, au cours du 5e cycle, quatre autres </w:t>
      </w:r>
      <w:r w:rsidR="00BC1D63">
        <w:rPr>
          <w:sz w:val="20"/>
          <w:szCs w:val="20"/>
          <w:lang w:val="fr-FR"/>
        </w:rPr>
        <w:t>pays de</w:t>
      </w:r>
      <w:r w:rsidR="00BC1D63" w:rsidRPr="00333228">
        <w:rPr>
          <w:sz w:val="20"/>
          <w:szCs w:val="20"/>
          <w:lang w:val="fr-FR"/>
        </w:rPr>
        <w:t xml:space="preserve"> </w:t>
      </w:r>
      <w:r w:rsidRPr="00333228">
        <w:rPr>
          <w:sz w:val="20"/>
          <w:szCs w:val="20"/>
          <w:lang w:val="fr-FR"/>
        </w:rPr>
        <w:t xml:space="preserve">MONEYVAL ont été soumis à l'ICRG. Les </w:t>
      </w:r>
      <w:r w:rsidR="00BC1D63">
        <w:rPr>
          <w:sz w:val="20"/>
          <w:szCs w:val="20"/>
          <w:lang w:val="fr-FR"/>
        </w:rPr>
        <w:t>pays</w:t>
      </w:r>
      <w:r w:rsidR="00BC1D63" w:rsidRPr="00333228">
        <w:rPr>
          <w:sz w:val="20"/>
          <w:szCs w:val="20"/>
          <w:lang w:val="fr-FR"/>
        </w:rPr>
        <w:t xml:space="preserve"> </w:t>
      </w:r>
      <w:r w:rsidRPr="00333228">
        <w:rPr>
          <w:sz w:val="20"/>
          <w:szCs w:val="20"/>
          <w:lang w:val="fr-FR"/>
        </w:rPr>
        <w:t xml:space="preserve">sont examinés par l'ICRG lorsque leurs évaluations mutuelles (effectuées par MONEYVAL ou d'autres organismes régionaux de type GAFI) contiennent un grand nombre de notes faibles ou modérées. </w:t>
      </w:r>
    </w:p>
    <w:p w14:paraId="21ADDA73" w14:textId="77777777" w:rsidR="00333228" w:rsidRDefault="00333228" w:rsidP="00333228">
      <w:pPr>
        <w:rPr>
          <w:rFonts w:eastAsia="Times New Roman" w:cs="Arial"/>
          <w:color w:val="000000"/>
          <w:szCs w:val="20"/>
        </w:rPr>
      </w:pPr>
    </w:p>
    <w:p w14:paraId="25A23FE7" w14:textId="429F25B2" w:rsidR="00333228" w:rsidRDefault="00333228" w:rsidP="00333228">
      <w:pPr>
        <w:rPr>
          <w:rFonts w:eastAsia="Times New Roman" w:cs="Arial"/>
          <w:color w:val="000000"/>
          <w:szCs w:val="20"/>
        </w:rPr>
      </w:pPr>
      <w:proofErr w:type="gramStart"/>
      <w:r>
        <w:rPr>
          <w:rFonts w:eastAsia="Times New Roman" w:cs="Arial"/>
          <w:color w:val="000000"/>
          <w:szCs w:val="20"/>
        </w:rPr>
        <w:t>Suite à une</w:t>
      </w:r>
      <w:proofErr w:type="gramEnd"/>
      <w:r>
        <w:rPr>
          <w:rFonts w:eastAsia="Times New Roman" w:cs="Arial"/>
          <w:color w:val="000000"/>
          <w:szCs w:val="20"/>
        </w:rPr>
        <w:t xml:space="preserve"> décision du Comité des Ministres, le Conseil de l'Europe a présenté une demande de statut d'observateur auprès du GAFI</w:t>
      </w:r>
      <w:r w:rsidR="00DC5993">
        <w:rPr>
          <w:rFonts w:eastAsia="Times New Roman" w:cs="Arial"/>
          <w:color w:val="000000"/>
          <w:szCs w:val="20"/>
        </w:rPr>
        <w:t xml:space="preserve">, qui a été accueillie favorablement </w:t>
      </w:r>
      <w:r>
        <w:rPr>
          <w:rFonts w:eastAsia="Times New Roman" w:cs="Arial"/>
          <w:color w:val="000000"/>
          <w:szCs w:val="20"/>
        </w:rPr>
        <w:t xml:space="preserve">en février 2022. Des délégations du Conseil de l'Europe représentant diverses entités de l'Organisation ont assisté aux réunions plénières du GAFI en juin et en octobre 2022. L'engagement direct du Conseil de l'Europe au sein du GAFI facilite les synergies entre les deux organisations dans un certain nombre de domaines qui dépassent le mandat de MONEYVAL. Il s'agit notamment de la Commission de Venise, du GRECO ainsi que des entités de l'Organisation traitant de la cybercriminalité, de la protection des données et de la lutte contre le terrorisme. </w:t>
      </w:r>
    </w:p>
    <w:p w14:paraId="5C7A3764" w14:textId="77777777" w:rsidR="00333228" w:rsidRDefault="00333228" w:rsidP="00333228">
      <w:pPr>
        <w:rPr>
          <w:rFonts w:eastAsia="Times New Roman" w:cs="Arial"/>
          <w:color w:val="000000"/>
          <w:szCs w:val="20"/>
        </w:rPr>
      </w:pPr>
    </w:p>
    <w:p w14:paraId="75D1CCCC" w14:textId="77777777" w:rsidR="00333228" w:rsidRPr="00333228" w:rsidRDefault="00333228" w:rsidP="00333228">
      <w:pPr>
        <w:pStyle w:val="Heading2"/>
        <w:keepLines w:val="0"/>
        <w:spacing w:before="0"/>
        <w:ind w:right="680"/>
        <w:jc w:val="both"/>
        <w:rPr>
          <w:rStyle w:val="Strong"/>
          <w:rFonts w:ascii="Arial" w:eastAsiaTheme="minorHAnsi" w:hAnsi="Arial" w:cs="Arial"/>
          <w:color w:val="auto"/>
          <w:sz w:val="20"/>
          <w:szCs w:val="20"/>
          <w:lang w:val="fr-FR"/>
        </w:rPr>
      </w:pPr>
      <w:bookmarkStart w:id="177" w:name="_Toc132203762"/>
      <w:bookmarkStart w:id="178" w:name="_Toc135412708"/>
      <w:r w:rsidRPr="00333228">
        <w:rPr>
          <w:rStyle w:val="Strong"/>
          <w:rFonts w:ascii="Arial" w:eastAsiaTheme="minorHAnsi" w:hAnsi="Arial" w:cs="Arial"/>
          <w:color w:val="auto"/>
          <w:sz w:val="20"/>
          <w:szCs w:val="20"/>
          <w:lang w:val="fr-FR"/>
        </w:rPr>
        <w:t>5.2.</w:t>
      </w:r>
      <w:r w:rsidRPr="00333228">
        <w:rPr>
          <w:rStyle w:val="Strong"/>
          <w:rFonts w:ascii="Arial" w:eastAsiaTheme="minorHAnsi" w:hAnsi="Arial" w:cs="Arial"/>
          <w:color w:val="auto"/>
          <w:sz w:val="20"/>
          <w:szCs w:val="20"/>
          <w:lang w:val="fr-FR"/>
        </w:rPr>
        <w:tab/>
        <w:t>Organismes régionaux de type GAFI</w:t>
      </w:r>
      <w:bookmarkEnd w:id="177"/>
      <w:bookmarkEnd w:id="178"/>
    </w:p>
    <w:p w14:paraId="0CAAB1B0" w14:textId="77777777" w:rsidR="00333228" w:rsidRPr="00333228" w:rsidRDefault="00333228" w:rsidP="00333228"/>
    <w:p w14:paraId="0B6F5EEB" w14:textId="6B00912A" w:rsidR="00333228" w:rsidRPr="00333228" w:rsidRDefault="00333228" w:rsidP="00333228">
      <w:pPr>
        <w:pStyle w:val="Default"/>
        <w:rPr>
          <w:sz w:val="20"/>
          <w:szCs w:val="20"/>
          <w:lang w:val="fr-FR"/>
        </w:rPr>
      </w:pPr>
      <w:r w:rsidRPr="00333228">
        <w:rPr>
          <w:sz w:val="20"/>
          <w:szCs w:val="20"/>
          <w:lang w:val="fr-FR"/>
        </w:rPr>
        <w:t>MONEYVAL a le statut d'observateur mutuel auprès d'autres organismes régionaux de type GAFI</w:t>
      </w:r>
      <w:r w:rsidR="00A76308">
        <w:rPr>
          <w:sz w:val="20"/>
          <w:szCs w:val="20"/>
          <w:lang w:val="fr-FR"/>
        </w:rPr>
        <w:t xml:space="preserve"> (ORTG)</w:t>
      </w:r>
      <w:r w:rsidRPr="00333228">
        <w:rPr>
          <w:sz w:val="20"/>
          <w:szCs w:val="20"/>
          <w:lang w:val="fr-FR"/>
        </w:rPr>
        <w:t>, en particulier le Groupe Asie-Pacifique</w:t>
      </w:r>
      <w:r w:rsidR="00DC5993">
        <w:rPr>
          <w:sz w:val="20"/>
          <w:szCs w:val="20"/>
          <w:lang w:val="fr-FR"/>
        </w:rPr>
        <w:t xml:space="preserve"> </w:t>
      </w:r>
      <w:r w:rsidRPr="00333228">
        <w:rPr>
          <w:sz w:val="20"/>
          <w:szCs w:val="20"/>
          <w:lang w:val="fr-FR"/>
        </w:rPr>
        <w:t>sur le blanchiment de capitau</w:t>
      </w:r>
      <w:r w:rsidR="00DC5993">
        <w:rPr>
          <w:sz w:val="20"/>
          <w:szCs w:val="20"/>
          <w:lang w:val="fr-FR"/>
        </w:rPr>
        <w:t>x (GAP)</w:t>
      </w:r>
      <w:r w:rsidRPr="00333228">
        <w:rPr>
          <w:sz w:val="20"/>
          <w:szCs w:val="20"/>
          <w:lang w:val="fr-FR"/>
        </w:rPr>
        <w:t xml:space="preserve"> et le Groupe Eurasien sur la lutte contre le blanchiment de capitaux et le financement du terrorisme (EAG)</w:t>
      </w:r>
      <w:r w:rsidRPr="00277C14">
        <w:rPr>
          <w:sz w:val="20"/>
          <w:szCs w:val="20"/>
          <w:vertAlign w:val="superscript"/>
        </w:rPr>
        <w:footnoteReference w:id="4"/>
      </w:r>
      <w:r w:rsidRPr="00333228">
        <w:rPr>
          <w:sz w:val="20"/>
          <w:szCs w:val="20"/>
          <w:lang w:val="fr-FR"/>
        </w:rPr>
        <w:t xml:space="preserve"> . MONEYVAL, l'EAG et </w:t>
      </w:r>
      <w:r w:rsidR="00DC5993">
        <w:rPr>
          <w:sz w:val="20"/>
          <w:szCs w:val="20"/>
          <w:lang w:val="fr-FR"/>
        </w:rPr>
        <w:t>le GAP</w:t>
      </w:r>
      <w:r w:rsidR="00DC5993" w:rsidRPr="00333228">
        <w:rPr>
          <w:sz w:val="20"/>
          <w:szCs w:val="20"/>
          <w:lang w:val="fr-FR"/>
        </w:rPr>
        <w:t xml:space="preserve"> </w:t>
      </w:r>
      <w:r w:rsidRPr="00333228">
        <w:rPr>
          <w:sz w:val="20"/>
          <w:szCs w:val="20"/>
          <w:lang w:val="fr-FR"/>
        </w:rPr>
        <w:t xml:space="preserve">ont participé activement aux réunions plénières et aux réunions des groupes de travail </w:t>
      </w:r>
      <w:r w:rsidR="00DC5993">
        <w:rPr>
          <w:sz w:val="20"/>
          <w:szCs w:val="20"/>
          <w:lang w:val="fr-FR"/>
        </w:rPr>
        <w:t>respectives</w:t>
      </w:r>
      <w:r w:rsidRPr="00333228">
        <w:rPr>
          <w:sz w:val="20"/>
          <w:szCs w:val="20"/>
          <w:lang w:val="fr-FR"/>
        </w:rPr>
        <w:t xml:space="preserve"> sur l</w:t>
      </w:r>
      <w:r w:rsidR="00A76308">
        <w:rPr>
          <w:sz w:val="20"/>
          <w:szCs w:val="20"/>
          <w:lang w:val="fr-FR"/>
        </w:rPr>
        <w:t xml:space="preserve">’année </w:t>
      </w:r>
      <w:r w:rsidRPr="00333228">
        <w:rPr>
          <w:sz w:val="20"/>
          <w:szCs w:val="20"/>
          <w:lang w:val="fr-FR"/>
        </w:rPr>
        <w:t xml:space="preserve">2022. MONEYVAL a également entamé une coopération avec le Groupe d'action financière sur le blanchiment de capitaux en Amérique latine (GAFILAT) et le Groupe d'action financière sur le blanchiment de capitaux dans les Caraïbes (GAFIC). En outre, MONEYVAL a lancé avec succès une initiative conjointe avec </w:t>
      </w:r>
      <w:r w:rsidR="00DC5993">
        <w:rPr>
          <w:sz w:val="20"/>
          <w:szCs w:val="20"/>
          <w:lang w:val="fr-FR"/>
        </w:rPr>
        <w:t>le GAP</w:t>
      </w:r>
      <w:r w:rsidRPr="00333228">
        <w:rPr>
          <w:sz w:val="20"/>
          <w:szCs w:val="20"/>
          <w:lang w:val="fr-FR"/>
        </w:rPr>
        <w:t xml:space="preserve">, l'EAG et d'autres </w:t>
      </w:r>
      <w:r w:rsidR="00A76308">
        <w:rPr>
          <w:sz w:val="20"/>
          <w:szCs w:val="20"/>
          <w:lang w:val="fr-FR"/>
        </w:rPr>
        <w:t>ORTG</w:t>
      </w:r>
      <w:r w:rsidRPr="00333228">
        <w:rPr>
          <w:sz w:val="20"/>
          <w:szCs w:val="20"/>
          <w:lang w:val="fr-FR"/>
        </w:rPr>
        <w:t xml:space="preserve"> sur la réforme du réseau mondial. </w:t>
      </w:r>
    </w:p>
    <w:p w14:paraId="4A9916C4" w14:textId="77777777" w:rsidR="00333228" w:rsidRPr="00333228" w:rsidRDefault="00333228" w:rsidP="00333228">
      <w:pPr>
        <w:pStyle w:val="Default"/>
        <w:rPr>
          <w:sz w:val="20"/>
          <w:szCs w:val="20"/>
          <w:lang w:val="fr-FR"/>
        </w:rPr>
      </w:pPr>
    </w:p>
    <w:p w14:paraId="6E0B3C49" w14:textId="77777777" w:rsidR="00333228" w:rsidRPr="00333228" w:rsidRDefault="00333228" w:rsidP="00333228">
      <w:pPr>
        <w:pStyle w:val="Heading2"/>
        <w:keepLines w:val="0"/>
        <w:spacing w:before="0"/>
        <w:ind w:right="680"/>
        <w:jc w:val="both"/>
        <w:rPr>
          <w:rStyle w:val="Strong"/>
          <w:rFonts w:ascii="Arial" w:eastAsiaTheme="minorHAnsi" w:hAnsi="Arial" w:cs="Arial"/>
          <w:bCs/>
          <w:color w:val="auto"/>
          <w:sz w:val="20"/>
          <w:szCs w:val="20"/>
          <w:lang w:val="fr-FR"/>
        </w:rPr>
      </w:pPr>
      <w:bookmarkStart w:id="179" w:name="_Toc132203763"/>
      <w:bookmarkStart w:id="180" w:name="_Toc135412709"/>
      <w:r w:rsidRPr="00333228">
        <w:rPr>
          <w:rStyle w:val="Strong"/>
          <w:rFonts w:ascii="Arial" w:eastAsiaTheme="minorHAnsi" w:hAnsi="Arial" w:cs="Arial"/>
          <w:bCs/>
          <w:color w:val="auto"/>
          <w:sz w:val="20"/>
          <w:szCs w:val="20"/>
          <w:lang w:val="fr-FR"/>
        </w:rPr>
        <w:t>5.3.</w:t>
      </w:r>
      <w:r w:rsidRPr="00333228">
        <w:rPr>
          <w:rStyle w:val="Strong"/>
          <w:rFonts w:ascii="Arial" w:eastAsiaTheme="minorHAnsi" w:hAnsi="Arial" w:cs="Arial"/>
          <w:bCs/>
          <w:color w:val="auto"/>
          <w:sz w:val="20"/>
          <w:szCs w:val="20"/>
          <w:lang w:val="fr-FR"/>
        </w:rPr>
        <w:tab/>
        <w:t>Autres partenariats</w:t>
      </w:r>
      <w:bookmarkEnd w:id="179"/>
      <w:bookmarkEnd w:id="180"/>
    </w:p>
    <w:p w14:paraId="4014A99E" w14:textId="77777777" w:rsidR="00333228" w:rsidRPr="00333228" w:rsidRDefault="00333228" w:rsidP="00333228"/>
    <w:p w14:paraId="73BBD7DB" w14:textId="6B209FDB" w:rsidR="00333228" w:rsidRPr="00333228" w:rsidRDefault="00A76308" w:rsidP="00333228">
      <w:pPr>
        <w:pStyle w:val="Default"/>
        <w:rPr>
          <w:sz w:val="20"/>
          <w:szCs w:val="20"/>
          <w:lang w:val="fr-FR"/>
        </w:rPr>
      </w:pPr>
      <w:r>
        <w:rPr>
          <w:sz w:val="20"/>
          <w:szCs w:val="20"/>
          <w:lang w:val="fr-FR"/>
        </w:rPr>
        <w:t>En</w:t>
      </w:r>
      <w:r w:rsidR="00333228" w:rsidRPr="00333228">
        <w:rPr>
          <w:sz w:val="20"/>
          <w:szCs w:val="20"/>
          <w:lang w:val="fr-FR"/>
        </w:rPr>
        <w:t xml:space="preserve"> 2022, MONEYVAL a continué à développer activement son partenariat avec l'</w:t>
      </w:r>
      <w:r w:rsidR="00333228" w:rsidRPr="00333228">
        <w:rPr>
          <w:b/>
          <w:bCs/>
          <w:sz w:val="20"/>
          <w:szCs w:val="20"/>
          <w:lang w:val="fr-FR"/>
        </w:rPr>
        <w:t>Union européenne</w:t>
      </w:r>
      <w:r w:rsidR="00333228" w:rsidRPr="00333228">
        <w:rPr>
          <w:sz w:val="20"/>
          <w:szCs w:val="20"/>
          <w:lang w:val="fr-FR"/>
        </w:rPr>
        <w:t xml:space="preserve">, qui participe activement à MONEYVAL depuis sa création. Elle est représentée dans MONEYVAL par la Commission européenne, qui a participé activement aux discussions </w:t>
      </w:r>
      <w:r w:rsidR="002E2594">
        <w:rPr>
          <w:sz w:val="20"/>
          <w:szCs w:val="20"/>
          <w:lang w:val="fr-FR"/>
        </w:rPr>
        <w:t xml:space="preserve">en matière </w:t>
      </w:r>
      <w:r w:rsidR="00333228" w:rsidRPr="00333228">
        <w:rPr>
          <w:sz w:val="20"/>
          <w:szCs w:val="20"/>
          <w:lang w:val="fr-FR"/>
        </w:rPr>
        <w:t>d</w:t>
      </w:r>
      <w:r w:rsidR="002E2594">
        <w:rPr>
          <w:sz w:val="20"/>
          <w:szCs w:val="20"/>
          <w:lang w:val="fr-FR"/>
        </w:rPr>
        <w:t>’</w:t>
      </w:r>
      <w:r w:rsidR="00333228" w:rsidRPr="00333228">
        <w:rPr>
          <w:sz w:val="20"/>
          <w:szCs w:val="20"/>
          <w:lang w:val="fr-FR"/>
        </w:rPr>
        <w:t>évaluation</w:t>
      </w:r>
      <w:r w:rsidR="002E2594">
        <w:rPr>
          <w:sz w:val="20"/>
          <w:szCs w:val="20"/>
          <w:lang w:val="fr-FR"/>
        </w:rPr>
        <w:t>s</w:t>
      </w:r>
      <w:r w:rsidR="00333228" w:rsidRPr="00333228">
        <w:rPr>
          <w:sz w:val="20"/>
          <w:szCs w:val="20"/>
          <w:lang w:val="fr-FR"/>
        </w:rPr>
        <w:t xml:space="preserve"> mutuelle</w:t>
      </w:r>
      <w:r w:rsidR="002E2594">
        <w:rPr>
          <w:sz w:val="20"/>
          <w:szCs w:val="20"/>
          <w:lang w:val="fr-FR"/>
        </w:rPr>
        <w:t>s</w:t>
      </w:r>
      <w:r w:rsidR="00333228" w:rsidRPr="00333228">
        <w:rPr>
          <w:sz w:val="20"/>
          <w:szCs w:val="20"/>
          <w:lang w:val="fr-FR"/>
        </w:rPr>
        <w:t xml:space="preserve"> de MONEYVAL au cours de 2022, et a fourni aux membres de MONEYVAL des mises à jour sur le développement du cadre législatif en matière de lutte contre le blanchiment de capitaux et le financement du terrorisme dans l'UE.</w:t>
      </w:r>
    </w:p>
    <w:p w14:paraId="0854D503" w14:textId="77777777" w:rsidR="00333228" w:rsidRPr="00277C14" w:rsidRDefault="00333228" w:rsidP="00333228">
      <w:pPr>
        <w:rPr>
          <w:rFonts w:cs="Arial"/>
          <w:szCs w:val="20"/>
        </w:rPr>
      </w:pPr>
    </w:p>
    <w:p w14:paraId="397C8FA9" w14:textId="50569450" w:rsidR="00333228" w:rsidRDefault="00333228" w:rsidP="00333228">
      <w:pPr>
        <w:rPr>
          <w:rFonts w:cs="Arial"/>
          <w:szCs w:val="20"/>
        </w:rPr>
      </w:pPr>
      <w:r w:rsidRPr="00277C14">
        <w:rPr>
          <w:rFonts w:cs="Arial"/>
          <w:szCs w:val="20"/>
        </w:rPr>
        <w:t xml:space="preserve">Au cours des deux dernières décennies, le rôle des institutions financières internationales (IFI), y compris la </w:t>
      </w:r>
      <w:r w:rsidRPr="00277C14">
        <w:rPr>
          <w:rFonts w:cs="Arial"/>
          <w:b/>
          <w:bCs/>
          <w:szCs w:val="20"/>
        </w:rPr>
        <w:t xml:space="preserve">Banque mondiale et le Fonds monétaire international (FMI), </w:t>
      </w:r>
      <w:r w:rsidRPr="00277C14">
        <w:rPr>
          <w:rFonts w:cs="Arial"/>
          <w:szCs w:val="20"/>
        </w:rPr>
        <w:t xml:space="preserve">dans le domaine de la lutte contre le blanchiment </w:t>
      </w:r>
      <w:r w:rsidR="00A76308">
        <w:rPr>
          <w:rFonts w:cs="Arial"/>
          <w:szCs w:val="20"/>
        </w:rPr>
        <w:t>de capitaux</w:t>
      </w:r>
      <w:r w:rsidR="00A76308" w:rsidRPr="00277C14">
        <w:rPr>
          <w:rFonts w:cs="Arial"/>
          <w:szCs w:val="20"/>
        </w:rPr>
        <w:t xml:space="preserve"> </w:t>
      </w:r>
      <w:r w:rsidRPr="00277C14">
        <w:rPr>
          <w:rFonts w:cs="Arial"/>
          <w:szCs w:val="20"/>
        </w:rPr>
        <w:t xml:space="preserve">et le financement du terrorisme s'est accru. </w:t>
      </w:r>
      <w:r w:rsidR="00A76308">
        <w:rPr>
          <w:rFonts w:cs="Arial"/>
          <w:szCs w:val="20"/>
        </w:rPr>
        <w:t>En</w:t>
      </w:r>
      <w:r w:rsidRPr="00277C14">
        <w:rPr>
          <w:rFonts w:cs="Arial"/>
          <w:szCs w:val="20"/>
        </w:rPr>
        <w:t xml:space="preserve"> </w:t>
      </w:r>
      <w:r>
        <w:rPr>
          <w:rFonts w:cs="Arial"/>
          <w:szCs w:val="20"/>
        </w:rPr>
        <w:t>2022</w:t>
      </w:r>
      <w:r w:rsidRPr="00277C14">
        <w:rPr>
          <w:rFonts w:cs="Arial"/>
          <w:szCs w:val="20"/>
        </w:rPr>
        <w:t xml:space="preserve">, des représentants de la Banque mondiale et du FMI ont participé à la réunion plénière de MONEYVAL, apportant une contribution active aux rapports d'évaluation mutuelle de MONEYVAL. </w:t>
      </w:r>
    </w:p>
    <w:p w14:paraId="7AA00961" w14:textId="77777777" w:rsidR="00333228" w:rsidRPr="00277C14" w:rsidRDefault="00333228" w:rsidP="00333228">
      <w:pPr>
        <w:rPr>
          <w:rFonts w:cs="Arial"/>
          <w:szCs w:val="20"/>
        </w:rPr>
      </w:pPr>
    </w:p>
    <w:p w14:paraId="6894B6E9" w14:textId="2484AAA3" w:rsidR="00333228" w:rsidRDefault="00333228" w:rsidP="00333228">
      <w:pPr>
        <w:rPr>
          <w:rFonts w:cs="Arial"/>
          <w:szCs w:val="20"/>
        </w:rPr>
      </w:pPr>
      <w:r w:rsidRPr="00277C14">
        <w:rPr>
          <w:rFonts w:cs="Arial"/>
          <w:szCs w:val="20"/>
        </w:rPr>
        <w:t>L'</w:t>
      </w:r>
      <w:r w:rsidRPr="00277C14">
        <w:rPr>
          <w:rFonts w:cs="Arial"/>
          <w:b/>
          <w:bCs/>
          <w:szCs w:val="20"/>
        </w:rPr>
        <w:t xml:space="preserve">Office des Nations Unies contre la drogue et le crime (ONUDC) </w:t>
      </w:r>
      <w:r w:rsidRPr="00277C14">
        <w:rPr>
          <w:rFonts w:cs="Arial"/>
          <w:szCs w:val="20"/>
        </w:rPr>
        <w:t xml:space="preserve">envoie régulièrement des représentants aux </w:t>
      </w:r>
      <w:r w:rsidR="00A76308">
        <w:rPr>
          <w:rFonts w:cs="Arial"/>
          <w:szCs w:val="20"/>
        </w:rPr>
        <w:t>p</w:t>
      </w:r>
      <w:r w:rsidRPr="00277C14">
        <w:rPr>
          <w:rFonts w:cs="Arial"/>
          <w:szCs w:val="20"/>
        </w:rPr>
        <w:t xml:space="preserve">lénières de MONEYVAL qui informent ses membres des développements respectifs dans le travail de l'ONUDC. </w:t>
      </w:r>
    </w:p>
    <w:p w14:paraId="2C39FF68" w14:textId="77777777" w:rsidR="00333228" w:rsidRPr="00277C14" w:rsidRDefault="00333228" w:rsidP="00333228">
      <w:pPr>
        <w:rPr>
          <w:rFonts w:cs="Arial"/>
          <w:szCs w:val="20"/>
        </w:rPr>
      </w:pPr>
    </w:p>
    <w:p w14:paraId="48080ECC" w14:textId="1093066F" w:rsidR="00333228" w:rsidRDefault="00333228" w:rsidP="00333228">
      <w:pPr>
        <w:rPr>
          <w:rFonts w:cs="Arial"/>
          <w:szCs w:val="20"/>
        </w:rPr>
      </w:pPr>
      <w:r w:rsidRPr="00277C14">
        <w:rPr>
          <w:rFonts w:cs="Arial"/>
          <w:szCs w:val="20"/>
        </w:rPr>
        <w:t>L'</w:t>
      </w:r>
      <w:r w:rsidRPr="00277C14">
        <w:rPr>
          <w:rFonts w:cs="Arial"/>
          <w:b/>
          <w:bCs/>
          <w:szCs w:val="20"/>
        </w:rPr>
        <w:t xml:space="preserve">Organisation pour la sécurité et la coopération en Europe (OSCE) </w:t>
      </w:r>
      <w:r w:rsidRPr="00277C14">
        <w:rPr>
          <w:rFonts w:cs="Arial"/>
          <w:szCs w:val="20"/>
        </w:rPr>
        <w:t xml:space="preserve">adopte une approche interdisciplinaire de la lutte contre le blanchiment </w:t>
      </w:r>
      <w:r w:rsidR="00A76308">
        <w:rPr>
          <w:rFonts w:cs="Arial"/>
          <w:szCs w:val="20"/>
        </w:rPr>
        <w:t>de capitaux</w:t>
      </w:r>
      <w:r w:rsidR="00A76308" w:rsidRPr="00277C14">
        <w:rPr>
          <w:rFonts w:cs="Arial"/>
          <w:szCs w:val="20"/>
        </w:rPr>
        <w:t xml:space="preserve"> </w:t>
      </w:r>
      <w:r w:rsidRPr="00277C14">
        <w:rPr>
          <w:rFonts w:cs="Arial"/>
          <w:szCs w:val="20"/>
        </w:rPr>
        <w:t xml:space="preserve">et le financement du terrorisme, principalement axée sur les questions de lutte contre le terrorisme et de sécurité. </w:t>
      </w:r>
      <w:r>
        <w:rPr>
          <w:rFonts w:cs="Arial"/>
          <w:szCs w:val="20"/>
        </w:rPr>
        <w:t xml:space="preserve">L'OSCE est un observateur permanent de MONEYVAL. </w:t>
      </w:r>
    </w:p>
    <w:p w14:paraId="782C9607" w14:textId="77777777" w:rsidR="00333228" w:rsidRPr="00277C14" w:rsidRDefault="00333228" w:rsidP="00333228">
      <w:pPr>
        <w:rPr>
          <w:rFonts w:cs="Arial"/>
          <w:szCs w:val="20"/>
        </w:rPr>
      </w:pPr>
    </w:p>
    <w:p w14:paraId="6184764A" w14:textId="24E847FC" w:rsidR="00333228" w:rsidRPr="002416EE" w:rsidRDefault="00333228" w:rsidP="00333228">
      <w:pPr>
        <w:rPr>
          <w:rFonts w:cs="Arial"/>
          <w:szCs w:val="20"/>
        </w:rPr>
      </w:pPr>
      <w:r w:rsidRPr="00277C14">
        <w:rPr>
          <w:rFonts w:cs="Arial"/>
          <w:szCs w:val="20"/>
        </w:rPr>
        <w:t xml:space="preserve">Le </w:t>
      </w:r>
      <w:r w:rsidRPr="00277C14">
        <w:rPr>
          <w:rFonts w:cs="Arial"/>
          <w:b/>
          <w:bCs/>
          <w:szCs w:val="20"/>
        </w:rPr>
        <w:t xml:space="preserve">groupe Egmont des cellules de renseignement financier </w:t>
      </w:r>
      <w:r w:rsidRPr="00277C14">
        <w:rPr>
          <w:rFonts w:cs="Arial"/>
          <w:szCs w:val="20"/>
        </w:rPr>
        <w:t xml:space="preserve">(CRF) a été créé en 1995 en tant que forum international réunissant des CRF afin d'améliorer et de systématiser la coopération en matière de lutte contre le blanchiment </w:t>
      </w:r>
      <w:r w:rsidR="00A76308">
        <w:rPr>
          <w:rFonts w:cs="Arial"/>
          <w:szCs w:val="20"/>
        </w:rPr>
        <w:t>de capitaux</w:t>
      </w:r>
      <w:r w:rsidR="00A76308" w:rsidRPr="00277C14">
        <w:rPr>
          <w:rFonts w:cs="Arial"/>
          <w:szCs w:val="20"/>
        </w:rPr>
        <w:t xml:space="preserve"> </w:t>
      </w:r>
      <w:r w:rsidRPr="00277C14">
        <w:rPr>
          <w:rFonts w:cs="Arial"/>
          <w:szCs w:val="20"/>
        </w:rPr>
        <w:t>e</w:t>
      </w:r>
      <w:r w:rsidRPr="002416EE">
        <w:rPr>
          <w:rFonts w:cs="Arial"/>
          <w:szCs w:val="20"/>
        </w:rPr>
        <w:t xml:space="preserve">t le financement du terrorisme, en particulier au niveau du renseignement. Le travail des CRF fait partie intégrante des normes du GAFI et des évaluations de MONEYVAL. MONEYVAL a le statut d'observateur et participe activement aux réunions du groupe Egmont. La </w:t>
      </w:r>
      <w:r w:rsidR="00A76308" w:rsidRPr="002416EE">
        <w:rPr>
          <w:rFonts w:cs="Arial"/>
          <w:szCs w:val="20"/>
        </w:rPr>
        <w:t>64</w:t>
      </w:r>
      <w:r w:rsidR="00A76308" w:rsidRPr="00F9691A">
        <w:rPr>
          <w:rFonts w:cs="Arial"/>
          <w:szCs w:val="20"/>
          <w:vertAlign w:val="superscript"/>
        </w:rPr>
        <w:t>ème</w:t>
      </w:r>
      <w:r w:rsidR="00A76308" w:rsidRPr="002416EE">
        <w:rPr>
          <w:rFonts w:cs="Arial"/>
          <w:szCs w:val="20"/>
        </w:rPr>
        <w:t xml:space="preserve"> </w:t>
      </w:r>
      <w:r w:rsidRPr="002416EE">
        <w:rPr>
          <w:rFonts w:cs="Arial"/>
          <w:szCs w:val="20"/>
        </w:rPr>
        <w:t xml:space="preserve">réunion plénière </w:t>
      </w:r>
      <w:r w:rsidR="00A76308" w:rsidRPr="002416EE">
        <w:rPr>
          <w:rFonts w:cs="Arial"/>
          <w:szCs w:val="20"/>
        </w:rPr>
        <w:t>de</w:t>
      </w:r>
      <w:r w:rsidRPr="002416EE">
        <w:rPr>
          <w:rFonts w:cs="Arial"/>
          <w:szCs w:val="20"/>
        </w:rPr>
        <w:t xml:space="preserve"> MONEYVAL a donné lieu à un échange de vues productif avec le </w:t>
      </w:r>
      <w:r w:rsidR="00A76308" w:rsidRPr="002416EE">
        <w:rPr>
          <w:rFonts w:cs="Arial"/>
          <w:szCs w:val="20"/>
        </w:rPr>
        <w:t>S</w:t>
      </w:r>
      <w:r w:rsidRPr="002416EE">
        <w:rPr>
          <w:rFonts w:cs="Arial"/>
          <w:szCs w:val="20"/>
        </w:rPr>
        <w:t xml:space="preserve">ecrétaire exécutif du groupe Egmont. </w:t>
      </w:r>
    </w:p>
    <w:p w14:paraId="31BAD684" w14:textId="77777777" w:rsidR="00333228" w:rsidRPr="002416EE" w:rsidRDefault="00333228" w:rsidP="00333228">
      <w:pPr>
        <w:rPr>
          <w:rFonts w:cs="Arial"/>
          <w:szCs w:val="20"/>
        </w:rPr>
      </w:pPr>
    </w:p>
    <w:p w14:paraId="49F4030D" w14:textId="77777777" w:rsidR="002E6C1B" w:rsidRDefault="002E6C1B">
      <w:pPr>
        <w:rPr>
          <w:rFonts w:cs="Arial"/>
          <w:szCs w:val="20"/>
        </w:rPr>
      </w:pPr>
      <w:r>
        <w:rPr>
          <w:rFonts w:cs="Arial"/>
          <w:szCs w:val="20"/>
        </w:rPr>
        <w:br w:type="page"/>
      </w:r>
    </w:p>
    <w:p w14:paraId="67C4536D" w14:textId="457C3B19" w:rsidR="00333228" w:rsidRDefault="00333228" w:rsidP="00333228">
      <w:pPr>
        <w:rPr>
          <w:rFonts w:cs="Arial"/>
          <w:szCs w:val="20"/>
        </w:rPr>
      </w:pPr>
      <w:r w:rsidRPr="002416EE">
        <w:rPr>
          <w:rFonts w:cs="Arial"/>
          <w:szCs w:val="20"/>
        </w:rPr>
        <w:lastRenderedPageBreak/>
        <w:t xml:space="preserve">La </w:t>
      </w:r>
      <w:r w:rsidRPr="002416EE">
        <w:rPr>
          <w:rFonts w:cs="Arial"/>
          <w:b/>
          <w:bCs/>
          <w:szCs w:val="20"/>
        </w:rPr>
        <w:t xml:space="preserve">Banque européenne pour la reconstruction et le développement (BERD) </w:t>
      </w:r>
      <w:r w:rsidRPr="002416EE">
        <w:rPr>
          <w:rFonts w:cs="Arial"/>
          <w:szCs w:val="20"/>
        </w:rPr>
        <w:t xml:space="preserve">est une </w:t>
      </w:r>
      <w:hyperlink r:id="rId11" w:tooltip="International financial institution" w:history="1">
        <w:r w:rsidRPr="002416EE">
          <w:rPr>
            <w:rFonts w:cs="Arial"/>
            <w:szCs w:val="20"/>
          </w:rPr>
          <w:t>institution financière internationale</w:t>
        </w:r>
      </w:hyperlink>
      <w:r w:rsidRPr="002416EE">
        <w:rPr>
          <w:rFonts w:cs="Arial"/>
          <w:szCs w:val="20"/>
        </w:rPr>
        <w:t xml:space="preserve"> fondée en 1991. En tant que </w:t>
      </w:r>
      <w:hyperlink r:id="rId12" w:tooltip="Investment bank" w:history="1">
        <w:r w:rsidRPr="002416EE">
          <w:rPr>
            <w:rFonts w:cs="Arial"/>
            <w:szCs w:val="20"/>
          </w:rPr>
          <w:t>banque</w:t>
        </w:r>
      </w:hyperlink>
      <w:r w:rsidRPr="002416EE">
        <w:rPr>
          <w:rFonts w:cs="Arial"/>
          <w:szCs w:val="20"/>
        </w:rPr>
        <w:t xml:space="preserve"> multilatérale </w:t>
      </w:r>
      <w:hyperlink r:id="rId13" w:tooltip="Investment bank" w:history="1">
        <w:r w:rsidRPr="002416EE">
          <w:rPr>
            <w:rFonts w:cs="Arial"/>
            <w:szCs w:val="20"/>
          </w:rPr>
          <w:t>d'investissement</w:t>
        </w:r>
      </w:hyperlink>
      <w:r w:rsidRPr="002416EE">
        <w:rPr>
          <w:rFonts w:cs="Arial"/>
          <w:szCs w:val="20"/>
        </w:rPr>
        <w:t xml:space="preserve"> pour le développement, la BERD utilise l'</w:t>
      </w:r>
      <w:hyperlink r:id="rId14" w:tooltip="Investment" w:history="1">
        <w:r w:rsidRPr="002416EE">
          <w:rPr>
            <w:rFonts w:cs="Arial"/>
            <w:szCs w:val="20"/>
          </w:rPr>
          <w:t>investissement</w:t>
        </w:r>
      </w:hyperlink>
      <w:r w:rsidRPr="002416EE">
        <w:rPr>
          <w:rFonts w:cs="Arial"/>
          <w:szCs w:val="20"/>
        </w:rPr>
        <w:t xml:space="preserve"> comme outil pour construire des </w:t>
      </w:r>
      <w:hyperlink r:id="rId15" w:tooltip="Market economy" w:history="1">
        <w:r w:rsidRPr="002416EE">
          <w:rPr>
            <w:rFonts w:cs="Arial"/>
            <w:szCs w:val="20"/>
          </w:rPr>
          <w:t>économies de marché</w:t>
        </w:r>
      </w:hyperlink>
      <w:r w:rsidRPr="00277C14">
        <w:rPr>
          <w:rFonts w:cs="Arial"/>
          <w:szCs w:val="20"/>
        </w:rPr>
        <w:t xml:space="preserve">. Des représentants de la BERD participent régulièrement aux réunions de MONEYVAL et ont informé l'assemblée plénière des développements en cours. </w:t>
      </w:r>
    </w:p>
    <w:p w14:paraId="71C175C1" w14:textId="77777777" w:rsidR="00333228" w:rsidRPr="00277C14" w:rsidRDefault="00333228" w:rsidP="00333228">
      <w:pPr>
        <w:rPr>
          <w:rFonts w:cs="Arial"/>
          <w:szCs w:val="20"/>
        </w:rPr>
      </w:pPr>
    </w:p>
    <w:p w14:paraId="25CF624E" w14:textId="7E1E611D" w:rsidR="00333228" w:rsidRDefault="00333228" w:rsidP="00333228">
      <w:pPr>
        <w:rPr>
          <w:rFonts w:cs="Arial"/>
          <w:szCs w:val="20"/>
        </w:rPr>
      </w:pPr>
      <w:r w:rsidRPr="002416EE">
        <w:rPr>
          <w:rFonts w:cs="Arial"/>
          <w:szCs w:val="20"/>
        </w:rPr>
        <w:t xml:space="preserve">Le </w:t>
      </w:r>
      <w:r w:rsidRPr="002416EE">
        <w:rPr>
          <w:rFonts w:cs="Arial"/>
          <w:b/>
          <w:bCs/>
          <w:szCs w:val="20"/>
        </w:rPr>
        <w:t xml:space="preserve">Groupe des superviseurs des centres financiers internationaux (GIFCS) </w:t>
      </w:r>
      <w:r w:rsidRPr="00F9691A">
        <w:rPr>
          <w:rFonts w:cs="Arial"/>
          <w:szCs w:val="20"/>
        </w:rPr>
        <w:t>est</w:t>
      </w:r>
      <w:r w:rsidRPr="002416EE">
        <w:rPr>
          <w:rFonts w:cs="Arial"/>
          <w:b/>
          <w:bCs/>
          <w:szCs w:val="20"/>
        </w:rPr>
        <w:t xml:space="preserve"> </w:t>
      </w:r>
      <w:r w:rsidRPr="002416EE">
        <w:rPr>
          <w:rFonts w:cs="Arial"/>
          <w:szCs w:val="20"/>
        </w:rPr>
        <w:t>un groupe de superviseurs de services financiers établi de longue date, dont l'intérêt principal est de promouvoir l'adoption de normes réglementaires internationales, en particulier dans le domaine bancaire, fiduciaire</w:t>
      </w:r>
      <w:r w:rsidRPr="00277C14">
        <w:rPr>
          <w:rFonts w:cs="Arial"/>
          <w:szCs w:val="20"/>
        </w:rPr>
        <w:t xml:space="preserve"> et de la lutte contre le blanchiment </w:t>
      </w:r>
      <w:r w:rsidR="00C75445">
        <w:rPr>
          <w:rFonts w:cs="Arial"/>
          <w:szCs w:val="20"/>
        </w:rPr>
        <w:t>de capitaux</w:t>
      </w:r>
      <w:r w:rsidR="00C75445" w:rsidRPr="00277C14">
        <w:rPr>
          <w:rFonts w:cs="Arial"/>
          <w:szCs w:val="20"/>
        </w:rPr>
        <w:t xml:space="preserve"> </w:t>
      </w:r>
      <w:r w:rsidRPr="00277C14">
        <w:rPr>
          <w:rFonts w:cs="Arial"/>
          <w:szCs w:val="20"/>
        </w:rPr>
        <w:t>et le financement du terrorisme (LBC/FT). Des représentants du GIFCS ont participé régulièrement aux réunions de MONEYVAL et ont contribué à un certain nombre de discussions spécialisées.</w:t>
      </w:r>
    </w:p>
    <w:p w14:paraId="1FFB011C" w14:textId="77777777" w:rsidR="00333228" w:rsidRDefault="00333228" w:rsidP="00333228">
      <w:pPr>
        <w:rPr>
          <w:rFonts w:cs="Arial"/>
          <w:b/>
          <w:bCs/>
          <w:szCs w:val="20"/>
        </w:rPr>
      </w:pPr>
    </w:p>
    <w:p w14:paraId="7B66608A" w14:textId="77777777" w:rsidR="00333228" w:rsidRDefault="00333228" w:rsidP="00333228">
      <w:pPr>
        <w:rPr>
          <w:rFonts w:cs="Arial"/>
          <w:szCs w:val="20"/>
        </w:rPr>
      </w:pPr>
      <w:r w:rsidRPr="00277C14">
        <w:rPr>
          <w:rFonts w:cs="Arial"/>
          <w:b/>
          <w:bCs/>
          <w:szCs w:val="20"/>
        </w:rPr>
        <w:t xml:space="preserve">La Conférence des Parties à la STCE 198 : </w:t>
      </w:r>
      <w:r w:rsidRPr="00277C14">
        <w:rPr>
          <w:rFonts w:cs="Arial"/>
          <w:szCs w:val="20"/>
        </w:rPr>
        <w:t>La Convention du Conseil de l'Europe de 2005 relative au blanchiment, au dépistage, à la saisie et à la confiscation des produits du crime et au financement du terrorisme (ou Convention de Varsovie, STCE 198), qui est entrée en vigueur le 1er mai 2008, s'appuie sur le succès de la Convention de 1990 relative au blanchiment, au dépistage, à la saisie et à la confiscation des produits du crime (ou Convention de Strasbourg, STCE 141). La Convention de Varsovie est actuellement le seul traité international contraignant entièrement consacré à la lutte contre le blanchiment de capitaux et le financement du terrorisme. Elle couvre la prévention, la répression et la coopération internationale ainsi que la confiscation. Plus précisément, cet instrument :</w:t>
      </w:r>
    </w:p>
    <w:p w14:paraId="21929861" w14:textId="77777777" w:rsidR="00333228" w:rsidRPr="00277C14" w:rsidRDefault="00333228" w:rsidP="002E6C1B">
      <w:pPr>
        <w:rPr>
          <w:rFonts w:cs="Arial"/>
          <w:szCs w:val="20"/>
        </w:rPr>
      </w:pPr>
    </w:p>
    <w:p w14:paraId="0FEC79AA" w14:textId="2F456608" w:rsidR="00333228" w:rsidRDefault="00333228" w:rsidP="002E6C1B">
      <w:pPr>
        <w:numPr>
          <w:ilvl w:val="0"/>
          <w:numId w:val="32"/>
        </w:numPr>
        <w:rPr>
          <w:rFonts w:cs="Arial"/>
          <w:szCs w:val="20"/>
        </w:rPr>
      </w:pPr>
      <w:proofErr w:type="gramStart"/>
      <w:r w:rsidRPr="00277C14">
        <w:rPr>
          <w:rFonts w:cs="Arial"/>
          <w:szCs w:val="20"/>
        </w:rPr>
        <w:t>offre</w:t>
      </w:r>
      <w:proofErr w:type="gramEnd"/>
      <w:r w:rsidRPr="00277C14">
        <w:rPr>
          <w:rFonts w:cs="Arial"/>
          <w:szCs w:val="20"/>
        </w:rPr>
        <w:t xml:space="preserve"> aux États parties des possibilités accrues de poursuivre plus efficacement le blanchiment de capitaux et le financement du terrorisme ;</w:t>
      </w:r>
    </w:p>
    <w:p w14:paraId="14680B63" w14:textId="77777777" w:rsidR="002E6C1B" w:rsidRDefault="002E6C1B" w:rsidP="002E6C1B">
      <w:pPr>
        <w:ind w:left="720"/>
        <w:rPr>
          <w:rFonts w:cs="Arial"/>
          <w:szCs w:val="20"/>
        </w:rPr>
      </w:pPr>
    </w:p>
    <w:p w14:paraId="7E04199D" w14:textId="6C6BBFC3" w:rsidR="00333228" w:rsidRDefault="00333228" w:rsidP="002E6C1B">
      <w:pPr>
        <w:numPr>
          <w:ilvl w:val="0"/>
          <w:numId w:val="32"/>
        </w:numPr>
        <w:rPr>
          <w:rFonts w:cs="Arial"/>
          <w:szCs w:val="20"/>
        </w:rPr>
      </w:pPr>
      <w:proofErr w:type="gramStart"/>
      <w:r w:rsidRPr="00277C14">
        <w:rPr>
          <w:rFonts w:cs="Arial"/>
          <w:szCs w:val="20"/>
        </w:rPr>
        <w:t>dote</w:t>
      </w:r>
      <w:proofErr w:type="gramEnd"/>
      <w:r w:rsidRPr="00277C14">
        <w:rPr>
          <w:rFonts w:cs="Arial"/>
          <w:szCs w:val="20"/>
        </w:rPr>
        <w:t xml:space="preserve"> les États parties d'outils de confiscation supplémentaires pour priver les auteurs d'infractions des produits du crime ;</w:t>
      </w:r>
    </w:p>
    <w:p w14:paraId="7CA886FC" w14:textId="77777777" w:rsidR="002E6C1B" w:rsidRDefault="002E6C1B" w:rsidP="002E6C1B">
      <w:pPr>
        <w:rPr>
          <w:rFonts w:cs="Arial"/>
          <w:szCs w:val="20"/>
        </w:rPr>
      </w:pPr>
    </w:p>
    <w:p w14:paraId="7E579856" w14:textId="495BB50D" w:rsidR="00333228" w:rsidRDefault="00333228" w:rsidP="002E6C1B">
      <w:pPr>
        <w:numPr>
          <w:ilvl w:val="0"/>
          <w:numId w:val="32"/>
        </w:numPr>
        <w:rPr>
          <w:rFonts w:cs="Arial"/>
          <w:szCs w:val="20"/>
        </w:rPr>
      </w:pPr>
      <w:proofErr w:type="gramStart"/>
      <w:r w:rsidRPr="00277C14">
        <w:rPr>
          <w:rFonts w:cs="Arial"/>
          <w:szCs w:val="20"/>
        </w:rPr>
        <w:t>prévoit</w:t>
      </w:r>
      <w:proofErr w:type="gramEnd"/>
      <w:r w:rsidRPr="00277C14">
        <w:rPr>
          <w:rFonts w:cs="Arial"/>
          <w:szCs w:val="20"/>
        </w:rPr>
        <w:t xml:space="preserve"> d'importants pouvoirs d'enquête, y compris des mesures d'accès aux informations bancaires pour les enquêtes nationales et à des fins de coopération internationale ;</w:t>
      </w:r>
    </w:p>
    <w:p w14:paraId="5E3D8A7D" w14:textId="77777777" w:rsidR="002E6C1B" w:rsidRDefault="002E6C1B" w:rsidP="002E6C1B">
      <w:pPr>
        <w:rPr>
          <w:rFonts w:cs="Arial"/>
          <w:szCs w:val="20"/>
        </w:rPr>
      </w:pPr>
    </w:p>
    <w:p w14:paraId="017C28A3" w14:textId="0AD50D6C" w:rsidR="00333228" w:rsidRDefault="00333228" w:rsidP="002E6C1B">
      <w:pPr>
        <w:numPr>
          <w:ilvl w:val="0"/>
          <w:numId w:val="32"/>
        </w:numPr>
        <w:rPr>
          <w:rFonts w:cs="Arial"/>
          <w:szCs w:val="20"/>
        </w:rPr>
      </w:pPr>
      <w:proofErr w:type="gramStart"/>
      <w:r w:rsidRPr="00277C14">
        <w:rPr>
          <w:rFonts w:cs="Arial"/>
          <w:szCs w:val="20"/>
        </w:rPr>
        <w:t>couvre</w:t>
      </w:r>
      <w:proofErr w:type="gramEnd"/>
      <w:r w:rsidRPr="00277C14">
        <w:rPr>
          <w:rFonts w:cs="Arial"/>
          <w:szCs w:val="20"/>
        </w:rPr>
        <w:t xml:space="preserve"> les mesures préventives, le rôle et les responsabilités des cellules de renseignement financier et les principes de la coopération internationale entre les cellules de renseignement financier ;</w:t>
      </w:r>
    </w:p>
    <w:p w14:paraId="2A70A71A" w14:textId="77777777" w:rsidR="002E6C1B" w:rsidRDefault="002E6C1B" w:rsidP="002E6C1B">
      <w:pPr>
        <w:rPr>
          <w:rFonts w:cs="Arial"/>
          <w:szCs w:val="20"/>
        </w:rPr>
      </w:pPr>
    </w:p>
    <w:p w14:paraId="132F9F67" w14:textId="77777777" w:rsidR="00333228" w:rsidRDefault="00333228" w:rsidP="002E6C1B">
      <w:pPr>
        <w:numPr>
          <w:ilvl w:val="0"/>
          <w:numId w:val="32"/>
        </w:numPr>
        <w:rPr>
          <w:rFonts w:cs="Arial"/>
          <w:szCs w:val="20"/>
        </w:rPr>
      </w:pPr>
      <w:proofErr w:type="gramStart"/>
      <w:r w:rsidRPr="00277C14">
        <w:rPr>
          <w:rFonts w:cs="Arial"/>
          <w:szCs w:val="20"/>
        </w:rPr>
        <w:t>couvre</w:t>
      </w:r>
      <w:proofErr w:type="gramEnd"/>
      <w:r w:rsidRPr="00277C14">
        <w:rPr>
          <w:rFonts w:cs="Arial"/>
          <w:szCs w:val="20"/>
        </w:rPr>
        <w:t xml:space="preserve"> les principes selon lesquels la coopération judiciaire internationale devrait fonctionner entre les États parties.</w:t>
      </w:r>
    </w:p>
    <w:p w14:paraId="2502F003" w14:textId="77777777" w:rsidR="00333228" w:rsidRPr="00277C14" w:rsidRDefault="00333228" w:rsidP="002E6C1B">
      <w:pPr>
        <w:ind w:left="720"/>
        <w:rPr>
          <w:rFonts w:cs="Arial"/>
          <w:szCs w:val="20"/>
        </w:rPr>
      </w:pPr>
    </w:p>
    <w:p w14:paraId="7CBE6DE7" w14:textId="3D001EF1" w:rsidR="00333228" w:rsidRDefault="00333228" w:rsidP="002E6C1B">
      <w:pPr>
        <w:rPr>
          <w:rFonts w:cs="Arial"/>
          <w:szCs w:val="20"/>
        </w:rPr>
      </w:pPr>
      <w:r w:rsidRPr="001E39B9">
        <w:rPr>
          <w:rFonts w:cs="Arial"/>
          <w:szCs w:val="20"/>
        </w:rPr>
        <w:t xml:space="preserve">La convention de Varsovie compte à ce jour </w:t>
      </w:r>
      <w:r w:rsidR="00A57074">
        <w:rPr>
          <w:rFonts w:cs="Arial"/>
          <w:szCs w:val="20"/>
        </w:rPr>
        <w:t xml:space="preserve">39 </w:t>
      </w:r>
      <w:r w:rsidRPr="001E39B9">
        <w:rPr>
          <w:rFonts w:cs="Arial"/>
          <w:szCs w:val="20"/>
        </w:rPr>
        <w:t xml:space="preserve">États parties et </w:t>
      </w:r>
      <w:r w:rsidR="00A57074">
        <w:rPr>
          <w:rFonts w:cs="Arial"/>
          <w:szCs w:val="20"/>
        </w:rPr>
        <w:t>cinq</w:t>
      </w:r>
      <w:r w:rsidR="00A57074" w:rsidRPr="001E39B9">
        <w:rPr>
          <w:rFonts w:cs="Arial"/>
          <w:szCs w:val="20"/>
        </w:rPr>
        <w:t xml:space="preserve"> </w:t>
      </w:r>
      <w:r w:rsidRPr="001E39B9">
        <w:rPr>
          <w:rFonts w:cs="Arial"/>
          <w:szCs w:val="20"/>
        </w:rPr>
        <w:t>signataires (dont l'Union européenne).</w:t>
      </w:r>
      <w:r w:rsidRPr="00277C14">
        <w:rPr>
          <w:rFonts w:cs="Arial"/>
          <w:szCs w:val="20"/>
        </w:rPr>
        <w:t xml:space="preserve"> </w:t>
      </w:r>
    </w:p>
    <w:p w14:paraId="308B3210" w14:textId="77777777" w:rsidR="00333228" w:rsidRPr="00277C14" w:rsidRDefault="00333228" w:rsidP="002E6C1B">
      <w:pPr>
        <w:rPr>
          <w:rFonts w:cs="Arial"/>
          <w:szCs w:val="20"/>
        </w:rPr>
      </w:pPr>
    </w:p>
    <w:p w14:paraId="670C6AB3" w14:textId="36F0E35C" w:rsidR="00333228" w:rsidRDefault="00333228" w:rsidP="00333228">
      <w:pPr>
        <w:rPr>
          <w:rFonts w:cs="Arial"/>
          <w:szCs w:val="20"/>
        </w:rPr>
      </w:pPr>
      <w:r w:rsidRPr="00277C14">
        <w:rPr>
          <w:rFonts w:cs="Arial"/>
          <w:szCs w:val="20"/>
        </w:rPr>
        <w:t>La Convention de Varsovie prévoit un mécanisme de suivi par le biais d'une Conférence des Parties (C</w:t>
      </w:r>
      <w:r w:rsidR="00C75445">
        <w:rPr>
          <w:rFonts w:cs="Arial"/>
          <w:szCs w:val="20"/>
        </w:rPr>
        <w:t>d</w:t>
      </w:r>
      <w:r w:rsidRPr="00277C14">
        <w:rPr>
          <w:rFonts w:cs="Arial"/>
          <w:szCs w:val="20"/>
        </w:rPr>
        <w:t xml:space="preserve">P) afin de s'assurer que ses dispositions sont effectivement mises en œuvre. La procédure de suivi prévue par la Convention veille tout particulièrement à ne pas faire double emploi avec les travaux de MONEYVAL ou du GAFI. Le </w:t>
      </w:r>
      <w:r w:rsidR="00C75445">
        <w:rPr>
          <w:rFonts w:cs="Arial"/>
          <w:szCs w:val="20"/>
        </w:rPr>
        <w:t>S</w:t>
      </w:r>
      <w:r w:rsidRPr="00277C14">
        <w:rPr>
          <w:rFonts w:cs="Arial"/>
          <w:szCs w:val="20"/>
        </w:rPr>
        <w:t xml:space="preserve">ecrétaire exécutif de MONEYVAL est également le </w:t>
      </w:r>
      <w:r w:rsidR="00C75445">
        <w:rPr>
          <w:rFonts w:cs="Arial"/>
          <w:szCs w:val="20"/>
        </w:rPr>
        <w:t>S</w:t>
      </w:r>
      <w:r w:rsidRPr="00277C14">
        <w:rPr>
          <w:rFonts w:cs="Arial"/>
          <w:szCs w:val="20"/>
        </w:rPr>
        <w:t>ecrétaire exécutif de la C</w:t>
      </w:r>
      <w:r w:rsidR="00C75445">
        <w:rPr>
          <w:rFonts w:cs="Arial"/>
          <w:szCs w:val="20"/>
        </w:rPr>
        <w:t>d</w:t>
      </w:r>
      <w:r w:rsidRPr="00277C14">
        <w:rPr>
          <w:rFonts w:cs="Arial"/>
          <w:szCs w:val="20"/>
        </w:rPr>
        <w:t>P, en raison de la pertinence et de l'interconnexion du mandat de la C</w:t>
      </w:r>
      <w:r w:rsidR="00C75445">
        <w:rPr>
          <w:rFonts w:cs="Arial"/>
          <w:szCs w:val="20"/>
        </w:rPr>
        <w:t>d</w:t>
      </w:r>
      <w:r w:rsidRPr="00277C14">
        <w:rPr>
          <w:rFonts w:cs="Arial"/>
          <w:szCs w:val="20"/>
        </w:rPr>
        <w:t>P avec les travaux de MONEYVAL. De même, le personnel du secrétariat de MONEYVAL apporte un soutien total à la C</w:t>
      </w:r>
      <w:r w:rsidR="00C75445">
        <w:rPr>
          <w:rFonts w:cs="Arial"/>
          <w:szCs w:val="20"/>
        </w:rPr>
        <w:t>d</w:t>
      </w:r>
      <w:r w:rsidRPr="00277C14">
        <w:rPr>
          <w:rFonts w:cs="Arial"/>
          <w:szCs w:val="20"/>
        </w:rPr>
        <w:t>P.</w:t>
      </w:r>
    </w:p>
    <w:p w14:paraId="62663B87" w14:textId="77777777" w:rsidR="00333228" w:rsidRDefault="00333228" w:rsidP="00333228">
      <w:pPr>
        <w:rPr>
          <w:rFonts w:cs="Arial"/>
          <w:szCs w:val="20"/>
        </w:rPr>
      </w:pPr>
    </w:p>
    <w:p w14:paraId="07069678" w14:textId="77777777" w:rsidR="00333228" w:rsidRPr="00333228" w:rsidRDefault="00333228" w:rsidP="002E6C1B">
      <w:pPr>
        <w:pStyle w:val="Heading1"/>
        <w:numPr>
          <w:ilvl w:val="0"/>
          <w:numId w:val="35"/>
        </w:numPr>
        <w:spacing w:before="0"/>
        <w:ind w:left="720" w:hanging="720"/>
        <w:rPr>
          <w:rFonts w:ascii="Arial" w:eastAsiaTheme="minorHAnsi" w:hAnsi="Arial" w:cs="Times New Roman"/>
          <w:b/>
          <w:bCs/>
          <w:color w:val="auto"/>
          <w:kern w:val="28"/>
          <w:sz w:val="20"/>
          <w:szCs w:val="20"/>
          <w:lang w:val="fr-FR"/>
        </w:rPr>
      </w:pPr>
      <w:bookmarkStart w:id="181" w:name="_Toc132203764"/>
      <w:bookmarkStart w:id="182" w:name="_Toc135412710"/>
      <w:r w:rsidRPr="00333228">
        <w:rPr>
          <w:rFonts w:ascii="Arial" w:eastAsiaTheme="minorHAnsi" w:hAnsi="Arial" w:cs="Times New Roman"/>
          <w:b/>
          <w:bCs/>
          <w:color w:val="auto"/>
          <w:kern w:val="28"/>
          <w:sz w:val="20"/>
          <w:szCs w:val="20"/>
          <w:lang w:val="fr-FR"/>
        </w:rPr>
        <w:t>ENGAGEMENT AU SEIN DU CONSEIL DE L'EUROPE</w:t>
      </w:r>
      <w:bookmarkEnd w:id="181"/>
      <w:bookmarkEnd w:id="182"/>
    </w:p>
    <w:p w14:paraId="22C726B4" w14:textId="77777777" w:rsidR="00333228" w:rsidRDefault="00333228" w:rsidP="00333228">
      <w:pPr>
        <w:rPr>
          <w:rFonts w:cs="Arial"/>
          <w:szCs w:val="20"/>
        </w:rPr>
      </w:pPr>
    </w:p>
    <w:p w14:paraId="4D248834" w14:textId="6630A975" w:rsidR="00333228" w:rsidRDefault="00333228" w:rsidP="00333228">
      <w:pPr>
        <w:rPr>
          <w:rFonts w:cs="Arial"/>
          <w:szCs w:val="20"/>
        </w:rPr>
      </w:pPr>
      <w:r w:rsidRPr="00537726">
        <w:rPr>
          <w:rFonts w:cs="Arial"/>
          <w:szCs w:val="20"/>
        </w:rPr>
        <w:t xml:space="preserve">L'engagement auprès </w:t>
      </w:r>
      <w:r>
        <w:rPr>
          <w:rFonts w:cs="Arial"/>
          <w:szCs w:val="20"/>
        </w:rPr>
        <w:t xml:space="preserve">des </w:t>
      </w:r>
      <w:r w:rsidRPr="00537726">
        <w:rPr>
          <w:rFonts w:cs="Arial"/>
          <w:szCs w:val="20"/>
        </w:rPr>
        <w:t>organes du Conseil de l'Europe est une priorité clé dans le travail de MONEYVAL. Au cours de l'année 202</w:t>
      </w:r>
      <w:r w:rsidR="00F9691A">
        <w:rPr>
          <w:rFonts w:cs="Arial"/>
          <w:szCs w:val="20"/>
        </w:rPr>
        <w:t>2</w:t>
      </w:r>
      <w:r>
        <w:rPr>
          <w:rFonts w:cs="Arial"/>
          <w:szCs w:val="20"/>
        </w:rPr>
        <w:t xml:space="preserve">, </w:t>
      </w:r>
      <w:r w:rsidRPr="00537726">
        <w:rPr>
          <w:rFonts w:cs="Arial"/>
          <w:szCs w:val="20"/>
        </w:rPr>
        <w:t xml:space="preserve">MONEYVAL </w:t>
      </w:r>
      <w:r w:rsidR="00F9691A">
        <w:rPr>
          <w:rFonts w:cs="Arial"/>
          <w:szCs w:val="20"/>
        </w:rPr>
        <w:t xml:space="preserve">a collaboré avec les </w:t>
      </w:r>
      <w:r w:rsidRPr="00537726">
        <w:rPr>
          <w:rFonts w:cs="Arial"/>
          <w:szCs w:val="20"/>
        </w:rPr>
        <w:t>organes suivants du Conseil de l'Europe :</w:t>
      </w:r>
    </w:p>
    <w:p w14:paraId="0D8A114E" w14:textId="77777777" w:rsidR="00333228" w:rsidRPr="00537726" w:rsidRDefault="00333228" w:rsidP="00333228">
      <w:pPr>
        <w:rPr>
          <w:rFonts w:cs="Arial"/>
          <w:szCs w:val="20"/>
        </w:rPr>
      </w:pPr>
    </w:p>
    <w:p w14:paraId="04C68BB8" w14:textId="77777777" w:rsidR="00333228" w:rsidRDefault="00333228" w:rsidP="00333228">
      <w:pPr>
        <w:rPr>
          <w:rFonts w:cs="Arial"/>
          <w:i/>
          <w:iCs/>
          <w:szCs w:val="20"/>
        </w:rPr>
      </w:pPr>
      <w:bookmarkStart w:id="183" w:name="_Toc89769356"/>
      <w:r w:rsidRPr="00537726">
        <w:rPr>
          <w:rFonts w:cs="Arial"/>
          <w:i/>
          <w:iCs/>
          <w:szCs w:val="20"/>
        </w:rPr>
        <w:t>Assemblée parlementaire du Conseil de l'Europe (APCE)</w:t>
      </w:r>
      <w:bookmarkEnd w:id="183"/>
    </w:p>
    <w:p w14:paraId="4FEAD607" w14:textId="77777777" w:rsidR="00333228" w:rsidRPr="00537726" w:rsidRDefault="00333228" w:rsidP="00333228">
      <w:pPr>
        <w:rPr>
          <w:rFonts w:cs="Arial"/>
          <w:szCs w:val="20"/>
        </w:rPr>
      </w:pPr>
    </w:p>
    <w:p w14:paraId="7F21AF9E" w14:textId="524F07FA" w:rsidR="00333228" w:rsidRDefault="00333228" w:rsidP="00333228">
      <w:pPr>
        <w:rPr>
          <w:rFonts w:cs="Arial"/>
          <w:szCs w:val="20"/>
        </w:rPr>
      </w:pPr>
      <w:r w:rsidRPr="00537726">
        <w:rPr>
          <w:rFonts w:cs="Arial"/>
          <w:szCs w:val="20"/>
        </w:rPr>
        <w:t xml:space="preserve">L'APCE est un partenaire important pour MONEYVAL en raison de l'attention qu'elle porte au thème du blanchiment </w:t>
      </w:r>
      <w:r w:rsidR="00C75445">
        <w:rPr>
          <w:rFonts w:cs="Arial"/>
          <w:szCs w:val="20"/>
        </w:rPr>
        <w:t>de capitaux</w:t>
      </w:r>
      <w:r w:rsidR="00C75445" w:rsidRPr="00537726">
        <w:rPr>
          <w:rFonts w:cs="Arial"/>
          <w:szCs w:val="20"/>
        </w:rPr>
        <w:t xml:space="preserve"> </w:t>
      </w:r>
      <w:r w:rsidRPr="00537726">
        <w:rPr>
          <w:rFonts w:cs="Arial"/>
          <w:szCs w:val="20"/>
        </w:rPr>
        <w:t xml:space="preserve">et de l'effet public des discussions parlementaires. </w:t>
      </w:r>
      <w:r>
        <w:rPr>
          <w:rFonts w:cs="Arial"/>
          <w:szCs w:val="20"/>
        </w:rPr>
        <w:t xml:space="preserve">Le </w:t>
      </w:r>
      <w:r w:rsidRPr="00537726">
        <w:rPr>
          <w:rFonts w:cs="Arial"/>
          <w:szCs w:val="20"/>
        </w:rPr>
        <w:t xml:space="preserve">dialogue avec l'APCE renforce la position institutionnelle de MONEYVAL à l'intérieur </w:t>
      </w:r>
      <w:r>
        <w:rPr>
          <w:rFonts w:cs="Arial"/>
          <w:szCs w:val="20"/>
        </w:rPr>
        <w:t>et à l'extérieur du Conseil de l'Europe</w:t>
      </w:r>
      <w:r w:rsidRPr="00537726">
        <w:rPr>
          <w:rFonts w:cs="Arial"/>
          <w:szCs w:val="20"/>
        </w:rPr>
        <w:t xml:space="preserve">. Les </w:t>
      </w:r>
      <w:r>
        <w:rPr>
          <w:rFonts w:cs="Arial"/>
          <w:szCs w:val="20"/>
        </w:rPr>
        <w:t xml:space="preserve">échanges </w:t>
      </w:r>
      <w:r w:rsidRPr="00537726">
        <w:rPr>
          <w:rFonts w:cs="Arial"/>
          <w:szCs w:val="20"/>
        </w:rPr>
        <w:t xml:space="preserve">sur les priorités et les références mutuelles facilitent grandement la promotion des objectifs de MONEYVAL, y compris au niveau du GAFI, </w:t>
      </w:r>
      <w:r>
        <w:rPr>
          <w:rFonts w:cs="Arial"/>
          <w:szCs w:val="20"/>
        </w:rPr>
        <w:t xml:space="preserve">ainsi que </w:t>
      </w:r>
      <w:r w:rsidRPr="00537726">
        <w:rPr>
          <w:rFonts w:cs="Arial"/>
          <w:szCs w:val="20"/>
        </w:rPr>
        <w:t xml:space="preserve">dans les médias internationaux. </w:t>
      </w:r>
    </w:p>
    <w:p w14:paraId="4A5B41E0" w14:textId="77777777" w:rsidR="00333228" w:rsidRPr="00537726" w:rsidRDefault="00333228" w:rsidP="00333228">
      <w:pPr>
        <w:rPr>
          <w:rFonts w:cs="Arial"/>
          <w:szCs w:val="20"/>
        </w:rPr>
      </w:pPr>
    </w:p>
    <w:p w14:paraId="29FB036C" w14:textId="2833B529" w:rsidR="00333228" w:rsidRDefault="00333228" w:rsidP="00333228">
      <w:pPr>
        <w:rPr>
          <w:rFonts w:cs="Arial"/>
          <w:szCs w:val="20"/>
        </w:rPr>
      </w:pPr>
      <w:r w:rsidRPr="00537726">
        <w:rPr>
          <w:rFonts w:cs="Arial"/>
          <w:szCs w:val="20"/>
        </w:rPr>
        <w:t xml:space="preserve">En </w:t>
      </w:r>
      <w:r>
        <w:rPr>
          <w:rFonts w:cs="Arial"/>
          <w:szCs w:val="20"/>
        </w:rPr>
        <w:t>2022, l'APCE</w:t>
      </w:r>
      <w:r w:rsidRPr="00537726">
        <w:rPr>
          <w:rFonts w:cs="Arial"/>
          <w:szCs w:val="20"/>
        </w:rPr>
        <w:t xml:space="preserve"> a publié une résolution spécifique sur </w:t>
      </w:r>
      <w:r>
        <w:rPr>
          <w:rFonts w:cs="Arial"/>
          <w:szCs w:val="20"/>
        </w:rPr>
        <w:t>le</w:t>
      </w:r>
      <w:r w:rsidRPr="00537726">
        <w:rPr>
          <w:rFonts w:cs="Arial"/>
          <w:szCs w:val="20"/>
        </w:rPr>
        <w:t xml:space="preserve"> thème </w:t>
      </w:r>
      <w:r>
        <w:rPr>
          <w:rFonts w:cs="Arial"/>
          <w:szCs w:val="20"/>
        </w:rPr>
        <w:t xml:space="preserve">du recouvrement des avoirs et de l'utilisation des avoirs confisqués à des fins sociales, qui est très pertinent dans le contexte de la </w:t>
      </w:r>
      <w:r w:rsidR="00C75445">
        <w:rPr>
          <w:rFonts w:cs="Arial"/>
          <w:szCs w:val="20"/>
        </w:rPr>
        <w:t>LBC/FT</w:t>
      </w:r>
      <w:r>
        <w:rPr>
          <w:rFonts w:cs="Arial"/>
          <w:szCs w:val="20"/>
        </w:rPr>
        <w:t xml:space="preserve">. </w:t>
      </w:r>
    </w:p>
    <w:p w14:paraId="1DBEFFEE" w14:textId="77777777" w:rsidR="00333228" w:rsidRPr="00537726" w:rsidRDefault="00333228" w:rsidP="00333228">
      <w:pPr>
        <w:rPr>
          <w:rFonts w:cs="Arial"/>
          <w:szCs w:val="20"/>
        </w:rPr>
      </w:pPr>
    </w:p>
    <w:p w14:paraId="1E19BD38" w14:textId="77777777" w:rsidR="002E6C1B" w:rsidRDefault="002E6C1B">
      <w:pPr>
        <w:rPr>
          <w:rFonts w:cs="Arial"/>
          <w:i/>
          <w:iCs/>
          <w:szCs w:val="20"/>
        </w:rPr>
      </w:pPr>
      <w:r>
        <w:rPr>
          <w:rFonts w:cs="Arial"/>
          <w:i/>
          <w:iCs/>
          <w:szCs w:val="20"/>
        </w:rPr>
        <w:br w:type="page"/>
      </w:r>
    </w:p>
    <w:p w14:paraId="436D220E" w14:textId="44E4F1B6" w:rsidR="00333228" w:rsidRDefault="00333228" w:rsidP="00333228">
      <w:pPr>
        <w:rPr>
          <w:rFonts w:cs="Arial"/>
          <w:i/>
          <w:iCs/>
          <w:szCs w:val="20"/>
        </w:rPr>
      </w:pPr>
      <w:r w:rsidRPr="00537726">
        <w:rPr>
          <w:rFonts w:cs="Arial"/>
          <w:i/>
          <w:iCs/>
          <w:szCs w:val="20"/>
        </w:rPr>
        <w:lastRenderedPageBreak/>
        <w:t>Organes sectoriels</w:t>
      </w:r>
    </w:p>
    <w:p w14:paraId="4CC04FB2" w14:textId="77777777" w:rsidR="00333228" w:rsidRPr="00537726" w:rsidRDefault="00333228" w:rsidP="00333228">
      <w:pPr>
        <w:rPr>
          <w:rFonts w:cs="Arial"/>
          <w:szCs w:val="20"/>
        </w:rPr>
      </w:pPr>
    </w:p>
    <w:p w14:paraId="08BE4CFD" w14:textId="070C6E5E" w:rsidR="00333228" w:rsidRDefault="00333228" w:rsidP="00333228">
      <w:pPr>
        <w:rPr>
          <w:rFonts w:cs="Arial"/>
          <w:szCs w:val="20"/>
        </w:rPr>
      </w:pPr>
      <w:r>
        <w:rPr>
          <w:rFonts w:cs="Arial"/>
          <w:szCs w:val="20"/>
        </w:rPr>
        <w:t xml:space="preserve">Les contacts </w:t>
      </w:r>
      <w:r w:rsidRPr="00537726">
        <w:rPr>
          <w:rFonts w:cs="Arial"/>
          <w:szCs w:val="20"/>
        </w:rPr>
        <w:t xml:space="preserve">avec les différents organes sectoriels du </w:t>
      </w:r>
      <w:r>
        <w:rPr>
          <w:rFonts w:cs="Arial"/>
          <w:szCs w:val="20"/>
        </w:rPr>
        <w:t xml:space="preserve">Conseil de l'Europe </w:t>
      </w:r>
      <w:r w:rsidRPr="00537726">
        <w:rPr>
          <w:rFonts w:cs="Arial"/>
          <w:szCs w:val="20"/>
        </w:rPr>
        <w:t xml:space="preserve">permettent à MONEYVAL d'impliquer des partenaires internes dans la </w:t>
      </w:r>
      <w:r w:rsidR="007C11A2">
        <w:rPr>
          <w:rFonts w:cs="Arial"/>
          <w:szCs w:val="20"/>
        </w:rPr>
        <w:t>LBC/FT</w:t>
      </w:r>
      <w:r w:rsidRPr="00537726">
        <w:rPr>
          <w:rFonts w:cs="Arial"/>
          <w:szCs w:val="20"/>
        </w:rPr>
        <w:t xml:space="preserve"> </w:t>
      </w:r>
      <w:r>
        <w:rPr>
          <w:rFonts w:cs="Arial"/>
          <w:szCs w:val="20"/>
        </w:rPr>
        <w:t>et d'</w:t>
      </w:r>
      <w:r w:rsidRPr="00537726">
        <w:rPr>
          <w:rFonts w:cs="Arial"/>
          <w:szCs w:val="20"/>
        </w:rPr>
        <w:t>apporter son expertise sur des sujets d'</w:t>
      </w:r>
      <w:r>
        <w:rPr>
          <w:rFonts w:cs="Arial"/>
          <w:szCs w:val="20"/>
        </w:rPr>
        <w:t>intérêt commun</w:t>
      </w:r>
      <w:r w:rsidRPr="00537726">
        <w:rPr>
          <w:rFonts w:cs="Arial"/>
          <w:szCs w:val="20"/>
        </w:rPr>
        <w:t xml:space="preserve">, </w:t>
      </w:r>
      <w:r>
        <w:rPr>
          <w:rFonts w:cs="Arial"/>
          <w:szCs w:val="20"/>
        </w:rPr>
        <w:t xml:space="preserve">puis de </w:t>
      </w:r>
      <w:r w:rsidRPr="00537726">
        <w:rPr>
          <w:rFonts w:cs="Arial"/>
          <w:szCs w:val="20"/>
        </w:rPr>
        <w:t xml:space="preserve">tirer parti de ces partenariats internes dans le cadre de nos engagements avec le GAFI et le réseau mondial. </w:t>
      </w:r>
    </w:p>
    <w:p w14:paraId="079C39EA" w14:textId="77777777" w:rsidR="00333228" w:rsidRDefault="00333228" w:rsidP="00333228">
      <w:pPr>
        <w:rPr>
          <w:rFonts w:cs="Arial"/>
          <w:szCs w:val="20"/>
        </w:rPr>
      </w:pPr>
    </w:p>
    <w:p w14:paraId="0F667BBC" w14:textId="2DDFB6E5" w:rsidR="00333228" w:rsidRDefault="007C11A2" w:rsidP="00333228">
      <w:pPr>
        <w:rPr>
          <w:rFonts w:cs="Arial"/>
          <w:szCs w:val="20"/>
        </w:rPr>
      </w:pPr>
      <w:r>
        <w:rPr>
          <w:rFonts w:cs="Arial"/>
          <w:szCs w:val="20"/>
        </w:rPr>
        <w:t>En</w:t>
      </w:r>
      <w:r w:rsidRPr="00537726">
        <w:rPr>
          <w:rFonts w:cs="Arial"/>
          <w:szCs w:val="20"/>
        </w:rPr>
        <w:t xml:space="preserve"> </w:t>
      </w:r>
      <w:r w:rsidR="00333228">
        <w:rPr>
          <w:rFonts w:cs="Arial"/>
          <w:szCs w:val="20"/>
        </w:rPr>
        <w:t xml:space="preserve">2022, le </w:t>
      </w:r>
      <w:r w:rsidR="00333228" w:rsidRPr="00537726">
        <w:rPr>
          <w:rFonts w:cs="Arial"/>
          <w:szCs w:val="20"/>
        </w:rPr>
        <w:t xml:space="preserve">Secrétariat de MONEYVAL </w:t>
      </w:r>
      <w:r w:rsidR="00F9691A">
        <w:rPr>
          <w:rFonts w:cs="Arial"/>
          <w:szCs w:val="20"/>
        </w:rPr>
        <w:t xml:space="preserve">a collaboré avec les </w:t>
      </w:r>
      <w:r w:rsidR="00333228" w:rsidRPr="00537726">
        <w:rPr>
          <w:rFonts w:cs="Arial"/>
          <w:szCs w:val="20"/>
        </w:rPr>
        <w:t xml:space="preserve">organes sectoriels </w:t>
      </w:r>
      <w:r w:rsidR="00F9691A">
        <w:rPr>
          <w:rFonts w:cs="Arial"/>
          <w:szCs w:val="20"/>
        </w:rPr>
        <w:t xml:space="preserve">et institutions </w:t>
      </w:r>
      <w:r w:rsidR="00333228" w:rsidRPr="00537726">
        <w:rPr>
          <w:rFonts w:cs="Arial"/>
          <w:szCs w:val="20"/>
        </w:rPr>
        <w:t>suivant</w:t>
      </w:r>
      <w:r w:rsidR="00F9691A">
        <w:rPr>
          <w:rFonts w:cs="Arial"/>
          <w:szCs w:val="20"/>
        </w:rPr>
        <w:t>e</w:t>
      </w:r>
      <w:r w:rsidR="00333228" w:rsidRPr="00537726">
        <w:rPr>
          <w:rFonts w:cs="Arial"/>
          <w:szCs w:val="20"/>
        </w:rPr>
        <w:t>s du Conseil de l'Europe :</w:t>
      </w:r>
    </w:p>
    <w:p w14:paraId="69A597D6" w14:textId="77777777" w:rsidR="00333228" w:rsidRPr="00537726" w:rsidRDefault="00333228" w:rsidP="00333228">
      <w:pPr>
        <w:rPr>
          <w:rFonts w:cs="Arial"/>
          <w:szCs w:val="20"/>
        </w:rPr>
      </w:pPr>
    </w:p>
    <w:p w14:paraId="10BEE3F5" w14:textId="1D87750F" w:rsidR="00333228" w:rsidRDefault="00333228" w:rsidP="00333228">
      <w:pPr>
        <w:numPr>
          <w:ilvl w:val="0"/>
          <w:numId w:val="38"/>
        </w:numPr>
        <w:rPr>
          <w:rFonts w:cs="Arial"/>
          <w:szCs w:val="20"/>
        </w:rPr>
      </w:pPr>
      <w:r w:rsidRPr="00537726">
        <w:rPr>
          <w:rFonts w:cs="Arial"/>
          <w:szCs w:val="20"/>
          <w:u w:val="single"/>
        </w:rPr>
        <w:t>Commission de Venise et Cour européenne des droits de l'homme (CEDH)</w:t>
      </w:r>
      <w:r w:rsidRPr="00F0657C">
        <w:rPr>
          <w:rFonts w:cs="Arial"/>
          <w:szCs w:val="20"/>
        </w:rPr>
        <w:t xml:space="preserve"> </w:t>
      </w:r>
      <w:r w:rsidRPr="00537726">
        <w:rPr>
          <w:rFonts w:cs="Arial"/>
          <w:szCs w:val="20"/>
        </w:rPr>
        <w:t xml:space="preserve">: engagement sur les conséquences </w:t>
      </w:r>
      <w:r w:rsidR="009B3A84">
        <w:rPr>
          <w:rFonts w:cs="Arial"/>
          <w:szCs w:val="20"/>
        </w:rPr>
        <w:t>non souhaitées</w:t>
      </w:r>
      <w:r w:rsidR="009B3A84" w:rsidRPr="00537726">
        <w:rPr>
          <w:rFonts w:cs="Arial"/>
          <w:szCs w:val="20"/>
        </w:rPr>
        <w:t xml:space="preserve"> </w:t>
      </w:r>
      <w:r w:rsidRPr="00537726">
        <w:rPr>
          <w:rFonts w:cs="Arial"/>
          <w:szCs w:val="20"/>
        </w:rPr>
        <w:t>des normes du GAFI. MONEYVAL a également facilité le dialogue entre la CV, la CEDH et le GAFI ;</w:t>
      </w:r>
    </w:p>
    <w:p w14:paraId="3757A4CA" w14:textId="77777777" w:rsidR="002E6C1B" w:rsidRDefault="002E6C1B" w:rsidP="002E6C1B">
      <w:pPr>
        <w:ind w:left="720"/>
        <w:rPr>
          <w:rFonts w:cs="Arial"/>
          <w:szCs w:val="20"/>
        </w:rPr>
      </w:pPr>
    </w:p>
    <w:p w14:paraId="063BE11C" w14:textId="3859B685" w:rsidR="00333228" w:rsidRDefault="00333228" w:rsidP="00333228">
      <w:pPr>
        <w:numPr>
          <w:ilvl w:val="0"/>
          <w:numId w:val="38"/>
        </w:numPr>
        <w:rPr>
          <w:rFonts w:cs="Arial"/>
          <w:szCs w:val="20"/>
        </w:rPr>
      </w:pPr>
      <w:r w:rsidRPr="00537726">
        <w:rPr>
          <w:rFonts w:cs="Arial"/>
          <w:szCs w:val="20"/>
          <w:u w:val="single"/>
        </w:rPr>
        <w:t>Comité consultatif sur la protection des données de la Convention 108</w:t>
      </w:r>
      <w:r w:rsidRPr="00F0657C">
        <w:rPr>
          <w:rFonts w:cs="Arial"/>
          <w:szCs w:val="20"/>
        </w:rPr>
        <w:t xml:space="preserve"> </w:t>
      </w:r>
      <w:r w:rsidRPr="00537726">
        <w:rPr>
          <w:rFonts w:cs="Arial"/>
          <w:szCs w:val="20"/>
        </w:rPr>
        <w:t xml:space="preserve">: engagement sur le projet de lignes directrices sur la protection des données dans le cadre de la lutte contre le blanchiment </w:t>
      </w:r>
      <w:r w:rsidR="009B3A84">
        <w:rPr>
          <w:rFonts w:cs="Arial"/>
          <w:szCs w:val="20"/>
        </w:rPr>
        <w:t>de capitaux</w:t>
      </w:r>
      <w:r w:rsidR="009B3A84" w:rsidRPr="00537726">
        <w:rPr>
          <w:rFonts w:cs="Arial"/>
          <w:szCs w:val="20"/>
        </w:rPr>
        <w:t xml:space="preserve"> </w:t>
      </w:r>
      <w:r w:rsidRPr="00537726">
        <w:rPr>
          <w:rFonts w:cs="Arial"/>
          <w:szCs w:val="20"/>
        </w:rPr>
        <w:t>et le financement du terrorisme, en cours d'élaboration par le C108. MONEYVAL a également facilité le dialogue entre le C108 et le GAFI ;</w:t>
      </w:r>
    </w:p>
    <w:p w14:paraId="64BBDDB0" w14:textId="77777777" w:rsidR="002E6C1B" w:rsidRDefault="002E6C1B" w:rsidP="002E6C1B">
      <w:pPr>
        <w:rPr>
          <w:rFonts w:cs="Arial"/>
          <w:szCs w:val="20"/>
        </w:rPr>
      </w:pPr>
    </w:p>
    <w:p w14:paraId="42379E01" w14:textId="790B0CA2" w:rsidR="00333228" w:rsidRDefault="00333228" w:rsidP="00333228">
      <w:pPr>
        <w:numPr>
          <w:ilvl w:val="0"/>
          <w:numId w:val="38"/>
        </w:numPr>
        <w:rPr>
          <w:rFonts w:cs="Arial"/>
          <w:szCs w:val="20"/>
        </w:rPr>
      </w:pPr>
      <w:r w:rsidRPr="00537726">
        <w:rPr>
          <w:rFonts w:cs="Arial"/>
          <w:szCs w:val="20"/>
          <w:u w:val="single"/>
        </w:rPr>
        <w:t>Comité de la Convention sur la cybercriminalité (TC-Y)</w:t>
      </w:r>
      <w:r w:rsidRPr="00F0657C">
        <w:rPr>
          <w:rFonts w:cs="Arial"/>
          <w:szCs w:val="20"/>
        </w:rPr>
        <w:t xml:space="preserve"> </w:t>
      </w:r>
      <w:r w:rsidRPr="00537726">
        <w:rPr>
          <w:rFonts w:cs="Arial"/>
          <w:szCs w:val="20"/>
        </w:rPr>
        <w:t xml:space="preserve">: MONEYVAL </w:t>
      </w:r>
      <w:r w:rsidR="006F0F5C">
        <w:rPr>
          <w:rFonts w:cs="Arial"/>
          <w:szCs w:val="20"/>
        </w:rPr>
        <w:t xml:space="preserve">a collaboré </w:t>
      </w:r>
      <w:r w:rsidRPr="00537726">
        <w:rPr>
          <w:rFonts w:cs="Arial"/>
          <w:szCs w:val="20"/>
        </w:rPr>
        <w:t>sur les questions de cybercriminalité avec le Secrétariat du T</w:t>
      </w:r>
      <w:r w:rsidR="009C7A55">
        <w:rPr>
          <w:rFonts w:cs="Arial"/>
          <w:szCs w:val="20"/>
        </w:rPr>
        <w:t>C</w:t>
      </w:r>
      <w:r w:rsidRPr="00537726">
        <w:rPr>
          <w:rFonts w:cs="Arial"/>
          <w:szCs w:val="20"/>
        </w:rPr>
        <w:t>-Y, qui a exprimé son intérêt à rejoindre le travail de typologie</w:t>
      </w:r>
      <w:r w:rsidR="006F0F5C">
        <w:rPr>
          <w:rFonts w:cs="Arial"/>
          <w:szCs w:val="20"/>
        </w:rPr>
        <w:t>s</w:t>
      </w:r>
      <w:r w:rsidRPr="00537726">
        <w:rPr>
          <w:rFonts w:cs="Arial"/>
          <w:szCs w:val="20"/>
        </w:rPr>
        <w:t xml:space="preserve"> du </w:t>
      </w:r>
      <w:r>
        <w:rPr>
          <w:rFonts w:cs="Arial"/>
          <w:szCs w:val="20"/>
        </w:rPr>
        <w:t xml:space="preserve">Conseil de l'Europe </w:t>
      </w:r>
      <w:r w:rsidRPr="00537726">
        <w:rPr>
          <w:rFonts w:cs="Arial"/>
          <w:szCs w:val="20"/>
        </w:rPr>
        <w:t xml:space="preserve">sur les crypto-monnaies. MONEYVAL a également facilité l'engagement entre le GAFI et le </w:t>
      </w:r>
      <w:r w:rsidR="009C7A55">
        <w:rPr>
          <w:rFonts w:cs="Arial"/>
          <w:szCs w:val="20"/>
        </w:rPr>
        <w:t>TC</w:t>
      </w:r>
      <w:r w:rsidRPr="00537726">
        <w:rPr>
          <w:rFonts w:cs="Arial"/>
          <w:szCs w:val="20"/>
        </w:rPr>
        <w:t>-Y ;</w:t>
      </w:r>
    </w:p>
    <w:p w14:paraId="37F09378" w14:textId="77777777" w:rsidR="002E6C1B" w:rsidRDefault="002E6C1B" w:rsidP="002E6C1B">
      <w:pPr>
        <w:rPr>
          <w:rFonts w:cs="Arial"/>
          <w:szCs w:val="20"/>
        </w:rPr>
      </w:pPr>
    </w:p>
    <w:p w14:paraId="6AB553FE" w14:textId="3826F4BE" w:rsidR="00333228" w:rsidRDefault="00333228" w:rsidP="00333228">
      <w:pPr>
        <w:numPr>
          <w:ilvl w:val="0"/>
          <w:numId w:val="38"/>
        </w:numPr>
        <w:rPr>
          <w:rFonts w:cs="Arial"/>
          <w:szCs w:val="20"/>
        </w:rPr>
      </w:pPr>
      <w:r w:rsidRPr="00537726">
        <w:rPr>
          <w:rFonts w:cs="Arial"/>
          <w:szCs w:val="20"/>
          <w:u w:val="single"/>
        </w:rPr>
        <w:t>Comité sur la lutte contre le terrorisme (CDCT)</w:t>
      </w:r>
      <w:r w:rsidRPr="00F0657C">
        <w:rPr>
          <w:rFonts w:cs="Arial"/>
          <w:szCs w:val="20"/>
        </w:rPr>
        <w:t xml:space="preserve"> </w:t>
      </w:r>
      <w:r w:rsidRPr="00537726">
        <w:rPr>
          <w:rFonts w:cs="Arial"/>
          <w:szCs w:val="20"/>
        </w:rPr>
        <w:t>: un groupe d'experts conjoint avec l</w:t>
      </w:r>
      <w:r w:rsidR="009B3A84">
        <w:rPr>
          <w:rFonts w:cs="Arial"/>
          <w:szCs w:val="20"/>
        </w:rPr>
        <w:t>a</w:t>
      </w:r>
      <w:r w:rsidRPr="00537726">
        <w:rPr>
          <w:rFonts w:cs="Arial"/>
          <w:szCs w:val="20"/>
        </w:rPr>
        <w:t xml:space="preserve"> C198-C</w:t>
      </w:r>
      <w:r w:rsidR="009B3A84">
        <w:rPr>
          <w:rFonts w:cs="Arial"/>
          <w:szCs w:val="20"/>
        </w:rPr>
        <w:t>d</w:t>
      </w:r>
      <w:r w:rsidRPr="00537726">
        <w:rPr>
          <w:rFonts w:cs="Arial"/>
          <w:szCs w:val="20"/>
        </w:rPr>
        <w:t xml:space="preserve">P et le CDCT a été mis en place pour étudier les modifications possibles des normes du </w:t>
      </w:r>
      <w:r>
        <w:rPr>
          <w:rFonts w:cs="Arial"/>
          <w:szCs w:val="20"/>
        </w:rPr>
        <w:t xml:space="preserve">Conseil de l'Europe en </w:t>
      </w:r>
      <w:r w:rsidRPr="00537726">
        <w:rPr>
          <w:rFonts w:cs="Arial"/>
          <w:szCs w:val="20"/>
        </w:rPr>
        <w:t xml:space="preserve">matière de lutte contre le terrorisme. </w:t>
      </w:r>
    </w:p>
    <w:p w14:paraId="496429FD" w14:textId="77777777" w:rsidR="00333228" w:rsidRPr="00537726" w:rsidRDefault="00333228" w:rsidP="00333228">
      <w:pPr>
        <w:rPr>
          <w:rFonts w:cs="Arial"/>
          <w:szCs w:val="20"/>
        </w:rPr>
      </w:pPr>
    </w:p>
    <w:p w14:paraId="22ABAC46" w14:textId="66CDCFDF" w:rsidR="00333228" w:rsidRDefault="00333228" w:rsidP="00333228">
      <w:pPr>
        <w:rPr>
          <w:rFonts w:cs="Arial"/>
          <w:szCs w:val="20"/>
        </w:rPr>
      </w:pPr>
      <w:r w:rsidRPr="00537726">
        <w:rPr>
          <w:rFonts w:cs="Arial"/>
          <w:szCs w:val="20"/>
        </w:rPr>
        <w:t xml:space="preserve">En outre, MONEYVAL explore les possibilités de partenariat avec </w:t>
      </w:r>
      <w:r>
        <w:rPr>
          <w:rFonts w:cs="Arial"/>
          <w:szCs w:val="20"/>
        </w:rPr>
        <w:t xml:space="preserve">le </w:t>
      </w:r>
      <w:r w:rsidRPr="00537726">
        <w:rPr>
          <w:rFonts w:cs="Arial"/>
          <w:szCs w:val="20"/>
          <w:u w:val="single"/>
        </w:rPr>
        <w:t>PC-</w:t>
      </w:r>
      <w:r w:rsidRPr="002416EE">
        <w:rPr>
          <w:rFonts w:cs="Arial"/>
          <w:szCs w:val="20"/>
          <w:u w:val="single"/>
        </w:rPr>
        <w:t>OC</w:t>
      </w:r>
      <w:r w:rsidRPr="00F0657C">
        <w:rPr>
          <w:rFonts w:cs="Arial"/>
          <w:szCs w:val="20"/>
        </w:rPr>
        <w:t xml:space="preserve"> </w:t>
      </w:r>
      <w:r w:rsidRPr="002416EE">
        <w:rPr>
          <w:rFonts w:cs="Arial"/>
          <w:szCs w:val="20"/>
        </w:rPr>
        <w:t xml:space="preserve">(Comité d'experts sur le fonctionnement des conventions européennes </w:t>
      </w:r>
      <w:r w:rsidR="002416EE" w:rsidRPr="00F9691A">
        <w:rPr>
          <w:rFonts w:cs="Arial"/>
          <w:szCs w:val="20"/>
        </w:rPr>
        <w:t>et sur la</w:t>
      </w:r>
      <w:r w:rsidR="002416EE" w:rsidRPr="002416EE">
        <w:rPr>
          <w:rFonts w:cs="Arial"/>
          <w:szCs w:val="20"/>
        </w:rPr>
        <w:t xml:space="preserve"> </w:t>
      </w:r>
      <w:r w:rsidRPr="002416EE">
        <w:rPr>
          <w:rFonts w:cs="Arial"/>
          <w:szCs w:val="20"/>
        </w:rPr>
        <w:t xml:space="preserve">coopération </w:t>
      </w:r>
      <w:r w:rsidR="002416EE" w:rsidRPr="00F9691A">
        <w:rPr>
          <w:rFonts w:cs="Arial"/>
          <w:szCs w:val="20"/>
        </w:rPr>
        <w:t>dans le domaine</w:t>
      </w:r>
      <w:r w:rsidRPr="002416EE">
        <w:rPr>
          <w:rFonts w:cs="Arial"/>
          <w:szCs w:val="20"/>
        </w:rPr>
        <w:t xml:space="preserve"> pénal) et le </w:t>
      </w:r>
      <w:r w:rsidRPr="002416EE">
        <w:rPr>
          <w:rFonts w:cs="Arial"/>
          <w:szCs w:val="20"/>
          <w:u w:val="single"/>
        </w:rPr>
        <w:t xml:space="preserve">Comité de suivi de la Convention de </w:t>
      </w:r>
      <w:proofErr w:type="spellStart"/>
      <w:r w:rsidRPr="002416EE">
        <w:rPr>
          <w:rFonts w:cs="Arial"/>
          <w:szCs w:val="20"/>
          <w:u w:val="single"/>
        </w:rPr>
        <w:t>Macolin</w:t>
      </w:r>
      <w:proofErr w:type="spellEnd"/>
      <w:r w:rsidRPr="00F0657C">
        <w:rPr>
          <w:rFonts w:cs="Arial"/>
          <w:szCs w:val="20"/>
        </w:rPr>
        <w:t xml:space="preserve"> </w:t>
      </w:r>
      <w:r w:rsidRPr="002416EE">
        <w:rPr>
          <w:rFonts w:cs="Arial"/>
          <w:szCs w:val="20"/>
        </w:rPr>
        <w:t>sur la manipulation des compétitions sportives (</w:t>
      </w:r>
      <w:r w:rsidR="009B3A84" w:rsidRPr="002416EE">
        <w:rPr>
          <w:rFonts w:cs="Arial"/>
          <w:szCs w:val="20"/>
        </w:rPr>
        <w:t xml:space="preserve">STCE </w:t>
      </w:r>
      <w:r w:rsidRPr="002416EE">
        <w:rPr>
          <w:rFonts w:cs="Arial"/>
          <w:szCs w:val="20"/>
        </w:rPr>
        <w:t xml:space="preserve">n° 215). Le Secrétariat de MONEYVAL entretient également des contacts de travail avec le Secrétariat du </w:t>
      </w:r>
      <w:r w:rsidRPr="002416EE">
        <w:rPr>
          <w:rFonts w:cs="Arial"/>
          <w:szCs w:val="20"/>
          <w:u w:val="single"/>
        </w:rPr>
        <w:t>GRECO</w:t>
      </w:r>
      <w:r w:rsidRPr="00F0657C">
        <w:rPr>
          <w:rFonts w:cs="Arial"/>
          <w:szCs w:val="20"/>
        </w:rPr>
        <w:t xml:space="preserve"> </w:t>
      </w:r>
      <w:r w:rsidRPr="002416EE">
        <w:rPr>
          <w:rFonts w:cs="Arial"/>
          <w:szCs w:val="20"/>
        </w:rPr>
        <w:t>sur toute question commune découlant du travail de suivi des organes.</w:t>
      </w:r>
      <w:r>
        <w:rPr>
          <w:rFonts w:cs="Arial"/>
          <w:szCs w:val="20"/>
        </w:rPr>
        <w:t xml:space="preserve"> </w:t>
      </w:r>
      <w:r w:rsidRPr="00537726">
        <w:rPr>
          <w:rFonts w:cs="Arial"/>
          <w:szCs w:val="20"/>
        </w:rPr>
        <w:t xml:space="preserve"> </w:t>
      </w:r>
    </w:p>
    <w:p w14:paraId="2EFCB958" w14:textId="77777777" w:rsidR="00333228" w:rsidRPr="00277C14" w:rsidRDefault="00333228" w:rsidP="00333228">
      <w:pPr>
        <w:rPr>
          <w:rFonts w:cs="Arial"/>
          <w:szCs w:val="20"/>
        </w:rPr>
      </w:pPr>
    </w:p>
    <w:p w14:paraId="305F3C7C" w14:textId="77777777" w:rsidR="00333228" w:rsidRDefault="00333228" w:rsidP="002E6C1B">
      <w:pPr>
        <w:pStyle w:val="Heading1"/>
        <w:numPr>
          <w:ilvl w:val="0"/>
          <w:numId w:val="35"/>
        </w:numPr>
        <w:spacing w:before="0"/>
        <w:ind w:left="720" w:hanging="720"/>
        <w:rPr>
          <w:rFonts w:ascii="Arial" w:eastAsiaTheme="minorHAnsi" w:hAnsi="Arial" w:cs="Times New Roman"/>
          <w:b/>
          <w:bCs/>
          <w:color w:val="auto"/>
          <w:kern w:val="28"/>
          <w:sz w:val="20"/>
          <w:szCs w:val="20"/>
        </w:rPr>
      </w:pPr>
      <w:bookmarkStart w:id="184" w:name="_Toc379211980"/>
      <w:bookmarkStart w:id="185" w:name="_Toc423609854"/>
      <w:bookmarkStart w:id="186" w:name="_Toc446602136"/>
      <w:bookmarkStart w:id="187" w:name="_Toc66712439"/>
      <w:bookmarkStart w:id="188" w:name="_Toc132203765"/>
      <w:bookmarkStart w:id="189" w:name="_Toc135412711"/>
      <w:r w:rsidRPr="005745B6">
        <w:rPr>
          <w:rFonts w:ascii="Arial" w:eastAsiaTheme="minorHAnsi" w:hAnsi="Arial" w:cs="Times New Roman"/>
          <w:b/>
          <w:bCs/>
          <w:color w:val="auto"/>
          <w:kern w:val="28"/>
          <w:sz w:val="20"/>
          <w:szCs w:val="20"/>
        </w:rPr>
        <w:t>RESSOURCES HUMAINES</w:t>
      </w:r>
      <w:bookmarkEnd w:id="184"/>
      <w:bookmarkEnd w:id="185"/>
      <w:bookmarkEnd w:id="186"/>
      <w:bookmarkEnd w:id="187"/>
      <w:bookmarkEnd w:id="188"/>
      <w:bookmarkEnd w:id="189"/>
    </w:p>
    <w:p w14:paraId="50A040E1" w14:textId="77777777" w:rsidR="00333228" w:rsidRPr="005745B6" w:rsidRDefault="00333228" w:rsidP="00333228"/>
    <w:p w14:paraId="2EE5DDCB" w14:textId="7BD4BECA" w:rsidR="00333228" w:rsidRDefault="00333228" w:rsidP="00333228">
      <w:pPr>
        <w:rPr>
          <w:rFonts w:cs="Arial"/>
          <w:szCs w:val="20"/>
        </w:rPr>
      </w:pPr>
      <w:r w:rsidRPr="00C43E5E">
        <w:rPr>
          <w:rFonts w:cs="Arial"/>
          <w:szCs w:val="20"/>
        </w:rPr>
        <w:t xml:space="preserve">A la </w:t>
      </w:r>
      <w:r>
        <w:rPr>
          <w:rFonts w:cs="Arial"/>
          <w:szCs w:val="20"/>
        </w:rPr>
        <w:t>fin de 2022</w:t>
      </w:r>
      <w:r w:rsidRPr="00277C14">
        <w:rPr>
          <w:rFonts w:cs="Arial"/>
          <w:szCs w:val="20"/>
        </w:rPr>
        <w:t xml:space="preserve">, le Secrétariat de MONEYVAL était composé du Secrétaire exécutif, du Secrétaire exécutif adjoint et de </w:t>
      </w:r>
      <w:r>
        <w:rPr>
          <w:rFonts w:cs="Arial"/>
          <w:szCs w:val="20"/>
        </w:rPr>
        <w:t>huit</w:t>
      </w:r>
      <w:r w:rsidRPr="00277C14">
        <w:rPr>
          <w:rFonts w:cs="Arial"/>
          <w:szCs w:val="20"/>
        </w:rPr>
        <w:t xml:space="preserve"> administrateurs du Conseil de l'Europe, </w:t>
      </w:r>
      <w:r>
        <w:rPr>
          <w:rFonts w:cs="Arial"/>
          <w:szCs w:val="20"/>
        </w:rPr>
        <w:t xml:space="preserve">cinq </w:t>
      </w:r>
      <w:r w:rsidRPr="00277C14">
        <w:rPr>
          <w:rFonts w:cs="Arial"/>
          <w:szCs w:val="20"/>
        </w:rPr>
        <w:t>administrateurs détachés des administrations nationales (</w:t>
      </w:r>
      <w:r>
        <w:rPr>
          <w:rFonts w:cs="Arial"/>
          <w:szCs w:val="20"/>
        </w:rPr>
        <w:t>Andorre,</w:t>
      </w:r>
      <w:r w:rsidRPr="00277C14">
        <w:rPr>
          <w:rFonts w:cs="Arial"/>
          <w:szCs w:val="20"/>
        </w:rPr>
        <w:t xml:space="preserve"> Arménie, </w:t>
      </w:r>
      <w:r>
        <w:rPr>
          <w:rFonts w:cs="Arial"/>
          <w:szCs w:val="20"/>
        </w:rPr>
        <w:t xml:space="preserve">Malte, Monténégro, </w:t>
      </w:r>
      <w:r w:rsidRPr="00277C14">
        <w:rPr>
          <w:rFonts w:cs="Arial"/>
          <w:szCs w:val="20"/>
        </w:rPr>
        <w:t>République de Mold</w:t>
      </w:r>
      <w:r w:rsidR="002F7D0A">
        <w:rPr>
          <w:rFonts w:cs="Arial"/>
          <w:szCs w:val="20"/>
        </w:rPr>
        <w:t>ova</w:t>
      </w:r>
      <w:r w:rsidRPr="00277C14">
        <w:rPr>
          <w:rFonts w:cs="Arial"/>
          <w:szCs w:val="20"/>
        </w:rPr>
        <w:t xml:space="preserve">), deux </w:t>
      </w:r>
      <w:r w:rsidR="009B3A84">
        <w:rPr>
          <w:rFonts w:cs="Arial"/>
          <w:szCs w:val="20"/>
        </w:rPr>
        <w:t>chargés</w:t>
      </w:r>
      <w:r w:rsidR="009B3A84" w:rsidRPr="00277C14">
        <w:rPr>
          <w:rFonts w:cs="Arial"/>
          <w:szCs w:val="20"/>
        </w:rPr>
        <w:t xml:space="preserve"> </w:t>
      </w:r>
      <w:r w:rsidRPr="00277C14">
        <w:rPr>
          <w:rFonts w:cs="Arial"/>
          <w:szCs w:val="20"/>
        </w:rPr>
        <w:t xml:space="preserve">de projet et quatre assistants administratifs. MONEYVAL tient à remercier chaleureusement les gouvernements des pays susmentionnés </w:t>
      </w:r>
      <w:r w:rsidR="002F7D0A">
        <w:rPr>
          <w:rFonts w:cs="Arial"/>
          <w:szCs w:val="20"/>
        </w:rPr>
        <w:t xml:space="preserve">pour leur soutien </w:t>
      </w:r>
      <w:r w:rsidR="009B3A84">
        <w:rPr>
          <w:rFonts w:cs="Arial"/>
          <w:szCs w:val="20"/>
        </w:rPr>
        <w:t>en</w:t>
      </w:r>
      <w:r w:rsidRPr="00277C14">
        <w:rPr>
          <w:rFonts w:cs="Arial"/>
          <w:szCs w:val="20"/>
        </w:rPr>
        <w:t xml:space="preserve"> 2022. </w:t>
      </w:r>
    </w:p>
    <w:p w14:paraId="437A775C" w14:textId="77777777" w:rsidR="00333228" w:rsidRPr="00277C14" w:rsidRDefault="00333228" w:rsidP="00333228">
      <w:pPr>
        <w:rPr>
          <w:rFonts w:cs="Arial"/>
          <w:szCs w:val="20"/>
        </w:rPr>
      </w:pPr>
    </w:p>
    <w:p w14:paraId="4C41CA41" w14:textId="77777777" w:rsidR="00333228" w:rsidRPr="00333228" w:rsidRDefault="00333228" w:rsidP="002E6C1B">
      <w:pPr>
        <w:pStyle w:val="Heading1"/>
        <w:numPr>
          <w:ilvl w:val="0"/>
          <w:numId w:val="35"/>
        </w:numPr>
        <w:spacing w:before="0"/>
        <w:ind w:left="720" w:hanging="720"/>
        <w:rPr>
          <w:rFonts w:ascii="Arial" w:eastAsiaTheme="minorHAnsi" w:hAnsi="Arial" w:cs="Times New Roman"/>
          <w:b/>
          <w:bCs/>
          <w:color w:val="auto"/>
          <w:kern w:val="28"/>
          <w:sz w:val="20"/>
          <w:szCs w:val="20"/>
          <w:lang w:val="fr-FR"/>
        </w:rPr>
      </w:pPr>
      <w:bookmarkStart w:id="190" w:name="_Toc66712440"/>
      <w:bookmarkStart w:id="191" w:name="_Toc132203766"/>
      <w:bookmarkStart w:id="192" w:name="_Toc135412712"/>
      <w:r w:rsidRPr="005745B6">
        <w:rPr>
          <w:rFonts w:ascii="Arial" w:eastAsiaTheme="minorHAnsi" w:hAnsi="Arial" w:cs="Times New Roman"/>
          <w:b/>
          <w:bCs/>
          <w:color w:val="auto"/>
          <w:kern w:val="28"/>
          <w:sz w:val="20"/>
          <w:szCs w:val="20"/>
          <w:lang w:val="fr-FR"/>
        </w:rPr>
        <w:t>CADRE DE GOUVERNANCE ET DE PROCÉDURE</w:t>
      </w:r>
      <w:bookmarkEnd w:id="190"/>
      <w:bookmarkEnd w:id="191"/>
      <w:bookmarkEnd w:id="192"/>
    </w:p>
    <w:p w14:paraId="12F9048B" w14:textId="77777777" w:rsidR="00333228" w:rsidRPr="005745B6" w:rsidRDefault="00333228" w:rsidP="00333228"/>
    <w:p w14:paraId="763015AB" w14:textId="4833557E" w:rsidR="00333228" w:rsidRDefault="00333228" w:rsidP="00333228">
      <w:pPr>
        <w:rPr>
          <w:rFonts w:cs="Arial"/>
          <w:szCs w:val="20"/>
        </w:rPr>
      </w:pPr>
      <w:r w:rsidRPr="00277C14">
        <w:rPr>
          <w:rFonts w:cs="Arial"/>
          <w:szCs w:val="20"/>
        </w:rPr>
        <w:t xml:space="preserve">Le Conseil de l'Europe a été la première organisation internationale à souligner l'importance de prendre des mesures pour lutter contre les menaces que représente le blanchiment </w:t>
      </w:r>
      <w:r w:rsidR="00AD2AE0">
        <w:rPr>
          <w:rFonts w:cs="Arial"/>
          <w:szCs w:val="20"/>
        </w:rPr>
        <w:t>de capitaux</w:t>
      </w:r>
      <w:r w:rsidR="00AD2AE0" w:rsidRPr="00277C14">
        <w:rPr>
          <w:rFonts w:cs="Arial"/>
          <w:szCs w:val="20"/>
        </w:rPr>
        <w:t xml:space="preserve"> </w:t>
      </w:r>
      <w:r w:rsidRPr="00277C14">
        <w:rPr>
          <w:rFonts w:cs="Arial"/>
          <w:szCs w:val="20"/>
        </w:rPr>
        <w:t xml:space="preserve">pour la démocratie et </w:t>
      </w:r>
      <w:proofErr w:type="spellStart"/>
      <w:r w:rsidRPr="00277C14">
        <w:rPr>
          <w:rFonts w:cs="Arial"/>
          <w:szCs w:val="20"/>
        </w:rPr>
        <w:t>la</w:t>
      </w:r>
      <w:proofErr w:type="spellEnd"/>
      <w:r w:rsidRPr="00277C14">
        <w:rPr>
          <w:rFonts w:cs="Arial"/>
          <w:szCs w:val="20"/>
        </w:rPr>
        <w:t xml:space="preserve"> </w:t>
      </w:r>
      <w:r w:rsidR="00AD2AE0">
        <w:rPr>
          <w:rFonts w:cs="Arial"/>
          <w:szCs w:val="20"/>
        </w:rPr>
        <w:t>l’</w:t>
      </w:r>
      <w:r w:rsidR="00D92C8A">
        <w:rPr>
          <w:rFonts w:cs="Arial"/>
          <w:szCs w:val="20"/>
        </w:rPr>
        <w:t>État</w:t>
      </w:r>
      <w:r w:rsidR="00AD2AE0" w:rsidRPr="00277C14">
        <w:rPr>
          <w:rFonts w:cs="Arial"/>
          <w:szCs w:val="20"/>
        </w:rPr>
        <w:t xml:space="preserve"> </w:t>
      </w:r>
      <w:r w:rsidR="00AD2AE0">
        <w:rPr>
          <w:rFonts w:cs="Arial"/>
          <w:szCs w:val="20"/>
        </w:rPr>
        <w:t>de</w:t>
      </w:r>
      <w:r w:rsidR="00AD2AE0" w:rsidRPr="00277C14">
        <w:rPr>
          <w:rFonts w:cs="Arial"/>
          <w:szCs w:val="20"/>
        </w:rPr>
        <w:t xml:space="preserve"> </w:t>
      </w:r>
      <w:r w:rsidRPr="00277C14">
        <w:rPr>
          <w:rFonts w:cs="Arial"/>
          <w:szCs w:val="20"/>
        </w:rPr>
        <w:t xml:space="preserve">droit. Les efforts du Conseil ont conduit à la création en 1997 du </w:t>
      </w:r>
      <w:r w:rsidRPr="00F9691A">
        <w:rPr>
          <w:rFonts w:cs="Arial"/>
          <w:szCs w:val="20"/>
        </w:rPr>
        <w:t>Comité restreint d'experts sur l'évaluation des mesures de lutte contre le blanchiment de capitaux (PC-R-EV),</w:t>
      </w:r>
      <w:r w:rsidRPr="00277C14">
        <w:rPr>
          <w:rFonts w:cs="Arial"/>
          <w:szCs w:val="20"/>
        </w:rPr>
        <w:t xml:space="preserve"> </w:t>
      </w:r>
      <w:r w:rsidR="007D6D14">
        <w:rPr>
          <w:rFonts w:cs="Arial"/>
          <w:szCs w:val="20"/>
        </w:rPr>
        <w:t>devenu</w:t>
      </w:r>
      <w:r w:rsidR="007D6D14" w:rsidRPr="00277C14">
        <w:rPr>
          <w:rFonts w:cs="Arial"/>
          <w:szCs w:val="20"/>
        </w:rPr>
        <w:t xml:space="preserve"> </w:t>
      </w:r>
      <w:r w:rsidRPr="00277C14">
        <w:rPr>
          <w:rFonts w:cs="Arial"/>
          <w:szCs w:val="20"/>
        </w:rPr>
        <w:t>par la suite</w:t>
      </w:r>
      <w:r w:rsidR="007D6D14">
        <w:rPr>
          <w:rFonts w:cs="Arial"/>
          <w:szCs w:val="20"/>
        </w:rPr>
        <w:t xml:space="preserve"> le</w:t>
      </w:r>
      <w:r w:rsidRPr="00277C14">
        <w:rPr>
          <w:rFonts w:cs="Arial"/>
          <w:szCs w:val="20"/>
        </w:rPr>
        <w:t xml:space="preserve"> Comité d'experts sur l'évaluation des mesures de lutte contre le blanchiment de capitaux et le financement du terrorisme (MONEYVAL). Après les attentats terroristes du 11 septembre 2001, le Comité a également commencé à appliquer des normes internationales destinées à lutter contre le financement du terrorisme.</w:t>
      </w:r>
    </w:p>
    <w:p w14:paraId="2DBC44C6" w14:textId="77777777" w:rsidR="00333228" w:rsidRPr="00277C14" w:rsidRDefault="00333228" w:rsidP="00333228">
      <w:pPr>
        <w:rPr>
          <w:rFonts w:cs="Arial"/>
          <w:szCs w:val="20"/>
        </w:rPr>
      </w:pPr>
    </w:p>
    <w:p w14:paraId="2AA718F4" w14:textId="77777777" w:rsidR="00333228" w:rsidRDefault="00333228" w:rsidP="00333228">
      <w:pPr>
        <w:rPr>
          <w:rFonts w:cs="Arial"/>
          <w:szCs w:val="20"/>
        </w:rPr>
      </w:pPr>
      <w:r w:rsidRPr="00277C14">
        <w:rPr>
          <w:rFonts w:cs="Arial"/>
          <w:szCs w:val="20"/>
        </w:rPr>
        <w:t xml:space="preserve">MONEYVAL est un mécanisme de suivi permanent du Conseil de l'Europe qui rend compte directement au Comité des Ministres. MONEYVAL est </w:t>
      </w:r>
      <w:r>
        <w:rPr>
          <w:rFonts w:cs="Arial"/>
          <w:szCs w:val="20"/>
        </w:rPr>
        <w:t xml:space="preserve">un </w:t>
      </w:r>
      <w:r w:rsidRPr="00277C14">
        <w:rPr>
          <w:rFonts w:cs="Arial"/>
          <w:szCs w:val="20"/>
        </w:rPr>
        <w:t>organe de suivi du Conseil de l'Europe chargé d'évaluer le respect des principales normes internationales en matière de lutte contre le blanchiment de capitaux et le financement du terrorisme et l'efficacité de leur mise en œuvre, ainsi que de formuler des recommandations aux autorités nationales concernant les améliorations à apporter à leurs systèmes.</w:t>
      </w:r>
    </w:p>
    <w:p w14:paraId="677504E2" w14:textId="77777777" w:rsidR="00333228" w:rsidRPr="00277C14" w:rsidRDefault="00333228" w:rsidP="00333228">
      <w:pPr>
        <w:rPr>
          <w:rFonts w:cs="Arial"/>
          <w:szCs w:val="20"/>
        </w:rPr>
      </w:pPr>
    </w:p>
    <w:p w14:paraId="6EB40150" w14:textId="77777777" w:rsidR="002E6C1B" w:rsidRDefault="002E6C1B">
      <w:pPr>
        <w:rPr>
          <w:rStyle w:val="Strong"/>
          <w:rFonts w:eastAsiaTheme="minorHAnsi" w:cs="Arial"/>
          <w:szCs w:val="20"/>
        </w:rPr>
      </w:pPr>
      <w:bookmarkStart w:id="193" w:name="_Toc379211901"/>
      <w:bookmarkStart w:id="194" w:name="_Toc446602095"/>
      <w:bookmarkStart w:id="195" w:name="_Toc66712441"/>
      <w:bookmarkStart w:id="196" w:name="_Toc93996557"/>
      <w:bookmarkStart w:id="197" w:name="_Toc94256542"/>
      <w:bookmarkStart w:id="198" w:name="_Toc135412713"/>
      <w:bookmarkStart w:id="199" w:name="_Toc346194306"/>
      <w:r>
        <w:rPr>
          <w:rStyle w:val="Strong"/>
          <w:rFonts w:eastAsiaTheme="minorHAnsi" w:cs="Arial"/>
          <w:szCs w:val="20"/>
        </w:rPr>
        <w:br w:type="page"/>
      </w:r>
    </w:p>
    <w:p w14:paraId="6AD84FCA" w14:textId="20581896" w:rsidR="00DF5B08" w:rsidRPr="00F935E7" w:rsidRDefault="00194B02" w:rsidP="00194B02">
      <w:pPr>
        <w:pStyle w:val="Heading2"/>
        <w:keepLines w:val="0"/>
        <w:spacing w:before="0"/>
        <w:ind w:right="680"/>
        <w:rPr>
          <w:rStyle w:val="Strong"/>
          <w:rFonts w:ascii="Arial" w:eastAsiaTheme="minorHAnsi" w:hAnsi="Arial" w:cs="Arial"/>
          <w:color w:val="auto"/>
          <w:sz w:val="20"/>
          <w:szCs w:val="20"/>
          <w:lang w:val="fr-FR"/>
        </w:rPr>
      </w:pPr>
      <w:r>
        <w:rPr>
          <w:rStyle w:val="Strong"/>
          <w:rFonts w:ascii="Arial" w:eastAsiaTheme="minorHAnsi" w:hAnsi="Arial" w:cs="Arial"/>
          <w:color w:val="auto"/>
          <w:sz w:val="20"/>
          <w:szCs w:val="20"/>
          <w:lang w:val="fr-FR"/>
        </w:rPr>
        <w:lastRenderedPageBreak/>
        <w:t>8</w:t>
      </w:r>
      <w:r w:rsidR="00DF5B08" w:rsidRPr="00F935E7">
        <w:rPr>
          <w:rStyle w:val="Strong"/>
          <w:rFonts w:ascii="Arial" w:eastAsiaTheme="minorHAnsi" w:hAnsi="Arial" w:cs="Arial"/>
          <w:color w:val="auto"/>
          <w:sz w:val="20"/>
          <w:szCs w:val="20"/>
          <w:lang w:val="fr-FR"/>
        </w:rPr>
        <w:t>.1.</w:t>
      </w:r>
      <w:r w:rsidR="00DF5B08" w:rsidRPr="00F935E7">
        <w:rPr>
          <w:rStyle w:val="Strong"/>
          <w:rFonts w:ascii="Arial" w:eastAsiaTheme="minorHAnsi" w:hAnsi="Arial" w:cs="Arial"/>
          <w:color w:val="auto"/>
          <w:sz w:val="20"/>
          <w:szCs w:val="20"/>
          <w:lang w:val="fr-FR"/>
        </w:rPr>
        <w:tab/>
      </w:r>
      <w:bookmarkStart w:id="200" w:name="lt_pId557"/>
      <w:bookmarkEnd w:id="193"/>
      <w:bookmarkEnd w:id="194"/>
      <w:bookmarkEnd w:id="195"/>
      <w:bookmarkEnd w:id="196"/>
      <w:r w:rsidR="00DF5B08" w:rsidRPr="00F935E7">
        <w:rPr>
          <w:rStyle w:val="Strong"/>
          <w:rFonts w:ascii="Arial" w:eastAsiaTheme="minorHAnsi" w:hAnsi="Arial" w:cs="Arial"/>
          <w:color w:val="auto"/>
          <w:sz w:val="20"/>
          <w:szCs w:val="20"/>
          <w:lang w:val="fr-FR"/>
        </w:rPr>
        <w:t>Membres et observateurs</w:t>
      </w:r>
      <w:bookmarkEnd w:id="197"/>
      <w:bookmarkEnd w:id="198"/>
      <w:bookmarkEnd w:id="200"/>
    </w:p>
    <w:p w14:paraId="0779DDD7" w14:textId="77777777" w:rsidR="00DF5B08" w:rsidRPr="00F935E7" w:rsidRDefault="00DF5B08" w:rsidP="00194B02"/>
    <w:p w14:paraId="6940327B" w14:textId="77777777" w:rsidR="00DF5B08" w:rsidRPr="00F935E7" w:rsidRDefault="00DF5B08" w:rsidP="00194B02">
      <w:pPr>
        <w:rPr>
          <w:rFonts w:cs="Arial"/>
          <w:szCs w:val="20"/>
        </w:rPr>
      </w:pPr>
      <w:bookmarkStart w:id="201" w:name="lt_pId558"/>
      <w:r w:rsidRPr="00F935E7">
        <w:rPr>
          <w:rFonts w:cs="Arial"/>
          <w:szCs w:val="20"/>
        </w:rPr>
        <w:t>Les évaluations de MONEYVAL concernent actuellement, en vertu de l’article 2 de son Statut, les juridictions suivantes :</w:t>
      </w:r>
      <w:bookmarkEnd w:id="201"/>
    </w:p>
    <w:p w14:paraId="5EDD8D6C" w14:textId="77777777" w:rsidR="00DF5B08" w:rsidRPr="00F935E7" w:rsidRDefault="00DF5B08" w:rsidP="00194B02">
      <w:pPr>
        <w:rPr>
          <w:rFonts w:cs="Arial"/>
          <w:szCs w:val="20"/>
        </w:rPr>
      </w:pPr>
    </w:p>
    <w:p w14:paraId="748741EC" w14:textId="77777777" w:rsidR="00DF5B08" w:rsidRPr="00F935E7" w:rsidRDefault="00DF5B08" w:rsidP="00194B02">
      <w:pPr>
        <w:numPr>
          <w:ilvl w:val="0"/>
          <w:numId w:val="27"/>
        </w:numPr>
        <w:autoSpaceDE w:val="0"/>
        <w:autoSpaceDN w:val="0"/>
        <w:adjustRightInd w:val="0"/>
        <w:ind w:hanging="436"/>
        <w:rPr>
          <w:rFonts w:cs="Arial"/>
          <w:szCs w:val="20"/>
        </w:rPr>
      </w:pPr>
      <w:bookmarkStart w:id="202" w:name="lt_pId559"/>
      <w:proofErr w:type="gramStart"/>
      <w:r>
        <w:rPr>
          <w:rFonts w:cs="Arial"/>
          <w:szCs w:val="20"/>
        </w:rPr>
        <w:t>l</w:t>
      </w:r>
      <w:r w:rsidRPr="00F935E7">
        <w:rPr>
          <w:rFonts w:cs="Arial"/>
          <w:szCs w:val="20"/>
        </w:rPr>
        <w:t>es</w:t>
      </w:r>
      <w:proofErr w:type="gramEnd"/>
      <w:r w:rsidRPr="00F935E7">
        <w:rPr>
          <w:rFonts w:cs="Arial"/>
          <w:szCs w:val="20"/>
        </w:rPr>
        <w:t xml:space="preserve"> États membres du Conseil de l’Europe </w:t>
      </w:r>
      <w:r>
        <w:rPr>
          <w:rFonts w:cs="Arial"/>
          <w:szCs w:val="20"/>
        </w:rPr>
        <w:t>—</w:t>
      </w:r>
      <w:r w:rsidRPr="00F935E7">
        <w:rPr>
          <w:rFonts w:cs="Arial"/>
          <w:szCs w:val="20"/>
        </w:rPr>
        <w:t> mais non membres du GAFI (article 2.2a du Statut)</w:t>
      </w:r>
      <w:r>
        <w:rPr>
          <w:rFonts w:cs="Arial"/>
          <w:szCs w:val="20"/>
        </w:rPr>
        <w:t xml:space="preserve"> —</w:t>
      </w:r>
      <w:r w:rsidRPr="00F935E7">
        <w:rPr>
          <w:rFonts w:cs="Arial"/>
          <w:szCs w:val="20"/>
        </w:rPr>
        <w:t xml:space="preserve"> d’une part et les États membres du Conseil de l’Europe qui, même s’ils sont devenus membres du GAFI, désirent continuer à faire l’objet d’évaluations par MONEYVAL (article 2.2b du Statut) d’autre part, à savoir à l’heure actuelle les pays suivants :</w:t>
      </w:r>
      <w:bookmarkEnd w:id="202"/>
    </w:p>
    <w:p w14:paraId="03F8E4D6" w14:textId="77777777" w:rsidR="00DF5B08" w:rsidRPr="00F935E7" w:rsidRDefault="00DF5B08" w:rsidP="00194B02">
      <w:pPr>
        <w:autoSpaceDE w:val="0"/>
        <w:autoSpaceDN w:val="0"/>
        <w:adjustRightInd w:val="0"/>
        <w:ind w:left="720"/>
        <w:rPr>
          <w:rFonts w:cs="Arial"/>
          <w:szCs w:val="20"/>
        </w:rPr>
      </w:pPr>
    </w:p>
    <w:tbl>
      <w:tblPr>
        <w:tblW w:w="6659" w:type="dxa"/>
        <w:jc w:val="center"/>
        <w:tblLook w:val="04A0" w:firstRow="1" w:lastRow="0" w:firstColumn="1" w:lastColumn="0" w:noHBand="0" w:noVBand="1"/>
      </w:tblPr>
      <w:tblGrid>
        <w:gridCol w:w="3544"/>
        <w:gridCol w:w="3115"/>
      </w:tblGrid>
      <w:tr w:rsidR="00DF5B08" w:rsidRPr="00F935E7" w14:paraId="34F5369F" w14:textId="77777777" w:rsidTr="00A60A13">
        <w:trPr>
          <w:jc w:val="center"/>
        </w:trPr>
        <w:tc>
          <w:tcPr>
            <w:tcW w:w="3544" w:type="dxa"/>
            <w:shd w:val="clear" w:color="auto" w:fill="auto"/>
          </w:tcPr>
          <w:p w14:paraId="7E6FA102"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03" w:name="lt_pId560"/>
            <w:r w:rsidRPr="00F935E7">
              <w:rPr>
                <w:rFonts w:cs="Arial"/>
                <w:szCs w:val="20"/>
              </w:rPr>
              <w:t>Albanie</w:t>
            </w:r>
            <w:bookmarkEnd w:id="203"/>
          </w:p>
        </w:tc>
        <w:tc>
          <w:tcPr>
            <w:tcW w:w="3115" w:type="dxa"/>
            <w:shd w:val="clear" w:color="auto" w:fill="auto"/>
          </w:tcPr>
          <w:p w14:paraId="1B80BD91"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04" w:name="lt_pId561"/>
            <w:r w:rsidRPr="00F935E7">
              <w:rPr>
                <w:rFonts w:cs="Arial"/>
                <w:szCs w:val="20"/>
              </w:rPr>
              <w:t>Andorre</w:t>
            </w:r>
            <w:bookmarkEnd w:id="204"/>
          </w:p>
        </w:tc>
      </w:tr>
      <w:tr w:rsidR="00DF5B08" w:rsidRPr="00F935E7" w14:paraId="2B65BC86" w14:textId="77777777" w:rsidTr="00A60A13">
        <w:trPr>
          <w:jc w:val="center"/>
        </w:trPr>
        <w:tc>
          <w:tcPr>
            <w:tcW w:w="3544" w:type="dxa"/>
            <w:shd w:val="clear" w:color="auto" w:fill="auto"/>
          </w:tcPr>
          <w:p w14:paraId="3E3D4E86"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05" w:name="lt_pId562"/>
            <w:r w:rsidRPr="00F935E7">
              <w:rPr>
                <w:rFonts w:cs="Arial"/>
                <w:szCs w:val="20"/>
              </w:rPr>
              <w:t>Arménie</w:t>
            </w:r>
            <w:bookmarkEnd w:id="205"/>
          </w:p>
        </w:tc>
        <w:tc>
          <w:tcPr>
            <w:tcW w:w="3115" w:type="dxa"/>
            <w:shd w:val="clear" w:color="auto" w:fill="auto"/>
          </w:tcPr>
          <w:p w14:paraId="50FA3F93"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06" w:name="lt_pId563"/>
            <w:r w:rsidRPr="00F935E7">
              <w:rPr>
                <w:rFonts w:cs="Arial"/>
                <w:szCs w:val="20"/>
              </w:rPr>
              <w:t>Azerbaïdjan</w:t>
            </w:r>
            <w:bookmarkEnd w:id="206"/>
          </w:p>
        </w:tc>
      </w:tr>
      <w:tr w:rsidR="00DF5B08" w:rsidRPr="00F935E7" w14:paraId="03E03C14" w14:textId="77777777" w:rsidTr="00A60A13">
        <w:trPr>
          <w:trHeight w:val="173"/>
          <w:jc w:val="center"/>
        </w:trPr>
        <w:tc>
          <w:tcPr>
            <w:tcW w:w="3544" w:type="dxa"/>
            <w:shd w:val="clear" w:color="auto" w:fill="auto"/>
          </w:tcPr>
          <w:p w14:paraId="78FE3D83"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07" w:name="lt_pId564"/>
            <w:r w:rsidRPr="00F935E7">
              <w:rPr>
                <w:rFonts w:cs="Arial"/>
                <w:szCs w:val="20"/>
              </w:rPr>
              <w:t>Bosnie-Herzégovine</w:t>
            </w:r>
            <w:bookmarkEnd w:id="207"/>
          </w:p>
        </w:tc>
        <w:tc>
          <w:tcPr>
            <w:tcW w:w="3115" w:type="dxa"/>
            <w:shd w:val="clear" w:color="auto" w:fill="auto"/>
          </w:tcPr>
          <w:p w14:paraId="4C8ACCD1"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08" w:name="lt_pId565"/>
            <w:r w:rsidRPr="00F935E7">
              <w:rPr>
                <w:rFonts w:cs="Arial"/>
                <w:szCs w:val="20"/>
              </w:rPr>
              <w:t>Bulgari</w:t>
            </w:r>
            <w:bookmarkEnd w:id="208"/>
            <w:r w:rsidRPr="00F935E7">
              <w:rPr>
                <w:rFonts w:cs="Arial"/>
                <w:szCs w:val="20"/>
              </w:rPr>
              <w:t>e</w:t>
            </w:r>
          </w:p>
        </w:tc>
      </w:tr>
      <w:tr w:rsidR="00DF5B08" w:rsidRPr="00F935E7" w14:paraId="75AAE2CB" w14:textId="77777777" w:rsidTr="00A60A13">
        <w:trPr>
          <w:trHeight w:val="173"/>
          <w:jc w:val="center"/>
        </w:trPr>
        <w:tc>
          <w:tcPr>
            <w:tcW w:w="3544" w:type="dxa"/>
            <w:shd w:val="clear" w:color="auto" w:fill="auto"/>
          </w:tcPr>
          <w:p w14:paraId="4C6D900D"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09" w:name="lt_pId566"/>
            <w:r w:rsidRPr="00F935E7">
              <w:rPr>
                <w:rFonts w:cs="Arial"/>
                <w:szCs w:val="20"/>
              </w:rPr>
              <w:t>Croati</w:t>
            </w:r>
            <w:bookmarkEnd w:id="209"/>
            <w:r w:rsidRPr="00F935E7">
              <w:rPr>
                <w:rFonts w:cs="Arial"/>
                <w:szCs w:val="20"/>
              </w:rPr>
              <w:t xml:space="preserve">e </w:t>
            </w:r>
          </w:p>
        </w:tc>
        <w:tc>
          <w:tcPr>
            <w:tcW w:w="3115" w:type="dxa"/>
            <w:shd w:val="clear" w:color="auto" w:fill="auto"/>
          </w:tcPr>
          <w:p w14:paraId="223C12D3"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10" w:name="lt_pId567"/>
            <w:r w:rsidRPr="00F935E7">
              <w:rPr>
                <w:rFonts w:cs="Arial"/>
                <w:szCs w:val="20"/>
              </w:rPr>
              <w:t>C</w:t>
            </w:r>
            <w:bookmarkEnd w:id="210"/>
            <w:r w:rsidRPr="00F935E7">
              <w:rPr>
                <w:rFonts w:cs="Arial"/>
                <w:szCs w:val="20"/>
              </w:rPr>
              <w:t xml:space="preserve">hypre </w:t>
            </w:r>
          </w:p>
        </w:tc>
      </w:tr>
      <w:tr w:rsidR="00DF5B08" w:rsidRPr="00F935E7" w14:paraId="3F3B1229" w14:textId="77777777" w:rsidTr="00A60A13">
        <w:trPr>
          <w:jc w:val="center"/>
        </w:trPr>
        <w:tc>
          <w:tcPr>
            <w:tcW w:w="3544" w:type="dxa"/>
            <w:shd w:val="clear" w:color="auto" w:fill="auto"/>
          </w:tcPr>
          <w:p w14:paraId="37CB8427"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r w:rsidRPr="00F935E7">
              <w:rPr>
                <w:rFonts w:cs="Arial"/>
                <w:szCs w:val="20"/>
              </w:rPr>
              <w:t xml:space="preserve">République tchèque </w:t>
            </w:r>
          </w:p>
        </w:tc>
        <w:tc>
          <w:tcPr>
            <w:tcW w:w="3115" w:type="dxa"/>
            <w:shd w:val="clear" w:color="auto" w:fill="auto"/>
          </w:tcPr>
          <w:p w14:paraId="15999021"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11" w:name="lt_pId569"/>
            <w:r w:rsidRPr="00F935E7">
              <w:rPr>
                <w:rFonts w:cs="Arial"/>
                <w:szCs w:val="20"/>
              </w:rPr>
              <w:t>Estoni</w:t>
            </w:r>
            <w:bookmarkEnd w:id="211"/>
            <w:r w:rsidRPr="00F935E7">
              <w:rPr>
                <w:rFonts w:cs="Arial"/>
                <w:szCs w:val="20"/>
              </w:rPr>
              <w:t xml:space="preserve">e </w:t>
            </w:r>
          </w:p>
        </w:tc>
      </w:tr>
      <w:tr w:rsidR="00DF5B08" w:rsidRPr="00F935E7" w14:paraId="7659FC95" w14:textId="77777777" w:rsidTr="00A60A13">
        <w:trPr>
          <w:jc w:val="center"/>
        </w:trPr>
        <w:tc>
          <w:tcPr>
            <w:tcW w:w="3544" w:type="dxa"/>
            <w:shd w:val="clear" w:color="auto" w:fill="auto"/>
          </w:tcPr>
          <w:p w14:paraId="5834965F"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12" w:name="lt_pId570"/>
            <w:r w:rsidRPr="00F935E7">
              <w:rPr>
                <w:rFonts w:cs="Arial"/>
                <w:szCs w:val="20"/>
              </w:rPr>
              <w:t>Géorgi</w:t>
            </w:r>
            <w:bookmarkEnd w:id="212"/>
            <w:r w:rsidRPr="00F935E7">
              <w:rPr>
                <w:rFonts w:cs="Arial"/>
                <w:szCs w:val="20"/>
              </w:rPr>
              <w:t xml:space="preserve">e </w:t>
            </w:r>
          </w:p>
        </w:tc>
        <w:tc>
          <w:tcPr>
            <w:tcW w:w="3115" w:type="dxa"/>
            <w:shd w:val="clear" w:color="auto" w:fill="auto"/>
          </w:tcPr>
          <w:p w14:paraId="74798E6E"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13" w:name="lt_pId571"/>
            <w:r w:rsidRPr="00F935E7">
              <w:rPr>
                <w:rFonts w:cs="Arial"/>
                <w:szCs w:val="20"/>
              </w:rPr>
              <w:t>H</w:t>
            </w:r>
            <w:bookmarkEnd w:id="213"/>
            <w:r w:rsidRPr="00F935E7">
              <w:rPr>
                <w:rFonts w:cs="Arial"/>
                <w:szCs w:val="20"/>
              </w:rPr>
              <w:t>ongrie</w:t>
            </w:r>
          </w:p>
        </w:tc>
      </w:tr>
      <w:tr w:rsidR="00DF5B08" w:rsidRPr="00F935E7" w14:paraId="2D2D75DD" w14:textId="77777777" w:rsidTr="00A60A13">
        <w:trPr>
          <w:jc w:val="center"/>
        </w:trPr>
        <w:tc>
          <w:tcPr>
            <w:tcW w:w="3544" w:type="dxa"/>
            <w:shd w:val="clear" w:color="auto" w:fill="auto"/>
          </w:tcPr>
          <w:p w14:paraId="753BCC3F"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14" w:name="lt_pId572"/>
            <w:r w:rsidRPr="00F935E7">
              <w:rPr>
                <w:rFonts w:cs="Arial"/>
                <w:szCs w:val="20"/>
              </w:rPr>
              <w:t>L</w:t>
            </w:r>
            <w:bookmarkEnd w:id="214"/>
            <w:r w:rsidRPr="00F935E7">
              <w:rPr>
                <w:rFonts w:cs="Arial"/>
                <w:szCs w:val="20"/>
              </w:rPr>
              <w:t>ettonie</w:t>
            </w:r>
          </w:p>
        </w:tc>
        <w:tc>
          <w:tcPr>
            <w:tcW w:w="3115" w:type="dxa"/>
            <w:shd w:val="clear" w:color="auto" w:fill="auto"/>
          </w:tcPr>
          <w:p w14:paraId="1217914A"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15" w:name="lt_pId573"/>
            <w:r w:rsidRPr="00F935E7">
              <w:rPr>
                <w:rFonts w:cs="Arial"/>
                <w:szCs w:val="20"/>
              </w:rPr>
              <w:t>Liechtenstein</w:t>
            </w:r>
            <w:bookmarkEnd w:id="215"/>
          </w:p>
        </w:tc>
      </w:tr>
      <w:tr w:rsidR="00DF5B08" w:rsidRPr="00F935E7" w14:paraId="2C2E2C58" w14:textId="77777777" w:rsidTr="00A60A13">
        <w:trPr>
          <w:jc w:val="center"/>
        </w:trPr>
        <w:tc>
          <w:tcPr>
            <w:tcW w:w="3544" w:type="dxa"/>
            <w:shd w:val="clear" w:color="auto" w:fill="auto"/>
          </w:tcPr>
          <w:p w14:paraId="440F58AE"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16" w:name="lt_pId574"/>
            <w:r w:rsidRPr="00F935E7">
              <w:rPr>
                <w:rFonts w:cs="Arial"/>
                <w:szCs w:val="20"/>
              </w:rPr>
              <w:t>Lituani</w:t>
            </w:r>
            <w:bookmarkEnd w:id="216"/>
            <w:r w:rsidRPr="00F935E7">
              <w:rPr>
                <w:rFonts w:cs="Arial"/>
                <w:szCs w:val="20"/>
              </w:rPr>
              <w:t xml:space="preserve">e </w:t>
            </w:r>
          </w:p>
        </w:tc>
        <w:tc>
          <w:tcPr>
            <w:tcW w:w="3115" w:type="dxa"/>
            <w:shd w:val="clear" w:color="auto" w:fill="auto"/>
          </w:tcPr>
          <w:p w14:paraId="1BC9EA4C"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17" w:name="lt_pId575"/>
            <w:r w:rsidRPr="00F935E7">
              <w:rPr>
                <w:rFonts w:cs="Arial"/>
                <w:szCs w:val="20"/>
              </w:rPr>
              <w:t>Malt</w:t>
            </w:r>
            <w:bookmarkEnd w:id="217"/>
            <w:r w:rsidRPr="00F935E7">
              <w:rPr>
                <w:rFonts w:cs="Arial"/>
                <w:szCs w:val="20"/>
              </w:rPr>
              <w:t xml:space="preserve">e </w:t>
            </w:r>
          </w:p>
        </w:tc>
      </w:tr>
      <w:tr w:rsidR="00DF5B08" w:rsidRPr="00F935E7" w14:paraId="3B6B6D25" w14:textId="77777777" w:rsidTr="00A60A13">
        <w:trPr>
          <w:jc w:val="center"/>
        </w:trPr>
        <w:tc>
          <w:tcPr>
            <w:tcW w:w="3544" w:type="dxa"/>
            <w:shd w:val="clear" w:color="auto" w:fill="auto"/>
          </w:tcPr>
          <w:p w14:paraId="0267F16E" w14:textId="32285D1C"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r w:rsidRPr="00F935E7">
              <w:rPr>
                <w:rFonts w:cs="Arial"/>
                <w:szCs w:val="20"/>
              </w:rPr>
              <w:t>République de Mold</w:t>
            </w:r>
            <w:r w:rsidR="005237A0">
              <w:rPr>
                <w:rFonts w:cs="Arial"/>
                <w:szCs w:val="20"/>
              </w:rPr>
              <w:t>ova</w:t>
            </w:r>
          </w:p>
        </w:tc>
        <w:tc>
          <w:tcPr>
            <w:tcW w:w="3115" w:type="dxa"/>
            <w:shd w:val="clear" w:color="auto" w:fill="auto"/>
          </w:tcPr>
          <w:p w14:paraId="68A5CB0C"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18" w:name="lt_pId577"/>
            <w:r w:rsidRPr="00F935E7">
              <w:rPr>
                <w:rFonts w:cs="Arial"/>
                <w:szCs w:val="20"/>
              </w:rPr>
              <w:t>Monaco</w:t>
            </w:r>
            <w:bookmarkEnd w:id="218"/>
            <w:r w:rsidRPr="00F935E7">
              <w:rPr>
                <w:rFonts w:cs="Arial"/>
                <w:szCs w:val="20"/>
              </w:rPr>
              <w:t xml:space="preserve"> </w:t>
            </w:r>
          </w:p>
        </w:tc>
      </w:tr>
      <w:tr w:rsidR="00DF5B08" w:rsidRPr="00F935E7" w14:paraId="4F693F86" w14:textId="77777777" w:rsidTr="00A60A13">
        <w:trPr>
          <w:jc w:val="center"/>
        </w:trPr>
        <w:tc>
          <w:tcPr>
            <w:tcW w:w="3544" w:type="dxa"/>
            <w:shd w:val="clear" w:color="auto" w:fill="auto"/>
          </w:tcPr>
          <w:p w14:paraId="2346F07F"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19" w:name="lt_pId578"/>
            <w:r w:rsidRPr="00F935E7">
              <w:rPr>
                <w:rFonts w:cs="Arial"/>
                <w:szCs w:val="20"/>
              </w:rPr>
              <w:t>Monténégro</w:t>
            </w:r>
            <w:bookmarkEnd w:id="219"/>
            <w:r w:rsidRPr="00F935E7">
              <w:rPr>
                <w:rFonts w:cs="Arial"/>
                <w:szCs w:val="20"/>
              </w:rPr>
              <w:t xml:space="preserve"> </w:t>
            </w:r>
          </w:p>
        </w:tc>
        <w:tc>
          <w:tcPr>
            <w:tcW w:w="3115" w:type="dxa"/>
            <w:shd w:val="clear" w:color="auto" w:fill="auto"/>
          </w:tcPr>
          <w:p w14:paraId="7384F99F"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Macédoine du Nord</w:t>
            </w:r>
          </w:p>
        </w:tc>
      </w:tr>
      <w:tr w:rsidR="00DF5B08" w:rsidRPr="00F935E7" w14:paraId="2A8890C5" w14:textId="77777777" w:rsidTr="00A60A13">
        <w:trPr>
          <w:jc w:val="center"/>
        </w:trPr>
        <w:tc>
          <w:tcPr>
            <w:tcW w:w="3544" w:type="dxa"/>
            <w:shd w:val="clear" w:color="auto" w:fill="auto"/>
          </w:tcPr>
          <w:p w14:paraId="13B6CDC6" w14:textId="77777777" w:rsidR="00DF5B08" w:rsidRPr="00F935E7" w:rsidRDefault="00DF5B08" w:rsidP="00194B02">
            <w:pPr>
              <w:numPr>
                <w:ilvl w:val="0"/>
                <w:numId w:val="28"/>
              </w:numPr>
              <w:tabs>
                <w:tab w:val="num" w:pos="317"/>
              </w:tabs>
              <w:autoSpaceDE w:val="0"/>
              <w:autoSpaceDN w:val="0"/>
              <w:adjustRightInd w:val="0"/>
              <w:ind w:left="317" w:hanging="284"/>
              <w:jc w:val="both"/>
              <w:rPr>
                <w:rFonts w:cs="Arial"/>
                <w:szCs w:val="20"/>
              </w:rPr>
            </w:pPr>
            <w:bookmarkStart w:id="220" w:name="lt_pId580"/>
            <w:r w:rsidRPr="00F935E7">
              <w:rPr>
                <w:rFonts w:cs="Arial"/>
                <w:szCs w:val="20"/>
              </w:rPr>
              <w:t>Pol</w:t>
            </w:r>
            <w:bookmarkEnd w:id="220"/>
            <w:r w:rsidRPr="00F935E7">
              <w:rPr>
                <w:rFonts w:cs="Arial"/>
                <w:szCs w:val="20"/>
              </w:rPr>
              <w:t>ogne</w:t>
            </w:r>
          </w:p>
        </w:tc>
        <w:tc>
          <w:tcPr>
            <w:tcW w:w="3115" w:type="dxa"/>
            <w:shd w:val="clear" w:color="auto" w:fill="auto"/>
          </w:tcPr>
          <w:p w14:paraId="6700F374"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21" w:name="lt_pId581"/>
            <w:r w:rsidRPr="00F935E7">
              <w:rPr>
                <w:rFonts w:cs="Arial"/>
                <w:szCs w:val="20"/>
              </w:rPr>
              <w:t>Roumani</w:t>
            </w:r>
            <w:bookmarkEnd w:id="221"/>
            <w:r w:rsidRPr="00F935E7">
              <w:rPr>
                <w:rFonts w:cs="Arial"/>
                <w:szCs w:val="20"/>
              </w:rPr>
              <w:t>e</w:t>
            </w:r>
          </w:p>
        </w:tc>
      </w:tr>
      <w:tr w:rsidR="00DF5B08" w:rsidRPr="00F935E7" w14:paraId="68E687CF" w14:textId="77777777" w:rsidTr="00A60A13">
        <w:trPr>
          <w:jc w:val="center"/>
        </w:trPr>
        <w:tc>
          <w:tcPr>
            <w:tcW w:w="3544" w:type="dxa"/>
            <w:shd w:val="clear" w:color="auto" w:fill="auto"/>
          </w:tcPr>
          <w:p w14:paraId="5426910F" w14:textId="7AED45FC" w:rsidR="00DF5B08" w:rsidRPr="00F9691A" w:rsidRDefault="00F9691A" w:rsidP="00F9691A">
            <w:pPr>
              <w:pStyle w:val="ListParagraph"/>
              <w:numPr>
                <w:ilvl w:val="1"/>
                <w:numId w:val="27"/>
              </w:numPr>
              <w:tabs>
                <w:tab w:val="clear" w:pos="1440"/>
                <w:tab w:val="num" w:pos="316"/>
              </w:tabs>
              <w:autoSpaceDE w:val="0"/>
              <w:autoSpaceDN w:val="0"/>
              <w:adjustRightInd w:val="0"/>
              <w:ind w:hanging="1408"/>
              <w:jc w:val="both"/>
              <w:rPr>
                <w:rFonts w:cs="Arial"/>
                <w:szCs w:val="20"/>
              </w:rPr>
            </w:pPr>
            <w:bookmarkStart w:id="222" w:name="lt_pId584"/>
            <w:r w:rsidRPr="00F9691A">
              <w:rPr>
                <w:rFonts w:cs="Arial"/>
                <w:szCs w:val="20"/>
              </w:rPr>
              <w:t>Serbi</w:t>
            </w:r>
            <w:bookmarkEnd w:id="222"/>
            <w:r w:rsidRPr="00F9691A">
              <w:rPr>
                <w:rFonts w:cs="Arial"/>
                <w:szCs w:val="20"/>
              </w:rPr>
              <w:t>e</w:t>
            </w:r>
          </w:p>
        </w:tc>
        <w:tc>
          <w:tcPr>
            <w:tcW w:w="3115" w:type="dxa"/>
            <w:shd w:val="clear" w:color="auto" w:fill="auto"/>
          </w:tcPr>
          <w:p w14:paraId="6697CED4"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23" w:name="lt_pId583"/>
            <w:r w:rsidRPr="00F935E7">
              <w:rPr>
                <w:rFonts w:cs="Arial"/>
                <w:szCs w:val="20"/>
              </w:rPr>
              <w:t>Saint-Marin</w:t>
            </w:r>
            <w:bookmarkEnd w:id="223"/>
          </w:p>
        </w:tc>
      </w:tr>
      <w:tr w:rsidR="00DF5B08" w:rsidRPr="00F935E7" w14:paraId="44E4DF54" w14:textId="77777777" w:rsidTr="00A60A13">
        <w:trPr>
          <w:jc w:val="center"/>
        </w:trPr>
        <w:tc>
          <w:tcPr>
            <w:tcW w:w="3544" w:type="dxa"/>
            <w:shd w:val="clear" w:color="auto" w:fill="auto"/>
          </w:tcPr>
          <w:p w14:paraId="6EF50682" w14:textId="640EB1A0" w:rsidR="00DF5B08" w:rsidRPr="00F935E7" w:rsidRDefault="00F9691A" w:rsidP="00194B02">
            <w:pPr>
              <w:numPr>
                <w:ilvl w:val="0"/>
                <w:numId w:val="28"/>
              </w:numPr>
              <w:tabs>
                <w:tab w:val="num" w:pos="317"/>
              </w:tabs>
              <w:autoSpaceDE w:val="0"/>
              <w:autoSpaceDN w:val="0"/>
              <w:adjustRightInd w:val="0"/>
              <w:ind w:left="317" w:hanging="284"/>
              <w:jc w:val="both"/>
              <w:rPr>
                <w:rFonts w:cs="Arial"/>
                <w:szCs w:val="20"/>
              </w:rPr>
            </w:pPr>
            <w:bookmarkStart w:id="224" w:name="lt_pId586"/>
            <w:r w:rsidRPr="00F935E7">
              <w:rPr>
                <w:rFonts w:cs="Arial"/>
                <w:szCs w:val="20"/>
              </w:rPr>
              <w:t>Slovéni</w:t>
            </w:r>
            <w:bookmarkEnd w:id="224"/>
            <w:r w:rsidRPr="00F935E7">
              <w:rPr>
                <w:rFonts w:cs="Arial"/>
                <w:szCs w:val="20"/>
              </w:rPr>
              <w:t>e</w:t>
            </w:r>
          </w:p>
        </w:tc>
        <w:tc>
          <w:tcPr>
            <w:tcW w:w="3115" w:type="dxa"/>
            <w:shd w:val="clear" w:color="auto" w:fill="auto"/>
          </w:tcPr>
          <w:p w14:paraId="4907A229"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République slovaque</w:t>
            </w:r>
          </w:p>
        </w:tc>
      </w:tr>
      <w:tr w:rsidR="00DF5B08" w:rsidRPr="00F935E7" w14:paraId="4F26ECA7" w14:textId="77777777" w:rsidTr="00A60A13">
        <w:trPr>
          <w:jc w:val="center"/>
        </w:trPr>
        <w:tc>
          <w:tcPr>
            <w:tcW w:w="3544" w:type="dxa"/>
            <w:shd w:val="clear" w:color="auto" w:fill="auto"/>
          </w:tcPr>
          <w:p w14:paraId="1B586A97" w14:textId="2A877687" w:rsidR="00DF5B08" w:rsidRPr="00F935E7" w:rsidRDefault="00DF5B08" w:rsidP="00F9691A">
            <w:pPr>
              <w:autoSpaceDE w:val="0"/>
              <w:autoSpaceDN w:val="0"/>
              <w:adjustRightInd w:val="0"/>
              <w:ind w:left="317"/>
              <w:jc w:val="both"/>
              <w:rPr>
                <w:rFonts w:cs="Arial"/>
                <w:szCs w:val="20"/>
              </w:rPr>
            </w:pPr>
          </w:p>
        </w:tc>
        <w:tc>
          <w:tcPr>
            <w:tcW w:w="3115" w:type="dxa"/>
            <w:shd w:val="clear" w:color="auto" w:fill="auto"/>
          </w:tcPr>
          <w:p w14:paraId="29FDEADD" w14:textId="77777777" w:rsidR="00DF5B08" w:rsidRPr="00F935E7" w:rsidRDefault="00DF5B08" w:rsidP="00194B02">
            <w:pPr>
              <w:numPr>
                <w:ilvl w:val="1"/>
                <w:numId w:val="27"/>
              </w:numPr>
              <w:tabs>
                <w:tab w:val="clear" w:pos="1440"/>
              </w:tabs>
              <w:autoSpaceDE w:val="0"/>
              <w:autoSpaceDN w:val="0"/>
              <w:adjustRightInd w:val="0"/>
              <w:ind w:left="67" w:hanging="67"/>
              <w:jc w:val="both"/>
              <w:rPr>
                <w:rFonts w:cs="Arial"/>
                <w:szCs w:val="20"/>
              </w:rPr>
            </w:pPr>
            <w:r w:rsidRPr="00F935E7">
              <w:rPr>
                <w:rFonts w:cs="Arial"/>
                <w:szCs w:val="20"/>
              </w:rPr>
              <w:t xml:space="preserve"> </w:t>
            </w:r>
            <w:bookmarkStart w:id="225" w:name="lt_pId587"/>
            <w:r w:rsidRPr="00F935E7">
              <w:rPr>
                <w:rFonts w:cs="Arial"/>
                <w:szCs w:val="20"/>
              </w:rPr>
              <w:t>Ukraine</w:t>
            </w:r>
            <w:bookmarkEnd w:id="225"/>
          </w:p>
          <w:p w14:paraId="0D27E91E" w14:textId="77777777" w:rsidR="00DF5B08" w:rsidRPr="00F935E7" w:rsidRDefault="00DF5B08" w:rsidP="00A60A13">
            <w:pPr>
              <w:autoSpaceDE w:val="0"/>
              <w:autoSpaceDN w:val="0"/>
              <w:adjustRightInd w:val="0"/>
              <w:ind w:left="67"/>
              <w:jc w:val="both"/>
              <w:rPr>
                <w:rFonts w:cs="Arial"/>
                <w:szCs w:val="20"/>
              </w:rPr>
            </w:pPr>
          </w:p>
        </w:tc>
      </w:tr>
    </w:tbl>
    <w:p w14:paraId="2351AAD2" w14:textId="77777777" w:rsidR="00DF5B08" w:rsidRPr="00F935E7" w:rsidRDefault="00DF5B08" w:rsidP="00194B02">
      <w:pPr>
        <w:numPr>
          <w:ilvl w:val="0"/>
          <w:numId w:val="27"/>
        </w:numPr>
        <w:autoSpaceDE w:val="0"/>
        <w:autoSpaceDN w:val="0"/>
        <w:adjustRightInd w:val="0"/>
        <w:ind w:hanging="436"/>
        <w:jc w:val="both"/>
        <w:rPr>
          <w:rFonts w:cs="Arial"/>
          <w:szCs w:val="20"/>
        </w:rPr>
      </w:pPr>
      <w:bookmarkStart w:id="226" w:name="lt_pId588"/>
      <w:proofErr w:type="gramStart"/>
      <w:r>
        <w:rPr>
          <w:rFonts w:cs="Arial"/>
          <w:szCs w:val="20"/>
        </w:rPr>
        <w:t>d</w:t>
      </w:r>
      <w:r w:rsidRPr="00F935E7">
        <w:rPr>
          <w:rFonts w:cs="Arial"/>
          <w:szCs w:val="20"/>
        </w:rPr>
        <w:t>es</w:t>
      </w:r>
      <w:proofErr w:type="gramEnd"/>
      <w:r w:rsidRPr="00F935E7">
        <w:rPr>
          <w:rFonts w:cs="Arial"/>
          <w:szCs w:val="20"/>
        </w:rPr>
        <w:t xml:space="preserve"> États non</w:t>
      </w:r>
      <w:r>
        <w:rPr>
          <w:rFonts w:cs="Arial"/>
          <w:szCs w:val="20"/>
        </w:rPr>
        <w:t xml:space="preserve"> </w:t>
      </w:r>
      <w:r w:rsidRPr="00F935E7">
        <w:rPr>
          <w:rFonts w:cs="Arial"/>
          <w:szCs w:val="20"/>
        </w:rPr>
        <w:t>membres du Conseil de l’Europe (article 2.2e du Statut) :</w:t>
      </w:r>
      <w:bookmarkEnd w:id="226"/>
    </w:p>
    <w:p w14:paraId="0F130033" w14:textId="77777777" w:rsidR="00DF5B08" w:rsidRPr="00F935E7" w:rsidRDefault="00DF5B08" w:rsidP="00194B02">
      <w:pPr>
        <w:autoSpaceDE w:val="0"/>
        <w:autoSpaceDN w:val="0"/>
        <w:adjustRightInd w:val="0"/>
        <w:ind w:left="720"/>
        <w:rPr>
          <w:rFonts w:cs="Arial"/>
          <w:szCs w:val="20"/>
        </w:rPr>
      </w:pPr>
    </w:p>
    <w:p w14:paraId="66FB6A0F" w14:textId="77777777" w:rsidR="00DF5B08" w:rsidRPr="00F935E7" w:rsidRDefault="00DF5B08" w:rsidP="00194B02">
      <w:pPr>
        <w:numPr>
          <w:ilvl w:val="0"/>
          <w:numId w:val="34"/>
        </w:numPr>
        <w:autoSpaceDE w:val="0"/>
        <w:autoSpaceDN w:val="0"/>
        <w:adjustRightInd w:val="0"/>
        <w:ind w:left="1985"/>
        <w:rPr>
          <w:rFonts w:cs="Arial"/>
          <w:szCs w:val="20"/>
        </w:rPr>
      </w:pPr>
      <w:bookmarkStart w:id="227" w:name="lt_pId589"/>
      <w:r w:rsidRPr="00F935E7">
        <w:rPr>
          <w:rFonts w:cs="Arial"/>
          <w:szCs w:val="20"/>
        </w:rPr>
        <w:t>Israël (membre du GAFI depuis 2018)</w:t>
      </w:r>
      <w:r>
        <w:rPr>
          <w:rFonts w:cs="Arial"/>
          <w:szCs w:val="20"/>
        </w:rPr>
        <w:t> </w:t>
      </w:r>
      <w:r w:rsidRPr="00F935E7">
        <w:rPr>
          <w:rFonts w:cs="Arial"/>
          <w:szCs w:val="20"/>
        </w:rPr>
        <w:t>;</w:t>
      </w:r>
      <w:bookmarkEnd w:id="227"/>
    </w:p>
    <w:p w14:paraId="5620B0DE" w14:textId="57A63DFE" w:rsidR="00DF5B08" w:rsidRPr="00F935E7" w:rsidRDefault="00DF5B08" w:rsidP="00194B02">
      <w:pPr>
        <w:numPr>
          <w:ilvl w:val="0"/>
          <w:numId w:val="34"/>
        </w:numPr>
        <w:autoSpaceDE w:val="0"/>
        <w:autoSpaceDN w:val="0"/>
        <w:adjustRightInd w:val="0"/>
        <w:ind w:left="1985"/>
        <w:rPr>
          <w:rFonts w:cs="Arial"/>
          <w:szCs w:val="20"/>
        </w:rPr>
      </w:pPr>
      <w:bookmarkStart w:id="228" w:name="lt_pId590"/>
      <w:r w:rsidRPr="00F935E7">
        <w:rPr>
          <w:rFonts w:cs="Arial"/>
          <w:szCs w:val="20"/>
        </w:rPr>
        <w:t>le Saint-Siège (y compris l’État de la Cité du Vatican) en vertu de la Résolution </w:t>
      </w:r>
      <w:bookmarkStart w:id="229" w:name="_ML_000000000001_VALID"/>
      <w:r w:rsidR="008E45BA" w:rsidRPr="008E45BA">
        <w:rPr>
          <w:rFonts w:cs="Arial"/>
          <w:szCs w:val="20"/>
        </w:rPr>
        <w:fldChar w:fldCharType="begin"/>
      </w:r>
      <w:r w:rsidR="008E45BA" w:rsidRPr="008E45BA">
        <w:rPr>
          <w:rFonts w:cs="Arial"/>
          <w:szCs w:val="20"/>
        </w:rPr>
        <w:instrText xml:space="preserve"> HYPERLINK "https://search.coe.int/cm/Pages/result_details.aspx?Reference=CM/Res(2011)5" \o "Résolution relative à la participation du Saint-Siège (y compris de l'Etat de la Cité du Vatican) aux processus et procédures d'évaluation du Comité d'experts sur l'évaluation des mesures de lutte contre le blanchiment des capitaux et le financement du terrorisme (MONEYVAL) (adoptée par le Comité des Ministres le 6 avril 2011, lors de la 1111e réunion des Délégués des Ministres)" </w:instrText>
      </w:r>
      <w:r w:rsidR="008E45BA" w:rsidRPr="008E45BA">
        <w:rPr>
          <w:rFonts w:cs="Arial"/>
          <w:szCs w:val="20"/>
        </w:rPr>
        <w:fldChar w:fldCharType="separate"/>
      </w:r>
      <w:bookmarkEnd w:id="229"/>
      <w:r w:rsidR="008E45BA" w:rsidRPr="008E45BA">
        <w:rPr>
          <w:rStyle w:val="Hyperlink"/>
          <w:rFonts w:cs="Arial"/>
          <w:szCs w:val="20"/>
        </w:rPr>
        <w:t>CM/</w:t>
      </w:r>
      <w:proofErr w:type="spellStart"/>
      <w:r w:rsidR="008E45BA" w:rsidRPr="008E45BA">
        <w:rPr>
          <w:rStyle w:val="Hyperlink"/>
          <w:rFonts w:cs="Arial"/>
          <w:szCs w:val="20"/>
        </w:rPr>
        <w:t>Res</w:t>
      </w:r>
      <w:proofErr w:type="spellEnd"/>
      <w:r w:rsidR="008E45BA" w:rsidRPr="008E45BA">
        <w:rPr>
          <w:rStyle w:val="Hyperlink"/>
          <w:rFonts w:cs="Arial"/>
          <w:szCs w:val="20"/>
        </w:rPr>
        <w:t>(2011)5</w:t>
      </w:r>
      <w:r w:rsidR="008E45BA" w:rsidRPr="008E45BA">
        <w:rPr>
          <w:rFonts w:cs="Arial"/>
          <w:szCs w:val="20"/>
        </w:rPr>
        <w:fldChar w:fldCharType="end"/>
      </w:r>
      <w:r w:rsidRPr="00F935E7">
        <w:rPr>
          <w:rFonts w:cs="Arial"/>
          <w:szCs w:val="20"/>
        </w:rPr>
        <w:t> ;</w:t>
      </w:r>
      <w:bookmarkEnd w:id="228"/>
    </w:p>
    <w:p w14:paraId="3F2E124F" w14:textId="52068067" w:rsidR="00DF5B08" w:rsidRPr="00F935E7" w:rsidRDefault="00DF5B08" w:rsidP="00194B02">
      <w:pPr>
        <w:numPr>
          <w:ilvl w:val="0"/>
          <w:numId w:val="34"/>
        </w:numPr>
        <w:autoSpaceDE w:val="0"/>
        <w:autoSpaceDN w:val="0"/>
        <w:adjustRightInd w:val="0"/>
        <w:ind w:left="1985"/>
        <w:rPr>
          <w:rFonts w:cs="Arial"/>
          <w:szCs w:val="20"/>
        </w:rPr>
      </w:pPr>
      <w:bookmarkStart w:id="230" w:name="lt_pId591"/>
      <w:r w:rsidRPr="00F935E7">
        <w:rPr>
          <w:rFonts w:cs="Arial"/>
          <w:szCs w:val="20"/>
        </w:rPr>
        <w:t>les Dépendances de la Couronne britannique de Guernesey, Jersey et l’Île de Man en vertu de la Résolution </w:t>
      </w:r>
      <w:bookmarkStart w:id="231" w:name="_ML_000000000002_VALID"/>
      <w:r w:rsidR="008E45BA" w:rsidRPr="008E45BA">
        <w:rPr>
          <w:rFonts w:cs="Arial"/>
          <w:szCs w:val="20"/>
        </w:rPr>
        <w:fldChar w:fldCharType="begin"/>
      </w:r>
      <w:r w:rsidR="008E45BA" w:rsidRPr="008E45BA">
        <w:rPr>
          <w:rFonts w:cs="Arial"/>
          <w:szCs w:val="20"/>
        </w:rPr>
        <w:instrText xml:space="preserve"> HYPERLINK "https://search.coe.int/cm/Pages/result_details.aspx?Reference=CM/Res(2012)6" \o "Résolution sur la participation des Dépendances de la Couronne Guernesey, Jersey et l'Ile de Man aux processus et procédures d'évaluation mutuelle du Comité d'experts sur l'évaluation des mesures de lutte contre le blanchiment des capitaux et le financement du terrorisme (MONEYVAL) (adoptée par le Comité des Ministres le 10 octobre 2012 lors de la 1152e réunion des Délégués des Ministr" </w:instrText>
      </w:r>
      <w:r w:rsidR="008E45BA" w:rsidRPr="008E45BA">
        <w:rPr>
          <w:rFonts w:cs="Arial"/>
          <w:szCs w:val="20"/>
        </w:rPr>
        <w:fldChar w:fldCharType="separate"/>
      </w:r>
      <w:bookmarkEnd w:id="231"/>
      <w:r w:rsidR="008E45BA" w:rsidRPr="008E45BA">
        <w:rPr>
          <w:rStyle w:val="Hyperlink"/>
          <w:rFonts w:cs="Arial"/>
          <w:szCs w:val="20"/>
        </w:rPr>
        <w:t>CM/</w:t>
      </w:r>
      <w:proofErr w:type="spellStart"/>
      <w:r w:rsidR="008E45BA" w:rsidRPr="008E45BA">
        <w:rPr>
          <w:rStyle w:val="Hyperlink"/>
          <w:rFonts w:cs="Arial"/>
          <w:szCs w:val="20"/>
        </w:rPr>
        <w:t>Res</w:t>
      </w:r>
      <w:proofErr w:type="spellEnd"/>
      <w:r w:rsidR="008E45BA" w:rsidRPr="008E45BA">
        <w:rPr>
          <w:rStyle w:val="Hyperlink"/>
          <w:rFonts w:cs="Arial"/>
          <w:szCs w:val="20"/>
        </w:rPr>
        <w:t>(2012)6</w:t>
      </w:r>
      <w:r w:rsidR="008E45BA" w:rsidRPr="008E45BA">
        <w:rPr>
          <w:rFonts w:cs="Arial"/>
          <w:szCs w:val="20"/>
        </w:rPr>
        <w:fldChar w:fldCharType="end"/>
      </w:r>
      <w:r w:rsidRPr="00F935E7">
        <w:rPr>
          <w:rFonts w:cs="Arial"/>
          <w:szCs w:val="20"/>
        </w:rPr>
        <w:t> ;</w:t>
      </w:r>
      <w:bookmarkEnd w:id="230"/>
    </w:p>
    <w:p w14:paraId="65813C7C" w14:textId="658AB0D0" w:rsidR="00DF5B08" w:rsidRPr="00F935E7" w:rsidRDefault="00DF5B08" w:rsidP="00194B02">
      <w:pPr>
        <w:numPr>
          <w:ilvl w:val="0"/>
          <w:numId w:val="34"/>
        </w:numPr>
        <w:autoSpaceDE w:val="0"/>
        <w:autoSpaceDN w:val="0"/>
        <w:adjustRightInd w:val="0"/>
        <w:ind w:left="1985"/>
        <w:rPr>
          <w:rFonts w:cs="Arial"/>
          <w:szCs w:val="20"/>
        </w:rPr>
      </w:pPr>
      <w:bookmarkStart w:id="232" w:name="lt_pId592"/>
      <w:r w:rsidRPr="00F935E7">
        <w:rPr>
          <w:rFonts w:cs="Arial"/>
          <w:szCs w:val="20"/>
        </w:rPr>
        <w:t>le Territoire britannique d’outre-mer de Gibraltar en vertu de la Résolution </w:t>
      </w:r>
      <w:bookmarkStart w:id="233" w:name="_ML_000000000003_VALID"/>
      <w:r w:rsidR="008E45BA" w:rsidRPr="008E45BA">
        <w:rPr>
          <w:rFonts w:cs="Arial"/>
          <w:szCs w:val="20"/>
        </w:rPr>
        <w:fldChar w:fldCharType="begin"/>
      </w:r>
      <w:r w:rsidR="008E45BA" w:rsidRPr="008E45BA">
        <w:rPr>
          <w:rFonts w:cs="Arial"/>
          <w:szCs w:val="20"/>
        </w:rPr>
        <w:instrText xml:space="preserve"> HYPERLINK "https://search.coe.int/cm/Pages/result_details.aspx?Reference=CM/Res(2015)26" \o "Résolution sur l'évaluation du territoire britannique d'outre-mer de Gibraltar par le Comité d'experts sur l'évaluation des mesures de lutte contre le blanchiment des capitaux et le financement du terrorisme (MONEYVAL) (adoptée par le Comité des Ministres le 14 octobre 2015, lors de la 1238e réunion des Délégués des Ministres)" </w:instrText>
      </w:r>
      <w:r w:rsidR="008E45BA" w:rsidRPr="008E45BA">
        <w:rPr>
          <w:rFonts w:cs="Arial"/>
          <w:szCs w:val="20"/>
        </w:rPr>
        <w:fldChar w:fldCharType="separate"/>
      </w:r>
      <w:bookmarkEnd w:id="233"/>
      <w:r w:rsidR="008E45BA" w:rsidRPr="008E45BA">
        <w:rPr>
          <w:rStyle w:val="Hyperlink"/>
          <w:rFonts w:cs="Arial"/>
          <w:szCs w:val="20"/>
        </w:rPr>
        <w:t>CM/</w:t>
      </w:r>
      <w:proofErr w:type="spellStart"/>
      <w:r w:rsidR="008E45BA" w:rsidRPr="008E45BA">
        <w:rPr>
          <w:rStyle w:val="Hyperlink"/>
          <w:rFonts w:cs="Arial"/>
          <w:szCs w:val="20"/>
        </w:rPr>
        <w:t>Res</w:t>
      </w:r>
      <w:proofErr w:type="spellEnd"/>
      <w:r w:rsidR="008E45BA" w:rsidRPr="008E45BA">
        <w:rPr>
          <w:rStyle w:val="Hyperlink"/>
          <w:rFonts w:cs="Arial"/>
          <w:szCs w:val="20"/>
        </w:rPr>
        <w:t>(2015)26</w:t>
      </w:r>
      <w:r w:rsidR="008E45BA" w:rsidRPr="008E45BA">
        <w:rPr>
          <w:rFonts w:cs="Arial"/>
          <w:szCs w:val="20"/>
        </w:rPr>
        <w:fldChar w:fldCharType="end"/>
      </w:r>
      <w:r w:rsidRPr="00F935E7">
        <w:rPr>
          <w:rFonts w:cs="Arial"/>
          <w:szCs w:val="20"/>
        </w:rPr>
        <w:t>.</w:t>
      </w:r>
      <w:bookmarkEnd w:id="232"/>
    </w:p>
    <w:p w14:paraId="29FA4E72" w14:textId="77777777" w:rsidR="00DF5B08" w:rsidRPr="00F935E7" w:rsidRDefault="00DF5B08" w:rsidP="00194B02">
      <w:pPr>
        <w:autoSpaceDE w:val="0"/>
        <w:autoSpaceDN w:val="0"/>
        <w:adjustRightInd w:val="0"/>
        <w:rPr>
          <w:rFonts w:cs="Arial"/>
          <w:szCs w:val="20"/>
        </w:rPr>
      </w:pPr>
    </w:p>
    <w:p w14:paraId="02A02663" w14:textId="3AEBC7C6" w:rsidR="00DF5B08" w:rsidRPr="00F935E7" w:rsidRDefault="00DF5B08" w:rsidP="00194B02">
      <w:pPr>
        <w:autoSpaceDE w:val="0"/>
        <w:autoSpaceDN w:val="0"/>
        <w:adjustRightInd w:val="0"/>
        <w:rPr>
          <w:rFonts w:cs="Arial"/>
          <w:szCs w:val="20"/>
        </w:rPr>
      </w:pPr>
      <w:bookmarkStart w:id="234" w:name="lt_pId593"/>
      <w:r w:rsidRPr="00F935E7">
        <w:rPr>
          <w:rFonts w:cs="Arial"/>
          <w:szCs w:val="20"/>
        </w:rPr>
        <w:t xml:space="preserve">En vertu de l’article 3, paragraphe 3, du Statut de MONEYVAL, la présidence du GAFI nomme, en vue de participer aux réunions de MONEYVAL, deux délégations </w:t>
      </w:r>
      <w:r w:rsidR="002E6C1B">
        <w:rPr>
          <w:rFonts w:cs="Arial"/>
          <w:szCs w:val="20"/>
        </w:rPr>
        <w:t xml:space="preserve">– </w:t>
      </w:r>
      <w:r w:rsidRPr="00F935E7">
        <w:rPr>
          <w:rFonts w:cs="Arial"/>
          <w:szCs w:val="20"/>
        </w:rPr>
        <w:t>composées chacune d’un représentant nommé pour un mandat renouvelable de deux ans</w:t>
      </w:r>
      <w:r>
        <w:rPr>
          <w:rFonts w:cs="Arial"/>
          <w:szCs w:val="20"/>
        </w:rPr>
        <w:t xml:space="preserve"> </w:t>
      </w:r>
      <w:r w:rsidR="002E6C1B">
        <w:rPr>
          <w:rFonts w:cs="Arial"/>
          <w:szCs w:val="20"/>
        </w:rPr>
        <w:t>–</w:t>
      </w:r>
      <w:r w:rsidRPr="00F935E7">
        <w:rPr>
          <w:rFonts w:cs="Arial"/>
          <w:szCs w:val="20"/>
        </w:rPr>
        <w:t xml:space="preserve"> parmi les États membres du GAFI.</w:t>
      </w:r>
      <w:bookmarkEnd w:id="234"/>
      <w:r w:rsidRPr="00F935E7">
        <w:rPr>
          <w:rFonts w:cs="Arial"/>
          <w:szCs w:val="20"/>
        </w:rPr>
        <w:t xml:space="preserve"> </w:t>
      </w:r>
      <w:bookmarkStart w:id="235" w:name="lt_pId594"/>
      <w:r w:rsidRPr="00F935E7">
        <w:rPr>
          <w:rFonts w:cs="Arial"/>
          <w:szCs w:val="20"/>
        </w:rPr>
        <w:t xml:space="preserve">En vertu d’une lettre du président du GAFI, les membres nommés </w:t>
      </w:r>
      <w:r>
        <w:rPr>
          <w:rFonts w:cs="Arial"/>
          <w:szCs w:val="20"/>
        </w:rPr>
        <w:t>par</w:t>
      </w:r>
      <w:r w:rsidRPr="00F935E7">
        <w:rPr>
          <w:rFonts w:cs="Arial"/>
          <w:szCs w:val="20"/>
        </w:rPr>
        <w:t xml:space="preserve"> le GAFI sont actuellement l’Italie et l’Allemagne.</w:t>
      </w:r>
      <w:bookmarkEnd w:id="235"/>
    </w:p>
    <w:p w14:paraId="54ED5591" w14:textId="77777777" w:rsidR="00DF5B08" w:rsidRPr="00F935E7" w:rsidRDefault="00DF5B08" w:rsidP="00194B02">
      <w:pPr>
        <w:autoSpaceDE w:val="0"/>
        <w:autoSpaceDN w:val="0"/>
        <w:adjustRightInd w:val="0"/>
        <w:rPr>
          <w:rFonts w:cs="Arial"/>
          <w:szCs w:val="20"/>
        </w:rPr>
      </w:pPr>
    </w:p>
    <w:p w14:paraId="2FF87EF6" w14:textId="77777777" w:rsidR="00DF5B08" w:rsidRPr="00F935E7" w:rsidRDefault="00DF5B08" w:rsidP="00194B02">
      <w:pPr>
        <w:autoSpaceDE w:val="0"/>
        <w:autoSpaceDN w:val="0"/>
        <w:adjustRightInd w:val="0"/>
        <w:rPr>
          <w:rFonts w:cs="Arial"/>
          <w:szCs w:val="20"/>
        </w:rPr>
      </w:pPr>
      <w:bookmarkStart w:id="236" w:name="lt_pId595"/>
      <w:r w:rsidRPr="00F935E7">
        <w:rPr>
          <w:rFonts w:cs="Arial"/>
          <w:szCs w:val="20"/>
        </w:rPr>
        <w:t>En outre, les organes, pays, organisations et institutions répertoriés ci-dessous jouissent du statut d’observateur auprès de MONEYVAL et peuvent envoyer un représentant aux réunions de celui-ci :</w:t>
      </w:r>
      <w:bookmarkEnd w:id="236"/>
      <w:r w:rsidRPr="00F935E7">
        <w:rPr>
          <w:rFonts w:cs="Arial"/>
          <w:szCs w:val="20"/>
        </w:rPr>
        <w:t xml:space="preserve"> </w:t>
      </w:r>
    </w:p>
    <w:p w14:paraId="6B2B6155" w14:textId="77777777" w:rsidR="00DF5B08" w:rsidRPr="00F935E7" w:rsidRDefault="00DF5B08" w:rsidP="00194B02">
      <w:pPr>
        <w:autoSpaceDE w:val="0"/>
        <w:autoSpaceDN w:val="0"/>
        <w:adjustRightInd w:val="0"/>
        <w:rPr>
          <w:rFonts w:cs="Arial"/>
          <w:szCs w:val="20"/>
        </w:rPr>
      </w:pPr>
    </w:p>
    <w:p w14:paraId="7A41DC08"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37" w:name="lt_pId596"/>
      <w:proofErr w:type="gramStart"/>
      <w:r w:rsidRPr="00F935E7">
        <w:rPr>
          <w:rFonts w:cs="Arial"/>
          <w:szCs w:val="20"/>
        </w:rPr>
        <w:t>l’Assemblée</w:t>
      </w:r>
      <w:proofErr w:type="gramEnd"/>
      <w:r w:rsidRPr="00F935E7">
        <w:rPr>
          <w:rFonts w:cs="Arial"/>
          <w:szCs w:val="20"/>
        </w:rPr>
        <w:t xml:space="preserve"> parlementaire du Conseil de l’Europe (APCE)</w:t>
      </w:r>
      <w:r>
        <w:rPr>
          <w:rFonts w:cs="Arial"/>
          <w:szCs w:val="20"/>
        </w:rPr>
        <w:t> </w:t>
      </w:r>
      <w:r w:rsidRPr="00F935E7">
        <w:rPr>
          <w:rFonts w:cs="Arial"/>
          <w:szCs w:val="20"/>
        </w:rPr>
        <w:t>;</w:t>
      </w:r>
      <w:bookmarkEnd w:id="237"/>
    </w:p>
    <w:p w14:paraId="4BA31D4F"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38" w:name="lt_pId597"/>
      <w:proofErr w:type="gramStart"/>
      <w:r w:rsidRPr="00F935E7">
        <w:rPr>
          <w:rFonts w:cs="Arial"/>
          <w:szCs w:val="20"/>
        </w:rPr>
        <w:t>la</w:t>
      </w:r>
      <w:proofErr w:type="gramEnd"/>
      <w:r w:rsidRPr="00F935E7">
        <w:rPr>
          <w:rFonts w:cs="Arial"/>
          <w:szCs w:val="20"/>
        </w:rPr>
        <w:t xml:space="preserve"> Banque de développement du Conseil de l’Europe (CEB) ;</w:t>
      </w:r>
      <w:bookmarkEnd w:id="238"/>
    </w:p>
    <w:p w14:paraId="4BA84A06"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39" w:name="lt_pId598"/>
      <w:proofErr w:type="gramStart"/>
      <w:r w:rsidRPr="00F935E7">
        <w:rPr>
          <w:rFonts w:cs="Arial"/>
          <w:szCs w:val="20"/>
        </w:rPr>
        <w:t>le</w:t>
      </w:r>
      <w:proofErr w:type="gramEnd"/>
      <w:r w:rsidRPr="00F935E7">
        <w:rPr>
          <w:rFonts w:cs="Arial"/>
          <w:szCs w:val="20"/>
        </w:rPr>
        <w:t xml:space="preserve"> Comité européen pour les problèmes criminels (CDPC) ;</w:t>
      </w:r>
      <w:bookmarkEnd w:id="239"/>
    </w:p>
    <w:p w14:paraId="122C985B"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0" w:name="lt_pId599"/>
      <w:proofErr w:type="gramStart"/>
      <w:r w:rsidRPr="00F935E7">
        <w:rPr>
          <w:rFonts w:cs="Arial"/>
          <w:szCs w:val="20"/>
        </w:rPr>
        <w:t>la</w:t>
      </w:r>
      <w:proofErr w:type="gramEnd"/>
      <w:r w:rsidRPr="00F935E7">
        <w:rPr>
          <w:rFonts w:cs="Arial"/>
          <w:szCs w:val="20"/>
        </w:rPr>
        <w:t xml:space="preserve"> Conférence des Parties à la Convention relative au blanchiment, au dépistage, à la saisie et à la confiscation des produits du crime et au financement du terrorisme (CdP) ;</w:t>
      </w:r>
      <w:bookmarkEnd w:id="240"/>
    </w:p>
    <w:p w14:paraId="53DD9C2C"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1" w:name="lt_pId600"/>
      <w:proofErr w:type="gramStart"/>
      <w:r w:rsidRPr="00F935E7">
        <w:rPr>
          <w:rFonts w:cs="Arial"/>
          <w:szCs w:val="20"/>
        </w:rPr>
        <w:t>la</w:t>
      </w:r>
      <w:proofErr w:type="gramEnd"/>
      <w:r w:rsidRPr="00F935E7">
        <w:rPr>
          <w:rFonts w:cs="Arial"/>
          <w:szCs w:val="20"/>
        </w:rPr>
        <w:t xml:space="preserve"> Commission européenne et le Secrétariat général du Conseil de l’Union européenne ;</w:t>
      </w:r>
      <w:bookmarkEnd w:id="241"/>
    </w:p>
    <w:p w14:paraId="77BD17E7" w14:textId="1373290B" w:rsidR="00DF5B08" w:rsidRPr="00F935E7" w:rsidRDefault="00DF5B08" w:rsidP="00194B02">
      <w:pPr>
        <w:numPr>
          <w:ilvl w:val="0"/>
          <w:numId w:val="29"/>
        </w:numPr>
        <w:autoSpaceDE w:val="0"/>
        <w:autoSpaceDN w:val="0"/>
        <w:adjustRightInd w:val="0"/>
        <w:ind w:left="709" w:hanging="709"/>
        <w:rPr>
          <w:rFonts w:cs="Arial"/>
          <w:szCs w:val="20"/>
        </w:rPr>
      </w:pPr>
      <w:bookmarkStart w:id="242" w:name="lt_pId601"/>
      <w:proofErr w:type="gramStart"/>
      <w:r w:rsidRPr="00F935E7">
        <w:rPr>
          <w:rFonts w:cs="Arial"/>
          <w:szCs w:val="20"/>
        </w:rPr>
        <w:t>les</w:t>
      </w:r>
      <w:proofErr w:type="gramEnd"/>
      <w:r w:rsidRPr="00F935E7">
        <w:rPr>
          <w:rFonts w:cs="Arial"/>
          <w:szCs w:val="20"/>
        </w:rPr>
        <w:t xml:space="preserve"> États disposant du statut d’observateur auprès du Conseil de l’Europe (Canada, États</w:t>
      </w:r>
      <w:r w:rsidR="000B4F3D">
        <w:rPr>
          <w:rFonts w:cs="Arial"/>
          <w:szCs w:val="20"/>
        </w:rPr>
        <w:noBreakHyphen/>
      </w:r>
      <w:r w:rsidRPr="00F935E7">
        <w:rPr>
          <w:rFonts w:cs="Arial"/>
          <w:szCs w:val="20"/>
        </w:rPr>
        <w:t>Unis d’Amérique, Japon, Mexique)  ;</w:t>
      </w:r>
      <w:bookmarkEnd w:id="242"/>
    </w:p>
    <w:p w14:paraId="2C4AE38B"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3" w:name="lt_pId602"/>
      <w:proofErr w:type="gramStart"/>
      <w:r w:rsidRPr="00F935E7">
        <w:rPr>
          <w:rFonts w:cs="Arial"/>
          <w:szCs w:val="20"/>
        </w:rPr>
        <w:t>le</w:t>
      </w:r>
      <w:proofErr w:type="gramEnd"/>
      <w:r w:rsidRPr="00F935E7">
        <w:rPr>
          <w:rFonts w:cs="Arial"/>
          <w:szCs w:val="20"/>
        </w:rPr>
        <w:t xml:space="preserve"> Secrétariat du Groupe d’action financière (GAFI)  ;</w:t>
      </w:r>
      <w:bookmarkEnd w:id="243"/>
    </w:p>
    <w:p w14:paraId="50081141" w14:textId="3D27EF8F" w:rsidR="00DF5B08" w:rsidRDefault="00DF5B08" w:rsidP="00194B02">
      <w:pPr>
        <w:numPr>
          <w:ilvl w:val="0"/>
          <w:numId w:val="29"/>
        </w:numPr>
        <w:autoSpaceDE w:val="0"/>
        <w:autoSpaceDN w:val="0"/>
        <w:adjustRightInd w:val="0"/>
        <w:ind w:left="709" w:hanging="709"/>
        <w:rPr>
          <w:rFonts w:cs="Arial"/>
          <w:szCs w:val="20"/>
        </w:rPr>
      </w:pPr>
      <w:bookmarkStart w:id="244" w:name="lt_pId603"/>
      <w:r w:rsidRPr="00F935E7">
        <w:rPr>
          <w:rFonts w:cs="Arial"/>
          <w:szCs w:val="20"/>
        </w:rPr>
        <w:t>Interpol ;</w:t>
      </w:r>
      <w:bookmarkEnd w:id="244"/>
    </w:p>
    <w:p w14:paraId="401E1B3D" w14:textId="29695EFB" w:rsidR="00A841AB" w:rsidRPr="00F935E7" w:rsidRDefault="00A841AB" w:rsidP="00194B02">
      <w:pPr>
        <w:numPr>
          <w:ilvl w:val="0"/>
          <w:numId w:val="29"/>
        </w:numPr>
        <w:autoSpaceDE w:val="0"/>
        <w:autoSpaceDN w:val="0"/>
        <w:adjustRightInd w:val="0"/>
        <w:ind w:left="709" w:hanging="709"/>
        <w:rPr>
          <w:rFonts w:cs="Arial"/>
          <w:szCs w:val="20"/>
        </w:rPr>
      </w:pPr>
      <w:r>
        <w:rPr>
          <w:rFonts w:cs="Arial"/>
          <w:szCs w:val="20"/>
        </w:rPr>
        <w:t>La Banque islamique de développement ;</w:t>
      </w:r>
    </w:p>
    <w:p w14:paraId="608AC892"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5" w:name="lt_pId604"/>
      <w:proofErr w:type="gramStart"/>
      <w:r w:rsidRPr="00F935E7">
        <w:rPr>
          <w:rFonts w:cs="Arial"/>
          <w:szCs w:val="20"/>
        </w:rPr>
        <w:t>le</w:t>
      </w:r>
      <w:proofErr w:type="gramEnd"/>
      <w:r w:rsidRPr="00F935E7">
        <w:rPr>
          <w:rFonts w:cs="Arial"/>
          <w:szCs w:val="20"/>
        </w:rPr>
        <w:t xml:space="preserve"> Fonds monétaire international (FMI) ;</w:t>
      </w:r>
      <w:bookmarkEnd w:id="245"/>
    </w:p>
    <w:p w14:paraId="473D80B3"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6" w:name="lt_pId605"/>
      <w:proofErr w:type="gramStart"/>
      <w:r w:rsidRPr="00F935E7">
        <w:rPr>
          <w:rFonts w:cs="Arial"/>
          <w:szCs w:val="20"/>
        </w:rPr>
        <w:t>l’Office</w:t>
      </w:r>
      <w:proofErr w:type="gramEnd"/>
      <w:r w:rsidRPr="00F935E7">
        <w:rPr>
          <w:rFonts w:cs="Arial"/>
          <w:szCs w:val="20"/>
        </w:rPr>
        <w:t xml:space="preserve"> des Nations unies contre la drogue et le crime (ONUDC) ;</w:t>
      </w:r>
      <w:bookmarkEnd w:id="246"/>
    </w:p>
    <w:p w14:paraId="1D7F2FF1"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7" w:name="lt_pId606"/>
      <w:proofErr w:type="gramStart"/>
      <w:r w:rsidRPr="00F935E7">
        <w:rPr>
          <w:rFonts w:cs="Arial"/>
          <w:szCs w:val="20"/>
        </w:rPr>
        <w:t>le</w:t>
      </w:r>
      <w:proofErr w:type="gramEnd"/>
      <w:r w:rsidRPr="00F935E7">
        <w:rPr>
          <w:rFonts w:cs="Arial"/>
          <w:szCs w:val="20"/>
        </w:rPr>
        <w:t xml:space="preserve"> Comité contre le terrorisme du Conseil de sécurité des Nations unies (CCT) ;</w:t>
      </w:r>
      <w:bookmarkEnd w:id="247"/>
    </w:p>
    <w:p w14:paraId="335EED05"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8" w:name="lt_pId607"/>
      <w:proofErr w:type="gramStart"/>
      <w:r w:rsidRPr="00F935E7">
        <w:rPr>
          <w:rFonts w:cs="Arial"/>
          <w:szCs w:val="20"/>
        </w:rPr>
        <w:t>la</w:t>
      </w:r>
      <w:proofErr w:type="gramEnd"/>
      <w:r w:rsidRPr="00F935E7">
        <w:rPr>
          <w:rFonts w:cs="Arial"/>
          <w:szCs w:val="20"/>
        </w:rPr>
        <w:t xml:space="preserve"> Banque mondiale  ;</w:t>
      </w:r>
      <w:bookmarkEnd w:id="248"/>
    </w:p>
    <w:p w14:paraId="5BB7A2B2"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49" w:name="lt_pId608"/>
      <w:proofErr w:type="gramStart"/>
      <w:r w:rsidRPr="00F935E7">
        <w:rPr>
          <w:rFonts w:cs="Arial"/>
          <w:szCs w:val="20"/>
        </w:rPr>
        <w:t>le</w:t>
      </w:r>
      <w:proofErr w:type="gramEnd"/>
      <w:r w:rsidRPr="00F935E7">
        <w:rPr>
          <w:rFonts w:cs="Arial"/>
          <w:szCs w:val="20"/>
        </w:rPr>
        <w:t xml:space="preserve"> </w:t>
      </w:r>
      <w:r w:rsidRPr="00D92C8A">
        <w:rPr>
          <w:rFonts w:cs="Arial"/>
          <w:szCs w:val="20"/>
        </w:rPr>
        <w:t>Secrétariat du Commonwealth ;</w:t>
      </w:r>
      <w:bookmarkEnd w:id="249"/>
    </w:p>
    <w:p w14:paraId="2EE96440"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50" w:name="lt_pId609"/>
      <w:proofErr w:type="gramStart"/>
      <w:r w:rsidRPr="00F935E7">
        <w:rPr>
          <w:rFonts w:cs="Arial"/>
          <w:szCs w:val="20"/>
        </w:rPr>
        <w:t>la</w:t>
      </w:r>
      <w:proofErr w:type="gramEnd"/>
      <w:r w:rsidRPr="00F935E7">
        <w:rPr>
          <w:rFonts w:cs="Arial"/>
          <w:szCs w:val="20"/>
        </w:rPr>
        <w:t xml:space="preserve"> Banque européenne pour la reconstruction et le développement (BERD)  ;</w:t>
      </w:r>
      <w:bookmarkEnd w:id="250"/>
    </w:p>
    <w:p w14:paraId="4AB7C012"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51" w:name="lt_pId610"/>
      <w:proofErr w:type="gramStart"/>
      <w:r w:rsidRPr="00F935E7">
        <w:rPr>
          <w:rFonts w:cs="Arial"/>
          <w:szCs w:val="20"/>
        </w:rPr>
        <w:t>le</w:t>
      </w:r>
      <w:proofErr w:type="gramEnd"/>
      <w:r w:rsidRPr="00F935E7">
        <w:rPr>
          <w:rFonts w:cs="Arial"/>
          <w:szCs w:val="20"/>
        </w:rPr>
        <w:t xml:space="preserve"> Groupe des superviseurs des centres financiers internationaux (GIFICS)  ;</w:t>
      </w:r>
      <w:bookmarkEnd w:id="251"/>
    </w:p>
    <w:p w14:paraId="06503DB2"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52" w:name="lt_pId611"/>
      <w:proofErr w:type="gramStart"/>
      <w:r w:rsidRPr="00F935E7">
        <w:rPr>
          <w:rFonts w:cs="Arial"/>
          <w:szCs w:val="20"/>
        </w:rPr>
        <w:t>l’Organisation</w:t>
      </w:r>
      <w:proofErr w:type="gramEnd"/>
      <w:r w:rsidRPr="00F935E7">
        <w:rPr>
          <w:rFonts w:cs="Arial"/>
          <w:szCs w:val="20"/>
        </w:rPr>
        <w:t xml:space="preserve"> pour la sécurité et la coopération en Europe (OSCE)  ;</w:t>
      </w:r>
      <w:bookmarkEnd w:id="252"/>
    </w:p>
    <w:p w14:paraId="4F5B9042"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53" w:name="lt_pId612"/>
      <w:proofErr w:type="gramStart"/>
      <w:r w:rsidRPr="00F935E7">
        <w:rPr>
          <w:rFonts w:cs="Arial"/>
          <w:szCs w:val="20"/>
        </w:rPr>
        <w:t>le</w:t>
      </w:r>
      <w:proofErr w:type="gramEnd"/>
      <w:r w:rsidRPr="00F935E7">
        <w:rPr>
          <w:rFonts w:cs="Arial"/>
          <w:szCs w:val="20"/>
        </w:rPr>
        <w:t xml:space="preserve"> Groupe Egmont de</w:t>
      </w:r>
      <w:r>
        <w:rPr>
          <w:rFonts w:cs="Arial"/>
          <w:szCs w:val="20"/>
        </w:rPr>
        <w:t xml:space="preserve"> cellules de</w:t>
      </w:r>
      <w:r w:rsidRPr="00F935E7">
        <w:rPr>
          <w:rFonts w:cs="Arial"/>
          <w:szCs w:val="20"/>
        </w:rPr>
        <w:t xml:space="preserve"> renseignements financiers  ;</w:t>
      </w:r>
      <w:bookmarkEnd w:id="253"/>
    </w:p>
    <w:p w14:paraId="06BA0F78"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54" w:name="lt_pId613"/>
      <w:proofErr w:type="gramStart"/>
      <w:r w:rsidRPr="00F935E7">
        <w:rPr>
          <w:rFonts w:cs="Arial"/>
          <w:szCs w:val="20"/>
        </w:rPr>
        <w:t>le</w:t>
      </w:r>
      <w:proofErr w:type="gramEnd"/>
      <w:r w:rsidRPr="00F935E7">
        <w:rPr>
          <w:rFonts w:cs="Arial"/>
          <w:szCs w:val="20"/>
        </w:rPr>
        <w:t xml:space="preserve"> Groupe Eurasie sur le blanchiment de capitaux et le financement du terrorisme (EAG) ;</w:t>
      </w:r>
      <w:bookmarkEnd w:id="254"/>
    </w:p>
    <w:p w14:paraId="2AF019C1"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55" w:name="lt_pId614"/>
      <w:proofErr w:type="gramStart"/>
      <w:r w:rsidRPr="00F935E7">
        <w:rPr>
          <w:rFonts w:cs="Arial"/>
          <w:szCs w:val="20"/>
        </w:rPr>
        <w:lastRenderedPageBreak/>
        <w:t>tout</w:t>
      </w:r>
      <w:proofErr w:type="gramEnd"/>
      <w:r w:rsidRPr="00F935E7">
        <w:rPr>
          <w:rFonts w:cs="Arial"/>
          <w:szCs w:val="20"/>
        </w:rPr>
        <w:t xml:space="preserve"> autre organisme régional de type GAFI (ORTG) qui est ou devient membre associé du GAFI sur la base de la réciprocité  ;</w:t>
      </w:r>
      <w:bookmarkEnd w:id="255"/>
    </w:p>
    <w:p w14:paraId="5818CC91" w14:textId="77777777" w:rsidR="00DF5B08" w:rsidRPr="00F935E7" w:rsidRDefault="00DF5B08" w:rsidP="00194B02">
      <w:pPr>
        <w:numPr>
          <w:ilvl w:val="0"/>
          <w:numId w:val="29"/>
        </w:numPr>
        <w:autoSpaceDE w:val="0"/>
        <w:autoSpaceDN w:val="0"/>
        <w:adjustRightInd w:val="0"/>
        <w:ind w:left="709" w:hanging="709"/>
        <w:rPr>
          <w:rFonts w:cs="Arial"/>
          <w:szCs w:val="20"/>
        </w:rPr>
      </w:pPr>
      <w:bookmarkStart w:id="256" w:name="lt_pId615"/>
      <w:bookmarkStart w:id="257" w:name="_Toc379211902"/>
      <w:proofErr w:type="gramStart"/>
      <w:r w:rsidRPr="00F935E7">
        <w:rPr>
          <w:rFonts w:cs="Arial"/>
          <w:szCs w:val="20"/>
        </w:rPr>
        <w:t>tout</w:t>
      </w:r>
      <w:proofErr w:type="gramEnd"/>
      <w:r w:rsidRPr="00F935E7">
        <w:rPr>
          <w:rFonts w:cs="Arial"/>
          <w:szCs w:val="20"/>
        </w:rPr>
        <w:t xml:space="preserve"> membre du GAFI.</w:t>
      </w:r>
      <w:bookmarkEnd w:id="256"/>
    </w:p>
    <w:p w14:paraId="463B2F72" w14:textId="7A73B0A6" w:rsidR="00DF5B08" w:rsidRPr="00F935E7" w:rsidRDefault="00DF5B08" w:rsidP="00DF5B08">
      <w:pPr>
        <w:jc w:val="both"/>
        <w:rPr>
          <w:b/>
        </w:rPr>
      </w:pPr>
      <w:bookmarkStart w:id="258" w:name="_Toc66712442"/>
    </w:p>
    <w:p w14:paraId="6797FB6F" w14:textId="67895471" w:rsidR="00DF5B08" w:rsidRPr="00F935E7" w:rsidRDefault="00194B02" w:rsidP="00DF5B08">
      <w:pPr>
        <w:pStyle w:val="Heading2"/>
        <w:jc w:val="both"/>
        <w:rPr>
          <w:rStyle w:val="Strong"/>
          <w:rFonts w:ascii="Arial" w:eastAsiaTheme="minorHAnsi" w:hAnsi="Arial" w:cs="Arial"/>
          <w:color w:val="auto"/>
          <w:sz w:val="20"/>
          <w:szCs w:val="20"/>
          <w:lang w:val="fr-FR"/>
        </w:rPr>
      </w:pPr>
      <w:bookmarkStart w:id="259" w:name="_Toc93996558"/>
      <w:bookmarkStart w:id="260" w:name="_Toc94256543"/>
      <w:bookmarkStart w:id="261" w:name="_Toc135412714"/>
      <w:r>
        <w:rPr>
          <w:rStyle w:val="Strong"/>
          <w:rFonts w:ascii="Arial" w:eastAsiaTheme="minorHAnsi" w:hAnsi="Arial" w:cs="Arial"/>
          <w:color w:val="auto"/>
          <w:sz w:val="20"/>
          <w:szCs w:val="20"/>
          <w:lang w:val="fr-FR"/>
        </w:rPr>
        <w:t>8</w:t>
      </w:r>
      <w:r w:rsidR="00DF5B08" w:rsidRPr="00F935E7">
        <w:rPr>
          <w:rStyle w:val="Strong"/>
          <w:rFonts w:ascii="Arial" w:eastAsiaTheme="minorHAnsi" w:hAnsi="Arial" w:cs="Arial"/>
          <w:color w:val="auto"/>
          <w:sz w:val="20"/>
          <w:szCs w:val="20"/>
          <w:lang w:val="fr-FR"/>
        </w:rPr>
        <w:t>.2.</w:t>
      </w:r>
      <w:r w:rsidR="00DF5B08" w:rsidRPr="00F935E7">
        <w:rPr>
          <w:rStyle w:val="Strong"/>
          <w:rFonts w:ascii="Arial" w:eastAsiaTheme="minorHAnsi" w:hAnsi="Arial" w:cs="Arial"/>
          <w:color w:val="auto"/>
          <w:sz w:val="20"/>
          <w:szCs w:val="20"/>
          <w:lang w:val="fr-FR"/>
        </w:rPr>
        <w:tab/>
      </w:r>
      <w:bookmarkStart w:id="262" w:name="lt_pId617"/>
      <w:bookmarkEnd w:id="258"/>
      <w:bookmarkEnd w:id="259"/>
      <w:r w:rsidR="00DF5B08" w:rsidRPr="00F935E7">
        <w:rPr>
          <w:rStyle w:val="Strong"/>
          <w:rFonts w:ascii="Arial" w:eastAsiaTheme="minorHAnsi" w:hAnsi="Arial" w:cs="Arial"/>
          <w:color w:val="auto"/>
          <w:sz w:val="20"/>
          <w:szCs w:val="20"/>
          <w:lang w:val="fr-FR"/>
        </w:rPr>
        <w:t>Bureau</w:t>
      </w:r>
      <w:bookmarkEnd w:id="260"/>
      <w:bookmarkEnd w:id="261"/>
      <w:bookmarkEnd w:id="262"/>
    </w:p>
    <w:p w14:paraId="4C95B50E" w14:textId="77777777" w:rsidR="00DF5B08" w:rsidRPr="00F935E7" w:rsidRDefault="00DF5B08" w:rsidP="00DF5B08">
      <w:pPr>
        <w:jc w:val="both"/>
      </w:pPr>
    </w:p>
    <w:p w14:paraId="264FAADC" w14:textId="52277D6D" w:rsidR="00DF5B08" w:rsidRPr="00F935E7" w:rsidRDefault="00DF5B08" w:rsidP="00194B02">
      <w:pPr>
        <w:rPr>
          <w:rFonts w:cs="Arial"/>
          <w:szCs w:val="20"/>
        </w:rPr>
      </w:pPr>
      <w:bookmarkStart w:id="263" w:name="lt_pId618"/>
      <w:r w:rsidRPr="00F935E7">
        <w:rPr>
          <w:rFonts w:cs="Arial"/>
          <w:szCs w:val="20"/>
        </w:rPr>
        <w:t>Le Bureau de MONEYVAL est le principal organe de gouvernance de ce comité. Il assume un certain nombre de tâches, dont l’assistance à la présidence, la supervision de la préparation des réunions plénières et la continuité entre les réunions.</w:t>
      </w:r>
      <w:bookmarkEnd w:id="263"/>
      <w:r w:rsidRPr="00F935E7">
        <w:rPr>
          <w:rFonts w:cs="Arial"/>
          <w:szCs w:val="20"/>
        </w:rPr>
        <w:t xml:space="preserve"> </w:t>
      </w:r>
      <w:bookmarkStart w:id="264" w:name="lt_pId619"/>
      <w:r w:rsidRPr="00F935E7">
        <w:rPr>
          <w:rFonts w:cs="Arial"/>
          <w:szCs w:val="20"/>
        </w:rPr>
        <w:t xml:space="preserve">Il se compose d’un(e) </w:t>
      </w:r>
      <w:r>
        <w:rPr>
          <w:rFonts w:cs="Arial"/>
          <w:szCs w:val="20"/>
        </w:rPr>
        <w:t>P</w:t>
      </w:r>
      <w:r w:rsidRPr="00F935E7">
        <w:rPr>
          <w:rFonts w:cs="Arial"/>
          <w:szCs w:val="20"/>
        </w:rPr>
        <w:t>résident(e), de deux vice-président(e)s et de deux autres membres.</w:t>
      </w:r>
      <w:bookmarkEnd w:id="264"/>
      <w:r w:rsidRPr="00F935E7">
        <w:rPr>
          <w:rFonts w:cs="Arial"/>
          <w:szCs w:val="20"/>
        </w:rPr>
        <w:t xml:space="preserve"> </w:t>
      </w:r>
      <w:bookmarkStart w:id="265" w:name="lt_pId620"/>
      <w:r w:rsidRPr="00F935E7">
        <w:rPr>
          <w:rFonts w:cs="Arial"/>
          <w:szCs w:val="20"/>
        </w:rPr>
        <w:t xml:space="preserve">Fin </w:t>
      </w:r>
      <w:r w:rsidR="00791F91">
        <w:rPr>
          <w:rFonts w:cs="Arial"/>
          <w:szCs w:val="20"/>
        </w:rPr>
        <w:t>2022,</w:t>
      </w:r>
      <w:r w:rsidR="00791F91" w:rsidRPr="00F935E7">
        <w:rPr>
          <w:rFonts w:cs="Arial"/>
          <w:szCs w:val="20"/>
        </w:rPr>
        <w:t xml:space="preserve"> </w:t>
      </w:r>
      <w:r w:rsidRPr="00F935E7">
        <w:rPr>
          <w:rFonts w:cs="Arial"/>
          <w:szCs w:val="20"/>
        </w:rPr>
        <w:t>la liste des membres du Bureau s’établissait comme suit :</w:t>
      </w:r>
      <w:bookmarkEnd w:id="265"/>
    </w:p>
    <w:p w14:paraId="595A8C6B" w14:textId="77777777" w:rsidR="00DF5B08" w:rsidRPr="00F935E7" w:rsidRDefault="00DF5B08" w:rsidP="00194B02">
      <w:pPr>
        <w:rPr>
          <w:rFonts w:cs="Arial"/>
          <w:b/>
          <w:bCs/>
          <w:w w:val="105"/>
          <w:kern w:val="28"/>
          <w:szCs w:val="20"/>
          <w:lang w:eastAsia="zh-CN"/>
        </w:rPr>
      </w:pPr>
      <w:bookmarkStart w:id="266" w:name="_Toc446602098"/>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7706"/>
      </w:tblGrid>
      <w:tr w:rsidR="00DF5B08" w:rsidRPr="00776250" w14:paraId="3391FEB2" w14:textId="77777777" w:rsidTr="002E6C1B">
        <w:tc>
          <w:tcPr>
            <w:tcW w:w="5000" w:type="pct"/>
            <w:gridSpan w:val="2"/>
            <w:shd w:val="clear" w:color="auto" w:fill="808080"/>
          </w:tcPr>
          <w:p w14:paraId="01C9BE31" w14:textId="77777777" w:rsidR="00DF5B08" w:rsidRPr="00F935E7" w:rsidRDefault="00DF5B08" w:rsidP="00194B02">
            <w:pPr>
              <w:rPr>
                <w:rFonts w:cs="Arial"/>
                <w:b/>
                <w:bCs/>
                <w:szCs w:val="20"/>
                <w:lang w:eastAsia="en-GB"/>
              </w:rPr>
            </w:pPr>
            <w:bookmarkStart w:id="267" w:name="lt_pId621"/>
            <w:r w:rsidRPr="00F935E7">
              <w:rPr>
                <w:rFonts w:cs="Arial"/>
                <w:b/>
                <w:bCs/>
                <w:szCs w:val="20"/>
                <w:u w:val="single"/>
                <w:lang w:eastAsia="en-GB"/>
              </w:rPr>
              <w:t>Bureau de MONEYVAL élu pour un mandat de deux ans en 2019</w:t>
            </w:r>
            <w:bookmarkEnd w:id="267"/>
          </w:p>
        </w:tc>
      </w:tr>
      <w:tr w:rsidR="00DF5B08" w:rsidRPr="00776250" w14:paraId="5890D000" w14:textId="77777777" w:rsidTr="002E6C1B">
        <w:tc>
          <w:tcPr>
            <w:tcW w:w="1115" w:type="pct"/>
            <w:tcBorders>
              <w:right w:val="nil"/>
            </w:tcBorders>
            <w:shd w:val="clear" w:color="auto" w:fill="auto"/>
          </w:tcPr>
          <w:p w14:paraId="02E4C28B" w14:textId="1F425676" w:rsidR="00DF5B08" w:rsidRPr="00F935E7" w:rsidRDefault="00DF5B08" w:rsidP="00194B02">
            <w:pPr>
              <w:spacing w:before="120"/>
              <w:rPr>
                <w:rFonts w:eastAsia="Times New Roman" w:cs="Arial"/>
                <w:bCs/>
                <w:szCs w:val="20"/>
                <w:lang w:eastAsia="fr-FR"/>
              </w:rPr>
            </w:pPr>
            <w:bookmarkStart w:id="268" w:name="lt_pId622"/>
            <w:r w:rsidRPr="00F935E7">
              <w:rPr>
                <w:rFonts w:eastAsia="Times New Roman" w:cs="Arial"/>
                <w:bCs/>
                <w:szCs w:val="20"/>
                <w:lang w:eastAsia="fr-FR"/>
              </w:rPr>
              <w:t>Présidente</w:t>
            </w:r>
            <w:bookmarkEnd w:id="268"/>
          </w:p>
        </w:tc>
        <w:tc>
          <w:tcPr>
            <w:tcW w:w="3885" w:type="pct"/>
            <w:tcBorders>
              <w:left w:val="nil"/>
            </w:tcBorders>
            <w:shd w:val="clear" w:color="auto" w:fill="auto"/>
          </w:tcPr>
          <w:p w14:paraId="1D080ABE" w14:textId="77777777" w:rsidR="00DF5B08" w:rsidRPr="00F935E7" w:rsidRDefault="00DF5B08" w:rsidP="00194B02">
            <w:pPr>
              <w:spacing w:before="120"/>
              <w:rPr>
                <w:rFonts w:cs="Arial"/>
                <w:bCs/>
                <w:kern w:val="28"/>
                <w:szCs w:val="20"/>
                <w:lang w:eastAsia="zh-CN"/>
              </w:rPr>
            </w:pPr>
            <w:bookmarkStart w:id="269" w:name="lt_pId623"/>
            <w:r w:rsidRPr="00F935E7">
              <w:rPr>
                <w:rFonts w:cs="Arial"/>
                <w:bCs/>
                <w:kern w:val="28"/>
                <w:szCs w:val="20"/>
                <w:lang w:eastAsia="zh-CN"/>
              </w:rPr>
              <w:t>M</w:t>
            </w:r>
            <w:r w:rsidRPr="00F935E7">
              <w:rPr>
                <w:rFonts w:cs="Arial"/>
                <w:bCs/>
                <w:kern w:val="28"/>
                <w:szCs w:val="20"/>
                <w:vertAlign w:val="superscript"/>
                <w:lang w:eastAsia="zh-CN"/>
              </w:rPr>
              <w:t>me</w:t>
            </w:r>
            <w:r w:rsidRPr="00F935E7">
              <w:rPr>
                <w:rFonts w:cs="Arial"/>
                <w:bCs/>
                <w:kern w:val="28"/>
                <w:szCs w:val="20"/>
                <w:lang w:eastAsia="zh-CN"/>
              </w:rPr>
              <w:t> </w:t>
            </w:r>
            <w:proofErr w:type="spellStart"/>
            <w:r w:rsidRPr="00F935E7">
              <w:rPr>
                <w:rFonts w:cs="Arial"/>
                <w:bCs/>
                <w:kern w:val="28"/>
                <w:szCs w:val="20"/>
                <w:lang w:eastAsia="zh-CN"/>
              </w:rPr>
              <w:t>Elzbieta</w:t>
            </w:r>
            <w:proofErr w:type="spellEnd"/>
            <w:r w:rsidRPr="00F935E7">
              <w:rPr>
                <w:rFonts w:cs="Arial"/>
                <w:bCs/>
                <w:kern w:val="28"/>
                <w:szCs w:val="20"/>
                <w:lang w:eastAsia="zh-CN"/>
              </w:rPr>
              <w:t xml:space="preserve"> </w:t>
            </w:r>
            <w:proofErr w:type="spellStart"/>
            <w:r w:rsidRPr="00F935E7">
              <w:rPr>
                <w:rFonts w:cs="Arial"/>
                <w:bCs/>
                <w:kern w:val="28"/>
                <w:szCs w:val="20"/>
                <w:lang w:eastAsia="zh-CN"/>
              </w:rPr>
              <w:t>Frankow-Jaskiewicz</w:t>
            </w:r>
            <w:proofErr w:type="spellEnd"/>
            <w:r w:rsidRPr="00F935E7">
              <w:rPr>
                <w:rFonts w:cs="Arial"/>
                <w:bCs/>
                <w:kern w:val="28"/>
                <w:szCs w:val="20"/>
                <w:lang w:eastAsia="zh-CN"/>
              </w:rPr>
              <w:t xml:space="preserve"> (Pologne)</w:t>
            </w:r>
            <w:bookmarkEnd w:id="269"/>
          </w:p>
        </w:tc>
      </w:tr>
      <w:tr w:rsidR="00DF5B08" w:rsidRPr="00776250" w14:paraId="3AB766E7" w14:textId="77777777" w:rsidTr="002E6C1B">
        <w:tc>
          <w:tcPr>
            <w:tcW w:w="1115" w:type="pct"/>
            <w:tcBorders>
              <w:right w:val="nil"/>
            </w:tcBorders>
            <w:shd w:val="clear" w:color="auto" w:fill="auto"/>
          </w:tcPr>
          <w:p w14:paraId="46886A97" w14:textId="7B56F81E" w:rsidR="00DF5B08" w:rsidRPr="00F935E7" w:rsidRDefault="00DF5B08" w:rsidP="00194B02">
            <w:pPr>
              <w:spacing w:before="120"/>
              <w:rPr>
                <w:rFonts w:eastAsia="Times New Roman" w:cs="Arial"/>
                <w:bCs/>
                <w:szCs w:val="20"/>
                <w:lang w:eastAsia="fr-FR"/>
              </w:rPr>
            </w:pPr>
            <w:bookmarkStart w:id="270" w:name="lt_pId624"/>
            <w:r w:rsidRPr="00F935E7">
              <w:rPr>
                <w:rFonts w:eastAsia="Times New Roman" w:cs="Arial"/>
                <w:bCs/>
                <w:szCs w:val="20"/>
                <w:lang w:eastAsia="fr-FR"/>
              </w:rPr>
              <w:t>Vice-président(e)s :</w:t>
            </w:r>
            <w:bookmarkEnd w:id="270"/>
          </w:p>
        </w:tc>
        <w:tc>
          <w:tcPr>
            <w:tcW w:w="3885" w:type="pct"/>
            <w:tcBorders>
              <w:left w:val="nil"/>
              <w:bottom w:val="single" w:sz="4" w:space="0" w:color="auto"/>
            </w:tcBorders>
            <w:shd w:val="clear" w:color="auto" w:fill="auto"/>
          </w:tcPr>
          <w:p w14:paraId="7A6DED7B" w14:textId="3526F06C" w:rsidR="00DF5B08" w:rsidRPr="00F935E7" w:rsidRDefault="00DF5B08" w:rsidP="00194B02">
            <w:pPr>
              <w:spacing w:before="120"/>
              <w:rPr>
                <w:rFonts w:cs="Arial"/>
                <w:szCs w:val="20"/>
                <w:lang w:eastAsia="zh-CN"/>
              </w:rPr>
            </w:pPr>
            <w:bookmarkStart w:id="271" w:name="lt_pId625"/>
            <w:r w:rsidRPr="00F935E7">
              <w:rPr>
                <w:rFonts w:cs="Arial"/>
                <w:szCs w:val="20"/>
              </w:rPr>
              <w:t>M</w:t>
            </w:r>
            <w:r w:rsidRPr="00F935E7">
              <w:rPr>
                <w:rFonts w:cs="Arial"/>
                <w:szCs w:val="20"/>
                <w:vertAlign w:val="superscript"/>
              </w:rPr>
              <w:t>me</w:t>
            </w:r>
            <w:r w:rsidRPr="00F935E7">
              <w:rPr>
                <w:rFonts w:cs="Arial"/>
                <w:szCs w:val="20"/>
              </w:rPr>
              <w:t> </w:t>
            </w:r>
            <w:proofErr w:type="spellStart"/>
            <w:r w:rsidRPr="00F935E7">
              <w:rPr>
                <w:rFonts w:cs="Arial"/>
                <w:szCs w:val="20"/>
              </w:rPr>
              <w:t>Astghik</w:t>
            </w:r>
            <w:proofErr w:type="spellEnd"/>
            <w:r w:rsidRPr="00F935E7">
              <w:rPr>
                <w:rFonts w:cs="Arial"/>
                <w:szCs w:val="20"/>
              </w:rPr>
              <w:t xml:space="preserve"> </w:t>
            </w:r>
            <w:proofErr w:type="spellStart"/>
            <w:r w:rsidRPr="00F935E7">
              <w:rPr>
                <w:rFonts w:cs="Arial"/>
                <w:szCs w:val="20"/>
              </w:rPr>
              <w:t>Karamanukyan</w:t>
            </w:r>
            <w:proofErr w:type="spellEnd"/>
            <w:r w:rsidRPr="00F935E7">
              <w:rPr>
                <w:rFonts w:cs="Arial"/>
                <w:szCs w:val="20"/>
              </w:rPr>
              <w:t xml:space="preserve"> (Arménie)</w:t>
            </w:r>
            <w:bookmarkEnd w:id="271"/>
          </w:p>
          <w:p w14:paraId="663C8496" w14:textId="77777777" w:rsidR="00DF5B08" w:rsidRPr="00F935E7" w:rsidRDefault="00DF5B08" w:rsidP="00194B02">
            <w:pPr>
              <w:spacing w:before="120"/>
              <w:rPr>
                <w:rFonts w:cs="Arial"/>
                <w:bCs/>
                <w:kern w:val="28"/>
                <w:szCs w:val="20"/>
                <w:lang w:eastAsia="zh-CN"/>
              </w:rPr>
            </w:pPr>
            <w:bookmarkStart w:id="272" w:name="lt_pId626"/>
            <w:r w:rsidRPr="00F935E7">
              <w:rPr>
                <w:rFonts w:cs="Arial"/>
                <w:szCs w:val="20"/>
                <w:lang w:eastAsia="zh-CN"/>
              </w:rPr>
              <w:t>M.</w:t>
            </w:r>
            <w:r w:rsidRPr="00F935E7">
              <w:rPr>
                <w:rFonts w:cs="Arial"/>
                <w:szCs w:val="20"/>
              </w:rPr>
              <w:t> </w:t>
            </w:r>
            <w:r w:rsidRPr="00F935E7">
              <w:rPr>
                <w:rFonts w:cs="Arial"/>
                <w:szCs w:val="20"/>
                <w:lang w:eastAsia="zh-CN"/>
              </w:rPr>
              <w:t>Richard Walker (Dépendance de la Couronne britannique de Guernesey</w:t>
            </w:r>
            <w:r w:rsidRPr="00F935E7">
              <w:rPr>
                <w:rFonts w:cs="Arial"/>
                <w:bCs/>
                <w:kern w:val="28"/>
                <w:szCs w:val="20"/>
                <w:lang w:eastAsia="zh-CN"/>
              </w:rPr>
              <w:t>)</w:t>
            </w:r>
            <w:bookmarkEnd w:id="272"/>
          </w:p>
        </w:tc>
      </w:tr>
      <w:tr w:rsidR="00DF5B08" w:rsidRPr="00F935E7" w14:paraId="0B87CDA5" w14:textId="77777777" w:rsidTr="002E6C1B">
        <w:tc>
          <w:tcPr>
            <w:tcW w:w="1115" w:type="pct"/>
            <w:tcBorders>
              <w:right w:val="nil"/>
            </w:tcBorders>
            <w:shd w:val="clear" w:color="auto" w:fill="auto"/>
          </w:tcPr>
          <w:p w14:paraId="28F381CA" w14:textId="3517CA37" w:rsidR="00DF5B08" w:rsidRPr="00F935E7" w:rsidRDefault="00DF5B08" w:rsidP="00194B02">
            <w:pPr>
              <w:spacing w:before="120"/>
              <w:rPr>
                <w:rFonts w:eastAsia="Times New Roman" w:cs="Arial"/>
                <w:bCs/>
                <w:szCs w:val="20"/>
                <w:lang w:eastAsia="fr-FR"/>
              </w:rPr>
            </w:pPr>
            <w:bookmarkStart w:id="273" w:name="lt_pId627"/>
            <w:r w:rsidRPr="00F935E7">
              <w:rPr>
                <w:rFonts w:eastAsia="Times New Roman" w:cs="Arial"/>
                <w:bCs/>
                <w:szCs w:val="20"/>
                <w:lang w:eastAsia="fr-FR"/>
              </w:rPr>
              <w:t>Membres :</w:t>
            </w:r>
            <w:bookmarkEnd w:id="273"/>
          </w:p>
        </w:tc>
        <w:tc>
          <w:tcPr>
            <w:tcW w:w="3885" w:type="pct"/>
            <w:tcBorders>
              <w:left w:val="nil"/>
              <w:bottom w:val="single" w:sz="4" w:space="0" w:color="auto"/>
            </w:tcBorders>
            <w:shd w:val="clear" w:color="auto" w:fill="auto"/>
          </w:tcPr>
          <w:p w14:paraId="20C6DC01" w14:textId="5579B527" w:rsidR="00DF5B08" w:rsidRPr="00F935E7" w:rsidRDefault="00DF5B08" w:rsidP="00194B02">
            <w:pPr>
              <w:spacing w:before="120"/>
              <w:rPr>
                <w:rFonts w:eastAsia="Times New Roman" w:cs="Arial"/>
                <w:kern w:val="28"/>
                <w:szCs w:val="20"/>
                <w:lang w:eastAsia="zh-CN"/>
              </w:rPr>
            </w:pPr>
            <w:bookmarkStart w:id="274" w:name="lt_pId628"/>
            <w:r w:rsidRPr="00F935E7">
              <w:rPr>
                <w:rFonts w:eastAsia="Times New Roman" w:cs="Arial"/>
                <w:szCs w:val="20"/>
                <w:lang w:eastAsia="fr-FR"/>
              </w:rPr>
              <w:t>M.</w:t>
            </w:r>
            <w:r w:rsidRPr="00F935E7">
              <w:rPr>
                <w:rFonts w:cs="Arial"/>
                <w:szCs w:val="20"/>
              </w:rPr>
              <w:t> </w:t>
            </w:r>
            <w:r w:rsidRPr="00F935E7">
              <w:rPr>
                <w:rFonts w:eastAsia="Times New Roman" w:cs="Arial"/>
                <w:szCs w:val="20"/>
                <w:lang w:eastAsia="fr-FR"/>
              </w:rPr>
              <w:t xml:space="preserve">Ladislav </w:t>
            </w:r>
            <w:proofErr w:type="spellStart"/>
            <w:r w:rsidR="00F9691A">
              <w:rPr>
                <w:rFonts w:eastAsia="Times New Roman" w:cs="Arial"/>
                <w:szCs w:val="20"/>
                <w:lang w:eastAsia="fr-FR"/>
              </w:rPr>
              <w:t>Majernik</w:t>
            </w:r>
            <w:proofErr w:type="spellEnd"/>
            <w:r w:rsidRPr="00F935E7">
              <w:rPr>
                <w:rFonts w:eastAsia="Times New Roman" w:cs="Arial"/>
                <w:szCs w:val="20"/>
                <w:lang w:eastAsia="fr-FR"/>
              </w:rPr>
              <w:t xml:space="preserve"> (République slovaque)</w:t>
            </w:r>
            <w:bookmarkEnd w:id="274"/>
          </w:p>
          <w:p w14:paraId="07F2DFFE" w14:textId="77777777" w:rsidR="00DF5B08" w:rsidRPr="00F935E7" w:rsidRDefault="00DF5B08" w:rsidP="00194B02">
            <w:pPr>
              <w:rPr>
                <w:rFonts w:cs="Arial"/>
                <w:szCs w:val="20"/>
              </w:rPr>
            </w:pPr>
            <w:bookmarkStart w:id="275" w:name="lt_pId629"/>
            <w:r w:rsidRPr="00F935E7">
              <w:rPr>
                <w:rFonts w:cs="Arial"/>
                <w:szCs w:val="20"/>
              </w:rPr>
              <w:t xml:space="preserve">M. Matis </w:t>
            </w:r>
            <w:proofErr w:type="spellStart"/>
            <w:r w:rsidRPr="00F935E7">
              <w:rPr>
                <w:rFonts w:cs="Arial"/>
                <w:szCs w:val="20"/>
              </w:rPr>
              <w:t>Mäeker</w:t>
            </w:r>
            <w:proofErr w:type="spellEnd"/>
            <w:r w:rsidRPr="00F935E7">
              <w:rPr>
                <w:rFonts w:cs="Arial"/>
                <w:szCs w:val="20"/>
              </w:rPr>
              <w:t xml:space="preserve"> (Estonie)</w:t>
            </w:r>
            <w:bookmarkEnd w:id="275"/>
          </w:p>
        </w:tc>
      </w:tr>
    </w:tbl>
    <w:p w14:paraId="73E8F985" w14:textId="77777777" w:rsidR="00DF5B08" w:rsidRPr="00F935E7" w:rsidRDefault="00DF5B08" w:rsidP="00194B02">
      <w:pPr>
        <w:pStyle w:val="Heading2"/>
        <w:keepLines w:val="0"/>
        <w:spacing w:before="0"/>
        <w:ind w:right="680"/>
        <w:rPr>
          <w:rStyle w:val="Strong"/>
          <w:rFonts w:ascii="Arial" w:eastAsiaTheme="minorHAnsi" w:hAnsi="Arial" w:cs="Arial"/>
          <w:color w:val="auto"/>
          <w:sz w:val="20"/>
          <w:szCs w:val="20"/>
          <w:lang w:val="fr-FR"/>
        </w:rPr>
      </w:pPr>
      <w:bookmarkStart w:id="276" w:name="_Toc66712443"/>
    </w:p>
    <w:p w14:paraId="4BB96791" w14:textId="402D7773" w:rsidR="00DF5B08" w:rsidRPr="00F935E7" w:rsidRDefault="00194B02" w:rsidP="00194B02">
      <w:pPr>
        <w:pStyle w:val="Heading2"/>
        <w:keepLines w:val="0"/>
        <w:spacing w:before="0"/>
        <w:ind w:right="680"/>
        <w:rPr>
          <w:rStyle w:val="Strong"/>
          <w:rFonts w:ascii="Arial" w:eastAsiaTheme="minorHAnsi" w:hAnsi="Arial" w:cs="Arial"/>
          <w:color w:val="auto"/>
          <w:sz w:val="20"/>
          <w:szCs w:val="20"/>
          <w:lang w:val="fr-FR"/>
        </w:rPr>
      </w:pPr>
      <w:bookmarkStart w:id="277" w:name="_Toc93996559"/>
      <w:bookmarkStart w:id="278" w:name="_Toc94256544"/>
      <w:bookmarkStart w:id="279" w:name="_Toc135412715"/>
      <w:r>
        <w:rPr>
          <w:rStyle w:val="Strong"/>
          <w:rFonts w:ascii="Arial" w:eastAsiaTheme="minorHAnsi" w:hAnsi="Arial" w:cs="Arial"/>
          <w:color w:val="auto"/>
          <w:sz w:val="20"/>
          <w:szCs w:val="20"/>
          <w:lang w:val="fr-FR"/>
        </w:rPr>
        <w:t>8</w:t>
      </w:r>
      <w:r w:rsidR="00DF5B08" w:rsidRPr="00F935E7">
        <w:rPr>
          <w:rStyle w:val="Strong"/>
          <w:rFonts w:ascii="Arial" w:eastAsiaTheme="minorHAnsi" w:hAnsi="Arial" w:cs="Arial"/>
          <w:color w:val="auto"/>
          <w:sz w:val="20"/>
          <w:szCs w:val="20"/>
          <w:lang w:val="fr-FR"/>
        </w:rPr>
        <w:t>.3.</w:t>
      </w:r>
      <w:r w:rsidR="00DF5B08" w:rsidRPr="00F935E7">
        <w:rPr>
          <w:rStyle w:val="Strong"/>
          <w:rFonts w:ascii="Arial" w:eastAsiaTheme="minorHAnsi" w:hAnsi="Arial" w:cs="Arial"/>
          <w:color w:val="auto"/>
          <w:sz w:val="20"/>
          <w:szCs w:val="20"/>
          <w:lang w:val="fr-FR"/>
        </w:rPr>
        <w:tab/>
      </w:r>
      <w:bookmarkStart w:id="280" w:name="lt_pId631"/>
      <w:bookmarkEnd w:id="266"/>
      <w:bookmarkEnd w:id="276"/>
      <w:bookmarkEnd w:id="277"/>
      <w:r w:rsidR="00DF5B08" w:rsidRPr="00F935E7">
        <w:rPr>
          <w:rStyle w:val="Strong"/>
          <w:rFonts w:ascii="Arial" w:eastAsiaTheme="minorHAnsi" w:hAnsi="Arial" w:cs="Arial"/>
          <w:color w:val="auto"/>
          <w:sz w:val="20"/>
          <w:szCs w:val="20"/>
          <w:lang w:val="fr-FR"/>
        </w:rPr>
        <w:t>Experts scientifiques</w:t>
      </w:r>
      <w:bookmarkEnd w:id="278"/>
      <w:bookmarkEnd w:id="279"/>
      <w:bookmarkEnd w:id="280"/>
    </w:p>
    <w:p w14:paraId="22C6F015" w14:textId="77777777" w:rsidR="00DF5B08" w:rsidRPr="00F935E7" w:rsidRDefault="00DF5B08" w:rsidP="00194B02"/>
    <w:p w14:paraId="44F51744" w14:textId="38E37EA5" w:rsidR="00DF5B08" w:rsidRPr="00F935E7" w:rsidRDefault="00DF5B08" w:rsidP="00194B02">
      <w:pPr>
        <w:rPr>
          <w:rFonts w:cs="Arial"/>
          <w:szCs w:val="20"/>
        </w:rPr>
      </w:pPr>
      <w:bookmarkStart w:id="281" w:name="lt_pId632"/>
      <w:r w:rsidRPr="00F935E7">
        <w:rPr>
          <w:rFonts w:cs="Arial"/>
          <w:szCs w:val="20"/>
        </w:rPr>
        <w:t>MONEYVAL bénéficie du soutien d’un collège d’experts scientifiques indépendants.</w:t>
      </w:r>
      <w:bookmarkEnd w:id="281"/>
      <w:r w:rsidRPr="00F935E7">
        <w:rPr>
          <w:rFonts w:cs="Arial"/>
          <w:szCs w:val="20"/>
        </w:rPr>
        <w:t xml:space="preserve"> </w:t>
      </w:r>
      <w:bookmarkStart w:id="282" w:name="lt_pId633"/>
      <w:r w:rsidRPr="00F935E7">
        <w:rPr>
          <w:rFonts w:cs="Arial"/>
          <w:szCs w:val="20"/>
        </w:rPr>
        <w:t>Leur rôle est d’émettre des avis objectifs et fondés sur l’expérience, ainsi que d’aider la présidence et le Secrétariat à garantir la cohérence des efforts de MONEYVAL.</w:t>
      </w:r>
      <w:bookmarkEnd w:id="282"/>
      <w:r w:rsidRPr="00F935E7">
        <w:rPr>
          <w:rFonts w:cs="Arial"/>
          <w:szCs w:val="20"/>
        </w:rPr>
        <w:t xml:space="preserve"> </w:t>
      </w:r>
      <w:bookmarkStart w:id="283" w:name="lt_pId634"/>
      <w:r w:rsidRPr="00F935E7">
        <w:rPr>
          <w:rFonts w:cs="Arial"/>
          <w:szCs w:val="20"/>
        </w:rPr>
        <w:t xml:space="preserve">Ils assurent, entre autres, le contrôle qualité pour les projets de rapports d’évaluation, participent à toutes les plénières et enrichissent les débats grâce à leur expérience et leurs connaissances </w:t>
      </w:r>
      <w:r w:rsidRPr="00D92C8A">
        <w:rPr>
          <w:rFonts w:cs="Arial"/>
          <w:szCs w:val="20"/>
        </w:rPr>
        <w:t>spécialisées.</w:t>
      </w:r>
      <w:bookmarkEnd w:id="283"/>
      <w:r w:rsidRPr="00D92C8A">
        <w:rPr>
          <w:rFonts w:cs="Arial"/>
          <w:szCs w:val="20"/>
        </w:rPr>
        <w:t xml:space="preserve"> </w:t>
      </w:r>
      <w:bookmarkStart w:id="284" w:name="lt_pId635"/>
      <w:r w:rsidRPr="00D92C8A">
        <w:rPr>
          <w:rFonts w:cs="Arial"/>
          <w:szCs w:val="20"/>
        </w:rPr>
        <w:t>En 202</w:t>
      </w:r>
      <w:r w:rsidR="006E2DAB">
        <w:rPr>
          <w:rFonts w:cs="Arial"/>
          <w:szCs w:val="20"/>
        </w:rPr>
        <w:t>2</w:t>
      </w:r>
      <w:r w:rsidRPr="00D92C8A">
        <w:rPr>
          <w:rFonts w:cs="Arial"/>
          <w:szCs w:val="20"/>
        </w:rPr>
        <w:t>, la liste</w:t>
      </w:r>
      <w:r w:rsidRPr="00F935E7">
        <w:rPr>
          <w:rFonts w:cs="Arial"/>
          <w:szCs w:val="20"/>
        </w:rPr>
        <w:t xml:space="preserve"> des experts scientifiques s’établissait comme suit :</w:t>
      </w:r>
      <w:bookmarkEnd w:id="284"/>
      <w:r w:rsidRPr="00F935E7">
        <w:rPr>
          <w:rFonts w:cs="Arial"/>
          <w:szCs w:val="20"/>
        </w:rPr>
        <w:t xml:space="preserve"> </w:t>
      </w:r>
    </w:p>
    <w:p w14:paraId="098A6A0B" w14:textId="77777777" w:rsidR="00DF5B08" w:rsidRPr="00F935E7" w:rsidRDefault="00DF5B08" w:rsidP="00194B02">
      <w:pPr>
        <w:rPr>
          <w:rFonts w:cs="Arial"/>
          <w:szCs w:val="20"/>
        </w:rPr>
      </w:pPr>
    </w:p>
    <w:tbl>
      <w:tblPr>
        <w:tblW w:w="9908"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908"/>
      </w:tblGrid>
      <w:tr w:rsidR="00DF5B08" w:rsidRPr="00F935E7" w14:paraId="52ABB773" w14:textId="77777777" w:rsidTr="002E6C1B">
        <w:trPr>
          <w:cantSplit/>
          <w:jc w:val="center"/>
        </w:trPr>
        <w:tc>
          <w:tcPr>
            <w:tcW w:w="9908" w:type="dxa"/>
            <w:shd w:val="clear" w:color="auto" w:fill="808080"/>
          </w:tcPr>
          <w:p w14:paraId="1E12CF69" w14:textId="77777777" w:rsidR="00DF5B08" w:rsidRPr="00F935E7" w:rsidRDefault="00DF5B08" w:rsidP="00194B02">
            <w:pPr>
              <w:rPr>
                <w:rFonts w:cs="Arial"/>
                <w:b/>
                <w:bCs/>
                <w:szCs w:val="20"/>
                <w:lang w:eastAsia="en-GB"/>
              </w:rPr>
            </w:pPr>
            <w:bookmarkStart w:id="285" w:name="lt_pId636"/>
            <w:r w:rsidRPr="00F935E7">
              <w:rPr>
                <w:rFonts w:cs="Arial"/>
                <w:b/>
                <w:bCs/>
                <w:szCs w:val="20"/>
                <w:u w:val="single"/>
                <w:lang w:eastAsia="en-GB"/>
              </w:rPr>
              <w:t>Experts scientifiques de MONEYVAL :</w:t>
            </w:r>
            <w:bookmarkEnd w:id="285"/>
            <w:r w:rsidRPr="00F935E7">
              <w:rPr>
                <w:rFonts w:cs="Arial"/>
                <w:b/>
                <w:bCs/>
                <w:szCs w:val="20"/>
                <w:lang w:eastAsia="en-GB"/>
              </w:rPr>
              <w:t xml:space="preserve"> </w:t>
            </w:r>
          </w:p>
        </w:tc>
      </w:tr>
      <w:tr w:rsidR="00DF5B08" w:rsidRPr="00776250" w14:paraId="0BDAC4B7" w14:textId="77777777" w:rsidTr="002E6C1B">
        <w:trPr>
          <w:cantSplit/>
          <w:jc w:val="center"/>
        </w:trPr>
        <w:tc>
          <w:tcPr>
            <w:tcW w:w="9908" w:type="dxa"/>
          </w:tcPr>
          <w:p w14:paraId="20A99B7C" w14:textId="5AD17B61" w:rsidR="00DF5B08" w:rsidRPr="00F935E7" w:rsidRDefault="00DF5B08" w:rsidP="00194B02">
            <w:pPr>
              <w:numPr>
                <w:ilvl w:val="0"/>
                <w:numId w:val="30"/>
              </w:numPr>
              <w:spacing w:before="120" w:after="120"/>
              <w:rPr>
                <w:rFonts w:cs="Arial"/>
                <w:szCs w:val="20"/>
                <w:lang w:eastAsia="en-GB"/>
              </w:rPr>
            </w:pPr>
            <w:bookmarkStart w:id="286" w:name="lt_pId637"/>
            <w:r w:rsidRPr="00F935E7">
              <w:rPr>
                <w:rFonts w:cs="Arial"/>
                <w:szCs w:val="20"/>
                <w:shd w:val="clear" w:color="auto" w:fill="FFFFFF"/>
              </w:rPr>
              <w:t>M.</w:t>
            </w:r>
            <w:r w:rsidRPr="00F935E7">
              <w:rPr>
                <w:rFonts w:cs="Arial"/>
                <w:szCs w:val="20"/>
              </w:rPr>
              <w:t> </w:t>
            </w:r>
            <w:r w:rsidRPr="00F935E7">
              <w:rPr>
                <w:rFonts w:cs="Arial"/>
                <w:szCs w:val="20"/>
                <w:shd w:val="clear" w:color="auto" w:fill="FFFFFF"/>
              </w:rPr>
              <w:t xml:space="preserve">Lajos </w:t>
            </w:r>
            <w:proofErr w:type="spellStart"/>
            <w:r w:rsidRPr="00F935E7">
              <w:rPr>
                <w:rFonts w:cs="Arial"/>
                <w:szCs w:val="20"/>
                <w:shd w:val="clear" w:color="auto" w:fill="FFFFFF"/>
              </w:rPr>
              <w:t>Korona</w:t>
            </w:r>
            <w:proofErr w:type="spellEnd"/>
            <w:r w:rsidRPr="00F935E7">
              <w:rPr>
                <w:rFonts w:cs="Arial"/>
                <w:szCs w:val="20"/>
                <w:shd w:val="clear" w:color="auto" w:fill="FFFFFF"/>
              </w:rPr>
              <w:t>, Procureur de la République en Hongrie - Expert scientifique</w:t>
            </w:r>
            <w:bookmarkEnd w:id="286"/>
            <w:r w:rsidRPr="00F935E7">
              <w:rPr>
                <w:rFonts w:cs="Arial"/>
                <w:szCs w:val="20"/>
                <w:shd w:val="clear" w:color="auto" w:fill="FFFFFF"/>
              </w:rPr>
              <w:t xml:space="preserve"> pour les aspects juridiques</w:t>
            </w:r>
          </w:p>
          <w:p w14:paraId="25BE9C52" w14:textId="77777777" w:rsidR="00DF5B08" w:rsidRPr="00F935E7" w:rsidRDefault="00DF5B08" w:rsidP="00194B02">
            <w:pPr>
              <w:numPr>
                <w:ilvl w:val="0"/>
                <w:numId w:val="30"/>
              </w:numPr>
              <w:spacing w:before="120" w:after="120"/>
              <w:rPr>
                <w:rFonts w:cs="Arial"/>
                <w:szCs w:val="20"/>
                <w:lang w:eastAsia="en-GB"/>
              </w:rPr>
            </w:pPr>
            <w:bookmarkStart w:id="287" w:name="lt_pId638"/>
            <w:r w:rsidRPr="00F935E7">
              <w:rPr>
                <w:rFonts w:cs="Arial"/>
                <w:szCs w:val="20"/>
                <w:lang w:eastAsia="en-GB"/>
              </w:rPr>
              <w:t>M.</w:t>
            </w:r>
            <w:r w:rsidRPr="00F935E7">
              <w:rPr>
                <w:rFonts w:cs="Arial"/>
                <w:szCs w:val="20"/>
              </w:rPr>
              <w:t> </w:t>
            </w:r>
            <w:r w:rsidRPr="00F935E7">
              <w:rPr>
                <w:rFonts w:cs="Arial"/>
                <w:szCs w:val="20"/>
                <w:lang w:eastAsia="en-GB"/>
              </w:rPr>
              <w:t xml:space="preserve">John </w:t>
            </w:r>
            <w:proofErr w:type="spellStart"/>
            <w:r w:rsidRPr="00F935E7">
              <w:rPr>
                <w:rFonts w:cs="Arial"/>
                <w:szCs w:val="20"/>
                <w:lang w:eastAsia="en-GB"/>
              </w:rPr>
              <w:t>Ringguth</w:t>
            </w:r>
            <w:proofErr w:type="spellEnd"/>
            <w:r w:rsidRPr="00F935E7">
              <w:rPr>
                <w:rFonts w:cs="Arial"/>
                <w:szCs w:val="20"/>
                <w:lang w:eastAsia="en-GB"/>
              </w:rPr>
              <w:t xml:space="preserve">, ancien secrétaire exécutif de MONEYVAL </w:t>
            </w:r>
            <w:r>
              <w:rPr>
                <w:rFonts w:cs="Arial"/>
                <w:szCs w:val="20"/>
                <w:lang w:eastAsia="en-GB"/>
              </w:rPr>
              <w:t>-</w:t>
            </w:r>
            <w:r w:rsidRPr="00F935E7">
              <w:rPr>
                <w:rFonts w:cs="Arial"/>
                <w:szCs w:val="20"/>
                <w:lang w:eastAsia="en-GB"/>
              </w:rPr>
              <w:t xml:space="preserve"> Expert scientifique pour les aspects juridiques</w:t>
            </w:r>
            <w:bookmarkEnd w:id="287"/>
            <w:r w:rsidRPr="00F935E7">
              <w:rPr>
                <w:rFonts w:cs="Arial"/>
                <w:szCs w:val="20"/>
                <w:lang w:eastAsia="en-GB"/>
              </w:rPr>
              <w:t xml:space="preserve"> </w:t>
            </w:r>
          </w:p>
          <w:p w14:paraId="1C7FB914" w14:textId="77777777" w:rsidR="00DF5B08" w:rsidRPr="00F935E7" w:rsidRDefault="00DF5B08" w:rsidP="00194B02">
            <w:pPr>
              <w:numPr>
                <w:ilvl w:val="0"/>
                <w:numId w:val="30"/>
              </w:numPr>
              <w:spacing w:before="120" w:after="120"/>
              <w:ind w:left="714" w:hanging="357"/>
              <w:rPr>
                <w:rFonts w:cs="Arial"/>
                <w:szCs w:val="20"/>
                <w:lang w:eastAsia="en-GB"/>
              </w:rPr>
            </w:pPr>
            <w:bookmarkStart w:id="288" w:name="lt_pId639"/>
            <w:r w:rsidRPr="00F935E7">
              <w:rPr>
                <w:rFonts w:cs="Arial"/>
                <w:szCs w:val="20"/>
                <w:lang w:eastAsia="en-GB"/>
              </w:rPr>
              <w:t>M.</w:t>
            </w:r>
            <w:r w:rsidRPr="00F935E7">
              <w:rPr>
                <w:rFonts w:cs="Arial"/>
                <w:szCs w:val="20"/>
              </w:rPr>
              <w:t> </w:t>
            </w:r>
            <w:r w:rsidRPr="00F935E7">
              <w:rPr>
                <w:rFonts w:cs="Arial"/>
                <w:szCs w:val="20"/>
                <w:lang w:eastAsia="en-GB"/>
              </w:rPr>
              <w:t xml:space="preserve">Andrew </w:t>
            </w:r>
            <w:proofErr w:type="spellStart"/>
            <w:r w:rsidRPr="00F935E7">
              <w:rPr>
                <w:rFonts w:cs="Arial"/>
                <w:szCs w:val="20"/>
                <w:lang w:eastAsia="en-GB"/>
              </w:rPr>
              <w:t>Strijker</w:t>
            </w:r>
            <w:proofErr w:type="spellEnd"/>
            <w:r w:rsidRPr="00F935E7">
              <w:rPr>
                <w:rFonts w:cs="Arial"/>
                <w:szCs w:val="20"/>
                <w:lang w:eastAsia="en-GB"/>
              </w:rPr>
              <w:t xml:space="preserve">, ancien chef de la délégation néerlandaise auprès du GAFI </w:t>
            </w:r>
            <w:r>
              <w:rPr>
                <w:rFonts w:cs="Arial"/>
                <w:szCs w:val="20"/>
                <w:lang w:eastAsia="en-GB"/>
              </w:rPr>
              <w:t>-</w:t>
            </w:r>
            <w:r w:rsidRPr="00F935E7">
              <w:rPr>
                <w:rFonts w:cs="Arial"/>
                <w:szCs w:val="20"/>
                <w:lang w:eastAsia="en-GB"/>
              </w:rPr>
              <w:t xml:space="preserve"> Expert scientifique pour les aspects financiers</w:t>
            </w:r>
            <w:bookmarkEnd w:id="288"/>
            <w:r w:rsidRPr="00F935E7">
              <w:rPr>
                <w:rFonts w:cs="Arial"/>
                <w:szCs w:val="20"/>
                <w:lang w:eastAsia="en-GB"/>
              </w:rPr>
              <w:t xml:space="preserve"> </w:t>
            </w:r>
          </w:p>
          <w:p w14:paraId="6AEBEC16" w14:textId="77777777" w:rsidR="00DF5B08" w:rsidRPr="00F935E7" w:rsidRDefault="00DF5B08" w:rsidP="00194B02">
            <w:pPr>
              <w:numPr>
                <w:ilvl w:val="0"/>
                <w:numId w:val="30"/>
              </w:numPr>
              <w:spacing w:before="120" w:after="120"/>
              <w:ind w:left="714" w:hanging="357"/>
              <w:rPr>
                <w:rFonts w:cs="Arial"/>
                <w:szCs w:val="20"/>
                <w:lang w:eastAsia="en-GB"/>
              </w:rPr>
            </w:pPr>
            <w:bookmarkStart w:id="289" w:name="lt_pId640"/>
            <w:r w:rsidRPr="00F935E7">
              <w:rPr>
                <w:rFonts w:cs="Arial"/>
                <w:szCs w:val="20"/>
                <w:lang w:eastAsia="en-GB"/>
              </w:rPr>
              <w:t>M</w:t>
            </w:r>
            <w:r w:rsidRPr="00F935E7">
              <w:rPr>
                <w:rFonts w:cs="Arial"/>
                <w:szCs w:val="20"/>
                <w:vertAlign w:val="superscript"/>
                <w:lang w:eastAsia="en-GB"/>
              </w:rPr>
              <w:t>me</w:t>
            </w:r>
            <w:r w:rsidRPr="00F935E7">
              <w:rPr>
                <w:rFonts w:cs="Arial"/>
                <w:szCs w:val="20"/>
                <w:lang w:eastAsia="en-GB"/>
              </w:rPr>
              <w:t xml:space="preserve"> Lia </w:t>
            </w:r>
            <w:proofErr w:type="spellStart"/>
            <w:r w:rsidRPr="00F935E7">
              <w:rPr>
                <w:rFonts w:cs="Arial"/>
                <w:szCs w:val="20"/>
                <w:lang w:eastAsia="en-GB"/>
              </w:rPr>
              <w:t>Umans</w:t>
            </w:r>
            <w:proofErr w:type="spellEnd"/>
            <w:r w:rsidRPr="00F935E7">
              <w:rPr>
                <w:rFonts w:cs="Arial"/>
                <w:szCs w:val="20"/>
                <w:lang w:eastAsia="en-GB"/>
              </w:rPr>
              <w:t xml:space="preserve">, ancienne membre du Secrétariat du GAFI </w:t>
            </w:r>
            <w:r>
              <w:rPr>
                <w:rFonts w:cs="Arial"/>
                <w:szCs w:val="20"/>
                <w:lang w:eastAsia="en-GB"/>
              </w:rPr>
              <w:t>-</w:t>
            </w:r>
            <w:r w:rsidRPr="00F935E7">
              <w:rPr>
                <w:rFonts w:cs="Arial"/>
                <w:szCs w:val="20"/>
                <w:lang w:eastAsia="en-GB"/>
              </w:rPr>
              <w:t xml:space="preserve"> Experte scientifique pour les questions d’application de la loi</w:t>
            </w:r>
            <w:bookmarkEnd w:id="289"/>
          </w:p>
          <w:p w14:paraId="77CCEE31" w14:textId="5DF05EC9" w:rsidR="00DF5B08" w:rsidRPr="005237A0" w:rsidRDefault="00DF5B08" w:rsidP="005237A0">
            <w:pPr>
              <w:numPr>
                <w:ilvl w:val="0"/>
                <w:numId w:val="30"/>
              </w:numPr>
              <w:spacing w:before="120" w:after="120"/>
              <w:ind w:left="714" w:hanging="357"/>
              <w:rPr>
                <w:rFonts w:cs="Arial"/>
                <w:szCs w:val="20"/>
                <w:lang w:eastAsia="en-GB"/>
              </w:rPr>
            </w:pPr>
            <w:bookmarkStart w:id="290" w:name="lt_pId641"/>
            <w:r w:rsidRPr="00F935E7">
              <w:rPr>
                <w:rFonts w:cs="Arial"/>
                <w:szCs w:val="20"/>
                <w:lang w:eastAsia="en-GB"/>
              </w:rPr>
              <w:t>M.</w:t>
            </w:r>
            <w:r w:rsidRPr="00F935E7">
              <w:rPr>
                <w:rFonts w:cs="Arial"/>
                <w:szCs w:val="20"/>
              </w:rPr>
              <w:t> </w:t>
            </w:r>
            <w:r w:rsidRPr="00F935E7">
              <w:rPr>
                <w:rFonts w:cs="Arial"/>
                <w:szCs w:val="20"/>
                <w:lang w:eastAsia="en-GB"/>
              </w:rPr>
              <w:t xml:space="preserve">Ian Matthews, ancien superviseur au </w:t>
            </w:r>
            <w:r>
              <w:rPr>
                <w:rFonts w:cs="Arial"/>
                <w:szCs w:val="20"/>
                <w:lang w:eastAsia="en-GB"/>
              </w:rPr>
              <w:t xml:space="preserve">Royaume-Uni </w:t>
            </w:r>
            <w:r w:rsidRPr="00F935E7">
              <w:rPr>
                <w:rFonts w:cs="Arial"/>
                <w:szCs w:val="20"/>
                <w:lang w:eastAsia="en-GB"/>
              </w:rPr>
              <w:t>et ancien coprésident du groupe «</w:t>
            </w:r>
            <w:r>
              <w:rPr>
                <w:rFonts w:cs="Arial"/>
                <w:szCs w:val="20"/>
                <w:lang w:eastAsia="en-GB"/>
              </w:rPr>
              <w:t> </w:t>
            </w:r>
            <w:r w:rsidRPr="00F935E7">
              <w:rPr>
                <w:rFonts w:cs="Arial"/>
                <w:szCs w:val="20"/>
                <w:lang w:eastAsia="en-GB"/>
              </w:rPr>
              <w:t>Évaluations et conformité</w:t>
            </w:r>
            <w:r>
              <w:rPr>
                <w:rFonts w:cs="Arial"/>
                <w:szCs w:val="20"/>
                <w:lang w:eastAsia="en-GB"/>
              </w:rPr>
              <w:t> </w:t>
            </w:r>
            <w:r w:rsidRPr="00F935E7">
              <w:rPr>
                <w:rFonts w:cs="Arial"/>
                <w:szCs w:val="20"/>
                <w:lang w:eastAsia="en-GB"/>
              </w:rPr>
              <w:t>» du GAFI</w:t>
            </w:r>
            <w:bookmarkEnd w:id="290"/>
            <w:r w:rsidR="005237A0">
              <w:rPr>
                <w:rFonts w:cs="Arial"/>
                <w:szCs w:val="20"/>
                <w:lang w:eastAsia="en-GB"/>
              </w:rPr>
              <w:t xml:space="preserve"> - </w:t>
            </w:r>
            <w:r w:rsidR="005237A0" w:rsidRPr="00F935E7">
              <w:rPr>
                <w:rFonts w:cs="Arial"/>
                <w:szCs w:val="20"/>
                <w:lang w:eastAsia="en-GB"/>
              </w:rPr>
              <w:t xml:space="preserve">Expert scientifique pour les aspects financiers </w:t>
            </w:r>
          </w:p>
        </w:tc>
      </w:tr>
    </w:tbl>
    <w:p w14:paraId="62B95E25" w14:textId="77777777" w:rsidR="00DF5B08" w:rsidRPr="00F935E7" w:rsidRDefault="00DF5B08" w:rsidP="00194B02">
      <w:pPr>
        <w:pStyle w:val="Heading2"/>
        <w:keepLines w:val="0"/>
        <w:spacing w:before="0"/>
        <w:ind w:right="680"/>
        <w:rPr>
          <w:rStyle w:val="Strong"/>
          <w:rFonts w:ascii="Arial" w:eastAsiaTheme="minorHAnsi" w:hAnsi="Arial" w:cs="Arial"/>
          <w:color w:val="auto"/>
          <w:sz w:val="20"/>
          <w:szCs w:val="20"/>
          <w:lang w:val="fr-FR"/>
        </w:rPr>
      </w:pPr>
      <w:bookmarkStart w:id="291" w:name="_Toc366749258"/>
      <w:bookmarkStart w:id="292" w:name="_Toc366855509"/>
      <w:bookmarkStart w:id="293" w:name="_Toc377031080"/>
      <w:bookmarkStart w:id="294" w:name="_Toc377032379"/>
      <w:bookmarkStart w:id="295" w:name="_Toc377559676"/>
      <w:bookmarkStart w:id="296" w:name="_Toc377560103"/>
      <w:bookmarkStart w:id="297" w:name="_Toc377563768"/>
      <w:bookmarkStart w:id="298" w:name="_Toc377564053"/>
      <w:bookmarkStart w:id="299" w:name="_Toc377572011"/>
      <w:bookmarkStart w:id="300" w:name="_Toc377637336"/>
      <w:bookmarkStart w:id="301" w:name="_Toc377637639"/>
      <w:bookmarkStart w:id="302" w:name="_Toc377645264"/>
      <w:bookmarkStart w:id="303" w:name="_Toc377645567"/>
      <w:bookmarkStart w:id="304" w:name="_Toc377031081"/>
      <w:bookmarkStart w:id="305" w:name="_Toc377032380"/>
      <w:bookmarkStart w:id="306" w:name="_Toc377559677"/>
      <w:bookmarkStart w:id="307" w:name="_Toc377560104"/>
      <w:bookmarkStart w:id="308" w:name="_Toc377563769"/>
      <w:bookmarkStart w:id="309" w:name="_Toc377564054"/>
      <w:bookmarkStart w:id="310" w:name="_Toc377572012"/>
      <w:bookmarkStart w:id="311" w:name="_Toc377637337"/>
      <w:bookmarkStart w:id="312" w:name="_Toc377637640"/>
      <w:bookmarkStart w:id="313" w:name="_Toc377645265"/>
      <w:bookmarkStart w:id="314" w:name="_Toc377645568"/>
      <w:bookmarkStart w:id="315" w:name="_Toc377031083"/>
      <w:bookmarkStart w:id="316" w:name="_Toc377032382"/>
      <w:bookmarkStart w:id="317" w:name="_Toc377559679"/>
      <w:bookmarkStart w:id="318" w:name="_Toc377560106"/>
      <w:bookmarkStart w:id="319" w:name="_Toc377563771"/>
      <w:bookmarkStart w:id="320" w:name="_Toc377564056"/>
      <w:bookmarkStart w:id="321" w:name="_Toc377572014"/>
      <w:bookmarkStart w:id="322" w:name="_Toc377637339"/>
      <w:bookmarkStart w:id="323" w:name="_Toc377637642"/>
      <w:bookmarkStart w:id="324" w:name="_Toc377645267"/>
      <w:bookmarkStart w:id="325" w:name="_Toc377645570"/>
      <w:bookmarkStart w:id="326" w:name="_Toc377031091"/>
      <w:bookmarkStart w:id="327" w:name="_Toc377032390"/>
      <w:bookmarkStart w:id="328" w:name="_Toc377559687"/>
      <w:bookmarkStart w:id="329" w:name="_Toc377560114"/>
      <w:bookmarkStart w:id="330" w:name="_Toc377563779"/>
      <w:bookmarkStart w:id="331" w:name="_Toc377564064"/>
      <w:bookmarkStart w:id="332" w:name="_Toc377572022"/>
      <w:bookmarkStart w:id="333" w:name="_Toc377637347"/>
      <w:bookmarkStart w:id="334" w:name="_Toc377637650"/>
      <w:bookmarkStart w:id="335" w:name="_Toc377645275"/>
      <w:bookmarkStart w:id="336" w:name="_Toc377645578"/>
      <w:bookmarkStart w:id="337" w:name="_Toc377031093"/>
      <w:bookmarkStart w:id="338" w:name="_Toc377032392"/>
      <w:bookmarkStart w:id="339" w:name="_Toc377559689"/>
      <w:bookmarkStart w:id="340" w:name="_Toc377560116"/>
      <w:bookmarkStart w:id="341" w:name="_Toc377563781"/>
      <w:bookmarkStart w:id="342" w:name="_Toc377564066"/>
      <w:bookmarkStart w:id="343" w:name="_Toc377572024"/>
      <w:bookmarkStart w:id="344" w:name="_Toc377637349"/>
      <w:bookmarkStart w:id="345" w:name="_Toc377637652"/>
      <w:bookmarkStart w:id="346" w:name="_Toc377645277"/>
      <w:bookmarkStart w:id="347" w:name="_Toc377645580"/>
      <w:bookmarkStart w:id="348" w:name="_Toc377031094"/>
      <w:bookmarkStart w:id="349" w:name="_Toc377032393"/>
      <w:bookmarkStart w:id="350" w:name="_Toc377559690"/>
      <w:bookmarkStart w:id="351" w:name="_Toc377560117"/>
      <w:bookmarkStart w:id="352" w:name="_Toc377563782"/>
      <w:bookmarkStart w:id="353" w:name="_Toc377564067"/>
      <w:bookmarkStart w:id="354" w:name="_Toc377572025"/>
      <w:bookmarkStart w:id="355" w:name="_Toc377637350"/>
      <w:bookmarkStart w:id="356" w:name="_Toc377637653"/>
      <w:bookmarkStart w:id="357" w:name="_Toc377645278"/>
      <w:bookmarkStart w:id="358" w:name="_Toc377645581"/>
      <w:bookmarkStart w:id="359" w:name="_Toc377031095"/>
      <w:bookmarkStart w:id="360" w:name="_Toc377032394"/>
      <w:bookmarkStart w:id="361" w:name="_Toc377559691"/>
      <w:bookmarkStart w:id="362" w:name="_Toc377560118"/>
      <w:bookmarkStart w:id="363" w:name="_Toc377563783"/>
      <w:bookmarkStart w:id="364" w:name="_Toc377564068"/>
      <w:bookmarkStart w:id="365" w:name="_Toc377572026"/>
      <w:bookmarkStart w:id="366" w:name="_Toc377637351"/>
      <w:bookmarkStart w:id="367" w:name="_Toc377637654"/>
      <w:bookmarkStart w:id="368" w:name="_Toc377645279"/>
      <w:bookmarkStart w:id="369" w:name="_Toc377645582"/>
      <w:bookmarkStart w:id="370" w:name="_Toc377031097"/>
      <w:bookmarkStart w:id="371" w:name="_Toc377032396"/>
      <w:bookmarkStart w:id="372" w:name="_Toc377559693"/>
      <w:bookmarkStart w:id="373" w:name="_Toc377560120"/>
      <w:bookmarkStart w:id="374" w:name="_Toc377563785"/>
      <w:bookmarkStart w:id="375" w:name="_Toc377564070"/>
      <w:bookmarkStart w:id="376" w:name="_Toc377572028"/>
      <w:bookmarkStart w:id="377" w:name="_Toc377637353"/>
      <w:bookmarkStart w:id="378" w:name="_Toc377637656"/>
      <w:bookmarkStart w:id="379" w:name="_Toc377645281"/>
      <w:bookmarkStart w:id="380" w:name="_Toc377645584"/>
      <w:bookmarkStart w:id="381" w:name="_Toc377031099"/>
      <w:bookmarkStart w:id="382" w:name="_Toc377032398"/>
      <w:bookmarkStart w:id="383" w:name="_Toc377559695"/>
      <w:bookmarkStart w:id="384" w:name="_Toc377560122"/>
      <w:bookmarkStart w:id="385" w:name="_Toc377563787"/>
      <w:bookmarkStart w:id="386" w:name="_Toc377564072"/>
      <w:bookmarkStart w:id="387" w:name="_Toc377572030"/>
      <w:bookmarkStart w:id="388" w:name="_Toc377637355"/>
      <w:bookmarkStart w:id="389" w:name="_Toc377637658"/>
      <w:bookmarkStart w:id="390" w:name="_Toc377645283"/>
      <w:bookmarkStart w:id="391" w:name="_Toc377645586"/>
      <w:bookmarkStart w:id="392" w:name="_Toc377031101"/>
      <w:bookmarkStart w:id="393" w:name="_Toc377032400"/>
      <w:bookmarkStart w:id="394" w:name="_Toc377559697"/>
      <w:bookmarkStart w:id="395" w:name="_Toc377560124"/>
      <w:bookmarkStart w:id="396" w:name="_Toc377563789"/>
      <w:bookmarkStart w:id="397" w:name="_Toc377564074"/>
      <w:bookmarkStart w:id="398" w:name="_Toc377572032"/>
      <w:bookmarkStart w:id="399" w:name="_Toc377637357"/>
      <w:bookmarkStart w:id="400" w:name="_Toc377637660"/>
      <w:bookmarkStart w:id="401" w:name="_Toc377645285"/>
      <w:bookmarkStart w:id="402" w:name="_Toc377645588"/>
      <w:bookmarkStart w:id="403" w:name="_Toc377031102"/>
      <w:bookmarkStart w:id="404" w:name="_Toc377032401"/>
      <w:bookmarkStart w:id="405" w:name="_Toc377559698"/>
      <w:bookmarkStart w:id="406" w:name="_Toc377560125"/>
      <w:bookmarkStart w:id="407" w:name="_Toc377563790"/>
      <w:bookmarkStart w:id="408" w:name="_Toc377564075"/>
      <w:bookmarkStart w:id="409" w:name="_Toc377572033"/>
      <w:bookmarkStart w:id="410" w:name="_Toc377637358"/>
      <w:bookmarkStart w:id="411" w:name="_Toc377637661"/>
      <w:bookmarkStart w:id="412" w:name="_Toc377645286"/>
      <w:bookmarkStart w:id="413" w:name="_Toc377645589"/>
      <w:bookmarkStart w:id="414" w:name="_Toc377031103"/>
      <w:bookmarkStart w:id="415" w:name="_Toc377032402"/>
      <w:bookmarkStart w:id="416" w:name="_Toc377559699"/>
      <w:bookmarkStart w:id="417" w:name="_Toc377560126"/>
      <w:bookmarkStart w:id="418" w:name="_Toc377563791"/>
      <w:bookmarkStart w:id="419" w:name="_Toc377564076"/>
      <w:bookmarkStart w:id="420" w:name="_Toc377572034"/>
      <w:bookmarkStart w:id="421" w:name="_Toc377637359"/>
      <w:bookmarkStart w:id="422" w:name="_Toc377637662"/>
      <w:bookmarkStart w:id="423" w:name="_Toc377645287"/>
      <w:bookmarkStart w:id="424" w:name="_Toc377645590"/>
      <w:bookmarkStart w:id="425" w:name="_Toc377031105"/>
      <w:bookmarkStart w:id="426" w:name="_Toc377032404"/>
      <w:bookmarkStart w:id="427" w:name="_Toc377559701"/>
      <w:bookmarkStart w:id="428" w:name="_Toc377560128"/>
      <w:bookmarkStart w:id="429" w:name="_Toc377563793"/>
      <w:bookmarkStart w:id="430" w:name="_Toc377564078"/>
      <w:bookmarkStart w:id="431" w:name="_Toc377572036"/>
      <w:bookmarkStart w:id="432" w:name="_Toc377637361"/>
      <w:bookmarkStart w:id="433" w:name="_Toc377637664"/>
      <w:bookmarkStart w:id="434" w:name="_Toc377645289"/>
      <w:bookmarkStart w:id="435" w:name="_Toc377645592"/>
      <w:bookmarkStart w:id="436" w:name="_Toc377031107"/>
      <w:bookmarkStart w:id="437" w:name="_Toc377032406"/>
      <w:bookmarkStart w:id="438" w:name="_Toc377559703"/>
      <w:bookmarkStart w:id="439" w:name="_Toc377560130"/>
      <w:bookmarkStart w:id="440" w:name="_Toc377563795"/>
      <w:bookmarkStart w:id="441" w:name="_Toc377564080"/>
      <w:bookmarkStart w:id="442" w:name="_Toc377572038"/>
      <w:bookmarkStart w:id="443" w:name="_Toc377637363"/>
      <w:bookmarkStart w:id="444" w:name="_Toc377637666"/>
      <w:bookmarkStart w:id="445" w:name="_Toc377645291"/>
      <w:bookmarkStart w:id="446" w:name="_Toc377645594"/>
      <w:bookmarkStart w:id="447" w:name="_Toc377031109"/>
      <w:bookmarkStart w:id="448" w:name="_Toc377032408"/>
      <w:bookmarkStart w:id="449" w:name="_Toc377559705"/>
      <w:bookmarkStart w:id="450" w:name="_Toc377560132"/>
      <w:bookmarkStart w:id="451" w:name="_Toc377563797"/>
      <w:bookmarkStart w:id="452" w:name="_Toc377564082"/>
      <w:bookmarkStart w:id="453" w:name="_Toc377572040"/>
      <w:bookmarkStart w:id="454" w:name="_Toc377637365"/>
      <w:bookmarkStart w:id="455" w:name="_Toc377637668"/>
      <w:bookmarkStart w:id="456" w:name="_Toc377645293"/>
      <w:bookmarkStart w:id="457" w:name="_Toc377645596"/>
      <w:bookmarkStart w:id="458" w:name="_Toc377031111"/>
      <w:bookmarkStart w:id="459" w:name="_Toc377032410"/>
      <w:bookmarkStart w:id="460" w:name="_Toc377559707"/>
      <w:bookmarkStart w:id="461" w:name="_Toc377560134"/>
      <w:bookmarkStart w:id="462" w:name="_Toc377563799"/>
      <w:bookmarkStart w:id="463" w:name="_Toc377564084"/>
      <w:bookmarkStart w:id="464" w:name="_Toc377572042"/>
      <w:bookmarkStart w:id="465" w:name="_Toc377637367"/>
      <w:bookmarkStart w:id="466" w:name="_Toc377637670"/>
      <w:bookmarkStart w:id="467" w:name="_Toc377645295"/>
      <w:bookmarkStart w:id="468" w:name="_Toc377645598"/>
      <w:bookmarkStart w:id="469" w:name="_Toc377031112"/>
      <w:bookmarkStart w:id="470" w:name="_Toc377032411"/>
      <w:bookmarkStart w:id="471" w:name="_Toc377559708"/>
      <w:bookmarkStart w:id="472" w:name="_Toc377560135"/>
      <w:bookmarkStart w:id="473" w:name="_Toc377563800"/>
      <w:bookmarkStart w:id="474" w:name="_Toc377564085"/>
      <w:bookmarkStart w:id="475" w:name="_Toc377572043"/>
      <w:bookmarkStart w:id="476" w:name="_Toc377637368"/>
      <w:bookmarkStart w:id="477" w:name="_Toc377637671"/>
      <w:bookmarkStart w:id="478" w:name="_Toc377645296"/>
      <w:bookmarkStart w:id="479" w:name="_Toc377645599"/>
      <w:bookmarkStart w:id="480" w:name="_Toc377031114"/>
      <w:bookmarkStart w:id="481" w:name="_Toc377032413"/>
      <w:bookmarkStart w:id="482" w:name="_Toc377559710"/>
      <w:bookmarkStart w:id="483" w:name="_Toc377560137"/>
      <w:bookmarkStart w:id="484" w:name="_Toc377563802"/>
      <w:bookmarkStart w:id="485" w:name="_Toc377564087"/>
      <w:bookmarkStart w:id="486" w:name="_Toc377572045"/>
      <w:bookmarkStart w:id="487" w:name="_Toc377637370"/>
      <w:bookmarkStart w:id="488" w:name="_Toc377637673"/>
      <w:bookmarkStart w:id="489" w:name="_Toc377645298"/>
      <w:bookmarkStart w:id="490" w:name="_Toc377645601"/>
      <w:bookmarkStart w:id="491" w:name="_Toc377031116"/>
      <w:bookmarkStart w:id="492" w:name="_Toc377032415"/>
      <w:bookmarkStart w:id="493" w:name="_Toc377559712"/>
      <w:bookmarkStart w:id="494" w:name="_Toc377560139"/>
      <w:bookmarkStart w:id="495" w:name="_Toc377563804"/>
      <w:bookmarkStart w:id="496" w:name="_Toc377564089"/>
      <w:bookmarkStart w:id="497" w:name="_Toc377572047"/>
      <w:bookmarkStart w:id="498" w:name="_Toc377637372"/>
      <w:bookmarkStart w:id="499" w:name="_Toc377637675"/>
      <w:bookmarkStart w:id="500" w:name="_Toc377645300"/>
      <w:bookmarkStart w:id="501" w:name="_Toc377645603"/>
      <w:bookmarkStart w:id="502" w:name="_Toc377031118"/>
      <w:bookmarkStart w:id="503" w:name="_Toc377032417"/>
      <w:bookmarkStart w:id="504" w:name="_Toc377559714"/>
      <w:bookmarkStart w:id="505" w:name="_Toc377560141"/>
      <w:bookmarkStart w:id="506" w:name="_Toc377563806"/>
      <w:bookmarkStart w:id="507" w:name="_Toc377564091"/>
      <w:bookmarkStart w:id="508" w:name="_Toc377572049"/>
      <w:bookmarkStart w:id="509" w:name="_Toc377637374"/>
      <w:bookmarkStart w:id="510" w:name="_Toc377637677"/>
      <w:bookmarkStart w:id="511" w:name="_Toc377645302"/>
      <w:bookmarkStart w:id="512" w:name="_Toc377645605"/>
      <w:bookmarkStart w:id="513" w:name="_Toc377031120"/>
      <w:bookmarkStart w:id="514" w:name="_Toc377032419"/>
      <w:bookmarkStart w:id="515" w:name="_Toc377559716"/>
      <w:bookmarkStart w:id="516" w:name="_Toc377560143"/>
      <w:bookmarkStart w:id="517" w:name="_Toc377563808"/>
      <w:bookmarkStart w:id="518" w:name="_Toc377564093"/>
      <w:bookmarkStart w:id="519" w:name="_Toc377572051"/>
      <w:bookmarkStart w:id="520" w:name="_Toc377637376"/>
      <w:bookmarkStart w:id="521" w:name="_Toc377637679"/>
      <w:bookmarkStart w:id="522" w:name="_Toc377645304"/>
      <w:bookmarkStart w:id="523" w:name="_Toc377645607"/>
      <w:bookmarkStart w:id="524" w:name="_Toc377031123"/>
      <w:bookmarkStart w:id="525" w:name="_Toc377032422"/>
      <w:bookmarkStart w:id="526" w:name="_Toc377559719"/>
      <w:bookmarkStart w:id="527" w:name="_Toc377560146"/>
      <w:bookmarkStart w:id="528" w:name="_Toc377563811"/>
      <w:bookmarkStart w:id="529" w:name="_Toc377564096"/>
      <w:bookmarkStart w:id="530" w:name="_Toc377572054"/>
      <w:bookmarkStart w:id="531" w:name="_Toc377637379"/>
      <w:bookmarkStart w:id="532" w:name="_Toc377637682"/>
      <w:bookmarkStart w:id="533" w:name="_Toc377645307"/>
      <w:bookmarkStart w:id="534" w:name="_Toc377645610"/>
      <w:bookmarkStart w:id="535" w:name="_Toc377031125"/>
      <w:bookmarkStart w:id="536" w:name="_Toc377032424"/>
      <w:bookmarkStart w:id="537" w:name="_Toc377559721"/>
      <w:bookmarkStart w:id="538" w:name="_Toc377560148"/>
      <w:bookmarkStart w:id="539" w:name="_Toc377563813"/>
      <w:bookmarkStart w:id="540" w:name="_Toc377564098"/>
      <w:bookmarkStart w:id="541" w:name="_Toc377572056"/>
      <w:bookmarkStart w:id="542" w:name="_Toc377637381"/>
      <w:bookmarkStart w:id="543" w:name="_Toc377637684"/>
      <w:bookmarkStart w:id="544" w:name="_Toc377645309"/>
      <w:bookmarkStart w:id="545" w:name="_Toc377645612"/>
      <w:bookmarkStart w:id="546" w:name="_Toc377031127"/>
      <w:bookmarkStart w:id="547" w:name="_Toc377032426"/>
      <w:bookmarkStart w:id="548" w:name="_Toc377559723"/>
      <w:bookmarkStart w:id="549" w:name="_Toc377560150"/>
      <w:bookmarkStart w:id="550" w:name="_Toc377563815"/>
      <w:bookmarkStart w:id="551" w:name="_Toc377564100"/>
      <w:bookmarkStart w:id="552" w:name="_Toc377572058"/>
      <w:bookmarkStart w:id="553" w:name="_Toc377637383"/>
      <w:bookmarkStart w:id="554" w:name="_Toc377637686"/>
      <w:bookmarkStart w:id="555" w:name="_Toc377645311"/>
      <w:bookmarkStart w:id="556" w:name="_Toc377645614"/>
      <w:bookmarkStart w:id="557" w:name="_Toc377031128"/>
      <w:bookmarkStart w:id="558" w:name="_Toc377032427"/>
      <w:bookmarkStart w:id="559" w:name="_Toc377559724"/>
      <w:bookmarkStart w:id="560" w:name="_Toc377560151"/>
      <w:bookmarkStart w:id="561" w:name="_Toc377563816"/>
      <w:bookmarkStart w:id="562" w:name="_Toc377564101"/>
      <w:bookmarkStart w:id="563" w:name="_Toc377572059"/>
      <w:bookmarkStart w:id="564" w:name="_Toc377637384"/>
      <w:bookmarkStart w:id="565" w:name="_Toc377637687"/>
      <w:bookmarkStart w:id="566" w:name="_Toc377645312"/>
      <w:bookmarkStart w:id="567" w:name="_Toc377645615"/>
      <w:bookmarkStart w:id="568" w:name="_Toc377031129"/>
      <w:bookmarkStart w:id="569" w:name="_Toc377032428"/>
      <w:bookmarkStart w:id="570" w:name="_Toc377559725"/>
      <w:bookmarkStart w:id="571" w:name="_Toc377560152"/>
      <w:bookmarkStart w:id="572" w:name="_Toc377563817"/>
      <w:bookmarkStart w:id="573" w:name="_Toc377564102"/>
      <w:bookmarkStart w:id="574" w:name="_Toc377572060"/>
      <w:bookmarkStart w:id="575" w:name="_Toc377637385"/>
      <w:bookmarkStart w:id="576" w:name="_Toc377637688"/>
      <w:bookmarkStart w:id="577" w:name="_Toc377645313"/>
      <w:bookmarkStart w:id="578" w:name="_Toc377645616"/>
      <w:bookmarkStart w:id="579" w:name="_Toc377031131"/>
      <w:bookmarkStart w:id="580" w:name="_Toc377032430"/>
      <w:bookmarkStart w:id="581" w:name="_Toc377559727"/>
      <w:bookmarkStart w:id="582" w:name="_Toc377560154"/>
      <w:bookmarkStart w:id="583" w:name="_Toc377563819"/>
      <w:bookmarkStart w:id="584" w:name="_Toc377564104"/>
      <w:bookmarkStart w:id="585" w:name="_Toc377572062"/>
      <w:bookmarkStart w:id="586" w:name="_Toc377637387"/>
      <w:bookmarkStart w:id="587" w:name="_Toc377637690"/>
      <w:bookmarkStart w:id="588" w:name="_Toc377645315"/>
      <w:bookmarkStart w:id="589" w:name="_Toc377645618"/>
      <w:bookmarkStart w:id="590" w:name="_Toc377031133"/>
      <w:bookmarkStart w:id="591" w:name="_Toc377032432"/>
      <w:bookmarkStart w:id="592" w:name="_Toc377559729"/>
      <w:bookmarkStart w:id="593" w:name="_Toc377560156"/>
      <w:bookmarkStart w:id="594" w:name="_Toc377563821"/>
      <w:bookmarkStart w:id="595" w:name="_Toc377564106"/>
      <w:bookmarkStart w:id="596" w:name="_Toc377572064"/>
      <w:bookmarkStart w:id="597" w:name="_Toc377637389"/>
      <w:bookmarkStart w:id="598" w:name="_Toc377637692"/>
      <w:bookmarkStart w:id="599" w:name="_Toc377645317"/>
      <w:bookmarkStart w:id="600" w:name="_Toc377645620"/>
      <w:bookmarkStart w:id="601" w:name="_Toc377031135"/>
      <w:bookmarkStart w:id="602" w:name="_Toc377032434"/>
      <w:bookmarkStart w:id="603" w:name="_Toc377559731"/>
      <w:bookmarkStart w:id="604" w:name="_Toc377560158"/>
      <w:bookmarkStart w:id="605" w:name="_Toc377563823"/>
      <w:bookmarkStart w:id="606" w:name="_Toc377564108"/>
      <w:bookmarkStart w:id="607" w:name="_Toc377572066"/>
      <w:bookmarkStart w:id="608" w:name="_Toc377637391"/>
      <w:bookmarkStart w:id="609" w:name="_Toc377637694"/>
      <w:bookmarkStart w:id="610" w:name="_Toc377645319"/>
      <w:bookmarkStart w:id="611" w:name="_Toc377645622"/>
      <w:bookmarkStart w:id="612" w:name="_Toc377031137"/>
      <w:bookmarkStart w:id="613" w:name="_Toc377032436"/>
      <w:bookmarkStart w:id="614" w:name="_Toc377559733"/>
      <w:bookmarkStart w:id="615" w:name="_Toc377560160"/>
      <w:bookmarkStart w:id="616" w:name="_Toc377563825"/>
      <w:bookmarkStart w:id="617" w:name="_Toc377564110"/>
      <w:bookmarkStart w:id="618" w:name="_Toc377572068"/>
      <w:bookmarkStart w:id="619" w:name="_Toc377637393"/>
      <w:bookmarkStart w:id="620" w:name="_Toc377637696"/>
      <w:bookmarkStart w:id="621" w:name="_Toc377645321"/>
      <w:bookmarkStart w:id="622" w:name="_Toc377645624"/>
      <w:bookmarkStart w:id="623" w:name="_Toc377031139"/>
      <w:bookmarkStart w:id="624" w:name="_Toc377032438"/>
      <w:bookmarkStart w:id="625" w:name="_Toc377559735"/>
      <w:bookmarkStart w:id="626" w:name="_Toc377560162"/>
      <w:bookmarkStart w:id="627" w:name="_Toc377563827"/>
      <w:bookmarkStart w:id="628" w:name="_Toc377564112"/>
      <w:bookmarkStart w:id="629" w:name="_Toc377572070"/>
      <w:bookmarkStart w:id="630" w:name="_Toc377637395"/>
      <w:bookmarkStart w:id="631" w:name="_Toc377637698"/>
      <w:bookmarkStart w:id="632" w:name="_Toc377645323"/>
      <w:bookmarkStart w:id="633" w:name="_Toc377645626"/>
      <w:bookmarkStart w:id="634" w:name="_Toc377031141"/>
      <w:bookmarkStart w:id="635" w:name="_Toc377032440"/>
      <w:bookmarkStart w:id="636" w:name="_Toc377559737"/>
      <w:bookmarkStart w:id="637" w:name="_Toc377560164"/>
      <w:bookmarkStart w:id="638" w:name="_Toc377563829"/>
      <w:bookmarkStart w:id="639" w:name="_Toc377564114"/>
      <w:bookmarkStart w:id="640" w:name="_Toc377572072"/>
      <w:bookmarkStart w:id="641" w:name="_Toc377637397"/>
      <w:bookmarkStart w:id="642" w:name="_Toc377637700"/>
      <w:bookmarkStart w:id="643" w:name="_Toc377645325"/>
      <w:bookmarkStart w:id="644" w:name="_Toc377645628"/>
      <w:bookmarkStart w:id="645" w:name="_Toc377031143"/>
      <w:bookmarkStart w:id="646" w:name="_Toc377032442"/>
      <w:bookmarkStart w:id="647" w:name="_Toc377559739"/>
      <w:bookmarkStart w:id="648" w:name="_Toc377560166"/>
      <w:bookmarkStart w:id="649" w:name="_Toc377563831"/>
      <w:bookmarkStart w:id="650" w:name="_Toc377564116"/>
      <w:bookmarkStart w:id="651" w:name="_Toc377572074"/>
      <w:bookmarkStart w:id="652" w:name="_Toc377637399"/>
      <w:bookmarkStart w:id="653" w:name="_Toc377637702"/>
      <w:bookmarkStart w:id="654" w:name="_Toc377645327"/>
      <w:bookmarkStart w:id="655" w:name="_Toc377645630"/>
      <w:bookmarkStart w:id="656" w:name="_Toc377031145"/>
      <w:bookmarkStart w:id="657" w:name="_Toc377032444"/>
      <w:bookmarkStart w:id="658" w:name="_Toc377559741"/>
      <w:bookmarkStart w:id="659" w:name="_Toc377560168"/>
      <w:bookmarkStart w:id="660" w:name="_Toc377563833"/>
      <w:bookmarkStart w:id="661" w:name="_Toc377564118"/>
      <w:bookmarkStart w:id="662" w:name="_Toc377572076"/>
      <w:bookmarkStart w:id="663" w:name="_Toc377637401"/>
      <w:bookmarkStart w:id="664" w:name="_Toc377637704"/>
      <w:bookmarkStart w:id="665" w:name="_Toc377645329"/>
      <w:bookmarkStart w:id="666" w:name="_Toc377645632"/>
      <w:bookmarkStart w:id="667" w:name="_Toc377031146"/>
      <w:bookmarkStart w:id="668" w:name="_Toc377032445"/>
      <w:bookmarkStart w:id="669" w:name="_Toc377559742"/>
      <w:bookmarkStart w:id="670" w:name="_Toc377560169"/>
      <w:bookmarkStart w:id="671" w:name="_Toc377563834"/>
      <w:bookmarkStart w:id="672" w:name="_Toc377564119"/>
      <w:bookmarkStart w:id="673" w:name="_Toc377572077"/>
      <w:bookmarkStart w:id="674" w:name="_Toc377637402"/>
      <w:bookmarkStart w:id="675" w:name="_Toc377637705"/>
      <w:bookmarkStart w:id="676" w:name="_Toc377645330"/>
      <w:bookmarkStart w:id="677" w:name="_Toc377645633"/>
      <w:bookmarkStart w:id="678" w:name="_Toc377031148"/>
      <w:bookmarkStart w:id="679" w:name="_Toc377032447"/>
      <w:bookmarkStart w:id="680" w:name="_Toc377559744"/>
      <w:bookmarkStart w:id="681" w:name="_Toc377560171"/>
      <w:bookmarkStart w:id="682" w:name="_Toc377563836"/>
      <w:bookmarkStart w:id="683" w:name="_Toc377564121"/>
      <w:bookmarkStart w:id="684" w:name="_Toc377572079"/>
      <w:bookmarkStart w:id="685" w:name="_Toc377637404"/>
      <w:bookmarkStart w:id="686" w:name="_Toc377637707"/>
      <w:bookmarkStart w:id="687" w:name="_Toc377645332"/>
      <w:bookmarkStart w:id="688" w:name="_Toc377645635"/>
      <w:bookmarkStart w:id="689" w:name="_Toc377031150"/>
      <w:bookmarkStart w:id="690" w:name="_Toc377032449"/>
      <w:bookmarkStart w:id="691" w:name="_Toc377559746"/>
      <w:bookmarkStart w:id="692" w:name="_Toc377560173"/>
      <w:bookmarkStart w:id="693" w:name="_Toc377563838"/>
      <w:bookmarkStart w:id="694" w:name="_Toc377564123"/>
      <w:bookmarkStart w:id="695" w:name="_Toc377572081"/>
      <w:bookmarkStart w:id="696" w:name="_Toc377637406"/>
      <w:bookmarkStart w:id="697" w:name="_Toc377637709"/>
      <w:bookmarkStart w:id="698" w:name="_Toc377645334"/>
      <w:bookmarkStart w:id="699" w:name="_Toc377645637"/>
      <w:bookmarkStart w:id="700" w:name="_Toc377031151"/>
      <w:bookmarkStart w:id="701" w:name="_Toc377032450"/>
      <w:bookmarkStart w:id="702" w:name="_Toc377559747"/>
      <w:bookmarkStart w:id="703" w:name="_Toc377560174"/>
      <w:bookmarkStart w:id="704" w:name="_Toc377563839"/>
      <w:bookmarkStart w:id="705" w:name="_Toc377564124"/>
      <w:bookmarkStart w:id="706" w:name="_Toc377572082"/>
      <w:bookmarkStart w:id="707" w:name="_Toc377637407"/>
      <w:bookmarkStart w:id="708" w:name="_Toc377637710"/>
      <w:bookmarkStart w:id="709" w:name="_Toc377645335"/>
      <w:bookmarkStart w:id="710" w:name="_Toc377645638"/>
      <w:bookmarkStart w:id="711" w:name="_Toc377031152"/>
      <w:bookmarkStart w:id="712" w:name="_Toc377032451"/>
      <w:bookmarkStart w:id="713" w:name="_Toc377559748"/>
      <w:bookmarkStart w:id="714" w:name="_Toc377560175"/>
      <w:bookmarkStart w:id="715" w:name="_Toc377563840"/>
      <w:bookmarkStart w:id="716" w:name="_Toc377564125"/>
      <w:bookmarkStart w:id="717" w:name="_Toc377572083"/>
      <w:bookmarkStart w:id="718" w:name="_Toc377637408"/>
      <w:bookmarkStart w:id="719" w:name="_Toc377637711"/>
      <w:bookmarkStart w:id="720" w:name="_Toc377645336"/>
      <w:bookmarkStart w:id="721" w:name="_Toc377645639"/>
      <w:bookmarkStart w:id="722" w:name="_Toc377031153"/>
      <w:bookmarkStart w:id="723" w:name="_Toc377032452"/>
      <w:bookmarkStart w:id="724" w:name="_Toc377559749"/>
      <w:bookmarkStart w:id="725" w:name="_Toc377560176"/>
      <w:bookmarkStart w:id="726" w:name="_Toc377563841"/>
      <w:bookmarkStart w:id="727" w:name="_Toc377564126"/>
      <w:bookmarkStart w:id="728" w:name="_Toc377572084"/>
      <w:bookmarkStart w:id="729" w:name="_Toc377637409"/>
      <w:bookmarkStart w:id="730" w:name="_Toc377637712"/>
      <w:bookmarkStart w:id="731" w:name="_Toc377645337"/>
      <w:bookmarkStart w:id="732" w:name="_Toc377645640"/>
      <w:bookmarkStart w:id="733" w:name="_Toc377031154"/>
      <w:bookmarkStart w:id="734" w:name="_Toc377032453"/>
      <w:bookmarkStart w:id="735" w:name="_Toc377559750"/>
      <w:bookmarkStart w:id="736" w:name="_Toc377560177"/>
      <w:bookmarkStart w:id="737" w:name="_Toc377563842"/>
      <w:bookmarkStart w:id="738" w:name="_Toc377564127"/>
      <w:bookmarkStart w:id="739" w:name="_Toc377572085"/>
      <w:bookmarkStart w:id="740" w:name="_Toc377637410"/>
      <w:bookmarkStart w:id="741" w:name="_Toc377637713"/>
      <w:bookmarkStart w:id="742" w:name="_Toc377645338"/>
      <w:bookmarkStart w:id="743" w:name="_Toc377645641"/>
      <w:bookmarkStart w:id="744" w:name="_Toc377031156"/>
      <w:bookmarkStart w:id="745" w:name="_Toc377032455"/>
      <w:bookmarkStart w:id="746" w:name="_Toc377559752"/>
      <w:bookmarkStart w:id="747" w:name="_Toc377560179"/>
      <w:bookmarkStart w:id="748" w:name="_Toc377563844"/>
      <w:bookmarkStart w:id="749" w:name="_Toc377564129"/>
      <w:bookmarkStart w:id="750" w:name="_Toc377572087"/>
      <w:bookmarkStart w:id="751" w:name="_Toc377637412"/>
      <w:bookmarkStart w:id="752" w:name="_Toc377637715"/>
      <w:bookmarkStart w:id="753" w:name="_Toc377645340"/>
      <w:bookmarkStart w:id="754" w:name="_Toc377645643"/>
      <w:bookmarkStart w:id="755" w:name="_Toc377031158"/>
      <w:bookmarkStart w:id="756" w:name="_Toc377032457"/>
      <w:bookmarkStart w:id="757" w:name="_Toc377559754"/>
      <w:bookmarkStart w:id="758" w:name="_Toc377560181"/>
      <w:bookmarkStart w:id="759" w:name="_Toc377563846"/>
      <w:bookmarkStart w:id="760" w:name="_Toc377564131"/>
      <w:bookmarkStart w:id="761" w:name="_Toc377572089"/>
      <w:bookmarkStart w:id="762" w:name="_Toc377637414"/>
      <w:bookmarkStart w:id="763" w:name="_Toc377637717"/>
      <w:bookmarkStart w:id="764" w:name="_Toc377645342"/>
      <w:bookmarkStart w:id="765" w:name="_Toc377645645"/>
      <w:bookmarkStart w:id="766" w:name="_Toc377031160"/>
      <w:bookmarkStart w:id="767" w:name="_Toc377032459"/>
      <w:bookmarkStart w:id="768" w:name="_Toc377559756"/>
      <w:bookmarkStart w:id="769" w:name="_Toc377560183"/>
      <w:bookmarkStart w:id="770" w:name="_Toc377563848"/>
      <w:bookmarkStart w:id="771" w:name="_Toc377564133"/>
      <w:bookmarkStart w:id="772" w:name="_Toc377572091"/>
      <w:bookmarkStart w:id="773" w:name="_Toc377637416"/>
      <w:bookmarkStart w:id="774" w:name="_Toc377637719"/>
      <w:bookmarkStart w:id="775" w:name="_Toc377645344"/>
      <w:bookmarkStart w:id="776" w:name="_Toc377645647"/>
      <w:bookmarkStart w:id="777" w:name="_Toc377031162"/>
      <w:bookmarkStart w:id="778" w:name="_Toc377032461"/>
      <w:bookmarkStart w:id="779" w:name="_Toc377559758"/>
      <w:bookmarkStart w:id="780" w:name="_Toc377560185"/>
      <w:bookmarkStart w:id="781" w:name="_Toc377563850"/>
      <w:bookmarkStart w:id="782" w:name="_Toc377564135"/>
      <w:bookmarkStart w:id="783" w:name="_Toc377572093"/>
      <w:bookmarkStart w:id="784" w:name="_Toc377637418"/>
      <w:bookmarkStart w:id="785" w:name="_Toc377637721"/>
      <w:bookmarkStart w:id="786" w:name="_Toc377645346"/>
      <w:bookmarkStart w:id="787" w:name="_Toc377645649"/>
      <w:bookmarkStart w:id="788" w:name="_Toc377031164"/>
      <w:bookmarkStart w:id="789" w:name="_Toc377032463"/>
      <w:bookmarkStart w:id="790" w:name="_Toc377559760"/>
      <w:bookmarkStart w:id="791" w:name="_Toc377560187"/>
      <w:bookmarkStart w:id="792" w:name="_Toc377563852"/>
      <w:bookmarkStart w:id="793" w:name="_Toc377564137"/>
      <w:bookmarkStart w:id="794" w:name="_Toc377572095"/>
      <w:bookmarkStart w:id="795" w:name="_Toc377637420"/>
      <w:bookmarkStart w:id="796" w:name="_Toc377637723"/>
      <w:bookmarkStart w:id="797" w:name="_Toc377645348"/>
      <w:bookmarkStart w:id="798" w:name="_Toc377645651"/>
      <w:bookmarkStart w:id="799" w:name="_Toc377031165"/>
      <w:bookmarkStart w:id="800" w:name="_Toc377032464"/>
      <w:bookmarkStart w:id="801" w:name="_Toc377559761"/>
      <w:bookmarkStart w:id="802" w:name="_Toc377560188"/>
      <w:bookmarkStart w:id="803" w:name="_Toc377563853"/>
      <w:bookmarkStart w:id="804" w:name="_Toc377564138"/>
      <w:bookmarkStart w:id="805" w:name="_Toc377572096"/>
      <w:bookmarkStart w:id="806" w:name="_Toc377637421"/>
      <w:bookmarkStart w:id="807" w:name="_Toc377637724"/>
      <w:bookmarkStart w:id="808" w:name="_Toc377645349"/>
      <w:bookmarkStart w:id="809" w:name="_Toc377645652"/>
      <w:bookmarkStart w:id="810" w:name="_Toc377031166"/>
      <w:bookmarkStart w:id="811" w:name="_Toc377032465"/>
      <w:bookmarkStart w:id="812" w:name="_Toc377559762"/>
      <w:bookmarkStart w:id="813" w:name="_Toc377560189"/>
      <w:bookmarkStart w:id="814" w:name="_Toc377563854"/>
      <w:bookmarkStart w:id="815" w:name="_Toc377564139"/>
      <w:bookmarkStart w:id="816" w:name="_Toc377572097"/>
      <w:bookmarkStart w:id="817" w:name="_Toc377637422"/>
      <w:bookmarkStart w:id="818" w:name="_Toc377637725"/>
      <w:bookmarkStart w:id="819" w:name="_Toc377645350"/>
      <w:bookmarkStart w:id="820" w:name="_Toc377645653"/>
      <w:bookmarkStart w:id="821" w:name="_Toc377031169"/>
      <w:bookmarkStart w:id="822" w:name="_Toc377032468"/>
      <w:bookmarkStart w:id="823" w:name="_Toc377559765"/>
      <w:bookmarkStart w:id="824" w:name="_Toc377560192"/>
      <w:bookmarkStart w:id="825" w:name="_Toc377563857"/>
      <w:bookmarkStart w:id="826" w:name="_Toc377564142"/>
      <w:bookmarkStart w:id="827" w:name="_Toc377572100"/>
      <w:bookmarkStart w:id="828" w:name="_Toc377637425"/>
      <w:bookmarkStart w:id="829" w:name="_Toc377637728"/>
      <w:bookmarkStart w:id="830" w:name="_Toc377645353"/>
      <w:bookmarkStart w:id="831" w:name="_Toc377645656"/>
      <w:bookmarkStart w:id="832" w:name="_Toc377031171"/>
      <w:bookmarkStart w:id="833" w:name="_Toc377032470"/>
      <w:bookmarkStart w:id="834" w:name="_Toc377559767"/>
      <w:bookmarkStart w:id="835" w:name="_Toc377560194"/>
      <w:bookmarkStart w:id="836" w:name="_Toc377563859"/>
      <w:bookmarkStart w:id="837" w:name="_Toc377564144"/>
      <w:bookmarkStart w:id="838" w:name="_Toc377572102"/>
      <w:bookmarkStart w:id="839" w:name="_Toc377637427"/>
      <w:bookmarkStart w:id="840" w:name="_Toc377637730"/>
      <w:bookmarkStart w:id="841" w:name="_Toc377645355"/>
      <w:bookmarkStart w:id="842" w:name="_Toc377645658"/>
      <w:bookmarkStart w:id="843" w:name="_Toc377031173"/>
      <w:bookmarkStart w:id="844" w:name="_Toc377032472"/>
      <w:bookmarkStart w:id="845" w:name="_Toc377559769"/>
      <w:bookmarkStart w:id="846" w:name="_Toc377560196"/>
      <w:bookmarkStart w:id="847" w:name="_Toc377563861"/>
      <w:bookmarkStart w:id="848" w:name="_Toc377564146"/>
      <w:bookmarkStart w:id="849" w:name="_Toc377572104"/>
      <w:bookmarkStart w:id="850" w:name="_Toc377637429"/>
      <w:bookmarkStart w:id="851" w:name="_Toc377637732"/>
      <w:bookmarkStart w:id="852" w:name="_Toc377645357"/>
      <w:bookmarkStart w:id="853" w:name="_Toc377645660"/>
      <w:bookmarkStart w:id="854" w:name="_Toc377031175"/>
      <w:bookmarkStart w:id="855" w:name="_Toc377032474"/>
      <w:bookmarkStart w:id="856" w:name="_Toc377559771"/>
      <w:bookmarkStart w:id="857" w:name="_Toc377560198"/>
      <w:bookmarkStart w:id="858" w:name="_Toc377563863"/>
      <w:bookmarkStart w:id="859" w:name="_Toc377564148"/>
      <w:bookmarkStart w:id="860" w:name="_Toc377572106"/>
      <w:bookmarkStart w:id="861" w:name="_Toc377637431"/>
      <w:bookmarkStart w:id="862" w:name="_Toc377637734"/>
      <w:bookmarkStart w:id="863" w:name="_Toc377645359"/>
      <w:bookmarkStart w:id="864" w:name="_Toc377645662"/>
      <w:bookmarkStart w:id="865" w:name="_Toc377031177"/>
      <w:bookmarkStart w:id="866" w:name="_Toc377032476"/>
      <w:bookmarkStart w:id="867" w:name="_Toc377559773"/>
      <w:bookmarkStart w:id="868" w:name="_Toc377560200"/>
      <w:bookmarkStart w:id="869" w:name="_Toc377563865"/>
      <w:bookmarkStart w:id="870" w:name="_Toc377564150"/>
      <w:bookmarkStart w:id="871" w:name="_Toc377572108"/>
      <w:bookmarkStart w:id="872" w:name="_Toc377637433"/>
      <w:bookmarkStart w:id="873" w:name="_Toc377637736"/>
      <w:bookmarkStart w:id="874" w:name="_Toc377645361"/>
      <w:bookmarkStart w:id="875" w:name="_Toc377645664"/>
      <w:bookmarkStart w:id="876" w:name="_Toc377031179"/>
      <w:bookmarkStart w:id="877" w:name="_Toc377032478"/>
      <w:bookmarkStart w:id="878" w:name="_Toc377559775"/>
      <w:bookmarkStart w:id="879" w:name="_Toc377560202"/>
      <w:bookmarkStart w:id="880" w:name="_Toc377563867"/>
      <w:bookmarkStart w:id="881" w:name="_Toc377564152"/>
      <w:bookmarkStart w:id="882" w:name="_Toc377572110"/>
      <w:bookmarkStart w:id="883" w:name="_Toc377637435"/>
      <w:bookmarkStart w:id="884" w:name="_Toc377637738"/>
      <w:bookmarkStart w:id="885" w:name="_Toc377645363"/>
      <w:bookmarkStart w:id="886" w:name="_Toc377645666"/>
      <w:bookmarkStart w:id="887" w:name="_Toc377031181"/>
      <w:bookmarkStart w:id="888" w:name="_Toc377032480"/>
      <w:bookmarkStart w:id="889" w:name="_Toc377559777"/>
      <w:bookmarkStart w:id="890" w:name="_Toc377560204"/>
      <w:bookmarkStart w:id="891" w:name="_Toc377563869"/>
      <w:bookmarkStart w:id="892" w:name="_Toc377564154"/>
      <w:bookmarkStart w:id="893" w:name="_Toc377572112"/>
      <w:bookmarkStart w:id="894" w:name="_Toc377637437"/>
      <w:bookmarkStart w:id="895" w:name="_Toc377637740"/>
      <w:bookmarkStart w:id="896" w:name="_Toc377645365"/>
      <w:bookmarkStart w:id="897" w:name="_Toc377645668"/>
      <w:bookmarkStart w:id="898" w:name="_Toc377031182"/>
      <w:bookmarkStart w:id="899" w:name="_Toc377032481"/>
      <w:bookmarkStart w:id="900" w:name="_Toc377559778"/>
      <w:bookmarkStart w:id="901" w:name="_Toc377560205"/>
      <w:bookmarkStart w:id="902" w:name="_Toc377563870"/>
      <w:bookmarkStart w:id="903" w:name="_Toc377564155"/>
      <w:bookmarkStart w:id="904" w:name="_Toc377572113"/>
      <w:bookmarkStart w:id="905" w:name="_Toc377637438"/>
      <w:bookmarkStart w:id="906" w:name="_Toc377637741"/>
      <w:bookmarkStart w:id="907" w:name="_Toc377645366"/>
      <w:bookmarkStart w:id="908" w:name="_Toc377645669"/>
      <w:bookmarkStart w:id="909" w:name="_Toc377031184"/>
      <w:bookmarkStart w:id="910" w:name="_Toc377032483"/>
      <w:bookmarkStart w:id="911" w:name="_Toc377559780"/>
      <w:bookmarkStart w:id="912" w:name="_Toc377560207"/>
      <w:bookmarkStart w:id="913" w:name="_Toc377563872"/>
      <w:bookmarkStart w:id="914" w:name="_Toc377564157"/>
      <w:bookmarkStart w:id="915" w:name="_Toc377572115"/>
      <w:bookmarkStart w:id="916" w:name="_Toc377637440"/>
      <w:bookmarkStart w:id="917" w:name="_Toc377637743"/>
      <w:bookmarkStart w:id="918" w:name="_Toc377645368"/>
      <w:bookmarkStart w:id="919" w:name="_Toc377645671"/>
      <w:bookmarkStart w:id="920" w:name="_Toc377031186"/>
      <w:bookmarkStart w:id="921" w:name="_Toc377032485"/>
      <w:bookmarkStart w:id="922" w:name="_Toc377559782"/>
      <w:bookmarkStart w:id="923" w:name="_Toc377560209"/>
      <w:bookmarkStart w:id="924" w:name="_Toc377563874"/>
      <w:bookmarkStart w:id="925" w:name="_Toc377564159"/>
      <w:bookmarkStart w:id="926" w:name="_Toc377572117"/>
      <w:bookmarkStart w:id="927" w:name="_Toc377637442"/>
      <w:bookmarkStart w:id="928" w:name="_Toc377637745"/>
      <w:bookmarkStart w:id="929" w:name="_Toc377645370"/>
      <w:bookmarkStart w:id="930" w:name="_Toc377645673"/>
      <w:bookmarkStart w:id="931" w:name="_Toc377031188"/>
      <w:bookmarkStart w:id="932" w:name="_Toc377032487"/>
      <w:bookmarkStart w:id="933" w:name="_Toc377559784"/>
      <w:bookmarkStart w:id="934" w:name="_Toc377560211"/>
      <w:bookmarkStart w:id="935" w:name="_Toc377563876"/>
      <w:bookmarkStart w:id="936" w:name="_Toc377564161"/>
      <w:bookmarkStart w:id="937" w:name="_Toc377572119"/>
      <w:bookmarkStart w:id="938" w:name="_Toc377637444"/>
      <w:bookmarkStart w:id="939" w:name="_Toc377637747"/>
      <w:bookmarkStart w:id="940" w:name="_Toc377645372"/>
      <w:bookmarkStart w:id="941" w:name="_Toc377645675"/>
      <w:bookmarkStart w:id="942" w:name="_Toc377031190"/>
      <w:bookmarkStart w:id="943" w:name="_Toc377032489"/>
      <w:bookmarkStart w:id="944" w:name="_Toc377559786"/>
      <w:bookmarkStart w:id="945" w:name="_Toc377560213"/>
      <w:bookmarkStart w:id="946" w:name="_Toc377563878"/>
      <w:bookmarkStart w:id="947" w:name="_Toc377564163"/>
      <w:bookmarkStart w:id="948" w:name="_Toc377572121"/>
      <w:bookmarkStart w:id="949" w:name="_Toc377637446"/>
      <w:bookmarkStart w:id="950" w:name="_Toc377637749"/>
      <w:bookmarkStart w:id="951" w:name="_Toc377645374"/>
      <w:bookmarkStart w:id="952" w:name="_Toc377645677"/>
      <w:bookmarkStart w:id="953" w:name="_Toc377031192"/>
      <w:bookmarkStart w:id="954" w:name="_Toc377032491"/>
      <w:bookmarkStart w:id="955" w:name="_Toc377559788"/>
      <w:bookmarkStart w:id="956" w:name="_Toc377560215"/>
      <w:bookmarkStart w:id="957" w:name="_Toc377563880"/>
      <w:bookmarkStart w:id="958" w:name="_Toc377564165"/>
      <w:bookmarkStart w:id="959" w:name="_Toc377572123"/>
      <w:bookmarkStart w:id="960" w:name="_Toc377637448"/>
      <w:bookmarkStart w:id="961" w:name="_Toc377637751"/>
      <w:bookmarkStart w:id="962" w:name="_Toc377645376"/>
      <w:bookmarkStart w:id="963" w:name="_Toc377645679"/>
      <w:bookmarkStart w:id="964" w:name="_Toc377031193"/>
      <w:bookmarkStart w:id="965" w:name="_Toc377032492"/>
      <w:bookmarkStart w:id="966" w:name="_Toc377559789"/>
      <w:bookmarkStart w:id="967" w:name="_Toc377560216"/>
      <w:bookmarkStart w:id="968" w:name="_Toc377563881"/>
      <w:bookmarkStart w:id="969" w:name="_Toc377564166"/>
      <w:bookmarkStart w:id="970" w:name="_Toc377572124"/>
      <w:bookmarkStart w:id="971" w:name="_Toc377637449"/>
      <w:bookmarkStart w:id="972" w:name="_Toc377637752"/>
      <w:bookmarkStart w:id="973" w:name="_Toc377645377"/>
      <w:bookmarkStart w:id="974" w:name="_Toc377645680"/>
      <w:bookmarkStart w:id="975" w:name="_Toc377031194"/>
      <w:bookmarkStart w:id="976" w:name="_Toc377032493"/>
      <w:bookmarkStart w:id="977" w:name="_Toc377559790"/>
      <w:bookmarkStart w:id="978" w:name="_Toc377560217"/>
      <w:bookmarkStart w:id="979" w:name="_Toc377563882"/>
      <w:bookmarkStart w:id="980" w:name="_Toc377564167"/>
      <w:bookmarkStart w:id="981" w:name="_Toc377572125"/>
      <w:bookmarkStart w:id="982" w:name="_Toc377637450"/>
      <w:bookmarkStart w:id="983" w:name="_Toc377637753"/>
      <w:bookmarkStart w:id="984" w:name="_Toc377645378"/>
      <w:bookmarkStart w:id="985" w:name="_Toc377645681"/>
      <w:bookmarkStart w:id="986" w:name="_Toc377031196"/>
      <w:bookmarkStart w:id="987" w:name="_Toc377032495"/>
      <w:bookmarkStart w:id="988" w:name="_Toc377559792"/>
      <w:bookmarkStart w:id="989" w:name="_Toc377560219"/>
      <w:bookmarkStart w:id="990" w:name="_Toc377563884"/>
      <w:bookmarkStart w:id="991" w:name="_Toc377564169"/>
      <w:bookmarkStart w:id="992" w:name="_Toc377572127"/>
      <w:bookmarkStart w:id="993" w:name="_Toc377637452"/>
      <w:bookmarkStart w:id="994" w:name="_Toc377637755"/>
      <w:bookmarkStart w:id="995" w:name="_Toc377645380"/>
      <w:bookmarkStart w:id="996" w:name="_Toc377645683"/>
      <w:bookmarkStart w:id="997" w:name="_Toc377031198"/>
      <w:bookmarkStart w:id="998" w:name="_Toc377032497"/>
      <w:bookmarkStart w:id="999" w:name="_Toc377559794"/>
      <w:bookmarkStart w:id="1000" w:name="_Toc377560221"/>
      <w:bookmarkStart w:id="1001" w:name="_Toc377563886"/>
      <w:bookmarkStart w:id="1002" w:name="_Toc377564171"/>
      <w:bookmarkStart w:id="1003" w:name="_Toc377572129"/>
      <w:bookmarkStart w:id="1004" w:name="_Toc377637454"/>
      <w:bookmarkStart w:id="1005" w:name="_Toc377637757"/>
      <w:bookmarkStart w:id="1006" w:name="_Toc377645382"/>
      <w:bookmarkStart w:id="1007" w:name="_Toc377645685"/>
      <w:bookmarkStart w:id="1008" w:name="_Toc377031200"/>
      <w:bookmarkStart w:id="1009" w:name="_Toc377032499"/>
      <w:bookmarkStart w:id="1010" w:name="_Toc377559796"/>
      <w:bookmarkStart w:id="1011" w:name="_Toc377560223"/>
      <w:bookmarkStart w:id="1012" w:name="_Toc377563888"/>
      <w:bookmarkStart w:id="1013" w:name="_Toc377564173"/>
      <w:bookmarkStart w:id="1014" w:name="_Toc377572131"/>
      <w:bookmarkStart w:id="1015" w:name="_Toc377637456"/>
      <w:bookmarkStart w:id="1016" w:name="_Toc377637759"/>
      <w:bookmarkStart w:id="1017" w:name="_Toc377645384"/>
      <w:bookmarkStart w:id="1018" w:name="_Toc377645687"/>
      <w:bookmarkStart w:id="1019" w:name="_Toc377031201"/>
      <w:bookmarkStart w:id="1020" w:name="_Toc377032500"/>
      <w:bookmarkStart w:id="1021" w:name="_Toc377559797"/>
      <w:bookmarkStart w:id="1022" w:name="_Toc377560224"/>
      <w:bookmarkStart w:id="1023" w:name="_Toc377563889"/>
      <w:bookmarkStart w:id="1024" w:name="_Toc377564174"/>
      <w:bookmarkStart w:id="1025" w:name="_Toc377572132"/>
      <w:bookmarkStart w:id="1026" w:name="_Toc377637457"/>
      <w:bookmarkStart w:id="1027" w:name="_Toc377637760"/>
      <w:bookmarkStart w:id="1028" w:name="_Toc377645385"/>
      <w:bookmarkStart w:id="1029" w:name="_Toc377645688"/>
      <w:bookmarkStart w:id="1030" w:name="_Toc377031202"/>
      <w:bookmarkStart w:id="1031" w:name="_Toc377032501"/>
      <w:bookmarkStart w:id="1032" w:name="_Toc377559798"/>
      <w:bookmarkStart w:id="1033" w:name="_Toc377560225"/>
      <w:bookmarkStart w:id="1034" w:name="_Toc377563890"/>
      <w:bookmarkStart w:id="1035" w:name="_Toc377564175"/>
      <w:bookmarkStart w:id="1036" w:name="_Toc377572133"/>
      <w:bookmarkStart w:id="1037" w:name="_Toc377637458"/>
      <w:bookmarkStart w:id="1038" w:name="_Toc377637761"/>
      <w:bookmarkStart w:id="1039" w:name="_Toc377645386"/>
      <w:bookmarkStart w:id="1040" w:name="_Toc377645689"/>
      <w:bookmarkStart w:id="1041" w:name="_Toc377031204"/>
      <w:bookmarkStart w:id="1042" w:name="_Toc377032503"/>
      <w:bookmarkStart w:id="1043" w:name="_Toc377559800"/>
      <w:bookmarkStart w:id="1044" w:name="_Toc377560227"/>
      <w:bookmarkStart w:id="1045" w:name="_Toc377563892"/>
      <w:bookmarkStart w:id="1046" w:name="_Toc377564177"/>
      <w:bookmarkStart w:id="1047" w:name="_Toc377572135"/>
      <w:bookmarkStart w:id="1048" w:name="_Toc377637460"/>
      <w:bookmarkStart w:id="1049" w:name="_Toc377637763"/>
      <w:bookmarkStart w:id="1050" w:name="_Toc377645388"/>
      <w:bookmarkStart w:id="1051" w:name="_Toc377645691"/>
      <w:bookmarkStart w:id="1052" w:name="_Toc377031206"/>
      <w:bookmarkStart w:id="1053" w:name="_Toc377032505"/>
      <w:bookmarkStart w:id="1054" w:name="_Toc377559802"/>
      <w:bookmarkStart w:id="1055" w:name="_Toc377560229"/>
      <w:bookmarkStart w:id="1056" w:name="_Toc377563894"/>
      <w:bookmarkStart w:id="1057" w:name="_Toc377564179"/>
      <w:bookmarkStart w:id="1058" w:name="_Toc377572137"/>
      <w:bookmarkStart w:id="1059" w:name="_Toc377637462"/>
      <w:bookmarkStart w:id="1060" w:name="_Toc377637765"/>
      <w:bookmarkStart w:id="1061" w:name="_Toc377645390"/>
      <w:bookmarkStart w:id="1062" w:name="_Toc377645693"/>
      <w:bookmarkStart w:id="1063" w:name="_Toc377031208"/>
      <w:bookmarkStart w:id="1064" w:name="_Toc377032507"/>
      <w:bookmarkStart w:id="1065" w:name="_Toc377559804"/>
      <w:bookmarkStart w:id="1066" w:name="_Toc377560231"/>
      <w:bookmarkStart w:id="1067" w:name="_Toc377563896"/>
      <w:bookmarkStart w:id="1068" w:name="_Toc377564181"/>
      <w:bookmarkStart w:id="1069" w:name="_Toc377572139"/>
      <w:bookmarkStart w:id="1070" w:name="_Toc377637464"/>
      <w:bookmarkStart w:id="1071" w:name="_Toc377637767"/>
      <w:bookmarkStart w:id="1072" w:name="_Toc377645392"/>
      <w:bookmarkStart w:id="1073" w:name="_Toc377645695"/>
      <w:bookmarkStart w:id="1074" w:name="_Toc377031210"/>
      <w:bookmarkStart w:id="1075" w:name="_Toc377032509"/>
      <w:bookmarkStart w:id="1076" w:name="_Toc377559806"/>
      <w:bookmarkStart w:id="1077" w:name="_Toc377560233"/>
      <w:bookmarkStart w:id="1078" w:name="_Toc377563898"/>
      <w:bookmarkStart w:id="1079" w:name="_Toc377564183"/>
      <w:bookmarkStart w:id="1080" w:name="_Toc377572141"/>
      <w:bookmarkStart w:id="1081" w:name="_Toc377637466"/>
      <w:bookmarkStart w:id="1082" w:name="_Toc377637769"/>
      <w:bookmarkStart w:id="1083" w:name="_Toc377645394"/>
      <w:bookmarkStart w:id="1084" w:name="_Toc377645697"/>
      <w:bookmarkStart w:id="1085" w:name="_Toc377031211"/>
      <w:bookmarkStart w:id="1086" w:name="_Toc377032510"/>
      <w:bookmarkStart w:id="1087" w:name="_Toc377559807"/>
      <w:bookmarkStart w:id="1088" w:name="_Toc377560234"/>
      <w:bookmarkStart w:id="1089" w:name="_Toc377563899"/>
      <w:bookmarkStart w:id="1090" w:name="_Toc377564184"/>
      <w:bookmarkStart w:id="1091" w:name="_Toc377572142"/>
      <w:bookmarkStart w:id="1092" w:name="_Toc377637467"/>
      <w:bookmarkStart w:id="1093" w:name="_Toc377637770"/>
      <w:bookmarkStart w:id="1094" w:name="_Toc377645395"/>
      <w:bookmarkStart w:id="1095" w:name="_Toc377645698"/>
      <w:bookmarkStart w:id="1096" w:name="_Toc377031212"/>
      <w:bookmarkStart w:id="1097" w:name="_Toc377032511"/>
      <w:bookmarkStart w:id="1098" w:name="_Toc377559808"/>
      <w:bookmarkStart w:id="1099" w:name="_Toc377560235"/>
      <w:bookmarkStart w:id="1100" w:name="_Toc377563900"/>
      <w:bookmarkStart w:id="1101" w:name="_Toc377564185"/>
      <w:bookmarkStart w:id="1102" w:name="_Toc377572143"/>
      <w:bookmarkStart w:id="1103" w:name="_Toc377637468"/>
      <w:bookmarkStart w:id="1104" w:name="_Toc377637771"/>
      <w:bookmarkStart w:id="1105" w:name="_Toc377645396"/>
      <w:bookmarkStart w:id="1106" w:name="_Toc377645699"/>
      <w:bookmarkStart w:id="1107" w:name="_Toc377031214"/>
      <w:bookmarkStart w:id="1108" w:name="_Toc377032513"/>
      <w:bookmarkStart w:id="1109" w:name="_Toc377559810"/>
      <w:bookmarkStart w:id="1110" w:name="_Toc377560237"/>
      <w:bookmarkStart w:id="1111" w:name="_Toc377563902"/>
      <w:bookmarkStart w:id="1112" w:name="_Toc377564187"/>
      <w:bookmarkStart w:id="1113" w:name="_Toc377572145"/>
      <w:bookmarkStart w:id="1114" w:name="_Toc377637470"/>
      <w:bookmarkStart w:id="1115" w:name="_Toc377637773"/>
      <w:bookmarkStart w:id="1116" w:name="_Toc377645398"/>
      <w:bookmarkStart w:id="1117" w:name="_Toc377645701"/>
      <w:bookmarkStart w:id="1118" w:name="_Toc377031216"/>
      <w:bookmarkStart w:id="1119" w:name="_Toc377032515"/>
      <w:bookmarkStart w:id="1120" w:name="_Toc377559812"/>
      <w:bookmarkStart w:id="1121" w:name="_Toc377560239"/>
      <w:bookmarkStart w:id="1122" w:name="_Toc377563904"/>
      <w:bookmarkStart w:id="1123" w:name="_Toc377564189"/>
      <w:bookmarkStart w:id="1124" w:name="_Toc377572147"/>
      <w:bookmarkStart w:id="1125" w:name="_Toc377637472"/>
      <w:bookmarkStart w:id="1126" w:name="_Toc377637775"/>
      <w:bookmarkStart w:id="1127" w:name="_Toc377645400"/>
      <w:bookmarkStart w:id="1128" w:name="_Toc377645703"/>
      <w:bookmarkStart w:id="1129" w:name="_Toc377031218"/>
      <w:bookmarkStart w:id="1130" w:name="_Toc377032517"/>
      <w:bookmarkStart w:id="1131" w:name="_Toc377559814"/>
      <w:bookmarkStart w:id="1132" w:name="_Toc377560241"/>
      <w:bookmarkStart w:id="1133" w:name="_Toc377563906"/>
      <w:bookmarkStart w:id="1134" w:name="_Toc377564191"/>
      <w:bookmarkStart w:id="1135" w:name="_Toc377572149"/>
      <w:bookmarkStart w:id="1136" w:name="_Toc377637474"/>
      <w:bookmarkStart w:id="1137" w:name="_Toc377637777"/>
      <w:bookmarkStart w:id="1138" w:name="_Toc377645402"/>
      <w:bookmarkStart w:id="1139" w:name="_Toc377645705"/>
      <w:bookmarkStart w:id="1140" w:name="_Toc377031220"/>
      <w:bookmarkStart w:id="1141" w:name="_Toc377032519"/>
      <w:bookmarkStart w:id="1142" w:name="_Toc377559816"/>
      <w:bookmarkStart w:id="1143" w:name="_Toc377560243"/>
      <w:bookmarkStart w:id="1144" w:name="_Toc377563908"/>
      <w:bookmarkStart w:id="1145" w:name="_Toc377564193"/>
      <w:bookmarkStart w:id="1146" w:name="_Toc377572151"/>
      <w:bookmarkStart w:id="1147" w:name="_Toc377637476"/>
      <w:bookmarkStart w:id="1148" w:name="_Toc377637779"/>
      <w:bookmarkStart w:id="1149" w:name="_Toc377645404"/>
      <w:bookmarkStart w:id="1150" w:name="_Toc377645707"/>
      <w:bookmarkStart w:id="1151" w:name="_Toc377031222"/>
      <w:bookmarkStart w:id="1152" w:name="_Toc377032521"/>
      <w:bookmarkStart w:id="1153" w:name="_Toc377559818"/>
      <w:bookmarkStart w:id="1154" w:name="_Toc377560245"/>
      <w:bookmarkStart w:id="1155" w:name="_Toc377563910"/>
      <w:bookmarkStart w:id="1156" w:name="_Toc377564195"/>
      <w:bookmarkStart w:id="1157" w:name="_Toc377572153"/>
      <w:bookmarkStart w:id="1158" w:name="_Toc377637478"/>
      <w:bookmarkStart w:id="1159" w:name="_Toc377637781"/>
      <w:bookmarkStart w:id="1160" w:name="_Toc377645406"/>
      <w:bookmarkStart w:id="1161" w:name="_Toc377645709"/>
      <w:bookmarkStart w:id="1162" w:name="_Toc377031224"/>
      <w:bookmarkStart w:id="1163" w:name="_Toc377032523"/>
      <w:bookmarkStart w:id="1164" w:name="_Toc377559820"/>
      <w:bookmarkStart w:id="1165" w:name="_Toc377560247"/>
      <w:bookmarkStart w:id="1166" w:name="_Toc377563912"/>
      <w:bookmarkStart w:id="1167" w:name="_Toc377564197"/>
      <w:bookmarkStart w:id="1168" w:name="_Toc377572155"/>
      <w:bookmarkStart w:id="1169" w:name="_Toc377637480"/>
      <w:bookmarkStart w:id="1170" w:name="_Toc377637783"/>
      <w:bookmarkStart w:id="1171" w:name="_Toc377645408"/>
      <w:bookmarkStart w:id="1172" w:name="_Toc377645711"/>
      <w:bookmarkStart w:id="1173" w:name="_Toc377031226"/>
      <w:bookmarkStart w:id="1174" w:name="_Toc377032525"/>
      <w:bookmarkStart w:id="1175" w:name="_Toc377559822"/>
      <w:bookmarkStart w:id="1176" w:name="_Toc377560249"/>
      <w:bookmarkStart w:id="1177" w:name="_Toc377563914"/>
      <w:bookmarkStart w:id="1178" w:name="_Toc377564199"/>
      <w:bookmarkStart w:id="1179" w:name="_Toc377572157"/>
      <w:bookmarkStart w:id="1180" w:name="_Toc377637482"/>
      <w:bookmarkStart w:id="1181" w:name="_Toc377637785"/>
      <w:bookmarkStart w:id="1182" w:name="_Toc377645410"/>
      <w:bookmarkStart w:id="1183" w:name="_Toc377645713"/>
      <w:bookmarkStart w:id="1184" w:name="_Toc377031227"/>
      <w:bookmarkStart w:id="1185" w:name="_Toc377032526"/>
      <w:bookmarkStart w:id="1186" w:name="_Toc377559823"/>
      <w:bookmarkStart w:id="1187" w:name="_Toc377560250"/>
      <w:bookmarkStart w:id="1188" w:name="_Toc377563915"/>
      <w:bookmarkStart w:id="1189" w:name="_Toc377564200"/>
      <w:bookmarkStart w:id="1190" w:name="_Toc377572158"/>
      <w:bookmarkStart w:id="1191" w:name="_Toc377637483"/>
      <w:bookmarkStart w:id="1192" w:name="_Toc377637786"/>
      <w:bookmarkStart w:id="1193" w:name="_Toc377645411"/>
      <w:bookmarkStart w:id="1194" w:name="_Toc377645714"/>
      <w:bookmarkStart w:id="1195" w:name="_Toc377031231"/>
      <w:bookmarkStart w:id="1196" w:name="_Toc377032530"/>
      <w:bookmarkStart w:id="1197" w:name="_Toc377559827"/>
      <w:bookmarkStart w:id="1198" w:name="_Toc377560254"/>
      <w:bookmarkStart w:id="1199" w:name="_Toc377563919"/>
      <w:bookmarkStart w:id="1200" w:name="_Toc377564204"/>
      <w:bookmarkStart w:id="1201" w:name="_Toc377572162"/>
      <w:bookmarkStart w:id="1202" w:name="_Toc377637487"/>
      <w:bookmarkStart w:id="1203" w:name="_Toc377637790"/>
      <w:bookmarkStart w:id="1204" w:name="_Toc377645415"/>
      <w:bookmarkStart w:id="1205" w:name="_Toc377645718"/>
      <w:bookmarkStart w:id="1206" w:name="_Toc377031233"/>
      <w:bookmarkStart w:id="1207" w:name="_Toc377032532"/>
      <w:bookmarkStart w:id="1208" w:name="_Toc377559829"/>
      <w:bookmarkStart w:id="1209" w:name="_Toc377560256"/>
      <w:bookmarkStart w:id="1210" w:name="_Toc377563921"/>
      <w:bookmarkStart w:id="1211" w:name="_Toc377564206"/>
      <w:bookmarkStart w:id="1212" w:name="_Toc377572164"/>
      <w:bookmarkStart w:id="1213" w:name="_Toc377637489"/>
      <w:bookmarkStart w:id="1214" w:name="_Toc377637792"/>
      <w:bookmarkStart w:id="1215" w:name="_Toc377645417"/>
      <w:bookmarkStart w:id="1216" w:name="_Toc377645720"/>
      <w:bookmarkStart w:id="1217" w:name="_Toc377031235"/>
      <w:bookmarkStart w:id="1218" w:name="_Toc377032534"/>
      <w:bookmarkStart w:id="1219" w:name="_Toc377559831"/>
      <w:bookmarkStart w:id="1220" w:name="_Toc377560258"/>
      <w:bookmarkStart w:id="1221" w:name="_Toc377563923"/>
      <w:bookmarkStart w:id="1222" w:name="_Toc377564208"/>
      <w:bookmarkStart w:id="1223" w:name="_Toc377572166"/>
      <w:bookmarkStart w:id="1224" w:name="_Toc377637491"/>
      <w:bookmarkStart w:id="1225" w:name="_Toc377637794"/>
      <w:bookmarkStart w:id="1226" w:name="_Toc377645419"/>
      <w:bookmarkStart w:id="1227" w:name="_Toc377645722"/>
      <w:bookmarkStart w:id="1228" w:name="_Toc377031237"/>
      <w:bookmarkStart w:id="1229" w:name="_Toc377032536"/>
      <w:bookmarkStart w:id="1230" w:name="_Toc377559833"/>
      <w:bookmarkStart w:id="1231" w:name="_Toc377560260"/>
      <w:bookmarkStart w:id="1232" w:name="_Toc377563925"/>
      <w:bookmarkStart w:id="1233" w:name="_Toc377564210"/>
      <w:bookmarkStart w:id="1234" w:name="_Toc377572168"/>
      <w:bookmarkStart w:id="1235" w:name="_Toc377637493"/>
      <w:bookmarkStart w:id="1236" w:name="_Toc377637796"/>
      <w:bookmarkStart w:id="1237" w:name="_Toc377645421"/>
      <w:bookmarkStart w:id="1238" w:name="_Toc377645724"/>
      <w:bookmarkStart w:id="1239" w:name="_Toc377031239"/>
      <w:bookmarkStart w:id="1240" w:name="_Toc377032538"/>
      <w:bookmarkStart w:id="1241" w:name="_Toc377559835"/>
      <w:bookmarkStart w:id="1242" w:name="_Toc377560262"/>
      <w:bookmarkStart w:id="1243" w:name="_Toc377563927"/>
      <w:bookmarkStart w:id="1244" w:name="_Toc377564212"/>
      <w:bookmarkStart w:id="1245" w:name="_Toc377572170"/>
      <w:bookmarkStart w:id="1246" w:name="_Toc377637495"/>
      <w:bookmarkStart w:id="1247" w:name="_Toc377637798"/>
      <w:bookmarkStart w:id="1248" w:name="_Toc377645423"/>
      <w:bookmarkStart w:id="1249" w:name="_Toc377645726"/>
      <w:bookmarkStart w:id="1250" w:name="_Toc377031241"/>
      <w:bookmarkStart w:id="1251" w:name="_Toc377032540"/>
      <w:bookmarkStart w:id="1252" w:name="_Toc377559837"/>
      <w:bookmarkStart w:id="1253" w:name="_Toc377560264"/>
      <w:bookmarkStart w:id="1254" w:name="_Toc377563929"/>
      <w:bookmarkStart w:id="1255" w:name="_Toc377564214"/>
      <w:bookmarkStart w:id="1256" w:name="_Toc377572172"/>
      <w:bookmarkStart w:id="1257" w:name="_Toc377637497"/>
      <w:bookmarkStart w:id="1258" w:name="_Toc377637800"/>
      <w:bookmarkStart w:id="1259" w:name="_Toc377645425"/>
      <w:bookmarkStart w:id="1260" w:name="_Toc377645728"/>
      <w:bookmarkStart w:id="1261" w:name="_Toc377031243"/>
      <w:bookmarkStart w:id="1262" w:name="_Toc377032542"/>
      <w:bookmarkStart w:id="1263" w:name="_Toc377559839"/>
      <w:bookmarkStart w:id="1264" w:name="_Toc377560266"/>
      <w:bookmarkStart w:id="1265" w:name="_Toc377563931"/>
      <w:bookmarkStart w:id="1266" w:name="_Toc377564216"/>
      <w:bookmarkStart w:id="1267" w:name="_Toc377572174"/>
      <w:bookmarkStart w:id="1268" w:name="_Toc377637499"/>
      <w:bookmarkStart w:id="1269" w:name="_Toc377637802"/>
      <w:bookmarkStart w:id="1270" w:name="_Toc377645427"/>
      <w:bookmarkStart w:id="1271" w:name="_Toc377645730"/>
      <w:bookmarkStart w:id="1272" w:name="_Toc377031245"/>
      <w:bookmarkStart w:id="1273" w:name="_Toc377032544"/>
      <w:bookmarkStart w:id="1274" w:name="_Toc377559841"/>
      <w:bookmarkStart w:id="1275" w:name="_Toc377560268"/>
      <w:bookmarkStart w:id="1276" w:name="_Toc377563933"/>
      <w:bookmarkStart w:id="1277" w:name="_Toc377564218"/>
      <w:bookmarkStart w:id="1278" w:name="_Toc377572176"/>
      <w:bookmarkStart w:id="1279" w:name="_Toc377637501"/>
      <w:bookmarkStart w:id="1280" w:name="_Toc377637804"/>
      <w:bookmarkStart w:id="1281" w:name="_Toc377645429"/>
      <w:bookmarkStart w:id="1282" w:name="_Toc377645732"/>
      <w:bookmarkStart w:id="1283" w:name="_Toc377031247"/>
      <w:bookmarkStart w:id="1284" w:name="_Toc377032546"/>
      <w:bookmarkStart w:id="1285" w:name="_Toc377559843"/>
      <w:bookmarkStart w:id="1286" w:name="_Toc377560270"/>
      <w:bookmarkStart w:id="1287" w:name="_Toc377563935"/>
      <w:bookmarkStart w:id="1288" w:name="_Toc377564220"/>
      <w:bookmarkStart w:id="1289" w:name="_Toc377572178"/>
      <w:bookmarkStart w:id="1290" w:name="_Toc377637503"/>
      <w:bookmarkStart w:id="1291" w:name="_Toc377637806"/>
      <w:bookmarkStart w:id="1292" w:name="_Toc377645431"/>
      <w:bookmarkStart w:id="1293" w:name="_Toc377645734"/>
      <w:bookmarkStart w:id="1294" w:name="_Toc377031249"/>
      <w:bookmarkStart w:id="1295" w:name="_Toc377032548"/>
      <w:bookmarkStart w:id="1296" w:name="_Toc377559845"/>
      <w:bookmarkStart w:id="1297" w:name="_Toc377560272"/>
      <w:bookmarkStart w:id="1298" w:name="_Toc377563937"/>
      <w:bookmarkStart w:id="1299" w:name="_Toc377564222"/>
      <w:bookmarkStart w:id="1300" w:name="_Toc377572180"/>
      <w:bookmarkStart w:id="1301" w:name="_Toc377637505"/>
      <w:bookmarkStart w:id="1302" w:name="_Toc377637808"/>
      <w:bookmarkStart w:id="1303" w:name="_Toc377645433"/>
      <w:bookmarkStart w:id="1304" w:name="_Toc377645736"/>
      <w:bookmarkStart w:id="1305" w:name="_Toc377031251"/>
      <w:bookmarkStart w:id="1306" w:name="_Toc377032550"/>
      <w:bookmarkStart w:id="1307" w:name="_Toc377559847"/>
      <w:bookmarkStart w:id="1308" w:name="_Toc377560274"/>
      <w:bookmarkStart w:id="1309" w:name="_Toc377563939"/>
      <w:bookmarkStart w:id="1310" w:name="_Toc377564224"/>
      <w:bookmarkStart w:id="1311" w:name="_Toc377572182"/>
      <w:bookmarkStart w:id="1312" w:name="_Toc377637507"/>
      <w:bookmarkStart w:id="1313" w:name="_Toc377637810"/>
      <w:bookmarkStart w:id="1314" w:name="_Toc377645435"/>
      <w:bookmarkStart w:id="1315" w:name="_Toc377645738"/>
      <w:bookmarkStart w:id="1316" w:name="_Toc377031253"/>
      <w:bookmarkStart w:id="1317" w:name="_Toc377032552"/>
      <w:bookmarkStart w:id="1318" w:name="_Toc377559849"/>
      <w:bookmarkStart w:id="1319" w:name="_Toc377560276"/>
      <w:bookmarkStart w:id="1320" w:name="_Toc377563941"/>
      <w:bookmarkStart w:id="1321" w:name="_Toc377564226"/>
      <w:bookmarkStart w:id="1322" w:name="_Toc377572184"/>
      <w:bookmarkStart w:id="1323" w:name="_Toc377637509"/>
      <w:bookmarkStart w:id="1324" w:name="_Toc377637812"/>
      <w:bookmarkStart w:id="1325" w:name="_Toc377645437"/>
      <w:bookmarkStart w:id="1326" w:name="_Toc377645740"/>
      <w:bookmarkStart w:id="1327" w:name="_Toc377031255"/>
      <w:bookmarkStart w:id="1328" w:name="_Toc377032554"/>
      <w:bookmarkStart w:id="1329" w:name="_Toc377559851"/>
      <w:bookmarkStart w:id="1330" w:name="_Toc377560278"/>
      <w:bookmarkStart w:id="1331" w:name="_Toc377563943"/>
      <w:bookmarkStart w:id="1332" w:name="_Toc377564228"/>
      <w:bookmarkStart w:id="1333" w:name="_Toc377572186"/>
      <w:bookmarkStart w:id="1334" w:name="_Toc377637511"/>
      <w:bookmarkStart w:id="1335" w:name="_Toc377637814"/>
      <w:bookmarkStart w:id="1336" w:name="_Toc377645439"/>
      <w:bookmarkStart w:id="1337" w:name="_Toc377645742"/>
      <w:bookmarkStart w:id="1338" w:name="_Toc377031257"/>
      <w:bookmarkStart w:id="1339" w:name="_Toc377032556"/>
      <w:bookmarkStart w:id="1340" w:name="_Toc377559853"/>
      <w:bookmarkStart w:id="1341" w:name="_Toc377560280"/>
      <w:bookmarkStart w:id="1342" w:name="_Toc377563945"/>
      <w:bookmarkStart w:id="1343" w:name="_Toc377564230"/>
      <w:bookmarkStart w:id="1344" w:name="_Toc377572188"/>
      <w:bookmarkStart w:id="1345" w:name="_Toc377637513"/>
      <w:bookmarkStart w:id="1346" w:name="_Toc377637816"/>
      <w:bookmarkStart w:id="1347" w:name="_Toc377645441"/>
      <w:bookmarkStart w:id="1348" w:name="_Toc377645744"/>
      <w:bookmarkStart w:id="1349" w:name="_Toc379211903"/>
      <w:bookmarkStart w:id="1350" w:name="_Toc66712444"/>
      <w:bookmarkEnd w:id="257"/>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7C5D9E16" w14:textId="297B720C" w:rsidR="00DF5B08" w:rsidRPr="00F935E7" w:rsidRDefault="00194B02" w:rsidP="00194B02">
      <w:pPr>
        <w:pStyle w:val="Heading2"/>
        <w:keepLines w:val="0"/>
        <w:spacing w:before="0"/>
        <w:ind w:right="680"/>
        <w:rPr>
          <w:rStyle w:val="Strong"/>
          <w:rFonts w:ascii="Arial" w:eastAsiaTheme="minorHAnsi" w:hAnsi="Arial" w:cs="Arial"/>
          <w:color w:val="auto"/>
          <w:sz w:val="20"/>
          <w:szCs w:val="20"/>
          <w:lang w:val="fr-FR"/>
        </w:rPr>
      </w:pPr>
      <w:bookmarkStart w:id="1351" w:name="_Toc93996560"/>
      <w:bookmarkStart w:id="1352" w:name="_Toc94256545"/>
      <w:bookmarkStart w:id="1353" w:name="_Toc135412716"/>
      <w:r>
        <w:rPr>
          <w:rStyle w:val="Strong"/>
          <w:rFonts w:ascii="Arial" w:eastAsiaTheme="minorHAnsi" w:hAnsi="Arial" w:cs="Arial"/>
          <w:color w:val="auto"/>
          <w:sz w:val="20"/>
          <w:szCs w:val="20"/>
          <w:lang w:val="fr-FR"/>
        </w:rPr>
        <w:t>8</w:t>
      </w:r>
      <w:r w:rsidR="00DF5B08" w:rsidRPr="00F935E7">
        <w:rPr>
          <w:rStyle w:val="Strong"/>
          <w:rFonts w:ascii="Arial" w:eastAsiaTheme="minorHAnsi" w:hAnsi="Arial" w:cs="Arial"/>
          <w:color w:val="auto"/>
          <w:sz w:val="20"/>
          <w:szCs w:val="20"/>
          <w:lang w:val="fr-FR"/>
        </w:rPr>
        <w:t>.4.</w:t>
      </w:r>
      <w:r w:rsidR="00DF5B08" w:rsidRPr="00F935E7">
        <w:rPr>
          <w:rStyle w:val="Strong"/>
          <w:rFonts w:ascii="Arial" w:eastAsiaTheme="minorHAnsi" w:hAnsi="Arial" w:cs="Arial"/>
          <w:color w:val="auto"/>
          <w:sz w:val="20"/>
          <w:szCs w:val="20"/>
          <w:lang w:val="fr-FR"/>
        </w:rPr>
        <w:tab/>
      </w:r>
      <w:bookmarkStart w:id="1354" w:name="lt_pId643"/>
      <w:bookmarkEnd w:id="1349"/>
      <w:bookmarkEnd w:id="1350"/>
      <w:bookmarkEnd w:id="1351"/>
      <w:r w:rsidR="00DF5B08" w:rsidRPr="00F935E7">
        <w:rPr>
          <w:rStyle w:val="Strong"/>
          <w:rFonts w:ascii="Arial" w:eastAsiaTheme="minorHAnsi" w:hAnsi="Arial" w:cs="Arial"/>
          <w:color w:val="auto"/>
          <w:sz w:val="20"/>
          <w:szCs w:val="20"/>
          <w:lang w:val="fr-FR"/>
        </w:rPr>
        <w:t>Objectifs</w:t>
      </w:r>
      <w:bookmarkEnd w:id="1352"/>
      <w:bookmarkEnd w:id="1353"/>
      <w:bookmarkEnd w:id="1354"/>
    </w:p>
    <w:p w14:paraId="2E869A5E" w14:textId="77777777" w:rsidR="00DF5B08" w:rsidRPr="00F935E7" w:rsidRDefault="00DF5B08" w:rsidP="00194B02"/>
    <w:p w14:paraId="7CDCE308" w14:textId="4B1F68D4" w:rsidR="00DF5B08" w:rsidRPr="00F935E7" w:rsidRDefault="00DF5B08" w:rsidP="00194B02">
      <w:pPr>
        <w:rPr>
          <w:rFonts w:cs="Arial"/>
          <w:szCs w:val="20"/>
        </w:rPr>
      </w:pPr>
      <w:bookmarkStart w:id="1355" w:name="lt_pId644"/>
      <w:r w:rsidRPr="00F935E7">
        <w:rPr>
          <w:rFonts w:cs="Arial"/>
          <w:szCs w:val="20"/>
        </w:rPr>
        <w:t xml:space="preserve">MONEYVAL a pour objectif de veiller à ce que les </w:t>
      </w:r>
      <w:r w:rsidR="00791F91">
        <w:rPr>
          <w:rFonts w:cs="Arial"/>
          <w:szCs w:val="20"/>
        </w:rPr>
        <w:t>pays</w:t>
      </w:r>
      <w:r w:rsidR="00791F91" w:rsidRPr="00F935E7">
        <w:rPr>
          <w:rFonts w:cs="Arial"/>
          <w:szCs w:val="20"/>
        </w:rPr>
        <w:t xml:space="preserve"> </w:t>
      </w:r>
      <w:r w:rsidRPr="00F935E7">
        <w:rPr>
          <w:rFonts w:cs="Arial"/>
          <w:szCs w:val="20"/>
        </w:rPr>
        <w:t>évalués se dotent d’un système efficace pour lutter contre le blanchiment de capitaux et le financement du terrorisme et se conforment aux normes internationales pertinentes dans ces domaines.</w:t>
      </w:r>
      <w:bookmarkEnd w:id="1355"/>
      <w:r w:rsidRPr="00F935E7">
        <w:rPr>
          <w:rFonts w:cs="Arial"/>
          <w:szCs w:val="20"/>
        </w:rPr>
        <w:t xml:space="preserve"> </w:t>
      </w:r>
      <w:bookmarkStart w:id="1356" w:name="lt_pId645"/>
      <w:r w:rsidRPr="00F935E7">
        <w:rPr>
          <w:rFonts w:cs="Arial"/>
          <w:szCs w:val="20"/>
        </w:rPr>
        <w:t>MONEYVAL s’attache à atteindre cet objectif grâce aux outils méthodologiques suivants :</w:t>
      </w:r>
      <w:bookmarkEnd w:id="1356"/>
    </w:p>
    <w:p w14:paraId="40FEB6C6" w14:textId="77777777" w:rsidR="00DF5B08" w:rsidRPr="00F935E7" w:rsidRDefault="00DF5B08" w:rsidP="00194B02">
      <w:pPr>
        <w:rPr>
          <w:rFonts w:cs="Arial"/>
          <w:szCs w:val="20"/>
        </w:rPr>
      </w:pPr>
    </w:p>
    <w:tbl>
      <w:tblPr>
        <w:tblW w:w="10050"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10050"/>
      </w:tblGrid>
      <w:tr w:rsidR="00DF5B08" w:rsidRPr="00F935E7" w14:paraId="24BEB062" w14:textId="77777777" w:rsidTr="002E6C1B">
        <w:trPr>
          <w:jc w:val="center"/>
        </w:trPr>
        <w:tc>
          <w:tcPr>
            <w:tcW w:w="10050" w:type="dxa"/>
            <w:shd w:val="clear" w:color="auto" w:fill="808080"/>
          </w:tcPr>
          <w:p w14:paraId="06B68FFE" w14:textId="77777777" w:rsidR="00DF5B08" w:rsidRPr="00F935E7" w:rsidRDefault="00DF5B08" w:rsidP="00194B02">
            <w:pPr>
              <w:rPr>
                <w:rFonts w:cs="Arial"/>
                <w:b/>
                <w:bCs/>
                <w:szCs w:val="20"/>
                <w:lang w:eastAsia="en-GB"/>
              </w:rPr>
            </w:pPr>
            <w:bookmarkStart w:id="1357" w:name="lt_pId646"/>
            <w:r w:rsidRPr="00F935E7">
              <w:rPr>
                <w:rFonts w:cs="Arial"/>
                <w:b/>
                <w:bCs/>
                <w:szCs w:val="20"/>
                <w:lang w:eastAsia="en-GB"/>
              </w:rPr>
              <w:t>Méthodologie</w:t>
            </w:r>
            <w:bookmarkEnd w:id="1357"/>
          </w:p>
        </w:tc>
      </w:tr>
      <w:tr w:rsidR="00DF5B08" w:rsidRPr="00776250" w14:paraId="2CB63DBB" w14:textId="77777777" w:rsidTr="002E6C1B">
        <w:trPr>
          <w:trHeight w:val="280"/>
          <w:jc w:val="center"/>
        </w:trPr>
        <w:tc>
          <w:tcPr>
            <w:tcW w:w="10050" w:type="dxa"/>
          </w:tcPr>
          <w:p w14:paraId="4281606A" w14:textId="4BCF55C8" w:rsidR="00DF5B08" w:rsidRPr="00F935E7" w:rsidRDefault="00DF5B08" w:rsidP="00194B02">
            <w:pPr>
              <w:numPr>
                <w:ilvl w:val="1"/>
                <w:numId w:val="4"/>
              </w:numPr>
              <w:spacing w:before="120"/>
              <w:ind w:left="425" w:hanging="425"/>
              <w:rPr>
                <w:rFonts w:cs="Arial"/>
                <w:szCs w:val="20"/>
                <w:lang w:eastAsia="en-GB"/>
              </w:rPr>
            </w:pPr>
            <w:bookmarkStart w:id="1358" w:name="lt_pId647"/>
            <w:r w:rsidRPr="00F935E7">
              <w:rPr>
                <w:rFonts w:cs="Arial"/>
                <w:szCs w:val="20"/>
                <w:lang w:eastAsia="en-GB"/>
              </w:rPr>
              <w:t>Évaluer la conformité à toutes les normes internationales pertinentes dans les domaines du droit, de la finance et de l’application des lois au moyen d’un mécanisme d’évaluation mutuelle par les pairs.</w:t>
            </w:r>
            <w:bookmarkEnd w:id="1358"/>
          </w:p>
          <w:p w14:paraId="785CA0EA" w14:textId="77777777" w:rsidR="00DF5B08" w:rsidRPr="00F935E7" w:rsidRDefault="00DF5B08" w:rsidP="00194B02">
            <w:pPr>
              <w:tabs>
                <w:tab w:val="num" w:pos="1440"/>
              </w:tabs>
              <w:ind w:left="425"/>
              <w:rPr>
                <w:rFonts w:cs="Arial"/>
                <w:szCs w:val="20"/>
                <w:lang w:eastAsia="en-GB"/>
              </w:rPr>
            </w:pPr>
          </w:p>
          <w:p w14:paraId="14962C1E" w14:textId="77777777" w:rsidR="00DF5B08" w:rsidRPr="00F935E7" w:rsidRDefault="00DF5B08" w:rsidP="00194B02">
            <w:pPr>
              <w:numPr>
                <w:ilvl w:val="1"/>
                <w:numId w:val="4"/>
              </w:numPr>
              <w:ind w:left="426" w:hanging="426"/>
              <w:rPr>
                <w:rFonts w:cs="Arial"/>
                <w:szCs w:val="20"/>
                <w:lang w:eastAsia="en-GB"/>
              </w:rPr>
            </w:pPr>
            <w:bookmarkStart w:id="1359" w:name="lt_pId648"/>
            <w:r w:rsidRPr="00F935E7">
              <w:rPr>
                <w:rFonts w:cs="Arial"/>
                <w:szCs w:val="20"/>
                <w:lang w:eastAsia="en-GB"/>
              </w:rPr>
              <w:t>Publier des rapports énonçant des recommandations adaptées et concises sur les moyens d’améliorer l’efficacité des régimes nationaux de lutte contre le blanchiment de capitaux et le financement du terrorisme, ainsi que les capacités des États à coopérer au niveau international dans ces domaines.</w:t>
            </w:r>
            <w:bookmarkEnd w:id="1359"/>
          </w:p>
          <w:p w14:paraId="60273F28" w14:textId="77777777" w:rsidR="00DF5B08" w:rsidRPr="00F935E7" w:rsidRDefault="00DF5B08" w:rsidP="00194B02">
            <w:pPr>
              <w:tabs>
                <w:tab w:val="num" w:pos="1440"/>
              </w:tabs>
              <w:rPr>
                <w:rFonts w:cs="Arial"/>
                <w:szCs w:val="20"/>
                <w:lang w:eastAsia="en-GB"/>
              </w:rPr>
            </w:pPr>
          </w:p>
          <w:p w14:paraId="5CAECD94" w14:textId="77777777" w:rsidR="00DF5B08" w:rsidRPr="00F935E7" w:rsidRDefault="00DF5B08" w:rsidP="00194B02">
            <w:pPr>
              <w:numPr>
                <w:ilvl w:val="1"/>
                <w:numId w:val="4"/>
              </w:numPr>
              <w:ind w:left="426" w:hanging="426"/>
              <w:rPr>
                <w:rFonts w:cs="Arial"/>
                <w:szCs w:val="20"/>
                <w:lang w:eastAsia="en-GB"/>
              </w:rPr>
            </w:pPr>
            <w:bookmarkStart w:id="1360" w:name="lt_pId649"/>
            <w:r w:rsidRPr="00F935E7">
              <w:rPr>
                <w:rFonts w:cs="Arial"/>
                <w:szCs w:val="20"/>
                <w:lang w:eastAsia="en-GB"/>
              </w:rPr>
              <w:t xml:space="preserve">Assurer un suivi effectif des rapports d’évaluation, notamment par le biais de procédures de conformité renforcée (PCR), pour que les États et territoires participant aux procédures d’évaluation de MONEYVAL améliorent leurs niveaux de conformité aux normes internationales en matière de </w:t>
            </w:r>
            <w:r>
              <w:rPr>
                <w:rFonts w:cs="Arial"/>
                <w:szCs w:val="20"/>
                <w:lang w:eastAsia="en-GB"/>
              </w:rPr>
              <w:t>LBC</w:t>
            </w:r>
            <w:r w:rsidRPr="00F935E7">
              <w:rPr>
                <w:rFonts w:cs="Arial"/>
                <w:szCs w:val="20"/>
                <w:lang w:eastAsia="en-GB"/>
              </w:rPr>
              <w:t>/FT.</w:t>
            </w:r>
            <w:bookmarkEnd w:id="1360"/>
          </w:p>
          <w:p w14:paraId="39117DC2" w14:textId="77777777" w:rsidR="00DF5B08" w:rsidRPr="00F935E7" w:rsidRDefault="00DF5B08" w:rsidP="00194B02">
            <w:pPr>
              <w:tabs>
                <w:tab w:val="num" w:pos="1440"/>
              </w:tabs>
              <w:rPr>
                <w:rFonts w:cs="Arial"/>
                <w:szCs w:val="20"/>
                <w:lang w:eastAsia="en-GB"/>
              </w:rPr>
            </w:pPr>
          </w:p>
          <w:p w14:paraId="6F1250E4" w14:textId="77777777" w:rsidR="00DF5B08" w:rsidRPr="00F935E7" w:rsidRDefault="00DF5B08" w:rsidP="00194B02">
            <w:pPr>
              <w:numPr>
                <w:ilvl w:val="1"/>
                <w:numId w:val="4"/>
              </w:numPr>
              <w:ind w:left="352" w:hanging="284"/>
              <w:rPr>
                <w:rFonts w:cs="Arial"/>
                <w:szCs w:val="20"/>
                <w:lang w:eastAsia="en-GB"/>
              </w:rPr>
            </w:pPr>
            <w:bookmarkStart w:id="1361" w:name="lt_pId650"/>
            <w:r w:rsidRPr="00F935E7">
              <w:rPr>
                <w:rFonts w:cs="Arial"/>
                <w:szCs w:val="20"/>
                <w:lang w:eastAsia="en-GB"/>
              </w:rPr>
              <w:t>Mener des études de typologie sur les méthodes, les tendances et les techniques de blanchiment de capitaux et de financement du terrorisme, et publier les résultats dans des rapports.</w:t>
            </w:r>
            <w:bookmarkEnd w:id="1361"/>
          </w:p>
        </w:tc>
      </w:tr>
    </w:tbl>
    <w:p w14:paraId="007453F3" w14:textId="0F0570AC" w:rsidR="00DF5B08" w:rsidRPr="00F935E7" w:rsidRDefault="00194B02" w:rsidP="00DF5B08">
      <w:pPr>
        <w:pStyle w:val="Heading2"/>
        <w:keepLines w:val="0"/>
        <w:spacing w:before="0"/>
        <w:ind w:right="680"/>
        <w:jc w:val="both"/>
        <w:rPr>
          <w:rStyle w:val="Strong"/>
          <w:rFonts w:ascii="Arial" w:eastAsiaTheme="minorHAnsi" w:hAnsi="Arial" w:cs="Arial"/>
          <w:color w:val="auto"/>
          <w:sz w:val="20"/>
          <w:szCs w:val="20"/>
          <w:lang w:val="fr-FR"/>
        </w:rPr>
      </w:pPr>
      <w:bookmarkStart w:id="1362" w:name="_Toc379211905"/>
      <w:bookmarkStart w:id="1363" w:name="_Toc66712445"/>
      <w:bookmarkStart w:id="1364" w:name="_Toc93996561"/>
      <w:bookmarkStart w:id="1365" w:name="_Toc94256546"/>
      <w:bookmarkStart w:id="1366" w:name="_Toc135412717"/>
      <w:r>
        <w:rPr>
          <w:rStyle w:val="Strong"/>
          <w:rFonts w:ascii="Arial" w:eastAsiaTheme="minorHAnsi" w:hAnsi="Arial" w:cs="Arial"/>
          <w:color w:val="auto"/>
          <w:sz w:val="20"/>
          <w:szCs w:val="20"/>
          <w:lang w:val="fr-FR"/>
        </w:rPr>
        <w:lastRenderedPageBreak/>
        <w:t>8</w:t>
      </w:r>
      <w:r w:rsidR="00DF5B08" w:rsidRPr="00F935E7">
        <w:rPr>
          <w:rStyle w:val="Strong"/>
          <w:rFonts w:ascii="Arial" w:eastAsiaTheme="minorHAnsi" w:hAnsi="Arial" w:cs="Arial"/>
          <w:color w:val="auto"/>
          <w:sz w:val="20"/>
          <w:szCs w:val="20"/>
          <w:lang w:val="fr-FR"/>
        </w:rPr>
        <w:t>.5.</w:t>
      </w:r>
      <w:r w:rsidR="00DF5B08" w:rsidRPr="00F935E7">
        <w:rPr>
          <w:rStyle w:val="Strong"/>
          <w:rFonts w:ascii="Arial" w:eastAsiaTheme="minorHAnsi" w:hAnsi="Arial" w:cs="Arial"/>
          <w:color w:val="auto"/>
          <w:sz w:val="20"/>
          <w:szCs w:val="20"/>
          <w:lang w:val="fr-FR"/>
        </w:rPr>
        <w:tab/>
      </w:r>
      <w:bookmarkStart w:id="1367" w:name="lt_pId652"/>
      <w:bookmarkEnd w:id="1362"/>
      <w:bookmarkEnd w:id="1363"/>
      <w:bookmarkEnd w:id="1364"/>
      <w:r w:rsidR="00DF5B08" w:rsidRPr="00F935E7">
        <w:rPr>
          <w:rStyle w:val="Strong"/>
          <w:rFonts w:ascii="Arial" w:eastAsiaTheme="minorHAnsi" w:hAnsi="Arial" w:cs="Arial"/>
          <w:color w:val="auto"/>
          <w:sz w:val="20"/>
          <w:szCs w:val="20"/>
          <w:lang w:val="fr-FR"/>
        </w:rPr>
        <w:t>Cycles d’évaluations mutuelles</w:t>
      </w:r>
      <w:r w:rsidR="00A24766">
        <w:rPr>
          <w:rStyle w:val="Strong"/>
          <w:rFonts w:ascii="Arial" w:eastAsiaTheme="minorHAnsi" w:hAnsi="Arial" w:cs="Arial"/>
          <w:color w:val="auto"/>
          <w:sz w:val="20"/>
          <w:szCs w:val="20"/>
          <w:lang w:val="fr-FR"/>
        </w:rPr>
        <w:t xml:space="preserve"> et </w:t>
      </w:r>
      <w:r w:rsidR="00DF5B08" w:rsidRPr="00F935E7">
        <w:rPr>
          <w:rStyle w:val="Strong"/>
          <w:rFonts w:ascii="Arial" w:eastAsiaTheme="minorHAnsi" w:hAnsi="Arial" w:cs="Arial"/>
          <w:color w:val="auto"/>
          <w:sz w:val="20"/>
          <w:szCs w:val="20"/>
          <w:lang w:val="fr-FR"/>
        </w:rPr>
        <w:t>procédure</w:t>
      </w:r>
      <w:r w:rsidR="00A24766">
        <w:rPr>
          <w:rStyle w:val="Strong"/>
          <w:rFonts w:ascii="Arial" w:eastAsiaTheme="minorHAnsi" w:hAnsi="Arial" w:cs="Arial"/>
          <w:color w:val="auto"/>
          <w:sz w:val="20"/>
          <w:szCs w:val="20"/>
          <w:lang w:val="fr-FR"/>
        </w:rPr>
        <w:t>s</w:t>
      </w:r>
      <w:r w:rsidR="00DF5B08" w:rsidRPr="00F935E7">
        <w:rPr>
          <w:rStyle w:val="Strong"/>
          <w:rFonts w:ascii="Arial" w:eastAsiaTheme="minorHAnsi" w:hAnsi="Arial" w:cs="Arial"/>
          <w:color w:val="auto"/>
          <w:sz w:val="20"/>
          <w:szCs w:val="20"/>
          <w:lang w:val="fr-FR"/>
        </w:rPr>
        <w:t xml:space="preserve"> de suivi</w:t>
      </w:r>
      <w:bookmarkEnd w:id="1365"/>
      <w:bookmarkEnd w:id="1366"/>
      <w:bookmarkEnd w:id="1367"/>
    </w:p>
    <w:p w14:paraId="09C551B8" w14:textId="77777777" w:rsidR="00DF5B08" w:rsidRPr="00F935E7" w:rsidRDefault="00DF5B08" w:rsidP="00DF5B08">
      <w:pPr>
        <w:jc w:val="both"/>
      </w:pPr>
    </w:p>
    <w:p w14:paraId="71DCBB69" w14:textId="77777777" w:rsidR="00DF5B08" w:rsidRPr="00F935E7" w:rsidRDefault="00DF5B08" w:rsidP="00194B02">
      <w:pPr>
        <w:rPr>
          <w:rFonts w:cs="Arial"/>
          <w:szCs w:val="20"/>
          <w:lang w:eastAsia="en-GB"/>
        </w:rPr>
      </w:pPr>
      <w:bookmarkStart w:id="1368" w:name="lt_pId653"/>
      <w:r w:rsidRPr="00F935E7">
        <w:rPr>
          <w:rFonts w:cs="Arial"/>
          <w:szCs w:val="20"/>
          <w:lang w:eastAsia="en-GB"/>
        </w:rPr>
        <w:t>MONEYVAL a complété quatre cycles d’évaluations mutuelles.</w:t>
      </w:r>
      <w:bookmarkEnd w:id="1368"/>
      <w:r w:rsidRPr="00F935E7">
        <w:rPr>
          <w:rFonts w:cs="Arial"/>
          <w:szCs w:val="20"/>
          <w:lang w:eastAsia="en-GB"/>
        </w:rPr>
        <w:t xml:space="preserve"> </w:t>
      </w:r>
      <w:bookmarkStart w:id="1369" w:name="lt_pId654"/>
      <w:r w:rsidRPr="00F935E7">
        <w:rPr>
          <w:rFonts w:cs="Arial"/>
          <w:szCs w:val="20"/>
          <w:lang w:eastAsia="en-GB"/>
        </w:rPr>
        <w:t xml:space="preserve">En 2015, il a commencé le Cinquième cycle d’évaluations, lequel se fonde sur les Recommandations du GAFI de 2012 et sur la Méthodologie d’évaluation de la conformité technique aux Recommandations du GAFI et de l’efficacité des systèmes de </w:t>
      </w:r>
      <w:r>
        <w:rPr>
          <w:rFonts w:cs="Arial"/>
          <w:szCs w:val="20"/>
          <w:lang w:eastAsia="en-GB"/>
        </w:rPr>
        <w:t>LBC</w:t>
      </w:r>
      <w:r w:rsidRPr="00F935E7">
        <w:rPr>
          <w:rFonts w:cs="Arial"/>
          <w:szCs w:val="20"/>
          <w:lang w:eastAsia="en-GB"/>
        </w:rPr>
        <w:t>/FT de 2013.</w:t>
      </w:r>
      <w:bookmarkEnd w:id="1369"/>
      <w:r w:rsidRPr="00F935E7">
        <w:rPr>
          <w:rFonts w:cs="Arial"/>
          <w:szCs w:val="20"/>
          <w:lang w:eastAsia="en-GB"/>
        </w:rPr>
        <w:t xml:space="preserve"> </w:t>
      </w:r>
      <w:bookmarkStart w:id="1370" w:name="lt_pId655"/>
      <w:r w:rsidRPr="00F935E7">
        <w:rPr>
          <w:rFonts w:cs="Arial"/>
          <w:szCs w:val="20"/>
          <w:lang w:eastAsia="en-GB"/>
        </w:rPr>
        <w:t>Lors d’un cycle, chaque évaluation d’un État ou territoire de MONEYVAL donne lieu à un rapport d’évaluation mutuelle (REM).</w:t>
      </w:r>
      <w:bookmarkEnd w:id="1370"/>
    </w:p>
    <w:p w14:paraId="3C0E9FFF" w14:textId="77777777" w:rsidR="00DF5B08" w:rsidRPr="00F935E7" w:rsidRDefault="00DF5B08" w:rsidP="00DF5B08">
      <w:pPr>
        <w:jc w:val="both"/>
        <w:rPr>
          <w:rFonts w:cs="Arial"/>
          <w:szCs w:val="20"/>
        </w:rPr>
      </w:pPr>
    </w:p>
    <w:tbl>
      <w:tblPr>
        <w:tblW w:w="9908"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908"/>
      </w:tblGrid>
      <w:tr w:rsidR="00DF5B08" w:rsidRPr="00F935E7" w14:paraId="23969041" w14:textId="77777777" w:rsidTr="002E6C1B">
        <w:trPr>
          <w:jc w:val="center"/>
        </w:trPr>
        <w:tc>
          <w:tcPr>
            <w:tcW w:w="9908" w:type="dxa"/>
            <w:shd w:val="clear" w:color="auto" w:fill="808080"/>
          </w:tcPr>
          <w:p w14:paraId="181CCAA3" w14:textId="77777777" w:rsidR="00DF5B08" w:rsidRPr="00F935E7" w:rsidRDefault="00DF5B08" w:rsidP="00A60A13">
            <w:pPr>
              <w:jc w:val="both"/>
              <w:rPr>
                <w:rFonts w:cs="Arial"/>
                <w:b/>
                <w:bCs/>
                <w:szCs w:val="20"/>
                <w:lang w:eastAsia="en-GB"/>
              </w:rPr>
            </w:pPr>
            <w:bookmarkStart w:id="1371" w:name="lt_pId656"/>
            <w:r w:rsidRPr="00F935E7">
              <w:rPr>
                <w:rFonts w:cs="Arial"/>
                <w:b/>
                <w:bCs/>
                <w:szCs w:val="20"/>
                <w:lang w:eastAsia="en-GB"/>
              </w:rPr>
              <w:t>Cycles d’évaluations mutuelles</w:t>
            </w:r>
            <w:bookmarkEnd w:id="1371"/>
          </w:p>
        </w:tc>
      </w:tr>
      <w:tr w:rsidR="00DF5B08" w:rsidRPr="00776250" w14:paraId="6756777C" w14:textId="77777777" w:rsidTr="002E6C1B">
        <w:trPr>
          <w:jc w:val="center"/>
        </w:trPr>
        <w:tc>
          <w:tcPr>
            <w:tcW w:w="9908" w:type="dxa"/>
          </w:tcPr>
          <w:p w14:paraId="6228DA90" w14:textId="045A9FA6" w:rsidR="00DF5B08" w:rsidRPr="00A64657" w:rsidRDefault="00DF5B08" w:rsidP="00194B02">
            <w:pPr>
              <w:spacing w:before="120"/>
              <w:rPr>
                <w:rFonts w:cs="Arial"/>
                <w:b/>
                <w:bCs/>
                <w:szCs w:val="20"/>
                <w:lang w:eastAsia="en-GB"/>
              </w:rPr>
            </w:pPr>
            <w:bookmarkStart w:id="1372" w:name="lt_pId657"/>
            <w:r w:rsidRPr="00A64657">
              <w:rPr>
                <w:rFonts w:cs="Arial"/>
                <w:b/>
                <w:bCs/>
                <w:szCs w:val="20"/>
                <w:lang w:eastAsia="en-GB"/>
              </w:rPr>
              <w:t>Premier cycle d’évaluations (1998-2000)</w:t>
            </w:r>
            <w:bookmarkEnd w:id="1372"/>
          </w:p>
          <w:p w14:paraId="5455B50E" w14:textId="08A3FEA9" w:rsidR="00DF5B08" w:rsidRPr="00F935E7" w:rsidRDefault="00DF5B08" w:rsidP="00194B02">
            <w:pPr>
              <w:rPr>
                <w:rFonts w:cs="Arial"/>
                <w:szCs w:val="20"/>
                <w:lang w:eastAsia="en-GB"/>
              </w:rPr>
            </w:pPr>
            <w:bookmarkStart w:id="1373" w:name="lt_pId658"/>
            <w:r w:rsidRPr="00F935E7">
              <w:rPr>
                <w:rFonts w:cs="Arial"/>
                <w:szCs w:val="20"/>
                <w:lang w:eastAsia="en-GB"/>
              </w:rPr>
              <w:t>Le Premier cycle d’évaluations mutuelles, basé sur les Recommandations du GAFI de 1996, a été lancé en 1998, et les visites sur place ont pris fin en 2000.</w:t>
            </w:r>
            <w:bookmarkEnd w:id="1373"/>
            <w:r w:rsidRPr="00F935E7">
              <w:rPr>
                <w:rFonts w:cs="Arial"/>
                <w:szCs w:val="20"/>
                <w:lang w:eastAsia="en-GB"/>
              </w:rPr>
              <w:t xml:space="preserve"> </w:t>
            </w:r>
            <w:bookmarkStart w:id="1374" w:name="lt_pId659"/>
            <w:r w:rsidR="000B4F3D">
              <w:rPr>
                <w:rFonts w:cs="Arial"/>
                <w:szCs w:val="20"/>
                <w:lang w:eastAsia="en-GB"/>
              </w:rPr>
              <w:t>22</w:t>
            </w:r>
            <w:r w:rsidRPr="00F935E7">
              <w:rPr>
                <w:rFonts w:cs="Arial"/>
                <w:szCs w:val="20"/>
                <w:lang w:eastAsia="en-GB"/>
              </w:rPr>
              <w:t xml:space="preserve"> États membres du Conseil de l’Europe ont fait l’objet d’un examen dans le cadre de ce cycle.</w:t>
            </w:r>
            <w:bookmarkEnd w:id="1374"/>
          </w:p>
          <w:p w14:paraId="770FC5C1" w14:textId="77777777" w:rsidR="00DF5B08" w:rsidRPr="00F935E7" w:rsidRDefault="00DF5B08" w:rsidP="00194B02">
            <w:pPr>
              <w:rPr>
                <w:rFonts w:cs="Arial"/>
                <w:szCs w:val="20"/>
                <w:lang w:eastAsia="en-GB"/>
              </w:rPr>
            </w:pPr>
          </w:p>
          <w:p w14:paraId="33227DFE" w14:textId="77777777" w:rsidR="00DF5B08" w:rsidRPr="00A64657" w:rsidRDefault="00DF5B08" w:rsidP="00194B02">
            <w:pPr>
              <w:rPr>
                <w:rFonts w:cs="Arial"/>
                <w:b/>
                <w:bCs/>
                <w:szCs w:val="20"/>
                <w:lang w:eastAsia="en-GB"/>
              </w:rPr>
            </w:pPr>
            <w:bookmarkStart w:id="1375" w:name="lt_pId660"/>
            <w:r w:rsidRPr="00A64657">
              <w:rPr>
                <w:rFonts w:cs="Arial"/>
                <w:b/>
                <w:bCs/>
                <w:szCs w:val="20"/>
                <w:lang w:eastAsia="en-GB"/>
              </w:rPr>
              <w:t>Deuxième cycle d’évaluations (2001-2004)</w:t>
            </w:r>
            <w:bookmarkEnd w:id="1375"/>
          </w:p>
          <w:p w14:paraId="4D483CEF" w14:textId="0115F5F8" w:rsidR="00DF5B08" w:rsidRPr="00F935E7" w:rsidRDefault="00DF5B08" w:rsidP="00194B02">
            <w:pPr>
              <w:rPr>
                <w:rFonts w:cs="Arial"/>
                <w:szCs w:val="20"/>
                <w:lang w:eastAsia="en-GB"/>
              </w:rPr>
            </w:pPr>
            <w:bookmarkStart w:id="1376" w:name="lt_pId661"/>
            <w:r w:rsidRPr="00F935E7">
              <w:rPr>
                <w:rFonts w:cs="Arial"/>
                <w:szCs w:val="20"/>
                <w:lang w:eastAsia="en-GB"/>
              </w:rPr>
              <w:t xml:space="preserve">Ce Deuxième cycle, basé lui aussi en grande partie sur les Recommandations du GAFI de 1996, comportait une évaluation fondée sur des critères </w:t>
            </w:r>
            <w:r w:rsidR="002E6C1B">
              <w:rPr>
                <w:rFonts w:cs="Arial"/>
                <w:szCs w:val="20"/>
                <w:lang w:eastAsia="en-GB"/>
              </w:rPr>
              <w:t>–</w:t>
            </w:r>
            <w:r w:rsidRPr="00F935E7">
              <w:rPr>
                <w:rFonts w:cs="Arial"/>
                <w:szCs w:val="20"/>
                <w:lang w:eastAsia="en-GB"/>
              </w:rPr>
              <w:t xml:space="preserve"> afférant aux États et territoires non coopératifs </w:t>
            </w:r>
            <w:r w:rsidR="002E6C1B">
              <w:rPr>
                <w:rFonts w:cs="Arial"/>
                <w:szCs w:val="20"/>
                <w:lang w:eastAsia="en-GB"/>
              </w:rPr>
              <w:t>–</w:t>
            </w:r>
            <w:r w:rsidRPr="00F935E7">
              <w:rPr>
                <w:rFonts w:cs="Arial"/>
                <w:szCs w:val="20"/>
                <w:lang w:eastAsia="en-GB"/>
              </w:rPr>
              <w:t xml:space="preserve"> adoptés par le GAFI.</w:t>
            </w:r>
            <w:bookmarkEnd w:id="1376"/>
            <w:r w:rsidRPr="00F935E7">
              <w:rPr>
                <w:rFonts w:cs="Arial"/>
                <w:szCs w:val="20"/>
                <w:lang w:eastAsia="en-GB"/>
              </w:rPr>
              <w:t xml:space="preserve"> </w:t>
            </w:r>
            <w:bookmarkStart w:id="1377" w:name="lt_pId662"/>
            <w:r w:rsidRPr="00F935E7">
              <w:rPr>
                <w:rFonts w:cs="Arial"/>
                <w:szCs w:val="20"/>
                <w:lang w:eastAsia="en-GB"/>
              </w:rPr>
              <w:t>MONEYVAL a conclu sa série de visites sur place en 2003 et 27 États membres du Conseil de l’Europe ont été évalués</w:t>
            </w:r>
            <w:bookmarkStart w:id="1378" w:name="lt_pId663"/>
            <w:bookmarkEnd w:id="1377"/>
            <w:r w:rsidRPr="00F935E7">
              <w:rPr>
                <w:rFonts w:cs="Arial"/>
                <w:szCs w:val="20"/>
                <w:lang w:eastAsia="en-GB"/>
              </w:rPr>
              <w:t>.</w:t>
            </w:r>
            <w:bookmarkEnd w:id="1378"/>
          </w:p>
        </w:tc>
      </w:tr>
      <w:tr w:rsidR="00DF5B08" w:rsidRPr="00776250" w14:paraId="2AD2D68C" w14:textId="77777777" w:rsidTr="002E6C1B">
        <w:trPr>
          <w:jc w:val="center"/>
        </w:trPr>
        <w:tc>
          <w:tcPr>
            <w:tcW w:w="9908" w:type="dxa"/>
          </w:tcPr>
          <w:p w14:paraId="7B32C801" w14:textId="77777777" w:rsidR="00DF5B08" w:rsidRPr="00F935E7" w:rsidRDefault="00DF5B08" w:rsidP="00194B02">
            <w:pPr>
              <w:widowControl w:val="0"/>
              <w:rPr>
                <w:rFonts w:cs="Arial"/>
                <w:b/>
                <w:szCs w:val="20"/>
                <w:lang w:eastAsia="en-GB"/>
              </w:rPr>
            </w:pPr>
          </w:p>
          <w:p w14:paraId="662FC725" w14:textId="77777777" w:rsidR="00DF5B08" w:rsidRPr="00F935E7" w:rsidRDefault="00DF5B08" w:rsidP="00194B02">
            <w:pPr>
              <w:widowControl w:val="0"/>
              <w:rPr>
                <w:rFonts w:cs="Arial"/>
                <w:b/>
                <w:szCs w:val="20"/>
                <w:lang w:eastAsia="en-GB"/>
              </w:rPr>
            </w:pPr>
            <w:bookmarkStart w:id="1379" w:name="lt_pId664"/>
            <w:r w:rsidRPr="00F935E7">
              <w:rPr>
                <w:rFonts w:cs="Arial"/>
                <w:b/>
                <w:szCs w:val="20"/>
                <w:lang w:eastAsia="en-GB"/>
              </w:rPr>
              <w:t>Troisième cycle d’évaluations (2005-2009)</w:t>
            </w:r>
            <w:bookmarkEnd w:id="1379"/>
            <w:r w:rsidRPr="00F935E7">
              <w:rPr>
                <w:rFonts w:cs="Arial"/>
                <w:szCs w:val="20"/>
                <w:vertAlign w:val="superscript"/>
                <w:lang w:eastAsia="en-GB"/>
              </w:rPr>
              <w:footnoteReference w:id="5"/>
            </w:r>
          </w:p>
          <w:p w14:paraId="51F7CF26" w14:textId="77777777" w:rsidR="00DF5B08" w:rsidRPr="00F935E7" w:rsidRDefault="00DF5B08" w:rsidP="00194B02">
            <w:pPr>
              <w:rPr>
                <w:rFonts w:cs="Arial"/>
                <w:b/>
                <w:szCs w:val="20"/>
                <w:lang w:eastAsia="en-GB"/>
              </w:rPr>
            </w:pPr>
            <w:bookmarkStart w:id="1382" w:name="lt_pId665"/>
            <w:r w:rsidRPr="00F935E7">
              <w:rPr>
                <w:rFonts w:cs="Arial"/>
                <w:szCs w:val="20"/>
                <w:lang w:eastAsia="en-GB"/>
              </w:rPr>
              <w:t>Le Troisième cycle reposait sur les Recommandations du GAFI révisées en 2003.</w:t>
            </w:r>
            <w:bookmarkEnd w:id="1382"/>
            <w:r w:rsidRPr="00F935E7">
              <w:rPr>
                <w:rFonts w:cs="Arial"/>
                <w:szCs w:val="20"/>
                <w:lang w:eastAsia="en-GB"/>
              </w:rPr>
              <w:t xml:space="preserve"> </w:t>
            </w:r>
            <w:bookmarkStart w:id="1383" w:name="lt_pId666"/>
            <w:r w:rsidRPr="00F935E7">
              <w:rPr>
                <w:rFonts w:cs="Arial"/>
                <w:szCs w:val="20"/>
                <w:lang w:eastAsia="en-GB"/>
              </w:rPr>
              <w:t>L’évaluation portait en outre sur des aspects de la conformité à la Troisième Directive pour la lutte contre le blanchiment de capitaux de l’Union européenne, entrée en vigueur en 2007.</w:t>
            </w:r>
            <w:bookmarkEnd w:id="1383"/>
            <w:r w:rsidRPr="00F935E7">
              <w:rPr>
                <w:rFonts w:cs="Arial"/>
                <w:szCs w:val="20"/>
              </w:rPr>
              <w:t xml:space="preserve"> </w:t>
            </w:r>
            <w:bookmarkStart w:id="1384" w:name="lt_pId667"/>
            <w:r w:rsidRPr="00F935E7">
              <w:rPr>
                <w:rFonts w:cs="Arial"/>
                <w:szCs w:val="20"/>
                <w:lang w:eastAsia="en-GB"/>
              </w:rPr>
              <w:t>28 États membres du Conseil de l’Europe, ainsi que le Saint-Siège (y compris l’État de la Cité du Vatican) et Israël, ont été évalués</w:t>
            </w:r>
            <w:bookmarkEnd w:id="1384"/>
            <w:r w:rsidRPr="00F935E7">
              <w:rPr>
                <w:rFonts w:cs="Arial"/>
                <w:szCs w:val="20"/>
                <w:lang w:eastAsia="en-GB"/>
              </w:rPr>
              <w:t xml:space="preserve"> dans le cadre de ce cycle.</w:t>
            </w:r>
          </w:p>
        </w:tc>
      </w:tr>
      <w:tr w:rsidR="00DF5B08" w:rsidRPr="00776250" w14:paraId="316386B1" w14:textId="77777777" w:rsidTr="002E6C1B">
        <w:trPr>
          <w:jc w:val="center"/>
        </w:trPr>
        <w:tc>
          <w:tcPr>
            <w:tcW w:w="9908" w:type="dxa"/>
          </w:tcPr>
          <w:p w14:paraId="757D885B" w14:textId="77777777" w:rsidR="00DF5B08" w:rsidRPr="00F935E7" w:rsidRDefault="00DF5B08" w:rsidP="00194B02">
            <w:pPr>
              <w:rPr>
                <w:rFonts w:cs="Arial"/>
                <w:b/>
                <w:szCs w:val="20"/>
                <w:lang w:eastAsia="en-GB"/>
              </w:rPr>
            </w:pPr>
          </w:p>
          <w:p w14:paraId="6BE5008B" w14:textId="77777777" w:rsidR="00DF5B08" w:rsidRPr="00F935E7" w:rsidRDefault="00DF5B08" w:rsidP="00194B02">
            <w:pPr>
              <w:rPr>
                <w:rFonts w:cs="Arial"/>
                <w:b/>
                <w:szCs w:val="20"/>
                <w:lang w:eastAsia="en-GB"/>
              </w:rPr>
            </w:pPr>
            <w:bookmarkStart w:id="1385" w:name="lt_pId668"/>
            <w:r w:rsidRPr="00F935E7">
              <w:rPr>
                <w:rFonts w:cs="Arial"/>
                <w:b/>
                <w:szCs w:val="20"/>
                <w:lang w:eastAsia="en-GB"/>
              </w:rPr>
              <w:t>Cycle de suivi des évaluations ou « Quatrième Cycle de MONEYVAL » (2009-2014)</w:t>
            </w:r>
            <w:bookmarkEnd w:id="1385"/>
          </w:p>
          <w:p w14:paraId="4B52CD81" w14:textId="77777777" w:rsidR="00DF5B08" w:rsidRPr="00F935E7" w:rsidRDefault="00DF5B08" w:rsidP="00194B02">
            <w:pPr>
              <w:rPr>
                <w:rFonts w:cs="Arial"/>
                <w:szCs w:val="20"/>
                <w:lang w:eastAsia="en-GB"/>
              </w:rPr>
            </w:pPr>
            <w:bookmarkStart w:id="1386" w:name="lt_pId669"/>
            <w:r w:rsidRPr="00F935E7">
              <w:rPr>
                <w:rFonts w:cs="Arial"/>
                <w:szCs w:val="20"/>
                <w:lang w:eastAsia="en-GB"/>
              </w:rPr>
              <w:t>MONEYVAL a entamé un cycle de visites de suivi sur place en 2009.</w:t>
            </w:r>
            <w:bookmarkEnd w:id="1386"/>
            <w:r w:rsidRPr="00F935E7">
              <w:rPr>
                <w:rFonts w:cs="Arial"/>
                <w:szCs w:val="20"/>
                <w:lang w:eastAsia="en-GB"/>
              </w:rPr>
              <w:t xml:space="preserve"> </w:t>
            </w:r>
            <w:bookmarkStart w:id="1387" w:name="lt_pId670"/>
            <w:r w:rsidRPr="00F935E7">
              <w:rPr>
                <w:rFonts w:cs="Arial"/>
                <w:szCs w:val="20"/>
                <w:lang w:eastAsia="en-GB"/>
              </w:rPr>
              <w:t>Pour chaque pays, ces évaluations se sont concentrées sur l’efficacité de la mise en œuvre d’un certain nombre de Recommandations prioritaires du GAFI, ainsi que de toute recommandation ayant été adressée au pays en cause en raison de l’attribution d’une not</w:t>
            </w:r>
            <w:r>
              <w:rPr>
                <w:rFonts w:cs="Arial"/>
                <w:szCs w:val="20"/>
                <w:lang w:eastAsia="en-GB"/>
              </w:rPr>
              <w:t>e</w:t>
            </w:r>
            <w:r w:rsidRPr="00F935E7">
              <w:rPr>
                <w:rFonts w:cs="Arial"/>
                <w:szCs w:val="20"/>
                <w:lang w:eastAsia="en-GB"/>
              </w:rPr>
              <w:t xml:space="preserve"> « Non conforme » ou « Partiellement conforme » dans le cadre du Troisième cycle.</w:t>
            </w:r>
            <w:bookmarkEnd w:id="1387"/>
            <w:r w:rsidRPr="00F935E7">
              <w:rPr>
                <w:rFonts w:cs="Arial"/>
                <w:szCs w:val="20"/>
                <w:lang w:eastAsia="en-GB"/>
              </w:rPr>
              <w:t xml:space="preserve"> </w:t>
            </w:r>
            <w:bookmarkStart w:id="1388" w:name="lt_pId671"/>
            <w:r w:rsidRPr="00F935E7">
              <w:rPr>
                <w:rFonts w:cs="Arial"/>
                <w:szCs w:val="20"/>
                <w:lang w:eastAsia="en-GB"/>
              </w:rPr>
              <w:t>De plus, ces évaluations ont permis de passer en revue des aspects de la conformité à la Troisième Directive de l’UE pour la lutte contre le blanchiment de capitaux et le financement du terrorisme (Directive 2005/60/CE).</w:t>
            </w:r>
            <w:bookmarkEnd w:id="1388"/>
          </w:p>
          <w:p w14:paraId="42A2B531" w14:textId="77777777" w:rsidR="00DF5B08" w:rsidRPr="00F935E7" w:rsidRDefault="00DF5B08" w:rsidP="00194B02">
            <w:pPr>
              <w:rPr>
                <w:rFonts w:cs="Arial"/>
                <w:b/>
                <w:szCs w:val="20"/>
                <w:lang w:eastAsia="en-GB"/>
              </w:rPr>
            </w:pPr>
          </w:p>
          <w:p w14:paraId="770DDEC8" w14:textId="21C2EFF8" w:rsidR="00DF5B08" w:rsidRPr="00F935E7" w:rsidRDefault="00DF5B08" w:rsidP="00194B02">
            <w:pPr>
              <w:rPr>
                <w:rFonts w:cs="Arial"/>
                <w:szCs w:val="20"/>
                <w:lang w:eastAsia="en-GB"/>
              </w:rPr>
            </w:pPr>
            <w:bookmarkStart w:id="1389" w:name="lt_pId672"/>
            <w:r w:rsidRPr="00F935E7">
              <w:rPr>
                <w:rFonts w:cs="Arial"/>
                <w:b/>
                <w:szCs w:val="20"/>
                <w:lang w:eastAsia="en-GB"/>
              </w:rPr>
              <w:t>Cinquième cycle d’évaluations (2015</w:t>
            </w:r>
            <w:r w:rsidR="00A841AB">
              <w:rPr>
                <w:rFonts w:cs="Arial"/>
                <w:b/>
                <w:szCs w:val="20"/>
                <w:lang w:eastAsia="en-GB"/>
              </w:rPr>
              <w:t>-2024</w:t>
            </w:r>
            <w:r w:rsidRPr="00F935E7">
              <w:rPr>
                <w:rFonts w:cs="Arial"/>
                <w:b/>
                <w:szCs w:val="20"/>
                <w:lang w:eastAsia="en-GB"/>
              </w:rPr>
              <w:t>)</w:t>
            </w:r>
            <w:bookmarkEnd w:id="1389"/>
          </w:p>
          <w:p w14:paraId="6A289185" w14:textId="23F0D248" w:rsidR="00DF5B08" w:rsidRPr="00F935E7" w:rsidRDefault="00DF5B08" w:rsidP="00194B02">
            <w:pPr>
              <w:rPr>
                <w:rFonts w:cs="Arial"/>
                <w:b/>
                <w:szCs w:val="20"/>
                <w:lang w:eastAsia="en-GB"/>
              </w:rPr>
            </w:pPr>
            <w:bookmarkStart w:id="1390" w:name="lt_pId673"/>
            <w:r w:rsidRPr="00F935E7">
              <w:rPr>
                <w:rFonts w:cs="Arial"/>
                <w:szCs w:val="20"/>
                <w:lang w:eastAsia="en-GB"/>
              </w:rPr>
              <w:t xml:space="preserve">Les Recommandations révisées du GAFI de 2012 et la </w:t>
            </w:r>
            <w:r>
              <w:rPr>
                <w:rFonts w:cs="Arial"/>
                <w:szCs w:val="20"/>
                <w:lang w:eastAsia="en-GB"/>
              </w:rPr>
              <w:t>« </w:t>
            </w:r>
            <w:r w:rsidRPr="00F935E7">
              <w:rPr>
                <w:rFonts w:cs="Arial"/>
                <w:szCs w:val="20"/>
                <w:lang w:eastAsia="en-GB"/>
              </w:rPr>
              <w:t xml:space="preserve">Méthodologie d’évaluation de la conformité technique aux Recommandations du GAFI et de l’efficacité des systèmes de </w:t>
            </w:r>
            <w:r>
              <w:rPr>
                <w:rFonts w:cs="Arial"/>
                <w:szCs w:val="20"/>
                <w:lang w:eastAsia="en-GB"/>
              </w:rPr>
              <w:t>LBC</w:t>
            </w:r>
            <w:r w:rsidRPr="00F935E7">
              <w:rPr>
                <w:rFonts w:cs="Arial"/>
                <w:szCs w:val="20"/>
                <w:lang w:eastAsia="en-GB"/>
              </w:rPr>
              <w:t>/FT</w:t>
            </w:r>
            <w:r>
              <w:rPr>
                <w:rFonts w:cs="Arial"/>
                <w:szCs w:val="20"/>
                <w:lang w:eastAsia="en-GB"/>
              </w:rPr>
              <w:t> »</w:t>
            </w:r>
            <w:r w:rsidRPr="00F935E7">
              <w:rPr>
                <w:rFonts w:cs="Arial"/>
                <w:szCs w:val="20"/>
                <w:lang w:eastAsia="en-GB"/>
              </w:rPr>
              <w:t xml:space="preserve"> de 2013 constituent la base du </w:t>
            </w:r>
            <w:r w:rsidR="005237A0">
              <w:rPr>
                <w:rFonts w:cs="Arial"/>
                <w:szCs w:val="20"/>
                <w:lang w:eastAsia="en-GB"/>
              </w:rPr>
              <w:t>c</w:t>
            </w:r>
            <w:r w:rsidRPr="00F935E7">
              <w:rPr>
                <w:rFonts w:cs="Arial"/>
                <w:szCs w:val="20"/>
                <w:lang w:eastAsia="en-GB"/>
              </w:rPr>
              <w:t>inquième cycle d’évaluations de MONEYVAL.</w:t>
            </w:r>
            <w:bookmarkEnd w:id="1390"/>
            <w:r w:rsidRPr="00F935E7">
              <w:rPr>
                <w:rFonts w:cs="Arial"/>
                <w:szCs w:val="20"/>
                <w:lang w:eastAsia="en-GB"/>
              </w:rPr>
              <w:t xml:space="preserve"> </w:t>
            </w:r>
            <w:bookmarkStart w:id="1391" w:name="lt_pId674"/>
            <w:r w:rsidRPr="00F935E7">
              <w:rPr>
                <w:rFonts w:cs="Arial"/>
                <w:szCs w:val="20"/>
                <w:lang w:eastAsia="en-GB"/>
              </w:rPr>
              <w:t>Ce nouveau cycle met principalement l’accent sur la mise en œuvre effective des Recommandations du GAFI par les États et territoires et chaque visite sur place dure entre 10 et 14 jours, voire davantage si nécessaire.</w:t>
            </w:r>
            <w:bookmarkEnd w:id="1391"/>
            <w:r w:rsidRPr="00F935E7">
              <w:rPr>
                <w:rFonts w:cs="Arial"/>
                <w:szCs w:val="20"/>
                <w:lang w:eastAsia="en-GB"/>
              </w:rPr>
              <w:t xml:space="preserve"> </w:t>
            </w:r>
            <w:bookmarkStart w:id="1392" w:name="lt_pId675"/>
            <w:r w:rsidRPr="00F935E7">
              <w:rPr>
                <w:rFonts w:cs="Arial"/>
                <w:szCs w:val="20"/>
                <w:lang w:eastAsia="en-GB"/>
              </w:rPr>
              <w:t>Le premier REM produit dans le cadre de ce nouveau cycle a été adopté en décembre 2015.</w:t>
            </w:r>
            <w:bookmarkEnd w:id="1392"/>
            <w:r w:rsidRPr="00F935E7">
              <w:rPr>
                <w:rFonts w:cs="Arial"/>
                <w:szCs w:val="20"/>
                <w:lang w:eastAsia="en-GB"/>
              </w:rPr>
              <w:t xml:space="preserve"> </w:t>
            </w:r>
            <w:bookmarkStart w:id="1393" w:name="lt_pId676"/>
            <w:r w:rsidRPr="00F935E7">
              <w:rPr>
                <w:rFonts w:cs="Arial"/>
                <w:szCs w:val="20"/>
                <w:lang w:eastAsia="en-GB"/>
              </w:rPr>
              <w:t xml:space="preserve">Fin 2021, </w:t>
            </w:r>
            <w:r w:rsidR="006E2DAB">
              <w:rPr>
                <w:rFonts w:cs="Arial"/>
                <w:szCs w:val="20"/>
                <w:lang w:eastAsia="en-GB"/>
              </w:rPr>
              <w:t xml:space="preserve">vingt et un </w:t>
            </w:r>
            <w:r w:rsidRPr="00F935E7">
              <w:rPr>
                <w:rFonts w:cs="Arial"/>
                <w:szCs w:val="20"/>
                <w:lang w:eastAsia="en-GB"/>
              </w:rPr>
              <w:t>rapports d’évaluation mutuelle avaient été adoptés et deux autres pays avaient accueilli des visites sur place.</w:t>
            </w:r>
            <w:bookmarkEnd w:id="1393"/>
            <w:r w:rsidR="00A841AB">
              <w:rPr>
                <w:rFonts w:cs="Arial"/>
                <w:szCs w:val="20"/>
                <w:lang w:eastAsia="en-GB"/>
              </w:rPr>
              <w:t xml:space="preserve"> </w:t>
            </w:r>
            <w:r w:rsidR="00A841AB" w:rsidRPr="006E2DAB">
              <w:rPr>
                <w:rFonts w:cs="Arial"/>
                <w:szCs w:val="20"/>
                <w:lang w:eastAsia="en-GB"/>
              </w:rPr>
              <w:t xml:space="preserve">À la fin de l'année 2022, </w:t>
            </w:r>
            <w:r w:rsidR="006E2DAB">
              <w:rPr>
                <w:rFonts w:cs="Arial"/>
                <w:szCs w:val="20"/>
                <w:lang w:eastAsia="en-GB"/>
              </w:rPr>
              <w:t xml:space="preserve">vingt-six </w:t>
            </w:r>
            <w:r w:rsidR="00A841AB" w:rsidRPr="006E2DAB">
              <w:rPr>
                <w:rFonts w:cs="Arial"/>
                <w:szCs w:val="20"/>
                <w:lang w:eastAsia="en-GB"/>
              </w:rPr>
              <w:t>rapports d'évaluation mutuelle avaient été adoptés et deux autres pays</w:t>
            </w:r>
            <w:r w:rsidR="00791F91" w:rsidRPr="006E2DAB">
              <w:rPr>
                <w:rFonts w:cs="Arial"/>
                <w:szCs w:val="20"/>
                <w:lang w:eastAsia="en-GB"/>
              </w:rPr>
              <w:t xml:space="preserve"> (la Roumanie et la Macédoine </w:t>
            </w:r>
            <w:r w:rsidR="002314EA" w:rsidRPr="006E2DAB">
              <w:rPr>
                <w:rFonts w:cs="Arial"/>
                <w:szCs w:val="20"/>
                <w:lang w:eastAsia="en-GB"/>
              </w:rPr>
              <w:t>du</w:t>
            </w:r>
            <w:r w:rsidR="00791F91" w:rsidRPr="006E2DAB">
              <w:rPr>
                <w:rFonts w:cs="Arial"/>
                <w:szCs w:val="20"/>
                <w:lang w:eastAsia="en-GB"/>
              </w:rPr>
              <w:t xml:space="preserve"> Nord)</w:t>
            </w:r>
            <w:r w:rsidR="00A841AB" w:rsidRPr="006E2DAB">
              <w:rPr>
                <w:rFonts w:cs="Arial"/>
                <w:szCs w:val="20"/>
                <w:lang w:eastAsia="en-GB"/>
              </w:rPr>
              <w:t xml:space="preserve"> avaient fait l'objet d'une visite sur place dans le cadre du cycle actuel.</w:t>
            </w:r>
          </w:p>
        </w:tc>
      </w:tr>
    </w:tbl>
    <w:p w14:paraId="5232F2F1" w14:textId="77777777" w:rsidR="00DF5B08" w:rsidRPr="00F935E7" w:rsidRDefault="00DF5B08" w:rsidP="00DF5B08">
      <w:pPr>
        <w:pStyle w:val="Heading2"/>
        <w:keepLines w:val="0"/>
        <w:spacing w:before="0"/>
        <w:ind w:right="680"/>
        <w:jc w:val="both"/>
        <w:rPr>
          <w:rStyle w:val="Strong"/>
          <w:rFonts w:ascii="Arial" w:eastAsiaTheme="minorHAnsi" w:hAnsi="Arial" w:cs="Arial"/>
          <w:color w:val="auto"/>
          <w:sz w:val="20"/>
          <w:szCs w:val="20"/>
          <w:lang w:val="fr-FR"/>
        </w:rPr>
      </w:pPr>
      <w:bookmarkStart w:id="1394" w:name="_Toc66712446"/>
    </w:p>
    <w:p w14:paraId="079EDBB3" w14:textId="666D7C4C" w:rsidR="00DF5B08" w:rsidRPr="00F935E7" w:rsidRDefault="00194B02" w:rsidP="00DF5B08">
      <w:pPr>
        <w:pStyle w:val="Heading2"/>
        <w:keepLines w:val="0"/>
        <w:spacing w:before="0"/>
        <w:ind w:right="680"/>
        <w:jc w:val="both"/>
        <w:rPr>
          <w:rStyle w:val="Strong"/>
          <w:rFonts w:ascii="Arial" w:eastAsiaTheme="minorHAnsi" w:hAnsi="Arial" w:cs="Arial"/>
          <w:color w:val="auto"/>
          <w:sz w:val="20"/>
          <w:szCs w:val="20"/>
          <w:lang w:val="fr-FR"/>
        </w:rPr>
      </w:pPr>
      <w:bookmarkStart w:id="1395" w:name="_Toc93996562"/>
      <w:bookmarkStart w:id="1396" w:name="_Toc94256547"/>
      <w:bookmarkStart w:id="1397" w:name="_Toc135412718"/>
      <w:r>
        <w:rPr>
          <w:rStyle w:val="Strong"/>
          <w:rFonts w:ascii="Arial" w:eastAsiaTheme="minorHAnsi" w:hAnsi="Arial" w:cs="Arial"/>
          <w:color w:val="auto"/>
          <w:sz w:val="20"/>
          <w:szCs w:val="20"/>
          <w:lang w:val="fr-FR"/>
        </w:rPr>
        <w:t>8</w:t>
      </w:r>
      <w:r w:rsidR="00DF5B08" w:rsidRPr="00F935E7">
        <w:rPr>
          <w:rStyle w:val="Strong"/>
          <w:rFonts w:ascii="Arial" w:eastAsiaTheme="minorHAnsi" w:hAnsi="Arial" w:cs="Arial"/>
          <w:color w:val="auto"/>
          <w:sz w:val="20"/>
          <w:szCs w:val="20"/>
          <w:lang w:val="fr-FR"/>
        </w:rPr>
        <w:t>.6.</w:t>
      </w:r>
      <w:r w:rsidR="00DF5B08" w:rsidRPr="00F935E7">
        <w:rPr>
          <w:rStyle w:val="Strong"/>
          <w:rFonts w:ascii="Arial" w:eastAsiaTheme="minorHAnsi" w:hAnsi="Arial" w:cs="Arial"/>
          <w:color w:val="auto"/>
          <w:sz w:val="20"/>
          <w:szCs w:val="20"/>
          <w:lang w:val="fr-FR"/>
        </w:rPr>
        <w:tab/>
      </w:r>
      <w:bookmarkStart w:id="1398" w:name="lt_pId678"/>
      <w:bookmarkEnd w:id="1394"/>
      <w:bookmarkEnd w:id="1395"/>
      <w:r w:rsidR="00DF5B08" w:rsidRPr="00F935E7">
        <w:rPr>
          <w:rStyle w:val="Strong"/>
          <w:rFonts w:ascii="Arial" w:eastAsiaTheme="minorHAnsi" w:hAnsi="Arial" w:cs="Arial"/>
          <w:color w:val="auto"/>
          <w:sz w:val="20"/>
          <w:szCs w:val="20"/>
          <w:lang w:val="fr-FR"/>
        </w:rPr>
        <w:t>Procédures de conformité renforcée</w:t>
      </w:r>
      <w:bookmarkEnd w:id="1396"/>
      <w:bookmarkEnd w:id="1397"/>
      <w:bookmarkEnd w:id="1398"/>
    </w:p>
    <w:p w14:paraId="745F14D3" w14:textId="77777777" w:rsidR="00DF5B08" w:rsidRPr="00F935E7" w:rsidRDefault="00DF5B08" w:rsidP="00DF5B08">
      <w:pPr>
        <w:jc w:val="both"/>
      </w:pPr>
    </w:p>
    <w:p w14:paraId="7EAEE8B2" w14:textId="77777777" w:rsidR="00DF5B08" w:rsidRPr="00F935E7" w:rsidRDefault="00DF5B08" w:rsidP="00194B02">
      <w:pPr>
        <w:rPr>
          <w:rFonts w:cs="Arial"/>
          <w:szCs w:val="20"/>
        </w:rPr>
      </w:pPr>
      <w:bookmarkStart w:id="1399" w:name="lt_pId679"/>
      <w:r w:rsidRPr="00F935E7">
        <w:rPr>
          <w:rFonts w:cs="Arial"/>
          <w:szCs w:val="20"/>
        </w:rPr>
        <w:t>Les procédures de conformité renforcée (PCR) de MONEYVAL contribuent à ce que les pays prennent des mesures pour satisfaire aux normes internationales et se conformer aux Recommandations du Comité dans un délai approprié.</w:t>
      </w:r>
      <w:bookmarkEnd w:id="1399"/>
      <w:r w:rsidRPr="00F935E7">
        <w:rPr>
          <w:rFonts w:cs="Arial"/>
          <w:szCs w:val="20"/>
        </w:rPr>
        <w:t xml:space="preserve"> </w:t>
      </w:r>
      <w:bookmarkStart w:id="1400" w:name="lt_pId680"/>
      <w:r w:rsidRPr="00F935E7">
        <w:rPr>
          <w:rFonts w:cs="Arial"/>
          <w:szCs w:val="20"/>
        </w:rPr>
        <w:t>Pour le Quatrième et le Cinquième cycles d’évaluations mutuelles, la procédure s’établit comme suit :</w:t>
      </w:r>
      <w:bookmarkEnd w:id="1400"/>
    </w:p>
    <w:p w14:paraId="1721F339" w14:textId="77777777" w:rsidR="00DF5B08" w:rsidRPr="00F935E7" w:rsidRDefault="00DF5B08" w:rsidP="00194B02">
      <w:pPr>
        <w:rPr>
          <w:rFonts w:cs="Arial"/>
          <w:szCs w:val="20"/>
        </w:rPr>
      </w:pPr>
    </w:p>
    <w:tbl>
      <w:tblPr>
        <w:tblW w:w="10050"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10050"/>
      </w:tblGrid>
      <w:tr w:rsidR="00DF5B08" w:rsidRPr="00F935E7" w14:paraId="1EDD7B75" w14:textId="77777777" w:rsidTr="002E6C1B">
        <w:trPr>
          <w:jc w:val="center"/>
        </w:trPr>
        <w:tc>
          <w:tcPr>
            <w:tcW w:w="10050" w:type="dxa"/>
            <w:shd w:val="clear" w:color="auto" w:fill="808080"/>
          </w:tcPr>
          <w:p w14:paraId="0C7C7D3E" w14:textId="77777777" w:rsidR="00DF5B08" w:rsidRPr="00F935E7" w:rsidRDefault="00DF5B08" w:rsidP="00194B02">
            <w:pPr>
              <w:rPr>
                <w:rFonts w:cs="Arial"/>
                <w:b/>
                <w:bCs/>
                <w:szCs w:val="20"/>
                <w:lang w:eastAsia="en-GB"/>
              </w:rPr>
            </w:pPr>
            <w:bookmarkStart w:id="1401" w:name="lt_pId681"/>
            <w:r w:rsidRPr="00F935E7">
              <w:rPr>
                <w:rFonts w:cs="Arial"/>
                <w:b/>
                <w:bCs/>
                <w:szCs w:val="20"/>
                <w:lang w:eastAsia="en-GB"/>
              </w:rPr>
              <w:t>Étapes des PCR</w:t>
            </w:r>
            <w:bookmarkEnd w:id="1401"/>
          </w:p>
        </w:tc>
      </w:tr>
      <w:tr w:rsidR="00DF5B08" w:rsidRPr="00776250" w14:paraId="5259C5F4" w14:textId="77777777" w:rsidTr="002E6C1B">
        <w:trPr>
          <w:jc w:val="center"/>
        </w:trPr>
        <w:tc>
          <w:tcPr>
            <w:tcW w:w="10050" w:type="dxa"/>
          </w:tcPr>
          <w:p w14:paraId="31D5F95E" w14:textId="65C777D3" w:rsidR="00DF5B08" w:rsidRPr="00F935E7" w:rsidRDefault="00DF5B08" w:rsidP="00194B02">
            <w:pPr>
              <w:rPr>
                <w:rFonts w:cs="Arial"/>
                <w:szCs w:val="20"/>
              </w:rPr>
            </w:pPr>
            <w:bookmarkStart w:id="1402" w:name="lt_pId682"/>
            <w:r w:rsidRPr="00F935E7">
              <w:rPr>
                <w:rFonts w:cs="Arial"/>
                <w:b/>
                <w:bCs/>
                <w:szCs w:val="20"/>
              </w:rPr>
              <w:t xml:space="preserve">Étape 1 : </w:t>
            </w:r>
            <w:r w:rsidRPr="00F935E7">
              <w:rPr>
                <w:rFonts w:cs="Arial"/>
                <w:szCs w:val="20"/>
              </w:rPr>
              <w:t>MONEYVAL invite le Secrétaire Général du Conseil de</w:t>
            </w:r>
            <w:r>
              <w:rPr>
                <w:rFonts w:cs="Arial"/>
                <w:szCs w:val="20"/>
              </w:rPr>
              <w:t xml:space="preserve"> </w:t>
            </w:r>
            <w:r w:rsidRPr="00F935E7">
              <w:rPr>
                <w:rFonts w:cs="Arial"/>
                <w:szCs w:val="20"/>
              </w:rPr>
              <w:t>l’Europe à envoyer une lettre au(x) ministre(s) compétent(s) de l’État ou du territoire concerné, en attirant son (leur) attention sur la non-conformité aux documents de référence et sur les mesures correctives à prendre.</w:t>
            </w:r>
            <w:bookmarkEnd w:id="1402"/>
          </w:p>
          <w:p w14:paraId="78CC5806" w14:textId="77777777" w:rsidR="00DF5B08" w:rsidRPr="00F935E7" w:rsidRDefault="00DF5B08" w:rsidP="00194B02">
            <w:pPr>
              <w:rPr>
                <w:rFonts w:cs="Arial"/>
                <w:szCs w:val="20"/>
              </w:rPr>
            </w:pPr>
            <w:bookmarkStart w:id="1403" w:name="lt_pId683"/>
            <w:r w:rsidRPr="00F935E7">
              <w:rPr>
                <w:rFonts w:cs="Arial"/>
                <w:b/>
                <w:bCs/>
                <w:szCs w:val="20"/>
              </w:rPr>
              <w:t xml:space="preserve">Étape 2 : </w:t>
            </w:r>
            <w:r w:rsidRPr="00F935E7">
              <w:rPr>
                <w:rFonts w:cs="Arial"/>
                <w:szCs w:val="20"/>
              </w:rPr>
              <w:t>MONEYVAL organise une mission de haut niveau dans l’État ou le territoire en défaut concerné afin de rencontrer les ministres et hauts fonctionnaires compétents et de conférer davantage de poids à ce message.</w:t>
            </w:r>
            <w:bookmarkEnd w:id="1403"/>
          </w:p>
        </w:tc>
      </w:tr>
    </w:tbl>
    <w:p w14:paraId="44493755" w14:textId="77777777" w:rsidR="002E6C1B" w:rsidRDefault="002E6C1B">
      <w:r>
        <w:br w:type="page"/>
      </w:r>
    </w:p>
    <w:tbl>
      <w:tblPr>
        <w:tblW w:w="10050"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10050"/>
      </w:tblGrid>
      <w:tr w:rsidR="002E6C1B" w:rsidRPr="00776250" w14:paraId="5C5D81BF" w14:textId="77777777" w:rsidTr="002E6C1B">
        <w:trPr>
          <w:jc w:val="center"/>
        </w:trPr>
        <w:tc>
          <w:tcPr>
            <w:tcW w:w="10050" w:type="dxa"/>
          </w:tcPr>
          <w:p w14:paraId="1EB9C0E8" w14:textId="77777777" w:rsidR="002E6C1B" w:rsidRPr="00F935E7" w:rsidRDefault="002E6C1B" w:rsidP="002E6C1B">
            <w:pPr>
              <w:rPr>
                <w:rFonts w:cs="Arial"/>
                <w:szCs w:val="20"/>
              </w:rPr>
            </w:pPr>
            <w:bookmarkStart w:id="1404" w:name="lt_pId684"/>
            <w:r w:rsidRPr="00F935E7">
              <w:rPr>
                <w:rFonts w:cs="Arial"/>
                <w:b/>
                <w:bCs/>
                <w:szCs w:val="20"/>
              </w:rPr>
              <w:lastRenderedPageBreak/>
              <w:t xml:space="preserve">Étape 3 : </w:t>
            </w:r>
            <w:r w:rsidRPr="00F935E7">
              <w:rPr>
                <w:rFonts w:cs="Arial"/>
                <w:szCs w:val="20"/>
              </w:rPr>
              <w:t xml:space="preserve">Dans le cadre de l’application de la Recommandation 19 du GAFI (2012) par les États et territoires de MONEYVAL, ce dernier publie une déclaration officielle indiquant qu’un État ou territoire ne respecte pas suffisamment les documents de référence et invitant les membres du réseau </w:t>
            </w:r>
            <w:r>
              <w:rPr>
                <w:rFonts w:cs="Arial"/>
                <w:szCs w:val="20"/>
              </w:rPr>
              <w:t>LBC</w:t>
            </w:r>
            <w:r w:rsidRPr="00F935E7">
              <w:rPr>
                <w:rFonts w:cs="Arial"/>
                <w:szCs w:val="20"/>
              </w:rPr>
              <w:t xml:space="preserve">/FT mondial à prendre en compte les risques posés par l’État ou territoire en </w:t>
            </w:r>
            <w:r>
              <w:rPr>
                <w:rFonts w:cs="Arial"/>
                <w:szCs w:val="20"/>
              </w:rPr>
              <w:t>cause</w:t>
            </w:r>
            <w:r w:rsidRPr="00F935E7">
              <w:rPr>
                <w:rFonts w:cs="Arial"/>
                <w:szCs w:val="20"/>
              </w:rPr>
              <w:t>.</w:t>
            </w:r>
            <w:bookmarkEnd w:id="1404"/>
            <w:r w:rsidRPr="00F935E7">
              <w:rPr>
                <w:rFonts w:cs="Arial"/>
                <w:szCs w:val="20"/>
              </w:rPr>
              <w:t xml:space="preserve"> </w:t>
            </w:r>
          </w:p>
          <w:p w14:paraId="4F0A61FA" w14:textId="572A362F" w:rsidR="002E6C1B" w:rsidRPr="00F935E7" w:rsidRDefault="002E6C1B" w:rsidP="002E6C1B">
            <w:pPr>
              <w:rPr>
                <w:rFonts w:cs="Arial"/>
                <w:b/>
                <w:bCs/>
                <w:szCs w:val="20"/>
              </w:rPr>
            </w:pPr>
            <w:bookmarkStart w:id="1405" w:name="lt_pId685"/>
            <w:r w:rsidRPr="00F935E7">
              <w:rPr>
                <w:rFonts w:cs="Arial"/>
                <w:b/>
                <w:bCs/>
                <w:szCs w:val="20"/>
              </w:rPr>
              <w:t>Étape 4 :</w:t>
            </w:r>
            <w:r w:rsidRPr="00F935E7">
              <w:rPr>
                <w:rFonts w:cs="Arial"/>
                <w:szCs w:val="20"/>
              </w:rPr>
              <w:t xml:space="preserve"> MONEYVAL renvoie la question pour examen éventuel dans le cadre de la procédure de l’ICRG (Groupe d’examen de la coopération internationale) du GAFI, dès lors que les critères fixés dans cette procédure sont remplis.</w:t>
            </w:r>
            <w:bookmarkEnd w:id="1405"/>
          </w:p>
        </w:tc>
      </w:tr>
    </w:tbl>
    <w:p w14:paraId="76E27199" w14:textId="63FB7B70" w:rsidR="00DF5B08" w:rsidRPr="00F935E7" w:rsidRDefault="00DF5B08" w:rsidP="00DF5B08">
      <w:pPr>
        <w:jc w:val="both"/>
        <w:rPr>
          <w:rFonts w:cs="Arial"/>
          <w:szCs w:val="20"/>
        </w:rPr>
      </w:pPr>
    </w:p>
    <w:p w14:paraId="0C44F9D0" w14:textId="77777777" w:rsidR="00194B02" w:rsidRDefault="00194B02">
      <w:pPr>
        <w:rPr>
          <w:rFonts w:eastAsia="Times New Roman" w:cs="Arial"/>
          <w:b/>
          <w:bCs/>
          <w:w w:val="105"/>
          <w:kern w:val="28"/>
          <w:sz w:val="24"/>
          <w:szCs w:val="24"/>
          <w:lang w:eastAsia="zh-CN"/>
        </w:rPr>
      </w:pPr>
      <w:bookmarkStart w:id="1406" w:name="lt_pId686"/>
      <w:bookmarkStart w:id="1407" w:name="_Toc94256548"/>
      <w:bookmarkEnd w:id="199"/>
      <w:r>
        <w:rPr>
          <w:sz w:val="24"/>
          <w:szCs w:val="24"/>
        </w:rPr>
        <w:br w:type="page"/>
      </w:r>
    </w:p>
    <w:p w14:paraId="682CF05E" w14:textId="55F75356" w:rsidR="00DF5B08" w:rsidRPr="00AB055A" w:rsidRDefault="00DF5B08" w:rsidP="00DF5B08">
      <w:pPr>
        <w:pStyle w:val="Title1"/>
        <w:spacing w:before="0" w:after="0"/>
        <w:rPr>
          <w:color w:val="auto"/>
          <w:lang w:val="fr-FR"/>
        </w:rPr>
      </w:pPr>
      <w:bookmarkStart w:id="1408" w:name="_Toc135412719"/>
      <w:r w:rsidRPr="00AB055A">
        <w:rPr>
          <w:color w:val="auto"/>
          <w:lang w:val="fr-FR"/>
        </w:rPr>
        <w:lastRenderedPageBreak/>
        <w:t>ANNEXES</w:t>
      </w:r>
      <w:bookmarkEnd w:id="1406"/>
      <w:bookmarkEnd w:id="1407"/>
      <w:bookmarkEnd w:id="1408"/>
    </w:p>
    <w:p w14:paraId="1F0E34AC" w14:textId="77777777" w:rsidR="00DF5B08" w:rsidRPr="00AB055A" w:rsidRDefault="00DF5B08" w:rsidP="00DF5B08">
      <w:pPr>
        <w:pStyle w:val="Title1"/>
        <w:spacing w:before="0" w:after="0"/>
        <w:rPr>
          <w:color w:val="auto"/>
          <w:lang w:val="fr-FR"/>
        </w:rPr>
      </w:pPr>
    </w:p>
    <w:p w14:paraId="7F075AE2" w14:textId="77777777" w:rsidR="00DF5B08" w:rsidRPr="00AB055A" w:rsidRDefault="00DF5B08" w:rsidP="00DF5B08">
      <w:pPr>
        <w:jc w:val="both"/>
        <w:rPr>
          <w:rFonts w:cs="Arial"/>
          <w:b/>
          <w:szCs w:val="20"/>
        </w:rPr>
      </w:pPr>
      <w:bookmarkStart w:id="1409" w:name="lt_pId687"/>
      <w:r w:rsidRPr="00AB055A">
        <w:rPr>
          <w:rFonts w:cs="Arial"/>
          <w:b/>
          <w:szCs w:val="20"/>
        </w:rPr>
        <w:t>Annexe I</w:t>
      </w:r>
      <w:bookmarkEnd w:id="1409"/>
    </w:p>
    <w:p w14:paraId="58369D57" w14:textId="77777777" w:rsidR="00DF5B08" w:rsidRPr="00F935E7" w:rsidRDefault="00DF5B08" w:rsidP="00DF5B08">
      <w:pPr>
        <w:jc w:val="both"/>
        <w:rPr>
          <w:rFonts w:cs="Arial"/>
          <w:szCs w:val="20"/>
        </w:rPr>
      </w:pPr>
    </w:p>
    <w:tbl>
      <w:tblPr>
        <w:tblW w:w="0" w:type="auto"/>
        <w:jc w:val="center"/>
        <w:tblBorders>
          <w:top w:val="single" w:sz="4" w:space="0" w:color="000000"/>
          <w:left w:val="single" w:sz="4" w:space="0" w:color="000000"/>
          <w:bottom w:val="single" w:sz="4" w:space="0" w:color="000000"/>
          <w:right w:val="single" w:sz="4" w:space="0" w:color="000000"/>
          <w:insideV w:val="single" w:sz="4" w:space="0" w:color="8DB3E2"/>
        </w:tblBorders>
        <w:tblLook w:val="04A0" w:firstRow="1" w:lastRow="0" w:firstColumn="1" w:lastColumn="0" w:noHBand="0" w:noVBand="1"/>
      </w:tblPr>
      <w:tblGrid>
        <w:gridCol w:w="1972"/>
        <w:gridCol w:w="7573"/>
      </w:tblGrid>
      <w:tr w:rsidR="00DF5B08" w:rsidRPr="00776250" w14:paraId="054648F7" w14:textId="77777777" w:rsidTr="00A60A13">
        <w:trPr>
          <w:trHeight w:val="255"/>
          <w:jc w:val="center"/>
        </w:trPr>
        <w:tc>
          <w:tcPr>
            <w:tcW w:w="9545" w:type="dxa"/>
            <w:gridSpan w:val="2"/>
            <w:shd w:val="clear" w:color="auto" w:fill="F2F2F2" w:themeFill="background1" w:themeFillShade="F2"/>
            <w:vAlign w:val="center"/>
          </w:tcPr>
          <w:p w14:paraId="423EFB95" w14:textId="77777777" w:rsidR="00DF5B08" w:rsidRPr="00F935E7" w:rsidRDefault="00DF5B08" w:rsidP="00A60A13">
            <w:pPr>
              <w:jc w:val="both"/>
              <w:rPr>
                <w:rFonts w:cs="Arial"/>
                <w:b/>
                <w:szCs w:val="20"/>
              </w:rPr>
            </w:pPr>
            <w:bookmarkStart w:id="1410" w:name="lt_pId688"/>
            <w:r w:rsidRPr="00F935E7">
              <w:rPr>
                <w:rFonts w:cs="Arial"/>
                <w:b/>
                <w:szCs w:val="20"/>
              </w:rPr>
              <w:t>Liste des Recommandations 2012 du GAFI et des 11</w:t>
            </w:r>
            <w:r>
              <w:rPr>
                <w:rFonts w:cs="Arial"/>
                <w:b/>
                <w:szCs w:val="20"/>
              </w:rPr>
              <w:t> </w:t>
            </w:r>
            <w:r w:rsidRPr="00F935E7">
              <w:rPr>
                <w:rFonts w:cs="Arial"/>
                <w:b/>
                <w:szCs w:val="20"/>
              </w:rPr>
              <w:t>Résultats immédiats répertoriés dans sa Méthodologie de 2013</w:t>
            </w:r>
            <w:bookmarkEnd w:id="1410"/>
          </w:p>
        </w:tc>
      </w:tr>
      <w:tr w:rsidR="00DF5B08" w:rsidRPr="00776250" w14:paraId="38FF2675" w14:textId="77777777" w:rsidTr="00A60A13">
        <w:trPr>
          <w:trHeight w:val="255"/>
          <w:jc w:val="center"/>
        </w:trPr>
        <w:tc>
          <w:tcPr>
            <w:tcW w:w="9545" w:type="dxa"/>
            <w:gridSpan w:val="2"/>
            <w:shd w:val="clear" w:color="auto" w:fill="F2F2F2" w:themeFill="background1" w:themeFillShade="F2"/>
            <w:vAlign w:val="center"/>
          </w:tcPr>
          <w:p w14:paraId="7469EA4B" w14:textId="77777777" w:rsidR="00DF5B08" w:rsidRPr="00F935E7" w:rsidRDefault="00DF5B08" w:rsidP="00A60A13">
            <w:pPr>
              <w:jc w:val="both"/>
              <w:rPr>
                <w:rFonts w:cs="Arial"/>
                <w:b/>
                <w:szCs w:val="20"/>
              </w:rPr>
            </w:pPr>
          </w:p>
          <w:p w14:paraId="1E4E32CA" w14:textId="77777777" w:rsidR="00DF5B08" w:rsidRPr="00F935E7" w:rsidRDefault="00DF5B08" w:rsidP="00A60A13">
            <w:pPr>
              <w:jc w:val="both"/>
              <w:rPr>
                <w:rFonts w:cs="Arial"/>
                <w:b/>
                <w:szCs w:val="20"/>
              </w:rPr>
            </w:pPr>
            <w:bookmarkStart w:id="1411" w:name="lt_pId689"/>
            <w:r w:rsidRPr="00F935E7">
              <w:rPr>
                <w:rFonts w:cs="Arial"/>
                <w:b/>
                <w:szCs w:val="20"/>
              </w:rPr>
              <w:t>A.</w:t>
            </w:r>
            <w:bookmarkEnd w:id="1411"/>
            <w:r w:rsidRPr="00F935E7">
              <w:rPr>
                <w:rFonts w:cs="Arial"/>
                <w:b/>
                <w:szCs w:val="20"/>
              </w:rPr>
              <w:t xml:space="preserve"> </w:t>
            </w:r>
            <w:bookmarkStart w:id="1412" w:name="lt_pId690"/>
            <w:r w:rsidRPr="00F935E7">
              <w:rPr>
                <w:rFonts w:cs="Arial"/>
                <w:b/>
                <w:szCs w:val="20"/>
              </w:rPr>
              <w:t>Recommandations du GAFI de 2012</w:t>
            </w:r>
            <w:bookmarkEnd w:id="1412"/>
            <w:r w:rsidRPr="00F935E7">
              <w:rPr>
                <w:rFonts w:cs="Arial"/>
                <w:b/>
                <w:szCs w:val="20"/>
              </w:rPr>
              <w:t xml:space="preserve"> </w:t>
            </w:r>
          </w:p>
        </w:tc>
      </w:tr>
      <w:tr w:rsidR="00DF5B08" w:rsidRPr="00776250" w14:paraId="7007D3A1" w14:textId="77777777" w:rsidTr="00A60A13">
        <w:trPr>
          <w:trHeight w:val="255"/>
          <w:jc w:val="center"/>
        </w:trPr>
        <w:tc>
          <w:tcPr>
            <w:tcW w:w="1972" w:type="dxa"/>
            <w:tcBorders>
              <w:top w:val="nil"/>
              <w:bottom w:val="nil"/>
              <w:right w:val="single" w:sz="4" w:space="0" w:color="000000"/>
            </w:tcBorders>
            <w:shd w:val="clear" w:color="auto" w:fill="auto"/>
          </w:tcPr>
          <w:p w14:paraId="2F731D63" w14:textId="77777777" w:rsidR="00DF5B08" w:rsidRPr="00F935E7" w:rsidRDefault="00DF5B08" w:rsidP="00A60A13">
            <w:pPr>
              <w:jc w:val="both"/>
              <w:rPr>
                <w:rFonts w:cs="Arial"/>
                <w:szCs w:val="20"/>
              </w:rPr>
            </w:pPr>
            <w:bookmarkStart w:id="1413" w:name="lt_pId691"/>
            <w:r w:rsidRPr="00F935E7">
              <w:rPr>
                <w:rFonts w:cs="Arial"/>
                <w:szCs w:val="20"/>
              </w:rPr>
              <w:t>R.1</w:t>
            </w:r>
            <w:bookmarkEnd w:id="1413"/>
          </w:p>
        </w:tc>
        <w:tc>
          <w:tcPr>
            <w:tcW w:w="7573" w:type="dxa"/>
            <w:tcBorders>
              <w:left w:val="single" w:sz="4" w:space="0" w:color="000000"/>
            </w:tcBorders>
            <w:shd w:val="clear" w:color="auto" w:fill="auto"/>
            <w:vAlign w:val="center"/>
          </w:tcPr>
          <w:p w14:paraId="6E3B325C" w14:textId="77777777" w:rsidR="00DF5B08" w:rsidRPr="00F935E7" w:rsidRDefault="00DF5B08" w:rsidP="00A60A13">
            <w:pPr>
              <w:jc w:val="both"/>
              <w:rPr>
                <w:rFonts w:cs="Arial"/>
                <w:szCs w:val="20"/>
              </w:rPr>
            </w:pPr>
            <w:bookmarkStart w:id="1414" w:name="lt_pId692"/>
            <w:r w:rsidRPr="00F935E7">
              <w:rPr>
                <w:rFonts w:cs="Arial"/>
                <w:szCs w:val="20"/>
                <w:lang w:eastAsia="en-GB"/>
              </w:rPr>
              <w:t>Évaluation des risques et application d’une approche fondée sur les risques</w:t>
            </w:r>
            <w:bookmarkEnd w:id="1414"/>
          </w:p>
        </w:tc>
      </w:tr>
      <w:tr w:rsidR="00DF5B08" w:rsidRPr="00776250" w14:paraId="09431718" w14:textId="77777777" w:rsidTr="00A60A13">
        <w:trPr>
          <w:trHeight w:val="255"/>
          <w:jc w:val="center"/>
        </w:trPr>
        <w:tc>
          <w:tcPr>
            <w:tcW w:w="1972" w:type="dxa"/>
            <w:tcBorders>
              <w:top w:val="nil"/>
              <w:bottom w:val="nil"/>
              <w:right w:val="single" w:sz="4" w:space="0" w:color="000000"/>
            </w:tcBorders>
            <w:shd w:val="clear" w:color="auto" w:fill="auto"/>
          </w:tcPr>
          <w:p w14:paraId="774EAA04" w14:textId="77777777" w:rsidR="00DF5B08" w:rsidRPr="00F935E7" w:rsidRDefault="00DF5B08" w:rsidP="00A60A13">
            <w:pPr>
              <w:jc w:val="both"/>
              <w:rPr>
                <w:rFonts w:cs="Arial"/>
                <w:szCs w:val="20"/>
              </w:rPr>
            </w:pPr>
            <w:bookmarkStart w:id="1415" w:name="lt_pId693"/>
            <w:r w:rsidRPr="00F935E7">
              <w:rPr>
                <w:rFonts w:cs="Arial"/>
                <w:szCs w:val="20"/>
              </w:rPr>
              <w:t>R.2</w:t>
            </w:r>
            <w:bookmarkEnd w:id="1415"/>
          </w:p>
        </w:tc>
        <w:tc>
          <w:tcPr>
            <w:tcW w:w="7573" w:type="dxa"/>
            <w:tcBorders>
              <w:left w:val="single" w:sz="4" w:space="0" w:color="000000"/>
            </w:tcBorders>
            <w:shd w:val="clear" w:color="auto" w:fill="auto"/>
            <w:vAlign w:val="center"/>
          </w:tcPr>
          <w:p w14:paraId="1FDD5643" w14:textId="77777777" w:rsidR="00DF5B08" w:rsidRPr="00F935E7" w:rsidRDefault="00DF5B08" w:rsidP="00A60A13">
            <w:pPr>
              <w:jc w:val="both"/>
              <w:rPr>
                <w:rFonts w:cs="Arial"/>
                <w:szCs w:val="20"/>
              </w:rPr>
            </w:pPr>
            <w:bookmarkStart w:id="1416" w:name="lt_pId694"/>
            <w:r w:rsidRPr="00F935E7">
              <w:rPr>
                <w:rFonts w:cs="Arial"/>
                <w:szCs w:val="20"/>
              </w:rPr>
              <w:t>Coopération et coordination au niveau national</w:t>
            </w:r>
            <w:bookmarkEnd w:id="1416"/>
          </w:p>
        </w:tc>
      </w:tr>
      <w:tr w:rsidR="00DF5B08" w:rsidRPr="00776250" w14:paraId="62FC7890" w14:textId="77777777" w:rsidTr="00A60A13">
        <w:trPr>
          <w:trHeight w:val="255"/>
          <w:jc w:val="center"/>
        </w:trPr>
        <w:tc>
          <w:tcPr>
            <w:tcW w:w="1972" w:type="dxa"/>
            <w:tcBorders>
              <w:top w:val="nil"/>
              <w:bottom w:val="nil"/>
              <w:right w:val="single" w:sz="4" w:space="0" w:color="000000"/>
            </w:tcBorders>
            <w:shd w:val="clear" w:color="auto" w:fill="auto"/>
          </w:tcPr>
          <w:p w14:paraId="6DD9A385" w14:textId="77777777" w:rsidR="00DF5B08" w:rsidRPr="00F935E7" w:rsidRDefault="00DF5B08" w:rsidP="00A60A13">
            <w:pPr>
              <w:jc w:val="both"/>
              <w:rPr>
                <w:rFonts w:cs="Arial"/>
                <w:szCs w:val="20"/>
              </w:rPr>
            </w:pPr>
            <w:bookmarkStart w:id="1417" w:name="lt_pId695"/>
            <w:r w:rsidRPr="00F935E7">
              <w:rPr>
                <w:rFonts w:cs="Arial"/>
                <w:szCs w:val="20"/>
              </w:rPr>
              <w:t>R.3</w:t>
            </w:r>
            <w:bookmarkEnd w:id="1417"/>
          </w:p>
        </w:tc>
        <w:tc>
          <w:tcPr>
            <w:tcW w:w="7573" w:type="dxa"/>
            <w:tcBorders>
              <w:left w:val="single" w:sz="4" w:space="0" w:color="000000"/>
            </w:tcBorders>
            <w:shd w:val="clear" w:color="auto" w:fill="auto"/>
            <w:vAlign w:val="center"/>
          </w:tcPr>
          <w:p w14:paraId="5163212C" w14:textId="77777777" w:rsidR="00DF5B08" w:rsidRPr="00F935E7" w:rsidRDefault="00DF5B08" w:rsidP="00A60A13">
            <w:pPr>
              <w:jc w:val="both"/>
              <w:rPr>
                <w:rFonts w:cs="Arial"/>
                <w:szCs w:val="20"/>
              </w:rPr>
            </w:pPr>
            <w:bookmarkStart w:id="1418" w:name="lt_pId696"/>
            <w:r w:rsidRPr="00F935E7">
              <w:rPr>
                <w:rFonts w:cs="Arial"/>
                <w:szCs w:val="20"/>
              </w:rPr>
              <w:t>Infraction de blanchiment de capitaux</w:t>
            </w:r>
            <w:bookmarkEnd w:id="1418"/>
          </w:p>
        </w:tc>
      </w:tr>
      <w:tr w:rsidR="00DF5B08" w:rsidRPr="00F935E7" w14:paraId="6459F814" w14:textId="77777777" w:rsidTr="00A60A13">
        <w:trPr>
          <w:trHeight w:val="255"/>
          <w:jc w:val="center"/>
        </w:trPr>
        <w:tc>
          <w:tcPr>
            <w:tcW w:w="1972" w:type="dxa"/>
            <w:tcBorders>
              <w:top w:val="nil"/>
              <w:bottom w:val="nil"/>
              <w:right w:val="single" w:sz="4" w:space="0" w:color="000000"/>
            </w:tcBorders>
            <w:shd w:val="clear" w:color="auto" w:fill="auto"/>
          </w:tcPr>
          <w:p w14:paraId="0AAA1584" w14:textId="77777777" w:rsidR="00DF5B08" w:rsidRPr="00F935E7" w:rsidRDefault="00DF5B08" w:rsidP="00A60A13">
            <w:pPr>
              <w:jc w:val="both"/>
              <w:rPr>
                <w:rFonts w:cs="Arial"/>
                <w:szCs w:val="20"/>
              </w:rPr>
            </w:pPr>
            <w:bookmarkStart w:id="1419" w:name="lt_pId697"/>
            <w:r w:rsidRPr="00F935E7">
              <w:rPr>
                <w:rFonts w:cs="Arial"/>
                <w:szCs w:val="20"/>
              </w:rPr>
              <w:t>R.4</w:t>
            </w:r>
            <w:bookmarkEnd w:id="1419"/>
          </w:p>
        </w:tc>
        <w:tc>
          <w:tcPr>
            <w:tcW w:w="7573" w:type="dxa"/>
            <w:tcBorders>
              <w:left w:val="single" w:sz="4" w:space="0" w:color="000000"/>
            </w:tcBorders>
            <w:shd w:val="clear" w:color="auto" w:fill="auto"/>
            <w:vAlign w:val="center"/>
          </w:tcPr>
          <w:p w14:paraId="3A081D54" w14:textId="77777777" w:rsidR="00DF5B08" w:rsidRPr="00F935E7" w:rsidRDefault="00DF5B08" w:rsidP="00A60A13">
            <w:pPr>
              <w:jc w:val="both"/>
              <w:rPr>
                <w:rFonts w:cs="Arial"/>
                <w:szCs w:val="20"/>
              </w:rPr>
            </w:pPr>
            <w:bookmarkStart w:id="1420" w:name="lt_pId698"/>
            <w:r w:rsidRPr="00F935E7">
              <w:rPr>
                <w:rFonts w:cs="Arial"/>
                <w:szCs w:val="20"/>
              </w:rPr>
              <w:t>Confiscation et mesures provisoires</w:t>
            </w:r>
            <w:bookmarkEnd w:id="1420"/>
          </w:p>
        </w:tc>
      </w:tr>
      <w:tr w:rsidR="00DF5B08" w:rsidRPr="00776250" w14:paraId="28ADDEEF" w14:textId="77777777" w:rsidTr="00A60A13">
        <w:trPr>
          <w:trHeight w:val="255"/>
          <w:jc w:val="center"/>
        </w:trPr>
        <w:tc>
          <w:tcPr>
            <w:tcW w:w="1972" w:type="dxa"/>
            <w:tcBorders>
              <w:top w:val="nil"/>
              <w:bottom w:val="nil"/>
              <w:right w:val="single" w:sz="4" w:space="0" w:color="000000"/>
            </w:tcBorders>
            <w:shd w:val="clear" w:color="auto" w:fill="auto"/>
          </w:tcPr>
          <w:p w14:paraId="6A8F0BED" w14:textId="77777777" w:rsidR="00DF5B08" w:rsidRPr="00F935E7" w:rsidRDefault="00DF5B08" w:rsidP="00A60A13">
            <w:pPr>
              <w:jc w:val="both"/>
              <w:rPr>
                <w:rFonts w:cs="Arial"/>
                <w:szCs w:val="20"/>
              </w:rPr>
            </w:pPr>
            <w:bookmarkStart w:id="1421" w:name="lt_pId699"/>
            <w:r w:rsidRPr="00F935E7">
              <w:rPr>
                <w:rFonts w:cs="Arial"/>
                <w:szCs w:val="20"/>
              </w:rPr>
              <w:t>R.5</w:t>
            </w:r>
            <w:bookmarkEnd w:id="1421"/>
          </w:p>
        </w:tc>
        <w:tc>
          <w:tcPr>
            <w:tcW w:w="7573" w:type="dxa"/>
            <w:tcBorders>
              <w:left w:val="single" w:sz="4" w:space="0" w:color="000000"/>
            </w:tcBorders>
            <w:shd w:val="clear" w:color="auto" w:fill="auto"/>
            <w:vAlign w:val="center"/>
          </w:tcPr>
          <w:p w14:paraId="0CC97C2F" w14:textId="77777777" w:rsidR="00DF5B08" w:rsidRPr="00F935E7" w:rsidRDefault="00DF5B08" w:rsidP="00A60A13">
            <w:pPr>
              <w:jc w:val="both"/>
              <w:rPr>
                <w:rFonts w:cs="Arial"/>
                <w:szCs w:val="20"/>
              </w:rPr>
            </w:pPr>
            <w:bookmarkStart w:id="1422" w:name="lt_pId700"/>
            <w:r w:rsidRPr="00F935E7">
              <w:rPr>
                <w:rFonts w:cs="Arial"/>
                <w:szCs w:val="20"/>
              </w:rPr>
              <w:t>Incrimination du financement du terrorisme</w:t>
            </w:r>
            <w:bookmarkEnd w:id="1422"/>
          </w:p>
        </w:tc>
      </w:tr>
      <w:tr w:rsidR="00DF5B08" w:rsidRPr="00776250" w14:paraId="771C8F81" w14:textId="77777777" w:rsidTr="00A60A13">
        <w:trPr>
          <w:trHeight w:val="255"/>
          <w:jc w:val="center"/>
        </w:trPr>
        <w:tc>
          <w:tcPr>
            <w:tcW w:w="1972" w:type="dxa"/>
            <w:tcBorders>
              <w:top w:val="nil"/>
              <w:bottom w:val="nil"/>
              <w:right w:val="single" w:sz="4" w:space="0" w:color="000000"/>
            </w:tcBorders>
            <w:shd w:val="clear" w:color="auto" w:fill="auto"/>
          </w:tcPr>
          <w:p w14:paraId="314E31B8" w14:textId="77777777" w:rsidR="00DF5B08" w:rsidRPr="00F935E7" w:rsidRDefault="00DF5B08" w:rsidP="00A60A13">
            <w:pPr>
              <w:jc w:val="both"/>
              <w:rPr>
                <w:rFonts w:cs="Arial"/>
                <w:szCs w:val="20"/>
              </w:rPr>
            </w:pPr>
            <w:bookmarkStart w:id="1423" w:name="lt_pId701"/>
            <w:r w:rsidRPr="00F935E7">
              <w:rPr>
                <w:rFonts w:cs="Arial"/>
                <w:szCs w:val="20"/>
              </w:rPr>
              <w:t>R.6</w:t>
            </w:r>
            <w:bookmarkEnd w:id="1423"/>
          </w:p>
        </w:tc>
        <w:tc>
          <w:tcPr>
            <w:tcW w:w="7573" w:type="dxa"/>
            <w:tcBorders>
              <w:left w:val="single" w:sz="4" w:space="0" w:color="000000"/>
            </w:tcBorders>
            <w:shd w:val="clear" w:color="auto" w:fill="auto"/>
            <w:vAlign w:val="center"/>
          </w:tcPr>
          <w:p w14:paraId="1FD630D8" w14:textId="77777777" w:rsidR="00DF5B08" w:rsidRPr="00F935E7" w:rsidRDefault="00DF5B08" w:rsidP="00A60A13">
            <w:pPr>
              <w:jc w:val="both"/>
              <w:rPr>
                <w:rFonts w:cs="Arial"/>
                <w:szCs w:val="20"/>
              </w:rPr>
            </w:pPr>
            <w:bookmarkStart w:id="1424" w:name="lt_pId702"/>
            <w:r w:rsidRPr="00F935E7">
              <w:rPr>
                <w:rFonts w:cs="Arial"/>
                <w:szCs w:val="20"/>
              </w:rPr>
              <w:t>Sanctions financières ciblées liées au terrorisme et au financement du terrorisme</w:t>
            </w:r>
            <w:bookmarkEnd w:id="1424"/>
          </w:p>
        </w:tc>
      </w:tr>
      <w:tr w:rsidR="00DF5B08" w:rsidRPr="00776250" w14:paraId="36AE69E6" w14:textId="77777777" w:rsidTr="00A60A13">
        <w:trPr>
          <w:trHeight w:val="255"/>
          <w:jc w:val="center"/>
        </w:trPr>
        <w:tc>
          <w:tcPr>
            <w:tcW w:w="1972" w:type="dxa"/>
            <w:tcBorders>
              <w:top w:val="nil"/>
              <w:bottom w:val="nil"/>
              <w:right w:val="single" w:sz="4" w:space="0" w:color="000000"/>
            </w:tcBorders>
            <w:shd w:val="clear" w:color="auto" w:fill="auto"/>
          </w:tcPr>
          <w:p w14:paraId="1DBA3B2E" w14:textId="77777777" w:rsidR="00DF5B08" w:rsidRPr="00F935E7" w:rsidRDefault="00DF5B08" w:rsidP="00A60A13">
            <w:pPr>
              <w:jc w:val="both"/>
              <w:rPr>
                <w:rFonts w:cs="Arial"/>
                <w:szCs w:val="20"/>
              </w:rPr>
            </w:pPr>
            <w:bookmarkStart w:id="1425" w:name="lt_pId703"/>
            <w:r w:rsidRPr="00F935E7">
              <w:rPr>
                <w:rFonts w:cs="Arial"/>
                <w:szCs w:val="20"/>
              </w:rPr>
              <w:t>R.7</w:t>
            </w:r>
            <w:bookmarkEnd w:id="1425"/>
          </w:p>
        </w:tc>
        <w:tc>
          <w:tcPr>
            <w:tcW w:w="7573" w:type="dxa"/>
            <w:tcBorders>
              <w:left w:val="single" w:sz="4" w:space="0" w:color="000000"/>
            </w:tcBorders>
            <w:shd w:val="clear" w:color="auto" w:fill="auto"/>
            <w:vAlign w:val="center"/>
          </w:tcPr>
          <w:p w14:paraId="0C7D1C2C" w14:textId="77777777" w:rsidR="00DF5B08" w:rsidRPr="00F935E7" w:rsidRDefault="00DF5B08" w:rsidP="00A60A13">
            <w:pPr>
              <w:jc w:val="both"/>
              <w:rPr>
                <w:rFonts w:cs="Arial"/>
                <w:szCs w:val="20"/>
              </w:rPr>
            </w:pPr>
            <w:bookmarkStart w:id="1426" w:name="lt_pId704"/>
            <w:r w:rsidRPr="00F935E7">
              <w:rPr>
                <w:rFonts w:cs="Arial"/>
                <w:szCs w:val="20"/>
              </w:rPr>
              <w:t>Sanctions financières ciblées liées à la prolifération</w:t>
            </w:r>
            <w:bookmarkEnd w:id="1426"/>
          </w:p>
        </w:tc>
      </w:tr>
      <w:tr w:rsidR="00DF5B08" w:rsidRPr="00776250" w14:paraId="5E370C34" w14:textId="77777777" w:rsidTr="00A60A13">
        <w:trPr>
          <w:trHeight w:val="255"/>
          <w:jc w:val="center"/>
        </w:trPr>
        <w:tc>
          <w:tcPr>
            <w:tcW w:w="1972" w:type="dxa"/>
            <w:tcBorders>
              <w:top w:val="nil"/>
              <w:bottom w:val="nil"/>
              <w:right w:val="single" w:sz="4" w:space="0" w:color="000000"/>
            </w:tcBorders>
            <w:shd w:val="clear" w:color="auto" w:fill="auto"/>
          </w:tcPr>
          <w:p w14:paraId="5C2172F2" w14:textId="77777777" w:rsidR="00DF5B08" w:rsidRPr="00F935E7" w:rsidRDefault="00DF5B08" w:rsidP="00A60A13">
            <w:pPr>
              <w:jc w:val="both"/>
              <w:rPr>
                <w:rFonts w:cs="Arial"/>
                <w:szCs w:val="20"/>
              </w:rPr>
            </w:pPr>
            <w:bookmarkStart w:id="1427" w:name="lt_pId705"/>
            <w:r w:rsidRPr="00F935E7">
              <w:rPr>
                <w:rFonts w:cs="Arial"/>
                <w:szCs w:val="20"/>
              </w:rPr>
              <w:t>R.8</w:t>
            </w:r>
            <w:bookmarkEnd w:id="1427"/>
          </w:p>
        </w:tc>
        <w:tc>
          <w:tcPr>
            <w:tcW w:w="7573" w:type="dxa"/>
            <w:tcBorders>
              <w:left w:val="single" w:sz="4" w:space="0" w:color="000000"/>
            </w:tcBorders>
            <w:shd w:val="clear" w:color="auto" w:fill="auto"/>
            <w:vAlign w:val="center"/>
          </w:tcPr>
          <w:p w14:paraId="0A439851" w14:textId="77777777" w:rsidR="00DF5B08" w:rsidRPr="00F935E7" w:rsidRDefault="00DF5B08" w:rsidP="00A60A13">
            <w:pPr>
              <w:jc w:val="both"/>
              <w:rPr>
                <w:rFonts w:cs="Arial"/>
                <w:szCs w:val="20"/>
              </w:rPr>
            </w:pPr>
            <w:bookmarkStart w:id="1428" w:name="lt_pId706"/>
            <w:r w:rsidRPr="00F935E7">
              <w:rPr>
                <w:rFonts w:cs="Arial"/>
                <w:szCs w:val="20"/>
              </w:rPr>
              <w:t>Organisations à but non lucratif</w:t>
            </w:r>
            <w:bookmarkEnd w:id="1428"/>
          </w:p>
        </w:tc>
      </w:tr>
      <w:tr w:rsidR="00DF5B08" w:rsidRPr="00776250" w14:paraId="568EB6D0" w14:textId="77777777" w:rsidTr="00A60A13">
        <w:trPr>
          <w:trHeight w:val="255"/>
          <w:jc w:val="center"/>
        </w:trPr>
        <w:tc>
          <w:tcPr>
            <w:tcW w:w="1972" w:type="dxa"/>
            <w:tcBorders>
              <w:top w:val="nil"/>
              <w:bottom w:val="nil"/>
              <w:right w:val="single" w:sz="4" w:space="0" w:color="000000"/>
            </w:tcBorders>
            <w:shd w:val="clear" w:color="auto" w:fill="auto"/>
          </w:tcPr>
          <w:p w14:paraId="00DC0A40" w14:textId="77777777" w:rsidR="00DF5B08" w:rsidRPr="00F935E7" w:rsidRDefault="00DF5B08" w:rsidP="00A60A13">
            <w:pPr>
              <w:jc w:val="both"/>
              <w:rPr>
                <w:rFonts w:cs="Arial"/>
                <w:szCs w:val="20"/>
              </w:rPr>
            </w:pPr>
            <w:bookmarkStart w:id="1429" w:name="lt_pId707"/>
            <w:r w:rsidRPr="00F935E7">
              <w:rPr>
                <w:rFonts w:cs="Arial"/>
                <w:szCs w:val="20"/>
              </w:rPr>
              <w:t>R.9</w:t>
            </w:r>
            <w:bookmarkEnd w:id="1429"/>
          </w:p>
        </w:tc>
        <w:tc>
          <w:tcPr>
            <w:tcW w:w="7573" w:type="dxa"/>
            <w:tcBorders>
              <w:left w:val="single" w:sz="4" w:space="0" w:color="000000"/>
            </w:tcBorders>
            <w:shd w:val="clear" w:color="auto" w:fill="auto"/>
            <w:vAlign w:val="center"/>
          </w:tcPr>
          <w:p w14:paraId="1481E72F" w14:textId="77777777" w:rsidR="00DF5B08" w:rsidRPr="00F935E7" w:rsidRDefault="00DF5B08" w:rsidP="00A60A13">
            <w:pPr>
              <w:jc w:val="both"/>
              <w:rPr>
                <w:rFonts w:cs="Arial"/>
                <w:szCs w:val="20"/>
              </w:rPr>
            </w:pPr>
            <w:bookmarkStart w:id="1430" w:name="lt_pId708"/>
            <w:r w:rsidRPr="00F935E7">
              <w:rPr>
                <w:rFonts w:cs="Arial"/>
                <w:szCs w:val="20"/>
              </w:rPr>
              <w:t>Lois sur le secret professionnel des institutions financières</w:t>
            </w:r>
            <w:bookmarkEnd w:id="1430"/>
          </w:p>
        </w:tc>
      </w:tr>
      <w:tr w:rsidR="00DF5B08" w:rsidRPr="00776250" w14:paraId="3DA11565" w14:textId="77777777" w:rsidTr="00A60A13">
        <w:trPr>
          <w:trHeight w:val="255"/>
          <w:jc w:val="center"/>
        </w:trPr>
        <w:tc>
          <w:tcPr>
            <w:tcW w:w="1972" w:type="dxa"/>
            <w:tcBorders>
              <w:top w:val="nil"/>
              <w:bottom w:val="nil"/>
              <w:right w:val="single" w:sz="4" w:space="0" w:color="000000"/>
            </w:tcBorders>
            <w:shd w:val="clear" w:color="auto" w:fill="auto"/>
          </w:tcPr>
          <w:p w14:paraId="3C082C82" w14:textId="77777777" w:rsidR="00DF5B08" w:rsidRPr="00F935E7" w:rsidRDefault="00DF5B08" w:rsidP="00A60A13">
            <w:pPr>
              <w:jc w:val="both"/>
              <w:rPr>
                <w:rFonts w:cs="Arial"/>
                <w:szCs w:val="20"/>
              </w:rPr>
            </w:pPr>
            <w:bookmarkStart w:id="1431" w:name="lt_pId709"/>
            <w:r w:rsidRPr="00F935E7">
              <w:rPr>
                <w:rFonts w:cs="Arial"/>
                <w:szCs w:val="20"/>
              </w:rPr>
              <w:t>R.10</w:t>
            </w:r>
            <w:bookmarkEnd w:id="1431"/>
          </w:p>
        </w:tc>
        <w:tc>
          <w:tcPr>
            <w:tcW w:w="7573" w:type="dxa"/>
            <w:tcBorders>
              <w:left w:val="single" w:sz="4" w:space="0" w:color="000000"/>
            </w:tcBorders>
            <w:shd w:val="clear" w:color="auto" w:fill="auto"/>
            <w:vAlign w:val="center"/>
          </w:tcPr>
          <w:p w14:paraId="20A0386B" w14:textId="77777777" w:rsidR="00DF5B08" w:rsidRPr="00F935E7" w:rsidRDefault="00DF5B08" w:rsidP="00A60A13">
            <w:pPr>
              <w:jc w:val="both"/>
              <w:rPr>
                <w:rFonts w:cs="Arial"/>
                <w:szCs w:val="20"/>
              </w:rPr>
            </w:pPr>
            <w:bookmarkStart w:id="1432" w:name="lt_pId710"/>
            <w:r w:rsidRPr="00F935E7">
              <w:rPr>
                <w:rFonts w:cs="Arial"/>
                <w:szCs w:val="20"/>
              </w:rPr>
              <w:t>Devoir de vigilance à l’égard de la clientèle</w:t>
            </w:r>
            <w:bookmarkEnd w:id="1432"/>
          </w:p>
        </w:tc>
      </w:tr>
      <w:tr w:rsidR="00DF5B08" w:rsidRPr="00F935E7" w14:paraId="01BF8C2E" w14:textId="77777777" w:rsidTr="00A60A13">
        <w:trPr>
          <w:trHeight w:val="255"/>
          <w:jc w:val="center"/>
        </w:trPr>
        <w:tc>
          <w:tcPr>
            <w:tcW w:w="1972" w:type="dxa"/>
            <w:tcBorders>
              <w:top w:val="nil"/>
              <w:bottom w:val="nil"/>
              <w:right w:val="single" w:sz="4" w:space="0" w:color="000000"/>
            </w:tcBorders>
            <w:shd w:val="clear" w:color="auto" w:fill="auto"/>
          </w:tcPr>
          <w:p w14:paraId="67BEAA31" w14:textId="77777777" w:rsidR="00DF5B08" w:rsidRPr="00F935E7" w:rsidRDefault="00DF5B08" w:rsidP="00A60A13">
            <w:pPr>
              <w:jc w:val="both"/>
              <w:rPr>
                <w:rFonts w:cs="Arial"/>
                <w:szCs w:val="20"/>
              </w:rPr>
            </w:pPr>
            <w:bookmarkStart w:id="1433" w:name="lt_pId711"/>
            <w:r w:rsidRPr="00F935E7">
              <w:rPr>
                <w:rFonts w:cs="Arial"/>
                <w:szCs w:val="20"/>
              </w:rPr>
              <w:t>R.11</w:t>
            </w:r>
            <w:bookmarkEnd w:id="1433"/>
          </w:p>
        </w:tc>
        <w:tc>
          <w:tcPr>
            <w:tcW w:w="7573" w:type="dxa"/>
            <w:tcBorders>
              <w:left w:val="single" w:sz="4" w:space="0" w:color="000000"/>
            </w:tcBorders>
            <w:shd w:val="clear" w:color="auto" w:fill="auto"/>
            <w:vAlign w:val="center"/>
          </w:tcPr>
          <w:p w14:paraId="1894063A" w14:textId="77777777" w:rsidR="00DF5B08" w:rsidRPr="00F935E7" w:rsidRDefault="00DF5B08" w:rsidP="00A60A13">
            <w:pPr>
              <w:jc w:val="both"/>
              <w:rPr>
                <w:rFonts w:cs="Arial"/>
                <w:szCs w:val="20"/>
              </w:rPr>
            </w:pPr>
            <w:bookmarkStart w:id="1434" w:name="lt_pId712"/>
            <w:r w:rsidRPr="00F935E7">
              <w:rPr>
                <w:rFonts w:cs="Arial"/>
                <w:szCs w:val="20"/>
              </w:rPr>
              <w:t>Conservation des documents</w:t>
            </w:r>
            <w:bookmarkEnd w:id="1434"/>
            <w:r w:rsidRPr="00F935E7">
              <w:rPr>
                <w:rFonts w:cs="Arial"/>
                <w:szCs w:val="20"/>
              </w:rPr>
              <w:t xml:space="preserve"> </w:t>
            </w:r>
          </w:p>
        </w:tc>
      </w:tr>
      <w:tr w:rsidR="00DF5B08" w:rsidRPr="00F935E7" w14:paraId="4A75EE1A" w14:textId="77777777" w:rsidTr="00A60A13">
        <w:trPr>
          <w:trHeight w:val="255"/>
          <w:jc w:val="center"/>
        </w:trPr>
        <w:tc>
          <w:tcPr>
            <w:tcW w:w="1972" w:type="dxa"/>
            <w:tcBorders>
              <w:top w:val="nil"/>
              <w:bottom w:val="nil"/>
              <w:right w:val="single" w:sz="4" w:space="0" w:color="000000"/>
            </w:tcBorders>
            <w:shd w:val="clear" w:color="auto" w:fill="auto"/>
          </w:tcPr>
          <w:p w14:paraId="2C718187" w14:textId="77777777" w:rsidR="00DF5B08" w:rsidRPr="00F935E7" w:rsidRDefault="00DF5B08" w:rsidP="00A60A13">
            <w:pPr>
              <w:jc w:val="both"/>
              <w:rPr>
                <w:rFonts w:cs="Arial"/>
                <w:szCs w:val="20"/>
              </w:rPr>
            </w:pPr>
            <w:bookmarkStart w:id="1435" w:name="lt_pId713"/>
            <w:r w:rsidRPr="00F935E7">
              <w:rPr>
                <w:rFonts w:cs="Arial"/>
                <w:szCs w:val="20"/>
              </w:rPr>
              <w:t>R.12</w:t>
            </w:r>
            <w:bookmarkEnd w:id="1435"/>
          </w:p>
        </w:tc>
        <w:tc>
          <w:tcPr>
            <w:tcW w:w="7573" w:type="dxa"/>
            <w:tcBorders>
              <w:left w:val="single" w:sz="4" w:space="0" w:color="000000"/>
            </w:tcBorders>
            <w:shd w:val="clear" w:color="auto" w:fill="auto"/>
            <w:vAlign w:val="center"/>
          </w:tcPr>
          <w:p w14:paraId="1982D018" w14:textId="77777777" w:rsidR="00DF5B08" w:rsidRPr="00F935E7" w:rsidRDefault="00DF5B08" w:rsidP="00A60A13">
            <w:pPr>
              <w:jc w:val="both"/>
              <w:rPr>
                <w:rFonts w:cs="Arial"/>
                <w:szCs w:val="20"/>
              </w:rPr>
            </w:pPr>
            <w:bookmarkStart w:id="1436" w:name="lt_pId714"/>
            <w:r w:rsidRPr="00F935E7">
              <w:rPr>
                <w:rFonts w:cs="Arial"/>
                <w:szCs w:val="20"/>
              </w:rPr>
              <w:t>Personnes politiquement exposées</w:t>
            </w:r>
            <w:bookmarkEnd w:id="1436"/>
          </w:p>
        </w:tc>
      </w:tr>
      <w:tr w:rsidR="00DF5B08" w:rsidRPr="00F935E7" w14:paraId="47F6790A" w14:textId="77777777" w:rsidTr="00A60A13">
        <w:trPr>
          <w:trHeight w:val="255"/>
          <w:jc w:val="center"/>
        </w:trPr>
        <w:tc>
          <w:tcPr>
            <w:tcW w:w="1972" w:type="dxa"/>
            <w:tcBorders>
              <w:top w:val="nil"/>
              <w:bottom w:val="nil"/>
              <w:right w:val="single" w:sz="4" w:space="0" w:color="000000"/>
            </w:tcBorders>
            <w:shd w:val="clear" w:color="auto" w:fill="auto"/>
          </w:tcPr>
          <w:p w14:paraId="293C3CEE" w14:textId="77777777" w:rsidR="00DF5B08" w:rsidRPr="00F935E7" w:rsidRDefault="00DF5B08" w:rsidP="00A60A13">
            <w:pPr>
              <w:jc w:val="both"/>
              <w:rPr>
                <w:rFonts w:cs="Arial"/>
                <w:szCs w:val="20"/>
              </w:rPr>
            </w:pPr>
            <w:bookmarkStart w:id="1437" w:name="lt_pId715"/>
            <w:r w:rsidRPr="00F935E7">
              <w:rPr>
                <w:rFonts w:cs="Arial"/>
                <w:szCs w:val="20"/>
              </w:rPr>
              <w:t>R.13</w:t>
            </w:r>
            <w:bookmarkEnd w:id="1437"/>
          </w:p>
        </w:tc>
        <w:tc>
          <w:tcPr>
            <w:tcW w:w="7573" w:type="dxa"/>
            <w:tcBorders>
              <w:left w:val="single" w:sz="4" w:space="0" w:color="000000"/>
            </w:tcBorders>
            <w:shd w:val="clear" w:color="auto" w:fill="auto"/>
            <w:vAlign w:val="center"/>
          </w:tcPr>
          <w:p w14:paraId="06FA3601" w14:textId="77777777" w:rsidR="00DF5B08" w:rsidRPr="00F935E7" w:rsidRDefault="00DF5B08" w:rsidP="00A60A13">
            <w:pPr>
              <w:jc w:val="both"/>
              <w:rPr>
                <w:rFonts w:cs="Arial"/>
                <w:szCs w:val="20"/>
              </w:rPr>
            </w:pPr>
            <w:bookmarkStart w:id="1438" w:name="lt_pId716"/>
            <w:r w:rsidRPr="00F935E7">
              <w:rPr>
                <w:rFonts w:cs="Arial"/>
                <w:szCs w:val="20"/>
              </w:rPr>
              <w:t>Correspondance bancaire</w:t>
            </w:r>
            <w:bookmarkEnd w:id="1438"/>
          </w:p>
        </w:tc>
      </w:tr>
      <w:tr w:rsidR="00DF5B08" w:rsidRPr="00776250" w14:paraId="5A978E0B" w14:textId="77777777" w:rsidTr="00A60A13">
        <w:trPr>
          <w:trHeight w:val="255"/>
          <w:jc w:val="center"/>
        </w:trPr>
        <w:tc>
          <w:tcPr>
            <w:tcW w:w="1972" w:type="dxa"/>
            <w:tcBorders>
              <w:top w:val="nil"/>
              <w:bottom w:val="nil"/>
              <w:right w:val="single" w:sz="4" w:space="0" w:color="000000"/>
            </w:tcBorders>
            <w:shd w:val="clear" w:color="auto" w:fill="auto"/>
          </w:tcPr>
          <w:p w14:paraId="558E42B5" w14:textId="77777777" w:rsidR="00DF5B08" w:rsidRPr="00F935E7" w:rsidRDefault="00DF5B08" w:rsidP="00A60A13">
            <w:pPr>
              <w:jc w:val="both"/>
              <w:rPr>
                <w:rFonts w:cs="Arial"/>
                <w:szCs w:val="20"/>
              </w:rPr>
            </w:pPr>
            <w:bookmarkStart w:id="1439" w:name="lt_pId717"/>
            <w:r w:rsidRPr="00F935E7">
              <w:rPr>
                <w:rFonts w:cs="Arial"/>
                <w:szCs w:val="20"/>
              </w:rPr>
              <w:t>R.14</w:t>
            </w:r>
            <w:bookmarkEnd w:id="1439"/>
          </w:p>
        </w:tc>
        <w:tc>
          <w:tcPr>
            <w:tcW w:w="7573" w:type="dxa"/>
            <w:tcBorders>
              <w:left w:val="single" w:sz="4" w:space="0" w:color="000000"/>
            </w:tcBorders>
            <w:shd w:val="clear" w:color="auto" w:fill="auto"/>
            <w:vAlign w:val="center"/>
          </w:tcPr>
          <w:p w14:paraId="4DA1FDEF" w14:textId="77777777" w:rsidR="00DF5B08" w:rsidRPr="00F935E7" w:rsidRDefault="00DF5B08" w:rsidP="00A60A13">
            <w:pPr>
              <w:jc w:val="both"/>
              <w:rPr>
                <w:rFonts w:cs="Arial"/>
                <w:szCs w:val="20"/>
              </w:rPr>
            </w:pPr>
            <w:bookmarkStart w:id="1440" w:name="lt_pId718"/>
            <w:r w:rsidRPr="00F935E7">
              <w:rPr>
                <w:rFonts w:cs="Arial"/>
                <w:szCs w:val="20"/>
              </w:rPr>
              <w:t>Services de transmission de fonds ou de valeurs</w:t>
            </w:r>
            <w:bookmarkEnd w:id="1440"/>
          </w:p>
        </w:tc>
      </w:tr>
      <w:tr w:rsidR="00DF5B08" w:rsidRPr="00F935E7" w14:paraId="3C426EB7" w14:textId="77777777" w:rsidTr="00A60A13">
        <w:trPr>
          <w:trHeight w:val="255"/>
          <w:jc w:val="center"/>
        </w:trPr>
        <w:tc>
          <w:tcPr>
            <w:tcW w:w="1972" w:type="dxa"/>
            <w:tcBorders>
              <w:top w:val="nil"/>
              <w:bottom w:val="nil"/>
              <w:right w:val="single" w:sz="4" w:space="0" w:color="000000"/>
            </w:tcBorders>
            <w:shd w:val="clear" w:color="auto" w:fill="auto"/>
          </w:tcPr>
          <w:p w14:paraId="03311C22" w14:textId="77777777" w:rsidR="00DF5B08" w:rsidRPr="00F935E7" w:rsidRDefault="00DF5B08" w:rsidP="00A60A13">
            <w:pPr>
              <w:jc w:val="both"/>
              <w:rPr>
                <w:rFonts w:cs="Arial"/>
                <w:szCs w:val="20"/>
              </w:rPr>
            </w:pPr>
            <w:bookmarkStart w:id="1441" w:name="lt_pId719"/>
            <w:r w:rsidRPr="00F935E7">
              <w:rPr>
                <w:rFonts w:cs="Arial"/>
                <w:szCs w:val="20"/>
              </w:rPr>
              <w:t>R.15</w:t>
            </w:r>
            <w:bookmarkEnd w:id="1441"/>
          </w:p>
        </w:tc>
        <w:tc>
          <w:tcPr>
            <w:tcW w:w="7573" w:type="dxa"/>
            <w:tcBorders>
              <w:left w:val="single" w:sz="4" w:space="0" w:color="000000"/>
            </w:tcBorders>
            <w:shd w:val="clear" w:color="auto" w:fill="auto"/>
            <w:vAlign w:val="center"/>
          </w:tcPr>
          <w:p w14:paraId="0E10F98E" w14:textId="77777777" w:rsidR="00DF5B08" w:rsidRPr="00F935E7" w:rsidRDefault="00DF5B08" w:rsidP="00A60A13">
            <w:pPr>
              <w:jc w:val="both"/>
              <w:rPr>
                <w:rFonts w:cs="Arial"/>
                <w:szCs w:val="20"/>
              </w:rPr>
            </w:pPr>
            <w:bookmarkStart w:id="1442" w:name="lt_pId720"/>
            <w:r w:rsidRPr="00F935E7">
              <w:rPr>
                <w:rFonts w:cs="Arial"/>
                <w:szCs w:val="20"/>
              </w:rPr>
              <w:t>Nouvelles technologies</w:t>
            </w:r>
            <w:bookmarkEnd w:id="1442"/>
          </w:p>
        </w:tc>
      </w:tr>
      <w:tr w:rsidR="00DF5B08" w:rsidRPr="00F935E7" w14:paraId="0B4944B3" w14:textId="77777777" w:rsidTr="00A60A13">
        <w:trPr>
          <w:trHeight w:val="255"/>
          <w:jc w:val="center"/>
        </w:trPr>
        <w:tc>
          <w:tcPr>
            <w:tcW w:w="1972" w:type="dxa"/>
            <w:tcBorders>
              <w:top w:val="nil"/>
              <w:bottom w:val="nil"/>
              <w:right w:val="single" w:sz="4" w:space="0" w:color="000000"/>
            </w:tcBorders>
            <w:shd w:val="clear" w:color="auto" w:fill="auto"/>
          </w:tcPr>
          <w:p w14:paraId="5B9E40D0" w14:textId="77777777" w:rsidR="00DF5B08" w:rsidRPr="00F935E7" w:rsidRDefault="00DF5B08" w:rsidP="00A60A13">
            <w:pPr>
              <w:jc w:val="both"/>
              <w:rPr>
                <w:rFonts w:cs="Arial"/>
                <w:szCs w:val="20"/>
              </w:rPr>
            </w:pPr>
            <w:bookmarkStart w:id="1443" w:name="lt_pId721"/>
            <w:r w:rsidRPr="00F935E7">
              <w:rPr>
                <w:rFonts w:cs="Arial"/>
                <w:szCs w:val="20"/>
              </w:rPr>
              <w:t>R.16</w:t>
            </w:r>
            <w:bookmarkEnd w:id="1443"/>
          </w:p>
        </w:tc>
        <w:tc>
          <w:tcPr>
            <w:tcW w:w="7573" w:type="dxa"/>
            <w:tcBorders>
              <w:left w:val="single" w:sz="4" w:space="0" w:color="000000"/>
            </w:tcBorders>
            <w:shd w:val="clear" w:color="auto" w:fill="auto"/>
            <w:vAlign w:val="center"/>
          </w:tcPr>
          <w:p w14:paraId="61295FB3" w14:textId="77777777" w:rsidR="00DF5B08" w:rsidRPr="00F935E7" w:rsidRDefault="00DF5B08" w:rsidP="00A60A13">
            <w:pPr>
              <w:jc w:val="both"/>
              <w:rPr>
                <w:rFonts w:cs="Arial"/>
                <w:szCs w:val="20"/>
              </w:rPr>
            </w:pPr>
            <w:bookmarkStart w:id="1444" w:name="lt_pId722"/>
            <w:r w:rsidRPr="00F935E7">
              <w:rPr>
                <w:rFonts w:cs="Arial"/>
                <w:szCs w:val="20"/>
              </w:rPr>
              <w:t>Virements électroniques</w:t>
            </w:r>
            <w:bookmarkEnd w:id="1444"/>
          </w:p>
        </w:tc>
      </w:tr>
      <w:tr w:rsidR="00DF5B08" w:rsidRPr="00F935E7" w14:paraId="2CD9B34E" w14:textId="77777777" w:rsidTr="00A60A13">
        <w:trPr>
          <w:trHeight w:val="255"/>
          <w:jc w:val="center"/>
        </w:trPr>
        <w:tc>
          <w:tcPr>
            <w:tcW w:w="1972" w:type="dxa"/>
            <w:tcBorders>
              <w:top w:val="nil"/>
              <w:bottom w:val="nil"/>
              <w:right w:val="single" w:sz="4" w:space="0" w:color="000000"/>
            </w:tcBorders>
            <w:shd w:val="clear" w:color="auto" w:fill="auto"/>
          </w:tcPr>
          <w:p w14:paraId="14DD455F" w14:textId="77777777" w:rsidR="00DF5B08" w:rsidRPr="00F935E7" w:rsidRDefault="00DF5B08" w:rsidP="00A60A13">
            <w:pPr>
              <w:jc w:val="both"/>
              <w:rPr>
                <w:rFonts w:cs="Arial"/>
                <w:szCs w:val="20"/>
              </w:rPr>
            </w:pPr>
            <w:bookmarkStart w:id="1445" w:name="lt_pId723"/>
            <w:r w:rsidRPr="00F935E7">
              <w:rPr>
                <w:rFonts w:cs="Arial"/>
                <w:szCs w:val="20"/>
              </w:rPr>
              <w:t>R.17</w:t>
            </w:r>
            <w:bookmarkEnd w:id="1445"/>
          </w:p>
        </w:tc>
        <w:tc>
          <w:tcPr>
            <w:tcW w:w="7573" w:type="dxa"/>
            <w:tcBorders>
              <w:left w:val="single" w:sz="4" w:space="0" w:color="000000"/>
            </w:tcBorders>
            <w:shd w:val="clear" w:color="auto" w:fill="auto"/>
            <w:vAlign w:val="center"/>
          </w:tcPr>
          <w:p w14:paraId="07BB05C9" w14:textId="77777777" w:rsidR="00DF5B08" w:rsidRPr="00F935E7" w:rsidRDefault="00DF5B08" w:rsidP="00A60A13">
            <w:pPr>
              <w:jc w:val="both"/>
              <w:rPr>
                <w:rFonts w:cs="Arial"/>
                <w:szCs w:val="20"/>
              </w:rPr>
            </w:pPr>
            <w:bookmarkStart w:id="1446" w:name="lt_pId724"/>
            <w:r w:rsidRPr="00F935E7">
              <w:rPr>
                <w:rFonts w:cs="Arial"/>
                <w:szCs w:val="20"/>
              </w:rPr>
              <w:t>Recours à des tiers</w:t>
            </w:r>
            <w:bookmarkEnd w:id="1446"/>
          </w:p>
        </w:tc>
      </w:tr>
      <w:tr w:rsidR="00DF5B08" w:rsidRPr="00776250" w14:paraId="2BBBBFDE" w14:textId="77777777" w:rsidTr="00A60A13">
        <w:trPr>
          <w:trHeight w:val="255"/>
          <w:jc w:val="center"/>
        </w:trPr>
        <w:tc>
          <w:tcPr>
            <w:tcW w:w="1972" w:type="dxa"/>
            <w:tcBorders>
              <w:top w:val="nil"/>
              <w:bottom w:val="nil"/>
              <w:right w:val="single" w:sz="4" w:space="0" w:color="000000"/>
            </w:tcBorders>
            <w:shd w:val="clear" w:color="auto" w:fill="auto"/>
          </w:tcPr>
          <w:p w14:paraId="36C09586" w14:textId="77777777" w:rsidR="00DF5B08" w:rsidRPr="00F935E7" w:rsidRDefault="00DF5B08" w:rsidP="00A60A13">
            <w:pPr>
              <w:jc w:val="both"/>
              <w:rPr>
                <w:rFonts w:cs="Arial"/>
                <w:szCs w:val="20"/>
              </w:rPr>
            </w:pPr>
            <w:bookmarkStart w:id="1447" w:name="lt_pId725"/>
            <w:r w:rsidRPr="00F935E7">
              <w:rPr>
                <w:rFonts w:cs="Arial"/>
                <w:szCs w:val="20"/>
              </w:rPr>
              <w:t>R.18</w:t>
            </w:r>
            <w:bookmarkEnd w:id="1447"/>
          </w:p>
        </w:tc>
        <w:tc>
          <w:tcPr>
            <w:tcW w:w="7573" w:type="dxa"/>
            <w:tcBorders>
              <w:left w:val="single" w:sz="4" w:space="0" w:color="000000"/>
            </w:tcBorders>
            <w:shd w:val="clear" w:color="auto" w:fill="auto"/>
            <w:vAlign w:val="center"/>
          </w:tcPr>
          <w:p w14:paraId="1534F586" w14:textId="77777777" w:rsidR="00DF5B08" w:rsidRPr="00F935E7" w:rsidRDefault="00DF5B08" w:rsidP="00A60A13">
            <w:pPr>
              <w:jc w:val="both"/>
              <w:rPr>
                <w:rFonts w:cs="Arial"/>
                <w:szCs w:val="20"/>
              </w:rPr>
            </w:pPr>
            <w:bookmarkStart w:id="1448" w:name="lt_pId726"/>
            <w:r w:rsidRPr="00F935E7">
              <w:rPr>
                <w:rFonts w:cs="Arial"/>
                <w:szCs w:val="20"/>
              </w:rPr>
              <w:t>Contrôles internes et filiales et succursales à l’étranger</w:t>
            </w:r>
            <w:bookmarkEnd w:id="1448"/>
          </w:p>
        </w:tc>
      </w:tr>
      <w:tr w:rsidR="00DF5B08" w:rsidRPr="00776250" w14:paraId="7900903C" w14:textId="77777777" w:rsidTr="00A60A13">
        <w:trPr>
          <w:trHeight w:val="255"/>
          <w:jc w:val="center"/>
        </w:trPr>
        <w:tc>
          <w:tcPr>
            <w:tcW w:w="1972" w:type="dxa"/>
            <w:tcBorders>
              <w:top w:val="nil"/>
              <w:bottom w:val="nil"/>
              <w:right w:val="single" w:sz="4" w:space="0" w:color="000000"/>
            </w:tcBorders>
            <w:shd w:val="clear" w:color="auto" w:fill="auto"/>
          </w:tcPr>
          <w:p w14:paraId="5CBC653D" w14:textId="77777777" w:rsidR="00DF5B08" w:rsidRPr="00F935E7" w:rsidRDefault="00DF5B08" w:rsidP="00A60A13">
            <w:pPr>
              <w:jc w:val="both"/>
              <w:rPr>
                <w:rFonts w:cs="Arial"/>
                <w:szCs w:val="20"/>
              </w:rPr>
            </w:pPr>
            <w:bookmarkStart w:id="1449" w:name="lt_pId727"/>
            <w:r w:rsidRPr="00F935E7">
              <w:rPr>
                <w:rFonts w:cs="Arial"/>
                <w:szCs w:val="20"/>
              </w:rPr>
              <w:t>R.19</w:t>
            </w:r>
            <w:bookmarkEnd w:id="1449"/>
          </w:p>
        </w:tc>
        <w:tc>
          <w:tcPr>
            <w:tcW w:w="7573" w:type="dxa"/>
            <w:tcBorders>
              <w:left w:val="single" w:sz="4" w:space="0" w:color="000000"/>
            </w:tcBorders>
            <w:shd w:val="clear" w:color="auto" w:fill="auto"/>
            <w:vAlign w:val="center"/>
          </w:tcPr>
          <w:p w14:paraId="4284BAD7" w14:textId="77777777" w:rsidR="00DF5B08" w:rsidRPr="00F935E7" w:rsidRDefault="00DF5B08" w:rsidP="00A60A13">
            <w:pPr>
              <w:jc w:val="both"/>
              <w:rPr>
                <w:rFonts w:cs="Arial"/>
                <w:szCs w:val="20"/>
              </w:rPr>
            </w:pPr>
            <w:bookmarkStart w:id="1450" w:name="lt_pId728"/>
            <w:r w:rsidRPr="00F935E7">
              <w:rPr>
                <w:rFonts w:cs="Arial"/>
                <w:szCs w:val="20"/>
              </w:rPr>
              <w:t>Pays présentant un risque plus élevé</w:t>
            </w:r>
            <w:bookmarkEnd w:id="1450"/>
          </w:p>
        </w:tc>
      </w:tr>
      <w:tr w:rsidR="00DF5B08" w:rsidRPr="00F935E7" w14:paraId="4857F9DF" w14:textId="77777777" w:rsidTr="00A60A13">
        <w:trPr>
          <w:trHeight w:val="255"/>
          <w:jc w:val="center"/>
        </w:trPr>
        <w:tc>
          <w:tcPr>
            <w:tcW w:w="1972" w:type="dxa"/>
            <w:tcBorders>
              <w:top w:val="nil"/>
              <w:bottom w:val="nil"/>
              <w:right w:val="single" w:sz="4" w:space="0" w:color="000000"/>
            </w:tcBorders>
            <w:shd w:val="clear" w:color="auto" w:fill="auto"/>
          </w:tcPr>
          <w:p w14:paraId="25AA4E9A" w14:textId="77777777" w:rsidR="00DF5B08" w:rsidRPr="00F935E7" w:rsidRDefault="00DF5B08" w:rsidP="00A60A13">
            <w:pPr>
              <w:jc w:val="both"/>
              <w:rPr>
                <w:rFonts w:cs="Arial"/>
                <w:szCs w:val="20"/>
              </w:rPr>
            </w:pPr>
            <w:bookmarkStart w:id="1451" w:name="lt_pId729"/>
            <w:r w:rsidRPr="00F935E7">
              <w:rPr>
                <w:rFonts w:cs="Arial"/>
                <w:szCs w:val="20"/>
              </w:rPr>
              <w:t>R.20</w:t>
            </w:r>
            <w:bookmarkEnd w:id="1451"/>
          </w:p>
        </w:tc>
        <w:tc>
          <w:tcPr>
            <w:tcW w:w="7573" w:type="dxa"/>
            <w:tcBorders>
              <w:left w:val="single" w:sz="4" w:space="0" w:color="000000"/>
            </w:tcBorders>
            <w:shd w:val="clear" w:color="auto" w:fill="auto"/>
            <w:vAlign w:val="center"/>
          </w:tcPr>
          <w:p w14:paraId="119626B7" w14:textId="77777777" w:rsidR="00DF5B08" w:rsidRPr="00F935E7" w:rsidRDefault="00DF5B08" w:rsidP="00A60A13">
            <w:pPr>
              <w:jc w:val="both"/>
              <w:rPr>
                <w:rFonts w:cs="Arial"/>
                <w:szCs w:val="20"/>
              </w:rPr>
            </w:pPr>
            <w:bookmarkStart w:id="1452" w:name="lt_pId730"/>
            <w:r w:rsidRPr="00F935E7">
              <w:rPr>
                <w:rFonts w:cs="Arial"/>
                <w:szCs w:val="20"/>
              </w:rPr>
              <w:t>Déclaration d’opérations suspectes</w:t>
            </w:r>
            <w:bookmarkEnd w:id="1452"/>
          </w:p>
        </w:tc>
      </w:tr>
      <w:tr w:rsidR="00DF5B08" w:rsidRPr="00776250" w14:paraId="1B2119A1" w14:textId="77777777" w:rsidTr="00A60A13">
        <w:trPr>
          <w:trHeight w:val="255"/>
          <w:jc w:val="center"/>
        </w:trPr>
        <w:tc>
          <w:tcPr>
            <w:tcW w:w="1972" w:type="dxa"/>
            <w:tcBorders>
              <w:top w:val="nil"/>
              <w:bottom w:val="nil"/>
              <w:right w:val="single" w:sz="4" w:space="0" w:color="000000"/>
            </w:tcBorders>
            <w:shd w:val="clear" w:color="auto" w:fill="auto"/>
          </w:tcPr>
          <w:p w14:paraId="7219AD1C" w14:textId="77777777" w:rsidR="00DF5B08" w:rsidRPr="00F935E7" w:rsidRDefault="00DF5B08" w:rsidP="00A60A13">
            <w:pPr>
              <w:jc w:val="both"/>
              <w:rPr>
                <w:rFonts w:cs="Arial"/>
                <w:szCs w:val="20"/>
              </w:rPr>
            </w:pPr>
            <w:bookmarkStart w:id="1453" w:name="lt_pId731"/>
            <w:r w:rsidRPr="00F935E7">
              <w:rPr>
                <w:rFonts w:cs="Arial"/>
                <w:szCs w:val="20"/>
              </w:rPr>
              <w:t>R.21</w:t>
            </w:r>
            <w:bookmarkEnd w:id="1453"/>
          </w:p>
        </w:tc>
        <w:tc>
          <w:tcPr>
            <w:tcW w:w="7573" w:type="dxa"/>
            <w:tcBorders>
              <w:left w:val="single" w:sz="4" w:space="0" w:color="000000"/>
            </w:tcBorders>
            <w:shd w:val="clear" w:color="auto" w:fill="auto"/>
            <w:vAlign w:val="center"/>
          </w:tcPr>
          <w:p w14:paraId="5E1307DA" w14:textId="77777777" w:rsidR="00DF5B08" w:rsidRPr="00F935E7" w:rsidRDefault="00DF5B08" w:rsidP="00A60A13">
            <w:pPr>
              <w:jc w:val="both"/>
              <w:rPr>
                <w:rFonts w:cs="Arial"/>
                <w:szCs w:val="20"/>
              </w:rPr>
            </w:pPr>
            <w:bookmarkStart w:id="1454" w:name="lt_pId732"/>
            <w:r w:rsidRPr="00F935E7">
              <w:rPr>
                <w:rFonts w:cs="Arial"/>
                <w:szCs w:val="20"/>
              </w:rPr>
              <w:t>Interdiction d’avertir le client et confidentialité</w:t>
            </w:r>
            <w:bookmarkEnd w:id="1454"/>
          </w:p>
        </w:tc>
      </w:tr>
      <w:tr w:rsidR="00DF5B08" w:rsidRPr="00776250" w14:paraId="7BECADBA" w14:textId="77777777" w:rsidTr="00A60A13">
        <w:trPr>
          <w:trHeight w:val="255"/>
          <w:jc w:val="center"/>
        </w:trPr>
        <w:tc>
          <w:tcPr>
            <w:tcW w:w="1972" w:type="dxa"/>
            <w:tcBorders>
              <w:top w:val="nil"/>
              <w:bottom w:val="nil"/>
              <w:right w:val="single" w:sz="4" w:space="0" w:color="000000"/>
            </w:tcBorders>
            <w:shd w:val="clear" w:color="auto" w:fill="auto"/>
          </w:tcPr>
          <w:p w14:paraId="5FE0EA63" w14:textId="77777777" w:rsidR="00DF5B08" w:rsidRPr="00F935E7" w:rsidRDefault="00DF5B08" w:rsidP="00A60A13">
            <w:pPr>
              <w:jc w:val="both"/>
              <w:rPr>
                <w:rFonts w:cs="Arial"/>
                <w:szCs w:val="20"/>
              </w:rPr>
            </w:pPr>
            <w:bookmarkStart w:id="1455" w:name="lt_pId733"/>
            <w:r w:rsidRPr="00F935E7">
              <w:rPr>
                <w:rFonts w:cs="Arial"/>
                <w:szCs w:val="20"/>
              </w:rPr>
              <w:t>R.22</w:t>
            </w:r>
            <w:bookmarkEnd w:id="1455"/>
          </w:p>
        </w:tc>
        <w:tc>
          <w:tcPr>
            <w:tcW w:w="7573" w:type="dxa"/>
            <w:tcBorders>
              <w:left w:val="single" w:sz="4" w:space="0" w:color="000000"/>
            </w:tcBorders>
            <w:shd w:val="clear" w:color="auto" w:fill="auto"/>
            <w:vAlign w:val="center"/>
          </w:tcPr>
          <w:p w14:paraId="528CBAF2" w14:textId="77777777" w:rsidR="00DF5B08" w:rsidRPr="00F935E7" w:rsidRDefault="00DF5B08" w:rsidP="00A60A13">
            <w:pPr>
              <w:jc w:val="both"/>
              <w:rPr>
                <w:rFonts w:cs="Arial"/>
                <w:szCs w:val="20"/>
              </w:rPr>
            </w:pPr>
            <w:bookmarkStart w:id="1456" w:name="lt_pId734"/>
            <w:r w:rsidRPr="00F935E7">
              <w:rPr>
                <w:rFonts w:cs="Arial"/>
                <w:szCs w:val="20"/>
              </w:rPr>
              <w:t>EPNFD : Devoir de vigilance à l’égard de la clientèle</w:t>
            </w:r>
            <w:bookmarkEnd w:id="1456"/>
          </w:p>
        </w:tc>
      </w:tr>
      <w:tr w:rsidR="00DF5B08" w:rsidRPr="00F935E7" w14:paraId="3A24DCC4" w14:textId="77777777" w:rsidTr="00A60A13">
        <w:trPr>
          <w:trHeight w:val="255"/>
          <w:jc w:val="center"/>
        </w:trPr>
        <w:tc>
          <w:tcPr>
            <w:tcW w:w="1972" w:type="dxa"/>
            <w:tcBorders>
              <w:top w:val="nil"/>
              <w:bottom w:val="nil"/>
              <w:right w:val="single" w:sz="4" w:space="0" w:color="000000"/>
            </w:tcBorders>
            <w:shd w:val="clear" w:color="auto" w:fill="auto"/>
          </w:tcPr>
          <w:p w14:paraId="41D1B447" w14:textId="77777777" w:rsidR="00DF5B08" w:rsidRPr="00F935E7" w:rsidRDefault="00DF5B08" w:rsidP="00A60A13">
            <w:pPr>
              <w:jc w:val="both"/>
              <w:rPr>
                <w:rFonts w:cs="Arial"/>
                <w:szCs w:val="20"/>
              </w:rPr>
            </w:pPr>
            <w:bookmarkStart w:id="1457" w:name="lt_pId735"/>
            <w:r w:rsidRPr="00F935E7">
              <w:rPr>
                <w:rFonts w:cs="Arial"/>
                <w:szCs w:val="20"/>
              </w:rPr>
              <w:t>R.23</w:t>
            </w:r>
            <w:bookmarkEnd w:id="1457"/>
          </w:p>
        </w:tc>
        <w:tc>
          <w:tcPr>
            <w:tcW w:w="7573" w:type="dxa"/>
            <w:tcBorders>
              <w:left w:val="single" w:sz="4" w:space="0" w:color="000000"/>
            </w:tcBorders>
            <w:shd w:val="clear" w:color="auto" w:fill="auto"/>
            <w:vAlign w:val="center"/>
          </w:tcPr>
          <w:p w14:paraId="24FDDD70" w14:textId="77777777" w:rsidR="00DF5B08" w:rsidRPr="00F935E7" w:rsidRDefault="00DF5B08" w:rsidP="00A60A13">
            <w:pPr>
              <w:jc w:val="both"/>
              <w:rPr>
                <w:rFonts w:cs="Arial"/>
                <w:szCs w:val="20"/>
              </w:rPr>
            </w:pPr>
            <w:bookmarkStart w:id="1458" w:name="lt_pId736"/>
            <w:r w:rsidRPr="00F935E7">
              <w:rPr>
                <w:rFonts w:cs="Arial"/>
                <w:szCs w:val="20"/>
              </w:rPr>
              <w:t>EPNFD : Autres mesures</w:t>
            </w:r>
            <w:bookmarkEnd w:id="1458"/>
          </w:p>
        </w:tc>
      </w:tr>
      <w:tr w:rsidR="00DF5B08" w:rsidRPr="00776250" w14:paraId="3B72954B" w14:textId="77777777" w:rsidTr="00A60A13">
        <w:trPr>
          <w:trHeight w:val="255"/>
          <w:jc w:val="center"/>
        </w:trPr>
        <w:tc>
          <w:tcPr>
            <w:tcW w:w="1972" w:type="dxa"/>
            <w:tcBorders>
              <w:top w:val="nil"/>
              <w:bottom w:val="nil"/>
              <w:right w:val="single" w:sz="4" w:space="0" w:color="000000"/>
            </w:tcBorders>
            <w:shd w:val="clear" w:color="auto" w:fill="auto"/>
          </w:tcPr>
          <w:p w14:paraId="33362531" w14:textId="77777777" w:rsidR="00DF5B08" w:rsidRPr="00F935E7" w:rsidRDefault="00DF5B08" w:rsidP="00A60A13">
            <w:pPr>
              <w:jc w:val="both"/>
              <w:rPr>
                <w:rFonts w:cs="Arial"/>
                <w:szCs w:val="20"/>
              </w:rPr>
            </w:pPr>
            <w:bookmarkStart w:id="1459" w:name="lt_pId737"/>
            <w:r w:rsidRPr="00F935E7">
              <w:rPr>
                <w:rFonts w:cs="Arial"/>
                <w:szCs w:val="20"/>
              </w:rPr>
              <w:t>R.24</w:t>
            </w:r>
            <w:bookmarkEnd w:id="1459"/>
          </w:p>
        </w:tc>
        <w:tc>
          <w:tcPr>
            <w:tcW w:w="7573" w:type="dxa"/>
            <w:tcBorders>
              <w:left w:val="single" w:sz="4" w:space="0" w:color="000000"/>
            </w:tcBorders>
            <w:shd w:val="clear" w:color="auto" w:fill="auto"/>
            <w:vAlign w:val="center"/>
          </w:tcPr>
          <w:p w14:paraId="3F3DA869" w14:textId="77777777" w:rsidR="00DF5B08" w:rsidRPr="00F935E7" w:rsidRDefault="00DF5B08" w:rsidP="00A60A13">
            <w:pPr>
              <w:jc w:val="both"/>
              <w:rPr>
                <w:rFonts w:cs="Arial"/>
                <w:szCs w:val="20"/>
              </w:rPr>
            </w:pPr>
            <w:bookmarkStart w:id="1460" w:name="lt_pId738"/>
            <w:r w:rsidRPr="00F935E7">
              <w:rPr>
                <w:rFonts w:cs="Arial"/>
                <w:szCs w:val="20"/>
              </w:rPr>
              <w:t>Personnes morales — transparence et bénéficiaires effectifs</w:t>
            </w:r>
            <w:bookmarkEnd w:id="1460"/>
          </w:p>
        </w:tc>
      </w:tr>
      <w:tr w:rsidR="00DF5B08" w:rsidRPr="00776250" w14:paraId="12F6DA01" w14:textId="77777777" w:rsidTr="00A60A13">
        <w:trPr>
          <w:trHeight w:val="255"/>
          <w:jc w:val="center"/>
        </w:trPr>
        <w:tc>
          <w:tcPr>
            <w:tcW w:w="1972" w:type="dxa"/>
            <w:tcBorders>
              <w:top w:val="nil"/>
              <w:bottom w:val="nil"/>
              <w:right w:val="single" w:sz="4" w:space="0" w:color="000000"/>
            </w:tcBorders>
            <w:shd w:val="clear" w:color="auto" w:fill="auto"/>
          </w:tcPr>
          <w:p w14:paraId="35D62D39" w14:textId="77777777" w:rsidR="00DF5B08" w:rsidRPr="00F935E7" w:rsidRDefault="00DF5B08" w:rsidP="00A60A13">
            <w:pPr>
              <w:jc w:val="both"/>
              <w:rPr>
                <w:rFonts w:cs="Arial"/>
                <w:szCs w:val="20"/>
              </w:rPr>
            </w:pPr>
            <w:bookmarkStart w:id="1461" w:name="lt_pId739"/>
            <w:r w:rsidRPr="00F935E7">
              <w:rPr>
                <w:rFonts w:cs="Arial"/>
                <w:szCs w:val="20"/>
              </w:rPr>
              <w:t>R.25</w:t>
            </w:r>
            <w:bookmarkEnd w:id="1461"/>
          </w:p>
        </w:tc>
        <w:tc>
          <w:tcPr>
            <w:tcW w:w="7573" w:type="dxa"/>
            <w:tcBorders>
              <w:left w:val="single" w:sz="4" w:space="0" w:color="000000"/>
            </w:tcBorders>
            <w:shd w:val="clear" w:color="auto" w:fill="auto"/>
            <w:vAlign w:val="center"/>
          </w:tcPr>
          <w:p w14:paraId="7491A86A" w14:textId="77777777" w:rsidR="00DF5B08" w:rsidRPr="00F935E7" w:rsidRDefault="00DF5B08" w:rsidP="00A60A13">
            <w:pPr>
              <w:jc w:val="both"/>
              <w:rPr>
                <w:rFonts w:cs="Arial"/>
                <w:szCs w:val="20"/>
              </w:rPr>
            </w:pPr>
            <w:bookmarkStart w:id="1462" w:name="lt_pId740"/>
            <w:r w:rsidRPr="00F935E7">
              <w:rPr>
                <w:rFonts w:cs="Arial"/>
                <w:szCs w:val="20"/>
              </w:rPr>
              <w:t>Construction</w:t>
            </w:r>
            <w:r>
              <w:rPr>
                <w:rFonts w:cs="Arial"/>
                <w:szCs w:val="20"/>
              </w:rPr>
              <w:t>s</w:t>
            </w:r>
            <w:r w:rsidRPr="00F935E7">
              <w:rPr>
                <w:rFonts w:cs="Arial"/>
                <w:szCs w:val="20"/>
              </w:rPr>
              <w:t xml:space="preserve"> juridiques — transparence et bénéficiaires effectifs</w:t>
            </w:r>
            <w:bookmarkEnd w:id="1462"/>
          </w:p>
        </w:tc>
      </w:tr>
      <w:tr w:rsidR="00DF5B08" w:rsidRPr="00776250" w14:paraId="38E623F0" w14:textId="77777777" w:rsidTr="00A60A13">
        <w:trPr>
          <w:trHeight w:val="255"/>
          <w:jc w:val="center"/>
        </w:trPr>
        <w:tc>
          <w:tcPr>
            <w:tcW w:w="1972" w:type="dxa"/>
            <w:tcBorders>
              <w:top w:val="nil"/>
              <w:bottom w:val="nil"/>
              <w:right w:val="single" w:sz="4" w:space="0" w:color="000000"/>
            </w:tcBorders>
            <w:shd w:val="clear" w:color="auto" w:fill="auto"/>
          </w:tcPr>
          <w:p w14:paraId="231616A1" w14:textId="77777777" w:rsidR="00DF5B08" w:rsidRPr="00F935E7" w:rsidRDefault="00DF5B08" w:rsidP="00A60A13">
            <w:pPr>
              <w:jc w:val="both"/>
              <w:rPr>
                <w:rFonts w:cs="Arial"/>
                <w:szCs w:val="20"/>
              </w:rPr>
            </w:pPr>
            <w:bookmarkStart w:id="1463" w:name="lt_pId741"/>
            <w:r w:rsidRPr="00F935E7">
              <w:rPr>
                <w:rFonts w:cs="Arial"/>
                <w:szCs w:val="20"/>
              </w:rPr>
              <w:t>R.26</w:t>
            </w:r>
            <w:bookmarkEnd w:id="1463"/>
          </w:p>
        </w:tc>
        <w:tc>
          <w:tcPr>
            <w:tcW w:w="7573" w:type="dxa"/>
            <w:tcBorders>
              <w:left w:val="single" w:sz="4" w:space="0" w:color="000000"/>
            </w:tcBorders>
            <w:shd w:val="clear" w:color="auto" w:fill="auto"/>
            <w:vAlign w:val="center"/>
          </w:tcPr>
          <w:p w14:paraId="216EF628" w14:textId="77777777" w:rsidR="00DF5B08" w:rsidRPr="00F935E7" w:rsidRDefault="00DF5B08" w:rsidP="00A60A13">
            <w:pPr>
              <w:jc w:val="both"/>
              <w:rPr>
                <w:rFonts w:cs="Arial"/>
                <w:szCs w:val="20"/>
              </w:rPr>
            </w:pPr>
            <w:bookmarkStart w:id="1464" w:name="lt_pId742"/>
            <w:r w:rsidRPr="00F935E7">
              <w:rPr>
                <w:rFonts w:cs="Arial"/>
                <w:szCs w:val="20"/>
              </w:rPr>
              <w:t>Régulation et suivi des institutions financières</w:t>
            </w:r>
            <w:bookmarkEnd w:id="1464"/>
          </w:p>
        </w:tc>
      </w:tr>
      <w:tr w:rsidR="00DF5B08" w:rsidRPr="00776250" w14:paraId="661E71A6" w14:textId="77777777" w:rsidTr="00A60A13">
        <w:trPr>
          <w:trHeight w:val="255"/>
          <w:jc w:val="center"/>
        </w:trPr>
        <w:tc>
          <w:tcPr>
            <w:tcW w:w="1972" w:type="dxa"/>
            <w:tcBorders>
              <w:top w:val="nil"/>
              <w:bottom w:val="nil"/>
              <w:right w:val="single" w:sz="4" w:space="0" w:color="000000"/>
            </w:tcBorders>
            <w:shd w:val="clear" w:color="auto" w:fill="auto"/>
          </w:tcPr>
          <w:p w14:paraId="6FFD8BFF" w14:textId="77777777" w:rsidR="00DF5B08" w:rsidRPr="00F935E7" w:rsidRDefault="00DF5B08" w:rsidP="00A60A13">
            <w:pPr>
              <w:jc w:val="both"/>
              <w:rPr>
                <w:rFonts w:cs="Arial"/>
                <w:szCs w:val="20"/>
              </w:rPr>
            </w:pPr>
            <w:bookmarkStart w:id="1465" w:name="lt_pId743"/>
            <w:r w:rsidRPr="00F935E7">
              <w:rPr>
                <w:rFonts w:cs="Arial"/>
                <w:szCs w:val="20"/>
              </w:rPr>
              <w:t>R.27</w:t>
            </w:r>
            <w:bookmarkEnd w:id="1465"/>
          </w:p>
        </w:tc>
        <w:tc>
          <w:tcPr>
            <w:tcW w:w="7573" w:type="dxa"/>
            <w:tcBorders>
              <w:left w:val="single" w:sz="4" w:space="0" w:color="000000"/>
            </w:tcBorders>
            <w:shd w:val="clear" w:color="auto" w:fill="auto"/>
            <w:vAlign w:val="center"/>
          </w:tcPr>
          <w:p w14:paraId="6CF09F5C" w14:textId="77777777" w:rsidR="00DF5B08" w:rsidRPr="00F935E7" w:rsidRDefault="00DF5B08" w:rsidP="00A60A13">
            <w:pPr>
              <w:jc w:val="both"/>
              <w:rPr>
                <w:rFonts w:cs="Arial"/>
                <w:szCs w:val="20"/>
              </w:rPr>
            </w:pPr>
            <w:bookmarkStart w:id="1466" w:name="lt_pId744"/>
            <w:r w:rsidRPr="00F935E7">
              <w:rPr>
                <w:rFonts w:cs="Arial"/>
                <w:szCs w:val="20"/>
              </w:rPr>
              <w:t>Pouvoirs des organismes de surveillance</w:t>
            </w:r>
            <w:bookmarkEnd w:id="1466"/>
          </w:p>
        </w:tc>
      </w:tr>
      <w:tr w:rsidR="00DF5B08" w:rsidRPr="00776250" w14:paraId="65789B9E" w14:textId="77777777" w:rsidTr="00A60A13">
        <w:trPr>
          <w:trHeight w:val="255"/>
          <w:jc w:val="center"/>
        </w:trPr>
        <w:tc>
          <w:tcPr>
            <w:tcW w:w="1972" w:type="dxa"/>
            <w:tcBorders>
              <w:top w:val="nil"/>
              <w:bottom w:val="nil"/>
              <w:right w:val="single" w:sz="4" w:space="0" w:color="000000"/>
            </w:tcBorders>
            <w:shd w:val="clear" w:color="auto" w:fill="auto"/>
          </w:tcPr>
          <w:p w14:paraId="38FAD66E" w14:textId="77777777" w:rsidR="00DF5B08" w:rsidRPr="00F935E7" w:rsidRDefault="00DF5B08" w:rsidP="00A60A13">
            <w:pPr>
              <w:jc w:val="both"/>
              <w:rPr>
                <w:rFonts w:cs="Arial"/>
                <w:szCs w:val="20"/>
              </w:rPr>
            </w:pPr>
            <w:bookmarkStart w:id="1467" w:name="lt_pId745"/>
            <w:r w:rsidRPr="00F935E7">
              <w:rPr>
                <w:rFonts w:cs="Arial"/>
                <w:szCs w:val="20"/>
              </w:rPr>
              <w:t>R.28</w:t>
            </w:r>
            <w:bookmarkEnd w:id="1467"/>
          </w:p>
        </w:tc>
        <w:tc>
          <w:tcPr>
            <w:tcW w:w="7573" w:type="dxa"/>
            <w:tcBorders>
              <w:left w:val="single" w:sz="4" w:space="0" w:color="000000"/>
            </w:tcBorders>
            <w:shd w:val="clear" w:color="auto" w:fill="auto"/>
            <w:vAlign w:val="center"/>
          </w:tcPr>
          <w:p w14:paraId="0A010DBC" w14:textId="77777777" w:rsidR="00DF5B08" w:rsidRPr="00F935E7" w:rsidRDefault="00DF5B08" w:rsidP="00A60A13">
            <w:pPr>
              <w:jc w:val="both"/>
              <w:rPr>
                <w:rFonts w:cs="Arial"/>
                <w:szCs w:val="20"/>
              </w:rPr>
            </w:pPr>
            <w:bookmarkStart w:id="1468" w:name="lt_pId746"/>
            <w:r w:rsidRPr="00F935E7">
              <w:rPr>
                <w:rFonts w:cs="Arial"/>
                <w:szCs w:val="20"/>
              </w:rPr>
              <w:t>Régulation et suivi des EPNFD</w:t>
            </w:r>
            <w:bookmarkEnd w:id="1468"/>
          </w:p>
        </w:tc>
      </w:tr>
      <w:tr w:rsidR="00DF5B08" w:rsidRPr="00F935E7" w14:paraId="3968CF2C" w14:textId="77777777" w:rsidTr="00A60A13">
        <w:trPr>
          <w:trHeight w:val="255"/>
          <w:jc w:val="center"/>
        </w:trPr>
        <w:tc>
          <w:tcPr>
            <w:tcW w:w="1972" w:type="dxa"/>
            <w:tcBorders>
              <w:top w:val="nil"/>
              <w:bottom w:val="nil"/>
              <w:right w:val="single" w:sz="4" w:space="0" w:color="000000"/>
            </w:tcBorders>
            <w:shd w:val="clear" w:color="auto" w:fill="auto"/>
          </w:tcPr>
          <w:p w14:paraId="5EF6F0B0" w14:textId="77777777" w:rsidR="00DF5B08" w:rsidRPr="00F935E7" w:rsidRDefault="00DF5B08" w:rsidP="00A60A13">
            <w:pPr>
              <w:jc w:val="both"/>
              <w:rPr>
                <w:rFonts w:cs="Arial"/>
                <w:szCs w:val="20"/>
              </w:rPr>
            </w:pPr>
            <w:bookmarkStart w:id="1469" w:name="lt_pId747"/>
            <w:r w:rsidRPr="00F935E7">
              <w:rPr>
                <w:rFonts w:cs="Arial"/>
                <w:szCs w:val="20"/>
              </w:rPr>
              <w:t>R.29</w:t>
            </w:r>
            <w:bookmarkEnd w:id="1469"/>
          </w:p>
        </w:tc>
        <w:tc>
          <w:tcPr>
            <w:tcW w:w="7573" w:type="dxa"/>
            <w:tcBorders>
              <w:left w:val="single" w:sz="4" w:space="0" w:color="000000"/>
            </w:tcBorders>
            <w:shd w:val="clear" w:color="auto" w:fill="auto"/>
            <w:vAlign w:val="center"/>
          </w:tcPr>
          <w:p w14:paraId="427C662E" w14:textId="77777777" w:rsidR="00DF5B08" w:rsidRPr="00F935E7" w:rsidRDefault="00DF5B08" w:rsidP="00A60A13">
            <w:pPr>
              <w:jc w:val="both"/>
              <w:rPr>
                <w:rFonts w:cs="Arial"/>
                <w:szCs w:val="20"/>
              </w:rPr>
            </w:pPr>
            <w:r w:rsidRPr="00F935E7">
              <w:rPr>
                <w:rFonts w:cs="Arial"/>
                <w:szCs w:val="20"/>
              </w:rPr>
              <w:t>Renseignements financiers</w:t>
            </w:r>
          </w:p>
        </w:tc>
      </w:tr>
      <w:tr w:rsidR="00DF5B08" w:rsidRPr="00776250" w14:paraId="7CAD5973" w14:textId="77777777" w:rsidTr="00A60A13">
        <w:trPr>
          <w:trHeight w:val="255"/>
          <w:jc w:val="center"/>
        </w:trPr>
        <w:tc>
          <w:tcPr>
            <w:tcW w:w="1972" w:type="dxa"/>
            <w:tcBorders>
              <w:top w:val="nil"/>
              <w:bottom w:val="nil"/>
              <w:right w:val="single" w:sz="4" w:space="0" w:color="000000"/>
            </w:tcBorders>
            <w:shd w:val="clear" w:color="auto" w:fill="auto"/>
          </w:tcPr>
          <w:p w14:paraId="04E0AA5F" w14:textId="77777777" w:rsidR="00DF5B08" w:rsidRPr="00F935E7" w:rsidRDefault="00DF5B08" w:rsidP="00A60A13">
            <w:pPr>
              <w:jc w:val="both"/>
              <w:rPr>
                <w:rFonts w:cs="Arial"/>
                <w:szCs w:val="20"/>
              </w:rPr>
            </w:pPr>
            <w:bookmarkStart w:id="1470" w:name="lt_pId749"/>
            <w:r w:rsidRPr="00F935E7">
              <w:rPr>
                <w:rFonts w:cs="Arial"/>
                <w:szCs w:val="20"/>
              </w:rPr>
              <w:t>R.30</w:t>
            </w:r>
            <w:bookmarkEnd w:id="1470"/>
          </w:p>
        </w:tc>
        <w:tc>
          <w:tcPr>
            <w:tcW w:w="7573" w:type="dxa"/>
            <w:tcBorders>
              <w:left w:val="single" w:sz="4" w:space="0" w:color="000000"/>
            </w:tcBorders>
            <w:shd w:val="clear" w:color="auto" w:fill="auto"/>
            <w:vAlign w:val="center"/>
          </w:tcPr>
          <w:p w14:paraId="39F4BAC1" w14:textId="77777777" w:rsidR="00DF5B08" w:rsidRPr="00F935E7" w:rsidRDefault="00DF5B08" w:rsidP="00A60A13">
            <w:pPr>
              <w:jc w:val="both"/>
              <w:rPr>
                <w:rFonts w:cs="Arial"/>
                <w:szCs w:val="20"/>
              </w:rPr>
            </w:pPr>
            <w:bookmarkStart w:id="1471" w:name="lt_pId750"/>
            <w:r w:rsidRPr="00F935E7">
              <w:rPr>
                <w:rFonts w:cs="Arial"/>
                <w:szCs w:val="20"/>
              </w:rPr>
              <w:t>Responsabilités des autorités de poursuite pénale et des autorités chargées des enquêtes</w:t>
            </w:r>
            <w:bookmarkEnd w:id="1471"/>
          </w:p>
        </w:tc>
      </w:tr>
      <w:tr w:rsidR="00DF5B08" w:rsidRPr="00776250" w14:paraId="625E9729" w14:textId="77777777" w:rsidTr="00A60A13">
        <w:trPr>
          <w:trHeight w:val="255"/>
          <w:jc w:val="center"/>
        </w:trPr>
        <w:tc>
          <w:tcPr>
            <w:tcW w:w="1972" w:type="dxa"/>
            <w:tcBorders>
              <w:top w:val="nil"/>
              <w:bottom w:val="nil"/>
              <w:right w:val="single" w:sz="4" w:space="0" w:color="000000"/>
            </w:tcBorders>
            <w:shd w:val="clear" w:color="auto" w:fill="auto"/>
          </w:tcPr>
          <w:p w14:paraId="214D7ABA" w14:textId="77777777" w:rsidR="00DF5B08" w:rsidRPr="00F935E7" w:rsidRDefault="00DF5B08" w:rsidP="00A60A13">
            <w:pPr>
              <w:jc w:val="both"/>
              <w:rPr>
                <w:rFonts w:cs="Arial"/>
                <w:szCs w:val="20"/>
              </w:rPr>
            </w:pPr>
            <w:bookmarkStart w:id="1472" w:name="lt_pId751"/>
            <w:r w:rsidRPr="00F935E7">
              <w:rPr>
                <w:rFonts w:cs="Arial"/>
                <w:szCs w:val="20"/>
              </w:rPr>
              <w:t>R.31</w:t>
            </w:r>
            <w:bookmarkEnd w:id="1472"/>
          </w:p>
        </w:tc>
        <w:tc>
          <w:tcPr>
            <w:tcW w:w="7573" w:type="dxa"/>
            <w:tcBorders>
              <w:left w:val="single" w:sz="4" w:space="0" w:color="000000"/>
            </w:tcBorders>
            <w:shd w:val="clear" w:color="auto" w:fill="auto"/>
            <w:vAlign w:val="center"/>
          </w:tcPr>
          <w:p w14:paraId="346A056B" w14:textId="77777777" w:rsidR="00DF5B08" w:rsidRPr="00F935E7" w:rsidRDefault="00DF5B08" w:rsidP="00A60A13">
            <w:pPr>
              <w:jc w:val="both"/>
              <w:rPr>
                <w:rFonts w:cs="Arial"/>
                <w:szCs w:val="20"/>
              </w:rPr>
            </w:pPr>
            <w:bookmarkStart w:id="1473" w:name="lt_pId752"/>
            <w:r w:rsidRPr="00F935E7">
              <w:rPr>
                <w:rFonts w:cs="Arial"/>
                <w:szCs w:val="20"/>
              </w:rPr>
              <w:t>Pouvoirs des autorités d’enquête et de poursuite pénale</w:t>
            </w:r>
            <w:bookmarkEnd w:id="1473"/>
          </w:p>
        </w:tc>
      </w:tr>
      <w:tr w:rsidR="00DF5B08" w:rsidRPr="00F935E7" w14:paraId="7CDB90E6" w14:textId="77777777" w:rsidTr="00A60A13">
        <w:trPr>
          <w:trHeight w:val="255"/>
          <w:jc w:val="center"/>
        </w:trPr>
        <w:tc>
          <w:tcPr>
            <w:tcW w:w="1972" w:type="dxa"/>
            <w:tcBorders>
              <w:top w:val="nil"/>
              <w:bottom w:val="nil"/>
              <w:right w:val="single" w:sz="4" w:space="0" w:color="000000"/>
            </w:tcBorders>
            <w:shd w:val="clear" w:color="auto" w:fill="auto"/>
          </w:tcPr>
          <w:p w14:paraId="61D9F00F" w14:textId="77777777" w:rsidR="00DF5B08" w:rsidRPr="00F935E7" w:rsidRDefault="00DF5B08" w:rsidP="00A60A13">
            <w:pPr>
              <w:jc w:val="both"/>
              <w:rPr>
                <w:rFonts w:cs="Arial"/>
                <w:szCs w:val="20"/>
              </w:rPr>
            </w:pPr>
            <w:bookmarkStart w:id="1474" w:name="lt_pId753"/>
            <w:r w:rsidRPr="00F935E7">
              <w:rPr>
                <w:rFonts w:cs="Arial"/>
                <w:szCs w:val="20"/>
              </w:rPr>
              <w:t>R.32</w:t>
            </w:r>
            <w:bookmarkEnd w:id="1474"/>
          </w:p>
        </w:tc>
        <w:tc>
          <w:tcPr>
            <w:tcW w:w="7573" w:type="dxa"/>
            <w:tcBorders>
              <w:left w:val="single" w:sz="4" w:space="0" w:color="000000"/>
            </w:tcBorders>
            <w:shd w:val="clear" w:color="auto" w:fill="auto"/>
            <w:vAlign w:val="center"/>
          </w:tcPr>
          <w:p w14:paraId="00DB6C6F" w14:textId="77777777" w:rsidR="00DF5B08" w:rsidRPr="00F935E7" w:rsidRDefault="00DF5B08" w:rsidP="00A60A13">
            <w:pPr>
              <w:jc w:val="both"/>
              <w:rPr>
                <w:rFonts w:cs="Arial"/>
                <w:szCs w:val="20"/>
              </w:rPr>
            </w:pPr>
            <w:bookmarkStart w:id="1475" w:name="lt_pId754"/>
            <w:r w:rsidRPr="00F935E7">
              <w:rPr>
                <w:rFonts w:cs="Arial"/>
                <w:szCs w:val="20"/>
              </w:rPr>
              <w:t>Passeurs de fonds</w:t>
            </w:r>
            <w:bookmarkEnd w:id="1475"/>
          </w:p>
        </w:tc>
      </w:tr>
      <w:tr w:rsidR="00DF5B08" w:rsidRPr="00F935E7" w14:paraId="727D2640" w14:textId="77777777" w:rsidTr="00A60A13">
        <w:trPr>
          <w:trHeight w:val="255"/>
          <w:jc w:val="center"/>
        </w:trPr>
        <w:tc>
          <w:tcPr>
            <w:tcW w:w="1972" w:type="dxa"/>
            <w:tcBorders>
              <w:top w:val="nil"/>
              <w:bottom w:val="nil"/>
              <w:right w:val="single" w:sz="4" w:space="0" w:color="000000"/>
            </w:tcBorders>
            <w:shd w:val="clear" w:color="auto" w:fill="auto"/>
          </w:tcPr>
          <w:p w14:paraId="0E52B8B3" w14:textId="77777777" w:rsidR="00DF5B08" w:rsidRPr="00F935E7" w:rsidRDefault="00DF5B08" w:rsidP="00A60A13">
            <w:pPr>
              <w:jc w:val="both"/>
              <w:rPr>
                <w:rFonts w:cs="Arial"/>
                <w:szCs w:val="20"/>
              </w:rPr>
            </w:pPr>
            <w:bookmarkStart w:id="1476" w:name="lt_pId755"/>
            <w:r w:rsidRPr="00F935E7">
              <w:rPr>
                <w:rFonts w:cs="Arial"/>
                <w:szCs w:val="20"/>
              </w:rPr>
              <w:t>R.33</w:t>
            </w:r>
            <w:bookmarkEnd w:id="1476"/>
          </w:p>
        </w:tc>
        <w:tc>
          <w:tcPr>
            <w:tcW w:w="7573" w:type="dxa"/>
            <w:tcBorders>
              <w:left w:val="single" w:sz="4" w:space="0" w:color="000000"/>
            </w:tcBorders>
            <w:shd w:val="clear" w:color="auto" w:fill="auto"/>
            <w:vAlign w:val="center"/>
          </w:tcPr>
          <w:p w14:paraId="168474AF" w14:textId="77777777" w:rsidR="00DF5B08" w:rsidRPr="00F935E7" w:rsidRDefault="00DF5B08" w:rsidP="00A60A13">
            <w:pPr>
              <w:jc w:val="both"/>
              <w:rPr>
                <w:rFonts w:cs="Arial"/>
                <w:szCs w:val="20"/>
              </w:rPr>
            </w:pPr>
            <w:bookmarkStart w:id="1477" w:name="lt_pId756"/>
            <w:r w:rsidRPr="00F935E7">
              <w:rPr>
                <w:rFonts w:cs="Arial"/>
                <w:szCs w:val="20"/>
              </w:rPr>
              <w:t>Statistiques</w:t>
            </w:r>
            <w:bookmarkEnd w:id="1477"/>
          </w:p>
        </w:tc>
      </w:tr>
      <w:tr w:rsidR="00DF5B08" w:rsidRPr="00776250" w14:paraId="1707421C" w14:textId="77777777" w:rsidTr="00A60A13">
        <w:trPr>
          <w:trHeight w:val="255"/>
          <w:jc w:val="center"/>
        </w:trPr>
        <w:tc>
          <w:tcPr>
            <w:tcW w:w="1972" w:type="dxa"/>
            <w:tcBorders>
              <w:top w:val="nil"/>
              <w:bottom w:val="nil"/>
              <w:right w:val="single" w:sz="4" w:space="0" w:color="000000"/>
            </w:tcBorders>
            <w:shd w:val="clear" w:color="auto" w:fill="auto"/>
          </w:tcPr>
          <w:p w14:paraId="46316CCC" w14:textId="77777777" w:rsidR="00DF5B08" w:rsidRPr="00F935E7" w:rsidRDefault="00DF5B08" w:rsidP="00A60A13">
            <w:pPr>
              <w:jc w:val="both"/>
              <w:rPr>
                <w:rFonts w:cs="Arial"/>
                <w:szCs w:val="20"/>
              </w:rPr>
            </w:pPr>
            <w:bookmarkStart w:id="1478" w:name="lt_pId757"/>
            <w:r w:rsidRPr="00F935E7">
              <w:rPr>
                <w:rFonts w:cs="Arial"/>
                <w:szCs w:val="20"/>
              </w:rPr>
              <w:t>R.34</w:t>
            </w:r>
            <w:bookmarkEnd w:id="1478"/>
          </w:p>
        </w:tc>
        <w:tc>
          <w:tcPr>
            <w:tcW w:w="7573" w:type="dxa"/>
            <w:tcBorders>
              <w:left w:val="single" w:sz="4" w:space="0" w:color="000000"/>
            </w:tcBorders>
            <w:shd w:val="clear" w:color="auto" w:fill="auto"/>
            <w:vAlign w:val="center"/>
          </w:tcPr>
          <w:p w14:paraId="71279836" w14:textId="77777777" w:rsidR="00DF5B08" w:rsidRPr="00F935E7" w:rsidRDefault="00DF5B08" w:rsidP="00A60A13">
            <w:pPr>
              <w:jc w:val="both"/>
              <w:rPr>
                <w:rFonts w:cs="Arial"/>
                <w:szCs w:val="20"/>
              </w:rPr>
            </w:pPr>
            <w:bookmarkStart w:id="1479" w:name="lt_pId758"/>
            <w:r w:rsidRPr="00F935E7">
              <w:rPr>
                <w:rFonts w:cs="Arial"/>
                <w:szCs w:val="20"/>
              </w:rPr>
              <w:t>Lignes directrices et retour d’information</w:t>
            </w:r>
            <w:bookmarkEnd w:id="1479"/>
          </w:p>
        </w:tc>
      </w:tr>
      <w:tr w:rsidR="00DF5B08" w:rsidRPr="00F935E7" w14:paraId="46368598" w14:textId="77777777" w:rsidTr="00A60A13">
        <w:trPr>
          <w:trHeight w:val="255"/>
          <w:jc w:val="center"/>
        </w:trPr>
        <w:tc>
          <w:tcPr>
            <w:tcW w:w="1972" w:type="dxa"/>
            <w:tcBorders>
              <w:top w:val="nil"/>
              <w:bottom w:val="nil"/>
              <w:right w:val="single" w:sz="4" w:space="0" w:color="000000"/>
            </w:tcBorders>
            <w:shd w:val="clear" w:color="auto" w:fill="auto"/>
          </w:tcPr>
          <w:p w14:paraId="0C7FF4A2" w14:textId="77777777" w:rsidR="00DF5B08" w:rsidRPr="00F935E7" w:rsidRDefault="00DF5B08" w:rsidP="00A60A13">
            <w:pPr>
              <w:jc w:val="both"/>
              <w:rPr>
                <w:rFonts w:cs="Arial"/>
                <w:szCs w:val="20"/>
              </w:rPr>
            </w:pPr>
            <w:bookmarkStart w:id="1480" w:name="lt_pId759"/>
            <w:r w:rsidRPr="00F935E7">
              <w:rPr>
                <w:rFonts w:cs="Arial"/>
                <w:szCs w:val="20"/>
              </w:rPr>
              <w:t>R.35</w:t>
            </w:r>
            <w:bookmarkEnd w:id="1480"/>
          </w:p>
        </w:tc>
        <w:tc>
          <w:tcPr>
            <w:tcW w:w="7573" w:type="dxa"/>
            <w:tcBorders>
              <w:left w:val="single" w:sz="4" w:space="0" w:color="000000"/>
            </w:tcBorders>
            <w:shd w:val="clear" w:color="auto" w:fill="auto"/>
            <w:vAlign w:val="center"/>
          </w:tcPr>
          <w:p w14:paraId="23D890C4" w14:textId="77777777" w:rsidR="00DF5B08" w:rsidRPr="00F935E7" w:rsidRDefault="00DF5B08" w:rsidP="00A60A13">
            <w:pPr>
              <w:jc w:val="both"/>
              <w:rPr>
                <w:rFonts w:cs="Arial"/>
                <w:szCs w:val="20"/>
              </w:rPr>
            </w:pPr>
            <w:bookmarkStart w:id="1481" w:name="lt_pId760"/>
            <w:r w:rsidRPr="00F935E7">
              <w:rPr>
                <w:rFonts w:cs="Arial"/>
                <w:szCs w:val="20"/>
              </w:rPr>
              <w:t>Sanctions</w:t>
            </w:r>
            <w:bookmarkEnd w:id="1481"/>
          </w:p>
        </w:tc>
      </w:tr>
      <w:tr w:rsidR="00DF5B08" w:rsidRPr="00F935E7" w14:paraId="30A9177D" w14:textId="77777777" w:rsidTr="00A60A13">
        <w:trPr>
          <w:trHeight w:val="255"/>
          <w:jc w:val="center"/>
        </w:trPr>
        <w:tc>
          <w:tcPr>
            <w:tcW w:w="1972" w:type="dxa"/>
            <w:tcBorders>
              <w:top w:val="nil"/>
              <w:bottom w:val="nil"/>
              <w:right w:val="single" w:sz="4" w:space="0" w:color="000000"/>
            </w:tcBorders>
            <w:shd w:val="clear" w:color="auto" w:fill="auto"/>
          </w:tcPr>
          <w:p w14:paraId="34B0029E" w14:textId="77777777" w:rsidR="00DF5B08" w:rsidRPr="00F935E7" w:rsidRDefault="00DF5B08" w:rsidP="00A60A13">
            <w:pPr>
              <w:jc w:val="both"/>
              <w:rPr>
                <w:rFonts w:cs="Arial"/>
                <w:szCs w:val="20"/>
              </w:rPr>
            </w:pPr>
            <w:bookmarkStart w:id="1482" w:name="lt_pId761"/>
            <w:r w:rsidRPr="00F935E7">
              <w:rPr>
                <w:rFonts w:cs="Arial"/>
                <w:szCs w:val="20"/>
              </w:rPr>
              <w:t>R.36</w:t>
            </w:r>
            <w:bookmarkEnd w:id="1482"/>
          </w:p>
        </w:tc>
        <w:tc>
          <w:tcPr>
            <w:tcW w:w="7573" w:type="dxa"/>
            <w:tcBorders>
              <w:left w:val="single" w:sz="4" w:space="0" w:color="000000"/>
            </w:tcBorders>
            <w:shd w:val="clear" w:color="auto" w:fill="auto"/>
            <w:vAlign w:val="center"/>
          </w:tcPr>
          <w:p w14:paraId="5F613E8A" w14:textId="77777777" w:rsidR="00DF5B08" w:rsidRPr="00F935E7" w:rsidRDefault="00DF5B08" w:rsidP="00A60A13">
            <w:pPr>
              <w:jc w:val="both"/>
              <w:rPr>
                <w:rFonts w:cs="Arial"/>
                <w:szCs w:val="20"/>
              </w:rPr>
            </w:pPr>
            <w:bookmarkStart w:id="1483" w:name="lt_pId762"/>
            <w:r w:rsidRPr="00F935E7">
              <w:rPr>
                <w:rFonts w:cs="Arial"/>
                <w:szCs w:val="20"/>
              </w:rPr>
              <w:t>Instruments internationaux</w:t>
            </w:r>
            <w:bookmarkEnd w:id="1483"/>
          </w:p>
        </w:tc>
      </w:tr>
      <w:tr w:rsidR="00DF5B08" w:rsidRPr="00F935E7" w14:paraId="2F7BD337" w14:textId="77777777" w:rsidTr="00A60A13">
        <w:trPr>
          <w:trHeight w:val="255"/>
          <w:jc w:val="center"/>
        </w:trPr>
        <w:tc>
          <w:tcPr>
            <w:tcW w:w="1972" w:type="dxa"/>
            <w:tcBorders>
              <w:top w:val="nil"/>
              <w:bottom w:val="nil"/>
              <w:right w:val="single" w:sz="4" w:space="0" w:color="000000"/>
            </w:tcBorders>
            <w:shd w:val="clear" w:color="auto" w:fill="auto"/>
          </w:tcPr>
          <w:p w14:paraId="61F6EAB4" w14:textId="77777777" w:rsidR="00DF5B08" w:rsidRPr="00F935E7" w:rsidRDefault="00DF5B08" w:rsidP="00A60A13">
            <w:pPr>
              <w:jc w:val="both"/>
              <w:rPr>
                <w:rFonts w:cs="Arial"/>
                <w:szCs w:val="20"/>
              </w:rPr>
            </w:pPr>
            <w:bookmarkStart w:id="1484" w:name="lt_pId763"/>
            <w:r w:rsidRPr="00F935E7">
              <w:rPr>
                <w:rFonts w:cs="Arial"/>
                <w:szCs w:val="20"/>
              </w:rPr>
              <w:t>R.37</w:t>
            </w:r>
            <w:bookmarkEnd w:id="1484"/>
          </w:p>
        </w:tc>
        <w:tc>
          <w:tcPr>
            <w:tcW w:w="7573" w:type="dxa"/>
            <w:tcBorders>
              <w:left w:val="single" w:sz="4" w:space="0" w:color="000000"/>
            </w:tcBorders>
            <w:shd w:val="clear" w:color="auto" w:fill="auto"/>
            <w:vAlign w:val="center"/>
          </w:tcPr>
          <w:p w14:paraId="5896E27E" w14:textId="77777777" w:rsidR="00DF5B08" w:rsidRPr="00F935E7" w:rsidRDefault="00DF5B08" w:rsidP="00A60A13">
            <w:pPr>
              <w:jc w:val="both"/>
              <w:rPr>
                <w:rFonts w:cs="Arial"/>
                <w:szCs w:val="20"/>
              </w:rPr>
            </w:pPr>
            <w:bookmarkStart w:id="1485" w:name="lt_pId764"/>
            <w:r w:rsidRPr="00F935E7">
              <w:rPr>
                <w:rFonts w:cs="Arial"/>
                <w:szCs w:val="20"/>
              </w:rPr>
              <w:t>Entraide judiciaire</w:t>
            </w:r>
            <w:bookmarkEnd w:id="1485"/>
          </w:p>
        </w:tc>
      </w:tr>
      <w:tr w:rsidR="00DF5B08" w:rsidRPr="00776250" w14:paraId="0558092F" w14:textId="77777777" w:rsidTr="00A60A13">
        <w:trPr>
          <w:trHeight w:val="255"/>
          <w:jc w:val="center"/>
        </w:trPr>
        <w:tc>
          <w:tcPr>
            <w:tcW w:w="1972" w:type="dxa"/>
            <w:tcBorders>
              <w:top w:val="nil"/>
              <w:bottom w:val="nil"/>
              <w:right w:val="single" w:sz="4" w:space="0" w:color="000000"/>
            </w:tcBorders>
            <w:shd w:val="clear" w:color="auto" w:fill="auto"/>
          </w:tcPr>
          <w:p w14:paraId="3C62BDD9" w14:textId="77777777" w:rsidR="00DF5B08" w:rsidRPr="00F935E7" w:rsidRDefault="00DF5B08" w:rsidP="00A60A13">
            <w:pPr>
              <w:jc w:val="both"/>
              <w:rPr>
                <w:rFonts w:cs="Arial"/>
                <w:szCs w:val="20"/>
              </w:rPr>
            </w:pPr>
            <w:bookmarkStart w:id="1486" w:name="lt_pId765"/>
            <w:r w:rsidRPr="00F935E7">
              <w:rPr>
                <w:rFonts w:cs="Arial"/>
                <w:szCs w:val="20"/>
              </w:rPr>
              <w:t>R.38</w:t>
            </w:r>
            <w:bookmarkEnd w:id="1486"/>
          </w:p>
        </w:tc>
        <w:tc>
          <w:tcPr>
            <w:tcW w:w="7573" w:type="dxa"/>
            <w:tcBorders>
              <w:left w:val="single" w:sz="4" w:space="0" w:color="000000"/>
            </w:tcBorders>
            <w:shd w:val="clear" w:color="auto" w:fill="auto"/>
            <w:vAlign w:val="center"/>
          </w:tcPr>
          <w:p w14:paraId="3319F1A5" w14:textId="77777777" w:rsidR="00DF5B08" w:rsidRPr="00F935E7" w:rsidRDefault="00DF5B08" w:rsidP="00A60A13">
            <w:pPr>
              <w:jc w:val="both"/>
              <w:rPr>
                <w:rFonts w:cs="Arial"/>
                <w:szCs w:val="20"/>
              </w:rPr>
            </w:pPr>
            <w:bookmarkStart w:id="1487" w:name="lt_pId766"/>
            <w:r w:rsidRPr="00F935E7">
              <w:rPr>
                <w:rFonts w:cs="Arial"/>
                <w:szCs w:val="20"/>
              </w:rPr>
              <w:t>Entraide judiciaire en matière de confiscation et de gel</w:t>
            </w:r>
            <w:bookmarkEnd w:id="1487"/>
          </w:p>
        </w:tc>
      </w:tr>
      <w:tr w:rsidR="00DF5B08" w:rsidRPr="00F935E7" w14:paraId="20736FA3" w14:textId="77777777" w:rsidTr="00A60A13">
        <w:trPr>
          <w:trHeight w:val="255"/>
          <w:jc w:val="center"/>
        </w:trPr>
        <w:tc>
          <w:tcPr>
            <w:tcW w:w="1972" w:type="dxa"/>
            <w:tcBorders>
              <w:top w:val="nil"/>
              <w:bottom w:val="nil"/>
              <w:right w:val="single" w:sz="4" w:space="0" w:color="000000"/>
            </w:tcBorders>
            <w:shd w:val="clear" w:color="auto" w:fill="auto"/>
          </w:tcPr>
          <w:p w14:paraId="1D64F311" w14:textId="77777777" w:rsidR="00DF5B08" w:rsidRPr="00F935E7" w:rsidRDefault="00DF5B08" w:rsidP="00A60A13">
            <w:pPr>
              <w:jc w:val="both"/>
              <w:rPr>
                <w:rFonts w:cs="Arial"/>
                <w:szCs w:val="20"/>
              </w:rPr>
            </w:pPr>
            <w:bookmarkStart w:id="1488" w:name="lt_pId767"/>
            <w:r w:rsidRPr="00F935E7">
              <w:rPr>
                <w:rFonts w:cs="Arial"/>
                <w:szCs w:val="20"/>
              </w:rPr>
              <w:t>R.39</w:t>
            </w:r>
            <w:bookmarkEnd w:id="1488"/>
          </w:p>
        </w:tc>
        <w:tc>
          <w:tcPr>
            <w:tcW w:w="7573" w:type="dxa"/>
            <w:tcBorders>
              <w:left w:val="single" w:sz="4" w:space="0" w:color="000000"/>
            </w:tcBorders>
            <w:shd w:val="clear" w:color="auto" w:fill="auto"/>
            <w:vAlign w:val="center"/>
          </w:tcPr>
          <w:p w14:paraId="44CDA659" w14:textId="77777777" w:rsidR="00DF5B08" w:rsidRPr="00F935E7" w:rsidRDefault="00DF5B08" w:rsidP="00A60A13">
            <w:pPr>
              <w:jc w:val="both"/>
              <w:rPr>
                <w:rFonts w:cs="Arial"/>
                <w:szCs w:val="20"/>
              </w:rPr>
            </w:pPr>
            <w:bookmarkStart w:id="1489" w:name="lt_pId768"/>
            <w:r w:rsidRPr="00F935E7">
              <w:rPr>
                <w:rFonts w:cs="Arial"/>
                <w:szCs w:val="20"/>
              </w:rPr>
              <w:t>Extradition</w:t>
            </w:r>
            <w:bookmarkEnd w:id="1489"/>
          </w:p>
        </w:tc>
      </w:tr>
      <w:tr w:rsidR="00DF5B08" w:rsidRPr="00776250" w14:paraId="41704B20" w14:textId="77777777" w:rsidTr="00A60A13">
        <w:trPr>
          <w:trHeight w:val="255"/>
          <w:jc w:val="center"/>
        </w:trPr>
        <w:tc>
          <w:tcPr>
            <w:tcW w:w="1972" w:type="dxa"/>
            <w:tcBorders>
              <w:top w:val="nil"/>
              <w:bottom w:val="nil"/>
              <w:right w:val="single" w:sz="4" w:space="0" w:color="000000"/>
            </w:tcBorders>
            <w:shd w:val="clear" w:color="auto" w:fill="auto"/>
          </w:tcPr>
          <w:p w14:paraId="078E88C0" w14:textId="77777777" w:rsidR="00DF5B08" w:rsidRPr="00F935E7" w:rsidRDefault="00DF5B08" w:rsidP="00A60A13">
            <w:pPr>
              <w:jc w:val="both"/>
              <w:rPr>
                <w:rFonts w:cs="Arial"/>
                <w:szCs w:val="20"/>
              </w:rPr>
            </w:pPr>
            <w:bookmarkStart w:id="1490" w:name="lt_pId769"/>
            <w:r w:rsidRPr="00F935E7">
              <w:rPr>
                <w:rFonts w:cs="Arial"/>
                <w:szCs w:val="20"/>
              </w:rPr>
              <w:t>R.40</w:t>
            </w:r>
            <w:bookmarkEnd w:id="1490"/>
          </w:p>
        </w:tc>
        <w:tc>
          <w:tcPr>
            <w:tcW w:w="7573" w:type="dxa"/>
            <w:tcBorders>
              <w:left w:val="single" w:sz="4" w:space="0" w:color="000000"/>
            </w:tcBorders>
            <w:shd w:val="clear" w:color="auto" w:fill="auto"/>
            <w:vAlign w:val="center"/>
          </w:tcPr>
          <w:p w14:paraId="0220DAA3" w14:textId="77777777" w:rsidR="00DF5B08" w:rsidRPr="00F935E7" w:rsidRDefault="00DF5B08" w:rsidP="00A60A13">
            <w:pPr>
              <w:jc w:val="both"/>
              <w:rPr>
                <w:rFonts w:cs="Arial"/>
                <w:szCs w:val="20"/>
              </w:rPr>
            </w:pPr>
            <w:bookmarkStart w:id="1491" w:name="lt_pId770"/>
            <w:r w:rsidRPr="00F935E7">
              <w:rPr>
                <w:rFonts w:cs="Arial"/>
                <w:szCs w:val="20"/>
              </w:rPr>
              <w:t>Autres formes de coopération internationale</w:t>
            </w:r>
            <w:bookmarkEnd w:id="1491"/>
          </w:p>
        </w:tc>
      </w:tr>
      <w:tr w:rsidR="00DF5B08" w:rsidRPr="00776250" w14:paraId="0832F4E1" w14:textId="77777777" w:rsidTr="00A60A13">
        <w:trPr>
          <w:trHeight w:val="255"/>
          <w:jc w:val="center"/>
        </w:trPr>
        <w:tc>
          <w:tcPr>
            <w:tcW w:w="1972" w:type="dxa"/>
            <w:tcBorders>
              <w:top w:val="nil"/>
              <w:bottom w:val="single" w:sz="4" w:space="0" w:color="000000"/>
              <w:right w:val="single" w:sz="4" w:space="0" w:color="000000"/>
            </w:tcBorders>
            <w:shd w:val="clear" w:color="auto" w:fill="auto"/>
          </w:tcPr>
          <w:p w14:paraId="0BFECF0A" w14:textId="77777777" w:rsidR="00DF5B08" w:rsidRPr="00F935E7" w:rsidRDefault="00DF5B08" w:rsidP="00A60A13">
            <w:pPr>
              <w:jc w:val="both"/>
              <w:rPr>
                <w:rFonts w:cs="Arial"/>
                <w:szCs w:val="20"/>
              </w:rPr>
            </w:pPr>
          </w:p>
        </w:tc>
        <w:tc>
          <w:tcPr>
            <w:tcW w:w="7573" w:type="dxa"/>
            <w:tcBorders>
              <w:left w:val="single" w:sz="4" w:space="0" w:color="000000"/>
            </w:tcBorders>
            <w:shd w:val="clear" w:color="auto" w:fill="auto"/>
            <w:vAlign w:val="center"/>
          </w:tcPr>
          <w:p w14:paraId="495976E4" w14:textId="77777777" w:rsidR="00DF5B08" w:rsidRPr="00F935E7" w:rsidRDefault="00DF5B08" w:rsidP="00A60A13">
            <w:pPr>
              <w:jc w:val="both"/>
              <w:rPr>
                <w:rFonts w:cs="Arial"/>
                <w:szCs w:val="20"/>
              </w:rPr>
            </w:pPr>
          </w:p>
        </w:tc>
      </w:tr>
    </w:tbl>
    <w:p w14:paraId="25E90C5E" w14:textId="77777777" w:rsidR="00DF5B08" w:rsidRPr="00F935E7" w:rsidRDefault="00DF5B08" w:rsidP="00DF5B08">
      <w:pPr>
        <w:jc w:val="both"/>
        <w:rPr>
          <w:rFonts w:cs="Arial"/>
          <w:szCs w:val="20"/>
        </w:rPr>
      </w:pPr>
    </w:p>
    <w:p w14:paraId="788C4790" w14:textId="77777777" w:rsidR="00DF5B08" w:rsidRPr="00F935E7" w:rsidRDefault="00DF5B08" w:rsidP="00DF5B08">
      <w:pPr>
        <w:jc w:val="both"/>
        <w:rPr>
          <w:rFonts w:cs="Arial"/>
          <w:szCs w:val="20"/>
        </w:rPr>
      </w:pPr>
      <w:r w:rsidRPr="00F935E7">
        <w:rPr>
          <w:rFonts w:cs="Arial"/>
          <w:szCs w:val="20"/>
        </w:rPr>
        <w:br w:type="page"/>
      </w:r>
    </w:p>
    <w:tbl>
      <w:tblPr>
        <w:tblW w:w="0" w:type="auto"/>
        <w:jc w:val="center"/>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2"/>
        <w:gridCol w:w="7660"/>
      </w:tblGrid>
      <w:tr w:rsidR="00DF5B08" w:rsidRPr="00F935E7" w14:paraId="489E980B" w14:textId="77777777" w:rsidTr="00A60A13">
        <w:trPr>
          <w:trHeight w:val="255"/>
          <w:jc w:val="center"/>
        </w:trPr>
        <w:tc>
          <w:tcPr>
            <w:tcW w:w="9652" w:type="dxa"/>
            <w:gridSpan w:val="2"/>
            <w:shd w:val="clear" w:color="auto" w:fill="F2F2F2" w:themeFill="background1" w:themeFillShade="F2"/>
            <w:vAlign w:val="center"/>
          </w:tcPr>
          <w:p w14:paraId="38A26237" w14:textId="77777777" w:rsidR="00DF5B08" w:rsidRPr="00F935E7" w:rsidRDefault="00DF5B08" w:rsidP="00A60A13">
            <w:pPr>
              <w:jc w:val="both"/>
              <w:rPr>
                <w:rFonts w:cs="Arial"/>
                <w:b/>
                <w:szCs w:val="20"/>
              </w:rPr>
            </w:pPr>
            <w:bookmarkStart w:id="1492" w:name="lt_pId771"/>
            <w:r w:rsidRPr="00F935E7">
              <w:rPr>
                <w:rFonts w:cs="Arial"/>
                <w:b/>
                <w:szCs w:val="20"/>
              </w:rPr>
              <w:lastRenderedPageBreak/>
              <w:t>B.</w:t>
            </w:r>
            <w:bookmarkEnd w:id="1492"/>
            <w:r w:rsidRPr="00F935E7">
              <w:rPr>
                <w:rFonts w:cs="Arial"/>
                <w:b/>
                <w:szCs w:val="20"/>
              </w:rPr>
              <w:t xml:space="preserve"> </w:t>
            </w:r>
            <w:bookmarkStart w:id="1493" w:name="lt_pId772"/>
            <w:r w:rsidRPr="00F935E7">
              <w:rPr>
                <w:rFonts w:cs="Arial"/>
                <w:b/>
                <w:szCs w:val="20"/>
              </w:rPr>
              <w:t>Résultats immédiats</w:t>
            </w:r>
            <w:bookmarkEnd w:id="1493"/>
            <w:r w:rsidRPr="00F935E7">
              <w:rPr>
                <w:rFonts w:cs="Arial"/>
                <w:b/>
                <w:szCs w:val="20"/>
              </w:rPr>
              <w:t xml:space="preserve"> </w:t>
            </w:r>
          </w:p>
        </w:tc>
      </w:tr>
      <w:tr w:rsidR="00DF5B08" w:rsidRPr="00776250" w14:paraId="2E8D9236" w14:textId="77777777" w:rsidTr="00A60A13">
        <w:trPr>
          <w:trHeight w:val="255"/>
          <w:jc w:val="center"/>
        </w:trPr>
        <w:tc>
          <w:tcPr>
            <w:tcW w:w="1992" w:type="dxa"/>
            <w:shd w:val="clear" w:color="auto" w:fill="auto"/>
          </w:tcPr>
          <w:p w14:paraId="073BC374" w14:textId="77777777" w:rsidR="00DF5B08" w:rsidRPr="00F935E7" w:rsidRDefault="00DF5B08" w:rsidP="00A60A13">
            <w:pPr>
              <w:jc w:val="both"/>
              <w:rPr>
                <w:rFonts w:cs="Arial"/>
                <w:szCs w:val="20"/>
              </w:rPr>
            </w:pPr>
            <w:bookmarkStart w:id="1494" w:name="lt_pId773"/>
            <w:r w:rsidRPr="00F935E7">
              <w:rPr>
                <w:rFonts w:cs="Arial"/>
                <w:szCs w:val="20"/>
              </w:rPr>
              <w:t>RI.1</w:t>
            </w:r>
            <w:bookmarkEnd w:id="1494"/>
          </w:p>
        </w:tc>
        <w:tc>
          <w:tcPr>
            <w:tcW w:w="7660" w:type="dxa"/>
            <w:shd w:val="clear" w:color="auto" w:fill="auto"/>
            <w:vAlign w:val="center"/>
          </w:tcPr>
          <w:p w14:paraId="1AC5EA5F" w14:textId="77777777" w:rsidR="00DF5B08" w:rsidRPr="00F935E7" w:rsidRDefault="00DF5B08" w:rsidP="002E6C1B">
            <w:pPr>
              <w:rPr>
                <w:rFonts w:cs="Arial"/>
                <w:szCs w:val="20"/>
              </w:rPr>
            </w:pPr>
            <w:bookmarkStart w:id="1495" w:name="lt_pId774"/>
            <w:r w:rsidRPr="00F935E7">
              <w:rPr>
                <w:rFonts w:cs="Arial"/>
                <w:szCs w:val="20"/>
              </w:rPr>
              <w:t>Les risques de blanchiment de capitaux et de financement du terrorisme sont compris et, le cas échéant, des actions sont coordonnées au niveau national pour lutter contre le blanchiment de capitaux et le financement du terrorisme et de la prolifération.</w:t>
            </w:r>
            <w:bookmarkEnd w:id="1495"/>
          </w:p>
          <w:p w14:paraId="35BCFEF3" w14:textId="77777777" w:rsidR="00DF5B08" w:rsidRPr="00F935E7" w:rsidRDefault="00DF5B08" w:rsidP="002E6C1B">
            <w:pPr>
              <w:rPr>
                <w:rFonts w:cs="Arial"/>
                <w:szCs w:val="20"/>
              </w:rPr>
            </w:pPr>
          </w:p>
        </w:tc>
      </w:tr>
      <w:tr w:rsidR="00DF5B08" w:rsidRPr="00776250" w14:paraId="030EFF0C" w14:textId="77777777" w:rsidTr="00A60A13">
        <w:trPr>
          <w:trHeight w:val="255"/>
          <w:jc w:val="center"/>
        </w:trPr>
        <w:tc>
          <w:tcPr>
            <w:tcW w:w="1992" w:type="dxa"/>
            <w:shd w:val="clear" w:color="auto" w:fill="auto"/>
          </w:tcPr>
          <w:p w14:paraId="082EE49B" w14:textId="77777777" w:rsidR="00DF5B08" w:rsidRPr="00F935E7" w:rsidRDefault="00DF5B08" w:rsidP="00A60A13">
            <w:pPr>
              <w:jc w:val="both"/>
              <w:rPr>
                <w:rFonts w:cs="Arial"/>
                <w:szCs w:val="20"/>
              </w:rPr>
            </w:pPr>
            <w:bookmarkStart w:id="1496" w:name="lt_pId775"/>
            <w:r w:rsidRPr="00F935E7">
              <w:rPr>
                <w:rFonts w:cs="Arial"/>
                <w:szCs w:val="20"/>
              </w:rPr>
              <w:t>RI.2</w:t>
            </w:r>
            <w:bookmarkEnd w:id="1496"/>
          </w:p>
        </w:tc>
        <w:tc>
          <w:tcPr>
            <w:tcW w:w="7660" w:type="dxa"/>
            <w:shd w:val="clear" w:color="auto" w:fill="auto"/>
            <w:vAlign w:val="center"/>
          </w:tcPr>
          <w:p w14:paraId="0A04D0A0" w14:textId="77777777" w:rsidR="00DF5B08" w:rsidRPr="00F935E7" w:rsidRDefault="00DF5B08" w:rsidP="002E6C1B">
            <w:pPr>
              <w:rPr>
                <w:rFonts w:cs="Arial"/>
                <w:szCs w:val="20"/>
              </w:rPr>
            </w:pPr>
            <w:bookmarkStart w:id="1497" w:name="lt_pId776"/>
            <w:r w:rsidRPr="00F935E7">
              <w:rPr>
                <w:rFonts w:cs="Arial"/>
                <w:szCs w:val="20"/>
              </w:rPr>
              <w:t>La coopération internationale fournit des informations, des renseignements financiers et des preuves adéquats, et facilite les actions à l’encontre des criminels et de leurs biens.</w:t>
            </w:r>
            <w:bookmarkEnd w:id="1497"/>
          </w:p>
          <w:p w14:paraId="75C43415" w14:textId="77777777" w:rsidR="00DF5B08" w:rsidRPr="00F935E7" w:rsidRDefault="00DF5B08" w:rsidP="002E6C1B">
            <w:pPr>
              <w:rPr>
                <w:rFonts w:cs="Arial"/>
                <w:szCs w:val="20"/>
              </w:rPr>
            </w:pPr>
          </w:p>
        </w:tc>
      </w:tr>
      <w:tr w:rsidR="00DF5B08" w:rsidRPr="00776250" w14:paraId="4F0F3888" w14:textId="77777777" w:rsidTr="00A60A13">
        <w:trPr>
          <w:trHeight w:val="255"/>
          <w:jc w:val="center"/>
        </w:trPr>
        <w:tc>
          <w:tcPr>
            <w:tcW w:w="1992" w:type="dxa"/>
            <w:shd w:val="clear" w:color="auto" w:fill="auto"/>
          </w:tcPr>
          <w:p w14:paraId="715B14BF" w14:textId="77777777" w:rsidR="00DF5B08" w:rsidRPr="00F935E7" w:rsidRDefault="00DF5B08" w:rsidP="00A60A13">
            <w:pPr>
              <w:jc w:val="both"/>
              <w:rPr>
                <w:rFonts w:cs="Arial"/>
                <w:szCs w:val="20"/>
              </w:rPr>
            </w:pPr>
            <w:bookmarkStart w:id="1498" w:name="lt_pId777"/>
            <w:r w:rsidRPr="00F935E7">
              <w:rPr>
                <w:rFonts w:cs="Arial"/>
                <w:szCs w:val="20"/>
              </w:rPr>
              <w:t>RI.3</w:t>
            </w:r>
            <w:bookmarkEnd w:id="1498"/>
          </w:p>
        </w:tc>
        <w:tc>
          <w:tcPr>
            <w:tcW w:w="7660" w:type="dxa"/>
            <w:shd w:val="clear" w:color="auto" w:fill="auto"/>
            <w:vAlign w:val="center"/>
          </w:tcPr>
          <w:p w14:paraId="4E37D5BB" w14:textId="77777777" w:rsidR="00DF5B08" w:rsidRPr="00F935E7" w:rsidRDefault="00DF5B08" w:rsidP="002E6C1B">
            <w:pPr>
              <w:rPr>
                <w:rFonts w:cs="Arial"/>
                <w:szCs w:val="20"/>
              </w:rPr>
            </w:pPr>
            <w:bookmarkStart w:id="1499" w:name="lt_pId778"/>
            <w:r w:rsidRPr="00F935E7">
              <w:rPr>
                <w:rFonts w:cs="Arial"/>
                <w:szCs w:val="20"/>
              </w:rPr>
              <w:t xml:space="preserve">Les autorités de surveillance supervisent, contrôlent et réglementent de manière adéquate les institutions financières, les entreprises et professions non financières désignées et les prestataires de services dans le domaine des biens virtuels afin de s’assurer qu’ils respectent les obligations de </w:t>
            </w:r>
            <w:r>
              <w:rPr>
                <w:rFonts w:cs="Arial"/>
                <w:szCs w:val="20"/>
              </w:rPr>
              <w:t>LBC</w:t>
            </w:r>
            <w:r w:rsidRPr="00F935E7">
              <w:rPr>
                <w:rFonts w:cs="Arial"/>
                <w:szCs w:val="20"/>
              </w:rPr>
              <w:t>/FT en fonction de leurs risques respectifs.</w:t>
            </w:r>
            <w:bookmarkEnd w:id="1499"/>
          </w:p>
        </w:tc>
      </w:tr>
      <w:tr w:rsidR="00DF5B08" w:rsidRPr="00776250" w14:paraId="72B55457" w14:textId="77777777" w:rsidTr="00A60A13">
        <w:trPr>
          <w:trHeight w:val="255"/>
          <w:jc w:val="center"/>
        </w:trPr>
        <w:tc>
          <w:tcPr>
            <w:tcW w:w="1992" w:type="dxa"/>
            <w:shd w:val="clear" w:color="auto" w:fill="auto"/>
          </w:tcPr>
          <w:p w14:paraId="15F88BD5" w14:textId="77777777" w:rsidR="00DF5B08" w:rsidRPr="00F935E7" w:rsidRDefault="00DF5B08" w:rsidP="00A60A13">
            <w:pPr>
              <w:jc w:val="both"/>
              <w:rPr>
                <w:rFonts w:cs="Arial"/>
                <w:szCs w:val="20"/>
              </w:rPr>
            </w:pPr>
          </w:p>
          <w:p w14:paraId="7B19165C" w14:textId="77777777" w:rsidR="00DF5B08" w:rsidRPr="00F935E7" w:rsidRDefault="00DF5B08" w:rsidP="00A60A13">
            <w:pPr>
              <w:jc w:val="both"/>
              <w:rPr>
                <w:rFonts w:cs="Arial"/>
                <w:szCs w:val="20"/>
              </w:rPr>
            </w:pPr>
            <w:bookmarkStart w:id="1500" w:name="lt_pId779"/>
            <w:r w:rsidRPr="00F935E7">
              <w:rPr>
                <w:rFonts w:cs="Arial"/>
                <w:szCs w:val="20"/>
              </w:rPr>
              <w:t>RI.4</w:t>
            </w:r>
            <w:bookmarkEnd w:id="1500"/>
          </w:p>
        </w:tc>
        <w:tc>
          <w:tcPr>
            <w:tcW w:w="7660" w:type="dxa"/>
            <w:shd w:val="clear" w:color="auto" w:fill="auto"/>
            <w:vAlign w:val="center"/>
          </w:tcPr>
          <w:p w14:paraId="0C7BB92B" w14:textId="77777777" w:rsidR="00DF5B08" w:rsidRPr="00F935E7" w:rsidRDefault="00DF5B08" w:rsidP="002E6C1B">
            <w:pPr>
              <w:rPr>
                <w:rFonts w:cs="Arial"/>
                <w:szCs w:val="20"/>
              </w:rPr>
            </w:pPr>
          </w:p>
          <w:p w14:paraId="017B4FE9" w14:textId="77777777" w:rsidR="00DF5B08" w:rsidRPr="00F935E7" w:rsidRDefault="00DF5B08" w:rsidP="002E6C1B">
            <w:pPr>
              <w:rPr>
                <w:rFonts w:cs="Arial"/>
                <w:szCs w:val="20"/>
              </w:rPr>
            </w:pPr>
            <w:bookmarkStart w:id="1501" w:name="lt_pId780"/>
            <w:r w:rsidRPr="00F935E7">
              <w:rPr>
                <w:rFonts w:cs="Arial"/>
                <w:szCs w:val="20"/>
              </w:rPr>
              <w:t xml:space="preserve">Les institutions financières, si les entreprises et professions non financières désignées et les prestataires de services dans le domaine des biens virtuels mettent en œuvre de manière satisfaisante des mesures préventives en matière de </w:t>
            </w:r>
            <w:r>
              <w:rPr>
                <w:rFonts w:cs="Arial"/>
                <w:szCs w:val="20"/>
              </w:rPr>
              <w:t>LBC</w:t>
            </w:r>
            <w:r w:rsidRPr="00F935E7">
              <w:rPr>
                <w:rFonts w:cs="Arial"/>
                <w:szCs w:val="20"/>
              </w:rPr>
              <w:t>/FT en fonction de leurs risques respectifs et déclarent les opérations suspectes.</w:t>
            </w:r>
            <w:bookmarkEnd w:id="1501"/>
          </w:p>
        </w:tc>
      </w:tr>
      <w:tr w:rsidR="00DF5B08" w:rsidRPr="00776250" w14:paraId="613E9F1C" w14:textId="77777777" w:rsidTr="00A60A13">
        <w:trPr>
          <w:trHeight w:val="255"/>
          <w:jc w:val="center"/>
        </w:trPr>
        <w:tc>
          <w:tcPr>
            <w:tcW w:w="1992" w:type="dxa"/>
            <w:shd w:val="clear" w:color="auto" w:fill="auto"/>
          </w:tcPr>
          <w:p w14:paraId="31717E60" w14:textId="77777777" w:rsidR="00DF5B08" w:rsidRPr="00F935E7" w:rsidRDefault="00DF5B08" w:rsidP="00A60A13">
            <w:pPr>
              <w:jc w:val="both"/>
              <w:rPr>
                <w:rFonts w:cs="Arial"/>
                <w:szCs w:val="20"/>
              </w:rPr>
            </w:pPr>
          </w:p>
          <w:p w14:paraId="6A09F620" w14:textId="77777777" w:rsidR="00DF5B08" w:rsidRPr="00F935E7" w:rsidRDefault="00DF5B08" w:rsidP="00A60A13">
            <w:pPr>
              <w:jc w:val="both"/>
              <w:rPr>
                <w:rFonts w:cs="Arial"/>
                <w:szCs w:val="20"/>
              </w:rPr>
            </w:pPr>
            <w:bookmarkStart w:id="1502" w:name="lt_pId781"/>
            <w:r w:rsidRPr="00F935E7">
              <w:rPr>
                <w:rFonts w:cs="Arial"/>
                <w:szCs w:val="20"/>
              </w:rPr>
              <w:t>RI.5</w:t>
            </w:r>
            <w:bookmarkEnd w:id="1502"/>
          </w:p>
        </w:tc>
        <w:tc>
          <w:tcPr>
            <w:tcW w:w="7660" w:type="dxa"/>
            <w:shd w:val="clear" w:color="auto" w:fill="auto"/>
            <w:vAlign w:val="center"/>
          </w:tcPr>
          <w:p w14:paraId="1B340DE2" w14:textId="77777777" w:rsidR="00DF5B08" w:rsidRPr="00F935E7" w:rsidRDefault="00DF5B08" w:rsidP="002E6C1B">
            <w:pPr>
              <w:rPr>
                <w:rFonts w:cs="Arial"/>
                <w:szCs w:val="20"/>
              </w:rPr>
            </w:pPr>
          </w:p>
          <w:p w14:paraId="37054BED" w14:textId="77777777" w:rsidR="00DF5B08" w:rsidRPr="00F935E7" w:rsidRDefault="00DF5B08" w:rsidP="002E6C1B">
            <w:pPr>
              <w:rPr>
                <w:rFonts w:cs="Arial"/>
                <w:szCs w:val="20"/>
              </w:rPr>
            </w:pPr>
            <w:bookmarkStart w:id="1503" w:name="lt_pId782"/>
            <w:r w:rsidRPr="00F935E7">
              <w:rPr>
                <w:rFonts w:cs="Arial"/>
                <w:szCs w:val="20"/>
              </w:rPr>
              <w:t>Des mesures sont prises pour éviter que les personnes morales et autres construction</w:t>
            </w:r>
            <w:r>
              <w:rPr>
                <w:rFonts w:cs="Arial"/>
                <w:szCs w:val="20"/>
              </w:rPr>
              <w:t>s</w:t>
            </w:r>
            <w:r w:rsidRPr="00F935E7">
              <w:rPr>
                <w:rFonts w:cs="Arial"/>
                <w:szCs w:val="20"/>
              </w:rPr>
              <w:t xml:space="preserve"> juridiques soient utilisées de manière abusive à des fins de BC/FT et pour que les autorités compétentes puissent obtenir sans entrave</w:t>
            </w:r>
            <w:r>
              <w:rPr>
                <w:rFonts w:cs="Arial"/>
                <w:szCs w:val="20"/>
              </w:rPr>
              <w:t>s</w:t>
            </w:r>
            <w:r w:rsidRPr="00F935E7">
              <w:rPr>
                <w:rFonts w:cs="Arial"/>
                <w:szCs w:val="20"/>
              </w:rPr>
              <w:t xml:space="preserve"> des informations sur les bénéficiaires effectifs de ces structures.</w:t>
            </w:r>
            <w:bookmarkEnd w:id="1503"/>
          </w:p>
        </w:tc>
      </w:tr>
      <w:tr w:rsidR="00DF5B08" w:rsidRPr="00776250" w14:paraId="2E49137B" w14:textId="77777777" w:rsidTr="00A60A13">
        <w:trPr>
          <w:trHeight w:val="255"/>
          <w:jc w:val="center"/>
        </w:trPr>
        <w:tc>
          <w:tcPr>
            <w:tcW w:w="1992" w:type="dxa"/>
            <w:shd w:val="clear" w:color="auto" w:fill="auto"/>
          </w:tcPr>
          <w:p w14:paraId="3A6AD11C" w14:textId="77777777" w:rsidR="00DF5B08" w:rsidRPr="00F935E7" w:rsidRDefault="00DF5B08" w:rsidP="00A60A13">
            <w:pPr>
              <w:jc w:val="both"/>
              <w:rPr>
                <w:rFonts w:cs="Arial"/>
                <w:szCs w:val="20"/>
              </w:rPr>
            </w:pPr>
          </w:p>
          <w:p w14:paraId="2EE4F424" w14:textId="77777777" w:rsidR="00DF5B08" w:rsidRPr="00F935E7" w:rsidRDefault="00DF5B08" w:rsidP="00A60A13">
            <w:pPr>
              <w:jc w:val="both"/>
              <w:rPr>
                <w:rFonts w:cs="Arial"/>
                <w:szCs w:val="20"/>
              </w:rPr>
            </w:pPr>
            <w:bookmarkStart w:id="1504" w:name="lt_pId783"/>
            <w:r w:rsidRPr="00F935E7">
              <w:rPr>
                <w:rFonts w:cs="Arial"/>
                <w:szCs w:val="20"/>
              </w:rPr>
              <w:t>RI.6</w:t>
            </w:r>
            <w:bookmarkEnd w:id="1504"/>
          </w:p>
        </w:tc>
        <w:tc>
          <w:tcPr>
            <w:tcW w:w="7660" w:type="dxa"/>
            <w:shd w:val="clear" w:color="auto" w:fill="auto"/>
            <w:vAlign w:val="center"/>
          </w:tcPr>
          <w:p w14:paraId="2076E22C" w14:textId="77777777" w:rsidR="00DF5B08" w:rsidRPr="00F935E7" w:rsidRDefault="00DF5B08" w:rsidP="002E6C1B">
            <w:pPr>
              <w:rPr>
                <w:rFonts w:cs="Arial"/>
                <w:szCs w:val="20"/>
              </w:rPr>
            </w:pPr>
          </w:p>
          <w:p w14:paraId="0BCF6457" w14:textId="77777777" w:rsidR="00DF5B08" w:rsidRPr="00F935E7" w:rsidRDefault="00DF5B08" w:rsidP="002E6C1B">
            <w:pPr>
              <w:rPr>
                <w:rFonts w:cs="Arial"/>
                <w:szCs w:val="20"/>
              </w:rPr>
            </w:pPr>
            <w:bookmarkStart w:id="1505" w:name="lt_pId784"/>
            <w:r w:rsidRPr="00F935E7">
              <w:rPr>
                <w:rFonts w:cs="Arial"/>
                <w:szCs w:val="20"/>
              </w:rPr>
              <w:t>Les renseignements financiers et toutes les autres informations pertinentes sont utilisés de manière appropriée par les autorités compétentes dans le cadre des enquêtes sur le blanchiment de capitaux et le financement du terrorisme.</w:t>
            </w:r>
            <w:bookmarkEnd w:id="1505"/>
          </w:p>
        </w:tc>
      </w:tr>
      <w:tr w:rsidR="00DF5B08" w:rsidRPr="00776250" w14:paraId="5D9A8E73" w14:textId="77777777" w:rsidTr="00A60A13">
        <w:trPr>
          <w:trHeight w:val="255"/>
          <w:jc w:val="center"/>
        </w:trPr>
        <w:tc>
          <w:tcPr>
            <w:tcW w:w="1992" w:type="dxa"/>
            <w:shd w:val="clear" w:color="auto" w:fill="auto"/>
          </w:tcPr>
          <w:p w14:paraId="447D202A" w14:textId="77777777" w:rsidR="00DF5B08" w:rsidRPr="00F935E7" w:rsidRDefault="00DF5B08" w:rsidP="00A60A13">
            <w:pPr>
              <w:jc w:val="both"/>
              <w:rPr>
                <w:rFonts w:cs="Arial"/>
                <w:szCs w:val="20"/>
              </w:rPr>
            </w:pPr>
          </w:p>
          <w:p w14:paraId="0F47B3DE" w14:textId="77777777" w:rsidR="00DF5B08" w:rsidRPr="00F935E7" w:rsidRDefault="00DF5B08" w:rsidP="00A60A13">
            <w:pPr>
              <w:jc w:val="both"/>
              <w:rPr>
                <w:rFonts w:cs="Arial"/>
                <w:szCs w:val="20"/>
              </w:rPr>
            </w:pPr>
            <w:bookmarkStart w:id="1506" w:name="lt_pId785"/>
            <w:r w:rsidRPr="00F935E7">
              <w:rPr>
                <w:rFonts w:cs="Arial"/>
                <w:szCs w:val="20"/>
              </w:rPr>
              <w:t>RI.7</w:t>
            </w:r>
            <w:bookmarkEnd w:id="1506"/>
          </w:p>
        </w:tc>
        <w:tc>
          <w:tcPr>
            <w:tcW w:w="7660" w:type="dxa"/>
            <w:shd w:val="clear" w:color="auto" w:fill="auto"/>
            <w:vAlign w:val="center"/>
          </w:tcPr>
          <w:p w14:paraId="4CCBFF80" w14:textId="77777777" w:rsidR="00DF5B08" w:rsidRPr="00F935E7" w:rsidRDefault="00DF5B08" w:rsidP="002E6C1B">
            <w:pPr>
              <w:rPr>
                <w:rFonts w:cs="Arial"/>
                <w:szCs w:val="20"/>
              </w:rPr>
            </w:pPr>
          </w:p>
          <w:p w14:paraId="49159FA6" w14:textId="77777777" w:rsidR="00DF5B08" w:rsidRPr="00F935E7" w:rsidRDefault="00DF5B08" w:rsidP="002E6C1B">
            <w:pPr>
              <w:rPr>
                <w:rFonts w:cs="Arial"/>
                <w:szCs w:val="20"/>
              </w:rPr>
            </w:pPr>
            <w:bookmarkStart w:id="1507" w:name="lt_pId786"/>
            <w:r w:rsidRPr="00F935E7">
              <w:rPr>
                <w:rFonts w:cs="Arial"/>
                <w:szCs w:val="20"/>
              </w:rPr>
              <w:t>Les activités et les infractions de blanchiment de capitaux font l’objet d’enquêtes et les auteurs d’infractions sont poursuivis et font l’objet de sanctions efficaces, proportionnées et dissuasives.</w:t>
            </w:r>
            <w:bookmarkEnd w:id="1507"/>
          </w:p>
        </w:tc>
      </w:tr>
      <w:tr w:rsidR="00DF5B08" w:rsidRPr="00776250" w14:paraId="41B83B84" w14:textId="77777777" w:rsidTr="00A60A13">
        <w:trPr>
          <w:trHeight w:val="255"/>
          <w:jc w:val="center"/>
        </w:trPr>
        <w:tc>
          <w:tcPr>
            <w:tcW w:w="1992" w:type="dxa"/>
            <w:shd w:val="clear" w:color="auto" w:fill="auto"/>
          </w:tcPr>
          <w:p w14:paraId="0D57C83E" w14:textId="77777777" w:rsidR="00DF5B08" w:rsidRPr="00F935E7" w:rsidRDefault="00DF5B08" w:rsidP="00A60A13">
            <w:pPr>
              <w:jc w:val="both"/>
              <w:rPr>
                <w:rFonts w:cs="Arial"/>
                <w:szCs w:val="20"/>
              </w:rPr>
            </w:pPr>
          </w:p>
          <w:p w14:paraId="7BA9ACAA" w14:textId="77777777" w:rsidR="00DF5B08" w:rsidRPr="00F935E7" w:rsidRDefault="00DF5B08" w:rsidP="00A60A13">
            <w:pPr>
              <w:jc w:val="both"/>
              <w:rPr>
                <w:rFonts w:cs="Arial"/>
                <w:szCs w:val="20"/>
              </w:rPr>
            </w:pPr>
            <w:bookmarkStart w:id="1508" w:name="lt_pId787"/>
            <w:r w:rsidRPr="00F935E7">
              <w:rPr>
                <w:rFonts w:cs="Arial"/>
                <w:szCs w:val="20"/>
              </w:rPr>
              <w:t>RI.8</w:t>
            </w:r>
            <w:bookmarkEnd w:id="1508"/>
          </w:p>
        </w:tc>
        <w:tc>
          <w:tcPr>
            <w:tcW w:w="7660" w:type="dxa"/>
            <w:shd w:val="clear" w:color="auto" w:fill="auto"/>
            <w:vAlign w:val="center"/>
          </w:tcPr>
          <w:p w14:paraId="3751F42A" w14:textId="77777777" w:rsidR="00DF5B08" w:rsidRPr="00F935E7" w:rsidRDefault="00DF5B08" w:rsidP="002E6C1B">
            <w:pPr>
              <w:rPr>
                <w:rFonts w:cs="Arial"/>
                <w:szCs w:val="20"/>
              </w:rPr>
            </w:pPr>
          </w:p>
          <w:p w14:paraId="5E10B337" w14:textId="77777777" w:rsidR="00DF5B08" w:rsidRPr="00F935E7" w:rsidRDefault="00DF5B08" w:rsidP="002E6C1B">
            <w:pPr>
              <w:rPr>
                <w:rFonts w:cs="Arial"/>
                <w:szCs w:val="20"/>
              </w:rPr>
            </w:pPr>
            <w:bookmarkStart w:id="1509" w:name="lt_pId788"/>
            <w:r w:rsidRPr="00F935E7">
              <w:rPr>
                <w:rFonts w:cs="Arial"/>
                <w:szCs w:val="20"/>
              </w:rPr>
              <w:t>Les produits et les instruments du crime sont confisqués.</w:t>
            </w:r>
            <w:bookmarkEnd w:id="1509"/>
          </w:p>
        </w:tc>
      </w:tr>
      <w:tr w:rsidR="00DF5B08" w:rsidRPr="00776250" w14:paraId="012FAE76" w14:textId="77777777" w:rsidTr="00A60A13">
        <w:trPr>
          <w:trHeight w:val="255"/>
          <w:jc w:val="center"/>
        </w:trPr>
        <w:tc>
          <w:tcPr>
            <w:tcW w:w="1992" w:type="dxa"/>
            <w:shd w:val="clear" w:color="auto" w:fill="auto"/>
          </w:tcPr>
          <w:p w14:paraId="53D01E6E" w14:textId="77777777" w:rsidR="00DF5B08" w:rsidRPr="00F935E7" w:rsidRDefault="00DF5B08" w:rsidP="00A60A13">
            <w:pPr>
              <w:jc w:val="both"/>
              <w:rPr>
                <w:rFonts w:cs="Arial"/>
                <w:szCs w:val="20"/>
              </w:rPr>
            </w:pPr>
          </w:p>
          <w:p w14:paraId="722C35E1" w14:textId="77777777" w:rsidR="00DF5B08" w:rsidRPr="00F935E7" w:rsidRDefault="00DF5B08" w:rsidP="00A60A13">
            <w:pPr>
              <w:jc w:val="both"/>
              <w:rPr>
                <w:rFonts w:cs="Arial"/>
                <w:szCs w:val="20"/>
              </w:rPr>
            </w:pPr>
            <w:bookmarkStart w:id="1510" w:name="lt_pId789"/>
            <w:r w:rsidRPr="00F935E7">
              <w:rPr>
                <w:rFonts w:cs="Arial"/>
                <w:szCs w:val="20"/>
              </w:rPr>
              <w:t>RI.9</w:t>
            </w:r>
            <w:bookmarkEnd w:id="1510"/>
          </w:p>
        </w:tc>
        <w:tc>
          <w:tcPr>
            <w:tcW w:w="7660" w:type="dxa"/>
            <w:shd w:val="clear" w:color="auto" w:fill="auto"/>
            <w:vAlign w:val="center"/>
          </w:tcPr>
          <w:p w14:paraId="251BE35D" w14:textId="77777777" w:rsidR="00DF5B08" w:rsidRPr="00F935E7" w:rsidRDefault="00DF5B08" w:rsidP="002E6C1B">
            <w:pPr>
              <w:rPr>
                <w:rFonts w:cs="Arial"/>
                <w:szCs w:val="20"/>
              </w:rPr>
            </w:pPr>
          </w:p>
          <w:p w14:paraId="39EE2C8B" w14:textId="77777777" w:rsidR="00DF5B08" w:rsidRPr="00F935E7" w:rsidRDefault="00DF5B08" w:rsidP="002E6C1B">
            <w:pPr>
              <w:rPr>
                <w:rFonts w:cs="Arial"/>
                <w:szCs w:val="20"/>
              </w:rPr>
            </w:pPr>
            <w:bookmarkStart w:id="1511" w:name="lt_pId790"/>
            <w:r w:rsidRPr="00F935E7">
              <w:rPr>
                <w:rFonts w:cs="Arial"/>
                <w:szCs w:val="20"/>
              </w:rPr>
              <w:t>Les activités et les infractions de financement du terrorisme font l’objet d’enquêtes et les personnes qui financent le terrorisme font l’objet de poursuites et de sanctions efficaces, proportionnées et dissuasives.</w:t>
            </w:r>
            <w:bookmarkEnd w:id="1511"/>
          </w:p>
        </w:tc>
      </w:tr>
      <w:tr w:rsidR="00DF5B08" w:rsidRPr="00776250" w14:paraId="413A1CA1" w14:textId="77777777" w:rsidTr="00A60A13">
        <w:trPr>
          <w:trHeight w:val="255"/>
          <w:jc w:val="center"/>
        </w:trPr>
        <w:tc>
          <w:tcPr>
            <w:tcW w:w="1992" w:type="dxa"/>
            <w:shd w:val="clear" w:color="auto" w:fill="auto"/>
          </w:tcPr>
          <w:p w14:paraId="1D448FCE" w14:textId="77777777" w:rsidR="00DF5B08" w:rsidRPr="00F935E7" w:rsidRDefault="00DF5B08" w:rsidP="00A60A13">
            <w:pPr>
              <w:jc w:val="both"/>
              <w:rPr>
                <w:rFonts w:cs="Arial"/>
                <w:szCs w:val="20"/>
              </w:rPr>
            </w:pPr>
          </w:p>
          <w:p w14:paraId="6A4D8862" w14:textId="77777777" w:rsidR="00DF5B08" w:rsidRPr="00F935E7" w:rsidRDefault="00DF5B08" w:rsidP="00A60A13">
            <w:pPr>
              <w:jc w:val="both"/>
              <w:rPr>
                <w:rFonts w:cs="Arial"/>
                <w:szCs w:val="20"/>
              </w:rPr>
            </w:pPr>
            <w:bookmarkStart w:id="1512" w:name="lt_pId791"/>
            <w:r w:rsidRPr="00F935E7">
              <w:rPr>
                <w:rFonts w:cs="Arial"/>
                <w:szCs w:val="20"/>
              </w:rPr>
              <w:t>RI.10</w:t>
            </w:r>
            <w:bookmarkEnd w:id="1512"/>
          </w:p>
        </w:tc>
        <w:tc>
          <w:tcPr>
            <w:tcW w:w="7660" w:type="dxa"/>
            <w:shd w:val="clear" w:color="auto" w:fill="auto"/>
            <w:vAlign w:val="center"/>
          </w:tcPr>
          <w:p w14:paraId="3B7605EF" w14:textId="77777777" w:rsidR="00DF5B08" w:rsidRPr="00F935E7" w:rsidRDefault="00DF5B08" w:rsidP="002E6C1B">
            <w:pPr>
              <w:rPr>
                <w:rFonts w:cs="Arial"/>
                <w:szCs w:val="20"/>
              </w:rPr>
            </w:pPr>
          </w:p>
          <w:p w14:paraId="39CE7A64" w14:textId="77777777" w:rsidR="00DF5B08" w:rsidRPr="00F935E7" w:rsidRDefault="00DF5B08" w:rsidP="002E6C1B">
            <w:pPr>
              <w:rPr>
                <w:rFonts w:cs="Arial"/>
                <w:szCs w:val="20"/>
              </w:rPr>
            </w:pPr>
            <w:bookmarkStart w:id="1513" w:name="lt_pId792"/>
            <w:r w:rsidRPr="00F935E7">
              <w:rPr>
                <w:rFonts w:cs="Arial"/>
                <w:szCs w:val="20"/>
              </w:rPr>
              <w:t>Les terroristes, les organisations terroristes et les personnes qui financent le terrorisme ne peuvent ni collecter, transférer et utiliser des fonds, ni exploiter de manière abusive des OBNL à des fins de financement du terrorisme.</w:t>
            </w:r>
            <w:bookmarkEnd w:id="1513"/>
          </w:p>
        </w:tc>
      </w:tr>
      <w:tr w:rsidR="00DF5B08" w:rsidRPr="00776250" w14:paraId="0EB1C2FC" w14:textId="77777777" w:rsidTr="00A60A13">
        <w:trPr>
          <w:trHeight w:val="255"/>
          <w:jc w:val="center"/>
        </w:trPr>
        <w:tc>
          <w:tcPr>
            <w:tcW w:w="1992" w:type="dxa"/>
            <w:shd w:val="clear" w:color="auto" w:fill="auto"/>
          </w:tcPr>
          <w:p w14:paraId="6D691F35" w14:textId="77777777" w:rsidR="00DF5B08" w:rsidRPr="00F935E7" w:rsidRDefault="00DF5B08" w:rsidP="00A60A13">
            <w:pPr>
              <w:jc w:val="both"/>
              <w:rPr>
                <w:rFonts w:cs="Arial"/>
                <w:szCs w:val="20"/>
              </w:rPr>
            </w:pPr>
          </w:p>
          <w:p w14:paraId="74DF2278" w14:textId="77777777" w:rsidR="00DF5B08" w:rsidRPr="00F935E7" w:rsidRDefault="00DF5B08" w:rsidP="00A60A13">
            <w:pPr>
              <w:jc w:val="both"/>
              <w:rPr>
                <w:rFonts w:cs="Arial"/>
                <w:szCs w:val="20"/>
              </w:rPr>
            </w:pPr>
            <w:bookmarkStart w:id="1514" w:name="lt_pId793"/>
            <w:r w:rsidRPr="00F935E7">
              <w:rPr>
                <w:rFonts w:cs="Arial"/>
                <w:szCs w:val="20"/>
              </w:rPr>
              <w:t>RI.11</w:t>
            </w:r>
            <w:bookmarkEnd w:id="1514"/>
          </w:p>
        </w:tc>
        <w:tc>
          <w:tcPr>
            <w:tcW w:w="7660" w:type="dxa"/>
            <w:shd w:val="clear" w:color="auto" w:fill="auto"/>
            <w:vAlign w:val="center"/>
          </w:tcPr>
          <w:p w14:paraId="2F3A5D4A" w14:textId="77777777" w:rsidR="00DF5B08" w:rsidRPr="00F935E7" w:rsidRDefault="00DF5B08" w:rsidP="002E6C1B">
            <w:pPr>
              <w:rPr>
                <w:rFonts w:cs="Arial"/>
                <w:szCs w:val="20"/>
              </w:rPr>
            </w:pPr>
          </w:p>
          <w:p w14:paraId="6D19B7EC" w14:textId="77777777" w:rsidR="00DF5B08" w:rsidRPr="00F935E7" w:rsidRDefault="00DF5B08" w:rsidP="002E6C1B">
            <w:pPr>
              <w:rPr>
                <w:rFonts w:cs="Arial"/>
                <w:szCs w:val="20"/>
              </w:rPr>
            </w:pPr>
            <w:bookmarkStart w:id="1515" w:name="lt_pId794"/>
            <w:r w:rsidRPr="00F935E7">
              <w:rPr>
                <w:rFonts w:cs="Arial"/>
                <w:szCs w:val="20"/>
              </w:rPr>
              <w:t xml:space="preserve">Conformément aux résolutions applicables du Conseil de sécurité des Nations </w:t>
            </w:r>
            <w:r>
              <w:rPr>
                <w:rFonts w:cs="Arial"/>
                <w:szCs w:val="20"/>
              </w:rPr>
              <w:t>U</w:t>
            </w:r>
            <w:r w:rsidRPr="00F935E7">
              <w:rPr>
                <w:rFonts w:cs="Arial"/>
                <w:szCs w:val="20"/>
              </w:rPr>
              <w:t>nies, les personnes et entités impliquées dans la prolifération d’armes de destruction massive ne peuvent pas collecter, transférer ou utiliser des fonds.</w:t>
            </w:r>
            <w:bookmarkEnd w:id="1515"/>
          </w:p>
        </w:tc>
      </w:tr>
    </w:tbl>
    <w:p w14:paraId="549206E7" w14:textId="77777777" w:rsidR="00DF5B08" w:rsidRPr="00F935E7" w:rsidRDefault="00DF5B08" w:rsidP="00DF5B08">
      <w:pPr>
        <w:jc w:val="both"/>
        <w:rPr>
          <w:rFonts w:cs="Arial"/>
          <w:szCs w:val="20"/>
        </w:rPr>
      </w:pPr>
    </w:p>
    <w:p w14:paraId="011F9F18" w14:textId="77777777" w:rsidR="00DF5B08" w:rsidRPr="00F935E7" w:rsidRDefault="00DF5B08" w:rsidP="00DF5B08">
      <w:pPr>
        <w:jc w:val="both"/>
        <w:rPr>
          <w:rFonts w:cs="Arial"/>
          <w:b/>
          <w:bCs/>
          <w:szCs w:val="20"/>
        </w:rPr>
      </w:pPr>
    </w:p>
    <w:p w14:paraId="352700A9" w14:textId="77777777" w:rsidR="00DF5B08" w:rsidRPr="00F935E7" w:rsidRDefault="00DF5B08" w:rsidP="00DF5B08">
      <w:pPr>
        <w:jc w:val="both"/>
        <w:rPr>
          <w:rFonts w:cs="Arial"/>
          <w:b/>
          <w:bCs/>
          <w:szCs w:val="20"/>
        </w:rPr>
      </w:pPr>
      <w:r w:rsidRPr="00F935E7">
        <w:rPr>
          <w:rFonts w:cs="Arial"/>
          <w:b/>
          <w:bCs/>
          <w:szCs w:val="20"/>
        </w:rPr>
        <w:br w:type="page"/>
      </w:r>
    </w:p>
    <w:p w14:paraId="34511BED" w14:textId="77777777" w:rsidR="00DF5B08" w:rsidRPr="00F935E7" w:rsidRDefault="00DF5B08" w:rsidP="00DF5B08">
      <w:pPr>
        <w:jc w:val="both"/>
        <w:rPr>
          <w:rFonts w:cs="Arial"/>
          <w:b/>
          <w:bCs/>
          <w:szCs w:val="20"/>
        </w:rPr>
      </w:pPr>
      <w:bookmarkStart w:id="1516" w:name="lt_pId795"/>
      <w:r w:rsidRPr="00F935E7">
        <w:rPr>
          <w:rFonts w:cs="Arial"/>
          <w:b/>
          <w:bCs/>
          <w:szCs w:val="20"/>
        </w:rPr>
        <w:lastRenderedPageBreak/>
        <w:t>Annexe II</w:t>
      </w:r>
      <w:bookmarkEnd w:id="1516"/>
    </w:p>
    <w:p w14:paraId="26A931D9" w14:textId="77777777" w:rsidR="00DF5B08" w:rsidRPr="00F935E7" w:rsidRDefault="00DF5B08" w:rsidP="00DF5B08">
      <w:pPr>
        <w:jc w:val="both"/>
        <w:rPr>
          <w:rFonts w:cs="Arial"/>
          <w:szCs w:val="20"/>
        </w:rPr>
      </w:pPr>
    </w:p>
    <w:tbl>
      <w:tblPr>
        <w:tblW w:w="9564" w:type="dxa"/>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8578"/>
        <w:gridCol w:w="986"/>
      </w:tblGrid>
      <w:tr w:rsidR="00DF5B08" w:rsidRPr="00776250" w14:paraId="04EA1D27" w14:textId="77777777" w:rsidTr="00A60A13">
        <w:trPr>
          <w:jc w:val="center"/>
        </w:trPr>
        <w:tc>
          <w:tcPr>
            <w:tcW w:w="956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EA0C63" w14:textId="77777777" w:rsidR="00DF5B08" w:rsidRPr="00F935E7" w:rsidRDefault="00DF5B08" w:rsidP="00A60A13">
            <w:pPr>
              <w:jc w:val="both"/>
              <w:rPr>
                <w:rFonts w:cs="Arial"/>
                <w:b/>
                <w:i/>
                <w:iCs/>
                <w:szCs w:val="20"/>
              </w:rPr>
            </w:pPr>
            <w:bookmarkStart w:id="1517" w:name="lt_pId796"/>
            <w:r w:rsidRPr="00F935E7">
              <w:rPr>
                <w:rFonts w:cs="Arial"/>
                <w:b/>
                <w:szCs w:val="20"/>
              </w:rPr>
              <w:t>Liste des organismes régionaux de type GAFI</w:t>
            </w:r>
            <w:bookmarkEnd w:id="1517"/>
          </w:p>
        </w:tc>
      </w:tr>
      <w:tr w:rsidR="00DF5B08" w:rsidRPr="00F935E7" w14:paraId="1D682283"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246D219C" w14:textId="77777777" w:rsidR="00DF5B08" w:rsidRPr="00F935E7" w:rsidRDefault="00DF5B08" w:rsidP="002E6C1B">
            <w:pPr>
              <w:rPr>
                <w:rFonts w:cs="Arial"/>
                <w:szCs w:val="20"/>
              </w:rPr>
            </w:pPr>
            <w:bookmarkStart w:id="1518" w:name="lt_pId797"/>
            <w:r w:rsidRPr="00F935E7">
              <w:rPr>
                <w:rFonts w:cs="Arial"/>
                <w:szCs w:val="20"/>
              </w:rPr>
              <w:t>Groupe Asie/Pacifique sur le blanchiment de capitaux (GAP)</w:t>
            </w:r>
            <w:bookmarkEnd w:id="1518"/>
            <w:r w:rsidRPr="00F935E7">
              <w:rPr>
                <w:rFonts w:cs="Arial"/>
                <w:i/>
                <w:iCs/>
                <w:szCs w:val="20"/>
              </w:rPr>
              <w:t xml:space="preserve">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09AF193E"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0F0FCD95" wp14:editId="6C4E8BD7">
                  <wp:extent cx="298450" cy="298450"/>
                  <wp:effectExtent l="0" t="0" r="6350" b="6350"/>
                  <wp:docPr id="10" name="Picture 10" descr="Link_icon v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28954" name="Picture 1"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0BC27494"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3F00BDE7" w14:textId="77777777" w:rsidR="00DF5B08" w:rsidRPr="00F935E7" w:rsidRDefault="00DF5B08" w:rsidP="002E6C1B">
            <w:pPr>
              <w:rPr>
                <w:rFonts w:cs="Arial"/>
                <w:szCs w:val="20"/>
              </w:rPr>
            </w:pPr>
            <w:bookmarkStart w:id="1519" w:name="lt_pId798"/>
            <w:r w:rsidRPr="00F935E7">
              <w:rPr>
                <w:rFonts w:cs="Arial"/>
                <w:szCs w:val="20"/>
              </w:rPr>
              <w:t>Groupe d’action financière des Caraïbes (GAFIC)</w:t>
            </w:r>
            <w:bookmarkEnd w:id="1519"/>
            <w:r w:rsidRPr="00F935E7">
              <w:rPr>
                <w:rFonts w:cs="Arial"/>
                <w:szCs w:val="20"/>
              </w:rPr>
              <w:t xml:space="preserve">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1A82173E"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1C57B896" wp14:editId="6C51012C">
                  <wp:extent cx="298450" cy="298450"/>
                  <wp:effectExtent l="0" t="0" r="6350" b="6350"/>
                  <wp:docPr id="9" name="Picture 9" descr="Link_icon v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15806" name="Picture 2"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7F344337"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3DFEF715" w14:textId="77777777" w:rsidR="00DF5B08" w:rsidRPr="00F935E7" w:rsidRDefault="00DF5B08" w:rsidP="002E6C1B">
            <w:pPr>
              <w:rPr>
                <w:rFonts w:cs="Arial"/>
                <w:szCs w:val="20"/>
              </w:rPr>
            </w:pPr>
            <w:bookmarkStart w:id="1520" w:name="lt_pId799"/>
            <w:r w:rsidRPr="00F935E7">
              <w:rPr>
                <w:rFonts w:cs="Arial"/>
                <w:szCs w:val="20"/>
              </w:rPr>
              <w:t>Comité d’experts sur l’évaluation des mesures de lutte contre le blanchiment des capitaux et le financement du terrorisme du Conseil de l’Europe (MONEYVAL)</w:t>
            </w:r>
            <w:bookmarkEnd w:id="1520"/>
            <w:r w:rsidRPr="00F935E7">
              <w:rPr>
                <w:rFonts w:cs="Arial"/>
                <w:szCs w:val="20"/>
              </w:rPr>
              <w:t>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7959A5A2"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7AA6D50A" wp14:editId="6D47DBBD">
                  <wp:extent cx="298450" cy="298450"/>
                  <wp:effectExtent l="0" t="0" r="6350" b="6350"/>
                  <wp:docPr id="8" name="Picture 8" descr="Link_icon v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35530" name="Picture 3"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64F4D1F4"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13038F7E" w14:textId="77777777" w:rsidR="00DF5B08" w:rsidRPr="00F935E7" w:rsidRDefault="00DF5B08" w:rsidP="002E6C1B">
            <w:pPr>
              <w:rPr>
                <w:rFonts w:cs="Arial"/>
                <w:szCs w:val="20"/>
              </w:rPr>
            </w:pPr>
            <w:bookmarkStart w:id="1521" w:name="lt_pId800"/>
            <w:r w:rsidRPr="00F935E7">
              <w:rPr>
                <w:rFonts w:cs="Arial"/>
                <w:szCs w:val="20"/>
              </w:rPr>
              <w:t>Groupe Eurasie sur le blanchiment de capitaux et le financement du terrorisme (EAG)</w:t>
            </w:r>
            <w:bookmarkEnd w:id="1521"/>
            <w:r w:rsidRPr="00F935E7">
              <w:rPr>
                <w:rFonts w:cs="Arial"/>
                <w:szCs w:val="20"/>
              </w:rPr>
              <w:t xml:space="preserve">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0AA487A7"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78C5CC48" wp14:editId="573AD247">
                  <wp:extent cx="298450" cy="298450"/>
                  <wp:effectExtent l="0" t="0" r="6350" b="6350"/>
                  <wp:docPr id="7" name="Picture 7" descr="Link_icon v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42836" name="Picture 4"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76728FFE"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1F277800" w14:textId="77777777" w:rsidR="00DF5B08" w:rsidRPr="00F935E7" w:rsidRDefault="00DF5B08" w:rsidP="002E6C1B">
            <w:pPr>
              <w:rPr>
                <w:rFonts w:cs="Arial"/>
                <w:szCs w:val="20"/>
              </w:rPr>
            </w:pPr>
            <w:bookmarkStart w:id="1522" w:name="lt_pId801"/>
            <w:r w:rsidRPr="00F935E7">
              <w:rPr>
                <w:rFonts w:cs="Arial"/>
                <w:szCs w:val="20"/>
              </w:rPr>
              <w:t>Groupe anti-blanchiment de l’Afrique orientale et australe (GABAOA)</w:t>
            </w:r>
            <w:bookmarkEnd w:id="1522"/>
          </w:p>
        </w:tc>
        <w:tc>
          <w:tcPr>
            <w:tcW w:w="986" w:type="dxa"/>
            <w:tcBorders>
              <w:top w:val="single" w:sz="4" w:space="0" w:color="000000"/>
              <w:left w:val="nil"/>
              <w:bottom w:val="single" w:sz="4" w:space="0" w:color="000000"/>
              <w:right w:val="single" w:sz="4" w:space="0" w:color="000000"/>
            </w:tcBorders>
            <w:shd w:val="clear" w:color="auto" w:fill="auto"/>
            <w:vAlign w:val="center"/>
          </w:tcPr>
          <w:p w14:paraId="4833633A"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06A1CBD5" wp14:editId="08155C49">
                  <wp:extent cx="298450" cy="298450"/>
                  <wp:effectExtent l="0" t="0" r="6350" b="6350"/>
                  <wp:docPr id="6" name="Picture 6" descr="Link_icon v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45637" name="Picture 5"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07037304"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240B0101" w14:textId="77777777" w:rsidR="00DF5B08" w:rsidRPr="00F935E7" w:rsidRDefault="00DF5B08" w:rsidP="002E6C1B">
            <w:pPr>
              <w:rPr>
                <w:rFonts w:cs="Arial"/>
                <w:szCs w:val="20"/>
              </w:rPr>
            </w:pPr>
            <w:bookmarkStart w:id="1523" w:name="lt_pId802"/>
            <w:r w:rsidRPr="00F935E7">
              <w:rPr>
                <w:rFonts w:cs="Arial"/>
                <w:szCs w:val="20"/>
              </w:rPr>
              <w:t>Groupe d’action financière sur le blanchiment de capitaux en Amérique du Sud (GAFI</w:t>
            </w:r>
            <w:r>
              <w:rPr>
                <w:rFonts w:cs="Arial"/>
                <w:szCs w:val="20"/>
              </w:rPr>
              <w:t>LAT</w:t>
            </w:r>
            <w:r w:rsidRPr="00F935E7">
              <w:rPr>
                <w:rFonts w:cs="Arial"/>
                <w:szCs w:val="20"/>
              </w:rPr>
              <w:t>)</w:t>
            </w:r>
            <w:bookmarkEnd w:id="1523"/>
            <w:r w:rsidRPr="00F935E7">
              <w:rPr>
                <w:rFonts w:cs="Arial"/>
                <w:szCs w:val="20"/>
              </w:rPr>
              <w:t xml:space="preserve">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55325569"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36820EF2" wp14:editId="36843D1F">
                  <wp:extent cx="298450" cy="298450"/>
                  <wp:effectExtent l="0" t="0" r="6350" b="6350"/>
                  <wp:docPr id="5" name="Picture 5" descr="Link_icon v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8176" name="Picture 6"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611AD3C6"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2A601A13" w14:textId="77777777" w:rsidR="00DF5B08" w:rsidRPr="00F935E7" w:rsidRDefault="00DF5B08" w:rsidP="002E6C1B">
            <w:pPr>
              <w:rPr>
                <w:rFonts w:cs="Arial"/>
                <w:szCs w:val="20"/>
              </w:rPr>
            </w:pPr>
            <w:bookmarkStart w:id="1524" w:name="lt_pId803"/>
            <w:r w:rsidRPr="00F935E7">
              <w:rPr>
                <w:rFonts w:cs="Arial"/>
                <w:szCs w:val="20"/>
              </w:rPr>
              <w:t xml:space="preserve">Groupe intergouvernemental d’action contre le </w:t>
            </w:r>
            <w:r>
              <w:rPr>
                <w:rFonts w:cs="Arial"/>
                <w:szCs w:val="20"/>
              </w:rPr>
              <w:t>blanchiment de capitaux</w:t>
            </w:r>
            <w:r w:rsidRPr="00F935E7">
              <w:rPr>
                <w:rFonts w:cs="Arial"/>
                <w:szCs w:val="20"/>
              </w:rPr>
              <w:t xml:space="preserve"> en Afrique de l’Ouest (GIABA)</w:t>
            </w:r>
            <w:bookmarkEnd w:id="1524"/>
            <w:r w:rsidRPr="00F935E7">
              <w:rPr>
                <w:rFonts w:cs="Arial"/>
                <w:szCs w:val="20"/>
              </w:rPr>
              <w:t xml:space="preserve">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43D51887"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0A29949F" wp14:editId="783760BD">
                  <wp:extent cx="298450" cy="298450"/>
                  <wp:effectExtent l="0" t="0" r="6350" b="6350"/>
                  <wp:docPr id="4" name="Picture 4" descr="Link_icon v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50351" name="Picture 7"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51769EAB"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5D3B3FE0" w14:textId="77777777" w:rsidR="00DF5B08" w:rsidRPr="00F935E7" w:rsidRDefault="00DF5B08" w:rsidP="002E6C1B">
            <w:pPr>
              <w:rPr>
                <w:rFonts w:cs="Arial"/>
                <w:szCs w:val="20"/>
              </w:rPr>
            </w:pPr>
            <w:bookmarkStart w:id="1525" w:name="lt_pId804"/>
            <w:r w:rsidRPr="00F935E7">
              <w:rPr>
                <w:rFonts w:cs="Arial"/>
                <w:szCs w:val="20"/>
              </w:rPr>
              <w:t>Groupe d’action financière du Moyen-Orient et de l’Afrique du Nord (GAFIMOAN)</w:t>
            </w:r>
            <w:bookmarkEnd w:id="1525"/>
            <w:r w:rsidRPr="00F935E7">
              <w:rPr>
                <w:rFonts w:cs="Arial"/>
                <w:szCs w:val="20"/>
              </w:rPr>
              <w:t xml:space="preserve">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450E5243"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7F872FB6" wp14:editId="003E5F78">
                  <wp:extent cx="298450" cy="298450"/>
                  <wp:effectExtent l="0" t="0" r="6350" b="6350"/>
                  <wp:docPr id="3" name="Picture 3" descr="Link_icon v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47674" name="Picture 8"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p>
        </w:tc>
      </w:tr>
      <w:tr w:rsidR="00DF5B08" w:rsidRPr="00F935E7" w14:paraId="32C7B887" w14:textId="77777777" w:rsidTr="00A60A13">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4EB1E727" w14:textId="77777777" w:rsidR="00DF5B08" w:rsidRPr="00F935E7" w:rsidRDefault="00DF5B08" w:rsidP="002E6C1B">
            <w:pPr>
              <w:rPr>
                <w:rFonts w:cs="Arial"/>
                <w:szCs w:val="20"/>
              </w:rPr>
            </w:pPr>
            <w:bookmarkStart w:id="1526" w:name="lt_pId805"/>
            <w:r w:rsidRPr="00F935E7">
              <w:rPr>
                <w:rFonts w:cs="Arial"/>
                <w:iCs/>
                <w:szCs w:val="20"/>
              </w:rPr>
              <w:t xml:space="preserve">Groupe d’action contre le </w:t>
            </w:r>
            <w:r>
              <w:rPr>
                <w:rFonts w:cs="Arial"/>
                <w:iCs/>
                <w:szCs w:val="20"/>
              </w:rPr>
              <w:t>blanchiment de capitaux</w:t>
            </w:r>
            <w:r w:rsidRPr="00F935E7">
              <w:rPr>
                <w:rFonts w:cs="Arial"/>
                <w:iCs/>
                <w:szCs w:val="20"/>
              </w:rPr>
              <w:t xml:space="preserve"> en Afrique centrale (GABAC)</w:t>
            </w:r>
            <w:bookmarkEnd w:id="1526"/>
          </w:p>
        </w:tc>
        <w:tc>
          <w:tcPr>
            <w:tcW w:w="986" w:type="dxa"/>
            <w:tcBorders>
              <w:top w:val="single" w:sz="4" w:space="0" w:color="000000"/>
              <w:left w:val="nil"/>
              <w:bottom w:val="single" w:sz="4" w:space="0" w:color="000000"/>
              <w:right w:val="single" w:sz="4" w:space="0" w:color="000000"/>
            </w:tcBorders>
            <w:shd w:val="clear" w:color="auto" w:fill="auto"/>
            <w:vAlign w:val="center"/>
          </w:tcPr>
          <w:p w14:paraId="19FDA5A0" w14:textId="77777777" w:rsidR="00DF5B08" w:rsidRPr="00F935E7" w:rsidRDefault="00DF5B08" w:rsidP="00A60A13">
            <w:pPr>
              <w:jc w:val="both"/>
              <w:rPr>
                <w:rFonts w:cs="Arial"/>
                <w:szCs w:val="20"/>
              </w:rPr>
            </w:pPr>
            <w:r w:rsidRPr="00F935E7">
              <w:rPr>
                <w:rFonts w:cs="Arial"/>
                <w:noProof/>
                <w:szCs w:val="20"/>
                <w:lang w:eastAsia="pl-PL"/>
              </w:rPr>
              <w:drawing>
                <wp:inline distT="0" distB="0" distL="0" distR="0" wp14:anchorId="73E125EE" wp14:editId="1F79032A">
                  <wp:extent cx="298450" cy="298450"/>
                  <wp:effectExtent l="0" t="0" r="6350" b="6350"/>
                  <wp:docPr id="1" name="Picture 1" descr="Link_icon v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92895" name="Picture 9" descr="Link_icon v2"/>
                          <pic:cNvPicPr>
                            <a:picLocks noChangeAspect="1" noChangeArrowheads="1"/>
                          </pic:cNvPicPr>
                        </pic:nvPicPr>
                        <pic:blipFill>
                          <a:blip r:embed="rId17">
                            <a:grayscl/>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a:ln>
                            <a:noFill/>
                          </a:ln>
                        </pic:spPr>
                      </pic:pic>
                    </a:graphicData>
                  </a:graphic>
                </wp:inline>
              </w:drawing>
            </w:r>
            <w:r w:rsidRPr="00F935E7">
              <w:rPr>
                <w:rFonts w:cs="Arial"/>
                <w:szCs w:val="20"/>
              </w:rPr>
              <w:t xml:space="preserve"> </w:t>
            </w:r>
          </w:p>
        </w:tc>
      </w:tr>
    </w:tbl>
    <w:p w14:paraId="32FEDEDF" w14:textId="77777777" w:rsidR="00DF5B08" w:rsidRPr="00F935E7" w:rsidRDefault="00DF5B08" w:rsidP="00DF5B08">
      <w:pPr>
        <w:jc w:val="both"/>
        <w:rPr>
          <w:rFonts w:cs="Arial"/>
          <w:b/>
          <w:bCs/>
          <w:szCs w:val="20"/>
        </w:rPr>
      </w:pPr>
    </w:p>
    <w:p w14:paraId="76B8E3F4" w14:textId="77777777" w:rsidR="00DF5B08" w:rsidRPr="00F935E7" w:rsidRDefault="00DF5B08" w:rsidP="00DF5B08">
      <w:pPr>
        <w:jc w:val="both"/>
        <w:rPr>
          <w:rFonts w:eastAsia="Times New Roman" w:cs="Arial"/>
          <w:szCs w:val="20"/>
        </w:rPr>
      </w:pPr>
    </w:p>
    <w:p w14:paraId="678AB6F6" w14:textId="290D0E54" w:rsidR="00DF5B08" w:rsidRPr="00F755E9" w:rsidRDefault="00DF5B08" w:rsidP="00DF5B08">
      <w:pPr>
        <w:rPr>
          <w:rFonts w:eastAsia="Times New Roman" w:cs="Arial"/>
          <w:b/>
          <w:bCs/>
          <w:szCs w:val="20"/>
        </w:rPr>
      </w:pPr>
    </w:p>
    <w:sectPr w:rsidR="00DF5B08" w:rsidRPr="00F755E9" w:rsidSect="00544F6A">
      <w:headerReference w:type="even" r:id="rId26"/>
      <w:headerReference w:type="default" r:id="rId27"/>
      <w:footerReference w:type="default" r:id="rId28"/>
      <w:headerReference w:type="first" r:id="rId29"/>
      <w:footerReference w:type="first" r:id="rId30"/>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C63D" w14:textId="77777777" w:rsidR="008379D1" w:rsidRDefault="008379D1" w:rsidP="00FD6043">
      <w:r>
        <w:separator/>
      </w:r>
    </w:p>
  </w:endnote>
  <w:endnote w:type="continuationSeparator" w:id="0">
    <w:p w14:paraId="6E7A3BB6" w14:textId="77777777" w:rsidR="008379D1" w:rsidRDefault="008379D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E00002AF" w:usb1="5000607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pCentury Old Style">
    <w:altName w:val="Times New Roman"/>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modern"/>
    <w:notTrueType/>
    <w:pitch w:val="variable"/>
    <w:sig w:usb0="800000AF" w:usb1="50002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Bernini Sans">
    <w:altName w:val="Arial"/>
    <w:panose1 w:val="00000000000000000000"/>
    <w:charset w:val="00"/>
    <w:family w:val="modern"/>
    <w:notTrueType/>
    <w:pitch w:val="variable"/>
    <w:sig w:usb0="A00000FF" w:usb1="0000007B" w:usb2="00000000" w:usb3="00000000" w:csb0="00000093" w:csb1="00000000"/>
  </w:font>
  <w:font w:name="StatLink">
    <w:charset w:val="00"/>
    <w:family w:val="auto"/>
    <w:pitch w:val="variable"/>
    <w:sig w:usb0="80000003" w:usb1="00000000" w:usb2="00000000" w:usb3="00000000" w:csb0="00000001" w:csb1="00000000"/>
  </w:font>
  <w:font w:name="Caecilia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50A2"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BE5C"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EFCD" w14:textId="77777777" w:rsidR="008379D1" w:rsidRDefault="008379D1" w:rsidP="00FD6043">
      <w:r>
        <w:separator/>
      </w:r>
    </w:p>
  </w:footnote>
  <w:footnote w:type="continuationSeparator" w:id="0">
    <w:p w14:paraId="2B62C720" w14:textId="77777777" w:rsidR="008379D1" w:rsidRDefault="008379D1" w:rsidP="00FD6043">
      <w:r>
        <w:continuationSeparator/>
      </w:r>
    </w:p>
  </w:footnote>
  <w:footnote w:id="1">
    <w:p w14:paraId="65A40C76" w14:textId="77777777" w:rsidR="004D1C0F" w:rsidRPr="00A12DEC" w:rsidRDefault="00853C90" w:rsidP="004728F8">
      <w:pPr>
        <w:pStyle w:val="FootnoteText"/>
      </w:pPr>
      <w:r>
        <w:rPr>
          <w:rStyle w:val="FootnoteReference"/>
        </w:rPr>
        <w:footnoteRef/>
      </w:r>
      <w:r w:rsidRPr="00A12DEC">
        <w:t xml:space="preserve"> </w:t>
      </w:r>
      <w:r w:rsidR="004728F8" w:rsidRPr="00D32148">
        <w:rPr>
          <w:szCs w:val="16"/>
        </w:rPr>
        <w:t>Ce document a été classé en diffusion restreinte jusqu'à la date de son examen par le Comité des Ministres.</w:t>
      </w:r>
    </w:p>
  </w:footnote>
  <w:footnote w:id="2">
    <w:p w14:paraId="007B331C" w14:textId="4E2B0ECA" w:rsidR="00DF5B08" w:rsidRPr="006C01EB" w:rsidRDefault="00DF5B08" w:rsidP="00DF5B08">
      <w:pPr>
        <w:pStyle w:val="FootnoteText"/>
        <w:jc w:val="both"/>
        <w:rPr>
          <w:rFonts w:cs="Arial"/>
          <w:szCs w:val="16"/>
        </w:rPr>
      </w:pPr>
      <w:r w:rsidRPr="00B209A2">
        <w:rPr>
          <w:rStyle w:val="FootnoteReference"/>
          <w:rFonts w:cs="Arial"/>
          <w:szCs w:val="16"/>
        </w:rPr>
        <w:footnoteRef/>
      </w:r>
      <w:bookmarkStart w:id="86" w:name="lt_pId807"/>
      <w:r w:rsidRPr="00BD4D17">
        <w:rPr>
          <w:rFonts w:cs="Arial"/>
          <w:szCs w:val="16"/>
        </w:rPr>
        <w:t>Dans l</w:t>
      </w:r>
      <w:r>
        <w:rPr>
          <w:rFonts w:cs="Arial"/>
          <w:szCs w:val="16"/>
        </w:rPr>
        <w:t>’</w:t>
      </w:r>
      <w:r w:rsidRPr="00BD4D17">
        <w:rPr>
          <w:rFonts w:cs="Arial"/>
          <w:szCs w:val="16"/>
        </w:rPr>
        <w:t>ordre des évaluations auxquelles il a été procédé depuis 2016</w:t>
      </w:r>
      <w:r>
        <w:rPr>
          <w:rFonts w:cs="Arial"/>
          <w:szCs w:val="16"/>
        </w:rPr>
        <w:t> :</w:t>
      </w:r>
      <w:r w:rsidRPr="00BD4D17">
        <w:rPr>
          <w:rFonts w:cs="Arial"/>
          <w:szCs w:val="16"/>
        </w:rPr>
        <w:t xml:space="preserve"> Arménie, Serbie, Hongrie, Slovénie, Île de Man, </w:t>
      </w:r>
      <w:r w:rsidRPr="00577A5C">
        <w:rPr>
          <w:rFonts w:cs="Arial"/>
          <w:szCs w:val="16"/>
        </w:rPr>
        <w:t>Andorre</w:t>
      </w:r>
      <w:r w:rsidRPr="00BD4D17">
        <w:rPr>
          <w:rFonts w:cs="Arial"/>
          <w:szCs w:val="16"/>
        </w:rPr>
        <w:t xml:space="preserve">, Ukraine, Albanie, Lettonie, République tchèque, Lituanie, Israël, </w:t>
      </w:r>
      <w:r>
        <w:rPr>
          <w:rFonts w:cs="Arial"/>
          <w:szCs w:val="16"/>
        </w:rPr>
        <w:t xml:space="preserve">République de </w:t>
      </w:r>
      <w:r w:rsidRPr="00577A5C">
        <w:rPr>
          <w:rFonts w:cs="Arial"/>
          <w:szCs w:val="16"/>
        </w:rPr>
        <w:t>Moldova</w:t>
      </w:r>
      <w:r w:rsidRPr="00BD4D17">
        <w:rPr>
          <w:rFonts w:cs="Arial"/>
          <w:szCs w:val="16"/>
        </w:rPr>
        <w:t>, Malte, Fédération de Russie, Gibraltar, Chypre, République slovaque, Géorgie, Saint</w:t>
      </w:r>
      <w:r>
        <w:rPr>
          <w:rFonts w:cs="Arial"/>
          <w:szCs w:val="16"/>
        </w:rPr>
        <w:t>-</w:t>
      </w:r>
      <w:r w:rsidRPr="00BD4D17">
        <w:rPr>
          <w:rFonts w:cs="Arial"/>
          <w:szCs w:val="16"/>
        </w:rPr>
        <w:t>Siège/</w:t>
      </w:r>
      <w:r w:rsidRPr="00EC7D94">
        <w:rPr>
          <w:rFonts w:cs="Arial"/>
          <w:szCs w:val="16"/>
        </w:rPr>
        <w:t>État de la Cité du Vatican</w:t>
      </w:r>
      <w:r w:rsidRPr="00BD4D17">
        <w:rPr>
          <w:rFonts w:cs="Arial"/>
          <w:szCs w:val="16"/>
        </w:rPr>
        <w:t>, Saint-Marin, Pologne et Croatie</w:t>
      </w:r>
      <w:r w:rsidR="00FF4365">
        <w:rPr>
          <w:rFonts w:cs="Arial"/>
          <w:szCs w:val="16"/>
        </w:rPr>
        <w:t xml:space="preserve">, Bulgarie, Liechtenstein, Estonie et Monaco. </w:t>
      </w:r>
      <w:bookmarkEnd w:id="86"/>
    </w:p>
  </w:footnote>
  <w:footnote w:id="3">
    <w:p w14:paraId="3267B8C6" w14:textId="5CF34D8A" w:rsidR="00F9691A" w:rsidRDefault="00F9691A">
      <w:pPr>
        <w:pStyle w:val="FootnoteText"/>
      </w:pPr>
      <w:r>
        <w:rPr>
          <w:rStyle w:val="FootnoteReference"/>
        </w:rPr>
        <w:footnoteRef/>
      </w:r>
      <w:r>
        <w:t xml:space="preserve"> </w:t>
      </w:r>
      <w:r w:rsidRPr="008F64ED">
        <w:rPr>
          <w:szCs w:val="16"/>
        </w:rPr>
        <w:t xml:space="preserve">Voir </w:t>
      </w:r>
      <w:hyperlink r:id="rId1" w:history="1">
        <w:r w:rsidRPr="008F64ED">
          <w:rPr>
            <w:color w:val="0000FF"/>
            <w:szCs w:val="16"/>
            <w:u w:val="single"/>
          </w:rPr>
          <w:t>Stratégie MONEYVAL - Comité d'experts sur l'évaluation des mesures de lutte contre le blanchiment des capitaux et le financement du terrorisme (coe.int)</w:t>
        </w:r>
      </w:hyperlink>
    </w:p>
  </w:footnote>
  <w:footnote w:id="4">
    <w:p w14:paraId="0F492D71" w14:textId="5E41B60F" w:rsidR="00333228" w:rsidRDefault="00333228" w:rsidP="00333228">
      <w:pPr>
        <w:pStyle w:val="FootnoteText"/>
        <w:rPr>
          <w:rFonts w:cs="Arial"/>
          <w:szCs w:val="16"/>
        </w:rPr>
      </w:pPr>
      <w:r w:rsidRPr="00777800">
        <w:rPr>
          <w:rStyle w:val="FootnoteReference"/>
          <w:rFonts w:cs="Arial"/>
          <w:szCs w:val="16"/>
        </w:rPr>
        <w:footnoteRef/>
      </w:r>
      <w:r w:rsidRPr="00777800">
        <w:rPr>
          <w:rFonts w:cs="Arial"/>
          <w:szCs w:val="16"/>
        </w:rPr>
        <w:t xml:space="preserve"> La liste complète des membres associés figure à l'annexe I</w:t>
      </w:r>
      <w:r w:rsidR="00F9691A">
        <w:rPr>
          <w:rFonts w:cs="Arial"/>
          <w:szCs w:val="16"/>
        </w:rPr>
        <w:t>I</w:t>
      </w:r>
      <w:r w:rsidRPr="00777800">
        <w:rPr>
          <w:rFonts w:cs="Arial"/>
          <w:szCs w:val="16"/>
        </w:rPr>
        <w:t xml:space="preserve"> du présent rapport.</w:t>
      </w:r>
    </w:p>
  </w:footnote>
  <w:footnote w:id="5">
    <w:p w14:paraId="485E6342" w14:textId="7D5EA9E3" w:rsidR="00DF5B08" w:rsidRPr="00E43C1C" w:rsidRDefault="00DF5B08" w:rsidP="00194B02">
      <w:pPr>
        <w:pStyle w:val="FootnoteText"/>
        <w:rPr>
          <w:rFonts w:cs="Arial"/>
          <w:szCs w:val="16"/>
        </w:rPr>
      </w:pPr>
      <w:r w:rsidRPr="001E0059">
        <w:rPr>
          <w:rStyle w:val="FootnoteReference"/>
          <w:rFonts w:cs="Arial"/>
          <w:szCs w:val="16"/>
        </w:rPr>
        <w:footnoteRef/>
      </w:r>
      <w:r w:rsidRPr="00E43C1C">
        <w:rPr>
          <w:rFonts w:cs="Arial"/>
          <w:szCs w:val="16"/>
        </w:rPr>
        <w:t xml:space="preserve"> </w:t>
      </w:r>
      <w:bookmarkStart w:id="1380" w:name="lt_pId810"/>
      <w:r w:rsidRPr="00E43C1C">
        <w:rPr>
          <w:rFonts w:cs="Arial"/>
          <w:szCs w:val="16"/>
        </w:rPr>
        <w:t xml:space="preserve">Même si le </w:t>
      </w:r>
      <w:r>
        <w:rPr>
          <w:rFonts w:cs="Arial"/>
          <w:szCs w:val="16"/>
        </w:rPr>
        <w:t>Troisième</w:t>
      </w:r>
      <w:r w:rsidRPr="00E43C1C">
        <w:rPr>
          <w:rFonts w:cs="Arial"/>
          <w:szCs w:val="16"/>
        </w:rPr>
        <w:t xml:space="preserve"> cycle d’évaluations s’est achevé en 2009, le Saint-Siège (y compris l’État de la Cité du Vatican) a été évalué postérieurement en 2011, le rapport ayant finalement été </w:t>
      </w:r>
      <w:r>
        <w:rPr>
          <w:rFonts w:cs="Arial"/>
          <w:szCs w:val="16"/>
        </w:rPr>
        <w:t>entériné</w:t>
      </w:r>
      <w:r w:rsidRPr="00E43C1C">
        <w:rPr>
          <w:rFonts w:cs="Arial"/>
          <w:szCs w:val="16"/>
        </w:rPr>
        <w:t xml:space="preserve"> en 2012 après l’adoption le 6</w:t>
      </w:r>
      <w:r>
        <w:rPr>
          <w:rFonts w:cs="Arial"/>
          <w:szCs w:val="16"/>
        </w:rPr>
        <w:t> </w:t>
      </w:r>
      <w:r w:rsidRPr="00E43C1C">
        <w:rPr>
          <w:rFonts w:cs="Arial"/>
          <w:szCs w:val="16"/>
        </w:rPr>
        <w:t xml:space="preserve">avril 2011 </w:t>
      </w:r>
      <w:r>
        <w:rPr>
          <w:rFonts w:cs="Arial"/>
          <w:szCs w:val="16"/>
        </w:rPr>
        <w:t xml:space="preserve">— </w:t>
      </w:r>
      <w:r w:rsidRPr="00E43C1C">
        <w:rPr>
          <w:rFonts w:cs="Arial"/>
          <w:szCs w:val="16"/>
        </w:rPr>
        <w:t xml:space="preserve">par le Comité des Ministres </w:t>
      </w:r>
      <w:r>
        <w:rPr>
          <w:rFonts w:cs="Arial"/>
          <w:szCs w:val="16"/>
        </w:rPr>
        <w:t xml:space="preserve">— </w:t>
      </w:r>
      <w:r w:rsidRPr="00E43C1C">
        <w:rPr>
          <w:rFonts w:cs="Arial"/>
          <w:szCs w:val="16"/>
        </w:rPr>
        <w:t xml:space="preserve">de la Résolution </w:t>
      </w:r>
      <w:bookmarkStart w:id="1381" w:name="_ML_000000000004_VALID"/>
      <w:r w:rsidR="008E45BA" w:rsidRPr="008E45BA">
        <w:rPr>
          <w:rFonts w:cs="Arial"/>
          <w:szCs w:val="16"/>
        </w:rPr>
        <w:fldChar w:fldCharType="begin"/>
      </w:r>
      <w:r w:rsidR="008E45BA" w:rsidRPr="008E45BA">
        <w:rPr>
          <w:rFonts w:cs="Arial"/>
          <w:szCs w:val="16"/>
        </w:rPr>
        <w:instrText xml:space="preserve"> HYPERLINK "https://search.coe.int/cm/Pages/result_details.aspx?Reference=CM/Res(2011)5" \o "Résolution relative à la participation du Saint-Siège (y compris de l'Etat de la Cité du Vatican) aux processus et procédures d'évaluation du Comité d'experts sur l'évaluation des mesures de lutte contre le blanchiment des capitaux et le financement du terrorisme (MONEYVAL) (adoptée par le Comité des Ministres le 6 avril 2011, lors de la 1111e réunion des Délégués des Ministres)" </w:instrText>
      </w:r>
      <w:r w:rsidR="008E45BA" w:rsidRPr="008E45BA">
        <w:rPr>
          <w:rFonts w:cs="Arial"/>
          <w:szCs w:val="16"/>
        </w:rPr>
        <w:fldChar w:fldCharType="separate"/>
      </w:r>
      <w:bookmarkEnd w:id="1381"/>
      <w:r w:rsidR="008E45BA" w:rsidRPr="008E45BA">
        <w:rPr>
          <w:rStyle w:val="Hyperlink"/>
          <w:rFonts w:cs="Arial"/>
          <w:szCs w:val="16"/>
        </w:rPr>
        <w:t>CM/</w:t>
      </w:r>
      <w:proofErr w:type="spellStart"/>
      <w:r w:rsidR="008E45BA" w:rsidRPr="008E45BA">
        <w:rPr>
          <w:rStyle w:val="Hyperlink"/>
          <w:rFonts w:cs="Arial"/>
          <w:szCs w:val="16"/>
        </w:rPr>
        <w:t>Res</w:t>
      </w:r>
      <w:proofErr w:type="spellEnd"/>
      <w:r w:rsidR="008E45BA" w:rsidRPr="008E45BA">
        <w:rPr>
          <w:rStyle w:val="Hyperlink"/>
          <w:rFonts w:cs="Arial"/>
          <w:szCs w:val="16"/>
        </w:rPr>
        <w:t>(2011)5</w:t>
      </w:r>
      <w:r w:rsidR="008E45BA" w:rsidRPr="008E45BA">
        <w:rPr>
          <w:rFonts w:cs="Arial"/>
          <w:szCs w:val="16"/>
        </w:rPr>
        <w:fldChar w:fldCharType="end"/>
      </w:r>
      <w:r w:rsidRPr="00E43C1C">
        <w:rPr>
          <w:rFonts w:cs="Arial"/>
          <w:szCs w:val="16"/>
        </w:rPr>
        <w:t>.</w:t>
      </w:r>
      <w:bookmarkEnd w:id="138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EC4A" w14:textId="6E9A971C" w:rsidR="00E24C57" w:rsidRPr="00491E67" w:rsidRDefault="009342FF" w:rsidP="00491E67">
    <w:pPr>
      <w:pStyle w:val="Header"/>
    </w:pPr>
    <w:proofErr w:type="gramStart"/>
    <w:r w:rsidRPr="00491E67">
      <w:t>CM(</w:t>
    </w:r>
    <w:proofErr w:type="gramEnd"/>
    <w:r w:rsidR="00770642">
      <w:t>202</w:t>
    </w:r>
    <w:r w:rsidR="00D76D50">
      <w:t>3)</w:t>
    </w:r>
    <w:r w:rsidR="00625A70">
      <w:t>85</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E9EA" w14:textId="594B7C22"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770642">
      <w:t>202</w:t>
    </w:r>
    <w:r w:rsidR="00334BFA">
      <w:t>3</w:t>
    </w:r>
    <w:r w:rsidR="000F1801">
      <w:t>)85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4352" w14:textId="77777777" w:rsidR="00135BDB" w:rsidRDefault="00770642" w:rsidP="00123CDD">
    <w:pPr>
      <w:pStyle w:val="Header"/>
      <w:spacing w:after="2280"/>
    </w:pPr>
    <w:r>
      <w:rPr>
        <w:noProof/>
      </w:rPr>
      <w:drawing>
        <wp:anchor distT="0" distB="0" distL="114300" distR="114300" simplePos="0" relativeHeight="251659264" behindDoc="1" locked="0" layoutInCell="0" allowOverlap="0" wp14:anchorId="4EB39F17" wp14:editId="5BEB1C28">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85pt;height:12.85pt" o:bullet="t">
        <v:imagedata r:id="rId1" o:title=""/>
      </v:shape>
    </w:pict>
  </w:numPicBullet>
  <w:abstractNum w:abstractNumId="0" w15:restartNumberingAfterBreak="0">
    <w:nsid w:val="FFFFFF83"/>
    <w:multiLevelType w:val="singleLevel"/>
    <w:tmpl w:val="DA768E3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96EDF54"/>
    <w:lvl w:ilvl="0">
      <w:start w:val="1"/>
      <w:numFmt w:val="decimal"/>
      <w:pStyle w:val="ListNumber"/>
      <w:lvlText w:val="%1."/>
      <w:lvlJc w:val="left"/>
      <w:pPr>
        <w:tabs>
          <w:tab w:val="num" w:pos="360"/>
        </w:tabs>
        <w:ind w:left="360" w:hanging="360"/>
      </w:pPr>
    </w:lvl>
  </w:abstractNum>
  <w:abstractNum w:abstractNumId="2" w15:restartNumberingAfterBreak="0">
    <w:nsid w:val="04A54CC0"/>
    <w:multiLevelType w:val="hybridMultilevel"/>
    <w:tmpl w:val="53CE962A"/>
    <w:lvl w:ilvl="0" w:tplc="E1B215F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F90F62"/>
    <w:multiLevelType w:val="singleLevel"/>
    <w:tmpl w:val="CE5058AE"/>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15:restartNumberingAfterBreak="0">
    <w:nsid w:val="08595EA3"/>
    <w:multiLevelType w:val="hybridMultilevel"/>
    <w:tmpl w:val="DB8AF31C"/>
    <w:lvl w:ilvl="0" w:tplc="21FE67EA">
      <w:numFmt w:val="bullet"/>
      <w:lvlText w:val="-"/>
      <w:lvlJc w:val="left"/>
      <w:pPr>
        <w:ind w:left="1429" w:hanging="360"/>
      </w:pPr>
      <w:rPr>
        <w:rFonts w:ascii="Arial" w:eastAsia="Calibri" w:hAnsi="Arial" w:cs="Arial" w:hint="default"/>
      </w:rPr>
    </w:lvl>
    <w:lvl w:ilvl="1" w:tplc="FE9A22BA" w:tentative="1">
      <w:start w:val="1"/>
      <w:numFmt w:val="bullet"/>
      <w:lvlText w:val="o"/>
      <w:lvlJc w:val="left"/>
      <w:pPr>
        <w:ind w:left="2149" w:hanging="360"/>
      </w:pPr>
      <w:rPr>
        <w:rFonts w:ascii="Courier New" w:hAnsi="Courier New" w:cs="Courier New" w:hint="default"/>
      </w:rPr>
    </w:lvl>
    <w:lvl w:ilvl="2" w:tplc="8066461A" w:tentative="1">
      <w:start w:val="1"/>
      <w:numFmt w:val="bullet"/>
      <w:lvlText w:val=""/>
      <w:lvlJc w:val="left"/>
      <w:pPr>
        <w:ind w:left="2869" w:hanging="360"/>
      </w:pPr>
      <w:rPr>
        <w:rFonts w:ascii="Wingdings" w:hAnsi="Wingdings" w:hint="default"/>
      </w:rPr>
    </w:lvl>
    <w:lvl w:ilvl="3" w:tplc="A910752A" w:tentative="1">
      <w:start w:val="1"/>
      <w:numFmt w:val="bullet"/>
      <w:lvlText w:val=""/>
      <w:lvlJc w:val="left"/>
      <w:pPr>
        <w:ind w:left="3589" w:hanging="360"/>
      </w:pPr>
      <w:rPr>
        <w:rFonts w:ascii="Symbol" w:hAnsi="Symbol" w:hint="default"/>
      </w:rPr>
    </w:lvl>
    <w:lvl w:ilvl="4" w:tplc="423C5388" w:tentative="1">
      <w:start w:val="1"/>
      <w:numFmt w:val="bullet"/>
      <w:lvlText w:val="o"/>
      <w:lvlJc w:val="left"/>
      <w:pPr>
        <w:ind w:left="4309" w:hanging="360"/>
      </w:pPr>
      <w:rPr>
        <w:rFonts w:ascii="Courier New" w:hAnsi="Courier New" w:cs="Courier New" w:hint="default"/>
      </w:rPr>
    </w:lvl>
    <w:lvl w:ilvl="5" w:tplc="2098A9BC" w:tentative="1">
      <w:start w:val="1"/>
      <w:numFmt w:val="bullet"/>
      <w:lvlText w:val=""/>
      <w:lvlJc w:val="left"/>
      <w:pPr>
        <w:ind w:left="5029" w:hanging="360"/>
      </w:pPr>
      <w:rPr>
        <w:rFonts w:ascii="Wingdings" w:hAnsi="Wingdings" w:hint="default"/>
      </w:rPr>
    </w:lvl>
    <w:lvl w:ilvl="6" w:tplc="3794B3D8" w:tentative="1">
      <w:start w:val="1"/>
      <w:numFmt w:val="bullet"/>
      <w:lvlText w:val=""/>
      <w:lvlJc w:val="left"/>
      <w:pPr>
        <w:ind w:left="5749" w:hanging="360"/>
      </w:pPr>
      <w:rPr>
        <w:rFonts w:ascii="Symbol" w:hAnsi="Symbol" w:hint="default"/>
      </w:rPr>
    </w:lvl>
    <w:lvl w:ilvl="7" w:tplc="DF6AA680" w:tentative="1">
      <w:start w:val="1"/>
      <w:numFmt w:val="bullet"/>
      <w:lvlText w:val="o"/>
      <w:lvlJc w:val="left"/>
      <w:pPr>
        <w:ind w:left="6469" w:hanging="360"/>
      </w:pPr>
      <w:rPr>
        <w:rFonts w:ascii="Courier New" w:hAnsi="Courier New" w:cs="Courier New" w:hint="default"/>
      </w:rPr>
    </w:lvl>
    <w:lvl w:ilvl="8" w:tplc="21760850" w:tentative="1">
      <w:start w:val="1"/>
      <w:numFmt w:val="bullet"/>
      <w:lvlText w:val=""/>
      <w:lvlJc w:val="left"/>
      <w:pPr>
        <w:ind w:left="7189" w:hanging="360"/>
      </w:pPr>
      <w:rPr>
        <w:rFonts w:ascii="Wingdings" w:hAnsi="Wingdings" w:hint="default"/>
      </w:rPr>
    </w:lvl>
  </w:abstractNum>
  <w:abstractNum w:abstractNumId="5" w15:restartNumberingAfterBreak="0">
    <w:nsid w:val="09117C93"/>
    <w:multiLevelType w:val="multilevel"/>
    <w:tmpl w:val="5E9296AE"/>
    <w:lvl w:ilvl="0">
      <w:start w:val="1"/>
      <w:numFmt w:val="none"/>
      <w:lvlText w:val="(a)"/>
      <w:lvlJc w:val="left"/>
      <w:pPr>
        <w:ind w:left="510" w:hanging="150"/>
      </w:pPr>
      <w:rPr>
        <w:rFonts w:ascii="Cambria" w:hAnsi="Cambria" w:hint="default"/>
        <w:sz w:val="22"/>
      </w:rPr>
    </w:lvl>
    <w:lvl w:ilvl="1">
      <w:start w:val="1"/>
      <w:numFmt w:val="lowerLetter"/>
      <w:pStyle w:val="NumberedList1"/>
      <w:lvlText w:val="(%2)"/>
      <w:lvlJc w:val="left"/>
      <w:pPr>
        <w:ind w:left="397" w:firstLine="0"/>
      </w:pPr>
      <w:rPr>
        <w:rFonts w:hint="default"/>
        <w:color w:val="auto"/>
      </w:rPr>
    </w:lvl>
    <w:lvl w:ilvl="2">
      <w:start w:val="1"/>
      <w:numFmt w:val="lowerLetter"/>
      <w:lvlText w:val="%3)"/>
      <w:lvlJc w:val="left"/>
      <w:pPr>
        <w:ind w:left="2685" w:hanging="705"/>
      </w:pPr>
      <w:rPr>
        <w:rFonts w:hint="default"/>
      </w:rPr>
    </w:lvl>
    <w:lvl w:ilvl="3">
      <w:start w:val="15"/>
      <w:numFmt w:val="bullet"/>
      <w:lvlText w:val="•"/>
      <w:lvlJc w:val="left"/>
      <w:pPr>
        <w:ind w:left="3090" w:hanging="570"/>
      </w:pPr>
      <w:rPr>
        <w:rFonts w:ascii="Cambria" w:eastAsiaTheme="minorHAnsi" w:hAnsi="Cambria" w:cstheme="minorHAnsi" w:hint="default"/>
      </w:rPr>
    </w:lvl>
    <w:lvl w:ilvl="4">
      <w:start w:val="1"/>
      <w:numFmt w:val="lowerLetter"/>
      <w:lvlText w:val="%5."/>
      <w:lvlJc w:val="left"/>
      <w:pPr>
        <w:ind w:left="3810" w:hanging="57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7"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8" w15:restartNumberingAfterBreak="0">
    <w:nsid w:val="12127231"/>
    <w:multiLevelType w:val="multilevel"/>
    <w:tmpl w:val="00FC1E90"/>
    <w:lvl w:ilvl="0">
      <w:start w:val="1"/>
      <w:numFmt w:val="upperRoman"/>
      <w:pStyle w:val="COEParagraph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0" w15:restartNumberingAfterBreak="0">
    <w:nsid w:val="17DD2C32"/>
    <w:multiLevelType w:val="hybridMultilevel"/>
    <w:tmpl w:val="4DB21C3E"/>
    <w:lvl w:ilvl="0" w:tplc="4FC6CD8A">
      <w:start w:val="2"/>
      <w:numFmt w:val="bullet"/>
      <w:lvlText w:val="-"/>
      <w:lvlJc w:val="left"/>
      <w:pPr>
        <w:ind w:left="720" w:hanging="360"/>
      </w:pPr>
      <w:rPr>
        <w:rFonts w:ascii="Arial" w:eastAsiaTheme="minorHAnsi" w:hAnsi="Arial" w:cs="Arial" w:hint="default"/>
      </w:rPr>
    </w:lvl>
    <w:lvl w:ilvl="1" w:tplc="A6F0CE30" w:tentative="1">
      <w:start w:val="1"/>
      <w:numFmt w:val="bullet"/>
      <w:lvlText w:val="o"/>
      <w:lvlJc w:val="left"/>
      <w:pPr>
        <w:ind w:left="1440" w:hanging="360"/>
      </w:pPr>
      <w:rPr>
        <w:rFonts w:ascii="Courier New" w:hAnsi="Courier New" w:cs="Courier New" w:hint="default"/>
      </w:rPr>
    </w:lvl>
    <w:lvl w:ilvl="2" w:tplc="B6FC7ECA" w:tentative="1">
      <w:start w:val="1"/>
      <w:numFmt w:val="bullet"/>
      <w:lvlText w:val=""/>
      <w:lvlJc w:val="left"/>
      <w:pPr>
        <w:ind w:left="2160" w:hanging="360"/>
      </w:pPr>
      <w:rPr>
        <w:rFonts w:ascii="Wingdings" w:hAnsi="Wingdings" w:hint="default"/>
      </w:rPr>
    </w:lvl>
    <w:lvl w:ilvl="3" w:tplc="A6C6A2A6" w:tentative="1">
      <w:start w:val="1"/>
      <w:numFmt w:val="bullet"/>
      <w:lvlText w:val=""/>
      <w:lvlJc w:val="left"/>
      <w:pPr>
        <w:ind w:left="2880" w:hanging="360"/>
      </w:pPr>
      <w:rPr>
        <w:rFonts w:ascii="Symbol" w:hAnsi="Symbol" w:hint="default"/>
      </w:rPr>
    </w:lvl>
    <w:lvl w:ilvl="4" w:tplc="33EE8F30" w:tentative="1">
      <w:start w:val="1"/>
      <w:numFmt w:val="bullet"/>
      <w:lvlText w:val="o"/>
      <w:lvlJc w:val="left"/>
      <w:pPr>
        <w:ind w:left="3600" w:hanging="360"/>
      </w:pPr>
      <w:rPr>
        <w:rFonts w:ascii="Courier New" w:hAnsi="Courier New" w:cs="Courier New" w:hint="default"/>
      </w:rPr>
    </w:lvl>
    <w:lvl w:ilvl="5" w:tplc="AC8A9B4C" w:tentative="1">
      <w:start w:val="1"/>
      <w:numFmt w:val="bullet"/>
      <w:lvlText w:val=""/>
      <w:lvlJc w:val="left"/>
      <w:pPr>
        <w:ind w:left="4320" w:hanging="360"/>
      </w:pPr>
      <w:rPr>
        <w:rFonts w:ascii="Wingdings" w:hAnsi="Wingdings" w:hint="default"/>
      </w:rPr>
    </w:lvl>
    <w:lvl w:ilvl="6" w:tplc="3E0A9564" w:tentative="1">
      <w:start w:val="1"/>
      <w:numFmt w:val="bullet"/>
      <w:lvlText w:val=""/>
      <w:lvlJc w:val="left"/>
      <w:pPr>
        <w:ind w:left="5040" w:hanging="360"/>
      </w:pPr>
      <w:rPr>
        <w:rFonts w:ascii="Symbol" w:hAnsi="Symbol" w:hint="default"/>
      </w:rPr>
    </w:lvl>
    <w:lvl w:ilvl="7" w:tplc="987A192E" w:tentative="1">
      <w:start w:val="1"/>
      <w:numFmt w:val="bullet"/>
      <w:lvlText w:val="o"/>
      <w:lvlJc w:val="left"/>
      <w:pPr>
        <w:ind w:left="5760" w:hanging="360"/>
      </w:pPr>
      <w:rPr>
        <w:rFonts w:ascii="Courier New" w:hAnsi="Courier New" w:cs="Courier New" w:hint="default"/>
      </w:rPr>
    </w:lvl>
    <w:lvl w:ilvl="8" w:tplc="5000991A" w:tentative="1">
      <w:start w:val="1"/>
      <w:numFmt w:val="bullet"/>
      <w:lvlText w:val=""/>
      <w:lvlJc w:val="left"/>
      <w:pPr>
        <w:ind w:left="6480" w:hanging="360"/>
      </w:pPr>
      <w:rPr>
        <w:rFonts w:ascii="Wingdings" w:hAnsi="Wingdings" w:hint="default"/>
      </w:rPr>
    </w:lvl>
  </w:abstractNum>
  <w:abstractNum w:abstractNumId="11" w15:restartNumberingAfterBreak="0">
    <w:nsid w:val="18924D42"/>
    <w:multiLevelType w:val="singleLevel"/>
    <w:tmpl w:val="665EC318"/>
    <w:lvl w:ilvl="0">
      <w:start w:val="1"/>
      <w:numFmt w:val="decimal"/>
      <w:pStyle w:val="Para"/>
      <w:lvlText w:val="%1."/>
      <w:lvlJc w:val="left"/>
      <w:pPr>
        <w:tabs>
          <w:tab w:val="num" w:pos="0"/>
        </w:tabs>
        <w:ind w:left="0" w:firstLine="0"/>
      </w:pPr>
      <w:rPr>
        <w:rFonts w:ascii="Cambria" w:hAnsi="Cambria" w:hint="default"/>
        <w:b w:val="0"/>
        <w:i w:val="0"/>
        <w:color w:val="auto"/>
        <w:sz w:val="22"/>
        <w:lang w:val="en-GB"/>
      </w:rPr>
    </w:lvl>
  </w:abstractNum>
  <w:abstractNum w:abstractNumId="12" w15:restartNumberingAfterBreak="0">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2A5112A4"/>
    <w:multiLevelType w:val="hybridMultilevel"/>
    <w:tmpl w:val="A3E4EBF8"/>
    <w:lvl w:ilvl="0" w:tplc="75247176">
      <w:start w:val="1"/>
      <w:numFmt w:val="decimal"/>
      <w:pStyle w:val="COEHeading5"/>
      <w:lvlText w:val="%1."/>
      <w:lvlJc w:val="left"/>
      <w:pPr>
        <w:tabs>
          <w:tab w:val="num" w:pos="1440"/>
        </w:tabs>
        <w:ind w:left="1440" w:hanging="720"/>
      </w:pPr>
      <w:rPr>
        <w:rFonts w:hint="default"/>
      </w:rPr>
    </w:lvl>
    <w:lvl w:ilvl="1" w:tplc="3F38CCDA" w:tentative="1">
      <w:start w:val="1"/>
      <w:numFmt w:val="lowerLetter"/>
      <w:lvlText w:val="%2."/>
      <w:lvlJc w:val="left"/>
      <w:pPr>
        <w:tabs>
          <w:tab w:val="num" w:pos="1440"/>
        </w:tabs>
        <w:ind w:left="1440" w:hanging="360"/>
      </w:pPr>
    </w:lvl>
    <w:lvl w:ilvl="2" w:tplc="6B5E779A" w:tentative="1">
      <w:start w:val="1"/>
      <w:numFmt w:val="lowerRoman"/>
      <w:lvlText w:val="%3."/>
      <w:lvlJc w:val="right"/>
      <w:pPr>
        <w:tabs>
          <w:tab w:val="num" w:pos="2160"/>
        </w:tabs>
        <w:ind w:left="2160" w:hanging="180"/>
      </w:pPr>
    </w:lvl>
    <w:lvl w:ilvl="3" w:tplc="EC647582" w:tentative="1">
      <w:start w:val="1"/>
      <w:numFmt w:val="decimal"/>
      <w:lvlText w:val="%4."/>
      <w:lvlJc w:val="left"/>
      <w:pPr>
        <w:tabs>
          <w:tab w:val="num" w:pos="2880"/>
        </w:tabs>
        <w:ind w:left="2880" w:hanging="360"/>
      </w:pPr>
    </w:lvl>
    <w:lvl w:ilvl="4" w:tplc="7428A906" w:tentative="1">
      <w:start w:val="1"/>
      <w:numFmt w:val="lowerLetter"/>
      <w:lvlText w:val="%5."/>
      <w:lvlJc w:val="left"/>
      <w:pPr>
        <w:tabs>
          <w:tab w:val="num" w:pos="3600"/>
        </w:tabs>
        <w:ind w:left="3600" w:hanging="360"/>
      </w:pPr>
    </w:lvl>
    <w:lvl w:ilvl="5" w:tplc="D332C6EA" w:tentative="1">
      <w:start w:val="1"/>
      <w:numFmt w:val="lowerRoman"/>
      <w:lvlText w:val="%6."/>
      <w:lvlJc w:val="right"/>
      <w:pPr>
        <w:tabs>
          <w:tab w:val="num" w:pos="4320"/>
        </w:tabs>
        <w:ind w:left="4320" w:hanging="180"/>
      </w:pPr>
    </w:lvl>
    <w:lvl w:ilvl="6" w:tplc="9EFE2862" w:tentative="1">
      <w:start w:val="1"/>
      <w:numFmt w:val="decimal"/>
      <w:lvlText w:val="%7."/>
      <w:lvlJc w:val="left"/>
      <w:pPr>
        <w:tabs>
          <w:tab w:val="num" w:pos="5040"/>
        </w:tabs>
        <w:ind w:left="5040" w:hanging="360"/>
      </w:pPr>
    </w:lvl>
    <w:lvl w:ilvl="7" w:tplc="8D0EC63C" w:tentative="1">
      <w:start w:val="1"/>
      <w:numFmt w:val="lowerLetter"/>
      <w:lvlText w:val="%8."/>
      <w:lvlJc w:val="left"/>
      <w:pPr>
        <w:tabs>
          <w:tab w:val="num" w:pos="5760"/>
        </w:tabs>
        <w:ind w:left="5760" w:hanging="360"/>
      </w:pPr>
    </w:lvl>
    <w:lvl w:ilvl="8" w:tplc="98A2251C" w:tentative="1">
      <w:start w:val="1"/>
      <w:numFmt w:val="lowerRoman"/>
      <w:lvlText w:val="%9."/>
      <w:lvlJc w:val="right"/>
      <w:pPr>
        <w:tabs>
          <w:tab w:val="num" w:pos="6480"/>
        </w:tabs>
        <w:ind w:left="6480" w:hanging="180"/>
      </w:pPr>
    </w:lvl>
  </w:abstractNum>
  <w:abstractNum w:abstractNumId="14" w15:restartNumberingAfterBreak="0">
    <w:nsid w:val="3030521A"/>
    <w:multiLevelType w:val="hybridMultilevel"/>
    <w:tmpl w:val="8D36E51A"/>
    <w:lvl w:ilvl="0" w:tplc="7C8CACC0">
      <w:start w:val="1"/>
      <w:numFmt w:val="bullet"/>
      <w:lvlText w:val=""/>
      <w:lvlJc w:val="left"/>
      <w:pPr>
        <w:tabs>
          <w:tab w:val="num" w:pos="720"/>
        </w:tabs>
        <w:ind w:left="720" w:hanging="360"/>
      </w:pPr>
      <w:rPr>
        <w:rFonts w:ascii="Symbol" w:hAnsi="Symbol" w:hint="default"/>
      </w:rPr>
    </w:lvl>
    <w:lvl w:ilvl="1" w:tplc="F49EFD92">
      <w:numFmt w:val="bullet"/>
      <w:lvlText w:val="-"/>
      <w:lvlJc w:val="left"/>
      <w:pPr>
        <w:tabs>
          <w:tab w:val="num" w:pos="1440"/>
        </w:tabs>
        <w:ind w:left="1440" w:hanging="360"/>
      </w:pPr>
      <w:rPr>
        <w:rFonts w:ascii="Arial" w:eastAsia="Times New Roman" w:hAnsi="Arial" w:cs="Arial" w:hint="default"/>
      </w:rPr>
    </w:lvl>
    <w:lvl w:ilvl="2" w:tplc="6E58A266">
      <w:numFmt w:val="bullet"/>
      <w:lvlText w:val="-"/>
      <w:lvlJc w:val="left"/>
      <w:pPr>
        <w:ind w:left="2340" w:hanging="360"/>
      </w:pPr>
      <w:rPr>
        <w:rFonts w:ascii="Arial" w:eastAsia="Times New Roman" w:hAnsi="Arial" w:cs="Arial" w:hint="default"/>
      </w:rPr>
    </w:lvl>
    <w:lvl w:ilvl="3" w:tplc="C3DEC8D8" w:tentative="1">
      <w:start w:val="1"/>
      <w:numFmt w:val="decimal"/>
      <w:lvlText w:val="%4."/>
      <w:lvlJc w:val="left"/>
      <w:pPr>
        <w:tabs>
          <w:tab w:val="num" w:pos="2880"/>
        </w:tabs>
        <w:ind w:left="2880" w:hanging="360"/>
      </w:pPr>
      <w:rPr>
        <w:rFonts w:cs="Times New Roman"/>
      </w:rPr>
    </w:lvl>
    <w:lvl w:ilvl="4" w:tplc="8494C4D4" w:tentative="1">
      <w:start w:val="1"/>
      <w:numFmt w:val="lowerLetter"/>
      <w:lvlText w:val="%5."/>
      <w:lvlJc w:val="left"/>
      <w:pPr>
        <w:tabs>
          <w:tab w:val="num" w:pos="3600"/>
        </w:tabs>
        <w:ind w:left="3600" w:hanging="360"/>
      </w:pPr>
      <w:rPr>
        <w:rFonts w:cs="Times New Roman"/>
      </w:rPr>
    </w:lvl>
    <w:lvl w:ilvl="5" w:tplc="6B8EACF8" w:tentative="1">
      <w:start w:val="1"/>
      <w:numFmt w:val="lowerRoman"/>
      <w:lvlText w:val="%6."/>
      <w:lvlJc w:val="right"/>
      <w:pPr>
        <w:tabs>
          <w:tab w:val="num" w:pos="4320"/>
        </w:tabs>
        <w:ind w:left="4320" w:hanging="180"/>
      </w:pPr>
      <w:rPr>
        <w:rFonts w:cs="Times New Roman"/>
      </w:rPr>
    </w:lvl>
    <w:lvl w:ilvl="6" w:tplc="46384D7A" w:tentative="1">
      <w:start w:val="1"/>
      <w:numFmt w:val="decimal"/>
      <w:lvlText w:val="%7."/>
      <w:lvlJc w:val="left"/>
      <w:pPr>
        <w:tabs>
          <w:tab w:val="num" w:pos="5040"/>
        </w:tabs>
        <w:ind w:left="5040" w:hanging="360"/>
      </w:pPr>
      <w:rPr>
        <w:rFonts w:cs="Times New Roman"/>
      </w:rPr>
    </w:lvl>
    <w:lvl w:ilvl="7" w:tplc="D3AAC1BC" w:tentative="1">
      <w:start w:val="1"/>
      <w:numFmt w:val="lowerLetter"/>
      <w:lvlText w:val="%8."/>
      <w:lvlJc w:val="left"/>
      <w:pPr>
        <w:tabs>
          <w:tab w:val="num" w:pos="5760"/>
        </w:tabs>
        <w:ind w:left="5760" w:hanging="360"/>
      </w:pPr>
      <w:rPr>
        <w:rFonts w:cs="Times New Roman"/>
      </w:rPr>
    </w:lvl>
    <w:lvl w:ilvl="8" w:tplc="B9767550"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041341"/>
    <w:multiLevelType w:val="hybridMultilevel"/>
    <w:tmpl w:val="CB761550"/>
    <w:lvl w:ilvl="0" w:tplc="1AA47DB2">
      <w:numFmt w:val="bullet"/>
      <w:lvlText w:val="-"/>
      <w:lvlJc w:val="left"/>
      <w:pPr>
        <w:tabs>
          <w:tab w:val="num" w:pos="720"/>
        </w:tabs>
        <w:ind w:left="720" w:hanging="360"/>
      </w:pPr>
      <w:rPr>
        <w:rFonts w:ascii="Arial" w:eastAsia="Times New Roman" w:hAnsi="Arial" w:cs="Arial" w:hint="default"/>
      </w:rPr>
    </w:lvl>
    <w:lvl w:ilvl="1" w:tplc="891A4602">
      <w:numFmt w:val="bullet"/>
      <w:lvlText w:val="-"/>
      <w:lvlJc w:val="left"/>
      <w:pPr>
        <w:tabs>
          <w:tab w:val="num" w:pos="1440"/>
        </w:tabs>
        <w:ind w:left="1440" w:hanging="360"/>
      </w:pPr>
      <w:rPr>
        <w:rFonts w:ascii="Arial" w:eastAsia="Times New Roman" w:hAnsi="Arial" w:cs="Arial" w:hint="default"/>
      </w:rPr>
    </w:lvl>
    <w:lvl w:ilvl="2" w:tplc="371CB256">
      <w:numFmt w:val="bullet"/>
      <w:lvlText w:val="-"/>
      <w:lvlJc w:val="left"/>
      <w:pPr>
        <w:ind w:left="2340" w:hanging="360"/>
      </w:pPr>
      <w:rPr>
        <w:rFonts w:ascii="Arial" w:eastAsia="Times New Roman" w:hAnsi="Arial" w:cs="Arial" w:hint="default"/>
      </w:rPr>
    </w:lvl>
    <w:lvl w:ilvl="3" w:tplc="08CE0E68" w:tentative="1">
      <w:start w:val="1"/>
      <w:numFmt w:val="decimal"/>
      <w:lvlText w:val="%4."/>
      <w:lvlJc w:val="left"/>
      <w:pPr>
        <w:tabs>
          <w:tab w:val="num" w:pos="2880"/>
        </w:tabs>
        <w:ind w:left="2880" w:hanging="360"/>
      </w:pPr>
      <w:rPr>
        <w:rFonts w:cs="Times New Roman"/>
      </w:rPr>
    </w:lvl>
    <w:lvl w:ilvl="4" w:tplc="F6A019E6" w:tentative="1">
      <w:start w:val="1"/>
      <w:numFmt w:val="lowerLetter"/>
      <w:lvlText w:val="%5."/>
      <w:lvlJc w:val="left"/>
      <w:pPr>
        <w:tabs>
          <w:tab w:val="num" w:pos="3600"/>
        </w:tabs>
        <w:ind w:left="3600" w:hanging="360"/>
      </w:pPr>
      <w:rPr>
        <w:rFonts w:cs="Times New Roman"/>
      </w:rPr>
    </w:lvl>
    <w:lvl w:ilvl="5" w:tplc="EF04F0DE" w:tentative="1">
      <w:start w:val="1"/>
      <w:numFmt w:val="lowerRoman"/>
      <w:lvlText w:val="%6."/>
      <w:lvlJc w:val="right"/>
      <w:pPr>
        <w:tabs>
          <w:tab w:val="num" w:pos="4320"/>
        </w:tabs>
        <w:ind w:left="4320" w:hanging="180"/>
      </w:pPr>
      <w:rPr>
        <w:rFonts w:cs="Times New Roman"/>
      </w:rPr>
    </w:lvl>
    <w:lvl w:ilvl="6" w:tplc="3C7CD700" w:tentative="1">
      <w:start w:val="1"/>
      <w:numFmt w:val="decimal"/>
      <w:lvlText w:val="%7."/>
      <w:lvlJc w:val="left"/>
      <w:pPr>
        <w:tabs>
          <w:tab w:val="num" w:pos="5040"/>
        </w:tabs>
        <w:ind w:left="5040" w:hanging="360"/>
      </w:pPr>
      <w:rPr>
        <w:rFonts w:cs="Times New Roman"/>
      </w:rPr>
    </w:lvl>
    <w:lvl w:ilvl="7" w:tplc="C11CD48C" w:tentative="1">
      <w:start w:val="1"/>
      <w:numFmt w:val="lowerLetter"/>
      <w:lvlText w:val="%8."/>
      <w:lvlJc w:val="left"/>
      <w:pPr>
        <w:tabs>
          <w:tab w:val="num" w:pos="5760"/>
        </w:tabs>
        <w:ind w:left="5760" w:hanging="360"/>
      </w:pPr>
      <w:rPr>
        <w:rFonts w:cs="Times New Roman"/>
      </w:rPr>
    </w:lvl>
    <w:lvl w:ilvl="8" w:tplc="9D4E697E"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1A767A"/>
    <w:multiLevelType w:val="multilevel"/>
    <w:tmpl w:val="1D9EBA40"/>
    <w:lvl w:ilvl="0">
      <w:start w:val="1"/>
      <w:numFmt w:val="decimal"/>
      <w:lvlText w:val="%1."/>
      <w:lvlJc w:val="left"/>
      <w:pPr>
        <w:ind w:left="0" w:firstLine="0"/>
      </w:pPr>
      <w:rPr>
        <w:rFonts w:hint="default"/>
      </w:rPr>
    </w:lvl>
    <w:lvl w:ilvl="1">
      <w:start w:val="1"/>
      <w:numFmt w:val="none"/>
      <w:lvlText w:val="1.1."/>
      <w:lvlJc w:val="left"/>
      <w:pPr>
        <w:ind w:left="0" w:firstLine="360"/>
      </w:pPr>
      <w:rPr>
        <w:rFonts w:ascii="Arial Bold" w:hAnsi="Arial Bold" w:hint="default"/>
        <w:b/>
        <w:i w:val="0"/>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5D0A84"/>
    <w:multiLevelType w:val="multilevel"/>
    <w:tmpl w:val="7F148E5C"/>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18" w15:restartNumberingAfterBreak="0">
    <w:nsid w:val="39C2745C"/>
    <w:multiLevelType w:val="hybridMultilevel"/>
    <w:tmpl w:val="52EE09A8"/>
    <w:lvl w:ilvl="0" w:tplc="7C86A23A">
      <w:start w:val="4"/>
      <w:numFmt w:val="decimal"/>
      <w:pStyle w:val="ParagraphNumberingChar"/>
      <w:lvlText w:val="%1.     "/>
      <w:lvlJc w:val="left"/>
      <w:pPr>
        <w:tabs>
          <w:tab w:val="num" w:pos="851"/>
        </w:tabs>
        <w:ind w:left="0" w:firstLine="0"/>
      </w:pPr>
      <w:rPr>
        <w:rFonts w:ascii="Times New Roman" w:hAnsi="Times New Roman" w:hint="default"/>
        <w:b w:val="0"/>
        <w:i w:val="0"/>
        <w:color w:val="auto"/>
        <w:sz w:val="22"/>
        <w:szCs w:val="22"/>
      </w:rPr>
    </w:lvl>
    <w:lvl w:ilvl="1" w:tplc="FD82F0A0" w:tentative="1">
      <w:start w:val="1"/>
      <w:numFmt w:val="lowerLetter"/>
      <w:lvlText w:val="%2."/>
      <w:lvlJc w:val="left"/>
      <w:pPr>
        <w:tabs>
          <w:tab w:val="num" w:pos="1233"/>
        </w:tabs>
        <w:ind w:left="1233" w:hanging="360"/>
      </w:pPr>
    </w:lvl>
    <w:lvl w:ilvl="2" w:tplc="BB1A8ED8" w:tentative="1">
      <w:start w:val="1"/>
      <w:numFmt w:val="lowerRoman"/>
      <w:lvlText w:val="%3."/>
      <w:lvlJc w:val="right"/>
      <w:pPr>
        <w:tabs>
          <w:tab w:val="num" w:pos="1953"/>
        </w:tabs>
        <w:ind w:left="1953" w:hanging="180"/>
      </w:pPr>
    </w:lvl>
    <w:lvl w:ilvl="3" w:tplc="6C821D44" w:tentative="1">
      <w:start w:val="1"/>
      <w:numFmt w:val="decimal"/>
      <w:lvlText w:val="%4."/>
      <w:lvlJc w:val="left"/>
      <w:pPr>
        <w:tabs>
          <w:tab w:val="num" w:pos="2673"/>
        </w:tabs>
        <w:ind w:left="2673" w:hanging="360"/>
      </w:pPr>
    </w:lvl>
    <w:lvl w:ilvl="4" w:tplc="03AC49F2" w:tentative="1">
      <w:start w:val="1"/>
      <w:numFmt w:val="lowerLetter"/>
      <w:lvlText w:val="%5."/>
      <w:lvlJc w:val="left"/>
      <w:pPr>
        <w:tabs>
          <w:tab w:val="num" w:pos="3393"/>
        </w:tabs>
        <w:ind w:left="3393" w:hanging="360"/>
      </w:pPr>
    </w:lvl>
    <w:lvl w:ilvl="5" w:tplc="503EF520" w:tentative="1">
      <w:start w:val="1"/>
      <w:numFmt w:val="lowerRoman"/>
      <w:lvlText w:val="%6."/>
      <w:lvlJc w:val="right"/>
      <w:pPr>
        <w:tabs>
          <w:tab w:val="num" w:pos="4113"/>
        </w:tabs>
        <w:ind w:left="4113" w:hanging="180"/>
      </w:pPr>
    </w:lvl>
    <w:lvl w:ilvl="6" w:tplc="93FCD4FA" w:tentative="1">
      <w:start w:val="1"/>
      <w:numFmt w:val="decimal"/>
      <w:lvlText w:val="%7."/>
      <w:lvlJc w:val="left"/>
      <w:pPr>
        <w:tabs>
          <w:tab w:val="num" w:pos="4833"/>
        </w:tabs>
        <w:ind w:left="4833" w:hanging="360"/>
      </w:pPr>
    </w:lvl>
    <w:lvl w:ilvl="7" w:tplc="02A6066C" w:tentative="1">
      <w:start w:val="1"/>
      <w:numFmt w:val="lowerLetter"/>
      <w:lvlText w:val="%8."/>
      <w:lvlJc w:val="left"/>
      <w:pPr>
        <w:tabs>
          <w:tab w:val="num" w:pos="5553"/>
        </w:tabs>
        <w:ind w:left="5553" w:hanging="360"/>
      </w:pPr>
    </w:lvl>
    <w:lvl w:ilvl="8" w:tplc="B0ECDD40" w:tentative="1">
      <w:start w:val="1"/>
      <w:numFmt w:val="lowerRoman"/>
      <w:lvlText w:val="%9."/>
      <w:lvlJc w:val="right"/>
      <w:pPr>
        <w:tabs>
          <w:tab w:val="num" w:pos="6273"/>
        </w:tabs>
        <w:ind w:left="6273" w:hanging="180"/>
      </w:pPr>
    </w:lvl>
  </w:abstractNum>
  <w:abstractNum w:abstractNumId="19" w15:restartNumberingAfterBreak="0">
    <w:nsid w:val="3E337798"/>
    <w:multiLevelType w:val="multilevel"/>
    <w:tmpl w:val="9774C276"/>
    <w:lvl w:ilvl="0">
      <w:start w:val="1"/>
      <w:numFmt w:val="decimal"/>
      <w:suff w:val="space"/>
      <w:lvlText w:val="Chapter %1. "/>
      <w:lvlJc w:val="left"/>
      <w:pPr>
        <w:ind w:left="0" w:firstLine="0"/>
      </w:pPr>
      <w:rPr>
        <w:rFonts w:hint="default"/>
      </w:rPr>
    </w:lvl>
    <w:lvl w:ilvl="1">
      <w:start w:val="1"/>
      <w:numFmt w:val="decimal"/>
      <w:pStyle w:val="Para0"/>
      <w:lvlText w:val="%1.%2"/>
      <w:lvlJc w:val="left"/>
      <w:pPr>
        <w:tabs>
          <w:tab w:val="num" w:pos="454"/>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FB7034F"/>
    <w:multiLevelType w:val="hybridMultilevel"/>
    <w:tmpl w:val="F4C84346"/>
    <w:lvl w:ilvl="0" w:tplc="EB804BC8">
      <w:start w:val="1"/>
      <w:numFmt w:val="bullet"/>
      <w:pStyle w:val="COEBullet"/>
      <w:lvlText w:val=""/>
      <w:lvlJc w:val="left"/>
      <w:pPr>
        <w:tabs>
          <w:tab w:val="num" w:pos="1080"/>
        </w:tabs>
        <w:ind w:left="1080" w:hanging="360"/>
      </w:pPr>
      <w:rPr>
        <w:rFonts w:ascii="Symbol" w:hAnsi="Symbol" w:hint="default"/>
      </w:rPr>
    </w:lvl>
    <w:lvl w:ilvl="1" w:tplc="C052B750">
      <w:start w:val="1"/>
      <w:numFmt w:val="bullet"/>
      <w:lvlText w:val="o"/>
      <w:lvlJc w:val="left"/>
      <w:pPr>
        <w:tabs>
          <w:tab w:val="num" w:pos="1800"/>
        </w:tabs>
        <w:ind w:left="1800" w:hanging="360"/>
      </w:pPr>
      <w:rPr>
        <w:rFonts w:ascii="Courier New" w:hAnsi="Courier New" w:cs="Courier New" w:hint="default"/>
      </w:rPr>
    </w:lvl>
    <w:lvl w:ilvl="2" w:tplc="03285FB0">
      <w:start w:val="1"/>
      <w:numFmt w:val="bullet"/>
      <w:lvlText w:val=""/>
      <w:lvlJc w:val="left"/>
      <w:pPr>
        <w:tabs>
          <w:tab w:val="num" w:pos="2520"/>
        </w:tabs>
        <w:ind w:left="2520" w:hanging="360"/>
      </w:pPr>
      <w:rPr>
        <w:rFonts w:ascii="Symbol" w:hAnsi="Symbol" w:hint="default"/>
      </w:rPr>
    </w:lvl>
    <w:lvl w:ilvl="3" w:tplc="7D6E490E" w:tentative="1">
      <w:start w:val="1"/>
      <w:numFmt w:val="bullet"/>
      <w:lvlText w:val=""/>
      <w:lvlJc w:val="left"/>
      <w:pPr>
        <w:tabs>
          <w:tab w:val="num" w:pos="3240"/>
        </w:tabs>
        <w:ind w:left="3240" w:hanging="360"/>
      </w:pPr>
      <w:rPr>
        <w:rFonts w:ascii="Symbol" w:hAnsi="Symbol" w:hint="default"/>
      </w:rPr>
    </w:lvl>
    <w:lvl w:ilvl="4" w:tplc="00F05C04" w:tentative="1">
      <w:start w:val="1"/>
      <w:numFmt w:val="bullet"/>
      <w:lvlText w:val="o"/>
      <w:lvlJc w:val="left"/>
      <w:pPr>
        <w:tabs>
          <w:tab w:val="num" w:pos="3960"/>
        </w:tabs>
        <w:ind w:left="3960" w:hanging="360"/>
      </w:pPr>
      <w:rPr>
        <w:rFonts w:ascii="Courier New" w:hAnsi="Courier New" w:cs="Courier New" w:hint="default"/>
      </w:rPr>
    </w:lvl>
    <w:lvl w:ilvl="5" w:tplc="5CF6DA3E" w:tentative="1">
      <w:start w:val="1"/>
      <w:numFmt w:val="bullet"/>
      <w:lvlText w:val=""/>
      <w:lvlJc w:val="left"/>
      <w:pPr>
        <w:tabs>
          <w:tab w:val="num" w:pos="4680"/>
        </w:tabs>
        <w:ind w:left="4680" w:hanging="360"/>
      </w:pPr>
      <w:rPr>
        <w:rFonts w:ascii="Wingdings" w:hAnsi="Wingdings" w:hint="default"/>
      </w:rPr>
    </w:lvl>
    <w:lvl w:ilvl="6" w:tplc="1CDC7C3C" w:tentative="1">
      <w:start w:val="1"/>
      <w:numFmt w:val="bullet"/>
      <w:lvlText w:val=""/>
      <w:lvlJc w:val="left"/>
      <w:pPr>
        <w:tabs>
          <w:tab w:val="num" w:pos="5400"/>
        </w:tabs>
        <w:ind w:left="5400" w:hanging="360"/>
      </w:pPr>
      <w:rPr>
        <w:rFonts w:ascii="Symbol" w:hAnsi="Symbol" w:hint="default"/>
      </w:rPr>
    </w:lvl>
    <w:lvl w:ilvl="7" w:tplc="7556C2CA" w:tentative="1">
      <w:start w:val="1"/>
      <w:numFmt w:val="bullet"/>
      <w:lvlText w:val="o"/>
      <w:lvlJc w:val="left"/>
      <w:pPr>
        <w:tabs>
          <w:tab w:val="num" w:pos="6120"/>
        </w:tabs>
        <w:ind w:left="6120" w:hanging="360"/>
      </w:pPr>
      <w:rPr>
        <w:rFonts w:ascii="Courier New" w:hAnsi="Courier New" w:cs="Courier New" w:hint="default"/>
      </w:rPr>
    </w:lvl>
    <w:lvl w:ilvl="8" w:tplc="308E2B8A"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2F6BF5"/>
    <w:multiLevelType w:val="multilevel"/>
    <w:tmpl w:val="0A8AB72C"/>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BC63D3"/>
    <w:multiLevelType w:val="hybridMultilevel"/>
    <w:tmpl w:val="BBBEF048"/>
    <w:lvl w:ilvl="0" w:tplc="0EBA4E3A">
      <w:start w:val="1"/>
      <w:numFmt w:val="decimal"/>
      <w:pStyle w:val="LDHeading3"/>
      <w:lvlText w:val="%1."/>
      <w:lvlJc w:val="left"/>
      <w:pPr>
        <w:ind w:left="720" w:hanging="360"/>
      </w:pPr>
    </w:lvl>
    <w:lvl w:ilvl="1" w:tplc="937A1300" w:tentative="1">
      <w:start w:val="1"/>
      <w:numFmt w:val="lowerLetter"/>
      <w:lvlText w:val="%2."/>
      <w:lvlJc w:val="left"/>
      <w:pPr>
        <w:ind w:left="1440" w:hanging="360"/>
      </w:pPr>
    </w:lvl>
    <w:lvl w:ilvl="2" w:tplc="28048A3C" w:tentative="1">
      <w:start w:val="1"/>
      <w:numFmt w:val="lowerRoman"/>
      <w:lvlText w:val="%3."/>
      <w:lvlJc w:val="right"/>
      <w:pPr>
        <w:ind w:left="2160" w:hanging="180"/>
      </w:pPr>
    </w:lvl>
    <w:lvl w:ilvl="3" w:tplc="86669F78" w:tentative="1">
      <w:start w:val="1"/>
      <w:numFmt w:val="decimal"/>
      <w:lvlText w:val="%4."/>
      <w:lvlJc w:val="left"/>
      <w:pPr>
        <w:ind w:left="2880" w:hanging="360"/>
      </w:pPr>
    </w:lvl>
    <w:lvl w:ilvl="4" w:tplc="4FC83256" w:tentative="1">
      <w:start w:val="1"/>
      <w:numFmt w:val="lowerLetter"/>
      <w:lvlText w:val="%5."/>
      <w:lvlJc w:val="left"/>
      <w:pPr>
        <w:ind w:left="3600" w:hanging="360"/>
      </w:pPr>
    </w:lvl>
    <w:lvl w:ilvl="5" w:tplc="5A08760C" w:tentative="1">
      <w:start w:val="1"/>
      <w:numFmt w:val="lowerRoman"/>
      <w:lvlText w:val="%6."/>
      <w:lvlJc w:val="right"/>
      <w:pPr>
        <w:ind w:left="4320" w:hanging="180"/>
      </w:pPr>
    </w:lvl>
    <w:lvl w:ilvl="6" w:tplc="2576925C" w:tentative="1">
      <w:start w:val="1"/>
      <w:numFmt w:val="decimal"/>
      <w:lvlText w:val="%7."/>
      <w:lvlJc w:val="left"/>
      <w:pPr>
        <w:ind w:left="5040" w:hanging="360"/>
      </w:pPr>
    </w:lvl>
    <w:lvl w:ilvl="7" w:tplc="3A8461E6" w:tentative="1">
      <w:start w:val="1"/>
      <w:numFmt w:val="lowerLetter"/>
      <w:lvlText w:val="%8."/>
      <w:lvlJc w:val="left"/>
      <w:pPr>
        <w:ind w:left="5760" w:hanging="360"/>
      </w:pPr>
    </w:lvl>
    <w:lvl w:ilvl="8" w:tplc="45308F80" w:tentative="1">
      <w:start w:val="1"/>
      <w:numFmt w:val="lowerRoman"/>
      <w:lvlText w:val="%9."/>
      <w:lvlJc w:val="right"/>
      <w:pPr>
        <w:ind w:left="6480" w:hanging="180"/>
      </w:pPr>
    </w:lvl>
  </w:abstractNum>
  <w:abstractNum w:abstractNumId="23" w15:restartNumberingAfterBreak="0">
    <w:nsid w:val="44A07041"/>
    <w:multiLevelType w:val="hybridMultilevel"/>
    <w:tmpl w:val="9C76CA9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25"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26" w15:restartNumberingAfterBreak="0">
    <w:nsid w:val="4B827949"/>
    <w:multiLevelType w:val="hybridMultilevel"/>
    <w:tmpl w:val="1D28DC30"/>
    <w:lvl w:ilvl="0" w:tplc="087CCCD4">
      <w:start w:val="1"/>
      <w:numFmt w:val="bullet"/>
      <w:pStyle w:val="StyleBefore3ptAfter3pt"/>
      <w:lvlText w:val=""/>
      <w:lvlJc w:val="left"/>
      <w:pPr>
        <w:tabs>
          <w:tab w:val="num" w:pos="454"/>
        </w:tabs>
        <w:ind w:left="454" w:hanging="454"/>
      </w:pPr>
      <w:rPr>
        <w:rFonts w:ascii="Symbol" w:hAnsi="Symbol" w:hint="default"/>
      </w:rPr>
    </w:lvl>
    <w:lvl w:ilvl="1" w:tplc="9E54908E">
      <w:start w:val="1"/>
      <w:numFmt w:val="bullet"/>
      <w:lvlText w:val=""/>
      <w:lvlPicBulletId w:val="0"/>
      <w:lvlJc w:val="left"/>
      <w:pPr>
        <w:tabs>
          <w:tab w:val="num" w:pos="1440"/>
        </w:tabs>
        <w:ind w:left="1440" w:hanging="360"/>
      </w:pPr>
      <w:rPr>
        <w:rFonts w:ascii="Symbol" w:hAnsi="Symbol" w:hint="default"/>
        <w:color w:val="auto"/>
      </w:rPr>
    </w:lvl>
    <w:lvl w:ilvl="2" w:tplc="333CF16C" w:tentative="1">
      <w:start w:val="1"/>
      <w:numFmt w:val="bullet"/>
      <w:lvlText w:val=""/>
      <w:lvlJc w:val="left"/>
      <w:pPr>
        <w:tabs>
          <w:tab w:val="num" w:pos="2160"/>
        </w:tabs>
        <w:ind w:left="2160" w:hanging="360"/>
      </w:pPr>
      <w:rPr>
        <w:rFonts w:ascii="Wingdings" w:hAnsi="Wingdings" w:hint="default"/>
      </w:rPr>
    </w:lvl>
    <w:lvl w:ilvl="3" w:tplc="541414DE" w:tentative="1">
      <w:start w:val="1"/>
      <w:numFmt w:val="bullet"/>
      <w:lvlText w:val=""/>
      <w:lvlJc w:val="left"/>
      <w:pPr>
        <w:tabs>
          <w:tab w:val="num" w:pos="2880"/>
        </w:tabs>
        <w:ind w:left="2880" w:hanging="360"/>
      </w:pPr>
      <w:rPr>
        <w:rFonts w:ascii="Symbol" w:hAnsi="Symbol" w:hint="default"/>
      </w:rPr>
    </w:lvl>
    <w:lvl w:ilvl="4" w:tplc="F87C52EA" w:tentative="1">
      <w:start w:val="1"/>
      <w:numFmt w:val="bullet"/>
      <w:lvlText w:val="o"/>
      <w:lvlJc w:val="left"/>
      <w:pPr>
        <w:tabs>
          <w:tab w:val="num" w:pos="3600"/>
        </w:tabs>
        <w:ind w:left="3600" w:hanging="360"/>
      </w:pPr>
      <w:rPr>
        <w:rFonts w:ascii="Courier New" w:hAnsi="Courier New" w:hint="default"/>
      </w:rPr>
    </w:lvl>
    <w:lvl w:ilvl="5" w:tplc="40883420" w:tentative="1">
      <w:start w:val="1"/>
      <w:numFmt w:val="bullet"/>
      <w:lvlText w:val=""/>
      <w:lvlJc w:val="left"/>
      <w:pPr>
        <w:tabs>
          <w:tab w:val="num" w:pos="4320"/>
        </w:tabs>
        <w:ind w:left="4320" w:hanging="360"/>
      </w:pPr>
      <w:rPr>
        <w:rFonts w:ascii="Wingdings" w:hAnsi="Wingdings" w:hint="default"/>
      </w:rPr>
    </w:lvl>
    <w:lvl w:ilvl="6" w:tplc="318086A8" w:tentative="1">
      <w:start w:val="1"/>
      <w:numFmt w:val="bullet"/>
      <w:lvlText w:val=""/>
      <w:lvlJc w:val="left"/>
      <w:pPr>
        <w:tabs>
          <w:tab w:val="num" w:pos="5040"/>
        </w:tabs>
        <w:ind w:left="5040" w:hanging="360"/>
      </w:pPr>
      <w:rPr>
        <w:rFonts w:ascii="Symbol" w:hAnsi="Symbol" w:hint="default"/>
      </w:rPr>
    </w:lvl>
    <w:lvl w:ilvl="7" w:tplc="72A0F130" w:tentative="1">
      <w:start w:val="1"/>
      <w:numFmt w:val="bullet"/>
      <w:lvlText w:val="o"/>
      <w:lvlJc w:val="left"/>
      <w:pPr>
        <w:tabs>
          <w:tab w:val="num" w:pos="5760"/>
        </w:tabs>
        <w:ind w:left="5760" w:hanging="360"/>
      </w:pPr>
      <w:rPr>
        <w:rFonts w:ascii="Courier New" w:hAnsi="Courier New" w:hint="default"/>
      </w:rPr>
    </w:lvl>
    <w:lvl w:ilvl="8" w:tplc="77CC4E7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22BCB"/>
    <w:multiLevelType w:val="hybridMultilevel"/>
    <w:tmpl w:val="69600D9C"/>
    <w:lvl w:ilvl="0" w:tplc="410837CE">
      <w:start w:val="1"/>
      <w:numFmt w:val="decimal"/>
      <w:pStyle w:val="LDbody"/>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13CF918">
      <w:start w:val="1"/>
      <w:numFmt w:val="lowerLetter"/>
      <w:lvlText w:val="%2."/>
      <w:lvlJc w:val="left"/>
      <w:pPr>
        <w:ind w:left="1440" w:hanging="360"/>
      </w:pPr>
    </w:lvl>
    <w:lvl w:ilvl="2" w:tplc="D46CAA72" w:tentative="1">
      <w:start w:val="1"/>
      <w:numFmt w:val="lowerRoman"/>
      <w:lvlText w:val="%3."/>
      <w:lvlJc w:val="right"/>
      <w:pPr>
        <w:ind w:left="2160" w:hanging="180"/>
      </w:pPr>
    </w:lvl>
    <w:lvl w:ilvl="3" w:tplc="86669C46" w:tentative="1">
      <w:start w:val="1"/>
      <w:numFmt w:val="decimal"/>
      <w:lvlText w:val="%4."/>
      <w:lvlJc w:val="left"/>
      <w:pPr>
        <w:ind w:left="2880" w:hanging="360"/>
      </w:pPr>
    </w:lvl>
    <w:lvl w:ilvl="4" w:tplc="CBE6C08E" w:tentative="1">
      <w:start w:val="1"/>
      <w:numFmt w:val="lowerLetter"/>
      <w:lvlText w:val="%5."/>
      <w:lvlJc w:val="left"/>
      <w:pPr>
        <w:ind w:left="3600" w:hanging="360"/>
      </w:pPr>
    </w:lvl>
    <w:lvl w:ilvl="5" w:tplc="7C8C9BB4" w:tentative="1">
      <w:start w:val="1"/>
      <w:numFmt w:val="lowerRoman"/>
      <w:lvlText w:val="%6."/>
      <w:lvlJc w:val="right"/>
      <w:pPr>
        <w:ind w:left="4320" w:hanging="180"/>
      </w:pPr>
    </w:lvl>
    <w:lvl w:ilvl="6" w:tplc="DE3E9E94" w:tentative="1">
      <w:start w:val="1"/>
      <w:numFmt w:val="decimal"/>
      <w:lvlText w:val="%7."/>
      <w:lvlJc w:val="left"/>
      <w:pPr>
        <w:ind w:left="5040" w:hanging="360"/>
      </w:pPr>
    </w:lvl>
    <w:lvl w:ilvl="7" w:tplc="15E0B2FA" w:tentative="1">
      <w:start w:val="1"/>
      <w:numFmt w:val="lowerLetter"/>
      <w:lvlText w:val="%8."/>
      <w:lvlJc w:val="left"/>
      <w:pPr>
        <w:ind w:left="5760" w:hanging="360"/>
      </w:pPr>
    </w:lvl>
    <w:lvl w:ilvl="8" w:tplc="B5286ABE" w:tentative="1">
      <w:start w:val="1"/>
      <w:numFmt w:val="lowerRoman"/>
      <w:lvlText w:val="%9."/>
      <w:lvlJc w:val="right"/>
      <w:pPr>
        <w:ind w:left="6480" w:hanging="180"/>
      </w:pPr>
    </w:lvl>
  </w:abstractNum>
  <w:abstractNum w:abstractNumId="28" w15:restartNumberingAfterBreak="0">
    <w:nsid w:val="4FC165AF"/>
    <w:multiLevelType w:val="hybridMultilevel"/>
    <w:tmpl w:val="996E88B0"/>
    <w:lvl w:ilvl="0" w:tplc="176CF278">
      <w:start w:val="1"/>
      <w:numFmt w:val="bullet"/>
      <w:lvlText w:val=""/>
      <w:lvlJc w:val="left"/>
      <w:pPr>
        <w:ind w:left="720" w:hanging="360"/>
      </w:pPr>
      <w:rPr>
        <w:rFonts w:ascii="Symbol" w:hAnsi="Symbol" w:hint="default"/>
      </w:rPr>
    </w:lvl>
    <w:lvl w:ilvl="1" w:tplc="95349852" w:tentative="1">
      <w:start w:val="1"/>
      <w:numFmt w:val="bullet"/>
      <w:lvlText w:val="o"/>
      <w:lvlJc w:val="left"/>
      <w:pPr>
        <w:ind w:left="1440" w:hanging="360"/>
      </w:pPr>
      <w:rPr>
        <w:rFonts w:ascii="Courier New" w:hAnsi="Courier New" w:cs="Courier New" w:hint="default"/>
      </w:rPr>
    </w:lvl>
    <w:lvl w:ilvl="2" w:tplc="0824C6E0" w:tentative="1">
      <w:start w:val="1"/>
      <w:numFmt w:val="bullet"/>
      <w:lvlText w:val=""/>
      <w:lvlJc w:val="left"/>
      <w:pPr>
        <w:ind w:left="2160" w:hanging="360"/>
      </w:pPr>
      <w:rPr>
        <w:rFonts w:ascii="Wingdings" w:hAnsi="Wingdings" w:hint="default"/>
      </w:rPr>
    </w:lvl>
    <w:lvl w:ilvl="3" w:tplc="18862058" w:tentative="1">
      <w:start w:val="1"/>
      <w:numFmt w:val="bullet"/>
      <w:lvlText w:val=""/>
      <w:lvlJc w:val="left"/>
      <w:pPr>
        <w:ind w:left="2880" w:hanging="360"/>
      </w:pPr>
      <w:rPr>
        <w:rFonts w:ascii="Symbol" w:hAnsi="Symbol" w:hint="default"/>
      </w:rPr>
    </w:lvl>
    <w:lvl w:ilvl="4" w:tplc="11E60EDC" w:tentative="1">
      <w:start w:val="1"/>
      <w:numFmt w:val="bullet"/>
      <w:lvlText w:val="o"/>
      <w:lvlJc w:val="left"/>
      <w:pPr>
        <w:ind w:left="3600" w:hanging="360"/>
      </w:pPr>
      <w:rPr>
        <w:rFonts w:ascii="Courier New" w:hAnsi="Courier New" w:cs="Courier New" w:hint="default"/>
      </w:rPr>
    </w:lvl>
    <w:lvl w:ilvl="5" w:tplc="63369612" w:tentative="1">
      <w:start w:val="1"/>
      <w:numFmt w:val="bullet"/>
      <w:lvlText w:val=""/>
      <w:lvlJc w:val="left"/>
      <w:pPr>
        <w:ind w:left="4320" w:hanging="360"/>
      </w:pPr>
      <w:rPr>
        <w:rFonts w:ascii="Wingdings" w:hAnsi="Wingdings" w:hint="default"/>
      </w:rPr>
    </w:lvl>
    <w:lvl w:ilvl="6" w:tplc="D884D6DC" w:tentative="1">
      <w:start w:val="1"/>
      <w:numFmt w:val="bullet"/>
      <w:lvlText w:val=""/>
      <w:lvlJc w:val="left"/>
      <w:pPr>
        <w:ind w:left="5040" w:hanging="360"/>
      </w:pPr>
      <w:rPr>
        <w:rFonts w:ascii="Symbol" w:hAnsi="Symbol" w:hint="default"/>
      </w:rPr>
    </w:lvl>
    <w:lvl w:ilvl="7" w:tplc="35160906" w:tentative="1">
      <w:start w:val="1"/>
      <w:numFmt w:val="bullet"/>
      <w:lvlText w:val="o"/>
      <w:lvlJc w:val="left"/>
      <w:pPr>
        <w:ind w:left="5760" w:hanging="360"/>
      </w:pPr>
      <w:rPr>
        <w:rFonts w:ascii="Courier New" w:hAnsi="Courier New" w:cs="Courier New" w:hint="default"/>
      </w:rPr>
    </w:lvl>
    <w:lvl w:ilvl="8" w:tplc="9D425360" w:tentative="1">
      <w:start w:val="1"/>
      <w:numFmt w:val="bullet"/>
      <w:lvlText w:val=""/>
      <w:lvlJc w:val="left"/>
      <w:pPr>
        <w:ind w:left="6480" w:hanging="360"/>
      </w:pPr>
      <w:rPr>
        <w:rFonts w:ascii="Wingdings" w:hAnsi="Wingdings" w:hint="default"/>
      </w:rPr>
    </w:lvl>
  </w:abstractNum>
  <w:abstractNum w:abstractNumId="29" w15:restartNumberingAfterBreak="0">
    <w:nsid w:val="5176726A"/>
    <w:multiLevelType w:val="hybridMultilevel"/>
    <w:tmpl w:val="80140844"/>
    <w:lvl w:ilvl="0" w:tplc="6CB4C354">
      <w:start w:val="1"/>
      <w:numFmt w:val="bullet"/>
      <w:pStyle w:val="BulletedList"/>
      <w:lvlText w:val=""/>
      <w:lvlJc w:val="left"/>
      <w:pPr>
        <w:tabs>
          <w:tab w:val="num" w:pos="340"/>
        </w:tabs>
        <w:ind w:left="1361" w:hanging="340"/>
      </w:pPr>
      <w:rPr>
        <w:rFonts w:ascii="Symbol" w:hAnsi="Symbol" w:hint="default"/>
      </w:rPr>
    </w:lvl>
    <w:lvl w:ilvl="1" w:tplc="E64ECA88">
      <w:start w:val="1"/>
      <w:numFmt w:val="bullet"/>
      <w:lvlText w:val="o"/>
      <w:lvlJc w:val="left"/>
      <w:pPr>
        <w:tabs>
          <w:tab w:val="num" w:pos="340"/>
        </w:tabs>
        <w:ind w:left="1701" w:hanging="340"/>
      </w:pPr>
      <w:rPr>
        <w:rFonts w:ascii="Courier New" w:hAnsi="Courier New" w:hint="default"/>
      </w:rPr>
    </w:lvl>
    <w:lvl w:ilvl="2" w:tplc="4C5E0766">
      <w:start w:val="1"/>
      <w:numFmt w:val="bullet"/>
      <w:lvlText w:val="‒"/>
      <w:lvlJc w:val="left"/>
      <w:pPr>
        <w:tabs>
          <w:tab w:val="num" w:pos="340"/>
        </w:tabs>
        <w:ind w:left="2041" w:hanging="340"/>
      </w:pPr>
      <w:rPr>
        <w:rFonts w:ascii="Calibri" w:hAnsi="Calibri" w:hint="default"/>
      </w:rPr>
    </w:lvl>
    <w:lvl w:ilvl="3" w:tplc="575017B8">
      <w:start w:val="1"/>
      <w:numFmt w:val="bullet"/>
      <w:lvlText w:val="‒"/>
      <w:lvlJc w:val="left"/>
      <w:pPr>
        <w:tabs>
          <w:tab w:val="num" w:pos="340"/>
        </w:tabs>
        <w:ind w:left="2381" w:hanging="340"/>
      </w:pPr>
      <w:rPr>
        <w:rFonts w:ascii="Calibri" w:hAnsi="Calibri" w:hint="default"/>
      </w:rPr>
    </w:lvl>
    <w:lvl w:ilvl="4" w:tplc="5FAA516E">
      <w:start w:val="1"/>
      <w:numFmt w:val="bullet"/>
      <w:lvlText w:val="‒"/>
      <w:lvlJc w:val="left"/>
      <w:pPr>
        <w:tabs>
          <w:tab w:val="num" w:pos="340"/>
        </w:tabs>
        <w:ind w:left="2722" w:hanging="341"/>
      </w:pPr>
      <w:rPr>
        <w:rFonts w:ascii="Calibri" w:hAnsi="Calibri" w:hint="default"/>
      </w:rPr>
    </w:lvl>
    <w:lvl w:ilvl="5" w:tplc="656696A2" w:tentative="1">
      <w:start w:val="1"/>
      <w:numFmt w:val="bullet"/>
      <w:lvlText w:val=""/>
      <w:lvlJc w:val="left"/>
      <w:pPr>
        <w:ind w:left="4774" w:hanging="360"/>
      </w:pPr>
      <w:rPr>
        <w:rFonts w:ascii="Wingdings" w:hAnsi="Wingdings" w:hint="default"/>
      </w:rPr>
    </w:lvl>
    <w:lvl w:ilvl="6" w:tplc="6804F010" w:tentative="1">
      <w:start w:val="1"/>
      <w:numFmt w:val="bullet"/>
      <w:lvlText w:val=""/>
      <w:lvlJc w:val="left"/>
      <w:pPr>
        <w:ind w:left="5494" w:hanging="360"/>
      </w:pPr>
      <w:rPr>
        <w:rFonts w:ascii="Symbol" w:hAnsi="Symbol" w:hint="default"/>
      </w:rPr>
    </w:lvl>
    <w:lvl w:ilvl="7" w:tplc="506A4B9C" w:tentative="1">
      <w:start w:val="1"/>
      <w:numFmt w:val="bullet"/>
      <w:lvlText w:val="o"/>
      <w:lvlJc w:val="left"/>
      <w:pPr>
        <w:ind w:left="6214" w:hanging="360"/>
      </w:pPr>
      <w:rPr>
        <w:rFonts w:ascii="Courier New" w:hAnsi="Courier New" w:cs="Courier New" w:hint="default"/>
      </w:rPr>
    </w:lvl>
    <w:lvl w:ilvl="8" w:tplc="0B1C76EC" w:tentative="1">
      <w:start w:val="1"/>
      <w:numFmt w:val="bullet"/>
      <w:lvlText w:val=""/>
      <w:lvlJc w:val="left"/>
      <w:pPr>
        <w:ind w:left="6934" w:hanging="360"/>
      </w:pPr>
      <w:rPr>
        <w:rFonts w:ascii="Wingdings" w:hAnsi="Wingdings" w:hint="default"/>
      </w:rPr>
    </w:lvl>
  </w:abstractNum>
  <w:abstractNum w:abstractNumId="30" w15:restartNumberingAfterBreak="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31" w15:restartNumberingAfterBreak="0">
    <w:nsid w:val="5BD419CC"/>
    <w:multiLevelType w:val="hybridMultilevel"/>
    <w:tmpl w:val="BD564242"/>
    <w:lvl w:ilvl="0" w:tplc="6934574A">
      <w:start w:val="1"/>
      <w:numFmt w:val="bullet"/>
      <w:lvlText w:val=""/>
      <w:lvlPicBulletId w:val="0"/>
      <w:lvlJc w:val="left"/>
      <w:pPr>
        <w:ind w:left="720" w:hanging="360"/>
      </w:pPr>
      <w:rPr>
        <w:rFonts w:ascii="Symbol" w:hAnsi="Symbol" w:hint="default"/>
        <w:color w:val="auto"/>
      </w:rPr>
    </w:lvl>
    <w:lvl w:ilvl="1" w:tplc="206C4D46" w:tentative="1">
      <w:start w:val="1"/>
      <w:numFmt w:val="bullet"/>
      <w:lvlText w:val="o"/>
      <w:lvlJc w:val="left"/>
      <w:pPr>
        <w:ind w:left="1440" w:hanging="360"/>
      </w:pPr>
      <w:rPr>
        <w:rFonts w:ascii="Courier New" w:hAnsi="Courier New" w:cs="Courier New" w:hint="default"/>
      </w:rPr>
    </w:lvl>
    <w:lvl w:ilvl="2" w:tplc="0518A22C" w:tentative="1">
      <w:start w:val="1"/>
      <w:numFmt w:val="bullet"/>
      <w:lvlText w:val=""/>
      <w:lvlJc w:val="left"/>
      <w:pPr>
        <w:ind w:left="2160" w:hanging="360"/>
      </w:pPr>
      <w:rPr>
        <w:rFonts w:ascii="Wingdings" w:hAnsi="Wingdings" w:hint="default"/>
      </w:rPr>
    </w:lvl>
    <w:lvl w:ilvl="3" w:tplc="0262ADA8" w:tentative="1">
      <w:start w:val="1"/>
      <w:numFmt w:val="bullet"/>
      <w:lvlText w:val=""/>
      <w:lvlJc w:val="left"/>
      <w:pPr>
        <w:ind w:left="2880" w:hanging="360"/>
      </w:pPr>
      <w:rPr>
        <w:rFonts w:ascii="Symbol" w:hAnsi="Symbol" w:hint="default"/>
      </w:rPr>
    </w:lvl>
    <w:lvl w:ilvl="4" w:tplc="B5B8C37C" w:tentative="1">
      <w:start w:val="1"/>
      <w:numFmt w:val="bullet"/>
      <w:lvlText w:val="o"/>
      <w:lvlJc w:val="left"/>
      <w:pPr>
        <w:ind w:left="3600" w:hanging="360"/>
      </w:pPr>
      <w:rPr>
        <w:rFonts w:ascii="Courier New" w:hAnsi="Courier New" w:cs="Courier New" w:hint="default"/>
      </w:rPr>
    </w:lvl>
    <w:lvl w:ilvl="5" w:tplc="E14A7276" w:tentative="1">
      <w:start w:val="1"/>
      <w:numFmt w:val="bullet"/>
      <w:lvlText w:val=""/>
      <w:lvlJc w:val="left"/>
      <w:pPr>
        <w:ind w:left="4320" w:hanging="360"/>
      </w:pPr>
      <w:rPr>
        <w:rFonts w:ascii="Wingdings" w:hAnsi="Wingdings" w:hint="default"/>
      </w:rPr>
    </w:lvl>
    <w:lvl w:ilvl="6" w:tplc="9D182426" w:tentative="1">
      <w:start w:val="1"/>
      <w:numFmt w:val="bullet"/>
      <w:lvlText w:val=""/>
      <w:lvlJc w:val="left"/>
      <w:pPr>
        <w:ind w:left="5040" w:hanging="360"/>
      </w:pPr>
      <w:rPr>
        <w:rFonts w:ascii="Symbol" w:hAnsi="Symbol" w:hint="default"/>
      </w:rPr>
    </w:lvl>
    <w:lvl w:ilvl="7" w:tplc="44387F4C" w:tentative="1">
      <w:start w:val="1"/>
      <w:numFmt w:val="bullet"/>
      <w:lvlText w:val="o"/>
      <w:lvlJc w:val="left"/>
      <w:pPr>
        <w:ind w:left="5760" w:hanging="360"/>
      </w:pPr>
      <w:rPr>
        <w:rFonts w:ascii="Courier New" w:hAnsi="Courier New" w:cs="Courier New" w:hint="default"/>
      </w:rPr>
    </w:lvl>
    <w:lvl w:ilvl="8" w:tplc="2C0AF1C4" w:tentative="1">
      <w:start w:val="1"/>
      <w:numFmt w:val="bullet"/>
      <w:lvlText w:val=""/>
      <w:lvlJc w:val="left"/>
      <w:pPr>
        <w:ind w:left="6480" w:hanging="360"/>
      </w:pPr>
      <w:rPr>
        <w:rFonts w:ascii="Wingdings" w:hAnsi="Wingdings" w:hint="default"/>
      </w:rPr>
    </w:lvl>
  </w:abstractNum>
  <w:abstractNum w:abstractNumId="32" w15:restartNumberingAfterBreak="0">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33" w15:restartNumberingAfterBreak="0">
    <w:nsid w:val="5D0B2605"/>
    <w:multiLevelType w:val="hybridMultilevel"/>
    <w:tmpl w:val="9CF290EA"/>
    <w:lvl w:ilvl="0" w:tplc="E0BAD728">
      <w:start w:val="1"/>
      <w:numFmt w:val="bullet"/>
      <w:pStyle w:val="Puce1"/>
      <w:lvlText w:val=""/>
      <w:lvlJc w:val="left"/>
      <w:pPr>
        <w:ind w:left="2764" w:hanging="360"/>
      </w:pPr>
      <w:rPr>
        <w:rFonts w:ascii="Wingdings" w:hAnsi="Wingdings" w:hint="default"/>
        <w:color w:val="348093"/>
      </w:rPr>
    </w:lvl>
    <w:lvl w:ilvl="1" w:tplc="A9940BA0">
      <w:start w:val="1"/>
      <w:numFmt w:val="bullet"/>
      <w:lvlText w:val="o"/>
      <w:lvlJc w:val="left"/>
      <w:pPr>
        <w:ind w:left="3484" w:hanging="360"/>
      </w:pPr>
      <w:rPr>
        <w:rFonts w:ascii="Courier New" w:hAnsi="Courier New" w:cs="Courier New" w:hint="default"/>
      </w:rPr>
    </w:lvl>
    <w:lvl w:ilvl="2" w:tplc="53D8DAF4">
      <w:start w:val="1"/>
      <w:numFmt w:val="bullet"/>
      <w:lvlText w:val=""/>
      <w:lvlJc w:val="left"/>
      <w:pPr>
        <w:ind w:left="4204" w:hanging="360"/>
      </w:pPr>
      <w:rPr>
        <w:rFonts w:ascii="Wingdings" w:hAnsi="Wingdings" w:hint="default"/>
      </w:rPr>
    </w:lvl>
    <w:lvl w:ilvl="3" w:tplc="48AAFD94">
      <w:start w:val="1"/>
      <w:numFmt w:val="bullet"/>
      <w:lvlText w:val=""/>
      <w:lvlJc w:val="left"/>
      <w:pPr>
        <w:ind w:left="4924" w:hanging="360"/>
      </w:pPr>
      <w:rPr>
        <w:rFonts w:ascii="Symbol" w:hAnsi="Symbol" w:hint="default"/>
      </w:rPr>
    </w:lvl>
    <w:lvl w:ilvl="4" w:tplc="BCB2A134">
      <w:start w:val="1"/>
      <w:numFmt w:val="bullet"/>
      <w:lvlText w:val="o"/>
      <w:lvlJc w:val="left"/>
      <w:pPr>
        <w:ind w:left="5644" w:hanging="360"/>
      </w:pPr>
      <w:rPr>
        <w:rFonts w:ascii="Courier New" w:hAnsi="Courier New" w:cs="Courier New" w:hint="default"/>
      </w:rPr>
    </w:lvl>
    <w:lvl w:ilvl="5" w:tplc="DF320792">
      <w:start w:val="1"/>
      <w:numFmt w:val="bullet"/>
      <w:lvlText w:val=""/>
      <w:lvlJc w:val="left"/>
      <w:pPr>
        <w:ind w:left="6364" w:hanging="360"/>
      </w:pPr>
      <w:rPr>
        <w:rFonts w:ascii="Wingdings" w:hAnsi="Wingdings" w:hint="default"/>
      </w:rPr>
    </w:lvl>
    <w:lvl w:ilvl="6" w:tplc="CFFC6C02">
      <w:start w:val="1"/>
      <w:numFmt w:val="bullet"/>
      <w:lvlText w:val=""/>
      <w:lvlJc w:val="left"/>
      <w:pPr>
        <w:ind w:left="7084" w:hanging="360"/>
      </w:pPr>
      <w:rPr>
        <w:rFonts w:ascii="Symbol" w:hAnsi="Symbol" w:hint="default"/>
      </w:rPr>
    </w:lvl>
    <w:lvl w:ilvl="7" w:tplc="2254476A">
      <w:start w:val="1"/>
      <w:numFmt w:val="bullet"/>
      <w:lvlText w:val="o"/>
      <w:lvlJc w:val="left"/>
      <w:pPr>
        <w:ind w:left="7804" w:hanging="360"/>
      </w:pPr>
      <w:rPr>
        <w:rFonts w:ascii="Courier New" w:hAnsi="Courier New" w:cs="Courier New" w:hint="default"/>
      </w:rPr>
    </w:lvl>
    <w:lvl w:ilvl="8" w:tplc="118A35C6">
      <w:start w:val="1"/>
      <w:numFmt w:val="bullet"/>
      <w:lvlText w:val=""/>
      <w:lvlJc w:val="left"/>
      <w:pPr>
        <w:ind w:left="8524" w:hanging="360"/>
      </w:pPr>
      <w:rPr>
        <w:rFonts w:ascii="Wingdings" w:hAnsi="Wingdings" w:hint="default"/>
      </w:rPr>
    </w:lvl>
  </w:abstractNum>
  <w:abstractNum w:abstractNumId="34" w15:restartNumberingAfterBreak="0">
    <w:nsid w:val="63B73AAB"/>
    <w:multiLevelType w:val="hybridMultilevel"/>
    <w:tmpl w:val="143A3B08"/>
    <w:lvl w:ilvl="0" w:tplc="18ACC0D8">
      <w:start w:val="1"/>
      <w:numFmt w:val="bullet"/>
      <w:lvlText w:val=""/>
      <w:lvlJc w:val="left"/>
      <w:pPr>
        <w:ind w:left="720" w:hanging="360"/>
      </w:pPr>
      <w:rPr>
        <w:rFonts w:ascii="Symbol" w:hAnsi="Symbol" w:hint="default"/>
      </w:rPr>
    </w:lvl>
    <w:lvl w:ilvl="1" w:tplc="CA90A8D4" w:tentative="1">
      <w:start w:val="1"/>
      <w:numFmt w:val="bullet"/>
      <w:lvlText w:val="o"/>
      <w:lvlJc w:val="left"/>
      <w:pPr>
        <w:ind w:left="1440" w:hanging="360"/>
      </w:pPr>
      <w:rPr>
        <w:rFonts w:ascii="Courier New" w:hAnsi="Courier New" w:cs="Courier New" w:hint="default"/>
      </w:rPr>
    </w:lvl>
    <w:lvl w:ilvl="2" w:tplc="74CAF25A" w:tentative="1">
      <w:start w:val="1"/>
      <w:numFmt w:val="bullet"/>
      <w:lvlText w:val=""/>
      <w:lvlJc w:val="left"/>
      <w:pPr>
        <w:ind w:left="2160" w:hanging="360"/>
      </w:pPr>
      <w:rPr>
        <w:rFonts w:ascii="Wingdings" w:hAnsi="Wingdings" w:hint="default"/>
      </w:rPr>
    </w:lvl>
    <w:lvl w:ilvl="3" w:tplc="1AC08C50" w:tentative="1">
      <w:start w:val="1"/>
      <w:numFmt w:val="bullet"/>
      <w:lvlText w:val=""/>
      <w:lvlJc w:val="left"/>
      <w:pPr>
        <w:ind w:left="2880" w:hanging="360"/>
      </w:pPr>
      <w:rPr>
        <w:rFonts w:ascii="Symbol" w:hAnsi="Symbol" w:hint="default"/>
      </w:rPr>
    </w:lvl>
    <w:lvl w:ilvl="4" w:tplc="735CFC76" w:tentative="1">
      <w:start w:val="1"/>
      <w:numFmt w:val="bullet"/>
      <w:lvlText w:val="o"/>
      <w:lvlJc w:val="left"/>
      <w:pPr>
        <w:ind w:left="3600" w:hanging="360"/>
      </w:pPr>
      <w:rPr>
        <w:rFonts w:ascii="Courier New" w:hAnsi="Courier New" w:cs="Courier New" w:hint="default"/>
      </w:rPr>
    </w:lvl>
    <w:lvl w:ilvl="5" w:tplc="C800350C" w:tentative="1">
      <w:start w:val="1"/>
      <w:numFmt w:val="bullet"/>
      <w:lvlText w:val=""/>
      <w:lvlJc w:val="left"/>
      <w:pPr>
        <w:ind w:left="4320" w:hanging="360"/>
      </w:pPr>
      <w:rPr>
        <w:rFonts w:ascii="Wingdings" w:hAnsi="Wingdings" w:hint="default"/>
      </w:rPr>
    </w:lvl>
    <w:lvl w:ilvl="6" w:tplc="6588819E" w:tentative="1">
      <w:start w:val="1"/>
      <w:numFmt w:val="bullet"/>
      <w:lvlText w:val=""/>
      <w:lvlJc w:val="left"/>
      <w:pPr>
        <w:ind w:left="5040" w:hanging="360"/>
      </w:pPr>
      <w:rPr>
        <w:rFonts w:ascii="Symbol" w:hAnsi="Symbol" w:hint="default"/>
      </w:rPr>
    </w:lvl>
    <w:lvl w:ilvl="7" w:tplc="2AF2DDF6" w:tentative="1">
      <w:start w:val="1"/>
      <w:numFmt w:val="bullet"/>
      <w:lvlText w:val="o"/>
      <w:lvlJc w:val="left"/>
      <w:pPr>
        <w:ind w:left="5760" w:hanging="360"/>
      </w:pPr>
      <w:rPr>
        <w:rFonts w:ascii="Courier New" w:hAnsi="Courier New" w:cs="Courier New" w:hint="default"/>
      </w:rPr>
    </w:lvl>
    <w:lvl w:ilvl="8" w:tplc="AC18B410" w:tentative="1">
      <w:start w:val="1"/>
      <w:numFmt w:val="bullet"/>
      <w:lvlText w:val=""/>
      <w:lvlJc w:val="left"/>
      <w:pPr>
        <w:ind w:left="6480" w:hanging="360"/>
      </w:pPr>
      <w:rPr>
        <w:rFonts w:ascii="Wingdings" w:hAnsi="Wingdings" w:hint="default"/>
      </w:rPr>
    </w:lvl>
  </w:abstractNum>
  <w:abstractNum w:abstractNumId="35" w15:restartNumberingAfterBreak="0">
    <w:nsid w:val="6E411348"/>
    <w:multiLevelType w:val="hybridMultilevel"/>
    <w:tmpl w:val="C6205944"/>
    <w:lvl w:ilvl="0" w:tplc="3C7A87CA">
      <w:start w:val="1"/>
      <w:numFmt w:val="bullet"/>
      <w:lvlText w:val=""/>
      <w:lvlJc w:val="left"/>
      <w:pPr>
        <w:ind w:left="1077" w:hanging="360"/>
      </w:pPr>
      <w:rPr>
        <w:rFonts w:ascii="Symbol" w:hAnsi="Symbol" w:hint="default"/>
      </w:rPr>
    </w:lvl>
    <w:lvl w:ilvl="1" w:tplc="CF3CBFBC" w:tentative="1">
      <w:start w:val="1"/>
      <w:numFmt w:val="bullet"/>
      <w:lvlText w:val="o"/>
      <w:lvlJc w:val="left"/>
      <w:pPr>
        <w:ind w:left="1797" w:hanging="360"/>
      </w:pPr>
      <w:rPr>
        <w:rFonts w:ascii="Courier New" w:hAnsi="Courier New" w:cs="Courier New" w:hint="default"/>
      </w:rPr>
    </w:lvl>
    <w:lvl w:ilvl="2" w:tplc="1D500662" w:tentative="1">
      <w:start w:val="1"/>
      <w:numFmt w:val="bullet"/>
      <w:lvlText w:val=""/>
      <w:lvlJc w:val="left"/>
      <w:pPr>
        <w:ind w:left="2517" w:hanging="360"/>
      </w:pPr>
      <w:rPr>
        <w:rFonts w:ascii="Wingdings" w:hAnsi="Wingdings" w:hint="default"/>
      </w:rPr>
    </w:lvl>
    <w:lvl w:ilvl="3" w:tplc="18EA4550" w:tentative="1">
      <w:start w:val="1"/>
      <w:numFmt w:val="bullet"/>
      <w:lvlText w:val=""/>
      <w:lvlJc w:val="left"/>
      <w:pPr>
        <w:ind w:left="3237" w:hanging="360"/>
      </w:pPr>
      <w:rPr>
        <w:rFonts w:ascii="Symbol" w:hAnsi="Symbol" w:hint="default"/>
      </w:rPr>
    </w:lvl>
    <w:lvl w:ilvl="4" w:tplc="5AC6BC50" w:tentative="1">
      <w:start w:val="1"/>
      <w:numFmt w:val="bullet"/>
      <w:lvlText w:val="o"/>
      <w:lvlJc w:val="left"/>
      <w:pPr>
        <w:ind w:left="3957" w:hanging="360"/>
      </w:pPr>
      <w:rPr>
        <w:rFonts w:ascii="Courier New" w:hAnsi="Courier New" w:cs="Courier New" w:hint="default"/>
      </w:rPr>
    </w:lvl>
    <w:lvl w:ilvl="5" w:tplc="DA98901C" w:tentative="1">
      <w:start w:val="1"/>
      <w:numFmt w:val="bullet"/>
      <w:lvlText w:val=""/>
      <w:lvlJc w:val="left"/>
      <w:pPr>
        <w:ind w:left="4677" w:hanging="360"/>
      </w:pPr>
      <w:rPr>
        <w:rFonts w:ascii="Wingdings" w:hAnsi="Wingdings" w:hint="default"/>
      </w:rPr>
    </w:lvl>
    <w:lvl w:ilvl="6" w:tplc="FF3AECD8" w:tentative="1">
      <w:start w:val="1"/>
      <w:numFmt w:val="bullet"/>
      <w:lvlText w:val=""/>
      <w:lvlJc w:val="left"/>
      <w:pPr>
        <w:ind w:left="5397" w:hanging="360"/>
      </w:pPr>
      <w:rPr>
        <w:rFonts w:ascii="Symbol" w:hAnsi="Symbol" w:hint="default"/>
      </w:rPr>
    </w:lvl>
    <w:lvl w:ilvl="7" w:tplc="BC4065B4" w:tentative="1">
      <w:start w:val="1"/>
      <w:numFmt w:val="bullet"/>
      <w:lvlText w:val="o"/>
      <w:lvlJc w:val="left"/>
      <w:pPr>
        <w:ind w:left="6117" w:hanging="360"/>
      </w:pPr>
      <w:rPr>
        <w:rFonts w:ascii="Courier New" w:hAnsi="Courier New" w:cs="Courier New" w:hint="default"/>
      </w:rPr>
    </w:lvl>
    <w:lvl w:ilvl="8" w:tplc="070461C4" w:tentative="1">
      <w:start w:val="1"/>
      <w:numFmt w:val="bullet"/>
      <w:lvlText w:val=""/>
      <w:lvlJc w:val="left"/>
      <w:pPr>
        <w:ind w:left="6837" w:hanging="360"/>
      </w:pPr>
      <w:rPr>
        <w:rFonts w:ascii="Wingdings" w:hAnsi="Wingdings" w:hint="default"/>
      </w:rPr>
    </w:lvl>
  </w:abstractNum>
  <w:abstractNum w:abstractNumId="36" w15:restartNumberingAfterBreak="0">
    <w:nsid w:val="6F3472A2"/>
    <w:multiLevelType w:val="multilevel"/>
    <w:tmpl w:val="90488F38"/>
    <w:lvl w:ilvl="0">
      <w:start w:val="1"/>
      <w:numFmt w:val="decimal"/>
      <w:pStyle w:val="LD-Para"/>
      <w:lvlText w:val="%1."/>
      <w:lvlJc w:val="left"/>
      <w:pPr>
        <w:ind w:left="360" w:hanging="360"/>
      </w:pPr>
      <w:rPr>
        <w:b w:val="0"/>
        <w:i w:val="0"/>
        <w:color w:val="auto"/>
      </w:rPr>
    </w:lvl>
    <w:lvl w:ilvl="1">
      <w:start w:val="3"/>
      <w:numFmt w:val="decimal"/>
      <w:lvlText w:val="%1.%2"/>
      <w:lvlJc w:val="left"/>
      <w:pPr>
        <w:ind w:left="1095" w:hanging="375"/>
      </w:pPr>
      <w:rPr>
        <w:b/>
        <w:i w:val="0"/>
      </w:rPr>
    </w:lvl>
    <w:lvl w:ilvl="2">
      <w:start w:val="1"/>
      <w:numFmt w:val="decimal"/>
      <w:lvlText w:val="%1.%2.%3"/>
      <w:lvlJc w:val="left"/>
      <w:pPr>
        <w:ind w:left="216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rPr>
        <w:b/>
        <w:i w:val="0"/>
      </w:rPr>
    </w:lvl>
    <w:lvl w:ilvl="5">
      <w:start w:val="1"/>
      <w:numFmt w:val="decimal"/>
      <w:lvlText w:val="%1.%2.%3.%4.%5.%6"/>
      <w:lvlJc w:val="left"/>
      <w:pPr>
        <w:ind w:left="4680" w:hanging="1080"/>
      </w:pPr>
      <w:rPr>
        <w:b/>
        <w:i w:val="0"/>
      </w:rPr>
    </w:lvl>
    <w:lvl w:ilvl="6">
      <w:start w:val="1"/>
      <w:numFmt w:val="decimal"/>
      <w:lvlText w:val="%1.%2.%3.%4.%5.%6.%7"/>
      <w:lvlJc w:val="left"/>
      <w:pPr>
        <w:ind w:left="5760" w:hanging="1440"/>
      </w:pPr>
      <w:rPr>
        <w:b/>
        <w:i w:val="0"/>
      </w:rPr>
    </w:lvl>
    <w:lvl w:ilvl="7">
      <w:start w:val="1"/>
      <w:numFmt w:val="decimal"/>
      <w:lvlText w:val="%1.%2.%3.%4.%5.%6.%7.%8"/>
      <w:lvlJc w:val="left"/>
      <w:pPr>
        <w:ind w:left="6480" w:hanging="1440"/>
      </w:pPr>
      <w:rPr>
        <w:b/>
        <w:i w:val="0"/>
      </w:rPr>
    </w:lvl>
    <w:lvl w:ilvl="8">
      <w:start w:val="1"/>
      <w:numFmt w:val="decimal"/>
      <w:lvlText w:val="%1.%2.%3.%4.%5.%6.%7.%8.%9"/>
      <w:lvlJc w:val="left"/>
      <w:pPr>
        <w:ind w:left="7560" w:hanging="1800"/>
      </w:pPr>
      <w:rPr>
        <w:b/>
        <w:i w:val="0"/>
      </w:rPr>
    </w:lvl>
  </w:abstractNum>
  <w:abstractNum w:abstractNumId="37" w15:restartNumberingAfterBreak="0">
    <w:nsid w:val="75D666C8"/>
    <w:multiLevelType w:val="hybridMultilevel"/>
    <w:tmpl w:val="0D7817F0"/>
    <w:lvl w:ilvl="0" w:tplc="31945AE6">
      <w:start w:val="1"/>
      <w:numFmt w:val="bullet"/>
      <w:pStyle w:val="GroupHeading"/>
      <w:lvlText w:val="►"/>
      <w:lvlJc w:val="left"/>
      <w:pPr>
        <w:ind w:left="357" w:hanging="357"/>
      </w:pPr>
      <w:rPr>
        <w:rFonts w:ascii="Courier New" w:hAnsi="Courier New" w:hint="default"/>
      </w:rPr>
    </w:lvl>
    <w:lvl w:ilvl="1" w:tplc="B6B2694A" w:tentative="1">
      <w:start w:val="1"/>
      <w:numFmt w:val="bullet"/>
      <w:lvlText w:val="o"/>
      <w:lvlJc w:val="left"/>
      <w:pPr>
        <w:ind w:left="1440" w:hanging="360"/>
      </w:pPr>
      <w:rPr>
        <w:rFonts w:ascii="Courier New" w:hAnsi="Courier New" w:cs="Courier New" w:hint="default"/>
      </w:rPr>
    </w:lvl>
    <w:lvl w:ilvl="2" w:tplc="B5E45FCE" w:tentative="1">
      <w:start w:val="1"/>
      <w:numFmt w:val="bullet"/>
      <w:lvlText w:val=""/>
      <w:lvlJc w:val="left"/>
      <w:pPr>
        <w:ind w:left="2160" w:hanging="360"/>
      </w:pPr>
      <w:rPr>
        <w:rFonts w:ascii="Wingdings" w:hAnsi="Wingdings" w:hint="default"/>
      </w:rPr>
    </w:lvl>
    <w:lvl w:ilvl="3" w:tplc="BDE0ED3E" w:tentative="1">
      <w:start w:val="1"/>
      <w:numFmt w:val="bullet"/>
      <w:lvlText w:val=""/>
      <w:lvlJc w:val="left"/>
      <w:pPr>
        <w:ind w:left="2880" w:hanging="360"/>
      </w:pPr>
      <w:rPr>
        <w:rFonts w:ascii="Symbol" w:hAnsi="Symbol" w:hint="default"/>
      </w:rPr>
    </w:lvl>
    <w:lvl w:ilvl="4" w:tplc="1FB60832" w:tentative="1">
      <w:start w:val="1"/>
      <w:numFmt w:val="bullet"/>
      <w:lvlText w:val="o"/>
      <w:lvlJc w:val="left"/>
      <w:pPr>
        <w:ind w:left="3600" w:hanging="360"/>
      </w:pPr>
      <w:rPr>
        <w:rFonts w:ascii="Courier New" w:hAnsi="Courier New" w:cs="Courier New" w:hint="default"/>
      </w:rPr>
    </w:lvl>
    <w:lvl w:ilvl="5" w:tplc="DCA2E6F6" w:tentative="1">
      <w:start w:val="1"/>
      <w:numFmt w:val="bullet"/>
      <w:lvlText w:val=""/>
      <w:lvlJc w:val="left"/>
      <w:pPr>
        <w:ind w:left="4320" w:hanging="360"/>
      </w:pPr>
      <w:rPr>
        <w:rFonts w:ascii="Wingdings" w:hAnsi="Wingdings" w:hint="default"/>
      </w:rPr>
    </w:lvl>
    <w:lvl w:ilvl="6" w:tplc="E8A46C7A" w:tentative="1">
      <w:start w:val="1"/>
      <w:numFmt w:val="bullet"/>
      <w:lvlText w:val=""/>
      <w:lvlJc w:val="left"/>
      <w:pPr>
        <w:ind w:left="5040" w:hanging="360"/>
      </w:pPr>
      <w:rPr>
        <w:rFonts w:ascii="Symbol" w:hAnsi="Symbol" w:hint="default"/>
      </w:rPr>
    </w:lvl>
    <w:lvl w:ilvl="7" w:tplc="0764C62E" w:tentative="1">
      <w:start w:val="1"/>
      <w:numFmt w:val="bullet"/>
      <w:lvlText w:val="o"/>
      <w:lvlJc w:val="left"/>
      <w:pPr>
        <w:ind w:left="5760" w:hanging="360"/>
      </w:pPr>
      <w:rPr>
        <w:rFonts w:ascii="Courier New" w:hAnsi="Courier New" w:cs="Courier New" w:hint="default"/>
      </w:rPr>
    </w:lvl>
    <w:lvl w:ilvl="8" w:tplc="61CEBB1E" w:tentative="1">
      <w:start w:val="1"/>
      <w:numFmt w:val="bullet"/>
      <w:lvlText w:val=""/>
      <w:lvlJc w:val="left"/>
      <w:pPr>
        <w:ind w:left="6480" w:hanging="360"/>
      </w:pPr>
      <w:rPr>
        <w:rFonts w:ascii="Wingdings" w:hAnsi="Wingdings" w:hint="default"/>
      </w:rPr>
    </w:lvl>
  </w:abstractNum>
  <w:abstractNum w:abstractNumId="38" w15:restartNumberingAfterBreak="0">
    <w:nsid w:val="786A5377"/>
    <w:multiLevelType w:val="hybridMultilevel"/>
    <w:tmpl w:val="9086C7B4"/>
    <w:lvl w:ilvl="0" w:tplc="E5C40E5C">
      <w:numFmt w:val="bullet"/>
      <w:lvlText w:val="-"/>
      <w:lvlJc w:val="left"/>
      <w:pPr>
        <w:ind w:left="720" w:hanging="360"/>
      </w:pPr>
      <w:rPr>
        <w:rFonts w:ascii="Arial" w:eastAsia="Times New Roman" w:hAnsi="Arial" w:cs="Arial" w:hint="default"/>
      </w:rPr>
    </w:lvl>
    <w:lvl w:ilvl="1" w:tplc="2586E3F2" w:tentative="1">
      <w:start w:val="1"/>
      <w:numFmt w:val="bullet"/>
      <w:lvlText w:val="o"/>
      <w:lvlJc w:val="left"/>
      <w:pPr>
        <w:ind w:left="1440" w:hanging="360"/>
      </w:pPr>
      <w:rPr>
        <w:rFonts w:ascii="Courier New" w:hAnsi="Courier New" w:cs="Courier New" w:hint="default"/>
      </w:rPr>
    </w:lvl>
    <w:lvl w:ilvl="2" w:tplc="808A976C" w:tentative="1">
      <w:start w:val="1"/>
      <w:numFmt w:val="bullet"/>
      <w:lvlText w:val=""/>
      <w:lvlJc w:val="left"/>
      <w:pPr>
        <w:ind w:left="2160" w:hanging="360"/>
      </w:pPr>
      <w:rPr>
        <w:rFonts w:ascii="Wingdings" w:hAnsi="Wingdings" w:hint="default"/>
      </w:rPr>
    </w:lvl>
    <w:lvl w:ilvl="3" w:tplc="8956515C" w:tentative="1">
      <w:start w:val="1"/>
      <w:numFmt w:val="bullet"/>
      <w:lvlText w:val=""/>
      <w:lvlJc w:val="left"/>
      <w:pPr>
        <w:ind w:left="2880" w:hanging="360"/>
      </w:pPr>
      <w:rPr>
        <w:rFonts w:ascii="Symbol" w:hAnsi="Symbol" w:hint="default"/>
      </w:rPr>
    </w:lvl>
    <w:lvl w:ilvl="4" w:tplc="C89813AE" w:tentative="1">
      <w:start w:val="1"/>
      <w:numFmt w:val="bullet"/>
      <w:lvlText w:val="o"/>
      <w:lvlJc w:val="left"/>
      <w:pPr>
        <w:ind w:left="3600" w:hanging="360"/>
      </w:pPr>
      <w:rPr>
        <w:rFonts w:ascii="Courier New" w:hAnsi="Courier New" w:cs="Courier New" w:hint="default"/>
      </w:rPr>
    </w:lvl>
    <w:lvl w:ilvl="5" w:tplc="7562D20A" w:tentative="1">
      <w:start w:val="1"/>
      <w:numFmt w:val="bullet"/>
      <w:lvlText w:val=""/>
      <w:lvlJc w:val="left"/>
      <w:pPr>
        <w:ind w:left="4320" w:hanging="360"/>
      </w:pPr>
      <w:rPr>
        <w:rFonts w:ascii="Wingdings" w:hAnsi="Wingdings" w:hint="default"/>
      </w:rPr>
    </w:lvl>
    <w:lvl w:ilvl="6" w:tplc="502E6C4A" w:tentative="1">
      <w:start w:val="1"/>
      <w:numFmt w:val="bullet"/>
      <w:lvlText w:val=""/>
      <w:lvlJc w:val="left"/>
      <w:pPr>
        <w:ind w:left="5040" w:hanging="360"/>
      </w:pPr>
      <w:rPr>
        <w:rFonts w:ascii="Symbol" w:hAnsi="Symbol" w:hint="default"/>
      </w:rPr>
    </w:lvl>
    <w:lvl w:ilvl="7" w:tplc="BE0090C0" w:tentative="1">
      <w:start w:val="1"/>
      <w:numFmt w:val="bullet"/>
      <w:lvlText w:val="o"/>
      <w:lvlJc w:val="left"/>
      <w:pPr>
        <w:ind w:left="5760" w:hanging="360"/>
      </w:pPr>
      <w:rPr>
        <w:rFonts w:ascii="Courier New" w:hAnsi="Courier New" w:cs="Courier New" w:hint="default"/>
      </w:rPr>
    </w:lvl>
    <w:lvl w:ilvl="8" w:tplc="96FCB236" w:tentative="1">
      <w:start w:val="1"/>
      <w:numFmt w:val="bullet"/>
      <w:lvlText w:val=""/>
      <w:lvlJc w:val="left"/>
      <w:pPr>
        <w:ind w:left="6480" w:hanging="360"/>
      </w:pPr>
      <w:rPr>
        <w:rFonts w:ascii="Wingdings" w:hAnsi="Wingdings" w:hint="default"/>
      </w:rPr>
    </w:lvl>
  </w:abstractNum>
  <w:abstractNum w:abstractNumId="39" w15:restartNumberingAfterBreak="0">
    <w:nsid w:val="7A0E4682"/>
    <w:multiLevelType w:val="hybridMultilevel"/>
    <w:tmpl w:val="E62A8F60"/>
    <w:lvl w:ilvl="0" w:tplc="E68C0A0E">
      <w:start w:val="1"/>
      <w:numFmt w:val="decimal"/>
      <w:pStyle w:val="Paragraphedeliste1"/>
      <w:lvlText w:val="%1."/>
      <w:lvlJc w:val="left"/>
      <w:pPr>
        <w:ind w:left="1287" w:hanging="360"/>
      </w:pPr>
      <w:rPr>
        <w:i w:val="0"/>
      </w:rPr>
    </w:lvl>
    <w:lvl w:ilvl="1" w:tplc="1D84B500" w:tentative="1">
      <w:start w:val="1"/>
      <w:numFmt w:val="lowerLetter"/>
      <w:lvlText w:val="%2."/>
      <w:lvlJc w:val="left"/>
      <w:pPr>
        <w:ind w:left="2007" w:hanging="360"/>
      </w:pPr>
    </w:lvl>
    <w:lvl w:ilvl="2" w:tplc="4642B84E">
      <w:start w:val="1"/>
      <w:numFmt w:val="lowerRoman"/>
      <w:lvlText w:val="%3."/>
      <w:lvlJc w:val="right"/>
      <w:pPr>
        <w:ind w:left="2727" w:hanging="180"/>
      </w:pPr>
    </w:lvl>
    <w:lvl w:ilvl="3" w:tplc="1DD285DE" w:tentative="1">
      <w:start w:val="1"/>
      <w:numFmt w:val="decimal"/>
      <w:lvlText w:val="%4."/>
      <w:lvlJc w:val="left"/>
      <w:pPr>
        <w:ind w:left="3447" w:hanging="360"/>
      </w:pPr>
    </w:lvl>
    <w:lvl w:ilvl="4" w:tplc="38BCDA18" w:tentative="1">
      <w:start w:val="1"/>
      <w:numFmt w:val="lowerLetter"/>
      <w:lvlText w:val="%5."/>
      <w:lvlJc w:val="left"/>
      <w:pPr>
        <w:ind w:left="4167" w:hanging="360"/>
      </w:pPr>
    </w:lvl>
    <w:lvl w:ilvl="5" w:tplc="61E03986" w:tentative="1">
      <w:start w:val="1"/>
      <w:numFmt w:val="lowerRoman"/>
      <w:lvlText w:val="%6."/>
      <w:lvlJc w:val="right"/>
      <w:pPr>
        <w:ind w:left="4887" w:hanging="180"/>
      </w:pPr>
    </w:lvl>
    <w:lvl w:ilvl="6" w:tplc="56788EBA" w:tentative="1">
      <w:start w:val="1"/>
      <w:numFmt w:val="decimal"/>
      <w:lvlText w:val="%7."/>
      <w:lvlJc w:val="left"/>
      <w:pPr>
        <w:ind w:left="5607" w:hanging="360"/>
      </w:pPr>
    </w:lvl>
    <w:lvl w:ilvl="7" w:tplc="03902CC4" w:tentative="1">
      <w:start w:val="1"/>
      <w:numFmt w:val="lowerLetter"/>
      <w:lvlText w:val="%8."/>
      <w:lvlJc w:val="left"/>
      <w:pPr>
        <w:ind w:left="6327" w:hanging="360"/>
      </w:pPr>
    </w:lvl>
    <w:lvl w:ilvl="8" w:tplc="E556AA0E" w:tentative="1">
      <w:start w:val="1"/>
      <w:numFmt w:val="lowerRoman"/>
      <w:lvlText w:val="%9."/>
      <w:lvlJc w:val="right"/>
      <w:pPr>
        <w:ind w:left="7047" w:hanging="180"/>
      </w:pPr>
    </w:lvl>
  </w:abstractNum>
  <w:num w:numId="1" w16cid:durableId="1585143665">
    <w:abstractNumId w:val="20"/>
  </w:num>
  <w:num w:numId="2" w16cid:durableId="1804496087">
    <w:abstractNumId w:val="8"/>
  </w:num>
  <w:num w:numId="3" w16cid:durableId="1686439999">
    <w:abstractNumId w:val="13"/>
  </w:num>
  <w:num w:numId="4" w16cid:durableId="725103966">
    <w:abstractNumId w:val="26"/>
  </w:num>
  <w:num w:numId="5" w16cid:durableId="233316837">
    <w:abstractNumId w:val="1"/>
  </w:num>
  <w:num w:numId="6" w16cid:durableId="805048703">
    <w:abstractNumId w:val="0"/>
  </w:num>
  <w:num w:numId="7" w16cid:durableId="834298237">
    <w:abstractNumId w:val="18"/>
  </w:num>
  <w:num w:numId="8" w16cid:durableId="918904621">
    <w:abstractNumId w:val="27"/>
  </w:num>
  <w:num w:numId="9" w16cid:durableId="1904633404">
    <w:abstractNumId w:val="22"/>
  </w:num>
  <w:num w:numId="10" w16cid:durableId="2052267429">
    <w:abstractNumId w:val="39"/>
  </w:num>
  <w:num w:numId="11" w16cid:durableId="119612393">
    <w:abstractNumId w:val="9"/>
  </w:num>
  <w:num w:numId="12" w16cid:durableId="929922363">
    <w:abstractNumId w:val="6"/>
  </w:num>
  <w:num w:numId="13" w16cid:durableId="570776063">
    <w:abstractNumId w:val="7"/>
  </w:num>
  <w:num w:numId="14" w16cid:durableId="849373264">
    <w:abstractNumId w:val="24"/>
  </w:num>
  <w:num w:numId="15" w16cid:durableId="418871953">
    <w:abstractNumId w:val="3"/>
  </w:num>
  <w:num w:numId="16" w16cid:durableId="1557735745">
    <w:abstractNumId w:val="25"/>
  </w:num>
  <w:num w:numId="17" w16cid:durableId="184246910">
    <w:abstractNumId w:val="30"/>
  </w:num>
  <w:num w:numId="18" w16cid:durableId="41565200">
    <w:abstractNumId w:val="32"/>
  </w:num>
  <w:num w:numId="19" w16cid:durableId="1263613225">
    <w:abstractNumId w:val="12"/>
  </w:num>
  <w:num w:numId="20" w16cid:durableId="2050521975">
    <w:abstractNumId w:val="11"/>
  </w:num>
  <w:num w:numId="21" w16cid:durableId="1646398003">
    <w:abstractNumId w:val="19"/>
  </w:num>
  <w:num w:numId="22" w16cid:durableId="1388920821">
    <w:abstractNumId w:val="37"/>
  </w:num>
  <w:num w:numId="23" w16cid:durableId="1422599853">
    <w:abstractNumId w:val="29"/>
  </w:num>
  <w:num w:numId="24" w16cid:durableId="1321689476">
    <w:abstractNumId w:val="33"/>
  </w:num>
  <w:num w:numId="25" w16cid:durableId="1030838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0207504">
    <w:abstractNumId w:val="5"/>
  </w:num>
  <w:num w:numId="27" w16cid:durableId="1908226356">
    <w:abstractNumId w:val="14"/>
  </w:num>
  <w:num w:numId="28" w16cid:durableId="242882374">
    <w:abstractNumId w:val="15"/>
  </w:num>
  <w:num w:numId="29" w16cid:durableId="865680743">
    <w:abstractNumId w:val="35"/>
  </w:num>
  <w:num w:numId="30" w16cid:durableId="725421689">
    <w:abstractNumId w:val="31"/>
  </w:num>
  <w:num w:numId="31" w16cid:durableId="2065449203">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3727746">
    <w:abstractNumId w:val="38"/>
  </w:num>
  <w:num w:numId="33" w16cid:durableId="668601413">
    <w:abstractNumId w:val="28"/>
  </w:num>
  <w:num w:numId="34" w16cid:durableId="143817917">
    <w:abstractNumId w:val="4"/>
  </w:num>
  <w:num w:numId="35" w16cid:durableId="2065978970">
    <w:abstractNumId w:val="21"/>
  </w:num>
  <w:num w:numId="36" w16cid:durableId="112747373">
    <w:abstractNumId w:val="16"/>
  </w:num>
  <w:num w:numId="37" w16cid:durableId="1561551054">
    <w:abstractNumId w:val="34"/>
  </w:num>
  <w:num w:numId="38" w16cid:durableId="465003613">
    <w:abstractNumId w:val="10"/>
  </w:num>
  <w:num w:numId="39" w16cid:durableId="578058554">
    <w:abstractNumId w:val="2"/>
  </w:num>
  <w:num w:numId="40" w16cid:durableId="1415859240">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63"/>
    <w:rsid w:val="000100DA"/>
    <w:rsid w:val="0001627B"/>
    <w:rsid w:val="0002450C"/>
    <w:rsid w:val="0002539C"/>
    <w:rsid w:val="00027745"/>
    <w:rsid w:val="00027B2B"/>
    <w:rsid w:val="00035FDF"/>
    <w:rsid w:val="00042A16"/>
    <w:rsid w:val="00043335"/>
    <w:rsid w:val="0005489A"/>
    <w:rsid w:val="0006725E"/>
    <w:rsid w:val="00071EA7"/>
    <w:rsid w:val="000727F5"/>
    <w:rsid w:val="00072CBD"/>
    <w:rsid w:val="00076A47"/>
    <w:rsid w:val="00082CEE"/>
    <w:rsid w:val="000927FC"/>
    <w:rsid w:val="000A04E5"/>
    <w:rsid w:val="000A307B"/>
    <w:rsid w:val="000A5CD8"/>
    <w:rsid w:val="000B4F3D"/>
    <w:rsid w:val="000B5C6D"/>
    <w:rsid w:val="000C25E8"/>
    <w:rsid w:val="000C52A6"/>
    <w:rsid w:val="000C5E2A"/>
    <w:rsid w:val="000C6A58"/>
    <w:rsid w:val="000D0B62"/>
    <w:rsid w:val="000D1520"/>
    <w:rsid w:val="000D4025"/>
    <w:rsid w:val="000D66FE"/>
    <w:rsid w:val="000E2085"/>
    <w:rsid w:val="000E50A4"/>
    <w:rsid w:val="000F1801"/>
    <w:rsid w:val="000F1CBB"/>
    <w:rsid w:val="000F416C"/>
    <w:rsid w:val="000F4CF2"/>
    <w:rsid w:val="000F58C3"/>
    <w:rsid w:val="000F5ADA"/>
    <w:rsid w:val="000F6261"/>
    <w:rsid w:val="000F708C"/>
    <w:rsid w:val="00104707"/>
    <w:rsid w:val="00106141"/>
    <w:rsid w:val="00110729"/>
    <w:rsid w:val="00113EB0"/>
    <w:rsid w:val="00116C0B"/>
    <w:rsid w:val="00117316"/>
    <w:rsid w:val="00117C35"/>
    <w:rsid w:val="00123CDD"/>
    <w:rsid w:val="0013055E"/>
    <w:rsid w:val="00134D9A"/>
    <w:rsid w:val="00135BDB"/>
    <w:rsid w:val="00135BE9"/>
    <w:rsid w:val="00137BB4"/>
    <w:rsid w:val="00140647"/>
    <w:rsid w:val="0014214B"/>
    <w:rsid w:val="0014266D"/>
    <w:rsid w:val="00147EF4"/>
    <w:rsid w:val="00153BB3"/>
    <w:rsid w:val="001560DC"/>
    <w:rsid w:val="00156DC1"/>
    <w:rsid w:val="00160B03"/>
    <w:rsid w:val="00165689"/>
    <w:rsid w:val="00167A24"/>
    <w:rsid w:val="00170ABB"/>
    <w:rsid w:val="00171115"/>
    <w:rsid w:val="00176323"/>
    <w:rsid w:val="0018337C"/>
    <w:rsid w:val="00194B02"/>
    <w:rsid w:val="001A469B"/>
    <w:rsid w:val="001A6076"/>
    <w:rsid w:val="001B03C1"/>
    <w:rsid w:val="001B0E14"/>
    <w:rsid w:val="001B39DF"/>
    <w:rsid w:val="001B5DB9"/>
    <w:rsid w:val="001B7E0B"/>
    <w:rsid w:val="001C7768"/>
    <w:rsid w:val="001D2393"/>
    <w:rsid w:val="001E39B9"/>
    <w:rsid w:val="001E7C29"/>
    <w:rsid w:val="001F297D"/>
    <w:rsid w:val="001F4F04"/>
    <w:rsid w:val="001F727F"/>
    <w:rsid w:val="00210692"/>
    <w:rsid w:val="00214299"/>
    <w:rsid w:val="002146ED"/>
    <w:rsid w:val="00223C5C"/>
    <w:rsid w:val="002250DD"/>
    <w:rsid w:val="002314EA"/>
    <w:rsid w:val="00231BC5"/>
    <w:rsid w:val="0023437D"/>
    <w:rsid w:val="002416EE"/>
    <w:rsid w:val="00241773"/>
    <w:rsid w:val="00242ABB"/>
    <w:rsid w:val="00245AED"/>
    <w:rsid w:val="00251353"/>
    <w:rsid w:val="0025168A"/>
    <w:rsid w:val="00257CD4"/>
    <w:rsid w:val="00262B36"/>
    <w:rsid w:val="002637F8"/>
    <w:rsid w:val="00263912"/>
    <w:rsid w:val="00264E05"/>
    <w:rsid w:val="00265917"/>
    <w:rsid w:val="00265A35"/>
    <w:rsid w:val="00267EC0"/>
    <w:rsid w:val="0027188E"/>
    <w:rsid w:val="00274B82"/>
    <w:rsid w:val="0028281B"/>
    <w:rsid w:val="00282866"/>
    <w:rsid w:val="002861FB"/>
    <w:rsid w:val="00292C71"/>
    <w:rsid w:val="00293EE6"/>
    <w:rsid w:val="002A4866"/>
    <w:rsid w:val="002B02F1"/>
    <w:rsid w:val="002B1EAE"/>
    <w:rsid w:val="002C0872"/>
    <w:rsid w:val="002C20BA"/>
    <w:rsid w:val="002C43B5"/>
    <w:rsid w:val="002C4704"/>
    <w:rsid w:val="002D0655"/>
    <w:rsid w:val="002D11B8"/>
    <w:rsid w:val="002D66CC"/>
    <w:rsid w:val="002E2594"/>
    <w:rsid w:val="002E2BB4"/>
    <w:rsid w:val="002E4089"/>
    <w:rsid w:val="002E6C1B"/>
    <w:rsid w:val="002F3006"/>
    <w:rsid w:val="002F405C"/>
    <w:rsid w:val="002F6BB7"/>
    <w:rsid w:val="002F7D0A"/>
    <w:rsid w:val="00300927"/>
    <w:rsid w:val="00303712"/>
    <w:rsid w:val="00303DD0"/>
    <w:rsid w:val="00311B53"/>
    <w:rsid w:val="00313079"/>
    <w:rsid w:val="00333192"/>
    <w:rsid w:val="00333228"/>
    <w:rsid w:val="00334BFA"/>
    <w:rsid w:val="003354C4"/>
    <w:rsid w:val="00335CAF"/>
    <w:rsid w:val="003363F4"/>
    <w:rsid w:val="003364D1"/>
    <w:rsid w:val="00341168"/>
    <w:rsid w:val="0034382F"/>
    <w:rsid w:val="0034522A"/>
    <w:rsid w:val="00351D03"/>
    <w:rsid w:val="0036350F"/>
    <w:rsid w:val="0037200F"/>
    <w:rsid w:val="00373957"/>
    <w:rsid w:val="00381C50"/>
    <w:rsid w:val="00382307"/>
    <w:rsid w:val="00382342"/>
    <w:rsid w:val="00382549"/>
    <w:rsid w:val="00385587"/>
    <w:rsid w:val="00387527"/>
    <w:rsid w:val="00392D1D"/>
    <w:rsid w:val="00394E38"/>
    <w:rsid w:val="003A0A0D"/>
    <w:rsid w:val="003A5509"/>
    <w:rsid w:val="003B2C8C"/>
    <w:rsid w:val="003B345B"/>
    <w:rsid w:val="003C4E14"/>
    <w:rsid w:val="003D0E6F"/>
    <w:rsid w:val="003D3B17"/>
    <w:rsid w:val="003D48AE"/>
    <w:rsid w:val="003D4B52"/>
    <w:rsid w:val="003D6AC2"/>
    <w:rsid w:val="003D7EC2"/>
    <w:rsid w:val="003E562E"/>
    <w:rsid w:val="003E5D9E"/>
    <w:rsid w:val="003F3D4B"/>
    <w:rsid w:val="0040027C"/>
    <w:rsid w:val="00400868"/>
    <w:rsid w:val="00412F63"/>
    <w:rsid w:val="00413004"/>
    <w:rsid w:val="00413803"/>
    <w:rsid w:val="00417A8F"/>
    <w:rsid w:val="0042349E"/>
    <w:rsid w:val="004256CB"/>
    <w:rsid w:val="004273FF"/>
    <w:rsid w:val="004317DE"/>
    <w:rsid w:val="00431E14"/>
    <w:rsid w:val="004329B7"/>
    <w:rsid w:val="00433C76"/>
    <w:rsid w:val="00440907"/>
    <w:rsid w:val="00440CB1"/>
    <w:rsid w:val="00443709"/>
    <w:rsid w:val="00446200"/>
    <w:rsid w:val="00447D22"/>
    <w:rsid w:val="00451AC0"/>
    <w:rsid w:val="0045509E"/>
    <w:rsid w:val="004553F6"/>
    <w:rsid w:val="004615E1"/>
    <w:rsid w:val="00466BD0"/>
    <w:rsid w:val="004728F8"/>
    <w:rsid w:val="00480D8B"/>
    <w:rsid w:val="00491E67"/>
    <w:rsid w:val="004A37E1"/>
    <w:rsid w:val="004B0239"/>
    <w:rsid w:val="004B1184"/>
    <w:rsid w:val="004B3AE5"/>
    <w:rsid w:val="004B44FC"/>
    <w:rsid w:val="004B7880"/>
    <w:rsid w:val="004C0C2F"/>
    <w:rsid w:val="004C11B3"/>
    <w:rsid w:val="004C15D6"/>
    <w:rsid w:val="004C60DE"/>
    <w:rsid w:val="004D1C0F"/>
    <w:rsid w:val="004F1D8B"/>
    <w:rsid w:val="004F631C"/>
    <w:rsid w:val="0050115D"/>
    <w:rsid w:val="0050560D"/>
    <w:rsid w:val="005216D5"/>
    <w:rsid w:val="005237A0"/>
    <w:rsid w:val="00523B88"/>
    <w:rsid w:val="00524D42"/>
    <w:rsid w:val="0054041B"/>
    <w:rsid w:val="00544F6A"/>
    <w:rsid w:val="00547AEB"/>
    <w:rsid w:val="00550B6C"/>
    <w:rsid w:val="00550CE2"/>
    <w:rsid w:val="00553300"/>
    <w:rsid w:val="00555F81"/>
    <w:rsid w:val="005641FD"/>
    <w:rsid w:val="00574663"/>
    <w:rsid w:val="00595626"/>
    <w:rsid w:val="005A05CD"/>
    <w:rsid w:val="005A5104"/>
    <w:rsid w:val="005B01B8"/>
    <w:rsid w:val="005B1FA1"/>
    <w:rsid w:val="005B33D5"/>
    <w:rsid w:val="005B3604"/>
    <w:rsid w:val="005B441E"/>
    <w:rsid w:val="005B72D9"/>
    <w:rsid w:val="005C73BB"/>
    <w:rsid w:val="005D7BB3"/>
    <w:rsid w:val="005D7CDF"/>
    <w:rsid w:val="005E0228"/>
    <w:rsid w:val="005E6B71"/>
    <w:rsid w:val="005F093B"/>
    <w:rsid w:val="005F3DC6"/>
    <w:rsid w:val="005F7422"/>
    <w:rsid w:val="00613D79"/>
    <w:rsid w:val="00614982"/>
    <w:rsid w:val="00624E6D"/>
    <w:rsid w:val="00625A70"/>
    <w:rsid w:val="00630F3C"/>
    <w:rsid w:val="006346A5"/>
    <w:rsid w:val="00643231"/>
    <w:rsid w:val="00643C3F"/>
    <w:rsid w:val="00644AD3"/>
    <w:rsid w:val="006455FA"/>
    <w:rsid w:val="00660FFB"/>
    <w:rsid w:val="00662D41"/>
    <w:rsid w:val="00671219"/>
    <w:rsid w:val="00671684"/>
    <w:rsid w:val="00671EA2"/>
    <w:rsid w:val="006908C5"/>
    <w:rsid w:val="006A5025"/>
    <w:rsid w:val="006B7190"/>
    <w:rsid w:val="006D3E93"/>
    <w:rsid w:val="006D43F1"/>
    <w:rsid w:val="006D501F"/>
    <w:rsid w:val="006E2DAB"/>
    <w:rsid w:val="006E5647"/>
    <w:rsid w:val="006F0318"/>
    <w:rsid w:val="006F0F5C"/>
    <w:rsid w:val="006F41B9"/>
    <w:rsid w:val="006F6B48"/>
    <w:rsid w:val="00703414"/>
    <w:rsid w:val="00712E65"/>
    <w:rsid w:val="0071455C"/>
    <w:rsid w:val="007150DE"/>
    <w:rsid w:val="00722A19"/>
    <w:rsid w:val="00733BFF"/>
    <w:rsid w:val="00734F49"/>
    <w:rsid w:val="00735569"/>
    <w:rsid w:val="007401D3"/>
    <w:rsid w:val="00741A1B"/>
    <w:rsid w:val="007542BB"/>
    <w:rsid w:val="00755ED2"/>
    <w:rsid w:val="00761627"/>
    <w:rsid w:val="00766205"/>
    <w:rsid w:val="00770642"/>
    <w:rsid w:val="00773CFE"/>
    <w:rsid w:val="00791F91"/>
    <w:rsid w:val="007A4D41"/>
    <w:rsid w:val="007A543D"/>
    <w:rsid w:val="007A5BAC"/>
    <w:rsid w:val="007B3DD0"/>
    <w:rsid w:val="007B403A"/>
    <w:rsid w:val="007C0AD1"/>
    <w:rsid w:val="007C11A2"/>
    <w:rsid w:val="007D6D14"/>
    <w:rsid w:val="007D7B20"/>
    <w:rsid w:val="007E168C"/>
    <w:rsid w:val="007E1F1C"/>
    <w:rsid w:val="007F099E"/>
    <w:rsid w:val="007F22DA"/>
    <w:rsid w:val="007F6C46"/>
    <w:rsid w:val="00800A19"/>
    <w:rsid w:val="00803CC8"/>
    <w:rsid w:val="008042E6"/>
    <w:rsid w:val="00805F04"/>
    <w:rsid w:val="00806124"/>
    <w:rsid w:val="00806F68"/>
    <w:rsid w:val="00810D5A"/>
    <w:rsid w:val="00814AA2"/>
    <w:rsid w:val="0082394F"/>
    <w:rsid w:val="00824558"/>
    <w:rsid w:val="0082624A"/>
    <w:rsid w:val="00831071"/>
    <w:rsid w:val="00832F5B"/>
    <w:rsid w:val="00835017"/>
    <w:rsid w:val="008379D1"/>
    <w:rsid w:val="00853C90"/>
    <w:rsid w:val="00854AC6"/>
    <w:rsid w:val="008575F2"/>
    <w:rsid w:val="00864ADF"/>
    <w:rsid w:val="00866550"/>
    <w:rsid w:val="0087380A"/>
    <w:rsid w:val="008748AA"/>
    <w:rsid w:val="008839E0"/>
    <w:rsid w:val="00892518"/>
    <w:rsid w:val="00892AD9"/>
    <w:rsid w:val="0089480A"/>
    <w:rsid w:val="008A0052"/>
    <w:rsid w:val="008A11F0"/>
    <w:rsid w:val="008B07D4"/>
    <w:rsid w:val="008B127B"/>
    <w:rsid w:val="008B154A"/>
    <w:rsid w:val="008B61D1"/>
    <w:rsid w:val="008C12CC"/>
    <w:rsid w:val="008C20D5"/>
    <w:rsid w:val="008C6B7C"/>
    <w:rsid w:val="008D01BF"/>
    <w:rsid w:val="008E3BF7"/>
    <w:rsid w:val="008E45BA"/>
    <w:rsid w:val="008E4690"/>
    <w:rsid w:val="008E487A"/>
    <w:rsid w:val="008F64ED"/>
    <w:rsid w:val="00902B8D"/>
    <w:rsid w:val="009159BB"/>
    <w:rsid w:val="00915AB1"/>
    <w:rsid w:val="0091644D"/>
    <w:rsid w:val="00916BF5"/>
    <w:rsid w:val="009215B8"/>
    <w:rsid w:val="00923554"/>
    <w:rsid w:val="00926982"/>
    <w:rsid w:val="009270C4"/>
    <w:rsid w:val="009342FF"/>
    <w:rsid w:val="00937A20"/>
    <w:rsid w:val="00940F14"/>
    <w:rsid w:val="00941050"/>
    <w:rsid w:val="00941B25"/>
    <w:rsid w:val="00950D67"/>
    <w:rsid w:val="00951A12"/>
    <w:rsid w:val="009527D7"/>
    <w:rsid w:val="00955512"/>
    <w:rsid w:val="00956DD8"/>
    <w:rsid w:val="0096226D"/>
    <w:rsid w:val="00963962"/>
    <w:rsid w:val="00974C41"/>
    <w:rsid w:val="00990722"/>
    <w:rsid w:val="009918AC"/>
    <w:rsid w:val="00997511"/>
    <w:rsid w:val="009A3025"/>
    <w:rsid w:val="009B3A84"/>
    <w:rsid w:val="009B3AB7"/>
    <w:rsid w:val="009C1F6A"/>
    <w:rsid w:val="009C3370"/>
    <w:rsid w:val="009C5258"/>
    <w:rsid w:val="009C7A55"/>
    <w:rsid w:val="009D26C6"/>
    <w:rsid w:val="009D28F3"/>
    <w:rsid w:val="009D28F7"/>
    <w:rsid w:val="009E2DFB"/>
    <w:rsid w:val="009F169A"/>
    <w:rsid w:val="009F5DAE"/>
    <w:rsid w:val="00A073E0"/>
    <w:rsid w:val="00A12DEC"/>
    <w:rsid w:val="00A13FA3"/>
    <w:rsid w:val="00A161B3"/>
    <w:rsid w:val="00A17BDF"/>
    <w:rsid w:val="00A22D53"/>
    <w:rsid w:val="00A24766"/>
    <w:rsid w:val="00A27CE5"/>
    <w:rsid w:val="00A451A6"/>
    <w:rsid w:val="00A474E5"/>
    <w:rsid w:val="00A50A1F"/>
    <w:rsid w:val="00A55330"/>
    <w:rsid w:val="00A57074"/>
    <w:rsid w:val="00A72E2D"/>
    <w:rsid w:val="00A76308"/>
    <w:rsid w:val="00A77BDB"/>
    <w:rsid w:val="00A80EF8"/>
    <w:rsid w:val="00A81874"/>
    <w:rsid w:val="00A841AB"/>
    <w:rsid w:val="00A842D4"/>
    <w:rsid w:val="00A93CA3"/>
    <w:rsid w:val="00A97326"/>
    <w:rsid w:val="00AB055A"/>
    <w:rsid w:val="00AB5409"/>
    <w:rsid w:val="00AB6552"/>
    <w:rsid w:val="00AB67F8"/>
    <w:rsid w:val="00AB6FCC"/>
    <w:rsid w:val="00AB7727"/>
    <w:rsid w:val="00AB780D"/>
    <w:rsid w:val="00AC60D2"/>
    <w:rsid w:val="00AC73AA"/>
    <w:rsid w:val="00AD00D2"/>
    <w:rsid w:val="00AD0EFC"/>
    <w:rsid w:val="00AD2AE0"/>
    <w:rsid w:val="00AD2D41"/>
    <w:rsid w:val="00AD45EB"/>
    <w:rsid w:val="00AD5AF1"/>
    <w:rsid w:val="00AE67F0"/>
    <w:rsid w:val="00AE6B8D"/>
    <w:rsid w:val="00AE76B8"/>
    <w:rsid w:val="00AF4713"/>
    <w:rsid w:val="00B027B1"/>
    <w:rsid w:val="00B06133"/>
    <w:rsid w:val="00B129D8"/>
    <w:rsid w:val="00B15949"/>
    <w:rsid w:val="00B227AE"/>
    <w:rsid w:val="00B337FC"/>
    <w:rsid w:val="00B4066A"/>
    <w:rsid w:val="00B41B03"/>
    <w:rsid w:val="00B41EC3"/>
    <w:rsid w:val="00B448FD"/>
    <w:rsid w:val="00B509CE"/>
    <w:rsid w:val="00B63F08"/>
    <w:rsid w:val="00B81BAC"/>
    <w:rsid w:val="00B81DB1"/>
    <w:rsid w:val="00B83EAC"/>
    <w:rsid w:val="00B849E0"/>
    <w:rsid w:val="00B86166"/>
    <w:rsid w:val="00B90246"/>
    <w:rsid w:val="00B91BF3"/>
    <w:rsid w:val="00B920E4"/>
    <w:rsid w:val="00BA79A3"/>
    <w:rsid w:val="00BB0A9E"/>
    <w:rsid w:val="00BB136A"/>
    <w:rsid w:val="00BB579A"/>
    <w:rsid w:val="00BB7998"/>
    <w:rsid w:val="00BB7DCE"/>
    <w:rsid w:val="00BC1D63"/>
    <w:rsid w:val="00BC2014"/>
    <w:rsid w:val="00BC491F"/>
    <w:rsid w:val="00BC722F"/>
    <w:rsid w:val="00BD25C0"/>
    <w:rsid w:val="00BD42ED"/>
    <w:rsid w:val="00BD79A2"/>
    <w:rsid w:val="00C049EE"/>
    <w:rsid w:val="00C062C0"/>
    <w:rsid w:val="00C109FD"/>
    <w:rsid w:val="00C14C2C"/>
    <w:rsid w:val="00C26E7F"/>
    <w:rsid w:val="00C27BE7"/>
    <w:rsid w:val="00C33F36"/>
    <w:rsid w:val="00C409C2"/>
    <w:rsid w:val="00C507B9"/>
    <w:rsid w:val="00C535AE"/>
    <w:rsid w:val="00C53E8C"/>
    <w:rsid w:val="00C554BD"/>
    <w:rsid w:val="00C55E15"/>
    <w:rsid w:val="00C5744D"/>
    <w:rsid w:val="00C70562"/>
    <w:rsid w:val="00C74E6F"/>
    <w:rsid w:val="00C75445"/>
    <w:rsid w:val="00C8348A"/>
    <w:rsid w:val="00C92F89"/>
    <w:rsid w:val="00C946D2"/>
    <w:rsid w:val="00C95F08"/>
    <w:rsid w:val="00C96A64"/>
    <w:rsid w:val="00CB1027"/>
    <w:rsid w:val="00CB1AB6"/>
    <w:rsid w:val="00CB61FF"/>
    <w:rsid w:val="00CC0F19"/>
    <w:rsid w:val="00CC39DC"/>
    <w:rsid w:val="00CD14A8"/>
    <w:rsid w:val="00CD2C26"/>
    <w:rsid w:val="00CD50A1"/>
    <w:rsid w:val="00CE184F"/>
    <w:rsid w:val="00CE1FF8"/>
    <w:rsid w:val="00CE4890"/>
    <w:rsid w:val="00CE56DB"/>
    <w:rsid w:val="00CE6FD2"/>
    <w:rsid w:val="00D0182E"/>
    <w:rsid w:val="00D0265B"/>
    <w:rsid w:val="00D04D82"/>
    <w:rsid w:val="00D06ECD"/>
    <w:rsid w:val="00D13A88"/>
    <w:rsid w:val="00D24A57"/>
    <w:rsid w:val="00D32148"/>
    <w:rsid w:val="00D516E6"/>
    <w:rsid w:val="00D53526"/>
    <w:rsid w:val="00D53FBF"/>
    <w:rsid w:val="00D554E6"/>
    <w:rsid w:val="00D67E51"/>
    <w:rsid w:val="00D70628"/>
    <w:rsid w:val="00D76D50"/>
    <w:rsid w:val="00D920D2"/>
    <w:rsid w:val="00D92C8A"/>
    <w:rsid w:val="00D93BEF"/>
    <w:rsid w:val="00D9445C"/>
    <w:rsid w:val="00DA7643"/>
    <w:rsid w:val="00DB029C"/>
    <w:rsid w:val="00DB4326"/>
    <w:rsid w:val="00DB7A37"/>
    <w:rsid w:val="00DB7C4D"/>
    <w:rsid w:val="00DC0BD0"/>
    <w:rsid w:val="00DC162E"/>
    <w:rsid w:val="00DC42BD"/>
    <w:rsid w:val="00DC4A39"/>
    <w:rsid w:val="00DC5993"/>
    <w:rsid w:val="00DC5A8D"/>
    <w:rsid w:val="00DC7CA1"/>
    <w:rsid w:val="00DD4025"/>
    <w:rsid w:val="00DE0A21"/>
    <w:rsid w:val="00DE3F88"/>
    <w:rsid w:val="00DF5871"/>
    <w:rsid w:val="00DF5B08"/>
    <w:rsid w:val="00DF6796"/>
    <w:rsid w:val="00E1258A"/>
    <w:rsid w:val="00E125C6"/>
    <w:rsid w:val="00E15639"/>
    <w:rsid w:val="00E1656D"/>
    <w:rsid w:val="00E173B5"/>
    <w:rsid w:val="00E205C6"/>
    <w:rsid w:val="00E24C57"/>
    <w:rsid w:val="00E30FC8"/>
    <w:rsid w:val="00E40D57"/>
    <w:rsid w:val="00E44F77"/>
    <w:rsid w:val="00E4527E"/>
    <w:rsid w:val="00E475F9"/>
    <w:rsid w:val="00E50941"/>
    <w:rsid w:val="00E50974"/>
    <w:rsid w:val="00E51364"/>
    <w:rsid w:val="00E618F0"/>
    <w:rsid w:val="00E70155"/>
    <w:rsid w:val="00E86611"/>
    <w:rsid w:val="00E940BF"/>
    <w:rsid w:val="00E967D0"/>
    <w:rsid w:val="00E96BFB"/>
    <w:rsid w:val="00EA001A"/>
    <w:rsid w:val="00EA354F"/>
    <w:rsid w:val="00EA3F9F"/>
    <w:rsid w:val="00EA4604"/>
    <w:rsid w:val="00EA643A"/>
    <w:rsid w:val="00EB7530"/>
    <w:rsid w:val="00EC1419"/>
    <w:rsid w:val="00ED3BD8"/>
    <w:rsid w:val="00ED5EC8"/>
    <w:rsid w:val="00EE24D6"/>
    <w:rsid w:val="00EE34E3"/>
    <w:rsid w:val="00EF0BE4"/>
    <w:rsid w:val="00EF124E"/>
    <w:rsid w:val="00F01885"/>
    <w:rsid w:val="00F0657C"/>
    <w:rsid w:val="00F168A4"/>
    <w:rsid w:val="00F2380B"/>
    <w:rsid w:val="00F243B8"/>
    <w:rsid w:val="00F24713"/>
    <w:rsid w:val="00F26F79"/>
    <w:rsid w:val="00F34C24"/>
    <w:rsid w:val="00F40699"/>
    <w:rsid w:val="00F40B8D"/>
    <w:rsid w:val="00F433D6"/>
    <w:rsid w:val="00F44A71"/>
    <w:rsid w:val="00F45EDE"/>
    <w:rsid w:val="00F61D34"/>
    <w:rsid w:val="00F63977"/>
    <w:rsid w:val="00F662A9"/>
    <w:rsid w:val="00F755E9"/>
    <w:rsid w:val="00F76BBD"/>
    <w:rsid w:val="00F80BC0"/>
    <w:rsid w:val="00F850A9"/>
    <w:rsid w:val="00F86A21"/>
    <w:rsid w:val="00F9244E"/>
    <w:rsid w:val="00F96689"/>
    <w:rsid w:val="00F9691A"/>
    <w:rsid w:val="00FA2F38"/>
    <w:rsid w:val="00FB1D09"/>
    <w:rsid w:val="00FC1591"/>
    <w:rsid w:val="00FC1764"/>
    <w:rsid w:val="00FD6043"/>
    <w:rsid w:val="00FE2772"/>
    <w:rsid w:val="00FE4838"/>
    <w:rsid w:val="00FF0FC7"/>
    <w:rsid w:val="00FF2641"/>
    <w:rsid w:val="00FF3BAB"/>
    <w:rsid w:val="00FF4365"/>
    <w:rsid w:val="00FF5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5F5A"/>
  <w15:docId w15:val="{D705549F-376D-4AB7-A410-86F499AB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728F8"/>
    <w:rPr>
      <w:rFonts w:ascii="Arial" w:hAnsi="Arial"/>
      <w:szCs w:val="22"/>
      <w:lang w:val="fr-FR" w:eastAsia="en-US"/>
    </w:rPr>
  </w:style>
  <w:style w:type="paragraph" w:styleId="Heading1">
    <w:name w:val="heading 1"/>
    <w:aliases w:val="Main Section"/>
    <w:basedOn w:val="Normal"/>
    <w:next w:val="Normal"/>
    <w:link w:val="Heading1Char"/>
    <w:qFormat/>
    <w:rsid w:val="00DF5B08"/>
    <w:pPr>
      <w:keepNext/>
      <w:keepLines/>
      <w:spacing w:before="240"/>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nhideWhenUsed/>
    <w:qFormat/>
    <w:rsid w:val="00DF5B08"/>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aliases w:val="Heading 3 Char Char,Heading 3 Char1"/>
    <w:basedOn w:val="Normal"/>
    <w:next w:val="Normal"/>
    <w:link w:val="Heading3Char"/>
    <w:unhideWhenUsed/>
    <w:qFormat/>
    <w:rsid w:val="00DF5B08"/>
    <w:pPr>
      <w:keepNext/>
      <w:keepLines/>
      <w:spacing w:before="40"/>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qFormat/>
    <w:rsid w:val="00DF5B08"/>
    <w:pPr>
      <w:keepNext/>
      <w:spacing w:before="240" w:after="60"/>
      <w:outlineLvl w:val="3"/>
    </w:pPr>
    <w:rPr>
      <w:rFonts w:ascii="Times New Roman" w:eastAsia="Times New Roman" w:hAnsi="Times New Roman"/>
      <w:b/>
      <w:bCs/>
      <w:sz w:val="28"/>
      <w:szCs w:val="28"/>
      <w:lang w:eastAsia="fr-FR"/>
    </w:rPr>
  </w:style>
  <w:style w:type="paragraph" w:styleId="Heading5">
    <w:name w:val="heading 5"/>
    <w:basedOn w:val="Normal"/>
    <w:link w:val="Heading5Char"/>
    <w:qFormat/>
    <w:rsid w:val="00DF5B08"/>
    <w:pPr>
      <w:spacing w:before="100" w:beforeAutospacing="1" w:after="100" w:afterAutospacing="1"/>
      <w:outlineLvl w:val="4"/>
    </w:pPr>
    <w:rPr>
      <w:rFonts w:eastAsia="Times New Roman"/>
      <w:szCs w:val="20"/>
      <w:lang w:val="en-US"/>
    </w:rPr>
  </w:style>
  <w:style w:type="paragraph" w:styleId="Heading6">
    <w:name w:val="heading 6"/>
    <w:aliases w:val="Part"/>
    <w:basedOn w:val="Normal"/>
    <w:next w:val="Normal"/>
    <w:link w:val="Heading6Char"/>
    <w:qFormat/>
    <w:rsid w:val="00DF5B08"/>
    <w:pPr>
      <w:spacing w:before="240" w:after="60"/>
      <w:outlineLvl w:val="5"/>
    </w:pPr>
    <w:rPr>
      <w:rFonts w:ascii="Times New Roman" w:eastAsia="Times New Roman" w:hAnsi="Times New Roman"/>
      <w:b/>
      <w:bCs/>
      <w:sz w:val="22"/>
      <w:lang w:eastAsia="fr-FR"/>
    </w:rPr>
  </w:style>
  <w:style w:type="paragraph" w:styleId="Heading7">
    <w:name w:val="heading 7"/>
    <w:aliases w:val="Doc AnnX"/>
    <w:basedOn w:val="Normal"/>
    <w:next w:val="Normal"/>
    <w:link w:val="Heading7Char"/>
    <w:qFormat/>
    <w:rsid w:val="00DF5B08"/>
    <w:pPr>
      <w:spacing w:before="240" w:after="60"/>
      <w:outlineLvl w:val="6"/>
    </w:pPr>
    <w:rPr>
      <w:rFonts w:ascii="Times New Roman" w:eastAsia="Times New Roman" w:hAnsi="Times New Roman"/>
      <w:sz w:val="24"/>
      <w:szCs w:val="24"/>
      <w:lang w:eastAsia="fr-FR"/>
    </w:rPr>
  </w:style>
  <w:style w:type="paragraph" w:styleId="Heading8">
    <w:name w:val="heading 8"/>
    <w:aliases w:val="Part AnnX"/>
    <w:basedOn w:val="Normal"/>
    <w:next w:val="Normal"/>
    <w:link w:val="Heading8Char"/>
    <w:qFormat/>
    <w:rsid w:val="00DF5B08"/>
    <w:pPr>
      <w:spacing w:before="240" w:after="60"/>
      <w:outlineLvl w:val="7"/>
    </w:pPr>
    <w:rPr>
      <w:rFonts w:ascii="Times New Roman" w:eastAsia="Times New Roman" w:hAnsi="Times New Roman"/>
      <w:i/>
      <w:iCs/>
      <w:sz w:val="24"/>
      <w:szCs w:val="24"/>
      <w:lang w:eastAsia="fr-FR"/>
    </w:rPr>
  </w:style>
  <w:style w:type="paragraph" w:styleId="Heading9">
    <w:name w:val="heading 9"/>
    <w:aliases w:val="Chap AnnX"/>
    <w:basedOn w:val="Normal"/>
    <w:next w:val="Normal"/>
    <w:link w:val="Heading9Char"/>
    <w:qFormat/>
    <w:rsid w:val="00DF5B08"/>
    <w:pPr>
      <w:spacing w:before="240" w:after="60"/>
      <w:outlineLvl w:val="8"/>
    </w:pPr>
    <w:rPr>
      <w:rFonts w:eastAsia="Times New Roman" w:cs="Arial"/>
      <w:sz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7BB4"/>
    <w:pPr>
      <w:tabs>
        <w:tab w:val="center" w:pos="4961"/>
        <w:tab w:val="right" w:pos="9923"/>
      </w:tabs>
    </w:pPr>
    <w:rPr>
      <w:sz w:val="18"/>
    </w:rPr>
  </w:style>
  <w:style w:type="character" w:customStyle="1" w:styleId="HeaderChar">
    <w:name w:val="Header Char"/>
    <w:link w:val="Header"/>
    <w:rsid w:val="00137BB4"/>
    <w:rPr>
      <w:rFonts w:ascii="Arial" w:hAnsi="Arial"/>
      <w:sz w:val="18"/>
      <w:szCs w:val="22"/>
      <w:lang w:val="fr-FR" w:eastAsia="en-US"/>
    </w:rPr>
  </w:style>
  <w:style w:type="paragraph" w:styleId="Footer">
    <w:name w:val="footer"/>
    <w:basedOn w:val="Normal"/>
    <w:link w:val="FooterChar"/>
    <w:unhideWhenUsed/>
    <w:rsid w:val="00FD6043"/>
    <w:pPr>
      <w:tabs>
        <w:tab w:val="center" w:pos="4513"/>
        <w:tab w:val="right" w:pos="9026"/>
      </w:tabs>
    </w:pPr>
  </w:style>
  <w:style w:type="character" w:customStyle="1" w:styleId="FooterChar">
    <w:name w:val="Footer Char"/>
    <w:basedOn w:val="DefaultParagraphFont"/>
    <w:link w:val="Footer"/>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rsid w:val="00FD6043"/>
    <w:rPr>
      <w:rFonts w:ascii="Tahoma" w:hAnsi="Tahoma" w:cs="Tahoma"/>
      <w:sz w:val="16"/>
      <w:szCs w:val="16"/>
    </w:rPr>
  </w:style>
  <w:style w:type="table" w:styleId="TableGrid">
    <w:name w:val="Table Grid"/>
    <w:aliases w:val="Szegély nélküli"/>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nhideWhenUsed/>
    <w:rsid w:val="002250DD"/>
    <w:rPr>
      <w:sz w:val="18"/>
      <w:szCs w:val="18"/>
    </w:rPr>
  </w:style>
  <w:style w:type="paragraph" w:styleId="CommentText">
    <w:name w:val="annotation text"/>
    <w:basedOn w:val="Normal"/>
    <w:link w:val="CommentTextChar"/>
    <w:unhideWhenUsed/>
    <w:rsid w:val="002250DD"/>
    <w:rPr>
      <w:sz w:val="24"/>
      <w:szCs w:val="24"/>
    </w:rPr>
  </w:style>
  <w:style w:type="character" w:customStyle="1" w:styleId="CommentTextChar">
    <w:name w:val="Comment Text Char"/>
    <w:link w:val="CommentText"/>
    <w:rsid w:val="002250DD"/>
    <w:rPr>
      <w:sz w:val="24"/>
      <w:szCs w:val="24"/>
    </w:rPr>
  </w:style>
  <w:style w:type="paragraph" w:styleId="CommentSubject">
    <w:name w:val="annotation subject"/>
    <w:basedOn w:val="CommentText"/>
    <w:next w:val="CommentText"/>
    <w:link w:val="CommentSubjectChar"/>
    <w:unhideWhenUsed/>
    <w:rsid w:val="002250DD"/>
    <w:rPr>
      <w:b/>
      <w:bCs/>
      <w:sz w:val="20"/>
      <w:szCs w:val="20"/>
    </w:rPr>
  </w:style>
  <w:style w:type="character" w:customStyle="1" w:styleId="CommentSubjectChar">
    <w:name w:val="Comment Subject Char"/>
    <w:link w:val="CommentSubject"/>
    <w:rsid w:val="002250DD"/>
    <w:rPr>
      <w:b/>
      <w:bCs/>
      <w:sz w:val="20"/>
      <w:szCs w:val="20"/>
    </w:rPr>
  </w:style>
  <w:style w:type="paragraph" w:styleId="FootnoteText">
    <w:name w:val="footnote text"/>
    <w:aliases w:val="Footno,Footnote Text Char Char,Footnote Text Char Char Char Char,Footnote Text Char1,Footnote Text Char1 Char Char,Footnote Text Char1 Char Char Char Char Char Char,Footnote Text Char2,Footnote Text Char2 Char Char Char Char Char,f,n"/>
    <w:basedOn w:val="Normal"/>
    <w:link w:val="FootnoteTextChar"/>
    <w:unhideWhenUsed/>
    <w:qFormat/>
    <w:rsid w:val="009C5258"/>
    <w:rPr>
      <w:sz w:val="16"/>
      <w:szCs w:val="20"/>
    </w:rPr>
  </w:style>
  <w:style w:type="character" w:customStyle="1" w:styleId="FootnoteTextChar">
    <w:name w:val="Footnote Text Char"/>
    <w:aliases w:val="Footno Char,Footnote Text Char Char Char,Footnote Text Char Char Char Char Char,Footnote Text Char1 Char,Footnote Text Char1 Char Char Char,Footnote Text Char1 Char Char Char Char Char Char Char,Footnote Text Char2 Char,f Char,n Char"/>
    <w:link w:val="FootnoteText"/>
    <w:qFormat/>
    <w:rsid w:val="009C5258"/>
    <w:rPr>
      <w:rFonts w:ascii="Arial" w:hAnsi="Arial"/>
      <w:sz w:val="16"/>
      <w:lang w:val="fr-FR" w:eastAsia="en-US"/>
    </w:rPr>
  </w:style>
  <w:style w:type="character" w:styleId="FootnoteReference">
    <w:name w:val="footnote reference"/>
    <w:aliases w:val="BVI fnr,Footnote Reference Char Car Char Char Car Char Car Char Car Char Car Char Char Car Car Char Char Char Char Char Car Char,Footnote Reference Number,Footnote Reference-BSA-AML,Ref. de nota al pie,fr,ftref,o,stylish"/>
    <w:link w:val="FootnoteReferenceCharCarCharCharCarCharCarCharCarCharCarCharCharCarCarCharCharCharCharCharCar"/>
    <w:unhideWhenUsed/>
    <w:qFormat/>
    <w:rsid w:val="00853C90"/>
    <w:rPr>
      <w:vertAlign w:val="superscript"/>
    </w:rPr>
  </w:style>
  <w:style w:type="paragraph" w:styleId="ListParagraph">
    <w:name w:val="List Paragraph"/>
    <w:aliases w:val="Paragraph,List Paragraph Red,Bullet List,Bullet OSM,Dot pt,FooterText,Indicator Text,List Paragraph Char Char Char,List Paragraph à moi,No Spacing1,Numbered Para 1,Proposal Bullet List,TOC style,Welt L,Welt L Char,lista_2,lp1"/>
    <w:basedOn w:val="Normal"/>
    <w:link w:val="ListParagraphChar"/>
    <w:uiPriority w:val="34"/>
    <w:qFormat/>
    <w:rsid w:val="004C15D6"/>
    <w:pPr>
      <w:ind w:left="720"/>
      <w:contextualSpacing/>
    </w:pPr>
  </w:style>
  <w:style w:type="character" w:styleId="UnresolvedMention">
    <w:name w:val="Unresolved Mention"/>
    <w:basedOn w:val="DefaultParagraphFont"/>
    <w:uiPriority w:val="99"/>
    <w:semiHidden/>
    <w:unhideWhenUsed/>
    <w:rsid w:val="00433C76"/>
    <w:rPr>
      <w:color w:val="605E5C"/>
      <w:shd w:val="clear" w:color="auto" w:fill="E1DFDD"/>
    </w:rPr>
  </w:style>
  <w:style w:type="character" w:customStyle="1" w:styleId="ListParagraphChar">
    <w:name w:val="List Paragraph Char"/>
    <w:aliases w:val="Paragraph Char,List Paragraph Red Char,Bullet List Char,Bullet OSM Char,Dot pt Char,FooterText Char,Indicator Text Char,List Paragraph Char Char Char Char,List Paragraph à moi Char,No Spacing1 Char,Numbered Para 1 Char,TOC style Char"/>
    <w:link w:val="ListParagraph"/>
    <w:uiPriority w:val="34"/>
    <w:qFormat/>
    <w:locked/>
    <w:rsid w:val="00431E14"/>
    <w:rPr>
      <w:rFonts w:ascii="Arial" w:hAnsi="Arial"/>
      <w:szCs w:val="22"/>
      <w:lang w:val="fr-FR" w:eastAsia="en-US"/>
    </w:rPr>
  </w:style>
  <w:style w:type="character" w:styleId="FollowedHyperlink">
    <w:name w:val="FollowedHyperlink"/>
    <w:basedOn w:val="DefaultParagraphFont"/>
    <w:unhideWhenUsed/>
    <w:rsid w:val="00F80BC0"/>
    <w:rPr>
      <w:color w:val="800080" w:themeColor="followedHyperlink"/>
      <w:u w:val="single"/>
    </w:rPr>
  </w:style>
  <w:style w:type="character" w:customStyle="1" w:styleId="Heading1Char">
    <w:name w:val="Heading 1 Char"/>
    <w:aliases w:val="Main Section Char"/>
    <w:basedOn w:val="DefaultParagraphFont"/>
    <w:link w:val="Heading1"/>
    <w:rsid w:val="00DF5B0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DF5B0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Heading 3 Char Char Char,Heading 3 Char1 Char"/>
    <w:basedOn w:val="DefaultParagraphFont"/>
    <w:link w:val="Heading3"/>
    <w:rsid w:val="00DF5B0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DF5B08"/>
    <w:rPr>
      <w:rFonts w:ascii="Times New Roman" w:eastAsia="Times New Roman" w:hAnsi="Times New Roman"/>
      <w:b/>
      <w:bCs/>
      <w:sz w:val="28"/>
      <w:szCs w:val="28"/>
      <w:lang w:val="fr-FR" w:eastAsia="fr-FR"/>
    </w:rPr>
  </w:style>
  <w:style w:type="character" w:customStyle="1" w:styleId="Heading5Char">
    <w:name w:val="Heading 5 Char"/>
    <w:basedOn w:val="DefaultParagraphFont"/>
    <w:link w:val="Heading5"/>
    <w:rsid w:val="00DF5B08"/>
    <w:rPr>
      <w:rFonts w:ascii="Arial" w:eastAsia="Times New Roman" w:hAnsi="Arial"/>
      <w:lang w:val="en-US" w:eastAsia="en-US"/>
    </w:rPr>
  </w:style>
  <w:style w:type="character" w:customStyle="1" w:styleId="Heading6Char">
    <w:name w:val="Heading 6 Char"/>
    <w:aliases w:val="Part Char"/>
    <w:basedOn w:val="DefaultParagraphFont"/>
    <w:link w:val="Heading6"/>
    <w:rsid w:val="00DF5B08"/>
    <w:rPr>
      <w:rFonts w:ascii="Times New Roman" w:eastAsia="Times New Roman" w:hAnsi="Times New Roman"/>
      <w:b/>
      <w:bCs/>
      <w:sz w:val="22"/>
      <w:szCs w:val="22"/>
      <w:lang w:val="fr-FR" w:eastAsia="fr-FR"/>
    </w:rPr>
  </w:style>
  <w:style w:type="character" w:customStyle="1" w:styleId="Heading7Char">
    <w:name w:val="Heading 7 Char"/>
    <w:aliases w:val="Doc AnnX Char"/>
    <w:basedOn w:val="DefaultParagraphFont"/>
    <w:link w:val="Heading7"/>
    <w:rsid w:val="00DF5B08"/>
    <w:rPr>
      <w:rFonts w:ascii="Times New Roman" w:eastAsia="Times New Roman" w:hAnsi="Times New Roman"/>
      <w:sz w:val="24"/>
      <w:szCs w:val="24"/>
      <w:lang w:val="fr-FR" w:eastAsia="fr-FR"/>
    </w:rPr>
  </w:style>
  <w:style w:type="character" w:customStyle="1" w:styleId="Heading8Char">
    <w:name w:val="Heading 8 Char"/>
    <w:aliases w:val="Part AnnX Char"/>
    <w:basedOn w:val="DefaultParagraphFont"/>
    <w:link w:val="Heading8"/>
    <w:rsid w:val="00DF5B08"/>
    <w:rPr>
      <w:rFonts w:ascii="Times New Roman" w:eastAsia="Times New Roman" w:hAnsi="Times New Roman"/>
      <w:i/>
      <w:iCs/>
      <w:sz w:val="24"/>
      <w:szCs w:val="24"/>
      <w:lang w:val="fr-FR" w:eastAsia="fr-FR"/>
    </w:rPr>
  </w:style>
  <w:style w:type="character" w:customStyle="1" w:styleId="Heading9Char">
    <w:name w:val="Heading 9 Char"/>
    <w:aliases w:val="Chap AnnX Char"/>
    <w:basedOn w:val="DefaultParagraphFont"/>
    <w:link w:val="Heading9"/>
    <w:rsid w:val="00DF5B08"/>
    <w:rPr>
      <w:rFonts w:ascii="Arial" w:eastAsia="Times New Roman" w:hAnsi="Arial" w:cs="Arial"/>
      <w:sz w:val="22"/>
      <w:szCs w:val="22"/>
      <w:lang w:val="fr-FR" w:eastAsia="fr-FR"/>
    </w:rPr>
  </w:style>
  <w:style w:type="character" w:customStyle="1" w:styleId="Mentionnonrsolue1">
    <w:name w:val="Mention non résolue1"/>
    <w:basedOn w:val="DefaultParagraphFont"/>
    <w:uiPriority w:val="99"/>
    <w:semiHidden/>
    <w:unhideWhenUsed/>
    <w:rsid w:val="00DF5B08"/>
    <w:rPr>
      <w:color w:val="605E5C"/>
      <w:shd w:val="clear" w:color="auto" w:fill="E1DFDD"/>
    </w:rPr>
  </w:style>
  <w:style w:type="paragraph" w:customStyle="1" w:styleId="CMSpace">
    <w:name w:val="CM_Space"/>
    <w:basedOn w:val="Normal"/>
    <w:qFormat/>
    <w:rsid w:val="00DF5B08"/>
    <w:rPr>
      <w:rFonts w:eastAsia="Times New Roman"/>
      <w:szCs w:val="24"/>
      <w:lang w:val="en-GB" w:eastAsia="fr-FR"/>
    </w:rPr>
  </w:style>
  <w:style w:type="paragraph" w:styleId="TOC2">
    <w:name w:val="toc 2"/>
    <w:basedOn w:val="Normal"/>
    <w:next w:val="Normal"/>
    <w:autoRedefine/>
    <w:uiPriority w:val="39"/>
    <w:qFormat/>
    <w:rsid w:val="004615E1"/>
    <w:pPr>
      <w:tabs>
        <w:tab w:val="left" w:pos="709"/>
        <w:tab w:val="right" w:leader="dot" w:pos="9639"/>
      </w:tabs>
      <w:spacing w:before="120"/>
    </w:pPr>
    <w:rPr>
      <w:rFonts w:asciiTheme="minorHAnsi" w:eastAsia="Times New Roman" w:hAnsiTheme="minorHAnsi"/>
      <w:b/>
      <w:bCs/>
      <w:noProof/>
      <w:szCs w:val="20"/>
      <w:lang w:eastAsia="fr-FR"/>
    </w:rPr>
  </w:style>
  <w:style w:type="paragraph" w:styleId="TOC3">
    <w:name w:val="toc 3"/>
    <w:basedOn w:val="Normal"/>
    <w:next w:val="Normal"/>
    <w:autoRedefine/>
    <w:uiPriority w:val="39"/>
    <w:qFormat/>
    <w:rsid w:val="00DF5B08"/>
    <w:pPr>
      <w:ind w:left="200"/>
    </w:pPr>
    <w:rPr>
      <w:rFonts w:asciiTheme="minorHAnsi" w:eastAsia="Times New Roman" w:hAnsiTheme="minorHAnsi"/>
      <w:szCs w:val="20"/>
      <w:lang w:eastAsia="fr-FR"/>
    </w:rPr>
  </w:style>
  <w:style w:type="paragraph" w:customStyle="1" w:styleId="Default">
    <w:name w:val="Default"/>
    <w:link w:val="DefaultChar"/>
    <w:rsid w:val="00DF5B08"/>
    <w:pPr>
      <w:autoSpaceDE w:val="0"/>
      <w:autoSpaceDN w:val="0"/>
      <w:adjustRightInd w:val="0"/>
    </w:pPr>
    <w:rPr>
      <w:rFonts w:ascii="Arial" w:eastAsia="Times New Roman" w:hAnsi="Arial" w:cs="Arial"/>
      <w:color w:val="000000"/>
      <w:sz w:val="24"/>
      <w:szCs w:val="24"/>
      <w:lang w:eastAsia="en-US"/>
    </w:rPr>
  </w:style>
  <w:style w:type="paragraph" w:customStyle="1" w:styleId="Heading10">
    <w:name w:val="Heading1"/>
    <w:basedOn w:val="Normal"/>
    <w:link w:val="Heading1Char0"/>
    <w:qFormat/>
    <w:rsid w:val="00DF5B08"/>
    <w:pPr>
      <w:keepNext/>
      <w:widowControl w:val="0"/>
      <w:spacing w:after="120"/>
      <w:ind w:right="284"/>
      <w:jc w:val="both"/>
      <w:outlineLvl w:val="1"/>
    </w:pPr>
    <w:rPr>
      <w:rFonts w:eastAsia="Times New Roman" w:cs="Arial"/>
      <w:b/>
      <w:bCs/>
      <w:caps/>
      <w:color w:val="17365D"/>
      <w:w w:val="105"/>
      <w:kern w:val="28"/>
      <w:sz w:val="24"/>
      <w:szCs w:val="20"/>
      <w:lang w:val="en-GB" w:eastAsia="zh-CN"/>
    </w:rPr>
  </w:style>
  <w:style w:type="character" w:customStyle="1" w:styleId="Heading1Char0">
    <w:name w:val="Heading1 Char"/>
    <w:link w:val="Heading10"/>
    <w:rsid w:val="00DF5B08"/>
    <w:rPr>
      <w:rFonts w:ascii="Arial" w:eastAsia="Times New Roman" w:hAnsi="Arial" w:cs="Arial"/>
      <w:b/>
      <w:bCs/>
      <w:caps/>
      <w:color w:val="17365D"/>
      <w:w w:val="105"/>
      <w:kern w:val="28"/>
      <w:sz w:val="24"/>
      <w:lang w:eastAsia="zh-CN"/>
    </w:rPr>
  </w:style>
  <w:style w:type="paragraph" w:styleId="TOCHeading">
    <w:name w:val="TOC Heading"/>
    <w:basedOn w:val="Heading1"/>
    <w:next w:val="Normal"/>
    <w:uiPriority w:val="39"/>
    <w:unhideWhenUsed/>
    <w:qFormat/>
    <w:rsid w:val="00DF5B08"/>
    <w:pPr>
      <w:spacing w:before="480" w:line="276" w:lineRule="auto"/>
      <w:outlineLvl w:val="9"/>
    </w:pPr>
    <w:rPr>
      <w:b/>
      <w:bCs/>
      <w:sz w:val="28"/>
      <w:szCs w:val="28"/>
      <w:lang w:val="en-US" w:eastAsia="ja-JP"/>
    </w:rPr>
  </w:style>
  <w:style w:type="table" w:styleId="TableGrid2">
    <w:name w:val="Table Grid 2"/>
    <w:basedOn w:val="TableNormal"/>
    <w:rsid w:val="00DF5B08"/>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OECote">
    <w:name w:val="COE_Cote"/>
    <w:basedOn w:val="Normal"/>
    <w:rsid w:val="00DF5B08"/>
    <w:pPr>
      <w:spacing w:before="240"/>
    </w:pPr>
    <w:rPr>
      <w:rFonts w:eastAsia="Times New Roman"/>
      <w:b/>
      <w:sz w:val="22"/>
      <w:lang w:eastAsia="fr-FR"/>
    </w:rPr>
  </w:style>
  <w:style w:type="paragraph" w:customStyle="1" w:styleId="COEEnceinte">
    <w:name w:val="COE_Enceinte"/>
    <w:basedOn w:val="COECote"/>
    <w:rsid w:val="00DF5B08"/>
    <w:rPr>
      <w:b w:val="0"/>
      <w:i/>
      <w:color w:val="808080"/>
      <w:sz w:val="28"/>
      <w:szCs w:val="28"/>
    </w:rPr>
  </w:style>
  <w:style w:type="paragraph" w:customStyle="1" w:styleId="COEHeading1">
    <w:name w:val="COE_Heading1"/>
    <w:basedOn w:val="Normal"/>
    <w:link w:val="COEHeading1Char"/>
    <w:autoRedefine/>
    <w:rsid w:val="00DF5B08"/>
    <w:rPr>
      <w:rFonts w:eastAsia="Times New Roman"/>
      <w:b/>
      <w:sz w:val="24"/>
      <w:szCs w:val="32"/>
      <w:lang w:val="en-GB"/>
    </w:rPr>
  </w:style>
  <w:style w:type="character" w:customStyle="1" w:styleId="COEHeading1Char">
    <w:name w:val="COE_Heading1 Char"/>
    <w:link w:val="COEHeading1"/>
    <w:rsid w:val="00DF5B08"/>
    <w:rPr>
      <w:rFonts w:ascii="Arial" w:eastAsia="Times New Roman" w:hAnsi="Arial"/>
      <w:b/>
      <w:sz w:val="24"/>
      <w:szCs w:val="32"/>
      <w:lang w:eastAsia="en-US"/>
    </w:rPr>
  </w:style>
  <w:style w:type="paragraph" w:customStyle="1" w:styleId="COEHeading2">
    <w:name w:val="COE_Heading2"/>
    <w:basedOn w:val="Normal"/>
    <w:link w:val="COEHeading2Char"/>
    <w:autoRedefine/>
    <w:rsid w:val="00DF5B08"/>
    <w:rPr>
      <w:rFonts w:ascii="Verdana" w:eastAsia="Times New Roman" w:hAnsi="Verdana"/>
      <w:b/>
      <w:szCs w:val="28"/>
      <w:lang w:val="en-GB"/>
    </w:rPr>
  </w:style>
  <w:style w:type="paragraph" w:customStyle="1" w:styleId="COEHeading3">
    <w:name w:val="COE_Heading3"/>
    <w:basedOn w:val="Normal"/>
    <w:autoRedefine/>
    <w:rsid w:val="00DF5B08"/>
    <w:pPr>
      <w:outlineLvl w:val="2"/>
    </w:pPr>
    <w:rPr>
      <w:rFonts w:ascii="Helvetica" w:eastAsia="Times New Roman" w:hAnsi="Helvetica"/>
      <w:i/>
      <w:szCs w:val="24"/>
      <w:lang w:val="en-GB" w:eastAsia="fr-FR"/>
    </w:rPr>
  </w:style>
  <w:style w:type="paragraph" w:customStyle="1" w:styleId="COENoLignes">
    <w:name w:val="COE_NoLignes"/>
    <w:link w:val="COENoLignesChar"/>
    <w:rsid w:val="00DF5B08"/>
    <w:rPr>
      <w:rFonts w:ascii="Arial" w:eastAsia="Times New Roman" w:hAnsi="Arial"/>
      <w:lang w:val="en-US" w:eastAsia="en-US"/>
    </w:rPr>
  </w:style>
  <w:style w:type="character" w:customStyle="1" w:styleId="COENoLignesChar">
    <w:name w:val="COE_NoLignes Char"/>
    <w:link w:val="COENoLignes"/>
    <w:rsid w:val="00DF5B08"/>
    <w:rPr>
      <w:rFonts w:ascii="Arial" w:eastAsia="Times New Roman" w:hAnsi="Arial"/>
      <w:lang w:val="en-US" w:eastAsia="en-US"/>
    </w:rPr>
  </w:style>
  <w:style w:type="paragraph" w:customStyle="1" w:styleId="COETitre">
    <w:name w:val="COE_Titre"/>
    <w:basedOn w:val="Normal"/>
    <w:link w:val="COETitreChar"/>
    <w:rsid w:val="00DF5B08"/>
    <w:pPr>
      <w:spacing w:before="360" w:after="240"/>
    </w:pPr>
    <w:rPr>
      <w:rFonts w:eastAsia="Times New Roman"/>
      <w:sz w:val="36"/>
      <w:szCs w:val="36"/>
      <w:lang w:eastAsia="fr-FR"/>
    </w:rPr>
  </w:style>
  <w:style w:type="character" w:customStyle="1" w:styleId="COETitreChar">
    <w:name w:val="COE_Titre Char"/>
    <w:link w:val="COETitre"/>
    <w:rsid w:val="00DF5B08"/>
    <w:rPr>
      <w:rFonts w:ascii="Arial" w:eastAsia="Times New Roman" w:hAnsi="Arial"/>
      <w:sz w:val="36"/>
      <w:szCs w:val="36"/>
      <w:lang w:val="fr-FR" w:eastAsia="fr-FR"/>
    </w:rPr>
  </w:style>
  <w:style w:type="paragraph" w:customStyle="1" w:styleId="COEType">
    <w:name w:val="COE_Type"/>
    <w:basedOn w:val="Normal"/>
    <w:rsid w:val="00DF5B08"/>
    <w:pPr>
      <w:spacing w:before="240"/>
    </w:pPr>
    <w:rPr>
      <w:rFonts w:eastAsia="Times New Roman"/>
      <w:b/>
      <w:sz w:val="28"/>
      <w:szCs w:val="28"/>
      <w:lang w:eastAsia="fr-FR"/>
    </w:rPr>
  </w:style>
  <w:style w:type="character" w:styleId="Strong">
    <w:name w:val="Strong"/>
    <w:qFormat/>
    <w:rsid w:val="00DF5B08"/>
    <w:rPr>
      <w:b/>
    </w:rPr>
  </w:style>
  <w:style w:type="paragraph" w:styleId="NormalWeb">
    <w:name w:val="Normal (Web)"/>
    <w:aliases w:val=" webb"/>
    <w:basedOn w:val="Normal"/>
    <w:uiPriority w:val="99"/>
    <w:rsid w:val="00DF5B08"/>
    <w:pPr>
      <w:spacing w:before="100" w:beforeAutospacing="1" w:after="100" w:afterAutospacing="1"/>
    </w:pPr>
    <w:rPr>
      <w:rFonts w:eastAsia="Times New Roman"/>
      <w:sz w:val="17"/>
      <w:szCs w:val="17"/>
      <w:lang w:val="en-US"/>
    </w:rPr>
  </w:style>
  <w:style w:type="paragraph" w:customStyle="1" w:styleId="COEWord">
    <w:name w:val="COE_Word"/>
    <w:basedOn w:val="Normal"/>
    <w:rsid w:val="00DF5B08"/>
    <w:pPr>
      <w:jc w:val="right"/>
    </w:pPr>
    <w:rPr>
      <w:rFonts w:eastAsia="Times New Roman"/>
      <w:i/>
      <w:iCs/>
      <w:szCs w:val="24"/>
      <w:lang w:eastAsia="fr-FR"/>
    </w:rPr>
  </w:style>
  <w:style w:type="paragraph" w:customStyle="1" w:styleId="COESource">
    <w:name w:val="COE_Source"/>
    <w:basedOn w:val="Normal"/>
    <w:link w:val="COESourceChar"/>
    <w:autoRedefine/>
    <w:rsid w:val="00DF5B08"/>
    <w:rPr>
      <w:rFonts w:eastAsia="Times New Roman"/>
      <w:sz w:val="16"/>
      <w:szCs w:val="18"/>
      <w:lang w:eastAsia="fr-FR"/>
    </w:rPr>
  </w:style>
  <w:style w:type="character" w:customStyle="1" w:styleId="COESourceChar">
    <w:name w:val="COE_Source Char"/>
    <w:link w:val="COESource"/>
    <w:rsid w:val="00DF5B08"/>
    <w:rPr>
      <w:rFonts w:ascii="Arial" w:eastAsia="Times New Roman" w:hAnsi="Arial"/>
      <w:sz w:val="16"/>
      <w:szCs w:val="18"/>
      <w:lang w:val="fr-FR" w:eastAsia="fr-FR"/>
    </w:rPr>
  </w:style>
  <w:style w:type="paragraph" w:customStyle="1" w:styleId="CMAuthor">
    <w:name w:val="CM_Author"/>
    <w:basedOn w:val="COEEnceinte"/>
    <w:qFormat/>
    <w:rsid w:val="00DF5B08"/>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rsid w:val="00DF5B08"/>
    <w:pPr>
      <w:spacing w:before="120"/>
    </w:pPr>
    <w:rPr>
      <w:rFonts w:eastAsia="Times New Roman"/>
      <w:b/>
      <w:sz w:val="22"/>
      <w:lang w:val="en-GB" w:eastAsia="fr-FR"/>
    </w:rPr>
  </w:style>
  <w:style w:type="paragraph" w:customStyle="1" w:styleId="CMTitle">
    <w:name w:val="CM_Title"/>
    <w:basedOn w:val="COETitre"/>
    <w:link w:val="CMTitleChar"/>
    <w:autoRedefine/>
    <w:qFormat/>
    <w:rsid w:val="00DF5B08"/>
    <w:pPr>
      <w:spacing w:before="0" w:after="0"/>
    </w:pPr>
    <w:rPr>
      <w:b/>
      <w:szCs w:val="32"/>
      <w:lang w:val="en-GB"/>
    </w:rPr>
  </w:style>
  <w:style w:type="character" w:customStyle="1" w:styleId="CMTitleChar">
    <w:name w:val="CM_Title Char"/>
    <w:link w:val="CMTitle"/>
    <w:rsid w:val="00DF5B08"/>
    <w:rPr>
      <w:rFonts w:ascii="Arial" w:eastAsia="Times New Roman" w:hAnsi="Arial"/>
      <w:b/>
      <w:sz w:val="36"/>
      <w:szCs w:val="32"/>
      <w:lang w:eastAsia="fr-FR"/>
    </w:rPr>
  </w:style>
  <w:style w:type="paragraph" w:customStyle="1" w:styleId="CMDocType">
    <w:name w:val="CM_DocType"/>
    <w:basedOn w:val="CMTitle"/>
    <w:autoRedefine/>
    <w:qFormat/>
    <w:rsid w:val="00DF5B08"/>
    <w:rPr>
      <w:rFonts w:ascii="Verdana" w:hAnsi="Verdana"/>
      <w:sz w:val="32"/>
    </w:rPr>
  </w:style>
  <w:style w:type="paragraph" w:customStyle="1" w:styleId="CMEnceinte">
    <w:name w:val="CM_Enceinte"/>
    <w:basedOn w:val="COEEnceinte"/>
    <w:qFormat/>
    <w:rsid w:val="00DF5B08"/>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rsid w:val="00DF5B08"/>
    <w:pPr>
      <w:pBdr>
        <w:bottom w:val="single" w:sz="18" w:space="1" w:color="auto"/>
      </w:pBdr>
      <w:spacing w:after="240"/>
      <w:ind w:right="5243"/>
    </w:pPr>
    <w:rPr>
      <w:sz w:val="22"/>
    </w:rPr>
  </w:style>
  <w:style w:type="paragraph" w:customStyle="1" w:styleId="CMLinkedDocs">
    <w:name w:val="CM_LinkedDocs"/>
    <w:basedOn w:val="Normal"/>
    <w:rsid w:val="00DF5B08"/>
    <w:rPr>
      <w:rFonts w:eastAsia="Times New Roman"/>
      <w:sz w:val="16"/>
      <w:szCs w:val="24"/>
      <w:lang w:val="en-GB" w:eastAsia="fr-FR"/>
    </w:rPr>
  </w:style>
  <w:style w:type="paragraph" w:customStyle="1" w:styleId="CMMainSubTitle">
    <w:name w:val="CM_MainSubTitle"/>
    <w:basedOn w:val="Normal"/>
    <w:autoRedefine/>
    <w:rsid w:val="00DF5B08"/>
    <w:rPr>
      <w:rFonts w:eastAsia="Times New Roman"/>
      <w:sz w:val="32"/>
      <w:szCs w:val="24"/>
      <w:lang w:val="en-GB" w:eastAsia="fr-FR"/>
    </w:rPr>
  </w:style>
  <w:style w:type="paragraph" w:customStyle="1" w:styleId="CMRevision">
    <w:name w:val="CM_Revision"/>
    <w:basedOn w:val="Normal"/>
    <w:link w:val="CMRevisionChar"/>
    <w:rsid w:val="00DF5B08"/>
    <w:rPr>
      <w:rFonts w:eastAsia="Times New Roman" w:cs="Arial"/>
      <w:color w:val="FF0000"/>
      <w:szCs w:val="20"/>
      <w:shd w:val="clear" w:color="auto" w:fill="D9D9D9"/>
      <w:lang w:val="en-GB"/>
    </w:rPr>
  </w:style>
  <w:style w:type="character" w:customStyle="1" w:styleId="CMRevisionChar">
    <w:name w:val="CM_Revision Char"/>
    <w:link w:val="CMRevision"/>
    <w:rsid w:val="00DF5B08"/>
    <w:rPr>
      <w:rFonts w:ascii="Arial" w:eastAsia="Times New Roman" w:hAnsi="Arial" w:cs="Arial"/>
      <w:color w:val="FF0000"/>
      <w:lang w:eastAsia="en-US"/>
    </w:rPr>
  </w:style>
  <w:style w:type="paragraph" w:customStyle="1" w:styleId="CMRevisionInside">
    <w:name w:val="CM_RevisionInside"/>
    <w:basedOn w:val="Normal"/>
    <w:link w:val="CMRevisionInsideCharChar"/>
    <w:rsid w:val="00DF5B08"/>
    <w:rPr>
      <w:rFonts w:eastAsia="Times New Roman"/>
      <w:color w:val="FF0000"/>
      <w:szCs w:val="24"/>
      <w:shd w:val="clear" w:color="auto" w:fill="D9D9D9"/>
      <w:lang w:val="en-GB" w:eastAsia="fr-FR"/>
    </w:rPr>
  </w:style>
  <w:style w:type="character" w:customStyle="1" w:styleId="CMRevisionInsideCharChar">
    <w:name w:val="CM_RevisionInside Char Char"/>
    <w:link w:val="CMRevisionInside"/>
    <w:rsid w:val="00DF5B08"/>
    <w:rPr>
      <w:rFonts w:ascii="Arial" w:eastAsia="Times New Roman" w:hAnsi="Arial"/>
      <w:color w:val="FF0000"/>
      <w:szCs w:val="24"/>
      <w:lang w:eastAsia="fr-FR"/>
    </w:rPr>
  </w:style>
  <w:style w:type="paragraph" w:customStyle="1" w:styleId="CMSubTitle">
    <w:name w:val="CM_SubTitle"/>
    <w:basedOn w:val="Normal"/>
    <w:link w:val="CMSubTitleChar"/>
    <w:qFormat/>
    <w:rsid w:val="00DF5B08"/>
    <w:rPr>
      <w:rFonts w:eastAsia="Times New Roman"/>
      <w:sz w:val="22"/>
      <w:lang w:val="en-GB" w:eastAsia="fr-FR"/>
    </w:rPr>
  </w:style>
  <w:style w:type="character" w:customStyle="1" w:styleId="CMSubTitleChar">
    <w:name w:val="CM_SubTitle Char"/>
    <w:link w:val="CMSubTitle"/>
    <w:rsid w:val="00DF5B08"/>
    <w:rPr>
      <w:rFonts w:ascii="Arial" w:eastAsia="Times New Roman" w:hAnsi="Arial"/>
      <w:sz w:val="22"/>
      <w:szCs w:val="22"/>
      <w:lang w:eastAsia="fr-FR"/>
    </w:rPr>
  </w:style>
  <w:style w:type="paragraph" w:customStyle="1" w:styleId="COEAbstract">
    <w:name w:val="COE_Abstract"/>
    <w:link w:val="COEAbstractChar"/>
    <w:rsid w:val="00DF5B08"/>
    <w:pPr>
      <w:spacing w:before="120" w:after="120"/>
    </w:pPr>
    <w:rPr>
      <w:rFonts w:ascii="Verdana" w:eastAsia="Times New Roman" w:hAnsi="Verdana"/>
      <w:lang w:val="fr-FR" w:eastAsia="en-US"/>
    </w:rPr>
  </w:style>
  <w:style w:type="character" w:customStyle="1" w:styleId="COEAbstractChar">
    <w:name w:val="COE_Abstract Char"/>
    <w:link w:val="COEAbstract"/>
    <w:rsid w:val="00DF5B08"/>
    <w:rPr>
      <w:rFonts w:ascii="Verdana" w:eastAsia="Times New Roman" w:hAnsi="Verdana"/>
      <w:lang w:val="fr-FR" w:eastAsia="en-US"/>
    </w:rPr>
  </w:style>
  <w:style w:type="paragraph" w:customStyle="1" w:styleId="COEBullet">
    <w:name w:val="COE_Bullet"/>
    <w:basedOn w:val="Normal"/>
    <w:rsid w:val="00DF5B08"/>
    <w:pPr>
      <w:numPr>
        <w:numId w:val="1"/>
      </w:numPr>
      <w:spacing w:after="60"/>
    </w:pPr>
    <w:rPr>
      <w:rFonts w:eastAsia="Times New Roman"/>
      <w:szCs w:val="24"/>
      <w:lang w:eastAsia="fr-FR"/>
    </w:rPr>
  </w:style>
  <w:style w:type="paragraph" w:customStyle="1" w:styleId="COEDate">
    <w:name w:val="COE_Date"/>
    <w:next w:val="Normal"/>
    <w:rsid w:val="00DF5B08"/>
    <w:pPr>
      <w:spacing w:before="120" w:after="120"/>
    </w:pPr>
    <w:rPr>
      <w:rFonts w:ascii="Verdana" w:eastAsia="Times New Roman" w:hAnsi="Verdana"/>
      <w:b/>
      <w:color w:val="808080"/>
      <w:szCs w:val="22"/>
      <w:lang w:val="en-US" w:eastAsia="fr-FR"/>
    </w:rPr>
  </w:style>
  <w:style w:type="paragraph" w:customStyle="1" w:styleId="COEFootnote">
    <w:name w:val="COE_Footnote"/>
    <w:basedOn w:val="Normal"/>
    <w:next w:val="Normal"/>
    <w:rsid w:val="00DF5B08"/>
    <w:pPr>
      <w:spacing w:before="60" w:after="60"/>
    </w:pPr>
    <w:rPr>
      <w:rFonts w:eastAsia="Times New Roman"/>
      <w:i/>
      <w:szCs w:val="24"/>
      <w:lang w:eastAsia="fr-FR"/>
    </w:rPr>
  </w:style>
  <w:style w:type="paragraph" w:customStyle="1" w:styleId="COEHeading4">
    <w:name w:val="COE_Heading4"/>
    <w:basedOn w:val="Normal"/>
    <w:next w:val="Normal"/>
    <w:rsid w:val="00DF5B08"/>
    <w:pPr>
      <w:numPr>
        <w:ilvl w:val="3"/>
        <w:numId w:val="2"/>
      </w:numPr>
    </w:pPr>
    <w:rPr>
      <w:rFonts w:eastAsia="Times New Roman"/>
      <w:szCs w:val="24"/>
      <w:lang w:eastAsia="fr-FR"/>
    </w:rPr>
  </w:style>
  <w:style w:type="paragraph" w:customStyle="1" w:styleId="COEIMGPROTECTED">
    <w:name w:val="COE_IMG_PROTECTED"/>
    <w:basedOn w:val="Normal"/>
    <w:rsid w:val="00DF5B08"/>
    <w:pPr>
      <w:jc w:val="center"/>
    </w:pPr>
    <w:rPr>
      <w:rFonts w:eastAsia="Times New Roman"/>
      <w:szCs w:val="24"/>
      <w:lang w:eastAsia="fr-FR"/>
    </w:rPr>
  </w:style>
  <w:style w:type="paragraph" w:customStyle="1" w:styleId="COEInconnu">
    <w:name w:val="COE_Inconnu"/>
    <w:basedOn w:val="COEType"/>
    <w:rsid w:val="00DF5B08"/>
    <w:pPr>
      <w:spacing w:before="120"/>
    </w:pPr>
    <w:rPr>
      <w:i/>
      <w:color w:val="99CC00"/>
      <w:sz w:val="24"/>
    </w:rPr>
  </w:style>
  <w:style w:type="paragraph" w:customStyle="1" w:styleId="COELegende">
    <w:name w:val="COE_Legende"/>
    <w:basedOn w:val="Normal"/>
    <w:rsid w:val="00DF5B08"/>
    <w:rPr>
      <w:rFonts w:eastAsia="Times New Roman"/>
      <w:i/>
      <w:color w:val="999999"/>
      <w:szCs w:val="24"/>
      <w:lang w:eastAsia="fr-FR"/>
    </w:rPr>
  </w:style>
  <w:style w:type="paragraph" w:customStyle="1" w:styleId="COELignes">
    <w:name w:val="COE_Lignes"/>
    <w:basedOn w:val="Normal"/>
    <w:rsid w:val="00DF5B08"/>
    <w:rPr>
      <w:rFonts w:eastAsia="Times New Roman"/>
      <w:szCs w:val="24"/>
      <w:lang w:val="en-US"/>
    </w:rPr>
  </w:style>
  <w:style w:type="paragraph" w:customStyle="1" w:styleId="COEList">
    <w:name w:val="COE_List"/>
    <w:basedOn w:val="Normal"/>
    <w:rsid w:val="00DF5B08"/>
    <w:pPr>
      <w:spacing w:after="60"/>
    </w:pPr>
    <w:rPr>
      <w:rFonts w:eastAsia="Times New Roman"/>
      <w:szCs w:val="24"/>
      <w:lang w:eastAsia="fr-FR"/>
    </w:rPr>
  </w:style>
  <w:style w:type="paragraph" w:customStyle="1" w:styleId="COEMedium">
    <w:name w:val="COE_Medium"/>
    <w:rsid w:val="00DF5B08"/>
    <w:pPr>
      <w:spacing w:before="120" w:after="60"/>
      <w:jc w:val="both"/>
    </w:pPr>
    <w:rPr>
      <w:rFonts w:ascii="Verdana" w:eastAsia="Times New Roman" w:hAnsi="Verdana"/>
      <w:b/>
      <w:sz w:val="24"/>
      <w:szCs w:val="24"/>
      <w:lang w:val="fr-FR" w:eastAsia="fr-FR"/>
    </w:rPr>
  </w:style>
  <w:style w:type="paragraph" w:customStyle="1" w:styleId="COESousTitre">
    <w:name w:val="COE_SousTitre"/>
    <w:next w:val="Normal"/>
    <w:link w:val="COESousTitreChar"/>
    <w:rsid w:val="00DF5B08"/>
    <w:pPr>
      <w:spacing w:before="240" w:after="120"/>
    </w:pPr>
    <w:rPr>
      <w:rFonts w:ascii="Verdana" w:eastAsia="Times New Roman" w:hAnsi="Verdana"/>
      <w:sz w:val="28"/>
      <w:szCs w:val="28"/>
      <w:lang w:val="fr-FR" w:eastAsia="fr-FR"/>
    </w:rPr>
  </w:style>
  <w:style w:type="character" w:customStyle="1" w:styleId="COESousTitreChar">
    <w:name w:val="COE_SousTitre Char"/>
    <w:link w:val="COESousTitre"/>
    <w:rsid w:val="00DF5B08"/>
    <w:rPr>
      <w:rFonts w:ascii="Verdana" w:eastAsia="Times New Roman" w:hAnsi="Verdana"/>
      <w:sz w:val="28"/>
      <w:szCs w:val="28"/>
      <w:lang w:val="fr-FR" w:eastAsia="fr-FR"/>
    </w:rPr>
  </w:style>
  <w:style w:type="paragraph" w:styleId="TOC1">
    <w:name w:val="toc 1"/>
    <w:basedOn w:val="Normal"/>
    <w:next w:val="Normal"/>
    <w:link w:val="TOC1Char"/>
    <w:autoRedefine/>
    <w:uiPriority w:val="39"/>
    <w:qFormat/>
    <w:rsid w:val="004615E1"/>
    <w:pPr>
      <w:tabs>
        <w:tab w:val="left" w:pos="709"/>
        <w:tab w:val="right" w:leader="dot" w:pos="9639"/>
      </w:tabs>
      <w:spacing w:before="120"/>
    </w:pPr>
    <w:rPr>
      <w:rFonts w:asciiTheme="majorHAnsi" w:eastAsia="Times New Roman" w:hAnsiTheme="majorHAnsi"/>
      <w:b/>
      <w:bCs/>
      <w:caps/>
      <w:sz w:val="24"/>
      <w:szCs w:val="24"/>
      <w:lang w:eastAsia="fr-FR"/>
    </w:rPr>
  </w:style>
  <w:style w:type="paragraph" w:styleId="TOC4">
    <w:name w:val="toc 4"/>
    <w:basedOn w:val="Normal"/>
    <w:next w:val="Normal"/>
    <w:autoRedefine/>
    <w:uiPriority w:val="39"/>
    <w:rsid w:val="00DF5B08"/>
    <w:pPr>
      <w:ind w:left="400"/>
    </w:pPr>
    <w:rPr>
      <w:rFonts w:asciiTheme="minorHAnsi" w:eastAsia="Times New Roman" w:hAnsiTheme="minorHAnsi"/>
      <w:szCs w:val="20"/>
      <w:lang w:eastAsia="fr-FR"/>
    </w:rPr>
  </w:style>
  <w:style w:type="paragraph" w:customStyle="1" w:styleId="Style1">
    <w:name w:val="Style1"/>
    <w:basedOn w:val="COEHeading1"/>
    <w:link w:val="Style1Char"/>
    <w:autoRedefine/>
    <w:qFormat/>
    <w:rsid w:val="00DF5B08"/>
    <w:rPr>
      <w:sz w:val="28"/>
    </w:rPr>
  </w:style>
  <w:style w:type="paragraph" w:customStyle="1" w:styleId="StyleCMAuthorGray-50">
    <w:name w:val="Style CM_Author + Gray-50%"/>
    <w:basedOn w:val="CMAuthor"/>
    <w:autoRedefine/>
    <w:rsid w:val="00DF5B08"/>
    <w:rPr>
      <w:bCs/>
      <w:iCs/>
    </w:rPr>
  </w:style>
  <w:style w:type="paragraph" w:customStyle="1" w:styleId="CMNormal">
    <w:name w:val="CM_Normal"/>
    <w:basedOn w:val="Normal"/>
    <w:rsid w:val="00DF5B08"/>
    <w:rPr>
      <w:rFonts w:eastAsia="Times New Roman" w:cs="Arial"/>
      <w:color w:val="000000"/>
      <w:szCs w:val="20"/>
      <w:lang w:val="en-GB" w:eastAsia="fr-FR"/>
    </w:rPr>
  </w:style>
  <w:style w:type="paragraph" w:customStyle="1" w:styleId="CMRightAlign">
    <w:name w:val="CM_RightAlign"/>
    <w:basedOn w:val="Normal"/>
    <w:rsid w:val="00DF5B08"/>
    <w:pPr>
      <w:jc w:val="right"/>
    </w:pPr>
    <w:rPr>
      <w:rFonts w:eastAsia="Times New Roman" w:cs="Arial"/>
      <w:color w:val="000000"/>
      <w:szCs w:val="20"/>
      <w:lang w:val="en-GB" w:eastAsia="fr-FR"/>
    </w:rPr>
  </w:style>
  <w:style w:type="paragraph" w:customStyle="1" w:styleId="COETitleSystem">
    <w:name w:val="COE_Title(System)"/>
    <w:basedOn w:val="Normal"/>
    <w:next w:val="Normal"/>
    <w:rsid w:val="00DF5B08"/>
    <w:rPr>
      <w:rFonts w:ascii="Verdana" w:eastAsia="Times New Roman" w:hAnsi="Verdana"/>
      <w:bCs/>
      <w:color w:val="808080"/>
      <w:sz w:val="26"/>
      <w:szCs w:val="24"/>
      <w:lang w:eastAsia="fr-FR"/>
    </w:rPr>
  </w:style>
  <w:style w:type="paragraph" w:customStyle="1" w:styleId="COETitleBrowser">
    <w:name w:val="COE_Title(Browser)"/>
    <w:basedOn w:val="COETitleSystem"/>
    <w:next w:val="Normal"/>
    <w:rsid w:val="00DF5B08"/>
    <w:rPr>
      <w:color w:val="C0C0C0"/>
      <w:sz w:val="16"/>
    </w:rPr>
  </w:style>
  <w:style w:type="paragraph" w:customStyle="1" w:styleId="COEWCDSearchParams">
    <w:name w:val="COE_WCD_SearchParams"/>
    <w:basedOn w:val="Normal"/>
    <w:autoRedefine/>
    <w:rsid w:val="00DF5B08"/>
    <w:rPr>
      <w:rFonts w:ascii="Verdana" w:eastAsia="Times New Roman" w:hAnsi="Verdana"/>
      <w:szCs w:val="24"/>
      <w:lang w:val="en-GB"/>
    </w:rPr>
  </w:style>
  <w:style w:type="paragraph" w:customStyle="1" w:styleId="Style2">
    <w:name w:val="Style2"/>
    <w:basedOn w:val="COEHeading2"/>
    <w:link w:val="Style2Char"/>
    <w:qFormat/>
    <w:rsid w:val="00DF5B08"/>
    <w:rPr>
      <w:rFonts w:ascii="Arial" w:hAnsi="Arial"/>
    </w:rPr>
  </w:style>
  <w:style w:type="character" w:styleId="LineNumber">
    <w:name w:val="line number"/>
    <w:basedOn w:val="DefaultParagraphFont"/>
    <w:rsid w:val="00DF5B08"/>
  </w:style>
  <w:style w:type="character" w:customStyle="1" w:styleId="txtterm1">
    <w:name w:val="txtterm1"/>
    <w:rsid w:val="00DF5B08"/>
    <w:rPr>
      <w:rFonts w:ascii="Times New Roman" w:hAnsi="Times New Roman" w:cs="Times New Roman" w:hint="default"/>
      <w:b/>
      <w:bCs/>
      <w:color w:val="000000"/>
      <w:sz w:val="22"/>
      <w:szCs w:val="22"/>
    </w:rPr>
  </w:style>
  <w:style w:type="paragraph" w:customStyle="1" w:styleId="cmsubtitle0">
    <w:name w:val="cm_subtitle"/>
    <w:basedOn w:val="Normal"/>
    <w:rsid w:val="00DF5B08"/>
    <w:rPr>
      <w:rFonts w:ascii="Verdana" w:eastAsia="Times New Roman" w:hAnsi="Verdana"/>
      <w:color w:val="013870"/>
      <w:szCs w:val="20"/>
      <w:lang w:val="en-US"/>
    </w:rPr>
  </w:style>
  <w:style w:type="paragraph" w:customStyle="1" w:styleId="Listeafsnit">
    <w:name w:val="Listeafsnit"/>
    <w:basedOn w:val="Normal"/>
    <w:uiPriority w:val="34"/>
    <w:qFormat/>
    <w:rsid w:val="00DF5B08"/>
    <w:pPr>
      <w:ind w:left="1304"/>
    </w:pPr>
    <w:rPr>
      <w:rFonts w:ascii="Times New Roman" w:eastAsia="Times New Roman" w:hAnsi="Times New Roman"/>
      <w:sz w:val="24"/>
      <w:szCs w:val="24"/>
      <w:lang w:val="en-US"/>
    </w:rPr>
  </w:style>
  <w:style w:type="paragraph" w:styleId="PlainText">
    <w:name w:val="Plain Text"/>
    <w:basedOn w:val="Normal"/>
    <w:link w:val="PlainTextChar"/>
    <w:unhideWhenUsed/>
    <w:rsid w:val="00DF5B08"/>
    <w:rPr>
      <w:rFonts w:ascii="Calibri" w:hAnsi="Calibri"/>
      <w:sz w:val="22"/>
      <w:szCs w:val="21"/>
      <w:lang w:val="en-GB"/>
    </w:rPr>
  </w:style>
  <w:style w:type="character" w:customStyle="1" w:styleId="PlainTextChar">
    <w:name w:val="Plain Text Char"/>
    <w:basedOn w:val="DefaultParagraphFont"/>
    <w:link w:val="PlainText"/>
    <w:rsid w:val="00DF5B08"/>
    <w:rPr>
      <w:sz w:val="22"/>
      <w:szCs w:val="21"/>
      <w:lang w:eastAsia="en-US"/>
    </w:rPr>
  </w:style>
  <w:style w:type="paragraph" w:customStyle="1" w:styleId="NormalWeb1">
    <w:name w:val="Normal (Web)1"/>
    <w:rsid w:val="00DF5B08"/>
    <w:pPr>
      <w:spacing w:before="150" w:after="150"/>
    </w:pPr>
    <w:rPr>
      <w:rFonts w:ascii="Times New Roman" w:eastAsia="ヒラギノ角ゴ Pro W3" w:hAnsi="Times New Roman"/>
      <w:color w:val="000000"/>
      <w:sz w:val="24"/>
      <w:lang w:val="en-US"/>
    </w:rPr>
  </w:style>
  <w:style w:type="paragraph" w:styleId="BodyText">
    <w:name w:val="Body Text"/>
    <w:aliases w:val="FATF-text"/>
    <w:basedOn w:val="Normal"/>
    <w:link w:val="BodyTextChar"/>
    <w:rsid w:val="00DF5B08"/>
    <w:pPr>
      <w:jc w:val="center"/>
    </w:pPr>
    <w:rPr>
      <w:rFonts w:ascii="Times New Roman" w:eastAsia="MS Mincho" w:hAnsi="Times New Roman"/>
      <w:b/>
      <w:sz w:val="24"/>
      <w:szCs w:val="20"/>
      <w:u w:val="single"/>
      <w:lang w:val="en-GB"/>
    </w:rPr>
  </w:style>
  <w:style w:type="character" w:customStyle="1" w:styleId="BodyTextChar">
    <w:name w:val="Body Text Char"/>
    <w:aliases w:val="FATF-text Char"/>
    <w:basedOn w:val="DefaultParagraphFont"/>
    <w:link w:val="BodyText"/>
    <w:rsid w:val="00DF5B08"/>
    <w:rPr>
      <w:rFonts w:ascii="Times New Roman" w:eastAsia="MS Mincho" w:hAnsi="Times New Roman"/>
      <w:b/>
      <w:sz w:val="24"/>
      <w:u w:val="single"/>
      <w:lang w:eastAsia="en-US"/>
    </w:rPr>
  </w:style>
  <w:style w:type="paragraph" w:customStyle="1" w:styleId="Car">
    <w:name w:val="Car"/>
    <w:basedOn w:val="Normal"/>
    <w:rsid w:val="00DF5B08"/>
    <w:rPr>
      <w:rFonts w:ascii="Times New Roman" w:eastAsia="Times New Roman" w:hAnsi="Times New Roman"/>
      <w:szCs w:val="24"/>
      <w:lang w:val="pl-PL" w:eastAsia="pl-PL"/>
    </w:rPr>
  </w:style>
  <w:style w:type="paragraph" w:styleId="BodyText3">
    <w:name w:val="Body Text 3"/>
    <w:basedOn w:val="Normal"/>
    <w:link w:val="BodyText3Char"/>
    <w:rsid w:val="00DF5B08"/>
    <w:pPr>
      <w:tabs>
        <w:tab w:val="left" w:pos="-1440"/>
        <w:tab w:val="left" w:pos="-864"/>
        <w:tab w:val="left" w:pos="-432"/>
        <w:tab w:val="left" w:pos="1296"/>
        <w:tab w:val="left" w:pos="1728"/>
        <w:tab w:val="left" w:pos="2160"/>
      </w:tabs>
      <w:suppressAutoHyphens/>
      <w:jc w:val="both"/>
    </w:pPr>
    <w:rPr>
      <w:rFonts w:eastAsia="Times New Roman" w:cs="Arial"/>
      <w:szCs w:val="24"/>
      <w:lang w:val="en-GB" w:eastAsia="fr-FR"/>
    </w:rPr>
  </w:style>
  <w:style w:type="character" w:customStyle="1" w:styleId="BodyText3Char">
    <w:name w:val="Body Text 3 Char"/>
    <w:basedOn w:val="DefaultParagraphFont"/>
    <w:link w:val="BodyText3"/>
    <w:rsid w:val="00DF5B08"/>
    <w:rPr>
      <w:rFonts w:ascii="Arial" w:eastAsia="Times New Roman" w:hAnsi="Arial" w:cs="Arial"/>
      <w:szCs w:val="24"/>
      <w:lang w:eastAsia="fr-FR"/>
    </w:rPr>
  </w:style>
  <w:style w:type="paragraph" w:styleId="Title">
    <w:name w:val="Title"/>
    <w:basedOn w:val="Normal"/>
    <w:link w:val="TitleChar"/>
    <w:qFormat/>
    <w:rsid w:val="00DF5B08"/>
    <w:pPr>
      <w:autoSpaceDE w:val="0"/>
      <w:autoSpaceDN w:val="0"/>
      <w:adjustRightInd w:val="0"/>
      <w:jc w:val="center"/>
    </w:pPr>
    <w:rPr>
      <w:rFonts w:eastAsia="Times New Roman"/>
      <w:b/>
      <w:sz w:val="28"/>
      <w:szCs w:val="20"/>
      <w:u w:val="single"/>
    </w:rPr>
  </w:style>
  <w:style w:type="character" w:customStyle="1" w:styleId="TitleChar">
    <w:name w:val="Title Char"/>
    <w:basedOn w:val="DefaultParagraphFont"/>
    <w:link w:val="Title"/>
    <w:rsid w:val="00DF5B08"/>
    <w:rPr>
      <w:rFonts w:ascii="Arial" w:eastAsia="Times New Roman" w:hAnsi="Arial"/>
      <w:b/>
      <w:sz w:val="28"/>
      <w:u w:val="single"/>
      <w:lang w:val="fr-FR" w:eastAsia="en-US"/>
    </w:rPr>
  </w:style>
  <w:style w:type="paragraph" w:customStyle="1" w:styleId="BalloonText1">
    <w:name w:val="Balloon Text1"/>
    <w:basedOn w:val="Normal"/>
    <w:semiHidden/>
    <w:rsid w:val="00DF5B08"/>
    <w:rPr>
      <w:rFonts w:ascii="Tahoma" w:eastAsia="Times New Roman" w:hAnsi="Tahoma" w:cs="Tahoma"/>
      <w:sz w:val="16"/>
      <w:szCs w:val="16"/>
      <w:lang w:val="en-GB" w:eastAsia="fr-FR"/>
    </w:rPr>
  </w:style>
  <w:style w:type="paragraph" w:styleId="BodyText2">
    <w:name w:val="Body Text 2"/>
    <w:basedOn w:val="Normal"/>
    <w:link w:val="BodyText2Char"/>
    <w:rsid w:val="00DF5B08"/>
    <w:pPr>
      <w:spacing w:after="120" w:line="480" w:lineRule="auto"/>
    </w:pPr>
    <w:rPr>
      <w:rFonts w:eastAsia="Times"/>
      <w:szCs w:val="20"/>
      <w:lang w:val="en-GB"/>
    </w:rPr>
  </w:style>
  <w:style w:type="character" w:customStyle="1" w:styleId="BodyText2Char">
    <w:name w:val="Body Text 2 Char"/>
    <w:basedOn w:val="DefaultParagraphFont"/>
    <w:link w:val="BodyText2"/>
    <w:rsid w:val="00DF5B08"/>
    <w:rPr>
      <w:rFonts w:ascii="Arial" w:eastAsia="Times" w:hAnsi="Arial"/>
      <w:lang w:eastAsia="en-US"/>
    </w:rPr>
  </w:style>
  <w:style w:type="paragraph" w:customStyle="1" w:styleId="Adressedelexpditeur">
    <w:name w:val="Adresse de l'expéditeur"/>
    <w:basedOn w:val="Normal"/>
    <w:rsid w:val="00DF5B08"/>
    <w:rPr>
      <w:rFonts w:ascii="Times New Roman" w:eastAsia="Times New Roman" w:hAnsi="Times New Roman"/>
      <w:szCs w:val="20"/>
    </w:rPr>
  </w:style>
  <w:style w:type="paragraph" w:customStyle="1" w:styleId="COEParagraphn">
    <w:name w:val="COE_Paragraph_n"/>
    <w:basedOn w:val="Normal"/>
    <w:rsid w:val="00DF5B08"/>
    <w:pPr>
      <w:numPr>
        <w:numId w:val="2"/>
      </w:numPr>
      <w:spacing w:before="240" w:after="120"/>
      <w:jc w:val="both"/>
    </w:pPr>
    <w:rPr>
      <w:rFonts w:ascii="Times New Roman" w:eastAsia="Times New Roman" w:hAnsi="Times New Roman"/>
      <w:szCs w:val="24"/>
      <w:lang w:val="en-GB" w:eastAsia="fr-FR"/>
    </w:rPr>
  </w:style>
  <w:style w:type="paragraph" w:customStyle="1" w:styleId="COEHeading5">
    <w:name w:val="COE_Heading5"/>
    <w:basedOn w:val="Normal"/>
    <w:next w:val="Normal"/>
    <w:rsid w:val="00DF5B08"/>
    <w:pPr>
      <w:numPr>
        <w:numId w:val="3"/>
      </w:numPr>
      <w:tabs>
        <w:tab w:val="clear" w:pos="1440"/>
        <w:tab w:val="num" w:pos="360"/>
      </w:tabs>
      <w:ind w:left="360" w:right="-750" w:hanging="360"/>
      <w:jc w:val="both"/>
    </w:pPr>
    <w:rPr>
      <w:rFonts w:ascii="Times New Roman" w:eastAsia="Times New Roman" w:hAnsi="Times New Roman"/>
      <w:szCs w:val="24"/>
      <w:lang w:val="en-US" w:eastAsia="fr-FR"/>
    </w:rPr>
  </w:style>
  <w:style w:type="paragraph" w:customStyle="1" w:styleId="CommentSubject1">
    <w:name w:val="Comment Subject1"/>
    <w:basedOn w:val="CommentText"/>
    <w:next w:val="CommentText"/>
    <w:semiHidden/>
    <w:rsid w:val="00DF5B08"/>
    <w:rPr>
      <w:rFonts w:ascii="Times" w:eastAsia="Times" w:hAnsi="Times"/>
      <w:b/>
      <w:bCs/>
      <w:sz w:val="20"/>
      <w:szCs w:val="20"/>
      <w:lang w:val="en-GB"/>
    </w:rPr>
  </w:style>
  <w:style w:type="paragraph" w:customStyle="1" w:styleId="Heading3-drugi">
    <w:name w:val="Heading 3 - drugi"/>
    <w:basedOn w:val="Heading3"/>
    <w:rsid w:val="00DF5B08"/>
    <w:pPr>
      <w:keepLines w:val="0"/>
      <w:numPr>
        <w:ilvl w:val="1"/>
      </w:numPr>
      <w:adjustRightInd w:val="0"/>
      <w:spacing w:before="0" w:line="360" w:lineRule="atLeast"/>
      <w:ind w:left="1080" w:hanging="720"/>
      <w:jc w:val="both"/>
      <w:textAlignment w:val="baseline"/>
    </w:pPr>
    <w:rPr>
      <w:rFonts w:ascii="Times New Roman" w:eastAsia="Times New Roman" w:hAnsi="Times New Roman" w:cs="Times New Roman"/>
      <w:b/>
      <w:bCs/>
      <w:iCs/>
      <w:color w:val="auto"/>
      <w:sz w:val="28"/>
      <w:szCs w:val="20"/>
      <w:lang w:val="en-US"/>
    </w:rPr>
  </w:style>
  <w:style w:type="paragraph" w:customStyle="1" w:styleId="CarCarChar">
    <w:name w:val="Car Car Char"/>
    <w:basedOn w:val="Normal"/>
    <w:rsid w:val="00DF5B08"/>
    <w:pPr>
      <w:spacing w:after="160" w:line="240" w:lineRule="exact"/>
    </w:pPr>
    <w:rPr>
      <w:rFonts w:eastAsia="Times New Roman" w:cs="Arial"/>
      <w:szCs w:val="20"/>
      <w:lang w:val="en-US"/>
    </w:rPr>
  </w:style>
  <w:style w:type="character" w:customStyle="1" w:styleId="mw-headline">
    <w:name w:val="mw-headline"/>
    <w:rsid w:val="00DF5B08"/>
  </w:style>
  <w:style w:type="character" w:customStyle="1" w:styleId="unicode">
    <w:name w:val="unicode"/>
    <w:rsid w:val="00DF5B08"/>
  </w:style>
  <w:style w:type="paragraph" w:customStyle="1" w:styleId="Listeavsnitt">
    <w:name w:val="Listeavsnitt"/>
    <w:basedOn w:val="Normal"/>
    <w:qFormat/>
    <w:rsid w:val="00DF5B08"/>
    <w:pPr>
      <w:ind w:left="708"/>
    </w:pPr>
    <w:rPr>
      <w:rFonts w:eastAsia="Times"/>
      <w:szCs w:val="20"/>
      <w:lang w:val="en-GB"/>
    </w:rPr>
  </w:style>
  <w:style w:type="paragraph" w:customStyle="1" w:styleId="Brevoverskrift">
    <w:name w:val="Brevoverskrift"/>
    <w:basedOn w:val="Normal"/>
    <w:next w:val="Normal"/>
    <w:rsid w:val="00DF5B08"/>
    <w:pPr>
      <w:spacing w:after="300"/>
    </w:pPr>
    <w:rPr>
      <w:rFonts w:ascii="DepCentury Old Style" w:eastAsia="Times New Roman" w:hAnsi="DepCentury Old Style"/>
      <w:b/>
      <w:sz w:val="28"/>
      <w:szCs w:val="20"/>
      <w:lang w:val="nb-NO"/>
    </w:rPr>
  </w:style>
  <w:style w:type="character" w:customStyle="1" w:styleId="A4">
    <w:name w:val="A4"/>
    <w:rsid w:val="00DF5B08"/>
    <w:rPr>
      <w:rFonts w:ascii="Myriad Pro" w:hAnsi="Myriad Pro" w:hint="default"/>
      <w:color w:val="000000"/>
      <w:lang w:val="en-GB"/>
    </w:rPr>
  </w:style>
  <w:style w:type="paragraph" w:customStyle="1" w:styleId="Listenabsatz1">
    <w:name w:val="Listenabsatz1"/>
    <w:basedOn w:val="Normal"/>
    <w:uiPriority w:val="34"/>
    <w:qFormat/>
    <w:rsid w:val="00DF5B08"/>
    <w:pPr>
      <w:ind w:left="708"/>
    </w:pPr>
    <w:rPr>
      <w:rFonts w:eastAsia="Times"/>
      <w:szCs w:val="20"/>
      <w:lang w:val="en-GB"/>
    </w:rPr>
  </w:style>
  <w:style w:type="character" w:customStyle="1" w:styleId="TextChar">
    <w:name w:val="Text Char"/>
    <w:link w:val="Text"/>
    <w:rsid w:val="00DF5B08"/>
    <w:rPr>
      <w:sz w:val="24"/>
      <w:szCs w:val="24"/>
      <w:lang w:val="cs-CZ" w:eastAsia="cs-CZ"/>
    </w:rPr>
  </w:style>
  <w:style w:type="paragraph" w:customStyle="1" w:styleId="Text">
    <w:name w:val="Text"/>
    <w:basedOn w:val="Normal"/>
    <w:link w:val="TextChar"/>
    <w:rsid w:val="00DF5B08"/>
    <w:pPr>
      <w:spacing w:before="120"/>
      <w:ind w:firstLine="851"/>
    </w:pPr>
    <w:rPr>
      <w:rFonts w:ascii="Calibri" w:hAnsi="Calibri"/>
      <w:sz w:val="24"/>
      <w:szCs w:val="24"/>
      <w:lang w:val="cs-CZ" w:eastAsia="cs-CZ"/>
    </w:rPr>
  </w:style>
  <w:style w:type="character" w:customStyle="1" w:styleId="COEHeading2Char">
    <w:name w:val="COE_Heading2 Char"/>
    <w:link w:val="COEHeading2"/>
    <w:rsid w:val="00DF5B08"/>
    <w:rPr>
      <w:rFonts w:ascii="Verdana" w:eastAsia="Times New Roman" w:hAnsi="Verdana"/>
      <w:b/>
      <w:szCs w:val="28"/>
      <w:lang w:eastAsia="en-US"/>
    </w:rPr>
  </w:style>
  <w:style w:type="paragraph" w:styleId="NoSpacing">
    <w:name w:val="No Spacing"/>
    <w:link w:val="NoSpacingChar"/>
    <w:uiPriority w:val="1"/>
    <w:qFormat/>
    <w:rsid w:val="00DF5B08"/>
    <w:rPr>
      <w:rFonts w:ascii="Arial" w:eastAsia="Times" w:hAnsi="Arial"/>
      <w:lang w:eastAsia="en-US"/>
    </w:rPr>
  </w:style>
  <w:style w:type="character" w:styleId="Emphasis">
    <w:name w:val="Emphasis"/>
    <w:uiPriority w:val="20"/>
    <w:qFormat/>
    <w:rsid w:val="00DF5B08"/>
    <w:rPr>
      <w:i/>
      <w:iCs/>
    </w:rPr>
  </w:style>
  <w:style w:type="paragraph" w:styleId="Revision">
    <w:name w:val="Revision"/>
    <w:hidden/>
    <w:uiPriority w:val="99"/>
    <w:semiHidden/>
    <w:rsid w:val="00DF5B08"/>
    <w:rPr>
      <w:rFonts w:ascii="Arial" w:eastAsia="Times" w:hAnsi="Arial"/>
      <w:lang w:eastAsia="en-US"/>
    </w:rPr>
  </w:style>
  <w:style w:type="character" w:customStyle="1" w:styleId="underskriftChar">
    <w:name w:val="underskrift Char"/>
    <w:link w:val="underskrift"/>
    <w:locked/>
    <w:rsid w:val="00DF5B08"/>
    <w:rPr>
      <w:noProof/>
      <w:sz w:val="24"/>
      <w:lang w:eastAsia="en-US"/>
    </w:rPr>
  </w:style>
  <w:style w:type="paragraph" w:customStyle="1" w:styleId="underskrift">
    <w:name w:val="underskrift"/>
    <w:next w:val="Normal"/>
    <w:link w:val="underskriftChar"/>
    <w:rsid w:val="00DF5B08"/>
    <w:pPr>
      <w:spacing w:line="300" w:lineRule="exact"/>
      <w:ind w:left="5387"/>
    </w:pPr>
    <w:rPr>
      <w:noProof/>
      <w:sz w:val="24"/>
      <w:lang w:eastAsia="en-US"/>
    </w:rPr>
  </w:style>
  <w:style w:type="character" w:customStyle="1" w:styleId="Style1Char">
    <w:name w:val="Style1 Char"/>
    <w:link w:val="Style1"/>
    <w:locked/>
    <w:rsid w:val="00DF5B08"/>
    <w:rPr>
      <w:rFonts w:ascii="Arial" w:eastAsia="Times New Roman" w:hAnsi="Arial"/>
      <w:b/>
      <w:sz w:val="28"/>
      <w:szCs w:val="32"/>
      <w:lang w:eastAsia="en-US"/>
    </w:rPr>
  </w:style>
  <w:style w:type="character" w:customStyle="1" w:styleId="Style2Char">
    <w:name w:val="Style2 Char"/>
    <w:link w:val="Style2"/>
    <w:locked/>
    <w:rsid w:val="00DF5B08"/>
    <w:rPr>
      <w:rFonts w:ascii="Arial" w:eastAsia="Times New Roman" w:hAnsi="Arial"/>
      <w:b/>
      <w:szCs w:val="28"/>
      <w:lang w:eastAsia="en-US"/>
    </w:rPr>
  </w:style>
  <w:style w:type="paragraph" w:customStyle="1" w:styleId="FootnoteReferenceCharCarCharCharCarCharCarCharCarCharCarCharCharCarCarCharCharCharCharCharCar">
    <w:name w:val="Footnote Reference Char Car Char Char Car Char Car Char Car Char Car Char Char Car Car Char Char Char Char Char Car"/>
    <w:aliases w:val="Footnote Reference Char Car Char Char Car Char Car Char Car Char Car Char Char Car Car Char Char Car Car"/>
    <w:basedOn w:val="Normal"/>
    <w:link w:val="FootnoteReference"/>
    <w:rsid w:val="00DF5B08"/>
    <w:pPr>
      <w:spacing w:after="160" w:line="240" w:lineRule="exact"/>
    </w:pPr>
    <w:rPr>
      <w:rFonts w:ascii="Calibri" w:hAnsi="Calibri"/>
      <w:szCs w:val="20"/>
      <w:vertAlign w:val="superscript"/>
      <w:lang w:val="en-GB" w:eastAsia="en-GB"/>
    </w:rPr>
  </w:style>
  <w:style w:type="numbering" w:customStyle="1" w:styleId="NoList1">
    <w:name w:val="No List1"/>
    <w:next w:val="NoList"/>
    <w:uiPriority w:val="99"/>
    <w:semiHidden/>
    <w:unhideWhenUsed/>
    <w:rsid w:val="00DF5B08"/>
  </w:style>
  <w:style w:type="paragraph" w:customStyle="1" w:styleId="StyleBefore3ptAfter3pt">
    <w:name w:val="Style Before:  3 pt After:  3 pt"/>
    <w:basedOn w:val="Normal"/>
    <w:rsid w:val="00DF5B08"/>
    <w:pPr>
      <w:numPr>
        <w:numId w:val="4"/>
      </w:numPr>
      <w:spacing w:after="120"/>
      <w:jc w:val="both"/>
    </w:pPr>
    <w:rPr>
      <w:rFonts w:ascii="Times New Roman" w:hAnsi="Times New Roman"/>
      <w:sz w:val="22"/>
      <w:szCs w:val="24"/>
      <w:lang w:val="en-GB"/>
    </w:rPr>
  </w:style>
  <w:style w:type="paragraph" w:customStyle="1" w:styleId="CharCharCharCharCharCharCharCharCharCharCharCharCharChar">
    <w:name w:val="Char Char Char Char Char Char Char Char Char Char Char Char Char Char"/>
    <w:basedOn w:val="Normal"/>
    <w:rsid w:val="00DF5B08"/>
    <w:pPr>
      <w:spacing w:after="160" w:line="240" w:lineRule="exact"/>
      <w:jc w:val="both"/>
    </w:pPr>
    <w:rPr>
      <w:rFonts w:eastAsia="Times New Roman" w:cs="Arial"/>
      <w:sz w:val="22"/>
      <w:szCs w:val="20"/>
      <w:lang w:val="en-US"/>
    </w:rPr>
  </w:style>
  <w:style w:type="character" w:customStyle="1" w:styleId="docheader1">
    <w:name w:val="doc_header1"/>
    <w:rsid w:val="00DF5B08"/>
    <w:rPr>
      <w:rFonts w:ascii="Times New Roman" w:hAnsi="Times New Roman" w:cs="Times New Roman" w:hint="default"/>
      <w:b/>
      <w:bCs/>
      <w:color w:val="000000"/>
      <w:sz w:val="24"/>
      <w:szCs w:val="24"/>
    </w:rPr>
  </w:style>
  <w:style w:type="paragraph" w:customStyle="1" w:styleId="Prrafodelista">
    <w:name w:val="Párrafo de lista"/>
    <w:basedOn w:val="Normal"/>
    <w:qFormat/>
    <w:rsid w:val="00DF5B08"/>
    <w:pPr>
      <w:spacing w:after="200"/>
      <w:ind w:left="720"/>
      <w:contextualSpacing/>
      <w:jc w:val="both"/>
    </w:pPr>
    <w:rPr>
      <w:rFonts w:ascii="Cambria" w:eastAsia="Cambria" w:hAnsi="Cambria"/>
      <w:sz w:val="24"/>
      <w:szCs w:val="24"/>
      <w:lang w:val="en-GB"/>
    </w:rPr>
  </w:style>
  <w:style w:type="paragraph" w:customStyle="1" w:styleId="Paragraphedeliste1">
    <w:name w:val="Paragraphe de liste1"/>
    <w:basedOn w:val="Normal"/>
    <w:qFormat/>
    <w:rsid w:val="00DF5B08"/>
    <w:pPr>
      <w:numPr>
        <w:numId w:val="10"/>
      </w:numPr>
      <w:suppressAutoHyphens/>
      <w:ind w:left="0" w:firstLine="0"/>
      <w:jc w:val="both"/>
    </w:pPr>
    <w:rPr>
      <w:rFonts w:eastAsia="MS Mincho"/>
      <w:sz w:val="22"/>
      <w:szCs w:val="24"/>
      <w:lang w:val="en-GB" w:eastAsia="ar-SA"/>
    </w:rPr>
  </w:style>
  <w:style w:type="paragraph" w:styleId="ListNumber">
    <w:name w:val="List Number"/>
    <w:basedOn w:val="Normal"/>
    <w:rsid w:val="00DF5B08"/>
    <w:pPr>
      <w:numPr>
        <w:numId w:val="5"/>
      </w:numPr>
      <w:suppressAutoHyphens/>
      <w:spacing w:after="120"/>
      <w:jc w:val="both"/>
    </w:pPr>
    <w:rPr>
      <w:rFonts w:eastAsia="Times New Roman"/>
      <w:sz w:val="22"/>
      <w:szCs w:val="24"/>
      <w:lang w:val="en-US" w:eastAsia="ar-SA"/>
    </w:rPr>
  </w:style>
  <w:style w:type="paragraph" w:styleId="Caption">
    <w:name w:val="caption"/>
    <w:basedOn w:val="Normal"/>
    <w:next w:val="Normal"/>
    <w:qFormat/>
    <w:rsid w:val="00DF5B08"/>
    <w:pPr>
      <w:spacing w:after="120"/>
      <w:jc w:val="both"/>
    </w:pPr>
    <w:rPr>
      <w:rFonts w:eastAsia="Times New Roman"/>
      <w:b/>
      <w:bCs/>
      <w:sz w:val="22"/>
      <w:szCs w:val="20"/>
      <w:lang w:val="en-GB" w:eastAsia="fr-FR"/>
    </w:rPr>
  </w:style>
  <w:style w:type="paragraph" w:customStyle="1" w:styleId="TOCHeading1">
    <w:name w:val="TOC Heading1"/>
    <w:basedOn w:val="Heading1"/>
    <w:next w:val="Normal"/>
    <w:uiPriority w:val="39"/>
    <w:unhideWhenUsed/>
    <w:qFormat/>
    <w:rsid w:val="00DF5B08"/>
    <w:pPr>
      <w:spacing w:before="480" w:line="276" w:lineRule="auto"/>
      <w:jc w:val="both"/>
      <w:outlineLvl w:val="9"/>
    </w:pPr>
    <w:rPr>
      <w:rFonts w:ascii="Cambria" w:eastAsia="MS Gothic" w:hAnsi="Cambria" w:cs="Times New Roman"/>
      <w:bCs/>
      <w:color w:val="365F91"/>
      <w:w w:val="105"/>
      <w:sz w:val="28"/>
      <w:szCs w:val="28"/>
      <w:lang w:val="en-US" w:eastAsia="ja-JP"/>
    </w:rPr>
  </w:style>
  <w:style w:type="paragraph" w:customStyle="1" w:styleId="LDHeading1">
    <w:name w:val="LDHeading1"/>
    <w:basedOn w:val="Heading10"/>
    <w:link w:val="LDHeading1Char"/>
    <w:qFormat/>
    <w:rsid w:val="00DF5B08"/>
    <w:pPr>
      <w:jc w:val="left"/>
    </w:pPr>
    <w:rPr>
      <w:smallCaps/>
    </w:rPr>
  </w:style>
  <w:style w:type="character" w:customStyle="1" w:styleId="LDHeading1Char">
    <w:name w:val="LDHeading1 Char"/>
    <w:link w:val="LDHeading1"/>
    <w:rsid w:val="00DF5B08"/>
    <w:rPr>
      <w:rFonts w:ascii="Arial" w:eastAsia="Times New Roman" w:hAnsi="Arial" w:cs="Arial"/>
      <w:b/>
      <w:bCs/>
      <w:caps/>
      <w:smallCaps/>
      <w:color w:val="17365D"/>
      <w:w w:val="105"/>
      <w:kern w:val="28"/>
      <w:sz w:val="24"/>
      <w:lang w:eastAsia="zh-CN"/>
    </w:rPr>
  </w:style>
  <w:style w:type="paragraph" w:customStyle="1" w:styleId="LDHeading3">
    <w:name w:val="LDHeading3"/>
    <w:basedOn w:val="Normal"/>
    <w:link w:val="LDHeading3Char"/>
    <w:qFormat/>
    <w:rsid w:val="00DF5B08"/>
    <w:pPr>
      <w:keepNext/>
      <w:widowControl w:val="0"/>
      <w:numPr>
        <w:numId w:val="9"/>
      </w:numPr>
      <w:tabs>
        <w:tab w:val="left" w:pos="-1134"/>
      </w:tabs>
      <w:spacing w:after="120"/>
      <w:ind w:right="284"/>
      <w:jc w:val="both"/>
      <w:outlineLvl w:val="1"/>
    </w:pPr>
    <w:rPr>
      <w:rFonts w:eastAsia="Times New Roman" w:cs="Arial"/>
      <w:b/>
      <w:color w:val="000000"/>
      <w:sz w:val="22"/>
      <w:szCs w:val="20"/>
      <w:lang w:val="en-GB" w:eastAsia="fr-FR"/>
    </w:rPr>
  </w:style>
  <w:style w:type="character" w:customStyle="1" w:styleId="LDHeading3Char">
    <w:name w:val="LDHeading3 Char"/>
    <w:link w:val="LDHeading3"/>
    <w:rsid w:val="00DF5B08"/>
    <w:rPr>
      <w:rFonts w:ascii="Arial" w:eastAsia="Times New Roman" w:hAnsi="Arial" w:cs="Arial"/>
      <w:b/>
      <w:color w:val="000000"/>
      <w:sz w:val="22"/>
      <w:lang w:eastAsia="fr-FR"/>
    </w:rPr>
  </w:style>
  <w:style w:type="paragraph" w:customStyle="1" w:styleId="DefaultParagraphFontCharCharCharCharChar">
    <w:name w:val="Default Paragraph Font Char Char Char Char Char"/>
    <w:aliases w:val="Default Paragraph Font Char Char1 Char Char Char Char,Default Paragraph Font Char Char11 Char Char Char,Default Paragraph Font Para Char Char Char Char Char Char Char"/>
    <w:basedOn w:val="Normal"/>
    <w:rsid w:val="00DF5B08"/>
    <w:pPr>
      <w:spacing w:after="160" w:line="240" w:lineRule="exact"/>
      <w:jc w:val="both"/>
    </w:pPr>
    <w:rPr>
      <w:rFonts w:eastAsia="Times New Roman" w:cs="Arial"/>
      <w:sz w:val="22"/>
      <w:szCs w:val="20"/>
      <w:lang w:val="en-US"/>
    </w:rPr>
  </w:style>
  <w:style w:type="paragraph" w:styleId="TOC5">
    <w:name w:val="toc 5"/>
    <w:aliases w:val="Annotated Item"/>
    <w:basedOn w:val="Normal"/>
    <w:next w:val="Normal"/>
    <w:autoRedefine/>
    <w:uiPriority w:val="39"/>
    <w:unhideWhenUsed/>
    <w:rsid w:val="00DF5B08"/>
    <w:pPr>
      <w:ind w:left="600"/>
    </w:pPr>
    <w:rPr>
      <w:rFonts w:asciiTheme="minorHAnsi" w:eastAsia="Times New Roman" w:hAnsiTheme="minorHAnsi"/>
      <w:szCs w:val="20"/>
      <w:lang w:eastAsia="fr-FR"/>
    </w:rPr>
  </w:style>
  <w:style w:type="paragraph" w:styleId="TOC6">
    <w:name w:val="toc 6"/>
    <w:basedOn w:val="Normal"/>
    <w:next w:val="Normal"/>
    <w:autoRedefine/>
    <w:uiPriority w:val="39"/>
    <w:unhideWhenUsed/>
    <w:rsid w:val="00DF5B08"/>
    <w:pPr>
      <w:ind w:left="800"/>
    </w:pPr>
    <w:rPr>
      <w:rFonts w:asciiTheme="minorHAnsi" w:eastAsia="Times New Roman" w:hAnsiTheme="minorHAnsi"/>
      <w:szCs w:val="20"/>
      <w:lang w:eastAsia="fr-FR"/>
    </w:rPr>
  </w:style>
  <w:style w:type="paragraph" w:styleId="TOC7">
    <w:name w:val="toc 7"/>
    <w:basedOn w:val="Normal"/>
    <w:next w:val="Normal"/>
    <w:autoRedefine/>
    <w:uiPriority w:val="39"/>
    <w:unhideWhenUsed/>
    <w:rsid w:val="00DF5B08"/>
    <w:pPr>
      <w:ind w:left="1000"/>
    </w:pPr>
    <w:rPr>
      <w:rFonts w:asciiTheme="minorHAnsi" w:eastAsia="Times New Roman" w:hAnsiTheme="minorHAnsi"/>
      <w:szCs w:val="20"/>
      <w:lang w:eastAsia="fr-FR"/>
    </w:rPr>
  </w:style>
  <w:style w:type="paragraph" w:styleId="TOC8">
    <w:name w:val="toc 8"/>
    <w:basedOn w:val="Normal"/>
    <w:next w:val="Normal"/>
    <w:autoRedefine/>
    <w:uiPriority w:val="39"/>
    <w:unhideWhenUsed/>
    <w:rsid w:val="00DF5B08"/>
    <w:pPr>
      <w:ind w:left="1200"/>
    </w:pPr>
    <w:rPr>
      <w:rFonts w:asciiTheme="minorHAnsi" w:eastAsia="Times New Roman" w:hAnsiTheme="minorHAnsi"/>
      <w:szCs w:val="20"/>
      <w:lang w:eastAsia="fr-FR"/>
    </w:rPr>
  </w:style>
  <w:style w:type="paragraph" w:styleId="TOC9">
    <w:name w:val="toc 9"/>
    <w:basedOn w:val="Normal"/>
    <w:next w:val="Normal"/>
    <w:autoRedefine/>
    <w:uiPriority w:val="39"/>
    <w:unhideWhenUsed/>
    <w:rsid w:val="00DF5B08"/>
    <w:pPr>
      <w:ind w:left="1400"/>
    </w:pPr>
    <w:rPr>
      <w:rFonts w:asciiTheme="minorHAnsi" w:eastAsia="Times New Roman" w:hAnsiTheme="minorHAnsi"/>
      <w:szCs w:val="20"/>
      <w:lang w:eastAsia="fr-FR"/>
    </w:rPr>
  </w:style>
  <w:style w:type="paragraph" w:customStyle="1" w:styleId="LDFakeHeading3">
    <w:name w:val="LDFakeHeading3"/>
    <w:basedOn w:val="LDHeading3"/>
    <w:link w:val="LDFakeHeading3Char"/>
    <w:qFormat/>
    <w:rsid w:val="00DF5B08"/>
    <w:pPr>
      <w:outlineLvl w:val="9"/>
    </w:pPr>
  </w:style>
  <w:style w:type="paragraph" w:customStyle="1" w:styleId="LDFakeHeading2">
    <w:name w:val="LDFakeHeading2"/>
    <w:basedOn w:val="Heading10"/>
    <w:link w:val="LDFakeHeading2Char"/>
    <w:qFormat/>
    <w:rsid w:val="00DF5B08"/>
    <w:pPr>
      <w:tabs>
        <w:tab w:val="num" w:pos="851"/>
      </w:tabs>
    </w:pPr>
  </w:style>
  <w:style w:type="character" w:customStyle="1" w:styleId="LDFakeHeading3Char">
    <w:name w:val="LDFakeHeading3 Char"/>
    <w:link w:val="LDFakeHeading3"/>
    <w:rsid w:val="00DF5B08"/>
    <w:rPr>
      <w:rFonts w:ascii="Arial" w:eastAsia="Times New Roman" w:hAnsi="Arial" w:cs="Arial"/>
      <w:b/>
      <w:color w:val="000000"/>
      <w:sz w:val="22"/>
      <w:lang w:eastAsia="fr-FR"/>
    </w:rPr>
  </w:style>
  <w:style w:type="paragraph" w:styleId="List2">
    <w:name w:val="List 2"/>
    <w:basedOn w:val="Normal"/>
    <w:rsid w:val="00DF5B08"/>
    <w:pPr>
      <w:spacing w:after="120"/>
      <w:ind w:left="566" w:hanging="283"/>
      <w:contextualSpacing/>
      <w:jc w:val="both"/>
    </w:pPr>
    <w:rPr>
      <w:rFonts w:eastAsia="Times New Roman"/>
      <w:sz w:val="22"/>
      <w:szCs w:val="24"/>
      <w:lang w:val="en-GB" w:eastAsia="fr-FR"/>
    </w:rPr>
  </w:style>
  <w:style w:type="character" w:customStyle="1" w:styleId="LDFakeHeading2Char">
    <w:name w:val="LDFakeHeading2 Char"/>
    <w:link w:val="LDFakeHeading2"/>
    <w:rsid w:val="00DF5B08"/>
    <w:rPr>
      <w:rFonts w:ascii="Arial" w:eastAsia="Times New Roman" w:hAnsi="Arial" w:cs="Arial"/>
      <w:b/>
      <w:bCs/>
      <w:caps/>
      <w:color w:val="17365D"/>
      <w:w w:val="105"/>
      <w:kern w:val="28"/>
      <w:sz w:val="24"/>
      <w:lang w:eastAsia="zh-CN"/>
    </w:rPr>
  </w:style>
  <w:style w:type="numbering" w:customStyle="1" w:styleId="NoList11">
    <w:name w:val="No List11"/>
    <w:next w:val="NoList"/>
    <w:semiHidden/>
    <w:rsid w:val="00DF5B08"/>
  </w:style>
  <w:style w:type="paragraph" w:styleId="ListBullet2">
    <w:name w:val="List Bullet 2"/>
    <w:basedOn w:val="Normal"/>
    <w:rsid w:val="00DF5B08"/>
    <w:pPr>
      <w:numPr>
        <w:numId w:val="6"/>
      </w:numPr>
      <w:tabs>
        <w:tab w:val="clear" w:pos="643"/>
        <w:tab w:val="num" w:pos="720"/>
      </w:tabs>
      <w:ind w:left="720"/>
      <w:jc w:val="both"/>
    </w:pPr>
    <w:rPr>
      <w:rFonts w:ascii="Times New Roman" w:eastAsia="Times New Roman" w:hAnsi="Times New Roman"/>
      <w:sz w:val="22"/>
      <w:szCs w:val="20"/>
      <w:lang w:val="en-US"/>
    </w:rPr>
  </w:style>
  <w:style w:type="paragraph" w:styleId="BodyTextIndent">
    <w:name w:val="Body Text Indent"/>
    <w:basedOn w:val="Normal"/>
    <w:link w:val="BodyTextIndentChar"/>
    <w:rsid w:val="00DF5B08"/>
    <w:pPr>
      <w:tabs>
        <w:tab w:val="left" w:pos="570"/>
      </w:tabs>
      <w:ind w:left="570" w:hanging="570"/>
      <w:jc w:val="both"/>
    </w:pPr>
    <w:rPr>
      <w:rFonts w:ascii="Times New Roman" w:eastAsia="Times New Roman" w:hAnsi="Times New Roman"/>
      <w:sz w:val="22"/>
      <w:szCs w:val="24"/>
      <w:lang w:val="en-GB" w:eastAsia="fr-FR"/>
    </w:rPr>
  </w:style>
  <w:style w:type="character" w:customStyle="1" w:styleId="BodyTextIndentChar">
    <w:name w:val="Body Text Indent Char"/>
    <w:basedOn w:val="DefaultParagraphFont"/>
    <w:link w:val="BodyTextIndent"/>
    <w:rsid w:val="00DF5B08"/>
    <w:rPr>
      <w:rFonts w:ascii="Times New Roman" w:eastAsia="Times New Roman" w:hAnsi="Times New Roman"/>
      <w:sz w:val="22"/>
      <w:szCs w:val="24"/>
      <w:lang w:eastAsia="fr-FR"/>
    </w:rPr>
  </w:style>
  <w:style w:type="paragraph" w:customStyle="1" w:styleId="ParagraphNumberingChar">
    <w:name w:val="Paragraph Numbering Char"/>
    <w:basedOn w:val="Normal"/>
    <w:rsid w:val="00DF5B08"/>
    <w:pPr>
      <w:numPr>
        <w:numId w:val="7"/>
      </w:numPr>
      <w:spacing w:after="240"/>
      <w:jc w:val="both"/>
    </w:pPr>
    <w:rPr>
      <w:rFonts w:ascii="Times New Roman" w:eastAsia="Times New Roman" w:hAnsi="Times New Roman"/>
      <w:sz w:val="22"/>
      <w:lang w:val="en-US"/>
    </w:rPr>
  </w:style>
  <w:style w:type="paragraph" w:customStyle="1" w:styleId="PR">
    <w:name w:val="PR"/>
    <w:rsid w:val="00DF5B08"/>
    <w:pPr>
      <w:widowControl w:val="0"/>
      <w:tabs>
        <w:tab w:val="left" w:pos="0"/>
        <w:tab w:val="left" w:pos="708"/>
        <w:tab w:val="left" w:pos="991"/>
        <w:tab w:val="left" w:pos="1417"/>
      </w:tabs>
      <w:suppressAutoHyphens/>
      <w:jc w:val="both"/>
    </w:pPr>
    <w:rPr>
      <w:rFonts w:ascii="Courier" w:eastAsia="Times New Roman" w:hAnsi="Courier"/>
      <w:snapToGrid w:val="0"/>
      <w:spacing w:val="-3"/>
      <w:sz w:val="24"/>
      <w:lang w:val="fr-FR" w:eastAsia="en-US"/>
    </w:rPr>
  </w:style>
  <w:style w:type="paragraph" w:customStyle="1" w:styleId="Num-DocParagraph">
    <w:name w:val="Num-Doc Paragraph"/>
    <w:basedOn w:val="PR"/>
    <w:next w:val="BalloonText"/>
    <w:link w:val="Num-DocParagraph0"/>
    <w:qFormat/>
    <w:rsid w:val="00DF5B08"/>
    <w:pPr>
      <w:widowControl/>
      <w:tabs>
        <w:tab w:val="clear" w:pos="0"/>
        <w:tab w:val="clear" w:pos="708"/>
        <w:tab w:val="clear" w:pos="991"/>
        <w:tab w:val="clear" w:pos="1417"/>
        <w:tab w:val="left" w:pos="850"/>
        <w:tab w:val="left" w:pos="1191"/>
        <w:tab w:val="left" w:pos="1531"/>
      </w:tabs>
      <w:suppressAutoHyphens w:val="0"/>
      <w:spacing w:after="240"/>
    </w:pPr>
    <w:rPr>
      <w:rFonts w:ascii="Times New Roman" w:hAnsi="Times New Roman"/>
      <w:snapToGrid/>
      <w:spacing w:val="0"/>
      <w:sz w:val="22"/>
      <w:szCs w:val="22"/>
      <w:lang w:val="en-GB" w:eastAsia="zh-CN"/>
    </w:rPr>
  </w:style>
  <w:style w:type="paragraph" w:customStyle="1" w:styleId="LDbody">
    <w:name w:val="LDbody"/>
    <w:basedOn w:val="Normal"/>
    <w:link w:val="LDbodyChar"/>
    <w:qFormat/>
    <w:rsid w:val="00DF5B08"/>
    <w:pPr>
      <w:numPr>
        <w:numId w:val="8"/>
      </w:numPr>
      <w:jc w:val="both"/>
    </w:pPr>
    <w:rPr>
      <w:rFonts w:ascii="Verdana" w:eastAsia="Times New Roman" w:hAnsi="Verdana"/>
      <w:iCs/>
      <w:sz w:val="22"/>
      <w:szCs w:val="20"/>
      <w:lang w:val="en-GB" w:eastAsia="fr-FR"/>
    </w:rPr>
  </w:style>
  <w:style w:type="paragraph" w:customStyle="1" w:styleId="LD3">
    <w:name w:val="LD3"/>
    <w:basedOn w:val="Heading3"/>
    <w:link w:val="LD3Char"/>
    <w:qFormat/>
    <w:rsid w:val="00DF5B08"/>
    <w:pPr>
      <w:keepLines w:val="0"/>
      <w:numPr>
        <w:ilvl w:val="1"/>
      </w:numPr>
      <w:tabs>
        <w:tab w:val="left" w:pos="570"/>
      </w:tabs>
      <w:spacing w:before="0"/>
      <w:ind w:left="570" w:hanging="570"/>
      <w:jc w:val="both"/>
    </w:pPr>
    <w:rPr>
      <w:rFonts w:ascii="Verdana" w:eastAsia="Times New Roman" w:hAnsi="Verdana" w:cs="Times New Roman"/>
      <w:bCs/>
      <w:i/>
      <w:iCs/>
      <w:color w:val="1F497D"/>
      <w:sz w:val="20"/>
      <w:szCs w:val="20"/>
    </w:rPr>
  </w:style>
  <w:style w:type="character" w:customStyle="1" w:styleId="LDbodyChar">
    <w:name w:val="LDbody Char"/>
    <w:link w:val="LDbody"/>
    <w:rsid w:val="00DF5B08"/>
    <w:rPr>
      <w:rFonts w:ascii="Verdana" w:eastAsia="Times New Roman" w:hAnsi="Verdana"/>
      <w:iCs/>
      <w:sz w:val="22"/>
      <w:lang w:eastAsia="fr-FR"/>
    </w:rPr>
  </w:style>
  <w:style w:type="character" w:customStyle="1" w:styleId="LD3Char">
    <w:name w:val="LD3 Char"/>
    <w:link w:val="LD3"/>
    <w:rsid w:val="00DF5B08"/>
    <w:rPr>
      <w:rFonts w:ascii="Verdana" w:eastAsia="Times New Roman" w:hAnsi="Verdana"/>
      <w:bCs/>
      <w:i/>
      <w:iCs/>
      <w:color w:val="1F497D"/>
      <w:lang w:eastAsia="en-US"/>
    </w:rPr>
  </w:style>
  <w:style w:type="paragraph" w:customStyle="1" w:styleId="LDFakeHeading1">
    <w:name w:val="LDFakeHeading1"/>
    <w:basedOn w:val="LDHeading1"/>
    <w:link w:val="LDFakeHeading1Char"/>
    <w:qFormat/>
    <w:rsid w:val="00DF5B08"/>
    <w:pPr>
      <w:outlineLvl w:val="9"/>
    </w:pPr>
  </w:style>
  <w:style w:type="character" w:customStyle="1" w:styleId="LDFakeHeading1Char">
    <w:name w:val="LDFakeHeading1 Char"/>
    <w:link w:val="LDFakeHeading1"/>
    <w:rsid w:val="00DF5B08"/>
    <w:rPr>
      <w:rFonts w:ascii="Arial" w:eastAsia="Times New Roman" w:hAnsi="Arial" w:cs="Arial"/>
      <w:b/>
      <w:bCs/>
      <w:caps/>
      <w:smallCaps/>
      <w:color w:val="17365D"/>
      <w:w w:val="105"/>
      <w:kern w:val="28"/>
      <w:sz w:val="24"/>
      <w:lang w:eastAsia="zh-CN"/>
    </w:rPr>
  </w:style>
  <w:style w:type="table" w:styleId="TableClassic3">
    <w:name w:val="Table Classic 3"/>
    <w:basedOn w:val="TableNormal"/>
    <w:rsid w:val="00DF5B08"/>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DF5B0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F5B0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SpacingChar">
    <w:name w:val="No Spacing Char"/>
    <w:link w:val="NoSpacing"/>
    <w:uiPriority w:val="1"/>
    <w:rsid w:val="00DF5B08"/>
    <w:rPr>
      <w:rFonts w:ascii="Arial" w:eastAsia="Times" w:hAnsi="Arial"/>
      <w:lang w:eastAsia="en-US"/>
    </w:rPr>
  </w:style>
  <w:style w:type="character" w:customStyle="1" w:styleId="auto-style12">
    <w:name w:val="auto-style12"/>
    <w:rsid w:val="00DF5B08"/>
    <w:rPr>
      <w:caps/>
    </w:rPr>
  </w:style>
  <w:style w:type="paragraph" w:customStyle="1" w:styleId="coecote0">
    <w:name w:val="coe_cote"/>
    <w:basedOn w:val="Normal"/>
    <w:rsid w:val="00DF5B08"/>
    <w:pPr>
      <w:spacing w:before="100" w:beforeAutospacing="1" w:after="240"/>
    </w:pPr>
    <w:rPr>
      <w:rFonts w:ascii="Verdana" w:eastAsia="Times New Roman" w:hAnsi="Verdana"/>
      <w:color w:val="000000"/>
      <w:sz w:val="26"/>
      <w:szCs w:val="26"/>
      <w:lang w:val="en-GB" w:eastAsia="en-GB"/>
    </w:rPr>
  </w:style>
  <w:style w:type="paragraph" w:customStyle="1" w:styleId="DefaultParagraphFontCharCharChar">
    <w:name w:val="Default Paragraph Font Char Char Char"/>
    <w:aliases w:val="Default Paragraph Font Char Char1 Char,Default Paragraph Font Char Char11 Char,Default Paragraph Font Para Char Char Char Char Char,Default Paragraph Font Para Char Char Char Char1 Char"/>
    <w:basedOn w:val="Normal"/>
    <w:rsid w:val="00DF5B08"/>
    <w:pPr>
      <w:spacing w:after="160" w:line="240" w:lineRule="exact"/>
    </w:pPr>
    <w:rPr>
      <w:rFonts w:eastAsia="Times New Roman" w:cs="Arial"/>
      <w:szCs w:val="20"/>
      <w:lang w:val="en-US"/>
    </w:rPr>
  </w:style>
  <w:style w:type="table" w:styleId="Table3Deffects1">
    <w:name w:val="Table 3D effects 1"/>
    <w:basedOn w:val="TableNormal"/>
    <w:rsid w:val="00DF5B08"/>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DF5B0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1">
    <w:name w:val="st1"/>
    <w:basedOn w:val="DefaultParagraphFont"/>
    <w:rsid w:val="00DF5B08"/>
  </w:style>
  <w:style w:type="table" w:styleId="LightList-Accent1">
    <w:name w:val="Light List Accent 1"/>
    <w:basedOn w:val="TableNormal"/>
    <w:uiPriority w:val="61"/>
    <w:rsid w:val="00DF5B08"/>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ubtitle">
    <w:name w:val="Subtitle"/>
    <w:basedOn w:val="Normal"/>
    <w:next w:val="Para1"/>
    <w:link w:val="SubtitleChar"/>
    <w:uiPriority w:val="1"/>
    <w:rsid w:val="00DF5B08"/>
    <w:pPr>
      <w:spacing w:after="240" w:line="280" w:lineRule="exact"/>
      <w:jc w:val="center"/>
    </w:pPr>
    <w:rPr>
      <w:rFonts w:ascii="Times New Roman" w:eastAsiaTheme="minorHAnsi" w:hAnsi="Times New Roman" w:cs="Arial"/>
      <w:sz w:val="24"/>
      <w:szCs w:val="24"/>
      <w:lang w:val="en-GB"/>
    </w:rPr>
  </w:style>
  <w:style w:type="character" w:customStyle="1" w:styleId="SubtitleChar">
    <w:name w:val="Subtitle Char"/>
    <w:basedOn w:val="DefaultParagraphFont"/>
    <w:link w:val="Subtitle"/>
    <w:uiPriority w:val="1"/>
    <w:rsid w:val="00DF5B08"/>
    <w:rPr>
      <w:rFonts w:ascii="Times New Roman" w:eastAsiaTheme="minorHAnsi" w:hAnsi="Times New Roman" w:cs="Arial"/>
      <w:sz w:val="24"/>
      <w:szCs w:val="24"/>
      <w:lang w:eastAsia="en-US"/>
    </w:rPr>
  </w:style>
  <w:style w:type="paragraph" w:customStyle="1" w:styleId="TableCell">
    <w:name w:val="Table Cell"/>
    <w:basedOn w:val="Normal"/>
    <w:uiPriority w:val="10"/>
    <w:qFormat/>
    <w:rsid w:val="00DF5B08"/>
    <w:pPr>
      <w:keepNext/>
      <w:keepLines/>
      <w:tabs>
        <w:tab w:val="left" w:pos="340"/>
        <w:tab w:val="left" w:pos="680"/>
      </w:tabs>
      <w:spacing w:before="20" w:after="20" w:line="280" w:lineRule="exact"/>
      <w:jc w:val="right"/>
    </w:pPr>
    <w:rPr>
      <w:rFonts w:ascii="Arial Narrow" w:eastAsia="SimSun" w:hAnsi="Arial Narrow" w:cs="Arial"/>
      <w:sz w:val="17"/>
      <w:szCs w:val="18"/>
      <w:lang w:val="en-GB"/>
    </w:rPr>
  </w:style>
  <w:style w:type="paragraph" w:styleId="EndnoteText">
    <w:name w:val="endnote text"/>
    <w:basedOn w:val="FootnoteText"/>
    <w:link w:val="EndnoteTextChar"/>
    <w:semiHidden/>
    <w:rsid w:val="00DF5B08"/>
    <w:pPr>
      <w:spacing w:after="120" w:line="280" w:lineRule="exact"/>
      <w:ind w:left="680" w:right="680"/>
      <w:jc w:val="both"/>
    </w:pPr>
    <w:rPr>
      <w:rFonts w:ascii="Times New Roman" w:eastAsia="SimSun" w:hAnsi="Times New Roman"/>
      <w:sz w:val="20"/>
      <w:lang w:val="en-GB"/>
    </w:rPr>
  </w:style>
  <w:style w:type="character" w:customStyle="1" w:styleId="EndnoteTextChar">
    <w:name w:val="Endnote Text Char"/>
    <w:basedOn w:val="DefaultParagraphFont"/>
    <w:link w:val="EndnoteText"/>
    <w:semiHidden/>
    <w:rsid w:val="00DF5B08"/>
    <w:rPr>
      <w:rFonts w:ascii="Times New Roman" w:eastAsia="SimSun" w:hAnsi="Times New Roman"/>
      <w:lang w:eastAsia="en-US"/>
    </w:rPr>
  </w:style>
  <w:style w:type="paragraph" w:customStyle="1" w:styleId="Numberedlist2">
    <w:name w:val="Numbered list 2"/>
    <w:basedOn w:val="Normal"/>
    <w:next w:val="Para1"/>
    <w:uiPriority w:val="7"/>
    <w:qFormat/>
    <w:rsid w:val="00DF5B08"/>
    <w:pPr>
      <w:keepNext/>
      <w:spacing w:after="120" w:line="280" w:lineRule="exact"/>
      <w:ind w:left="680" w:right="680"/>
      <w:jc w:val="center"/>
    </w:pPr>
    <w:rPr>
      <w:rFonts w:ascii="Cambria" w:eastAsia="SimSun" w:hAnsi="Cambria" w:cs="Arial"/>
      <w:sz w:val="22"/>
      <w:szCs w:val="20"/>
      <w:lang w:val="en-GB"/>
    </w:rPr>
  </w:style>
  <w:style w:type="paragraph" w:styleId="Index1">
    <w:name w:val="index 1"/>
    <w:basedOn w:val="Normal"/>
    <w:next w:val="Normal"/>
    <w:semiHidden/>
    <w:rsid w:val="00DF5B08"/>
    <w:pPr>
      <w:spacing w:after="120" w:line="280" w:lineRule="exact"/>
      <w:ind w:left="220" w:hanging="220"/>
      <w:jc w:val="both"/>
    </w:pPr>
    <w:rPr>
      <w:rFonts w:ascii="Times New Roman" w:eastAsia="SimSun" w:hAnsi="Times New Roman"/>
      <w:sz w:val="22"/>
      <w:szCs w:val="20"/>
      <w:lang w:val="en-GB"/>
    </w:rPr>
  </w:style>
  <w:style w:type="paragraph" w:styleId="IndexHeading">
    <w:name w:val="index heading"/>
    <w:basedOn w:val="Normal"/>
    <w:next w:val="BodyText"/>
    <w:semiHidden/>
    <w:rsid w:val="00DF5B08"/>
    <w:pPr>
      <w:keepNext/>
      <w:spacing w:before="1200" w:after="720" w:line="280" w:lineRule="exact"/>
      <w:jc w:val="center"/>
    </w:pPr>
    <w:rPr>
      <w:rFonts w:ascii="Times New Roman" w:eastAsia="SimSun" w:hAnsi="Times New Roman"/>
      <w:b/>
      <w:bCs/>
      <w:caps/>
      <w:sz w:val="22"/>
      <w:szCs w:val="20"/>
      <w:lang w:val="en-GB"/>
    </w:rPr>
  </w:style>
  <w:style w:type="paragraph" w:styleId="List">
    <w:name w:val="List"/>
    <w:basedOn w:val="Normal"/>
    <w:semiHidden/>
    <w:rsid w:val="00DF5B08"/>
    <w:pPr>
      <w:spacing w:after="120" w:line="280" w:lineRule="exact"/>
      <w:ind w:left="850" w:hanging="283"/>
      <w:jc w:val="both"/>
    </w:pPr>
    <w:rPr>
      <w:rFonts w:ascii="Times New Roman" w:eastAsia="SimSun" w:hAnsi="Times New Roman"/>
      <w:sz w:val="22"/>
      <w:szCs w:val="20"/>
      <w:lang w:val="en-GB"/>
    </w:rPr>
  </w:style>
  <w:style w:type="paragraph" w:styleId="List3">
    <w:name w:val="List 3"/>
    <w:basedOn w:val="Normal"/>
    <w:semiHidden/>
    <w:rsid w:val="00DF5B08"/>
    <w:pPr>
      <w:spacing w:after="120" w:line="280" w:lineRule="exact"/>
      <w:ind w:left="1417" w:hanging="283"/>
      <w:jc w:val="both"/>
    </w:pPr>
    <w:rPr>
      <w:rFonts w:ascii="Times New Roman" w:eastAsia="SimSun" w:hAnsi="Times New Roman"/>
      <w:sz w:val="22"/>
      <w:szCs w:val="20"/>
      <w:lang w:val="en-GB"/>
    </w:rPr>
  </w:style>
  <w:style w:type="paragraph" w:styleId="List4">
    <w:name w:val="List 4"/>
    <w:basedOn w:val="Normal"/>
    <w:semiHidden/>
    <w:rsid w:val="00DF5B08"/>
    <w:pPr>
      <w:spacing w:after="120" w:line="280" w:lineRule="exact"/>
      <w:jc w:val="both"/>
    </w:pPr>
    <w:rPr>
      <w:rFonts w:ascii="Times New Roman" w:eastAsia="SimSun" w:hAnsi="Times New Roman"/>
      <w:sz w:val="22"/>
      <w:szCs w:val="20"/>
      <w:lang w:val="en-GB"/>
    </w:rPr>
  </w:style>
  <w:style w:type="paragraph" w:styleId="List5">
    <w:name w:val="List 5"/>
    <w:basedOn w:val="Normal"/>
    <w:semiHidden/>
    <w:rsid w:val="00DF5B08"/>
    <w:pPr>
      <w:spacing w:after="120" w:line="280" w:lineRule="exact"/>
      <w:ind w:left="1984" w:hanging="283"/>
      <w:jc w:val="both"/>
    </w:pPr>
    <w:rPr>
      <w:rFonts w:ascii="Times New Roman" w:eastAsia="SimSun" w:hAnsi="Times New Roman"/>
      <w:sz w:val="22"/>
      <w:szCs w:val="20"/>
      <w:lang w:val="en-GB"/>
    </w:rPr>
  </w:style>
  <w:style w:type="paragraph" w:styleId="ListBullet">
    <w:name w:val="List Bullet"/>
    <w:basedOn w:val="Normal"/>
    <w:rsid w:val="00DF5B08"/>
    <w:pPr>
      <w:numPr>
        <w:numId w:val="15"/>
      </w:numPr>
      <w:tabs>
        <w:tab w:val="clear" w:pos="850"/>
        <w:tab w:val="left" w:pos="567"/>
      </w:tabs>
      <w:spacing w:after="120" w:line="280" w:lineRule="exact"/>
      <w:ind w:left="567" w:hanging="227"/>
      <w:jc w:val="both"/>
    </w:pPr>
    <w:rPr>
      <w:rFonts w:ascii="Times New Roman" w:eastAsia="SimSun" w:hAnsi="Times New Roman"/>
      <w:sz w:val="22"/>
      <w:szCs w:val="20"/>
      <w:lang w:val="en-GB"/>
    </w:rPr>
  </w:style>
  <w:style w:type="paragraph" w:styleId="ListBullet3">
    <w:name w:val="List Bullet 3"/>
    <w:basedOn w:val="Normal"/>
    <w:semiHidden/>
    <w:rsid w:val="00DF5B08"/>
    <w:pPr>
      <w:numPr>
        <w:numId w:val="16"/>
      </w:numPr>
      <w:spacing w:after="120" w:line="280" w:lineRule="exact"/>
      <w:jc w:val="both"/>
    </w:pPr>
    <w:rPr>
      <w:rFonts w:ascii="Times New Roman" w:eastAsia="SimSun" w:hAnsi="Times New Roman"/>
      <w:sz w:val="22"/>
      <w:szCs w:val="20"/>
      <w:lang w:val="en-GB"/>
    </w:rPr>
  </w:style>
  <w:style w:type="paragraph" w:styleId="ListBullet4">
    <w:name w:val="List Bullet 4"/>
    <w:basedOn w:val="Normal"/>
    <w:semiHidden/>
    <w:rsid w:val="00DF5B08"/>
    <w:pPr>
      <w:numPr>
        <w:numId w:val="17"/>
      </w:numPr>
      <w:spacing w:after="120" w:line="280" w:lineRule="exact"/>
      <w:jc w:val="both"/>
    </w:pPr>
    <w:rPr>
      <w:rFonts w:ascii="Times New Roman" w:eastAsia="SimSun" w:hAnsi="Times New Roman"/>
      <w:sz w:val="22"/>
      <w:szCs w:val="20"/>
      <w:lang w:val="en-GB"/>
    </w:rPr>
  </w:style>
  <w:style w:type="paragraph" w:styleId="ListBullet5">
    <w:name w:val="List Bullet 5"/>
    <w:basedOn w:val="Normal"/>
    <w:semiHidden/>
    <w:rsid w:val="00DF5B08"/>
    <w:pPr>
      <w:numPr>
        <w:numId w:val="18"/>
      </w:numPr>
      <w:spacing w:after="120" w:line="280" w:lineRule="exact"/>
      <w:jc w:val="both"/>
    </w:pPr>
    <w:rPr>
      <w:rFonts w:ascii="Times New Roman" w:eastAsia="SimSun" w:hAnsi="Times New Roman"/>
      <w:sz w:val="22"/>
      <w:szCs w:val="20"/>
      <w:lang w:val="en-GB"/>
    </w:rPr>
  </w:style>
  <w:style w:type="paragraph" w:styleId="ListContinue">
    <w:name w:val="List Continue"/>
    <w:basedOn w:val="Normal"/>
    <w:semiHidden/>
    <w:rsid w:val="00DF5B08"/>
    <w:pPr>
      <w:spacing w:after="120" w:line="280" w:lineRule="exact"/>
      <w:ind w:left="850"/>
      <w:jc w:val="both"/>
    </w:pPr>
    <w:rPr>
      <w:rFonts w:ascii="Times New Roman" w:eastAsia="SimSun" w:hAnsi="Times New Roman"/>
      <w:sz w:val="22"/>
      <w:szCs w:val="20"/>
      <w:lang w:val="en-GB"/>
    </w:rPr>
  </w:style>
  <w:style w:type="paragraph" w:styleId="ListContinue2">
    <w:name w:val="List Continue 2"/>
    <w:basedOn w:val="Normal"/>
    <w:semiHidden/>
    <w:rsid w:val="00DF5B08"/>
    <w:pPr>
      <w:spacing w:after="120" w:line="280" w:lineRule="exact"/>
      <w:ind w:left="1191"/>
      <w:jc w:val="both"/>
    </w:pPr>
    <w:rPr>
      <w:rFonts w:ascii="Times New Roman" w:eastAsia="SimSun" w:hAnsi="Times New Roman"/>
      <w:sz w:val="22"/>
      <w:szCs w:val="20"/>
      <w:lang w:val="en-GB"/>
    </w:rPr>
  </w:style>
  <w:style w:type="paragraph" w:styleId="ListContinue3">
    <w:name w:val="List Continue 3"/>
    <w:basedOn w:val="Normal"/>
    <w:semiHidden/>
    <w:rsid w:val="00DF5B08"/>
    <w:pPr>
      <w:spacing w:after="120" w:line="280" w:lineRule="exact"/>
      <w:ind w:left="1474"/>
      <w:jc w:val="both"/>
    </w:pPr>
    <w:rPr>
      <w:rFonts w:ascii="Times New Roman" w:eastAsia="SimSun" w:hAnsi="Times New Roman"/>
      <w:sz w:val="22"/>
      <w:szCs w:val="20"/>
      <w:lang w:val="en-GB"/>
    </w:rPr>
  </w:style>
  <w:style w:type="paragraph" w:styleId="ListContinue4">
    <w:name w:val="List Continue 4"/>
    <w:basedOn w:val="Normal"/>
    <w:semiHidden/>
    <w:rsid w:val="00DF5B08"/>
    <w:pPr>
      <w:spacing w:after="120" w:line="280" w:lineRule="exact"/>
      <w:ind w:left="1757"/>
      <w:jc w:val="both"/>
    </w:pPr>
    <w:rPr>
      <w:rFonts w:ascii="Times New Roman" w:eastAsia="SimSun" w:hAnsi="Times New Roman"/>
      <w:sz w:val="22"/>
      <w:szCs w:val="20"/>
      <w:lang w:val="en-GB"/>
    </w:rPr>
  </w:style>
  <w:style w:type="paragraph" w:styleId="ListContinue5">
    <w:name w:val="List Continue 5"/>
    <w:basedOn w:val="Normal"/>
    <w:semiHidden/>
    <w:rsid w:val="00DF5B08"/>
    <w:pPr>
      <w:spacing w:after="120" w:line="280" w:lineRule="exact"/>
      <w:ind w:left="2041"/>
      <w:jc w:val="both"/>
    </w:pPr>
    <w:rPr>
      <w:rFonts w:ascii="Times New Roman" w:eastAsia="SimSun" w:hAnsi="Times New Roman"/>
      <w:sz w:val="22"/>
      <w:szCs w:val="20"/>
      <w:lang w:val="en-GB"/>
    </w:rPr>
  </w:style>
  <w:style w:type="paragraph" w:styleId="ListNumber2">
    <w:name w:val="List Number 2"/>
    <w:basedOn w:val="Normal"/>
    <w:rsid w:val="00DF5B08"/>
    <w:pPr>
      <w:tabs>
        <w:tab w:val="num" w:pos="1191"/>
        <w:tab w:val="left" w:pos="1417"/>
      </w:tabs>
      <w:spacing w:after="120" w:line="280" w:lineRule="exact"/>
      <w:ind w:left="1191" w:hanging="341"/>
      <w:jc w:val="both"/>
    </w:pPr>
    <w:rPr>
      <w:rFonts w:ascii="Times New Roman" w:eastAsia="SimSun" w:hAnsi="Times New Roman"/>
      <w:sz w:val="22"/>
      <w:szCs w:val="20"/>
      <w:lang w:val="en-GB"/>
    </w:rPr>
  </w:style>
  <w:style w:type="paragraph" w:styleId="ListNumber3">
    <w:name w:val="List Number 3"/>
    <w:basedOn w:val="Normal"/>
    <w:rsid w:val="00DF5B08"/>
    <w:pPr>
      <w:tabs>
        <w:tab w:val="num" w:pos="1474"/>
        <w:tab w:val="left" w:pos="1701"/>
      </w:tabs>
      <w:spacing w:after="120" w:line="280" w:lineRule="exact"/>
      <w:ind w:left="1474" w:hanging="340"/>
      <w:jc w:val="both"/>
    </w:pPr>
    <w:rPr>
      <w:rFonts w:ascii="Times New Roman" w:eastAsia="SimSun" w:hAnsi="Times New Roman"/>
      <w:sz w:val="22"/>
      <w:szCs w:val="20"/>
      <w:lang w:val="en-GB"/>
    </w:rPr>
  </w:style>
  <w:style w:type="paragraph" w:styleId="ListNumber4">
    <w:name w:val="List Number 4"/>
    <w:basedOn w:val="Normal"/>
    <w:rsid w:val="00DF5B08"/>
    <w:pPr>
      <w:tabs>
        <w:tab w:val="num" w:pos="1757"/>
        <w:tab w:val="left" w:pos="1984"/>
      </w:tabs>
      <w:spacing w:after="120" w:line="280" w:lineRule="exact"/>
      <w:ind w:left="1757" w:hanging="340"/>
      <w:jc w:val="both"/>
    </w:pPr>
    <w:rPr>
      <w:rFonts w:ascii="Times New Roman" w:eastAsia="SimSun" w:hAnsi="Times New Roman"/>
      <w:sz w:val="22"/>
      <w:szCs w:val="20"/>
      <w:lang w:val="en-GB"/>
    </w:rPr>
  </w:style>
  <w:style w:type="paragraph" w:styleId="ListNumber5">
    <w:name w:val="List Number 5"/>
    <w:basedOn w:val="Normal"/>
    <w:rsid w:val="00DF5B08"/>
    <w:pPr>
      <w:tabs>
        <w:tab w:val="num" w:pos="360"/>
        <w:tab w:val="left" w:pos="2268"/>
      </w:tabs>
      <w:spacing w:after="120" w:line="280" w:lineRule="exact"/>
      <w:jc w:val="both"/>
    </w:pPr>
    <w:rPr>
      <w:rFonts w:ascii="Times New Roman" w:eastAsia="SimSun" w:hAnsi="Times New Roman"/>
      <w:sz w:val="22"/>
      <w:szCs w:val="20"/>
      <w:lang w:val="en-GB"/>
    </w:rPr>
  </w:style>
  <w:style w:type="paragraph" w:customStyle="1" w:styleId="Sourcenotes">
    <w:name w:val="Source &amp; notes"/>
    <w:basedOn w:val="Normal"/>
    <w:uiPriority w:val="9"/>
    <w:qFormat/>
    <w:rsid w:val="00DF5B08"/>
    <w:pPr>
      <w:keepLines/>
      <w:spacing w:before="120" w:after="240" w:line="280" w:lineRule="exact"/>
      <w:ind w:left="680" w:right="680"/>
      <w:contextualSpacing/>
      <w:jc w:val="both"/>
    </w:pPr>
    <w:rPr>
      <w:rFonts w:ascii="Times New Roman" w:eastAsia="SimSun" w:hAnsi="Times New Roman" w:cs="Arial"/>
      <w:sz w:val="18"/>
      <w:szCs w:val="18"/>
      <w:lang w:val="en-GB"/>
    </w:rPr>
  </w:style>
  <w:style w:type="paragraph" w:styleId="BlockText">
    <w:name w:val="Block Text"/>
    <w:basedOn w:val="Normal"/>
    <w:semiHidden/>
    <w:rsid w:val="00DF5B08"/>
    <w:pPr>
      <w:spacing w:after="120" w:line="280" w:lineRule="exact"/>
      <w:ind w:left="1440" w:right="1440"/>
      <w:jc w:val="both"/>
    </w:pPr>
    <w:rPr>
      <w:rFonts w:ascii="Times New Roman" w:eastAsia="SimSun" w:hAnsi="Times New Roman"/>
      <w:sz w:val="22"/>
      <w:szCs w:val="20"/>
      <w:lang w:val="en-GB"/>
    </w:rPr>
  </w:style>
  <w:style w:type="numbering" w:customStyle="1" w:styleId="NumberedNote">
    <w:name w:val="Numbered Note"/>
    <w:basedOn w:val="NoList"/>
    <w:rsid w:val="00DF5B08"/>
    <w:pPr>
      <w:numPr>
        <w:numId w:val="11"/>
      </w:numPr>
    </w:pPr>
  </w:style>
  <w:style w:type="numbering" w:customStyle="1" w:styleId="BulletedNote">
    <w:name w:val="Bulleted Note"/>
    <w:basedOn w:val="NoList"/>
    <w:rsid w:val="00DF5B08"/>
    <w:pPr>
      <w:numPr>
        <w:numId w:val="12"/>
      </w:numPr>
    </w:pPr>
  </w:style>
  <w:style w:type="numbering" w:customStyle="1" w:styleId="NumericNote">
    <w:name w:val="Numeric Note"/>
    <w:basedOn w:val="NoList"/>
    <w:rsid w:val="00DF5B08"/>
    <w:pPr>
      <w:numPr>
        <w:numId w:val="13"/>
      </w:numPr>
    </w:pPr>
  </w:style>
  <w:style w:type="numbering" w:customStyle="1" w:styleId="AlphaNote">
    <w:name w:val="Alpha Note"/>
    <w:basedOn w:val="NoList"/>
    <w:rsid w:val="00DF5B08"/>
    <w:pPr>
      <w:numPr>
        <w:numId w:val="14"/>
      </w:numPr>
    </w:pPr>
  </w:style>
  <w:style w:type="paragraph" w:styleId="EnvelopeAddress">
    <w:name w:val="envelope address"/>
    <w:basedOn w:val="Normal"/>
    <w:semiHidden/>
    <w:rsid w:val="00DF5B08"/>
    <w:pPr>
      <w:framePr w:w="7938" w:h="1985" w:hRule="exact" w:hSpace="141" w:wrap="auto" w:hAnchor="page" w:xAlign="center" w:yAlign="bottom"/>
      <w:spacing w:after="120" w:line="280" w:lineRule="exact"/>
      <w:ind w:left="2835"/>
      <w:jc w:val="both"/>
    </w:pPr>
    <w:rPr>
      <w:rFonts w:eastAsia="SimSun" w:cs="Arial"/>
      <w:sz w:val="24"/>
      <w:szCs w:val="24"/>
      <w:lang w:val="en-GB"/>
    </w:rPr>
  </w:style>
  <w:style w:type="paragraph" w:styleId="EnvelopeReturn">
    <w:name w:val="envelope return"/>
    <w:basedOn w:val="Normal"/>
    <w:semiHidden/>
    <w:rsid w:val="00DF5B08"/>
    <w:pPr>
      <w:spacing w:after="120" w:line="280" w:lineRule="exact"/>
      <w:jc w:val="both"/>
    </w:pPr>
    <w:rPr>
      <w:rFonts w:eastAsia="SimSun" w:cs="Arial"/>
      <w:sz w:val="22"/>
      <w:szCs w:val="20"/>
      <w:lang w:val="en-GB"/>
    </w:rPr>
  </w:style>
  <w:style w:type="paragraph" w:styleId="HTMLAddress">
    <w:name w:val="HTML Address"/>
    <w:basedOn w:val="Normal"/>
    <w:link w:val="HTMLAddressChar"/>
    <w:semiHidden/>
    <w:rsid w:val="00DF5B08"/>
    <w:pPr>
      <w:spacing w:after="120" w:line="280" w:lineRule="exact"/>
      <w:jc w:val="both"/>
    </w:pPr>
    <w:rPr>
      <w:rFonts w:ascii="Times New Roman" w:eastAsia="SimSun" w:hAnsi="Times New Roman"/>
      <w:i/>
      <w:iCs/>
      <w:sz w:val="22"/>
      <w:szCs w:val="20"/>
      <w:lang w:val="en-GB"/>
    </w:rPr>
  </w:style>
  <w:style w:type="character" w:customStyle="1" w:styleId="HTMLAddressChar">
    <w:name w:val="HTML Address Char"/>
    <w:basedOn w:val="DefaultParagraphFont"/>
    <w:link w:val="HTMLAddress"/>
    <w:semiHidden/>
    <w:rsid w:val="00DF5B08"/>
    <w:rPr>
      <w:rFonts w:ascii="Times New Roman" w:eastAsia="SimSun" w:hAnsi="Times New Roman"/>
      <w:i/>
      <w:iCs/>
      <w:sz w:val="22"/>
      <w:lang w:eastAsia="en-US"/>
    </w:rPr>
  </w:style>
  <w:style w:type="paragraph" w:styleId="Date">
    <w:name w:val="Date"/>
    <w:basedOn w:val="Normal"/>
    <w:next w:val="Normal"/>
    <w:link w:val="DateChar"/>
    <w:unhideWhenUsed/>
    <w:rsid w:val="00DF5B08"/>
    <w:pPr>
      <w:spacing w:after="120" w:line="280" w:lineRule="exact"/>
      <w:jc w:val="both"/>
    </w:pPr>
    <w:rPr>
      <w:rFonts w:ascii="Times New Roman" w:eastAsia="SimSun" w:hAnsi="Times New Roman"/>
      <w:sz w:val="22"/>
      <w:szCs w:val="20"/>
      <w:lang w:val="en-GB"/>
    </w:rPr>
  </w:style>
  <w:style w:type="character" w:customStyle="1" w:styleId="DateChar">
    <w:name w:val="Date Char"/>
    <w:basedOn w:val="DefaultParagraphFont"/>
    <w:link w:val="Date"/>
    <w:rsid w:val="00DF5B08"/>
    <w:rPr>
      <w:rFonts w:ascii="Times New Roman" w:eastAsia="SimSun" w:hAnsi="Times New Roman"/>
      <w:sz w:val="22"/>
      <w:lang w:eastAsia="en-US"/>
    </w:rPr>
  </w:style>
  <w:style w:type="paragraph" w:styleId="MessageHeader">
    <w:name w:val="Message Header"/>
    <w:basedOn w:val="Normal"/>
    <w:link w:val="MessageHeaderChar"/>
    <w:semiHidden/>
    <w:rsid w:val="00DF5B08"/>
    <w:pPr>
      <w:pBdr>
        <w:top w:val="single" w:sz="6" w:space="1" w:color="auto"/>
        <w:left w:val="single" w:sz="6" w:space="1" w:color="auto"/>
        <w:bottom w:val="single" w:sz="6" w:space="1" w:color="auto"/>
        <w:right w:val="single" w:sz="6" w:space="1" w:color="auto"/>
      </w:pBdr>
      <w:shd w:val="pct20" w:color="auto" w:fill="auto"/>
      <w:spacing w:after="120" w:line="280" w:lineRule="exact"/>
      <w:ind w:left="1134" w:hanging="1134"/>
      <w:jc w:val="both"/>
    </w:pPr>
    <w:rPr>
      <w:rFonts w:eastAsia="SimSun" w:cs="Arial"/>
      <w:sz w:val="24"/>
      <w:szCs w:val="24"/>
      <w:lang w:val="en-GB"/>
    </w:rPr>
  </w:style>
  <w:style w:type="character" w:customStyle="1" w:styleId="MessageHeaderChar">
    <w:name w:val="Message Header Char"/>
    <w:basedOn w:val="DefaultParagraphFont"/>
    <w:link w:val="MessageHeader"/>
    <w:semiHidden/>
    <w:rsid w:val="00DF5B08"/>
    <w:rPr>
      <w:rFonts w:ascii="Arial" w:eastAsia="SimSun" w:hAnsi="Arial" w:cs="Arial"/>
      <w:sz w:val="24"/>
      <w:szCs w:val="24"/>
      <w:shd w:val="pct20" w:color="auto" w:fill="auto"/>
      <w:lang w:eastAsia="en-US"/>
    </w:rPr>
  </w:style>
  <w:style w:type="paragraph" w:styleId="DocumentMap">
    <w:name w:val="Document Map"/>
    <w:basedOn w:val="Normal"/>
    <w:link w:val="DocumentMapChar"/>
    <w:semiHidden/>
    <w:rsid w:val="00DF5B08"/>
    <w:pPr>
      <w:shd w:val="clear" w:color="auto" w:fill="000080"/>
      <w:spacing w:after="120" w:line="280" w:lineRule="exact"/>
      <w:jc w:val="both"/>
    </w:pPr>
    <w:rPr>
      <w:rFonts w:ascii="Times New Roman" w:eastAsia="SimSun" w:hAnsi="Times New Roman" w:cs="Tahoma"/>
      <w:sz w:val="22"/>
      <w:szCs w:val="20"/>
      <w:lang w:val="en-GB"/>
    </w:rPr>
  </w:style>
  <w:style w:type="character" w:customStyle="1" w:styleId="DocumentMapChar">
    <w:name w:val="Document Map Char"/>
    <w:basedOn w:val="DefaultParagraphFont"/>
    <w:link w:val="DocumentMap"/>
    <w:semiHidden/>
    <w:rsid w:val="00DF5B08"/>
    <w:rPr>
      <w:rFonts w:ascii="Times New Roman" w:eastAsia="SimSun" w:hAnsi="Times New Roman" w:cs="Tahoma"/>
      <w:sz w:val="22"/>
      <w:shd w:val="clear" w:color="auto" w:fill="000080"/>
      <w:lang w:eastAsia="en-US"/>
    </w:rPr>
  </w:style>
  <w:style w:type="paragraph" w:styleId="Closing">
    <w:name w:val="Closing"/>
    <w:basedOn w:val="Normal"/>
    <w:link w:val="ClosingChar"/>
    <w:semiHidden/>
    <w:rsid w:val="00DF5B08"/>
    <w:pPr>
      <w:spacing w:after="120" w:line="280" w:lineRule="exact"/>
      <w:ind w:left="4252"/>
      <w:jc w:val="both"/>
    </w:pPr>
    <w:rPr>
      <w:rFonts w:ascii="Times New Roman" w:eastAsia="SimSun" w:hAnsi="Times New Roman"/>
      <w:sz w:val="22"/>
      <w:szCs w:val="20"/>
      <w:lang w:val="en-GB"/>
    </w:rPr>
  </w:style>
  <w:style w:type="character" w:customStyle="1" w:styleId="ClosingChar">
    <w:name w:val="Closing Char"/>
    <w:basedOn w:val="DefaultParagraphFont"/>
    <w:link w:val="Closing"/>
    <w:semiHidden/>
    <w:rsid w:val="00DF5B08"/>
    <w:rPr>
      <w:rFonts w:ascii="Times New Roman" w:eastAsia="SimSun" w:hAnsi="Times New Roman"/>
      <w:sz w:val="22"/>
      <w:lang w:eastAsia="en-US"/>
    </w:rPr>
  </w:style>
  <w:style w:type="paragraph" w:styleId="Index2">
    <w:name w:val="index 2"/>
    <w:basedOn w:val="Normal"/>
    <w:next w:val="Normal"/>
    <w:semiHidden/>
    <w:rsid w:val="00DF5B08"/>
    <w:pPr>
      <w:spacing w:after="120" w:line="280" w:lineRule="exact"/>
      <w:ind w:left="440" w:hanging="220"/>
      <w:jc w:val="both"/>
    </w:pPr>
    <w:rPr>
      <w:rFonts w:ascii="Times New Roman" w:eastAsia="SimSun" w:hAnsi="Times New Roman"/>
      <w:sz w:val="22"/>
      <w:szCs w:val="20"/>
      <w:lang w:val="en-GB"/>
    </w:rPr>
  </w:style>
  <w:style w:type="paragraph" w:styleId="Index3">
    <w:name w:val="index 3"/>
    <w:basedOn w:val="Normal"/>
    <w:next w:val="Normal"/>
    <w:semiHidden/>
    <w:rsid w:val="00DF5B08"/>
    <w:pPr>
      <w:spacing w:after="120" w:line="280" w:lineRule="exact"/>
      <w:ind w:left="660" w:hanging="220"/>
      <w:jc w:val="both"/>
    </w:pPr>
    <w:rPr>
      <w:rFonts w:ascii="Times New Roman" w:eastAsia="SimSun" w:hAnsi="Times New Roman"/>
      <w:sz w:val="22"/>
      <w:szCs w:val="20"/>
      <w:lang w:val="en-GB"/>
    </w:rPr>
  </w:style>
  <w:style w:type="paragraph" w:styleId="Index4">
    <w:name w:val="index 4"/>
    <w:basedOn w:val="Normal"/>
    <w:next w:val="Normal"/>
    <w:semiHidden/>
    <w:rsid w:val="00DF5B08"/>
    <w:pPr>
      <w:spacing w:after="120" w:line="280" w:lineRule="exact"/>
      <w:ind w:left="880" w:hanging="220"/>
      <w:jc w:val="both"/>
    </w:pPr>
    <w:rPr>
      <w:rFonts w:ascii="Times New Roman" w:eastAsia="SimSun" w:hAnsi="Times New Roman"/>
      <w:sz w:val="22"/>
      <w:szCs w:val="20"/>
      <w:lang w:val="en-GB"/>
    </w:rPr>
  </w:style>
  <w:style w:type="paragraph" w:styleId="Index5">
    <w:name w:val="index 5"/>
    <w:basedOn w:val="Normal"/>
    <w:next w:val="Normal"/>
    <w:semiHidden/>
    <w:rsid w:val="00DF5B08"/>
    <w:pPr>
      <w:spacing w:after="120" w:line="280" w:lineRule="exact"/>
      <w:ind w:left="1100" w:hanging="220"/>
      <w:jc w:val="both"/>
    </w:pPr>
    <w:rPr>
      <w:rFonts w:ascii="Times New Roman" w:eastAsia="SimSun" w:hAnsi="Times New Roman"/>
      <w:sz w:val="22"/>
      <w:szCs w:val="20"/>
      <w:lang w:val="en-GB"/>
    </w:rPr>
  </w:style>
  <w:style w:type="paragraph" w:styleId="Index6">
    <w:name w:val="index 6"/>
    <w:basedOn w:val="Normal"/>
    <w:next w:val="Normal"/>
    <w:semiHidden/>
    <w:rsid w:val="00DF5B08"/>
    <w:pPr>
      <w:spacing w:after="120" w:line="280" w:lineRule="exact"/>
      <w:ind w:left="1320" w:hanging="220"/>
      <w:jc w:val="both"/>
    </w:pPr>
    <w:rPr>
      <w:rFonts w:ascii="Times New Roman" w:eastAsia="SimSun" w:hAnsi="Times New Roman"/>
      <w:sz w:val="22"/>
      <w:szCs w:val="20"/>
      <w:lang w:val="en-GB"/>
    </w:rPr>
  </w:style>
  <w:style w:type="paragraph" w:styleId="Index7">
    <w:name w:val="index 7"/>
    <w:basedOn w:val="Normal"/>
    <w:next w:val="Normal"/>
    <w:semiHidden/>
    <w:rsid w:val="00DF5B08"/>
    <w:pPr>
      <w:spacing w:after="120" w:line="280" w:lineRule="exact"/>
      <w:ind w:left="1540" w:hanging="220"/>
      <w:jc w:val="both"/>
    </w:pPr>
    <w:rPr>
      <w:rFonts w:ascii="Times New Roman" w:eastAsia="SimSun" w:hAnsi="Times New Roman"/>
      <w:sz w:val="22"/>
      <w:szCs w:val="20"/>
      <w:lang w:val="en-GB"/>
    </w:rPr>
  </w:style>
  <w:style w:type="paragraph" w:styleId="Index8">
    <w:name w:val="index 8"/>
    <w:basedOn w:val="Normal"/>
    <w:next w:val="Normal"/>
    <w:semiHidden/>
    <w:rsid w:val="00DF5B08"/>
    <w:pPr>
      <w:spacing w:after="120" w:line="280" w:lineRule="exact"/>
      <w:ind w:left="1760" w:hanging="220"/>
      <w:jc w:val="both"/>
    </w:pPr>
    <w:rPr>
      <w:rFonts w:ascii="Times New Roman" w:eastAsia="SimSun" w:hAnsi="Times New Roman"/>
      <w:sz w:val="22"/>
      <w:szCs w:val="20"/>
      <w:lang w:val="en-GB"/>
    </w:rPr>
  </w:style>
  <w:style w:type="paragraph" w:styleId="Index9">
    <w:name w:val="index 9"/>
    <w:basedOn w:val="Normal"/>
    <w:next w:val="Normal"/>
    <w:semiHidden/>
    <w:rsid w:val="00DF5B08"/>
    <w:pPr>
      <w:spacing w:after="120" w:line="280" w:lineRule="exact"/>
      <w:ind w:left="1980" w:hanging="220"/>
      <w:jc w:val="both"/>
    </w:pPr>
    <w:rPr>
      <w:rFonts w:ascii="Times New Roman" w:eastAsia="SimSun" w:hAnsi="Times New Roman"/>
      <w:sz w:val="22"/>
      <w:szCs w:val="20"/>
      <w:lang w:val="en-GB"/>
    </w:rPr>
  </w:style>
  <w:style w:type="paragraph" w:styleId="HTMLPreformatted">
    <w:name w:val="HTML Preformatted"/>
    <w:basedOn w:val="Normal"/>
    <w:link w:val="HTMLPreformattedChar"/>
    <w:semiHidden/>
    <w:rsid w:val="00DF5B08"/>
    <w:pPr>
      <w:spacing w:after="120" w:line="280" w:lineRule="exact"/>
      <w:jc w:val="both"/>
    </w:pPr>
    <w:rPr>
      <w:rFonts w:ascii="Courier New" w:eastAsia="SimSun" w:hAnsi="Courier New" w:cs="Courier New"/>
      <w:sz w:val="22"/>
      <w:szCs w:val="20"/>
      <w:lang w:val="en-GB"/>
    </w:rPr>
  </w:style>
  <w:style w:type="character" w:customStyle="1" w:styleId="HTMLPreformattedChar">
    <w:name w:val="HTML Preformatted Char"/>
    <w:basedOn w:val="DefaultParagraphFont"/>
    <w:link w:val="HTMLPreformatted"/>
    <w:semiHidden/>
    <w:rsid w:val="00DF5B08"/>
    <w:rPr>
      <w:rFonts w:ascii="Courier New" w:eastAsia="SimSun" w:hAnsi="Courier New" w:cs="Courier New"/>
      <w:sz w:val="22"/>
      <w:lang w:eastAsia="en-US"/>
    </w:rPr>
  </w:style>
  <w:style w:type="paragraph" w:styleId="BodyTextFirstIndent">
    <w:name w:val="Body Text First Indent"/>
    <w:basedOn w:val="BodyText"/>
    <w:link w:val="BodyTextFirstIndentChar"/>
    <w:semiHidden/>
    <w:rsid w:val="00DF5B08"/>
    <w:pPr>
      <w:spacing w:after="120" w:line="280" w:lineRule="exact"/>
      <w:ind w:firstLine="210"/>
      <w:jc w:val="both"/>
    </w:pPr>
    <w:rPr>
      <w:rFonts w:eastAsia="SimSun"/>
      <w:b w:val="0"/>
      <w:sz w:val="22"/>
      <w:u w:val="none"/>
    </w:rPr>
  </w:style>
  <w:style w:type="character" w:customStyle="1" w:styleId="BodyTextFirstIndentChar">
    <w:name w:val="Body Text First Indent Char"/>
    <w:basedOn w:val="BodyTextChar"/>
    <w:link w:val="BodyTextFirstIndent"/>
    <w:semiHidden/>
    <w:rsid w:val="00DF5B08"/>
    <w:rPr>
      <w:rFonts w:ascii="Times New Roman" w:eastAsia="SimSun" w:hAnsi="Times New Roman"/>
      <w:b w:val="0"/>
      <w:sz w:val="22"/>
      <w:u w:val="single"/>
      <w:lang w:eastAsia="en-US"/>
    </w:rPr>
  </w:style>
  <w:style w:type="paragraph" w:styleId="BodyTextIndent2">
    <w:name w:val="Body Text Indent 2"/>
    <w:basedOn w:val="Normal"/>
    <w:link w:val="BodyTextIndent2Char"/>
    <w:semiHidden/>
    <w:rsid w:val="00DF5B08"/>
    <w:pPr>
      <w:spacing w:after="120" w:line="480" w:lineRule="auto"/>
      <w:ind w:left="283"/>
      <w:jc w:val="both"/>
    </w:pPr>
    <w:rPr>
      <w:rFonts w:ascii="Times New Roman" w:eastAsia="SimSun" w:hAnsi="Times New Roman"/>
      <w:sz w:val="22"/>
      <w:szCs w:val="20"/>
      <w:lang w:val="en-GB"/>
    </w:rPr>
  </w:style>
  <w:style w:type="character" w:customStyle="1" w:styleId="BodyTextIndent2Char">
    <w:name w:val="Body Text Indent 2 Char"/>
    <w:basedOn w:val="DefaultParagraphFont"/>
    <w:link w:val="BodyTextIndent2"/>
    <w:semiHidden/>
    <w:rsid w:val="00DF5B08"/>
    <w:rPr>
      <w:rFonts w:ascii="Times New Roman" w:eastAsia="SimSun" w:hAnsi="Times New Roman"/>
      <w:sz w:val="22"/>
      <w:lang w:eastAsia="en-US"/>
    </w:rPr>
  </w:style>
  <w:style w:type="paragraph" w:styleId="BodyTextIndent3">
    <w:name w:val="Body Text Indent 3"/>
    <w:basedOn w:val="Normal"/>
    <w:link w:val="BodyTextIndent3Char"/>
    <w:semiHidden/>
    <w:rsid w:val="00DF5B08"/>
    <w:pPr>
      <w:spacing w:after="120" w:line="280" w:lineRule="exact"/>
      <w:ind w:left="283"/>
      <w:jc w:val="both"/>
    </w:pPr>
    <w:rPr>
      <w:rFonts w:ascii="Times New Roman" w:eastAsia="SimSun" w:hAnsi="Times New Roman"/>
      <w:sz w:val="16"/>
      <w:szCs w:val="16"/>
      <w:lang w:val="en-GB"/>
    </w:rPr>
  </w:style>
  <w:style w:type="character" w:customStyle="1" w:styleId="BodyTextIndent3Char">
    <w:name w:val="Body Text Indent 3 Char"/>
    <w:basedOn w:val="DefaultParagraphFont"/>
    <w:link w:val="BodyTextIndent3"/>
    <w:semiHidden/>
    <w:rsid w:val="00DF5B08"/>
    <w:rPr>
      <w:rFonts w:ascii="Times New Roman" w:eastAsia="SimSun" w:hAnsi="Times New Roman"/>
      <w:sz w:val="16"/>
      <w:szCs w:val="16"/>
      <w:lang w:eastAsia="en-US"/>
    </w:rPr>
  </w:style>
  <w:style w:type="paragraph" w:styleId="BodyTextFirstIndent2">
    <w:name w:val="Body Text First Indent 2"/>
    <w:basedOn w:val="BodyTextIndent"/>
    <w:link w:val="BodyTextFirstIndent2Char"/>
    <w:semiHidden/>
    <w:rsid w:val="00DF5B08"/>
    <w:pPr>
      <w:tabs>
        <w:tab w:val="clear" w:pos="570"/>
      </w:tabs>
      <w:spacing w:after="120" w:line="280" w:lineRule="exact"/>
      <w:ind w:left="442" w:firstLine="210"/>
    </w:pPr>
    <w:rPr>
      <w:rFonts w:eastAsia="SimSun"/>
      <w:szCs w:val="20"/>
      <w:lang w:eastAsia="en-US"/>
    </w:rPr>
  </w:style>
  <w:style w:type="character" w:customStyle="1" w:styleId="BodyTextFirstIndent2Char">
    <w:name w:val="Body Text First Indent 2 Char"/>
    <w:basedOn w:val="BodyTextIndentChar"/>
    <w:link w:val="BodyTextFirstIndent2"/>
    <w:semiHidden/>
    <w:rsid w:val="00DF5B08"/>
    <w:rPr>
      <w:rFonts w:ascii="Times New Roman" w:eastAsia="SimSun" w:hAnsi="Times New Roman"/>
      <w:sz w:val="22"/>
      <w:szCs w:val="24"/>
      <w:lang w:eastAsia="en-US"/>
    </w:rPr>
  </w:style>
  <w:style w:type="paragraph" w:styleId="NormalIndent">
    <w:name w:val="Normal Indent"/>
    <w:basedOn w:val="Normal"/>
    <w:semiHidden/>
    <w:rsid w:val="00DF5B08"/>
    <w:pPr>
      <w:spacing w:after="120" w:line="280" w:lineRule="exact"/>
      <w:ind w:left="708"/>
      <w:jc w:val="both"/>
    </w:pPr>
    <w:rPr>
      <w:rFonts w:ascii="Times New Roman" w:eastAsia="SimSun" w:hAnsi="Times New Roman"/>
      <w:sz w:val="22"/>
      <w:szCs w:val="20"/>
      <w:lang w:val="en-GB"/>
    </w:rPr>
  </w:style>
  <w:style w:type="paragraph" w:styleId="Salutation">
    <w:name w:val="Salutation"/>
    <w:basedOn w:val="Normal"/>
    <w:next w:val="Normal"/>
    <w:link w:val="SalutationChar"/>
    <w:semiHidden/>
    <w:rsid w:val="00DF5B08"/>
    <w:pPr>
      <w:spacing w:after="120" w:line="280" w:lineRule="exact"/>
      <w:jc w:val="both"/>
    </w:pPr>
    <w:rPr>
      <w:rFonts w:ascii="Times New Roman" w:eastAsia="SimSun" w:hAnsi="Times New Roman"/>
      <w:sz w:val="22"/>
      <w:szCs w:val="20"/>
      <w:lang w:val="en-GB"/>
    </w:rPr>
  </w:style>
  <w:style w:type="character" w:customStyle="1" w:styleId="SalutationChar">
    <w:name w:val="Salutation Char"/>
    <w:basedOn w:val="DefaultParagraphFont"/>
    <w:link w:val="Salutation"/>
    <w:semiHidden/>
    <w:rsid w:val="00DF5B08"/>
    <w:rPr>
      <w:rFonts w:ascii="Times New Roman" w:eastAsia="SimSun" w:hAnsi="Times New Roman"/>
      <w:sz w:val="22"/>
      <w:lang w:eastAsia="en-US"/>
    </w:rPr>
  </w:style>
  <w:style w:type="paragraph" w:styleId="Signature">
    <w:name w:val="Signature"/>
    <w:basedOn w:val="Normal"/>
    <w:link w:val="SignatureChar"/>
    <w:semiHidden/>
    <w:rsid w:val="00DF5B08"/>
    <w:pPr>
      <w:spacing w:after="120" w:line="280" w:lineRule="exact"/>
      <w:ind w:left="4252"/>
      <w:jc w:val="both"/>
    </w:pPr>
    <w:rPr>
      <w:rFonts w:ascii="Times New Roman" w:eastAsia="SimSun" w:hAnsi="Times New Roman"/>
      <w:sz w:val="22"/>
      <w:szCs w:val="20"/>
      <w:lang w:val="en-GB"/>
    </w:rPr>
  </w:style>
  <w:style w:type="character" w:customStyle="1" w:styleId="SignatureChar">
    <w:name w:val="Signature Char"/>
    <w:basedOn w:val="DefaultParagraphFont"/>
    <w:link w:val="Signature"/>
    <w:semiHidden/>
    <w:rsid w:val="00DF5B08"/>
    <w:rPr>
      <w:rFonts w:ascii="Times New Roman" w:eastAsia="SimSun" w:hAnsi="Times New Roman"/>
      <w:sz w:val="22"/>
      <w:lang w:eastAsia="en-US"/>
    </w:rPr>
  </w:style>
  <w:style w:type="paragraph" w:styleId="E-mailSignature">
    <w:name w:val="E-mail Signature"/>
    <w:basedOn w:val="Normal"/>
    <w:link w:val="E-mailSignatureChar"/>
    <w:semiHidden/>
    <w:rsid w:val="00DF5B08"/>
    <w:pPr>
      <w:spacing w:after="120" w:line="280" w:lineRule="exact"/>
      <w:jc w:val="both"/>
    </w:pPr>
    <w:rPr>
      <w:rFonts w:ascii="Times New Roman" w:eastAsia="SimSun" w:hAnsi="Times New Roman"/>
      <w:sz w:val="22"/>
      <w:szCs w:val="20"/>
      <w:lang w:val="en-GB"/>
    </w:rPr>
  </w:style>
  <w:style w:type="character" w:customStyle="1" w:styleId="E-mailSignatureChar">
    <w:name w:val="E-mail Signature Char"/>
    <w:basedOn w:val="DefaultParagraphFont"/>
    <w:link w:val="E-mailSignature"/>
    <w:semiHidden/>
    <w:rsid w:val="00DF5B08"/>
    <w:rPr>
      <w:rFonts w:ascii="Times New Roman" w:eastAsia="SimSun" w:hAnsi="Times New Roman"/>
      <w:sz w:val="22"/>
      <w:lang w:eastAsia="en-US"/>
    </w:rPr>
  </w:style>
  <w:style w:type="paragraph" w:styleId="TableofFigures">
    <w:name w:val="table of figures"/>
    <w:basedOn w:val="Normal"/>
    <w:next w:val="Normal"/>
    <w:uiPriority w:val="99"/>
    <w:unhideWhenUsed/>
    <w:rsid w:val="00DF5B08"/>
    <w:pPr>
      <w:tabs>
        <w:tab w:val="right" w:leader="dot" w:pos="9072"/>
      </w:tabs>
      <w:spacing w:after="120" w:line="280" w:lineRule="exact"/>
      <w:ind w:left="442" w:hanging="442"/>
      <w:jc w:val="both"/>
    </w:pPr>
    <w:rPr>
      <w:rFonts w:ascii="Times New Roman" w:eastAsia="SimSun" w:hAnsi="Times New Roman"/>
      <w:sz w:val="22"/>
      <w:szCs w:val="20"/>
      <w:lang w:val="en-GB"/>
    </w:rPr>
  </w:style>
  <w:style w:type="paragraph" w:styleId="TableofAuthorities">
    <w:name w:val="table of authorities"/>
    <w:basedOn w:val="Normal"/>
    <w:next w:val="Normal"/>
    <w:semiHidden/>
    <w:rsid w:val="00DF5B08"/>
    <w:pPr>
      <w:spacing w:after="120" w:line="280" w:lineRule="exact"/>
      <w:ind w:left="220" w:hanging="220"/>
      <w:jc w:val="both"/>
    </w:pPr>
    <w:rPr>
      <w:rFonts w:ascii="Times New Roman" w:eastAsia="SimSun" w:hAnsi="Times New Roman"/>
      <w:sz w:val="22"/>
      <w:szCs w:val="20"/>
      <w:lang w:val="en-GB"/>
    </w:rPr>
  </w:style>
  <w:style w:type="paragraph" w:styleId="MacroText">
    <w:name w:val="macro"/>
    <w:link w:val="MacroTextChar"/>
    <w:semiHidden/>
    <w:rsid w:val="00DF5B08"/>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eastAsia="zh-CN"/>
    </w:rPr>
  </w:style>
  <w:style w:type="character" w:customStyle="1" w:styleId="MacroTextChar">
    <w:name w:val="Macro Text Char"/>
    <w:basedOn w:val="DefaultParagraphFont"/>
    <w:link w:val="MacroText"/>
    <w:semiHidden/>
    <w:rsid w:val="00DF5B08"/>
    <w:rPr>
      <w:rFonts w:ascii="Courier New" w:eastAsia="SimSun" w:hAnsi="Courier New" w:cs="Courier New"/>
      <w:position w:val="6"/>
      <w:lang w:eastAsia="zh-CN"/>
    </w:rPr>
  </w:style>
  <w:style w:type="paragraph" w:styleId="NoteHeading">
    <w:name w:val="Note Heading"/>
    <w:basedOn w:val="Normal"/>
    <w:next w:val="Normal"/>
    <w:link w:val="NoteHeadingChar"/>
    <w:semiHidden/>
    <w:rsid w:val="00DF5B08"/>
    <w:pPr>
      <w:spacing w:after="120" w:line="280" w:lineRule="exact"/>
      <w:jc w:val="both"/>
    </w:pPr>
    <w:rPr>
      <w:rFonts w:ascii="Times New Roman" w:eastAsia="SimSun" w:hAnsi="Times New Roman"/>
      <w:sz w:val="22"/>
      <w:szCs w:val="20"/>
      <w:lang w:val="en-GB"/>
    </w:rPr>
  </w:style>
  <w:style w:type="character" w:customStyle="1" w:styleId="NoteHeadingChar">
    <w:name w:val="Note Heading Char"/>
    <w:basedOn w:val="DefaultParagraphFont"/>
    <w:link w:val="NoteHeading"/>
    <w:semiHidden/>
    <w:rsid w:val="00DF5B08"/>
    <w:rPr>
      <w:rFonts w:ascii="Times New Roman" w:eastAsia="SimSun" w:hAnsi="Times New Roman"/>
      <w:sz w:val="22"/>
      <w:lang w:eastAsia="en-US"/>
    </w:rPr>
  </w:style>
  <w:style w:type="paragraph" w:styleId="TOAHeading">
    <w:name w:val="toa heading"/>
    <w:basedOn w:val="Normal"/>
    <w:next w:val="Normal"/>
    <w:semiHidden/>
    <w:rsid w:val="00DF5B08"/>
    <w:pPr>
      <w:spacing w:before="120" w:after="120" w:line="280" w:lineRule="exact"/>
      <w:jc w:val="both"/>
    </w:pPr>
    <w:rPr>
      <w:rFonts w:eastAsia="SimSun" w:cs="Arial"/>
      <w:b/>
      <w:bCs/>
      <w:sz w:val="24"/>
      <w:szCs w:val="24"/>
      <w:lang w:val="en-GB"/>
    </w:rPr>
  </w:style>
  <w:style w:type="paragraph" w:styleId="Bibliography">
    <w:name w:val="Bibliography"/>
    <w:basedOn w:val="Normal"/>
    <w:next w:val="Normal"/>
    <w:uiPriority w:val="37"/>
    <w:unhideWhenUsed/>
    <w:rsid w:val="00DF5B08"/>
    <w:pPr>
      <w:spacing w:after="120" w:line="280" w:lineRule="exact"/>
      <w:ind w:left="284" w:hanging="284"/>
      <w:jc w:val="both"/>
    </w:pPr>
    <w:rPr>
      <w:rFonts w:ascii="Times New Roman" w:eastAsia="SimSun" w:hAnsi="Times New Roman"/>
      <w:sz w:val="22"/>
      <w:szCs w:val="20"/>
      <w:lang w:val="en-GB"/>
    </w:rPr>
  </w:style>
  <w:style w:type="paragraph" w:customStyle="1" w:styleId="IntenseQuote1">
    <w:name w:val="Intense Quote1"/>
    <w:basedOn w:val="Normal"/>
    <w:next w:val="Normal"/>
    <w:uiPriority w:val="30"/>
    <w:semiHidden/>
    <w:rsid w:val="00DF5B08"/>
    <w:pPr>
      <w:pBdr>
        <w:top w:val="single" w:sz="4" w:space="10" w:color="404040"/>
        <w:bottom w:val="single" w:sz="4" w:space="10" w:color="404040"/>
      </w:pBdr>
      <w:spacing w:before="360" w:after="360" w:line="280" w:lineRule="exact"/>
      <w:ind w:left="864" w:right="864"/>
      <w:jc w:val="center"/>
    </w:pPr>
    <w:rPr>
      <w:rFonts w:ascii="Times New Roman" w:eastAsia="SimSun" w:hAnsi="Times New Roman"/>
      <w:i/>
      <w:iCs/>
      <w:color w:val="404040"/>
      <w:sz w:val="22"/>
      <w:szCs w:val="20"/>
      <w:lang w:val="en-GB"/>
    </w:rPr>
  </w:style>
  <w:style w:type="character" w:customStyle="1" w:styleId="IntenseQuoteChar">
    <w:name w:val="Intense Quote Char"/>
    <w:basedOn w:val="DefaultParagraphFont"/>
    <w:link w:val="IntenseQuote"/>
    <w:uiPriority w:val="30"/>
    <w:rsid w:val="00DF5B08"/>
    <w:rPr>
      <w:i/>
      <w:iCs/>
      <w:color w:val="404040"/>
    </w:rPr>
  </w:style>
  <w:style w:type="paragraph" w:styleId="Quote">
    <w:name w:val="Quote"/>
    <w:aliases w:val="Quotation (long)"/>
    <w:basedOn w:val="Normal"/>
    <w:link w:val="QuoteChar"/>
    <w:uiPriority w:val="11"/>
    <w:qFormat/>
    <w:rsid w:val="00DF5B08"/>
    <w:pPr>
      <w:spacing w:after="120" w:line="280" w:lineRule="exact"/>
      <w:ind w:left="1021" w:right="1021"/>
      <w:jc w:val="both"/>
    </w:pPr>
    <w:rPr>
      <w:rFonts w:ascii="Times New Roman" w:eastAsia="SimSun" w:hAnsi="Times New Roman"/>
      <w:i/>
      <w:iCs/>
      <w:color w:val="404040"/>
      <w:sz w:val="22"/>
      <w:szCs w:val="20"/>
      <w:lang w:val="en-GB"/>
    </w:rPr>
  </w:style>
  <w:style w:type="character" w:customStyle="1" w:styleId="QuoteChar">
    <w:name w:val="Quote Char"/>
    <w:aliases w:val="Quotation (long) Char"/>
    <w:basedOn w:val="DefaultParagraphFont"/>
    <w:link w:val="Quote"/>
    <w:uiPriority w:val="11"/>
    <w:rsid w:val="00DF5B08"/>
    <w:rPr>
      <w:rFonts w:ascii="Times New Roman" w:eastAsia="SimSun" w:hAnsi="Times New Roman"/>
      <w:i/>
      <w:iCs/>
      <w:color w:val="404040"/>
      <w:sz w:val="22"/>
      <w:lang w:eastAsia="en-US"/>
    </w:rPr>
  </w:style>
  <w:style w:type="paragraph" w:customStyle="1" w:styleId="Quotationshort">
    <w:name w:val="Quotation (short)"/>
    <w:basedOn w:val="Normal"/>
    <w:link w:val="QuotationshortChar"/>
    <w:uiPriority w:val="11"/>
    <w:qFormat/>
    <w:rsid w:val="00DF5B08"/>
    <w:pPr>
      <w:spacing w:after="120" w:line="280" w:lineRule="exact"/>
      <w:jc w:val="both"/>
    </w:pPr>
    <w:rPr>
      <w:rFonts w:ascii="Times New Roman" w:eastAsia="SimSun" w:hAnsi="Times New Roman"/>
      <w:i/>
      <w:color w:val="FF0000"/>
      <w:sz w:val="22"/>
      <w:szCs w:val="20"/>
      <w:lang w:val="en-GB"/>
    </w:rPr>
  </w:style>
  <w:style w:type="character" w:customStyle="1" w:styleId="QuotationshortChar">
    <w:name w:val="Quotation (short) Char"/>
    <w:basedOn w:val="DefaultParagraphFont"/>
    <w:link w:val="Quotationshort"/>
    <w:uiPriority w:val="11"/>
    <w:rsid w:val="00DF5B08"/>
    <w:rPr>
      <w:rFonts w:ascii="Times New Roman" w:eastAsia="SimSun" w:hAnsi="Times New Roman"/>
      <w:i/>
      <w:color w:val="FF0000"/>
      <w:sz w:val="22"/>
      <w:lang w:eastAsia="en-US"/>
    </w:rPr>
  </w:style>
  <w:style w:type="character" w:customStyle="1" w:styleId="Hyperlink1">
    <w:name w:val="Hyperlink1"/>
    <w:basedOn w:val="DefaultParagraphFont"/>
    <w:uiPriority w:val="99"/>
    <w:unhideWhenUsed/>
    <w:rsid w:val="00DF5B08"/>
    <w:rPr>
      <w:color w:val="2B3ECD"/>
      <w:u w:val="single"/>
    </w:rPr>
  </w:style>
  <w:style w:type="character" w:customStyle="1" w:styleId="FollowedHyperlink1">
    <w:name w:val="FollowedHyperlink1"/>
    <w:basedOn w:val="DefaultParagraphFont"/>
    <w:uiPriority w:val="99"/>
    <w:semiHidden/>
    <w:unhideWhenUsed/>
    <w:rsid w:val="00DF5B08"/>
    <w:rPr>
      <w:color w:val="800080"/>
      <w:u w:val="single"/>
    </w:rPr>
  </w:style>
  <w:style w:type="character" w:customStyle="1" w:styleId="SubtleEmphasis1">
    <w:name w:val="Subtle Emphasis1"/>
    <w:basedOn w:val="DefaultParagraphFont"/>
    <w:uiPriority w:val="19"/>
    <w:semiHidden/>
    <w:rsid w:val="00DF5B08"/>
    <w:rPr>
      <w:i/>
      <w:iCs/>
      <w:color w:val="404040"/>
    </w:rPr>
  </w:style>
  <w:style w:type="character" w:styleId="IntenseEmphasis">
    <w:name w:val="Intense Emphasis"/>
    <w:basedOn w:val="DefaultParagraphFont"/>
    <w:uiPriority w:val="21"/>
    <w:rsid w:val="00DF5B08"/>
    <w:rPr>
      <w:b/>
      <w:bCs/>
      <w:i/>
      <w:iCs/>
      <w:color w:val="auto"/>
    </w:rPr>
  </w:style>
  <w:style w:type="character" w:customStyle="1" w:styleId="SubtleReference1">
    <w:name w:val="Subtle Reference1"/>
    <w:basedOn w:val="DefaultParagraphFont"/>
    <w:uiPriority w:val="31"/>
    <w:semiHidden/>
    <w:rsid w:val="00DF5B08"/>
    <w:rPr>
      <w:smallCaps/>
      <w:color w:val="404040"/>
    </w:rPr>
  </w:style>
  <w:style w:type="character" w:customStyle="1" w:styleId="IntenseReference1">
    <w:name w:val="Intense Reference1"/>
    <w:basedOn w:val="DefaultParagraphFont"/>
    <w:uiPriority w:val="32"/>
    <w:semiHidden/>
    <w:rsid w:val="00DF5B08"/>
    <w:rPr>
      <w:b/>
      <w:bCs/>
      <w:smallCaps/>
      <w:color w:val="404040"/>
      <w:spacing w:val="5"/>
    </w:rPr>
  </w:style>
  <w:style w:type="paragraph" w:customStyle="1" w:styleId="CancelreplaceCoverpage">
    <w:name w:val="Cancel &amp; replace (Cover page)"/>
    <w:basedOn w:val="Normal"/>
    <w:uiPriority w:val="99"/>
    <w:unhideWhenUsed/>
    <w:rsid w:val="00DF5B08"/>
    <w:pPr>
      <w:autoSpaceDE w:val="0"/>
      <w:autoSpaceDN w:val="0"/>
      <w:adjustRightInd w:val="0"/>
      <w:spacing w:after="227" w:line="360" w:lineRule="atLeast"/>
      <w:jc w:val="both"/>
      <w:textAlignment w:val="center"/>
    </w:pPr>
    <w:rPr>
      <w:rFonts w:ascii="Times New Roman" w:eastAsia="SimSun" w:hAnsi="Times New Roman" w:cs="Bernini Sans Light"/>
      <w:b/>
      <w:position w:val="6"/>
      <w:sz w:val="22"/>
      <w:szCs w:val="28"/>
    </w:rPr>
  </w:style>
  <w:style w:type="character" w:customStyle="1" w:styleId="HeaderTitle">
    <w:name w:val="Header Title"/>
    <w:uiPriority w:val="99"/>
    <w:unhideWhenUsed/>
    <w:rsid w:val="00DF5B08"/>
    <w:rPr>
      <w:sz w:val="18"/>
    </w:rPr>
  </w:style>
  <w:style w:type="paragraph" w:customStyle="1" w:styleId="Para">
    <w:name w:val="Para #"/>
    <w:basedOn w:val="Normal"/>
    <w:link w:val="ParaChar"/>
    <w:uiPriority w:val="4"/>
    <w:qFormat/>
    <w:rsid w:val="00DF5B08"/>
    <w:pPr>
      <w:numPr>
        <w:numId w:val="20"/>
      </w:numPr>
      <w:tabs>
        <w:tab w:val="clear" w:pos="0"/>
      </w:tabs>
      <w:spacing w:before="120" w:after="120" w:line="280" w:lineRule="exact"/>
      <w:jc w:val="both"/>
    </w:pPr>
    <w:rPr>
      <w:rFonts w:ascii="Cambria" w:eastAsia="SimSun" w:hAnsi="Cambria"/>
      <w:sz w:val="22"/>
      <w:szCs w:val="20"/>
      <w:lang w:val="en-GB"/>
    </w:rPr>
  </w:style>
  <w:style w:type="character" w:customStyle="1" w:styleId="ParaChar">
    <w:name w:val="Para # Char"/>
    <w:basedOn w:val="DefaultParagraphFont"/>
    <w:link w:val="Para"/>
    <w:uiPriority w:val="4"/>
    <w:rsid w:val="00DF5B08"/>
    <w:rPr>
      <w:rFonts w:ascii="Cambria" w:eastAsia="SimSun" w:hAnsi="Cambria"/>
      <w:sz w:val="22"/>
      <w:lang w:eastAsia="en-US"/>
    </w:rPr>
  </w:style>
  <w:style w:type="paragraph" w:customStyle="1" w:styleId="Para0">
    <w:name w:val="Para #.#"/>
    <w:basedOn w:val="Para"/>
    <w:uiPriority w:val="5"/>
    <w:rsid w:val="00DF5B08"/>
    <w:pPr>
      <w:numPr>
        <w:ilvl w:val="1"/>
        <w:numId w:val="21"/>
      </w:numPr>
      <w:tabs>
        <w:tab w:val="clear" w:pos="454"/>
        <w:tab w:val="num" w:pos="408"/>
      </w:tabs>
      <w:ind w:left="680" w:hanging="360"/>
    </w:pPr>
    <w:rPr>
      <w:rFonts w:eastAsia="Caecilia LT Std Roman"/>
      <w:lang w:val="fr-FR"/>
    </w:rPr>
  </w:style>
  <w:style w:type="character" w:customStyle="1" w:styleId="HeaderCoteChar">
    <w:name w:val="Header Cote (Char)"/>
    <w:basedOn w:val="DefaultParagraphFont"/>
    <w:uiPriority w:val="1"/>
    <w:unhideWhenUsed/>
    <w:rsid w:val="00DF5B08"/>
    <w:rPr>
      <w:rFonts w:ascii="Times New Roman" w:hAnsi="Times New Roman"/>
      <w:b w:val="0"/>
      <w:spacing w:val="0"/>
      <w:sz w:val="22"/>
    </w:rPr>
  </w:style>
  <w:style w:type="character" w:customStyle="1" w:styleId="HeaderClassificationChar">
    <w:name w:val="Header Classification (Char)"/>
    <w:basedOn w:val="DefaultParagraphFont"/>
    <w:uiPriority w:val="1"/>
    <w:unhideWhenUsed/>
    <w:rsid w:val="00DF5B08"/>
    <w:rPr>
      <w:rFonts w:ascii="Times New Roman" w:hAnsi="Times New Roman"/>
      <w:b w:val="0"/>
      <w:caps w:val="0"/>
      <w:smallCaps w:val="0"/>
      <w:spacing w:val="0"/>
      <w:sz w:val="16"/>
    </w:rPr>
  </w:style>
  <w:style w:type="numbering" w:customStyle="1" w:styleId="1Paragraphlist">
    <w:name w:val="1. Paragraph list"/>
    <w:uiPriority w:val="99"/>
    <w:rsid w:val="00DF5B08"/>
    <w:pPr>
      <w:numPr>
        <w:numId w:val="19"/>
      </w:numPr>
    </w:pPr>
  </w:style>
  <w:style w:type="paragraph" w:customStyle="1" w:styleId="CoverTitle">
    <w:name w:val="CoverTitle"/>
    <w:basedOn w:val="CoverNormal"/>
    <w:link w:val="CoverTitleChar"/>
    <w:unhideWhenUsed/>
    <w:rsid w:val="00DF5B08"/>
    <w:rPr>
      <w:b/>
      <w:sz w:val="24"/>
    </w:rPr>
  </w:style>
  <w:style w:type="paragraph" w:customStyle="1" w:styleId="CoverSubTitle">
    <w:name w:val="CoverSubTitle"/>
    <w:basedOn w:val="CoverNormal"/>
    <w:link w:val="CoverSubTitleChar"/>
    <w:unhideWhenUsed/>
    <w:rsid w:val="00DF5B08"/>
    <w:rPr>
      <w:b/>
    </w:rPr>
  </w:style>
  <w:style w:type="character" w:customStyle="1" w:styleId="CoverTitleChar">
    <w:name w:val="CoverTitle Char"/>
    <w:basedOn w:val="DefaultParagraphFont"/>
    <w:link w:val="CoverTitle"/>
    <w:rsid w:val="00DF5B08"/>
    <w:rPr>
      <w:rFonts w:ascii="Times New Roman" w:eastAsia="SimSun" w:hAnsi="Times New Roman"/>
      <w:b/>
      <w:sz w:val="24"/>
      <w:lang w:eastAsia="en-US"/>
    </w:rPr>
  </w:style>
  <w:style w:type="paragraph" w:customStyle="1" w:styleId="CoverCancel">
    <w:name w:val="CoverCancel"/>
    <w:basedOn w:val="CoverNormal"/>
    <w:link w:val="CoverCancelChar"/>
    <w:unhideWhenUsed/>
    <w:rsid w:val="00DF5B08"/>
    <w:pPr>
      <w:spacing w:before="240" w:line="312" w:lineRule="auto"/>
      <w:jc w:val="center"/>
    </w:pPr>
    <w:rPr>
      <w:b/>
      <w:szCs w:val="24"/>
    </w:rPr>
  </w:style>
  <w:style w:type="character" w:customStyle="1" w:styleId="CoverSubTitleChar">
    <w:name w:val="CoverSubTitle Char"/>
    <w:basedOn w:val="DefaultParagraphFont"/>
    <w:link w:val="CoverSubTitle"/>
    <w:rsid w:val="00DF5B08"/>
    <w:rPr>
      <w:rFonts w:ascii="Times New Roman" w:eastAsia="SimSun" w:hAnsi="Times New Roman"/>
      <w:b/>
      <w:sz w:val="22"/>
      <w:lang w:eastAsia="en-US"/>
    </w:rPr>
  </w:style>
  <w:style w:type="character" w:customStyle="1" w:styleId="CoverCancelChar">
    <w:name w:val="CoverCancel Char"/>
    <w:basedOn w:val="DefaultParagraphFont"/>
    <w:link w:val="CoverCancel"/>
    <w:rsid w:val="00DF5B08"/>
    <w:rPr>
      <w:rFonts w:ascii="Times New Roman" w:eastAsia="SimSun" w:hAnsi="Times New Roman"/>
      <w:b/>
      <w:sz w:val="22"/>
      <w:szCs w:val="24"/>
      <w:lang w:eastAsia="en-US"/>
    </w:rPr>
  </w:style>
  <w:style w:type="character" w:customStyle="1" w:styleId="CoverCote">
    <w:name w:val="CoverCote"/>
    <w:basedOn w:val="DefaultParagraphFont"/>
    <w:uiPriority w:val="1"/>
    <w:unhideWhenUsed/>
    <w:rsid w:val="00DF5B08"/>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unhideWhenUsed/>
    <w:rsid w:val="00DF5B08"/>
    <w:pPr>
      <w:spacing w:after="120" w:line="280" w:lineRule="exact"/>
      <w:jc w:val="both"/>
    </w:pPr>
    <w:rPr>
      <w:rFonts w:ascii="Times New Roman" w:eastAsia="SimSun" w:hAnsi="Times New Roman"/>
      <w:sz w:val="22"/>
      <w:szCs w:val="20"/>
      <w:lang w:val="en-GB"/>
    </w:rPr>
  </w:style>
  <w:style w:type="character" w:customStyle="1" w:styleId="CoverNormalChar">
    <w:name w:val="CoverNormal Char"/>
    <w:basedOn w:val="DefaultParagraphFont"/>
    <w:link w:val="CoverNormal"/>
    <w:rsid w:val="00DF5B08"/>
    <w:rPr>
      <w:rFonts w:ascii="Times New Roman" w:eastAsia="SimSun" w:hAnsi="Times New Roman"/>
      <w:sz w:val="22"/>
      <w:lang w:eastAsia="en-US"/>
    </w:rPr>
  </w:style>
  <w:style w:type="table" w:customStyle="1" w:styleId="TableGrid10">
    <w:name w:val="Table Grid1"/>
    <w:basedOn w:val="TableNormal"/>
    <w:next w:val="TableGrid"/>
    <w:uiPriority w:val="59"/>
    <w:rsid w:val="00DF5B08"/>
    <w:pPr>
      <w:jc w:val="both"/>
    </w:pPr>
    <w:rPr>
      <w:rFonts w:ascii="Georgia" w:eastAsiaTheme="minorHAnsi" w:hAnsi="Georgia"/>
      <w:position w:val="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unhideWhenUsed/>
    <w:rsid w:val="00DF5B08"/>
    <w:rPr>
      <w:b/>
      <w:color w:val="000000" w:themeColor="text1"/>
    </w:rPr>
  </w:style>
  <w:style w:type="character" w:customStyle="1" w:styleId="CoverDirectorateChar">
    <w:name w:val="CoverDirectorate Char"/>
    <w:basedOn w:val="CoverNormalChar"/>
    <w:link w:val="CoverDirectorate"/>
    <w:rsid w:val="00DF5B08"/>
    <w:rPr>
      <w:rFonts w:ascii="Times New Roman" w:eastAsia="SimSun" w:hAnsi="Times New Roman"/>
      <w:b/>
      <w:color w:val="000000" w:themeColor="text1"/>
      <w:sz w:val="22"/>
      <w:lang w:eastAsia="en-US"/>
    </w:rPr>
  </w:style>
  <w:style w:type="paragraph" w:customStyle="1" w:styleId="CoverAbstract">
    <w:name w:val="CoverAbstract"/>
    <w:basedOn w:val="CoverNormal"/>
    <w:link w:val="CoverAbstractChar"/>
    <w:unhideWhenUsed/>
    <w:rsid w:val="00DF5B08"/>
    <w:rPr>
      <w:rFonts w:cs="Arial"/>
      <w:b/>
      <w:szCs w:val="24"/>
    </w:rPr>
  </w:style>
  <w:style w:type="paragraph" w:customStyle="1" w:styleId="CoverDisclaimer">
    <w:name w:val="CoverDisclaimer"/>
    <w:basedOn w:val="Footer"/>
    <w:unhideWhenUsed/>
    <w:rsid w:val="00DF5B08"/>
    <w:pPr>
      <w:tabs>
        <w:tab w:val="clear" w:pos="4513"/>
        <w:tab w:val="clear" w:pos="9026"/>
      </w:tabs>
      <w:spacing w:after="120" w:line="312" w:lineRule="auto"/>
      <w:jc w:val="both"/>
    </w:pPr>
    <w:rPr>
      <w:rFonts w:ascii="Times New Roman" w:eastAsia="SimSun" w:hAnsi="Times New Roman"/>
      <w:b/>
      <w:i/>
      <w:color w:val="000000" w:themeColor="text1"/>
      <w:sz w:val="16"/>
      <w:szCs w:val="16"/>
      <w:lang w:val="en-GB"/>
    </w:rPr>
  </w:style>
  <w:style w:type="character" w:customStyle="1" w:styleId="CoverAbstractChar">
    <w:name w:val="CoverAbstract Char"/>
    <w:basedOn w:val="DefaultParagraphFont"/>
    <w:link w:val="CoverAbstract"/>
    <w:rsid w:val="00DF5B08"/>
    <w:rPr>
      <w:rFonts w:ascii="Times New Roman" w:eastAsia="SimSun" w:hAnsi="Times New Roman" w:cs="Arial"/>
      <w:b/>
      <w:sz w:val="22"/>
      <w:szCs w:val="24"/>
      <w:lang w:eastAsia="en-US"/>
    </w:rPr>
  </w:style>
  <w:style w:type="paragraph" w:customStyle="1" w:styleId="CoverJobTicket">
    <w:name w:val="CoverJobTicket"/>
    <w:basedOn w:val="CoverNormal"/>
    <w:unhideWhenUsed/>
    <w:rsid w:val="00DF5B08"/>
    <w:rPr>
      <w:b/>
    </w:rPr>
  </w:style>
  <w:style w:type="paragraph" w:customStyle="1" w:styleId="CoverDate">
    <w:name w:val="CoverDate"/>
    <w:basedOn w:val="CoverNormal"/>
    <w:link w:val="CoverDateChar"/>
    <w:unhideWhenUsed/>
    <w:rsid w:val="00DF5B08"/>
    <w:pPr>
      <w:widowControl w:val="0"/>
      <w:autoSpaceDE w:val="0"/>
      <w:autoSpaceDN w:val="0"/>
      <w:snapToGrid w:val="0"/>
      <w:jc w:val="right"/>
    </w:pPr>
    <w:rPr>
      <w:b/>
      <w:sz w:val="18"/>
    </w:rPr>
  </w:style>
  <w:style w:type="character" w:styleId="PlaceholderText">
    <w:name w:val="Placeholder Text"/>
    <w:basedOn w:val="DefaultParagraphFont"/>
    <w:uiPriority w:val="99"/>
    <w:semiHidden/>
    <w:rsid w:val="00DF5B08"/>
    <w:rPr>
      <w:color w:val="808080"/>
    </w:rPr>
  </w:style>
  <w:style w:type="table" w:customStyle="1" w:styleId="TableGridLight1">
    <w:name w:val="Table Grid Light1"/>
    <w:basedOn w:val="TableNormal"/>
    <w:next w:val="TableGridLight2"/>
    <w:uiPriority w:val="40"/>
    <w:rsid w:val="00DF5B08"/>
    <w:pPr>
      <w:jc w:val="both"/>
    </w:pPr>
    <w:rPr>
      <w:rFonts w:ascii="Georgia" w:eastAsiaTheme="minorHAnsi" w:hAnsi="Georgia"/>
      <w:position w:val="6"/>
      <w:lang w:val="fr-FR"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1">
    <w:name w:val="Para"/>
    <w:basedOn w:val="Normal"/>
    <w:uiPriority w:val="3"/>
    <w:qFormat/>
    <w:rsid w:val="00DF5B08"/>
    <w:pPr>
      <w:spacing w:before="120" w:after="120" w:line="280" w:lineRule="exact"/>
      <w:ind w:left="680" w:right="680"/>
      <w:jc w:val="both"/>
    </w:pPr>
    <w:rPr>
      <w:rFonts w:ascii="Times New Roman" w:eastAsia="SimSun" w:hAnsi="Times New Roman"/>
      <w:sz w:val="22"/>
      <w:szCs w:val="20"/>
      <w:lang w:val="en-GB"/>
    </w:rPr>
  </w:style>
  <w:style w:type="character" w:styleId="EndnoteReference">
    <w:name w:val="endnote reference"/>
    <w:basedOn w:val="DefaultParagraphFont"/>
    <w:uiPriority w:val="99"/>
    <w:unhideWhenUsed/>
    <w:rsid w:val="00DF5B08"/>
    <w:rPr>
      <w:rFonts w:ascii="Times New Roman" w:hAnsi="Times New Roman"/>
      <w:i w:val="0"/>
      <w:position w:val="0"/>
      <w:sz w:val="22"/>
      <w:vertAlign w:val="superscript"/>
    </w:rPr>
  </w:style>
  <w:style w:type="table" w:customStyle="1" w:styleId="PlainTable51">
    <w:name w:val="Plain Table 51"/>
    <w:basedOn w:val="TableNormal"/>
    <w:next w:val="PlainTable52"/>
    <w:uiPriority w:val="45"/>
    <w:rsid w:val="00DF5B08"/>
    <w:pPr>
      <w:jc w:val="both"/>
    </w:pPr>
    <w:rPr>
      <w:rFonts w:ascii="Georgia" w:eastAsia="SimSun" w:hAnsi="Georgia"/>
      <w:position w:val="6"/>
      <w:sz w:val="16"/>
      <w:lang w:val="en-US" w:eastAsia="en-US"/>
    </w:rPr>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next w:val="GridTable1Light-Accent62"/>
    <w:uiPriority w:val="46"/>
    <w:rsid w:val="00DF5B08"/>
    <w:pPr>
      <w:jc w:val="both"/>
    </w:pPr>
    <w:rPr>
      <w:rFonts w:ascii="Georgia" w:eastAsia="SimSun" w:hAnsi="Georgia"/>
      <w:position w:val="6"/>
      <w:lang w:val="en-US" w:eastAsia="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uiPriority w:val="10"/>
    <w:qFormat/>
    <w:rsid w:val="00DF5B08"/>
    <w:pPr>
      <w:jc w:val="left"/>
    </w:pPr>
  </w:style>
  <w:style w:type="table" w:customStyle="1" w:styleId="GridTable1Light-Accent51">
    <w:name w:val="Grid Table 1 Light - Accent 51"/>
    <w:basedOn w:val="TableNormal"/>
    <w:next w:val="GridTable1Light-Accent52"/>
    <w:uiPriority w:val="46"/>
    <w:rsid w:val="00DF5B08"/>
    <w:pPr>
      <w:jc w:val="both"/>
    </w:pPr>
    <w:rPr>
      <w:rFonts w:ascii="Georgia" w:eastAsia="SimSun" w:hAnsi="Georgia"/>
      <w:position w:val="6"/>
      <w:lang w:val="en-US" w:eastAsia="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leNormal"/>
    <w:next w:val="PlainTable32"/>
    <w:uiPriority w:val="43"/>
    <w:rsid w:val="00DF5B08"/>
    <w:pPr>
      <w:jc w:val="both"/>
    </w:pPr>
    <w:rPr>
      <w:rFonts w:ascii="Georgia" w:eastAsia="SimSun" w:hAnsi="Georgia"/>
      <w:position w:val="6"/>
      <w:lang w:val="en-U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leNormal"/>
    <w:next w:val="ListTable4-Accent42"/>
    <w:uiPriority w:val="49"/>
    <w:rsid w:val="00DF5B08"/>
    <w:pPr>
      <w:jc w:val="both"/>
    </w:pPr>
    <w:rPr>
      <w:rFonts w:ascii="Georgia" w:eastAsia="SimSun" w:hAnsi="Georgia"/>
      <w:position w:val="6"/>
      <w:lang w:val="en-US" w:eastAsia="en-US"/>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leNormal"/>
    <w:next w:val="GridTable1Light-Accent42"/>
    <w:uiPriority w:val="46"/>
    <w:rsid w:val="00DF5B08"/>
    <w:pPr>
      <w:jc w:val="both"/>
    </w:pPr>
    <w:rPr>
      <w:rFonts w:ascii="Georgia" w:eastAsia="SimSun" w:hAnsi="Georgia"/>
      <w:position w:val="6"/>
      <w:lang w:val="en-US" w:eastAsia="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uiPriority w:val="10"/>
    <w:qFormat/>
    <w:rsid w:val="00DF5B08"/>
    <w:pPr>
      <w:jc w:val="center"/>
    </w:pPr>
  </w:style>
  <w:style w:type="table" w:customStyle="1" w:styleId="ListTable3-Accent31">
    <w:name w:val="List Table 3 - Accent 31"/>
    <w:basedOn w:val="TableNormal"/>
    <w:next w:val="ListTable3-Accent32"/>
    <w:uiPriority w:val="48"/>
    <w:rsid w:val="00DF5B08"/>
    <w:pPr>
      <w:jc w:val="both"/>
    </w:pPr>
    <w:rPr>
      <w:rFonts w:ascii="Georgia" w:eastAsia="SimSun" w:hAnsi="Georgia"/>
      <w:position w:val="6"/>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leNormal"/>
    <w:next w:val="ListTable4-Accent52"/>
    <w:uiPriority w:val="49"/>
    <w:rsid w:val="00DF5B08"/>
    <w:pPr>
      <w:jc w:val="both"/>
    </w:pPr>
    <w:rPr>
      <w:rFonts w:ascii="Georgia" w:eastAsia="SimSun" w:hAnsi="Georgia"/>
      <w:position w:val="6"/>
      <w:lang w:val="en-US" w:eastAsia="en-US"/>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unhideWhenUsed/>
    <w:rsid w:val="00DF5B08"/>
    <w:pPr>
      <w:autoSpaceDE w:val="0"/>
      <w:autoSpaceDN w:val="0"/>
      <w:adjustRightInd w:val="0"/>
      <w:jc w:val="right"/>
      <w:textAlignment w:val="center"/>
    </w:pPr>
    <w:rPr>
      <w:rFonts w:cs="Bernini Sans"/>
      <w:b/>
      <w:bCs/>
      <w:color w:val="000000"/>
      <w:lang w:val="fr-FR"/>
    </w:rPr>
  </w:style>
  <w:style w:type="paragraph" w:customStyle="1" w:styleId="CoverLanguage">
    <w:name w:val="CoverLanguage"/>
    <w:basedOn w:val="CoverNormal"/>
    <w:unhideWhenUsed/>
    <w:rsid w:val="00DF5B08"/>
    <w:pPr>
      <w:spacing w:before="40" w:after="40"/>
      <w:jc w:val="right"/>
    </w:pPr>
    <w:rPr>
      <w:b/>
    </w:rPr>
  </w:style>
  <w:style w:type="table" w:customStyle="1" w:styleId="ListTable4-Accent31">
    <w:name w:val="List Table 4 - Accent 31"/>
    <w:basedOn w:val="TableNormal"/>
    <w:next w:val="ListTable4-Accent32"/>
    <w:uiPriority w:val="49"/>
    <w:rsid w:val="00DF5B08"/>
    <w:pPr>
      <w:jc w:val="both"/>
    </w:pPr>
    <w:rPr>
      <w:rFonts w:ascii="Georgia" w:eastAsia="SimSun" w:hAnsi="Georgia"/>
      <w:position w:val="6"/>
      <w:lang w:val="en-US" w:eastAsia="en-US"/>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DF5B08"/>
    <w:pPr>
      <w:jc w:val="both"/>
    </w:pPr>
    <w:rPr>
      <w:rFonts w:ascii="Georgia" w:eastAsia="SimSun" w:hAnsi="Georgia"/>
      <w:position w:val="6"/>
      <w:lang w:val="en-US" w:eastAsia="en-US"/>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2"/>
    <w:uiPriority w:val="46"/>
    <w:rsid w:val="00DF5B08"/>
    <w:pPr>
      <w:jc w:val="both"/>
    </w:pPr>
    <w:rPr>
      <w:rFonts w:ascii="Georgia" w:eastAsia="SimSun" w:hAnsi="Georgia"/>
      <w:position w:val="6"/>
      <w:lang w:val="en-US" w:eastAsia="en-US"/>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leNormal"/>
    <w:next w:val="GridTable6Colorful2"/>
    <w:uiPriority w:val="51"/>
    <w:rsid w:val="00DF5B08"/>
    <w:pPr>
      <w:jc w:val="both"/>
    </w:pPr>
    <w:rPr>
      <w:rFonts w:ascii="Georgia" w:eastAsia="SimSun" w:hAnsi="Georgia"/>
      <w:color w:val="000000"/>
      <w:position w:val="6"/>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Normal"/>
    <w:next w:val="ListTable2-Accent52"/>
    <w:uiPriority w:val="47"/>
    <w:rsid w:val="00DF5B08"/>
    <w:pPr>
      <w:jc w:val="both"/>
    </w:pPr>
    <w:rPr>
      <w:rFonts w:ascii="Georgia" w:eastAsia="SimSun" w:hAnsi="Georgia"/>
      <w:position w:val="6"/>
      <w:lang w:val="en-US" w:eastAsia="en-US"/>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DF5B08"/>
    <w:pPr>
      <w:pBdr>
        <w:bottom w:val="single" w:sz="4" w:space="0" w:color="auto"/>
      </w:pBdr>
      <w:autoSpaceDE w:val="0"/>
      <w:autoSpaceDN w:val="0"/>
      <w:adjustRightInd w:val="0"/>
      <w:spacing w:after="120" w:line="280" w:lineRule="exact"/>
      <w:jc w:val="right"/>
      <w:textAlignment w:val="center"/>
    </w:pPr>
    <w:rPr>
      <w:rFonts w:ascii="Times New Roman" w:eastAsia="SimSun" w:hAnsi="Times New Roman" w:cs="Bernini Sans"/>
      <w:bCs/>
      <w:sz w:val="2"/>
      <w:szCs w:val="20"/>
    </w:rPr>
  </w:style>
  <w:style w:type="paragraph" w:customStyle="1" w:styleId="HeaderEven">
    <w:name w:val="Header Even"/>
    <w:basedOn w:val="HeaderOdd"/>
    <w:unhideWhenUsed/>
    <w:rsid w:val="00DF5B08"/>
    <w:pPr>
      <w:jc w:val="left"/>
    </w:pPr>
    <w:rPr>
      <w:bCs w:val="0"/>
    </w:rPr>
  </w:style>
  <w:style w:type="paragraph" w:styleId="IntenseQuote">
    <w:name w:val="Intense Quote"/>
    <w:basedOn w:val="Normal"/>
    <w:next w:val="Normal"/>
    <w:link w:val="IntenseQuoteChar"/>
    <w:uiPriority w:val="30"/>
    <w:rsid w:val="00DF5B08"/>
    <w:pPr>
      <w:pBdr>
        <w:top w:val="single" w:sz="4" w:space="10" w:color="4F81BD" w:themeColor="accent1"/>
        <w:bottom w:val="single" w:sz="4" w:space="10" w:color="4F81BD" w:themeColor="accent1"/>
      </w:pBdr>
      <w:spacing w:before="360" w:after="360" w:line="280" w:lineRule="exact"/>
      <w:ind w:left="864" w:right="864"/>
      <w:jc w:val="center"/>
    </w:pPr>
    <w:rPr>
      <w:rFonts w:ascii="Calibri" w:hAnsi="Calibri"/>
      <w:i/>
      <w:iCs/>
      <w:color w:val="404040"/>
      <w:szCs w:val="20"/>
      <w:lang w:val="en-GB" w:eastAsia="en-GB"/>
    </w:rPr>
  </w:style>
  <w:style w:type="character" w:customStyle="1" w:styleId="IntenseQuoteChar1">
    <w:name w:val="Intense Quote Char1"/>
    <w:basedOn w:val="DefaultParagraphFont"/>
    <w:uiPriority w:val="30"/>
    <w:rsid w:val="00DF5B08"/>
    <w:rPr>
      <w:rFonts w:ascii="Arial" w:hAnsi="Arial"/>
      <w:i/>
      <w:iCs/>
      <w:color w:val="4F81BD" w:themeColor="accent1"/>
      <w:szCs w:val="22"/>
      <w:lang w:val="fr-FR" w:eastAsia="en-US"/>
    </w:rPr>
  </w:style>
  <w:style w:type="character" w:styleId="SubtleEmphasis">
    <w:name w:val="Subtle Emphasis"/>
    <w:basedOn w:val="DefaultParagraphFont"/>
    <w:uiPriority w:val="19"/>
    <w:qFormat/>
    <w:rsid w:val="00DF5B08"/>
    <w:rPr>
      <w:i/>
      <w:iCs/>
      <w:color w:val="404040" w:themeColor="text1" w:themeTint="BF"/>
    </w:rPr>
  </w:style>
  <w:style w:type="character" w:styleId="SubtleReference">
    <w:name w:val="Subtle Reference"/>
    <w:basedOn w:val="DefaultParagraphFont"/>
    <w:uiPriority w:val="31"/>
    <w:rsid w:val="00DF5B08"/>
    <w:rPr>
      <w:smallCaps/>
      <w:color w:val="5A5A5A" w:themeColor="text1" w:themeTint="A5"/>
    </w:rPr>
  </w:style>
  <w:style w:type="character" w:styleId="IntenseReference">
    <w:name w:val="Intense Reference"/>
    <w:basedOn w:val="DefaultParagraphFont"/>
    <w:uiPriority w:val="32"/>
    <w:rsid w:val="00DF5B08"/>
    <w:rPr>
      <w:b/>
      <w:bCs/>
      <w:smallCaps/>
      <w:color w:val="4F81BD" w:themeColor="accent1"/>
      <w:spacing w:val="5"/>
    </w:rPr>
  </w:style>
  <w:style w:type="table" w:customStyle="1" w:styleId="TableGridLight2">
    <w:name w:val="Table Grid Light2"/>
    <w:basedOn w:val="TableNormal"/>
    <w:uiPriority w:val="40"/>
    <w:rsid w:val="00DF5B08"/>
    <w:pPr>
      <w:jc w:val="both"/>
    </w:pPr>
    <w:rPr>
      <w:rFonts w:ascii="Georgia" w:eastAsiaTheme="minorHAnsi" w:hAnsi="Georgia"/>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DF5B08"/>
    <w:pPr>
      <w:jc w:val="both"/>
    </w:pPr>
    <w:rPr>
      <w:rFonts w:ascii="Georgia" w:eastAsiaTheme="minorHAnsi" w:hAnsi="Georgia"/>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leNormal"/>
    <w:uiPriority w:val="46"/>
    <w:rsid w:val="00DF5B08"/>
    <w:pPr>
      <w:jc w:val="both"/>
    </w:pPr>
    <w:rPr>
      <w:rFonts w:ascii="Georgia" w:eastAsiaTheme="minorHAnsi" w:hAnsi="Georgia"/>
      <w:lang w:val="en-US"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DF5B08"/>
    <w:pPr>
      <w:jc w:val="both"/>
    </w:pPr>
    <w:rPr>
      <w:rFonts w:ascii="Georgia" w:eastAsiaTheme="minorHAnsi" w:hAnsi="Georgia"/>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DF5B08"/>
    <w:pPr>
      <w:jc w:val="both"/>
    </w:pPr>
    <w:rPr>
      <w:rFonts w:ascii="Georgia" w:eastAsiaTheme="minorHAnsi" w:hAnsi="Georgia"/>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leNormal"/>
    <w:uiPriority w:val="49"/>
    <w:rsid w:val="00DF5B08"/>
    <w:pPr>
      <w:jc w:val="both"/>
    </w:pPr>
    <w:rPr>
      <w:rFonts w:ascii="Georgia" w:eastAsiaTheme="minorHAnsi" w:hAnsi="Georgia"/>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TableNormal"/>
    <w:uiPriority w:val="46"/>
    <w:rsid w:val="00DF5B08"/>
    <w:pPr>
      <w:jc w:val="both"/>
    </w:pPr>
    <w:rPr>
      <w:rFonts w:ascii="Georgia" w:eastAsiaTheme="minorHAnsi" w:hAnsi="Georgia"/>
      <w:lang w:val="en-US"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leNormal"/>
    <w:uiPriority w:val="48"/>
    <w:rsid w:val="00DF5B08"/>
    <w:pPr>
      <w:jc w:val="both"/>
    </w:pPr>
    <w:rPr>
      <w:rFonts w:ascii="Georgia" w:eastAsiaTheme="minorHAnsi" w:hAnsi="Georgia"/>
      <w:lang w:val="en-US"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TableNormal"/>
    <w:uiPriority w:val="49"/>
    <w:rsid w:val="00DF5B08"/>
    <w:pPr>
      <w:jc w:val="both"/>
    </w:pPr>
    <w:rPr>
      <w:rFonts w:ascii="Georgia" w:eastAsiaTheme="minorHAnsi" w:hAnsi="Georgia"/>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TableNormal"/>
    <w:uiPriority w:val="49"/>
    <w:rsid w:val="00DF5B08"/>
    <w:pPr>
      <w:jc w:val="both"/>
    </w:pPr>
    <w:rPr>
      <w:rFonts w:ascii="Georgia" w:eastAsiaTheme="minorHAnsi" w:hAnsi="Georgia"/>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TableNormal"/>
    <w:uiPriority w:val="46"/>
    <w:rsid w:val="00DF5B08"/>
    <w:pPr>
      <w:jc w:val="both"/>
    </w:pPr>
    <w:rPr>
      <w:rFonts w:ascii="Georgia" w:eastAsiaTheme="minorHAnsi" w:hAnsi="Georgia"/>
      <w:lang w:val="en-US"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leNormal"/>
    <w:uiPriority w:val="46"/>
    <w:rsid w:val="00DF5B08"/>
    <w:pPr>
      <w:jc w:val="both"/>
    </w:pPr>
    <w:rPr>
      <w:rFonts w:ascii="Georgia" w:eastAsiaTheme="minorHAnsi" w:hAnsi="Georgia"/>
      <w:lang w:val="en-US"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TableNormal"/>
    <w:uiPriority w:val="51"/>
    <w:rsid w:val="00DF5B08"/>
    <w:pPr>
      <w:jc w:val="both"/>
    </w:pPr>
    <w:rPr>
      <w:rFonts w:ascii="Georgia" w:eastAsiaTheme="minorHAnsi" w:hAnsi="Georgia"/>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leNormal"/>
    <w:uiPriority w:val="47"/>
    <w:rsid w:val="00DF5B08"/>
    <w:pPr>
      <w:jc w:val="both"/>
    </w:pPr>
    <w:rPr>
      <w:rFonts w:ascii="Georgia" w:eastAsiaTheme="minorHAnsi" w:hAnsi="Georgia"/>
      <w:lang w:val="en-US"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basedOn w:val="CoverNormalChar"/>
    <w:uiPriority w:val="1"/>
    <w:unhideWhenUsed/>
    <w:rsid w:val="00DF5B08"/>
    <w:rPr>
      <w:rFonts w:ascii="Times New Roman" w:eastAsiaTheme="minorEastAsia" w:hAnsi="Times New Roman"/>
      <w:b w:val="0"/>
      <w:i w:val="0"/>
      <w:position w:val="6"/>
      <w:sz w:val="20"/>
      <w:szCs w:val="21"/>
      <w:lang w:eastAsia="en-US"/>
    </w:rPr>
  </w:style>
  <w:style w:type="table" w:customStyle="1" w:styleId="GridTable2-Accent11">
    <w:name w:val="Grid Table 2 - Accent 11"/>
    <w:basedOn w:val="TableNormal"/>
    <w:uiPriority w:val="47"/>
    <w:rsid w:val="00DF5B08"/>
    <w:pPr>
      <w:jc w:val="both"/>
    </w:pPr>
    <w:rPr>
      <w:rFonts w:ascii="Georgia" w:eastAsiaTheme="minorEastAsia" w:hAnsi="Georgia" w:cstheme="minorBidi"/>
      <w:position w:val="6"/>
      <w:lang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Normal"/>
    <w:next w:val="Para1"/>
    <w:uiPriority w:val="15"/>
    <w:qFormat/>
    <w:rsid w:val="00DF5B08"/>
    <w:pPr>
      <w:keepNext/>
      <w:spacing w:before="240" w:after="240" w:line="280" w:lineRule="exact"/>
      <w:ind w:right="680"/>
      <w:jc w:val="both"/>
      <w:outlineLvl w:val="1"/>
    </w:pPr>
    <w:rPr>
      <w:rFonts w:ascii="Times New Roman" w:eastAsiaTheme="minorHAnsi" w:hAnsi="Times New Roman"/>
      <w:b/>
      <w:color w:val="4E81BD"/>
      <w:sz w:val="24"/>
      <w:szCs w:val="20"/>
      <w:lang w:val="en-GB"/>
    </w:rPr>
  </w:style>
  <w:style w:type="paragraph" w:customStyle="1" w:styleId="AnnexH3">
    <w:name w:val="Annex H3"/>
    <w:basedOn w:val="Normal"/>
    <w:next w:val="Para1"/>
    <w:uiPriority w:val="15"/>
    <w:qFormat/>
    <w:rsid w:val="00DF5B08"/>
    <w:pPr>
      <w:keepNext/>
      <w:keepLines/>
      <w:spacing w:before="240" w:after="120" w:line="280" w:lineRule="exact"/>
      <w:ind w:left="680" w:right="680"/>
      <w:jc w:val="both"/>
      <w:outlineLvl w:val="2"/>
    </w:pPr>
    <w:rPr>
      <w:rFonts w:ascii="Times New Roman" w:eastAsiaTheme="minorHAnsi" w:hAnsi="Times New Roman"/>
      <w:b/>
      <w:i/>
      <w:color w:val="262626"/>
      <w:sz w:val="24"/>
      <w:szCs w:val="20"/>
      <w:lang w:val="en-GB"/>
    </w:rPr>
  </w:style>
  <w:style w:type="paragraph" w:customStyle="1" w:styleId="BulletedList">
    <w:name w:val="Bulleted List"/>
    <w:basedOn w:val="ListParagraph"/>
    <w:uiPriority w:val="6"/>
    <w:qFormat/>
    <w:rsid w:val="00DF5B08"/>
    <w:pPr>
      <w:numPr>
        <w:numId w:val="23"/>
      </w:numPr>
      <w:tabs>
        <w:tab w:val="clear" w:pos="340"/>
        <w:tab w:val="num" w:pos="360"/>
      </w:tabs>
      <w:spacing w:after="120" w:line="280" w:lineRule="exact"/>
      <w:ind w:left="454" w:right="680" w:firstLine="0"/>
      <w:jc w:val="both"/>
    </w:pPr>
    <w:rPr>
      <w:rFonts w:asciiTheme="majorHAnsi" w:eastAsia="SimSun" w:hAnsiTheme="majorHAnsi"/>
      <w:sz w:val="22"/>
      <w:szCs w:val="20"/>
      <w:lang w:val="en-GB"/>
    </w:rPr>
  </w:style>
  <w:style w:type="paragraph" w:customStyle="1" w:styleId="NumberedList1">
    <w:name w:val="Numbered List 1"/>
    <w:basedOn w:val="ListParagraph"/>
    <w:uiPriority w:val="5"/>
    <w:qFormat/>
    <w:rsid w:val="00DF5B08"/>
    <w:pPr>
      <w:numPr>
        <w:ilvl w:val="1"/>
        <w:numId w:val="26"/>
      </w:numPr>
      <w:spacing w:after="120" w:line="280" w:lineRule="exact"/>
      <w:ind w:right="680"/>
      <w:jc w:val="both"/>
    </w:pPr>
    <w:rPr>
      <w:rFonts w:ascii="Cambria" w:eastAsia="SimSun" w:hAnsi="Cambria"/>
      <w:sz w:val="22"/>
      <w:szCs w:val="20"/>
      <w:lang w:val="en-GB"/>
    </w:rPr>
  </w:style>
  <w:style w:type="paragraph" w:customStyle="1" w:styleId="CoverCommittee">
    <w:name w:val="CoverCommittee"/>
    <w:basedOn w:val="CoverNormal"/>
    <w:rsid w:val="00DF5B08"/>
    <w:rPr>
      <w:b/>
    </w:rPr>
  </w:style>
  <w:style w:type="paragraph" w:customStyle="1" w:styleId="CoverWorkingParty">
    <w:name w:val="CoverWorkingParty"/>
    <w:basedOn w:val="CoverNormal"/>
    <w:rsid w:val="00DF5B08"/>
    <w:rPr>
      <w:b/>
      <w:sz w:val="24"/>
    </w:rPr>
  </w:style>
  <w:style w:type="paragraph" w:customStyle="1" w:styleId="CoverPwbCode">
    <w:name w:val="CoverPwbCode"/>
    <w:basedOn w:val="CoverJobTicket"/>
    <w:rsid w:val="00DF5B08"/>
  </w:style>
  <w:style w:type="character" w:customStyle="1" w:styleId="DefaultCoverPage">
    <w:name w:val="DefaultCoverPage"/>
    <w:basedOn w:val="DefaultParagraphFont"/>
    <w:uiPriority w:val="1"/>
    <w:rsid w:val="00DF5B08"/>
    <w:rPr>
      <w:rFonts w:ascii="Times New Roman" w:hAnsi="Times New Roman"/>
      <w:sz w:val="21"/>
    </w:rPr>
  </w:style>
  <w:style w:type="paragraph" w:customStyle="1" w:styleId="Figure">
    <w:name w:val="Figure"/>
    <w:basedOn w:val="Normal"/>
    <w:rsid w:val="00DF5B08"/>
    <w:pPr>
      <w:keepNext/>
      <w:keepLines/>
      <w:spacing w:after="120" w:line="280" w:lineRule="exact"/>
      <w:jc w:val="center"/>
    </w:pPr>
    <w:rPr>
      <w:rFonts w:ascii="Times New Roman" w:eastAsiaTheme="minorHAnsi" w:hAnsi="Times New Roman"/>
      <w:noProof/>
      <w:sz w:val="22"/>
      <w:szCs w:val="20"/>
      <w:lang w:val="en-GB" w:eastAsia="ko-KR"/>
    </w:rPr>
  </w:style>
  <w:style w:type="paragraph" w:customStyle="1" w:styleId="StatLinkLogo">
    <w:name w:val="StatLink Logo"/>
    <w:basedOn w:val="Para1"/>
    <w:next w:val="Para1"/>
    <w:rsid w:val="00DF5B08"/>
    <w:pPr>
      <w:spacing w:after="240"/>
      <w:jc w:val="right"/>
    </w:pPr>
    <w:rPr>
      <w:rFonts w:ascii="StatLink" w:hAnsi="StatLink"/>
      <w:sz w:val="14"/>
    </w:rPr>
  </w:style>
  <w:style w:type="character" w:customStyle="1" w:styleId="StatLinkDOI">
    <w:name w:val="StatLink DOI"/>
    <w:basedOn w:val="DefaultParagraphFont"/>
    <w:uiPriority w:val="1"/>
    <w:rsid w:val="00DF5B08"/>
    <w:rPr>
      <w:rFonts w:ascii="Times New Roman" w:hAnsi="Times New Roman"/>
      <w:sz w:val="14"/>
    </w:rPr>
  </w:style>
  <w:style w:type="paragraph" w:customStyle="1" w:styleId="Title2">
    <w:name w:val="Title 2"/>
    <w:basedOn w:val="Heading2"/>
    <w:next w:val="Para1"/>
    <w:qFormat/>
    <w:rsid w:val="00DF5B08"/>
    <w:pPr>
      <w:keepLines w:val="0"/>
      <w:spacing w:before="240" w:after="240" w:line="280" w:lineRule="exact"/>
      <w:ind w:right="680"/>
    </w:pPr>
    <w:rPr>
      <w:rFonts w:ascii="Arial" w:eastAsiaTheme="minorHAnsi" w:hAnsi="Arial" w:cs="Times New Roman"/>
      <w:b/>
      <w:bCs/>
      <w:color w:val="000000" w:themeColor="text1"/>
      <w:sz w:val="20"/>
      <w:szCs w:val="20"/>
    </w:rPr>
  </w:style>
  <w:style w:type="paragraph" w:customStyle="1" w:styleId="Title3">
    <w:name w:val="Title 3"/>
    <w:basedOn w:val="Normal"/>
    <w:next w:val="Para1"/>
    <w:qFormat/>
    <w:rsid w:val="00DF5B08"/>
    <w:pPr>
      <w:keepNext/>
      <w:keepLines/>
      <w:spacing w:before="240" w:after="120" w:line="280" w:lineRule="exact"/>
      <w:ind w:right="680"/>
      <w:jc w:val="both"/>
      <w:outlineLvl w:val="2"/>
    </w:pPr>
    <w:rPr>
      <w:rFonts w:ascii="Times New Roman" w:eastAsiaTheme="minorHAnsi" w:hAnsi="Times New Roman"/>
      <w:b/>
      <w:color w:val="4F81BD" w:themeColor="accent1"/>
      <w:sz w:val="26"/>
      <w:szCs w:val="20"/>
      <w:lang w:val="en-GB"/>
    </w:rPr>
  </w:style>
  <w:style w:type="table" w:styleId="LightShading-Accent1">
    <w:name w:val="Light Shading Accent 1"/>
    <w:basedOn w:val="TableNormal"/>
    <w:uiPriority w:val="60"/>
    <w:rsid w:val="00DF5B08"/>
    <w:pPr>
      <w:jc w:val="both"/>
    </w:pPr>
    <w:rPr>
      <w:rFonts w:ascii="Georgia" w:eastAsiaTheme="minorHAnsi" w:hAnsi="Georgia"/>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LightShading-Accent1"/>
    <w:uiPriority w:val="99"/>
    <w:rsid w:val="00DF5B08"/>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BE5F1" w:themeFill="accent1" w:themeFillTint="33"/>
      </w:tcPr>
    </w:tblStylePr>
    <w:tblStylePr w:type="band2Horz">
      <w:tblPr/>
      <w:tcPr>
        <w:shd w:val="clear" w:color="auto" w:fill="FFFFFF" w:themeFill="background1"/>
      </w:tcPr>
    </w:tblStylePr>
  </w:style>
  <w:style w:type="paragraph" w:customStyle="1" w:styleId="Abstract">
    <w:name w:val="Abstract"/>
    <w:basedOn w:val="Para1"/>
    <w:uiPriority w:val="2"/>
    <w:qFormat/>
    <w:rsid w:val="00DF5B08"/>
    <w:pPr>
      <w:pBdr>
        <w:top w:val="single" w:sz="4" w:space="12" w:color="auto"/>
        <w:left w:val="single" w:sz="4" w:space="12" w:color="auto"/>
        <w:bottom w:val="single" w:sz="4" w:space="12" w:color="auto"/>
        <w:right w:val="single" w:sz="4" w:space="12" w:color="auto"/>
      </w:pBdr>
    </w:pPr>
    <w:rPr>
      <w:i/>
    </w:rPr>
  </w:style>
  <w:style w:type="paragraph" w:customStyle="1" w:styleId="BoxHeadingtitle">
    <w:name w:val="Box Heading title"/>
    <w:basedOn w:val="Normal"/>
    <w:next w:val="Para1"/>
    <w:uiPriority w:val="8"/>
    <w:qFormat/>
    <w:rsid w:val="00DF5B08"/>
    <w:pPr>
      <w:keepNext/>
      <w:spacing w:before="240" w:after="120" w:line="280" w:lineRule="exact"/>
      <w:ind w:left="680" w:right="680"/>
      <w:jc w:val="both"/>
    </w:pPr>
    <w:rPr>
      <w:rFonts w:ascii="Times New Roman" w:eastAsiaTheme="minorHAnsi" w:hAnsi="Times New Roman"/>
      <w:b/>
      <w:szCs w:val="20"/>
      <w:lang w:val="en-GB"/>
    </w:rPr>
  </w:style>
  <w:style w:type="paragraph" w:customStyle="1" w:styleId="CoverInformation">
    <w:name w:val="CoverInformation"/>
    <w:basedOn w:val="CoverSubTitle"/>
    <w:rsid w:val="00DF5B08"/>
  </w:style>
  <w:style w:type="character" w:customStyle="1" w:styleId="CoverDateChar">
    <w:name w:val="CoverDate Char"/>
    <w:basedOn w:val="CoverNormalChar"/>
    <w:link w:val="CoverDate"/>
    <w:rsid w:val="00DF5B08"/>
    <w:rPr>
      <w:rFonts w:ascii="Times New Roman" w:eastAsia="SimSun" w:hAnsi="Times New Roman"/>
      <w:b/>
      <w:sz w:val="18"/>
      <w:lang w:eastAsia="en-US"/>
    </w:rPr>
  </w:style>
  <w:style w:type="paragraph" w:customStyle="1" w:styleId="Session">
    <w:name w:val="Session"/>
    <w:basedOn w:val="Para1"/>
    <w:next w:val="Time"/>
    <w:rsid w:val="00DF5B08"/>
    <w:pPr>
      <w:keepNext/>
      <w:pBdr>
        <w:top w:val="single" w:sz="12" w:space="4" w:color="auto"/>
        <w:bottom w:val="single" w:sz="12" w:space="4" w:color="auto"/>
      </w:pBdr>
      <w:shd w:val="clear" w:color="auto" w:fill="DBE5F1"/>
      <w:ind w:left="0" w:right="0"/>
      <w:jc w:val="center"/>
    </w:pPr>
    <w:rPr>
      <w:b/>
      <w:sz w:val="24"/>
    </w:rPr>
  </w:style>
  <w:style w:type="paragraph" w:customStyle="1" w:styleId="GroupHeading">
    <w:name w:val="Group Heading"/>
    <w:basedOn w:val="Para1"/>
    <w:next w:val="Para1"/>
    <w:rsid w:val="00DF5B08"/>
    <w:pPr>
      <w:keepNext/>
      <w:numPr>
        <w:numId w:val="22"/>
      </w:numPr>
      <w:ind w:right="0"/>
    </w:pPr>
    <w:rPr>
      <w:b/>
      <w:i/>
    </w:rPr>
  </w:style>
  <w:style w:type="paragraph" w:customStyle="1" w:styleId="Break">
    <w:name w:val="Break"/>
    <w:basedOn w:val="Para1"/>
    <w:next w:val="Time"/>
    <w:rsid w:val="00DF5B08"/>
    <w:pPr>
      <w:pBdr>
        <w:top w:val="single" w:sz="4" w:space="4" w:color="auto"/>
        <w:bottom w:val="single" w:sz="4" w:space="4" w:color="auto"/>
      </w:pBdr>
      <w:shd w:val="pct5" w:color="auto" w:fill="auto"/>
      <w:ind w:left="0" w:right="0"/>
      <w:jc w:val="center"/>
    </w:pPr>
    <w:rPr>
      <w:i/>
    </w:rPr>
  </w:style>
  <w:style w:type="paragraph" w:customStyle="1" w:styleId="Time">
    <w:name w:val="Time"/>
    <w:basedOn w:val="Para1"/>
    <w:rsid w:val="00DF5B08"/>
  </w:style>
  <w:style w:type="paragraph" w:customStyle="1" w:styleId="RefDocuments">
    <w:name w:val="Ref Documents"/>
    <w:basedOn w:val="Para1"/>
    <w:rsid w:val="00DF5B08"/>
  </w:style>
  <w:style w:type="paragraph" w:customStyle="1" w:styleId="Action">
    <w:name w:val="Action"/>
    <w:basedOn w:val="Para1"/>
    <w:rsid w:val="00DF5B08"/>
  </w:style>
  <w:style w:type="paragraph" w:customStyle="1" w:styleId="SpecialItem">
    <w:name w:val="Special Item"/>
    <w:basedOn w:val="Para1"/>
    <w:rsid w:val="00DF5B08"/>
  </w:style>
  <w:style w:type="paragraph" w:customStyle="1" w:styleId="ImportantInformation">
    <w:name w:val="Important Information"/>
    <w:basedOn w:val="Para1"/>
    <w:rsid w:val="00DF5B08"/>
  </w:style>
  <w:style w:type="paragraph" w:customStyle="1" w:styleId="CoverTitlePublication">
    <w:name w:val="CoverTitlePublication"/>
    <w:basedOn w:val="CoverNormal"/>
    <w:rsid w:val="00DF5B08"/>
    <w:pPr>
      <w:jc w:val="center"/>
    </w:pPr>
    <w:rPr>
      <w:rFonts w:ascii="Caecilia Roman" w:hAnsi="Caecilia Roman"/>
      <w:b/>
      <w:sz w:val="52"/>
    </w:rPr>
  </w:style>
  <w:style w:type="paragraph" w:customStyle="1" w:styleId="CoverSubtitlePublication">
    <w:name w:val="CoverSubtitlePublication"/>
    <w:basedOn w:val="CoverTitlePublication"/>
    <w:rsid w:val="00DF5B08"/>
    <w:rPr>
      <w:b w:val="0"/>
      <w:sz w:val="40"/>
    </w:rPr>
  </w:style>
  <w:style w:type="paragraph" w:customStyle="1" w:styleId="Pieddepageimpaire">
    <w:name w:val="Pied de page impaire"/>
    <w:basedOn w:val="Normal"/>
    <w:unhideWhenUsed/>
    <w:qFormat/>
    <w:rsid w:val="00DF5B08"/>
    <w:pPr>
      <w:pBdr>
        <w:top w:val="single" w:sz="4" w:space="1" w:color="4F81BD" w:themeColor="accent1"/>
      </w:pBdr>
      <w:spacing w:after="180" w:line="264" w:lineRule="auto"/>
      <w:jc w:val="right"/>
    </w:pPr>
    <w:rPr>
      <w:rFonts w:asciiTheme="minorHAnsi" w:eastAsiaTheme="minorHAnsi" w:hAnsiTheme="minorHAnsi"/>
      <w:color w:val="1F497D" w:themeColor="text2"/>
      <w:kern w:val="24"/>
      <w:szCs w:val="20"/>
      <w:lang w:val="en-US" w:eastAsia="fr-FR"/>
    </w:rPr>
  </w:style>
  <w:style w:type="paragraph" w:customStyle="1" w:styleId="TemplateMERH1">
    <w:name w:val="Template_MER_H1"/>
    <w:basedOn w:val="Heading2"/>
    <w:qFormat/>
    <w:rsid w:val="00DF5B08"/>
    <w:pPr>
      <w:keepLines w:val="0"/>
      <w:spacing w:before="240" w:after="240" w:line="280" w:lineRule="exact"/>
      <w:jc w:val="center"/>
    </w:pPr>
    <w:rPr>
      <w:rFonts w:ascii="Cambria" w:eastAsia="Times New Roman" w:hAnsi="Cambria" w:cs="Times New Roman"/>
      <w:b/>
      <w:bCs/>
      <w:caps/>
      <w:color w:val="4F81BD" w:themeColor="accent1"/>
      <w:sz w:val="20"/>
      <w:szCs w:val="24"/>
      <w:lang w:eastAsia="zh-CN"/>
    </w:rPr>
  </w:style>
  <w:style w:type="paragraph" w:customStyle="1" w:styleId="TemplateMERH">
    <w:name w:val="Template_MER_H"/>
    <w:basedOn w:val="Heading2"/>
    <w:next w:val="Num-DocParagraph"/>
    <w:qFormat/>
    <w:rsid w:val="00DF5B08"/>
    <w:pPr>
      <w:keepLines w:val="0"/>
      <w:spacing w:before="240" w:after="240" w:line="280" w:lineRule="exact"/>
      <w:jc w:val="both"/>
    </w:pPr>
    <w:rPr>
      <w:rFonts w:ascii="Cambria" w:eastAsia="Times New Roman" w:hAnsi="Cambria" w:cs="Times New Roman"/>
      <w:b/>
      <w:bCs/>
      <w:i/>
      <w:sz w:val="22"/>
      <w:szCs w:val="22"/>
      <w:lang w:eastAsia="zh-CN"/>
    </w:rPr>
  </w:style>
  <w:style w:type="paragraph" w:customStyle="1" w:styleId="TemplateMERH3">
    <w:name w:val="Template_MER_H3"/>
    <w:basedOn w:val="Heading3"/>
    <w:next w:val="Num-DocParagraph"/>
    <w:qFormat/>
    <w:rsid w:val="00DF5B08"/>
    <w:pPr>
      <w:keepNext w:val="0"/>
      <w:keepLines w:val="0"/>
      <w:spacing w:before="120" w:after="240" w:line="280" w:lineRule="exact"/>
      <w:jc w:val="both"/>
    </w:pPr>
    <w:rPr>
      <w:rFonts w:ascii="Cambria" w:eastAsia="Times New Roman" w:hAnsi="Cambria" w:cs="Times New Roman"/>
      <w:bCs/>
      <w:i/>
      <w:iCs/>
      <w:color w:val="244061" w:themeColor="accent1" w:themeShade="80"/>
      <w:sz w:val="22"/>
      <w:lang w:eastAsia="zh-CN"/>
    </w:rPr>
  </w:style>
  <w:style w:type="paragraph" w:customStyle="1" w:styleId="NumberedPara">
    <w:name w:val="NumberedPara"/>
    <w:basedOn w:val="Normal"/>
    <w:link w:val="NumberedParaChar"/>
    <w:qFormat/>
    <w:rsid w:val="00DF5B08"/>
    <w:pPr>
      <w:spacing w:after="240" w:line="280" w:lineRule="exact"/>
      <w:jc w:val="both"/>
    </w:pPr>
    <w:rPr>
      <w:rFonts w:asciiTheme="majorHAnsi" w:eastAsiaTheme="minorHAnsi" w:hAnsiTheme="majorHAnsi"/>
      <w:color w:val="000000" w:themeColor="text1"/>
      <w:kern w:val="24"/>
      <w:sz w:val="22"/>
      <w:szCs w:val="120"/>
      <w:lang w:val="en-GB" w:eastAsia="ja-JP"/>
      <w14:ligatures w14:val="standardContextual"/>
    </w:rPr>
  </w:style>
  <w:style w:type="paragraph" w:customStyle="1" w:styleId="Criteria">
    <w:name w:val="Criteria"/>
    <w:basedOn w:val="ListParagraph"/>
    <w:link w:val="CriteriaChar"/>
    <w:qFormat/>
    <w:rsid w:val="00DF5B08"/>
    <w:pPr>
      <w:spacing w:before="240" w:after="120" w:line="280" w:lineRule="exact"/>
      <w:ind w:left="851" w:hanging="851"/>
      <w:jc w:val="both"/>
    </w:pPr>
    <w:rPr>
      <w:rFonts w:asciiTheme="minorHAnsi" w:eastAsiaTheme="minorHAnsi" w:hAnsiTheme="minorHAnsi"/>
      <w:b/>
      <w:kern w:val="24"/>
      <w:sz w:val="22"/>
      <w:lang w:val="en-GB" w:eastAsia="ja-JP"/>
      <w14:ligatures w14:val="standardContextual"/>
    </w:rPr>
  </w:style>
  <w:style w:type="character" w:customStyle="1" w:styleId="CriteriaChar">
    <w:name w:val="Criteria Char"/>
    <w:basedOn w:val="DefaultParagraphFont"/>
    <w:link w:val="Criteria"/>
    <w:rsid w:val="00DF5B08"/>
    <w:rPr>
      <w:rFonts w:asciiTheme="minorHAnsi" w:eastAsiaTheme="minorHAnsi" w:hAnsiTheme="minorHAnsi"/>
      <w:b/>
      <w:kern w:val="24"/>
      <w:sz w:val="22"/>
      <w:szCs w:val="22"/>
      <w:lang w:eastAsia="ja-JP"/>
      <w14:ligatures w14:val="standardContextual"/>
    </w:rPr>
  </w:style>
  <w:style w:type="character" w:customStyle="1" w:styleId="DefaultChar">
    <w:name w:val="Default Char"/>
    <w:basedOn w:val="DefaultParagraphFont"/>
    <w:link w:val="Default"/>
    <w:locked/>
    <w:rsid w:val="00DF5B08"/>
    <w:rPr>
      <w:rFonts w:ascii="Arial" w:eastAsia="Times New Roman" w:hAnsi="Arial" w:cs="Arial"/>
      <w:color w:val="000000"/>
      <w:sz w:val="24"/>
      <w:szCs w:val="24"/>
      <w:lang w:eastAsia="en-US"/>
    </w:rPr>
  </w:style>
  <w:style w:type="paragraph" w:customStyle="1" w:styleId="Puce1">
    <w:name w:val="Puce 1"/>
    <w:basedOn w:val="Normal"/>
    <w:qFormat/>
    <w:rsid w:val="00DF5B08"/>
    <w:pPr>
      <w:numPr>
        <w:numId w:val="24"/>
      </w:numPr>
      <w:tabs>
        <w:tab w:val="left" w:pos="2835"/>
      </w:tabs>
      <w:spacing w:after="120" w:line="300" w:lineRule="exact"/>
      <w:jc w:val="both"/>
    </w:pPr>
    <w:rPr>
      <w:rFonts w:ascii="Cambria" w:eastAsiaTheme="minorEastAsia" w:hAnsi="Cambria" w:cstheme="minorBidi"/>
      <w:sz w:val="22"/>
      <w:lang w:val="en-US" w:eastAsia="zh-CN"/>
    </w:rPr>
  </w:style>
  <w:style w:type="character" w:customStyle="1" w:styleId="Num-DocParagraph0">
    <w:name w:val="Num-Doc Paragraph (文字)"/>
    <w:link w:val="Num-DocParagraph"/>
    <w:locked/>
    <w:rsid w:val="00DF5B08"/>
    <w:rPr>
      <w:rFonts w:ascii="Times New Roman" w:eastAsia="Times New Roman" w:hAnsi="Times New Roman"/>
      <w:sz w:val="22"/>
      <w:szCs w:val="22"/>
      <w:lang w:eastAsia="zh-CN"/>
    </w:rPr>
  </w:style>
  <w:style w:type="character" w:customStyle="1" w:styleId="NumberedParaChar">
    <w:name w:val="NumberedPara Char"/>
    <w:basedOn w:val="DefaultParagraphFont"/>
    <w:link w:val="NumberedPara"/>
    <w:rsid w:val="00DF5B08"/>
    <w:rPr>
      <w:rFonts w:asciiTheme="majorHAnsi" w:eastAsiaTheme="minorHAnsi" w:hAnsiTheme="majorHAnsi"/>
      <w:color w:val="000000" w:themeColor="text1"/>
      <w:kern w:val="24"/>
      <w:sz w:val="22"/>
      <w:szCs w:val="120"/>
      <w:lang w:eastAsia="ja-JP"/>
      <w14:ligatures w14:val="standardContextual"/>
    </w:rPr>
  </w:style>
  <w:style w:type="paragraph" w:customStyle="1" w:styleId="Response">
    <w:name w:val="Response"/>
    <w:basedOn w:val="Normal"/>
    <w:link w:val="ResponseChar"/>
    <w:qFormat/>
    <w:rsid w:val="00DF5B08"/>
    <w:pPr>
      <w:pBdr>
        <w:top w:val="single" w:sz="4" w:space="1" w:color="auto"/>
        <w:left w:val="single" w:sz="4" w:space="4" w:color="auto"/>
        <w:bottom w:val="single" w:sz="4" w:space="1" w:color="auto"/>
        <w:right w:val="single" w:sz="4" w:space="4" w:color="auto"/>
      </w:pBdr>
      <w:spacing w:after="120" w:line="280" w:lineRule="exact"/>
      <w:ind w:left="567"/>
      <w:jc w:val="both"/>
    </w:pPr>
    <w:rPr>
      <w:rFonts w:ascii="Calibri" w:hAnsi="Calibri"/>
      <w:color w:val="000000"/>
      <w:kern w:val="24"/>
      <w:sz w:val="24"/>
      <w:szCs w:val="120"/>
      <w:lang w:val="en-GB" w:eastAsia="ja-JP"/>
    </w:rPr>
  </w:style>
  <w:style w:type="character" w:customStyle="1" w:styleId="ResponseChar">
    <w:name w:val="Response Char"/>
    <w:basedOn w:val="DefaultParagraphFont"/>
    <w:link w:val="Response"/>
    <w:rsid w:val="00DF5B08"/>
    <w:rPr>
      <w:color w:val="000000"/>
      <w:kern w:val="24"/>
      <w:sz w:val="24"/>
      <w:szCs w:val="120"/>
      <w:lang w:eastAsia="ja-JP"/>
    </w:rPr>
  </w:style>
  <w:style w:type="character" w:customStyle="1" w:styleId="UnresolvedMention1">
    <w:name w:val="Unresolved Mention1"/>
    <w:basedOn w:val="DefaultParagraphFont"/>
    <w:uiPriority w:val="99"/>
    <w:semiHidden/>
    <w:unhideWhenUsed/>
    <w:rsid w:val="00DF5B08"/>
    <w:rPr>
      <w:color w:val="605E5C"/>
      <w:shd w:val="clear" w:color="auto" w:fill="E1DFDD"/>
    </w:rPr>
  </w:style>
  <w:style w:type="paragraph" w:customStyle="1" w:styleId="ftrefCharChar">
    <w:name w:val="ftref Char Char"/>
    <w:aliases w:val=" Car Car5 Char Char Car Car Char Char Char Char Char,Footnote Reference.ftref Char.ftref Car Char Char.Car Car5 Char Char Car Car Char Char Char Char Char Char Char Char,Footnotes refss,callout,ftref Car Char Char Char"/>
    <w:basedOn w:val="Normal"/>
    <w:rsid w:val="00DF5B08"/>
    <w:pPr>
      <w:spacing w:after="160" w:line="240" w:lineRule="exact"/>
      <w:jc w:val="both"/>
    </w:pPr>
    <w:rPr>
      <w:rFonts w:ascii="Times New Roman" w:eastAsiaTheme="minorHAnsi" w:hAnsi="Times New Roman" w:cstheme="minorBidi"/>
      <w:sz w:val="22"/>
      <w:vertAlign w:val="superscript"/>
      <w:lang w:val="en-US"/>
    </w:rPr>
  </w:style>
  <w:style w:type="table" w:customStyle="1" w:styleId="ListTable3-Accent11">
    <w:name w:val="List Table 3 - Accent 11"/>
    <w:basedOn w:val="TableNormal"/>
    <w:next w:val="TableNormal"/>
    <w:uiPriority w:val="48"/>
    <w:rsid w:val="00DF5B08"/>
    <w:pPr>
      <w:jc w:val="both"/>
    </w:pPr>
    <w:rPr>
      <w:rFonts w:ascii="Times New Roman" w:eastAsia="SimSun" w:hAnsi="Times New Roman"/>
      <w:lang w:val="en-US" w:eastAsia="en-US"/>
    </w:rPr>
    <w:tblPr>
      <w:tblStyleRowBandSize w:val="1"/>
      <w:tblStyleColBandSize w:val="1"/>
      <w:tblBorders>
        <w:top w:val="single" w:sz="4" w:space="0" w:color="348093"/>
        <w:left w:val="single" w:sz="4" w:space="0" w:color="348093"/>
        <w:bottom w:val="single" w:sz="4" w:space="0" w:color="348093"/>
        <w:right w:val="single" w:sz="4" w:space="0" w:color="348093"/>
      </w:tblBorders>
    </w:tblPr>
    <w:tblStylePr w:type="firstRow">
      <w:rPr>
        <w:b/>
        <w:bCs/>
        <w:color w:val="FFFFFF"/>
      </w:rPr>
      <w:tblPr/>
      <w:tcPr>
        <w:shd w:val="clear" w:color="auto" w:fill="348093"/>
      </w:tcPr>
    </w:tblStylePr>
    <w:tblStylePr w:type="lastRow">
      <w:rPr>
        <w:b/>
        <w:bCs/>
      </w:rPr>
      <w:tblPr/>
      <w:tcPr>
        <w:tcBorders>
          <w:top w:val="double" w:sz="4" w:space="0" w:color="3480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48093"/>
          <w:right w:val="single" w:sz="4" w:space="0" w:color="348093"/>
        </w:tcBorders>
      </w:tcPr>
    </w:tblStylePr>
    <w:tblStylePr w:type="band1Horz">
      <w:tblPr/>
      <w:tcPr>
        <w:tcBorders>
          <w:top w:val="single" w:sz="4" w:space="0" w:color="348093"/>
          <w:bottom w:val="single" w:sz="4" w:space="0" w:color="3480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8093"/>
          <w:left w:val="nil"/>
        </w:tcBorders>
      </w:tcPr>
    </w:tblStylePr>
    <w:tblStylePr w:type="swCell">
      <w:tblPr/>
      <w:tcPr>
        <w:tcBorders>
          <w:top w:val="double" w:sz="4" w:space="0" w:color="348093"/>
          <w:right w:val="nil"/>
        </w:tcBorders>
      </w:tcPr>
    </w:tblStylePr>
  </w:style>
  <w:style w:type="table" w:customStyle="1" w:styleId="TableGrid20">
    <w:name w:val="Table Grid2"/>
    <w:basedOn w:val="TableNormal"/>
    <w:next w:val="TableGrid"/>
    <w:uiPriority w:val="59"/>
    <w:rsid w:val="00DF5B08"/>
    <w:pPr>
      <w:jc w:val="both"/>
    </w:pPr>
    <w:rPr>
      <w:rFonts w:ascii="Georgia" w:eastAsiaTheme="minorHAnsi" w:hAnsi="Georg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1">
    <w:name w:val="OECD1"/>
    <w:basedOn w:val="TableSimple1"/>
    <w:uiPriority w:val="99"/>
    <w:rsid w:val="00DF5B08"/>
    <w:pPr>
      <w:tabs>
        <w:tab w:val="clear" w:pos="850"/>
        <w:tab w:val="clear" w:pos="1191"/>
        <w:tab w:val="clear" w:pos="1531"/>
      </w:tabs>
      <w:spacing w:before="10" w:after="20" w:line="200" w:lineRule="exact"/>
    </w:pPr>
    <w:rPr>
      <w:rFonts w:ascii="Arial Narrow" w:hAnsi="Arial Narrow"/>
      <w:sz w:val="17"/>
      <w:lang w:val="fr-FR" w:eastAsia="fr-FR" w:bidi="he-IL"/>
    </w:rPr>
    <w:tblPr>
      <w:tblBorders>
        <w:top w:val="single" w:sz="12" w:space="0" w:color="4F81BD"/>
        <w:bottom w:val="single" w:sz="12" w:space="0" w:color="4F81BD"/>
        <w:insideH w:val="single" w:sz="6" w:space="0" w:color="BFBFBF"/>
        <w:insideV w:val="single" w:sz="6" w:space="0" w:color="BFBFBF"/>
      </w:tblBorders>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DF5B08"/>
    <w:pPr>
      <w:tabs>
        <w:tab w:val="left" w:pos="850"/>
        <w:tab w:val="left" w:pos="1191"/>
        <w:tab w:val="left" w:pos="1531"/>
      </w:tabs>
      <w:jc w:val="both"/>
    </w:pPr>
    <w:rPr>
      <w:rFonts w:ascii="Georgia" w:eastAsiaTheme="minorHAnsi" w:hAnsi="Georgia"/>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GridTable5Dark-Accent211">
    <w:name w:val="Grid Table 5 Dark - Accent 211"/>
    <w:basedOn w:val="TableNormal"/>
    <w:uiPriority w:val="50"/>
    <w:rsid w:val="00DF5B08"/>
    <w:pPr>
      <w:jc w:val="both"/>
    </w:pPr>
    <w:rPr>
      <w:rFonts w:eastAsia="Times New Roman"/>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Headfoot">
    <w:name w:val="Head&amp;foot"/>
    <w:basedOn w:val="Normal"/>
    <w:rsid w:val="00DF5B08"/>
    <w:pPr>
      <w:tabs>
        <w:tab w:val="left" w:pos="6237"/>
      </w:tabs>
      <w:spacing w:line="300" w:lineRule="exact"/>
      <w:jc w:val="both"/>
    </w:pPr>
    <w:rPr>
      <w:rFonts w:eastAsia="Times New Roman"/>
      <w:sz w:val="24"/>
      <w:szCs w:val="20"/>
      <w:lang w:val="el-GR"/>
    </w:rPr>
  </w:style>
  <w:style w:type="character" w:customStyle="1" w:styleId="TOC1Char">
    <w:name w:val="TOC 1 Char"/>
    <w:basedOn w:val="DefaultParagraphFont"/>
    <w:link w:val="TOC1"/>
    <w:uiPriority w:val="39"/>
    <w:rsid w:val="004615E1"/>
    <w:rPr>
      <w:rFonts w:asciiTheme="majorHAnsi" w:eastAsia="Times New Roman" w:hAnsiTheme="majorHAnsi"/>
      <w:b/>
      <w:bCs/>
      <w:caps/>
      <w:sz w:val="24"/>
      <w:szCs w:val="24"/>
      <w:lang w:val="fr-FR" w:eastAsia="fr-FR"/>
    </w:rPr>
  </w:style>
  <w:style w:type="paragraph" w:customStyle="1" w:styleId="Annextext">
    <w:name w:val="Annex text"/>
    <w:basedOn w:val="Para"/>
    <w:link w:val="AnnextextChar"/>
    <w:qFormat/>
    <w:rsid w:val="00DF5B08"/>
    <w:pPr>
      <w:numPr>
        <w:numId w:val="0"/>
      </w:numPr>
    </w:pPr>
  </w:style>
  <w:style w:type="character" w:customStyle="1" w:styleId="AnnextextChar">
    <w:name w:val="Annex text Char"/>
    <w:basedOn w:val="ParaChar"/>
    <w:link w:val="Annextext"/>
    <w:rsid w:val="00DF5B08"/>
    <w:rPr>
      <w:rFonts w:ascii="Cambria" w:eastAsia="SimSun" w:hAnsi="Cambria"/>
      <w:sz w:val="22"/>
      <w:lang w:eastAsia="en-US"/>
    </w:rPr>
  </w:style>
  <w:style w:type="paragraph" w:customStyle="1" w:styleId="ListNumberBox">
    <w:name w:val="List Number Box"/>
    <w:basedOn w:val="Normal"/>
    <w:rsid w:val="00DF5B08"/>
    <w:pPr>
      <w:numPr>
        <w:numId w:val="25"/>
      </w:numPr>
      <w:tabs>
        <w:tab w:val="clear" w:pos="1950"/>
        <w:tab w:val="num" w:pos="360"/>
        <w:tab w:val="left" w:pos="850"/>
      </w:tabs>
      <w:spacing w:after="240"/>
      <w:ind w:left="850" w:firstLine="0"/>
      <w:jc w:val="both"/>
    </w:pPr>
    <w:rPr>
      <w:rFonts w:eastAsia="Times New Roman" w:cs="Arial"/>
      <w:sz w:val="18"/>
      <w:lang w:val="en-GB" w:eastAsia="zh-CN"/>
    </w:rPr>
  </w:style>
  <w:style w:type="paragraph" w:customStyle="1" w:styleId="ListNumberBox2">
    <w:name w:val="List Number Box 2"/>
    <w:basedOn w:val="Normal"/>
    <w:rsid w:val="00DF5B08"/>
    <w:pPr>
      <w:numPr>
        <w:ilvl w:val="1"/>
        <w:numId w:val="25"/>
      </w:numPr>
      <w:tabs>
        <w:tab w:val="clear" w:pos="2291"/>
        <w:tab w:val="num" w:pos="360"/>
        <w:tab w:val="left" w:pos="1191"/>
      </w:tabs>
      <w:spacing w:after="240"/>
      <w:ind w:left="1191" w:hanging="340"/>
      <w:jc w:val="both"/>
    </w:pPr>
    <w:rPr>
      <w:rFonts w:eastAsia="Times New Roman" w:cs="Arial"/>
      <w:sz w:val="18"/>
      <w:lang w:val="en-GB" w:eastAsia="zh-CN"/>
    </w:rPr>
  </w:style>
  <w:style w:type="paragraph" w:customStyle="1" w:styleId="ListNumberBox3">
    <w:name w:val="List Number Box 3"/>
    <w:basedOn w:val="Normal"/>
    <w:rsid w:val="00DF5B08"/>
    <w:pPr>
      <w:numPr>
        <w:ilvl w:val="2"/>
        <w:numId w:val="25"/>
      </w:numPr>
      <w:tabs>
        <w:tab w:val="clear" w:pos="2574"/>
        <w:tab w:val="num" w:pos="360"/>
        <w:tab w:val="left" w:pos="1474"/>
      </w:tabs>
      <w:spacing w:after="240"/>
      <w:ind w:left="1474" w:firstLine="0"/>
      <w:jc w:val="both"/>
    </w:pPr>
    <w:rPr>
      <w:rFonts w:eastAsia="Times New Roman" w:cs="Arial"/>
      <w:sz w:val="18"/>
      <w:lang w:val="en-GB" w:eastAsia="zh-CN"/>
    </w:rPr>
  </w:style>
  <w:style w:type="paragraph" w:customStyle="1" w:styleId="Title1">
    <w:name w:val="Title 1"/>
    <w:basedOn w:val="Normal"/>
    <w:link w:val="Title1Char"/>
    <w:qFormat/>
    <w:rsid w:val="00DF5B08"/>
    <w:pPr>
      <w:keepNext/>
      <w:widowControl w:val="0"/>
      <w:spacing w:before="240" w:after="240"/>
      <w:ind w:right="284"/>
      <w:jc w:val="both"/>
      <w:outlineLvl w:val="1"/>
    </w:pPr>
    <w:rPr>
      <w:rFonts w:eastAsia="Times New Roman" w:cs="Arial"/>
      <w:b/>
      <w:bCs/>
      <w:color w:val="000000"/>
      <w:w w:val="105"/>
      <w:kern w:val="28"/>
      <w:szCs w:val="20"/>
      <w:lang w:val="en-GB" w:eastAsia="zh-CN"/>
    </w:rPr>
  </w:style>
  <w:style w:type="character" w:customStyle="1" w:styleId="Title1Char">
    <w:name w:val="Title 1 Char"/>
    <w:link w:val="Title1"/>
    <w:rsid w:val="00DF5B08"/>
    <w:rPr>
      <w:rFonts w:ascii="Arial" w:eastAsia="Times New Roman" w:hAnsi="Arial" w:cs="Arial"/>
      <w:b/>
      <w:bCs/>
      <w:color w:val="000000"/>
      <w:w w:val="105"/>
      <w:kern w:val="28"/>
      <w:lang w:eastAsia="zh-CN"/>
    </w:rPr>
  </w:style>
  <w:style w:type="character" w:customStyle="1" w:styleId="LD-ParaChar">
    <w:name w:val="LD-Para Char"/>
    <w:link w:val="LD-Para"/>
    <w:locked/>
    <w:rsid w:val="00DF5B08"/>
    <w:rPr>
      <w:rFonts w:ascii="Arial" w:hAnsi="Arial" w:cs="Arial"/>
      <w:bCs/>
      <w:iCs/>
      <w:shd w:val="clear" w:color="auto" w:fill="FFFFFF"/>
    </w:rPr>
  </w:style>
  <w:style w:type="paragraph" w:customStyle="1" w:styleId="LD-Para">
    <w:name w:val="LD-Para"/>
    <w:basedOn w:val="Normal"/>
    <w:link w:val="LD-ParaChar"/>
    <w:qFormat/>
    <w:rsid w:val="00DF5B08"/>
    <w:pPr>
      <w:widowControl w:val="0"/>
      <w:numPr>
        <w:numId w:val="31"/>
      </w:numPr>
      <w:shd w:val="clear" w:color="auto" w:fill="FFFFFF"/>
      <w:snapToGrid w:val="0"/>
      <w:spacing w:before="240" w:after="240"/>
      <w:jc w:val="both"/>
    </w:pPr>
    <w:rPr>
      <w:rFonts w:cs="Arial"/>
      <w:bCs/>
      <w:iCs/>
      <w:szCs w:val="20"/>
      <w:lang w:val="en-GB" w:eastAsia="en-GB"/>
    </w:rPr>
  </w:style>
  <w:style w:type="character" w:customStyle="1" w:styleId="1">
    <w:name w:val="Ανεπίλυτη αναφορά1"/>
    <w:basedOn w:val="DefaultParagraphFont"/>
    <w:uiPriority w:val="99"/>
    <w:semiHidden/>
    <w:unhideWhenUsed/>
    <w:rsid w:val="00DF5B08"/>
    <w:rPr>
      <w:color w:val="605E5C"/>
      <w:shd w:val="clear" w:color="auto" w:fill="E1DFDD"/>
    </w:rPr>
  </w:style>
  <w:style w:type="paragraph" w:customStyle="1" w:styleId="TitleI">
    <w:name w:val="Title I"/>
    <w:basedOn w:val="Title1"/>
    <w:link w:val="TitleIChar"/>
    <w:qFormat/>
    <w:rsid w:val="00DF5B08"/>
  </w:style>
  <w:style w:type="paragraph" w:customStyle="1" w:styleId="Title10">
    <w:name w:val="Title1."/>
    <w:basedOn w:val="Normal"/>
    <w:link w:val="Title1Char0"/>
    <w:qFormat/>
    <w:rsid w:val="00DF5B08"/>
    <w:pPr>
      <w:jc w:val="both"/>
    </w:pPr>
    <w:rPr>
      <w:b/>
      <w:lang w:val="en-GB"/>
    </w:rPr>
  </w:style>
  <w:style w:type="character" w:customStyle="1" w:styleId="TitleIChar">
    <w:name w:val="Title I Char"/>
    <w:basedOn w:val="Title1Char"/>
    <w:link w:val="TitleI"/>
    <w:rsid w:val="00DF5B08"/>
    <w:rPr>
      <w:rFonts w:ascii="Arial" w:eastAsia="Times New Roman" w:hAnsi="Arial" w:cs="Arial"/>
      <w:b/>
      <w:bCs/>
      <w:color w:val="000000"/>
      <w:w w:val="105"/>
      <w:kern w:val="28"/>
      <w:lang w:eastAsia="zh-CN"/>
    </w:rPr>
  </w:style>
  <w:style w:type="character" w:customStyle="1" w:styleId="Title1Char0">
    <w:name w:val="Title1. Char"/>
    <w:basedOn w:val="DefaultParagraphFont"/>
    <w:link w:val="Title10"/>
    <w:rsid w:val="00DF5B08"/>
    <w:rPr>
      <w:rFonts w:ascii="Arial" w:hAnsi="Arial"/>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4525">
      <w:bodyDiv w:val="1"/>
      <w:marLeft w:val="0"/>
      <w:marRight w:val="0"/>
      <w:marTop w:val="0"/>
      <w:marBottom w:val="0"/>
      <w:divBdr>
        <w:top w:val="none" w:sz="0" w:space="0" w:color="auto"/>
        <w:left w:val="none" w:sz="0" w:space="0" w:color="auto"/>
        <w:bottom w:val="none" w:sz="0" w:space="0" w:color="auto"/>
        <w:right w:val="none" w:sz="0" w:space="0" w:color="auto"/>
      </w:divBdr>
    </w:div>
    <w:div w:id="322049934">
      <w:bodyDiv w:val="1"/>
      <w:marLeft w:val="0"/>
      <w:marRight w:val="0"/>
      <w:marTop w:val="0"/>
      <w:marBottom w:val="0"/>
      <w:divBdr>
        <w:top w:val="none" w:sz="0" w:space="0" w:color="auto"/>
        <w:left w:val="none" w:sz="0" w:space="0" w:color="auto"/>
        <w:bottom w:val="none" w:sz="0" w:space="0" w:color="auto"/>
        <w:right w:val="none" w:sz="0" w:space="0" w:color="auto"/>
      </w:divBdr>
    </w:div>
    <w:div w:id="338433659">
      <w:bodyDiv w:val="1"/>
      <w:marLeft w:val="0"/>
      <w:marRight w:val="0"/>
      <w:marTop w:val="0"/>
      <w:marBottom w:val="0"/>
      <w:divBdr>
        <w:top w:val="none" w:sz="0" w:space="0" w:color="auto"/>
        <w:left w:val="none" w:sz="0" w:space="0" w:color="auto"/>
        <w:bottom w:val="none" w:sz="0" w:space="0" w:color="auto"/>
        <w:right w:val="none" w:sz="0" w:space="0" w:color="auto"/>
      </w:divBdr>
    </w:div>
    <w:div w:id="554584601">
      <w:bodyDiv w:val="1"/>
      <w:marLeft w:val="0"/>
      <w:marRight w:val="0"/>
      <w:marTop w:val="0"/>
      <w:marBottom w:val="0"/>
      <w:divBdr>
        <w:top w:val="none" w:sz="0" w:space="0" w:color="auto"/>
        <w:left w:val="none" w:sz="0" w:space="0" w:color="auto"/>
        <w:bottom w:val="none" w:sz="0" w:space="0" w:color="auto"/>
        <w:right w:val="none" w:sz="0" w:space="0" w:color="auto"/>
      </w:divBdr>
    </w:div>
    <w:div w:id="559244745">
      <w:bodyDiv w:val="1"/>
      <w:marLeft w:val="0"/>
      <w:marRight w:val="0"/>
      <w:marTop w:val="0"/>
      <w:marBottom w:val="0"/>
      <w:divBdr>
        <w:top w:val="none" w:sz="0" w:space="0" w:color="auto"/>
        <w:left w:val="none" w:sz="0" w:space="0" w:color="auto"/>
        <w:bottom w:val="none" w:sz="0" w:space="0" w:color="auto"/>
        <w:right w:val="none" w:sz="0" w:space="0" w:color="auto"/>
      </w:divBdr>
    </w:div>
    <w:div w:id="809516418">
      <w:bodyDiv w:val="1"/>
      <w:marLeft w:val="0"/>
      <w:marRight w:val="0"/>
      <w:marTop w:val="0"/>
      <w:marBottom w:val="0"/>
      <w:divBdr>
        <w:top w:val="none" w:sz="0" w:space="0" w:color="auto"/>
        <w:left w:val="none" w:sz="0" w:space="0" w:color="auto"/>
        <w:bottom w:val="none" w:sz="0" w:space="0" w:color="auto"/>
        <w:right w:val="none" w:sz="0" w:space="0" w:color="auto"/>
      </w:divBdr>
    </w:div>
    <w:div w:id="1296832979">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387414181">
      <w:bodyDiv w:val="1"/>
      <w:marLeft w:val="0"/>
      <w:marRight w:val="0"/>
      <w:marTop w:val="0"/>
      <w:marBottom w:val="0"/>
      <w:divBdr>
        <w:top w:val="none" w:sz="0" w:space="0" w:color="auto"/>
        <w:left w:val="none" w:sz="0" w:space="0" w:color="auto"/>
        <w:bottom w:val="none" w:sz="0" w:space="0" w:color="auto"/>
        <w:right w:val="none" w:sz="0" w:space="0" w:color="auto"/>
      </w:divBdr>
    </w:div>
    <w:div w:id="1690519714">
      <w:bodyDiv w:val="1"/>
      <w:marLeft w:val="0"/>
      <w:marRight w:val="0"/>
      <w:marTop w:val="0"/>
      <w:marBottom w:val="0"/>
      <w:divBdr>
        <w:top w:val="none" w:sz="0" w:space="0" w:color="auto"/>
        <w:left w:val="none" w:sz="0" w:space="0" w:color="auto"/>
        <w:bottom w:val="none" w:sz="0" w:space="0" w:color="auto"/>
        <w:right w:val="none" w:sz="0" w:space="0" w:color="auto"/>
      </w:divBdr>
    </w:div>
    <w:div w:id="1760445657">
      <w:bodyDiv w:val="1"/>
      <w:marLeft w:val="0"/>
      <w:marRight w:val="0"/>
      <w:marTop w:val="0"/>
      <w:marBottom w:val="0"/>
      <w:divBdr>
        <w:top w:val="none" w:sz="0" w:space="0" w:color="auto"/>
        <w:left w:val="none" w:sz="0" w:space="0" w:color="auto"/>
        <w:bottom w:val="none" w:sz="0" w:space="0" w:color="auto"/>
        <w:right w:val="none" w:sz="0" w:space="0" w:color="auto"/>
      </w:divBdr>
    </w:div>
    <w:div w:id="1760524698">
      <w:bodyDiv w:val="1"/>
      <w:marLeft w:val="0"/>
      <w:marRight w:val="0"/>
      <w:marTop w:val="0"/>
      <w:marBottom w:val="0"/>
      <w:divBdr>
        <w:top w:val="none" w:sz="0" w:space="0" w:color="auto"/>
        <w:left w:val="none" w:sz="0" w:space="0" w:color="auto"/>
        <w:bottom w:val="none" w:sz="0" w:space="0" w:color="auto"/>
        <w:right w:val="none" w:sz="0" w:space="0" w:color="auto"/>
      </w:divBdr>
    </w:div>
    <w:div w:id="21307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wikipedia.org/wiki/Investment_bank" TargetMode="External"/><Relationship Id="rId18" Type="http://schemas.openxmlformats.org/officeDocument/2006/relationships/hyperlink" Target="http://www.cfatf-gafic.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saamlg.org/" TargetMode="External"/><Relationship Id="rId7" Type="http://schemas.openxmlformats.org/officeDocument/2006/relationships/endnotes" Target="endnotes.xml"/><Relationship Id="rId12" Type="http://schemas.openxmlformats.org/officeDocument/2006/relationships/hyperlink" Target="https://en.wikipedia.org/wiki/Investment_bank" TargetMode="External"/><Relationship Id="rId17" Type="http://schemas.openxmlformats.org/officeDocument/2006/relationships/image" Target="media/image4.png"/><Relationship Id="rId25" Type="http://schemas.openxmlformats.org/officeDocument/2006/relationships/hyperlink" Target="http://spgabac.org/" TargetMode="External"/><Relationship Id="rId2" Type="http://schemas.openxmlformats.org/officeDocument/2006/relationships/numbering" Target="numbering.xml"/><Relationship Id="rId16" Type="http://schemas.openxmlformats.org/officeDocument/2006/relationships/hyperlink" Target="http://www.apgml.org/" TargetMode="External"/><Relationship Id="rId20" Type="http://schemas.openxmlformats.org/officeDocument/2006/relationships/hyperlink" Target="http://www.eurasiangroup.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rnational_financial_institution" TargetMode="External"/><Relationship Id="rId24" Type="http://schemas.openxmlformats.org/officeDocument/2006/relationships/hyperlink" Target="http://www.menafatf.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Market_economy" TargetMode="External"/><Relationship Id="rId23" Type="http://schemas.openxmlformats.org/officeDocument/2006/relationships/hyperlink" Target="http://www.giaba.org/" TargetMode="Externa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coe.int/moneyv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en.wikipedia.org/wiki/Investment" TargetMode="External"/><Relationship Id="rId22" Type="http://schemas.openxmlformats.org/officeDocument/2006/relationships/hyperlink" Target="http://www.gafisud.info/"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fr/web/moneyval/strategy-and-workpl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r-FR" sz="1200" b="0"/>
              <a:t>Fig.1</a:t>
            </a:r>
            <a:r>
              <a:rPr lang="fr-FR" sz="1200" b="0" baseline="0"/>
              <a:t>: </a:t>
            </a:r>
            <a:r>
              <a:rPr lang="fr-FR" sz="1200" b="0" i="0" u="none" strike="noStrike" baseline="0">
                <a:effectLst/>
              </a:rPr>
              <a:t>Aperçu des notations en matière d'efficacité</a:t>
            </a:r>
            <a:endParaRPr lang="fr-FR" sz="1200" b="0"/>
          </a:p>
        </c:rich>
      </c:tx>
      <c:layout>
        <c:manualLayout>
          <c:xMode val="edge"/>
          <c:yMode val="edge"/>
          <c:x val="0.22045658012533573"/>
          <c:y val="1.948503827418232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fr-FR"/>
        </a:p>
      </c:txPr>
    </c:title>
    <c:autoTitleDeleted val="0"/>
    <c:plotArea>
      <c:layout>
        <c:manualLayout>
          <c:layoutTarget val="inner"/>
          <c:xMode val="edge"/>
          <c:yMode val="edge"/>
          <c:x val="0.10572874996312039"/>
          <c:y val="0.10785992217898832"/>
          <c:w val="0.87002615415854589"/>
          <c:h val="0.53024268626129456"/>
        </c:manualLayout>
      </c:layout>
      <c:barChart>
        <c:barDir val="col"/>
        <c:grouping val="stacked"/>
        <c:varyColors val="0"/>
        <c:ser>
          <c:idx val="0"/>
          <c:order val="0"/>
          <c:tx>
            <c:strRef>
              <c:f>Sheet1!$B$1</c:f>
              <c:strCache>
                <c:ptCount val="1"/>
                <c:pt idx="0">
                  <c:v>Low</c:v>
                </c:pt>
              </c:strCache>
            </c:strRef>
          </c:tx>
          <c:spPr>
            <a:solidFill>
              <a:srgbClr val="FF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Sheet1!$B$2:$B$12</c:f>
              <c:numCache>
                <c:formatCode>General</c:formatCode>
                <c:ptCount val="11"/>
                <c:pt idx="0">
                  <c:v>1</c:v>
                </c:pt>
                <c:pt idx="2">
                  <c:v>2</c:v>
                </c:pt>
                <c:pt idx="4">
                  <c:v>3</c:v>
                </c:pt>
                <c:pt idx="5">
                  <c:v>3</c:v>
                </c:pt>
                <c:pt idx="6">
                  <c:v>10</c:v>
                </c:pt>
                <c:pt idx="7">
                  <c:v>9</c:v>
                </c:pt>
                <c:pt idx="8">
                  <c:v>1</c:v>
                </c:pt>
                <c:pt idx="9">
                  <c:v>3</c:v>
                </c:pt>
                <c:pt idx="10">
                  <c:v>5</c:v>
                </c:pt>
              </c:numCache>
            </c:numRef>
          </c:val>
          <c:extLst>
            <c:ext xmlns:c16="http://schemas.microsoft.com/office/drawing/2014/chart" uri="{C3380CC4-5D6E-409C-BE32-E72D297353CC}">
              <c16:uniqueId val="{00000000-1A42-416D-B7F6-94176518203D}"/>
            </c:ext>
          </c:extLst>
        </c:ser>
        <c:ser>
          <c:idx val="1"/>
          <c:order val="1"/>
          <c:tx>
            <c:strRef>
              <c:f>Sheet1!$C$1</c:f>
              <c:strCache>
                <c:ptCount val="1"/>
                <c:pt idx="0">
                  <c:v>Moderate</c:v>
                </c:pt>
              </c:strCache>
            </c:strRef>
          </c:tx>
          <c:spPr>
            <a:solidFill>
              <a:srgbClr val="FFC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Sheet1!$C$2:$C$12</c:f>
              <c:numCache>
                <c:formatCode>General</c:formatCode>
                <c:ptCount val="11"/>
                <c:pt idx="0">
                  <c:v>17</c:v>
                </c:pt>
                <c:pt idx="1">
                  <c:v>5</c:v>
                </c:pt>
                <c:pt idx="2">
                  <c:v>23</c:v>
                </c:pt>
                <c:pt idx="3">
                  <c:v>22</c:v>
                </c:pt>
                <c:pt idx="4">
                  <c:v>19</c:v>
                </c:pt>
                <c:pt idx="5">
                  <c:v>15</c:v>
                </c:pt>
                <c:pt idx="6">
                  <c:v>15</c:v>
                </c:pt>
                <c:pt idx="7">
                  <c:v>13</c:v>
                </c:pt>
                <c:pt idx="8">
                  <c:v>15</c:v>
                </c:pt>
                <c:pt idx="9">
                  <c:v>21</c:v>
                </c:pt>
                <c:pt idx="10">
                  <c:v>18</c:v>
                </c:pt>
              </c:numCache>
            </c:numRef>
          </c:val>
          <c:extLst>
            <c:ext xmlns:c16="http://schemas.microsoft.com/office/drawing/2014/chart" uri="{C3380CC4-5D6E-409C-BE32-E72D297353CC}">
              <c16:uniqueId val="{00000001-1A42-416D-B7F6-94176518203D}"/>
            </c:ext>
          </c:extLst>
        </c:ser>
        <c:ser>
          <c:idx val="2"/>
          <c:order val="2"/>
          <c:tx>
            <c:strRef>
              <c:f>Sheet1!$D$1</c:f>
              <c:strCache>
                <c:ptCount val="1"/>
                <c:pt idx="0">
                  <c:v>Substantial</c:v>
                </c:pt>
              </c:strCache>
            </c:strRef>
          </c:tx>
          <c:spPr>
            <a:solidFill>
              <a:srgbClr val="92D05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Sheet1!$D$2:$D$12</c:f>
              <c:numCache>
                <c:formatCode>General</c:formatCode>
                <c:ptCount val="11"/>
                <c:pt idx="0">
                  <c:v>8</c:v>
                </c:pt>
                <c:pt idx="1">
                  <c:v>20</c:v>
                </c:pt>
                <c:pt idx="2">
                  <c:v>1</c:v>
                </c:pt>
                <c:pt idx="3">
                  <c:v>4</c:v>
                </c:pt>
                <c:pt idx="4">
                  <c:v>4</c:v>
                </c:pt>
                <c:pt idx="5">
                  <c:v>7</c:v>
                </c:pt>
                <c:pt idx="6">
                  <c:v>1</c:v>
                </c:pt>
                <c:pt idx="7">
                  <c:v>3</c:v>
                </c:pt>
                <c:pt idx="8">
                  <c:v>9</c:v>
                </c:pt>
                <c:pt idx="9">
                  <c:v>2</c:v>
                </c:pt>
                <c:pt idx="10">
                  <c:v>3</c:v>
                </c:pt>
              </c:numCache>
            </c:numRef>
          </c:val>
          <c:extLst>
            <c:ext xmlns:c16="http://schemas.microsoft.com/office/drawing/2014/chart" uri="{C3380CC4-5D6E-409C-BE32-E72D297353CC}">
              <c16:uniqueId val="{00000002-1A42-416D-B7F6-94176518203D}"/>
            </c:ext>
          </c:extLst>
        </c:ser>
        <c:ser>
          <c:idx val="3"/>
          <c:order val="3"/>
          <c:tx>
            <c:strRef>
              <c:f>Sheet1!$E$1</c:f>
              <c:strCache>
                <c:ptCount val="1"/>
                <c:pt idx="0">
                  <c:v>High</c:v>
                </c:pt>
              </c:strCache>
            </c:strRef>
          </c:tx>
          <c:spPr>
            <a:solidFill>
              <a:srgbClr val="00B05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Sheet1!$E$2:$E$12</c:f>
              <c:numCache>
                <c:formatCode>General</c:formatCode>
                <c:ptCount val="11"/>
                <c:pt idx="1">
                  <c:v>1</c:v>
                </c:pt>
                <c:pt idx="5">
                  <c:v>1</c:v>
                </c:pt>
                <c:pt idx="7">
                  <c:v>1</c:v>
                </c:pt>
                <c:pt idx="8">
                  <c:v>1</c:v>
                </c:pt>
              </c:numCache>
            </c:numRef>
          </c:val>
          <c:extLst>
            <c:ext xmlns:c16="http://schemas.microsoft.com/office/drawing/2014/chart" uri="{C3380CC4-5D6E-409C-BE32-E72D297353CC}">
              <c16:uniqueId val="{00000003-1A42-416D-B7F6-94176518203D}"/>
            </c:ext>
          </c:extLst>
        </c:ser>
        <c:ser>
          <c:idx val="4"/>
          <c:order val="4"/>
          <c:tx>
            <c:strRef>
              <c:f>Sheet1!$F$1</c:f>
              <c:strCache>
                <c:ptCount val="1"/>
                <c:pt idx="0">
                  <c:v>Column1</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Sheet1!$F$2:$F$12</c:f>
              <c:numCache>
                <c:formatCode>General</c:formatCode>
                <c:ptCount val="11"/>
              </c:numCache>
            </c:numRef>
          </c:val>
          <c:extLst>
            <c:ext xmlns:c16="http://schemas.microsoft.com/office/drawing/2014/chart" uri="{C3380CC4-5D6E-409C-BE32-E72D297353CC}">
              <c16:uniqueId val="{00000004-1A42-416D-B7F6-94176518203D}"/>
            </c:ext>
          </c:extLst>
        </c:ser>
        <c:ser>
          <c:idx val="5"/>
          <c:order val="5"/>
          <c:tx>
            <c:strRef>
              <c:f>Sheet1!$G$1</c:f>
              <c:strCache>
                <c:ptCount val="1"/>
                <c:pt idx="0">
                  <c:v>Column2</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Sheet1!$G$2:$G$12</c:f>
              <c:numCache>
                <c:formatCode>General</c:formatCode>
                <c:ptCount val="11"/>
              </c:numCache>
            </c:numRef>
          </c:val>
          <c:extLst>
            <c:ext xmlns:c16="http://schemas.microsoft.com/office/drawing/2014/chart" uri="{C3380CC4-5D6E-409C-BE32-E72D297353CC}">
              <c16:uniqueId val="{00000005-1A42-416D-B7F6-94176518203D}"/>
            </c:ext>
          </c:extLst>
        </c:ser>
        <c:dLbls>
          <c:dLblPos val="ctr"/>
          <c:showLegendKey val="0"/>
          <c:showVal val="1"/>
          <c:showCatName val="0"/>
          <c:showSerName val="0"/>
          <c:showPercent val="0"/>
          <c:showBubbleSize val="0"/>
        </c:dLbls>
        <c:gapWidth val="150"/>
        <c:overlap val="100"/>
        <c:axId val="918073416"/>
        <c:axId val="918077680"/>
      </c:barChart>
      <c:catAx>
        <c:axId val="918073416"/>
        <c:scaling>
          <c:orientation val="minMax"/>
        </c:scaling>
        <c:delete val="1"/>
        <c:axPos val="b"/>
        <c:numFmt formatCode="General" sourceLinked="1"/>
        <c:majorTickMark val="none"/>
        <c:minorTickMark val="none"/>
        <c:tickLblPos val="nextTo"/>
        <c:crossAx val="918077680"/>
        <c:crosses val="autoZero"/>
        <c:auto val="1"/>
        <c:lblAlgn val="ctr"/>
        <c:lblOffset val="100"/>
        <c:noMultiLvlLbl val="0"/>
      </c:catAx>
      <c:valAx>
        <c:axId val="9180776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918073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522292B-5639-4590-AEBB-60D4A02D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18340</Words>
  <Characters>100876</Characters>
  <Application>Microsoft Office Word</Application>
  <DocSecurity>0</DocSecurity>
  <Lines>840</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118979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KAMOLNAVIN Kamoljit</cp:lastModifiedBy>
  <cp:revision>2</cp:revision>
  <cp:lastPrinted>2023-05-23T08:47:00Z</cp:lastPrinted>
  <dcterms:created xsi:type="dcterms:W3CDTF">2023-06-13T06:58:00Z</dcterms:created>
  <dcterms:modified xsi:type="dcterms:W3CDTF">2023-06-13T06:58:00Z</dcterms:modified>
</cp:coreProperties>
</file>