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356FB8" w14:paraId="274ABF06" w14:textId="77777777" w:rsidTr="00491E67">
        <w:trPr>
          <w:trHeight w:val="737"/>
        </w:trPr>
        <w:tc>
          <w:tcPr>
            <w:tcW w:w="1250" w:type="pct"/>
            <w:shd w:val="clear" w:color="auto" w:fill="auto"/>
            <w:vAlign w:val="center"/>
          </w:tcPr>
          <w:p w14:paraId="6BBF554E" w14:textId="77777777" w:rsidR="002D11B8" w:rsidRPr="00356FB8" w:rsidRDefault="004728F8" w:rsidP="00491E67">
            <w:pPr>
              <w:widowControl w:val="0"/>
              <w:autoSpaceDE w:val="0"/>
              <w:autoSpaceDN w:val="0"/>
              <w:adjustRightInd w:val="0"/>
              <w:rPr>
                <w:rFonts w:ascii="Arial Narrow" w:hAnsi="Arial Narrow" w:cs="Calibri"/>
                <w:szCs w:val="20"/>
              </w:rPr>
            </w:pPr>
            <w:r w:rsidRPr="00356FB8">
              <w:rPr>
                <w:rFonts w:ascii="Arial Narrow" w:hAnsi="Arial Narrow" w:cs="Calibri"/>
                <w:b/>
                <w:bCs/>
                <w:szCs w:val="20"/>
              </w:rPr>
              <w:t>DÉLÉGUÉS DES MINISTRES</w:t>
            </w:r>
          </w:p>
        </w:tc>
        <w:tc>
          <w:tcPr>
            <w:tcW w:w="1250" w:type="pct"/>
            <w:shd w:val="clear" w:color="auto" w:fill="auto"/>
            <w:vAlign w:val="center"/>
          </w:tcPr>
          <w:p w14:paraId="26387BE3" w14:textId="77777777" w:rsidR="002D11B8" w:rsidRPr="00356FB8" w:rsidRDefault="003D6AC2" w:rsidP="00491E67">
            <w:pPr>
              <w:ind w:left="-108"/>
              <w:jc w:val="center"/>
              <w:rPr>
                <w:rFonts w:ascii="Arial Narrow" w:hAnsi="Arial Narrow" w:cs="Arial"/>
                <w:szCs w:val="20"/>
              </w:rPr>
            </w:pPr>
            <w:r w:rsidRPr="00356FB8">
              <w:rPr>
                <w:rFonts w:ascii="Arial Narrow" w:hAnsi="Arial Narrow" w:cs="Calibri"/>
                <w:szCs w:val="20"/>
              </w:rPr>
              <w:t>Documents</w:t>
            </w:r>
            <w:r w:rsidR="004728F8" w:rsidRPr="00356FB8">
              <w:rPr>
                <w:rFonts w:ascii="Arial Narrow" w:hAnsi="Arial Narrow" w:cs="Calibri"/>
                <w:szCs w:val="20"/>
              </w:rPr>
              <w:t xml:space="preserve"> CM</w:t>
            </w:r>
          </w:p>
        </w:tc>
        <w:tc>
          <w:tcPr>
            <w:tcW w:w="1250" w:type="pct"/>
            <w:shd w:val="clear" w:color="auto" w:fill="auto"/>
            <w:vAlign w:val="center"/>
          </w:tcPr>
          <w:p w14:paraId="5FF58942" w14:textId="75816B32" w:rsidR="002D11B8" w:rsidRPr="00DD0010" w:rsidRDefault="00DD0010" w:rsidP="00491E67">
            <w:pPr>
              <w:ind w:left="-40"/>
              <w:jc w:val="center"/>
              <w:rPr>
                <w:rFonts w:ascii="Arial Narrow" w:hAnsi="Arial Narrow" w:cs="Arial"/>
                <w:b/>
                <w:sz w:val="24"/>
                <w:szCs w:val="24"/>
              </w:rPr>
            </w:pPr>
            <w:proofErr w:type="gramStart"/>
            <w:r w:rsidRPr="00DD0010">
              <w:rPr>
                <w:rFonts w:ascii="Arial Narrow" w:hAnsi="Arial Narrow" w:cs="Calibri"/>
                <w:b/>
                <w:sz w:val="24"/>
                <w:szCs w:val="24"/>
              </w:rPr>
              <w:t>CM(</w:t>
            </w:r>
            <w:proofErr w:type="gramEnd"/>
            <w:r w:rsidRPr="00DD0010">
              <w:rPr>
                <w:rFonts w:ascii="Arial Narrow" w:hAnsi="Arial Narrow" w:cs="Calibri"/>
                <w:b/>
                <w:sz w:val="24"/>
                <w:szCs w:val="24"/>
              </w:rPr>
              <w:t>2022)14-add1</w:t>
            </w:r>
          </w:p>
        </w:tc>
        <w:tc>
          <w:tcPr>
            <w:tcW w:w="1250" w:type="pct"/>
            <w:shd w:val="clear" w:color="auto" w:fill="auto"/>
            <w:vAlign w:val="center"/>
          </w:tcPr>
          <w:p w14:paraId="699F81FD" w14:textId="0D7F3190" w:rsidR="002D11B8" w:rsidRPr="00356FB8" w:rsidRDefault="00DD0010" w:rsidP="00491E67">
            <w:pPr>
              <w:jc w:val="right"/>
              <w:rPr>
                <w:rFonts w:ascii="Arial Narrow" w:hAnsi="Arial Narrow" w:cs="Arial"/>
                <w:sz w:val="16"/>
                <w:szCs w:val="16"/>
              </w:rPr>
            </w:pPr>
            <w:r>
              <w:rPr>
                <w:rFonts w:ascii="Arial Narrow" w:hAnsi="Arial Narrow" w:cs="Calibri"/>
                <w:sz w:val="16"/>
                <w:szCs w:val="16"/>
              </w:rPr>
              <w:t>25 janvier</w:t>
            </w:r>
            <w:r w:rsidR="002D11B8" w:rsidRPr="00356FB8">
              <w:rPr>
                <w:rFonts w:ascii="Arial Narrow" w:hAnsi="Arial Narrow" w:cs="Calibri"/>
                <w:sz w:val="16"/>
                <w:szCs w:val="16"/>
              </w:rPr>
              <w:t xml:space="preserve"> </w:t>
            </w:r>
            <w:r w:rsidR="00DD2E68" w:rsidRPr="00356FB8">
              <w:rPr>
                <w:rFonts w:ascii="Arial Narrow" w:hAnsi="Arial Narrow" w:cs="Calibri"/>
                <w:sz w:val="16"/>
                <w:szCs w:val="16"/>
              </w:rPr>
              <w:t>202</w:t>
            </w:r>
            <w:r w:rsidR="00102EE9">
              <w:rPr>
                <w:rFonts w:ascii="Arial Narrow" w:hAnsi="Arial Narrow" w:cs="Calibri"/>
                <w:sz w:val="16"/>
                <w:szCs w:val="16"/>
              </w:rPr>
              <w:t>2</w:t>
            </w:r>
            <w:r w:rsidR="00853C90" w:rsidRPr="00356FB8">
              <w:rPr>
                <w:rStyle w:val="FootnoteReference"/>
                <w:rFonts w:ascii="Arial Narrow" w:hAnsi="Arial Narrow" w:cs="Calibri"/>
                <w:sz w:val="16"/>
                <w:szCs w:val="16"/>
              </w:rPr>
              <w:footnoteReference w:id="1"/>
            </w:r>
          </w:p>
        </w:tc>
      </w:tr>
    </w:tbl>
    <w:p w14:paraId="798F032C" w14:textId="77777777" w:rsidR="00D554E6" w:rsidRPr="00356FB8"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356FB8" w14:paraId="3F9A858E" w14:textId="77777777" w:rsidTr="00491E67">
        <w:tc>
          <w:tcPr>
            <w:tcW w:w="9399" w:type="dxa"/>
            <w:shd w:val="clear" w:color="auto" w:fill="auto"/>
            <w:tcMar>
              <w:top w:w="227" w:type="dxa"/>
              <w:bottom w:w="227" w:type="dxa"/>
            </w:tcMar>
            <w:vAlign w:val="center"/>
          </w:tcPr>
          <w:p w14:paraId="7E799F73" w14:textId="30A2BDCA" w:rsidR="00E24C57" w:rsidRPr="00356FB8" w:rsidRDefault="00BD1F10" w:rsidP="00491E67">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1426</w:t>
            </w:r>
            <w:r w:rsidR="004D1C0F" w:rsidRPr="00356FB8">
              <w:rPr>
                <w:rFonts w:ascii="Arial Narrow" w:hAnsi="Arial Narrow" w:cs="Calibri"/>
                <w:b/>
                <w:bCs/>
                <w:sz w:val="32"/>
                <w:szCs w:val="32"/>
                <w:vertAlign w:val="superscript"/>
              </w:rPr>
              <w:t>e</w:t>
            </w:r>
            <w:r w:rsidR="004D1C0F" w:rsidRPr="00356FB8">
              <w:rPr>
                <w:rFonts w:ascii="Arial Narrow" w:hAnsi="Arial Narrow" w:cs="Calibri"/>
                <w:b/>
                <w:bCs/>
                <w:sz w:val="32"/>
                <w:szCs w:val="32"/>
              </w:rPr>
              <w:t xml:space="preserve"> réunion</w:t>
            </w:r>
            <w:r w:rsidR="003D6AC2" w:rsidRPr="00356FB8">
              <w:rPr>
                <w:rFonts w:ascii="Arial Narrow" w:hAnsi="Arial Narrow" w:cs="Calibri"/>
                <w:b/>
                <w:bCs/>
                <w:sz w:val="32"/>
                <w:szCs w:val="32"/>
              </w:rPr>
              <w:t xml:space="preserve">, </w:t>
            </w:r>
            <w:r w:rsidR="00102EE9">
              <w:rPr>
                <w:rFonts w:ascii="Arial Narrow" w:hAnsi="Arial Narrow" w:cs="Calibri"/>
                <w:b/>
                <w:bCs/>
                <w:sz w:val="32"/>
                <w:szCs w:val="32"/>
              </w:rPr>
              <w:t>1</w:t>
            </w:r>
            <w:r w:rsidR="00745E42">
              <w:rPr>
                <w:rFonts w:ascii="Arial Narrow" w:hAnsi="Arial Narrow" w:cs="Calibri"/>
                <w:b/>
                <w:bCs/>
                <w:sz w:val="32"/>
                <w:szCs w:val="32"/>
              </w:rPr>
              <w:t>5</w:t>
            </w:r>
            <w:r w:rsidR="00E80261" w:rsidRPr="00356FB8">
              <w:rPr>
                <w:rFonts w:ascii="Arial Narrow" w:hAnsi="Arial Narrow" w:cs="Calibri"/>
                <w:b/>
                <w:bCs/>
                <w:sz w:val="32"/>
                <w:szCs w:val="32"/>
              </w:rPr>
              <w:t xml:space="preserve"> </w:t>
            </w:r>
            <w:r w:rsidR="00102EE9">
              <w:rPr>
                <w:rFonts w:ascii="Arial Narrow" w:hAnsi="Arial Narrow" w:cs="Calibri"/>
                <w:b/>
                <w:bCs/>
                <w:sz w:val="32"/>
                <w:szCs w:val="32"/>
              </w:rPr>
              <w:t>février</w:t>
            </w:r>
            <w:r w:rsidR="003D6AC2" w:rsidRPr="00356FB8">
              <w:rPr>
                <w:rFonts w:ascii="Arial Narrow" w:hAnsi="Arial Narrow" w:cs="Calibri"/>
                <w:b/>
                <w:bCs/>
                <w:sz w:val="32"/>
                <w:szCs w:val="32"/>
              </w:rPr>
              <w:t xml:space="preserve"> </w:t>
            </w:r>
            <w:r w:rsidR="00DD2E68" w:rsidRPr="00356FB8">
              <w:rPr>
                <w:rFonts w:ascii="Arial Narrow" w:hAnsi="Arial Narrow" w:cs="Calibri"/>
                <w:b/>
                <w:bCs/>
                <w:sz w:val="32"/>
                <w:szCs w:val="32"/>
              </w:rPr>
              <w:t>202</w:t>
            </w:r>
            <w:r w:rsidR="00102EE9">
              <w:rPr>
                <w:rFonts w:ascii="Arial Narrow" w:hAnsi="Arial Narrow" w:cs="Calibri"/>
                <w:b/>
                <w:bCs/>
                <w:sz w:val="32"/>
                <w:szCs w:val="32"/>
              </w:rPr>
              <w:t>2</w:t>
            </w:r>
          </w:p>
          <w:p w14:paraId="1AE6F158" w14:textId="727C1C6D" w:rsidR="00242ABB" w:rsidRPr="00356FB8" w:rsidRDefault="00E80261" w:rsidP="00491E67">
            <w:pPr>
              <w:rPr>
                <w:rFonts w:ascii="Arial Narrow" w:hAnsi="Arial Narrow" w:cs="Calibri"/>
                <w:sz w:val="22"/>
              </w:rPr>
            </w:pPr>
            <w:r w:rsidRPr="00356FB8">
              <w:rPr>
                <w:rFonts w:ascii="Arial Narrow" w:hAnsi="Arial Narrow" w:cs="Calibri"/>
                <w:sz w:val="22"/>
              </w:rPr>
              <w:t>4 Droits de l’homme</w:t>
            </w:r>
          </w:p>
          <w:p w14:paraId="28C58C78" w14:textId="77777777" w:rsidR="0037200F" w:rsidRPr="00356FB8" w:rsidRDefault="00CE6FD2" w:rsidP="00491E67">
            <w:pPr>
              <w:rPr>
                <w:rFonts w:ascii="Arial Narrow" w:hAnsi="Arial Narrow" w:cs="Calibri"/>
                <w:i/>
                <w:szCs w:val="20"/>
              </w:rPr>
            </w:pPr>
            <w:r w:rsidRPr="00356FB8">
              <w:rPr>
                <w:rFonts w:ascii="Arial Narrow" w:hAnsi="Arial Narrow" w:cs="Calibri"/>
                <w:i/>
                <w:szCs w:val="20"/>
              </w:rPr>
              <w:t xml:space="preserve"> </w:t>
            </w:r>
          </w:p>
          <w:p w14:paraId="3DAAA6B8" w14:textId="52C67BFF" w:rsidR="003D6AC2" w:rsidRPr="00356FB8" w:rsidRDefault="00E80261" w:rsidP="00491E67">
            <w:pPr>
              <w:rPr>
                <w:rFonts w:ascii="Arial Narrow" w:hAnsi="Arial Narrow" w:cs="Calibri"/>
                <w:b/>
                <w:sz w:val="28"/>
                <w:szCs w:val="28"/>
              </w:rPr>
            </w:pPr>
            <w:r w:rsidRPr="00356FB8">
              <w:rPr>
                <w:rFonts w:ascii="Arial Narrow" w:hAnsi="Arial Narrow" w:cs="Calibri"/>
                <w:b/>
                <w:sz w:val="28"/>
                <w:szCs w:val="28"/>
              </w:rPr>
              <w:t>4.</w:t>
            </w:r>
            <w:r w:rsidR="006D2F2B">
              <w:rPr>
                <w:rFonts w:ascii="Arial Narrow" w:hAnsi="Arial Narrow" w:cs="Calibri"/>
                <w:b/>
                <w:sz w:val="28"/>
                <w:szCs w:val="28"/>
              </w:rPr>
              <w:t>2</w:t>
            </w:r>
            <w:r w:rsidR="003D6AC2" w:rsidRPr="00356FB8">
              <w:rPr>
                <w:rFonts w:ascii="Arial Narrow" w:hAnsi="Arial Narrow" w:cs="Calibri"/>
                <w:b/>
                <w:sz w:val="28"/>
                <w:szCs w:val="28"/>
              </w:rPr>
              <w:t xml:space="preserve"> </w:t>
            </w:r>
            <w:r w:rsidRPr="00356FB8">
              <w:rPr>
                <w:rFonts w:ascii="Arial Narrow" w:hAnsi="Arial Narrow" w:cs="Calibri"/>
                <w:b/>
                <w:sz w:val="28"/>
                <w:szCs w:val="28"/>
              </w:rPr>
              <w:t xml:space="preserve">Comité </w:t>
            </w:r>
            <w:r w:rsidR="000B044F">
              <w:rPr>
                <w:rFonts w:ascii="Arial Narrow" w:hAnsi="Arial Narrow" w:cs="Calibri"/>
                <w:b/>
                <w:sz w:val="28"/>
                <w:szCs w:val="28"/>
              </w:rPr>
              <w:t xml:space="preserve">de </w:t>
            </w:r>
            <w:r w:rsidR="00D31EB8">
              <w:rPr>
                <w:rFonts w:ascii="Arial Narrow" w:hAnsi="Arial Narrow" w:cs="Calibri"/>
                <w:b/>
                <w:sz w:val="28"/>
                <w:szCs w:val="28"/>
              </w:rPr>
              <w:t>B</w:t>
            </w:r>
            <w:r w:rsidR="000B044F">
              <w:rPr>
                <w:rFonts w:ascii="Arial Narrow" w:hAnsi="Arial Narrow" w:cs="Calibri"/>
                <w:b/>
                <w:sz w:val="28"/>
                <w:szCs w:val="28"/>
              </w:rPr>
              <w:t>ioéthique</w:t>
            </w:r>
            <w:r w:rsidRPr="00356FB8">
              <w:rPr>
                <w:rFonts w:ascii="Arial Narrow" w:hAnsi="Arial Narrow" w:cs="Calibri"/>
                <w:b/>
                <w:sz w:val="28"/>
                <w:szCs w:val="28"/>
              </w:rPr>
              <w:t xml:space="preserve"> (</w:t>
            </w:r>
            <w:r w:rsidR="00BC6D80">
              <w:rPr>
                <w:rFonts w:ascii="Arial Narrow" w:hAnsi="Arial Narrow" w:cs="Calibri"/>
                <w:b/>
                <w:sz w:val="28"/>
                <w:szCs w:val="28"/>
              </w:rPr>
              <w:t>DH</w:t>
            </w:r>
            <w:r w:rsidR="00D31EB8">
              <w:rPr>
                <w:rFonts w:ascii="Arial Narrow" w:hAnsi="Arial Narrow" w:cs="Calibri"/>
                <w:b/>
                <w:sz w:val="28"/>
                <w:szCs w:val="28"/>
              </w:rPr>
              <w:t>-</w:t>
            </w:r>
            <w:r w:rsidR="000B044F">
              <w:rPr>
                <w:rFonts w:ascii="Arial Narrow" w:hAnsi="Arial Narrow" w:cs="Calibri"/>
                <w:b/>
                <w:sz w:val="28"/>
                <w:szCs w:val="28"/>
              </w:rPr>
              <w:t>B</w:t>
            </w:r>
            <w:r w:rsidRPr="00356FB8">
              <w:rPr>
                <w:rFonts w:ascii="Arial Narrow" w:hAnsi="Arial Narrow" w:cs="Calibri"/>
                <w:b/>
                <w:sz w:val="28"/>
                <w:szCs w:val="28"/>
              </w:rPr>
              <w:t>I</w:t>
            </w:r>
            <w:r w:rsidR="000B044F">
              <w:rPr>
                <w:rFonts w:ascii="Arial Narrow" w:hAnsi="Arial Narrow" w:cs="Calibri"/>
                <w:b/>
                <w:sz w:val="28"/>
                <w:szCs w:val="28"/>
              </w:rPr>
              <w:t>O</w:t>
            </w:r>
            <w:r w:rsidRPr="00356FB8">
              <w:rPr>
                <w:rFonts w:ascii="Arial Narrow" w:hAnsi="Arial Narrow" w:cs="Calibri"/>
                <w:b/>
                <w:sz w:val="28"/>
                <w:szCs w:val="28"/>
              </w:rPr>
              <w:t>)</w:t>
            </w:r>
          </w:p>
          <w:p w14:paraId="37FDD39C" w14:textId="49D079EE" w:rsidR="00E80261" w:rsidRDefault="00DD0010" w:rsidP="00491E67">
            <w:pPr>
              <w:rPr>
                <w:rFonts w:ascii="Arial Narrow" w:hAnsi="Arial Narrow" w:cs="Calibri"/>
                <w:sz w:val="22"/>
              </w:rPr>
            </w:pPr>
            <w:r>
              <w:rPr>
                <w:rFonts w:ascii="Arial Narrow" w:hAnsi="Arial Narrow" w:cs="Calibri"/>
                <w:sz w:val="22"/>
              </w:rPr>
              <w:t xml:space="preserve">b. </w:t>
            </w:r>
            <w:r w:rsidR="00BE25B2" w:rsidRPr="00BE25B2">
              <w:rPr>
                <w:rFonts w:ascii="Arial Narrow" w:hAnsi="Arial Narrow" w:cs="Calibri"/>
                <w:sz w:val="22"/>
              </w:rPr>
              <w:t>Projet de Protocole additionnel à la Convention sur les droits de l'homme et la biomédecine relatif à la protection des droits de l’homme et de la dignité des personnes à l’égard du placement et du traitement involontaires au sein des services de soins de santé mentale</w:t>
            </w:r>
          </w:p>
          <w:p w14:paraId="08B91C71" w14:textId="77777777" w:rsidR="00BE25B2" w:rsidRPr="00356FB8" w:rsidRDefault="00BE25B2" w:rsidP="00491E67">
            <w:pPr>
              <w:rPr>
                <w:rFonts w:ascii="Arial Narrow" w:hAnsi="Arial Narrow" w:cs="Calibri"/>
                <w:sz w:val="22"/>
              </w:rPr>
            </w:pPr>
          </w:p>
          <w:p w14:paraId="7FFD9DC5" w14:textId="12832675" w:rsidR="000A307B" w:rsidRPr="00356FB8" w:rsidRDefault="004D1C0F" w:rsidP="00491E67">
            <w:pPr>
              <w:rPr>
                <w:rFonts w:ascii="Arial Narrow" w:hAnsi="Arial Narrow" w:cs="Calibri"/>
                <w:b/>
                <w:szCs w:val="20"/>
              </w:rPr>
            </w:pPr>
            <w:r w:rsidRPr="00356FB8">
              <w:rPr>
                <w:rFonts w:ascii="Arial Narrow" w:hAnsi="Arial Narrow" w:cs="Calibri"/>
                <w:b/>
                <w:szCs w:val="20"/>
              </w:rPr>
              <w:t>Pour examen par le GR-</w:t>
            </w:r>
            <w:r w:rsidR="00E80261" w:rsidRPr="00356FB8">
              <w:rPr>
                <w:rFonts w:ascii="Arial Narrow" w:hAnsi="Arial Narrow" w:cs="Calibri"/>
                <w:b/>
                <w:szCs w:val="20"/>
              </w:rPr>
              <w:t>H</w:t>
            </w:r>
            <w:r w:rsidRPr="00356FB8">
              <w:rPr>
                <w:rFonts w:ascii="Arial Narrow" w:hAnsi="Arial Narrow" w:cs="Calibri"/>
                <w:b/>
                <w:szCs w:val="20"/>
              </w:rPr>
              <w:t xml:space="preserve"> lors de sa réunion du </w:t>
            </w:r>
            <w:r w:rsidR="009B27AD">
              <w:rPr>
                <w:rFonts w:ascii="Arial Narrow" w:hAnsi="Arial Narrow" w:cs="Calibri"/>
                <w:b/>
                <w:szCs w:val="20"/>
              </w:rPr>
              <w:t>1</w:t>
            </w:r>
            <w:r w:rsidR="00745E42">
              <w:rPr>
                <w:rFonts w:ascii="Arial Narrow" w:hAnsi="Arial Narrow" w:cs="Calibri"/>
                <w:b/>
                <w:szCs w:val="20"/>
              </w:rPr>
              <w:t>5</w:t>
            </w:r>
            <w:r w:rsidR="00E80261" w:rsidRPr="00356FB8">
              <w:rPr>
                <w:rFonts w:ascii="Arial Narrow" w:hAnsi="Arial Narrow" w:cs="Calibri"/>
                <w:b/>
                <w:szCs w:val="20"/>
              </w:rPr>
              <w:t xml:space="preserve"> </w:t>
            </w:r>
            <w:r w:rsidR="000B044F">
              <w:rPr>
                <w:rFonts w:ascii="Arial Narrow" w:hAnsi="Arial Narrow" w:cs="Calibri"/>
                <w:b/>
                <w:szCs w:val="20"/>
              </w:rPr>
              <w:t>février</w:t>
            </w:r>
            <w:r w:rsidRPr="00356FB8">
              <w:rPr>
                <w:rFonts w:ascii="Arial Narrow" w:hAnsi="Arial Narrow" w:cs="Calibri"/>
                <w:b/>
                <w:szCs w:val="20"/>
              </w:rPr>
              <w:t xml:space="preserve"> </w:t>
            </w:r>
            <w:r w:rsidR="00DD2E68" w:rsidRPr="00356FB8">
              <w:rPr>
                <w:rFonts w:ascii="Arial Narrow" w:hAnsi="Arial Narrow" w:cs="Calibri"/>
                <w:b/>
                <w:szCs w:val="20"/>
              </w:rPr>
              <w:t>202</w:t>
            </w:r>
            <w:r w:rsidR="009B27AD">
              <w:rPr>
                <w:rFonts w:ascii="Arial Narrow" w:hAnsi="Arial Narrow" w:cs="Calibri"/>
                <w:b/>
                <w:szCs w:val="20"/>
              </w:rPr>
              <w:t>2</w:t>
            </w:r>
          </w:p>
        </w:tc>
      </w:tr>
    </w:tbl>
    <w:p w14:paraId="27E6AA3E" w14:textId="10E60CB5" w:rsidR="00E80261" w:rsidRDefault="00491E67" w:rsidP="00E80261">
      <w:pPr>
        <w:rPr>
          <w:rFonts w:eastAsia="Times New Roman"/>
          <w:szCs w:val="24"/>
        </w:rPr>
      </w:pPr>
      <w:r w:rsidRPr="00356FB8">
        <w:rPr>
          <w:rFonts w:eastAsia="Times New Roman"/>
          <w:szCs w:val="24"/>
        </w:rPr>
        <w:t xml:space="preserve"> </w:t>
      </w:r>
    </w:p>
    <w:p w14:paraId="2FD36FC5" w14:textId="0208D132" w:rsidR="00BE25B2" w:rsidRDefault="00BE25B2" w:rsidP="00BE25B2">
      <w:pPr>
        <w:rPr>
          <w:rFonts w:eastAsiaTheme="minorHAnsi" w:cs="Arial"/>
          <w:b/>
          <w:color w:val="000000" w:themeColor="text1"/>
          <w:szCs w:val="20"/>
        </w:rPr>
      </w:pPr>
      <w:r w:rsidRPr="00F9410B">
        <w:rPr>
          <w:rFonts w:eastAsiaTheme="minorHAnsi" w:cs="Arial"/>
          <w:b/>
          <w:color w:val="000000" w:themeColor="text1"/>
          <w:szCs w:val="20"/>
        </w:rPr>
        <w:t>Préambule</w:t>
      </w:r>
    </w:p>
    <w:p w14:paraId="274E0F35" w14:textId="77777777" w:rsidR="00BE25B2" w:rsidRPr="00F9410B" w:rsidRDefault="00BE25B2" w:rsidP="00BE25B2">
      <w:pPr>
        <w:rPr>
          <w:rFonts w:eastAsiaTheme="minorHAnsi" w:cs="Arial"/>
          <w:b/>
          <w:color w:val="000000" w:themeColor="text1"/>
          <w:szCs w:val="20"/>
        </w:rPr>
      </w:pPr>
    </w:p>
    <w:p w14:paraId="5D73B1CE" w14:textId="78AA25E4"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Les États membres du Conseil de l'Europe et les autres signataires du présent Protocole additionnel à la Convention pour la protection des droits de l'homme et de la dignité de l'être humain à l'égard des applications de la biologie et de la médecine (ci-après dénommée «la Convention sur les droits de l’homme et la </w:t>
      </w:r>
      <w:proofErr w:type="gramStart"/>
      <w:r w:rsidRPr="00F9410B">
        <w:rPr>
          <w:rFonts w:eastAsiaTheme="minorHAnsi" w:cs="Arial"/>
          <w:color w:val="000000" w:themeColor="text1"/>
          <w:szCs w:val="20"/>
        </w:rPr>
        <w:t>biomédecine»</w:t>
      </w:r>
      <w:proofErr w:type="gramEnd"/>
      <w:r w:rsidRPr="00F9410B">
        <w:rPr>
          <w:rFonts w:eastAsiaTheme="minorHAnsi" w:cs="Arial"/>
          <w:color w:val="000000" w:themeColor="text1"/>
          <w:szCs w:val="20"/>
        </w:rPr>
        <w:t>, STE n° 164),</w:t>
      </w:r>
    </w:p>
    <w:p w14:paraId="327C912B" w14:textId="77777777" w:rsidR="00BE25B2" w:rsidRPr="00F9410B" w:rsidRDefault="00BE25B2" w:rsidP="00BE25B2">
      <w:pPr>
        <w:rPr>
          <w:rFonts w:eastAsiaTheme="minorHAnsi" w:cs="Arial"/>
          <w:color w:val="000000" w:themeColor="text1"/>
          <w:szCs w:val="20"/>
        </w:rPr>
      </w:pPr>
    </w:p>
    <w:p w14:paraId="3A79127D" w14:textId="6FD9E37A"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Considérant que le but du Conseil de l'Europe est de réaliser une union plus étroite entre ses membres et que l'un des moyens d'atteindre ce but est la sauvegarde et le développement des droits de l'homme et des libertés </w:t>
      </w:r>
      <w:proofErr w:type="gramStart"/>
      <w:r w:rsidRPr="00F9410B">
        <w:rPr>
          <w:rFonts w:eastAsiaTheme="minorHAnsi" w:cs="Arial"/>
          <w:color w:val="000000" w:themeColor="text1"/>
          <w:szCs w:val="20"/>
        </w:rPr>
        <w:t>fondamentales;</w:t>
      </w:r>
      <w:proofErr w:type="gramEnd"/>
    </w:p>
    <w:p w14:paraId="14F8BCC1" w14:textId="77777777" w:rsidR="00BE25B2" w:rsidRPr="00F9410B" w:rsidRDefault="00BE25B2" w:rsidP="00BE25B2">
      <w:pPr>
        <w:rPr>
          <w:rFonts w:eastAsiaTheme="minorHAnsi" w:cs="Arial"/>
          <w:color w:val="000000" w:themeColor="text1"/>
          <w:szCs w:val="20"/>
        </w:rPr>
      </w:pPr>
    </w:p>
    <w:p w14:paraId="51C71967" w14:textId="256DEE4A"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Gardant à l’esprit la Convention de sauvegarde des droits de l’homme et des libertés fondamentales du 4 novembre 1950 (Convention européenne des droits de l'homme, STE n° 5)</w:t>
      </w:r>
      <w:r w:rsidRPr="00F9410B">
        <w:rPr>
          <w:rFonts w:eastAsiaTheme="minorHAnsi" w:cs="Arial"/>
          <w:b/>
          <w:color w:val="000000" w:themeColor="text1"/>
          <w:szCs w:val="20"/>
        </w:rPr>
        <w:t xml:space="preserve"> </w:t>
      </w:r>
      <w:r w:rsidRPr="00F9410B">
        <w:rPr>
          <w:rFonts w:eastAsiaTheme="minorHAnsi" w:cs="Arial"/>
          <w:color w:val="000000" w:themeColor="text1"/>
          <w:szCs w:val="20"/>
        </w:rPr>
        <w:t>notamment ses</w:t>
      </w:r>
      <w:r w:rsidRPr="00F9410B">
        <w:rPr>
          <w:rFonts w:eastAsiaTheme="minorHAnsi" w:cs="Arial"/>
          <w:bCs/>
          <w:color w:val="000000" w:themeColor="text1"/>
          <w:szCs w:val="20"/>
        </w:rPr>
        <w:t xml:space="preserve"> </w:t>
      </w:r>
      <w:r w:rsidRPr="00F9410B">
        <w:rPr>
          <w:rFonts w:eastAsiaTheme="minorHAnsi" w:cs="Arial"/>
          <w:color w:val="000000" w:themeColor="text1"/>
          <w:szCs w:val="20"/>
        </w:rPr>
        <w:t>articles 3, 5 et </w:t>
      </w:r>
      <w:proofErr w:type="gramStart"/>
      <w:r w:rsidRPr="00F9410B">
        <w:rPr>
          <w:rFonts w:eastAsiaTheme="minorHAnsi" w:cs="Arial"/>
          <w:color w:val="000000" w:themeColor="text1"/>
          <w:szCs w:val="20"/>
        </w:rPr>
        <w:t>8;</w:t>
      </w:r>
      <w:proofErr w:type="gramEnd"/>
    </w:p>
    <w:p w14:paraId="055B4CE0" w14:textId="77777777" w:rsidR="00BE25B2" w:rsidRPr="00F9410B" w:rsidRDefault="00BE25B2" w:rsidP="00BE25B2">
      <w:pPr>
        <w:rPr>
          <w:rFonts w:eastAsiaTheme="minorHAnsi" w:cs="Arial"/>
          <w:color w:val="000000" w:themeColor="text1"/>
          <w:szCs w:val="20"/>
        </w:rPr>
      </w:pPr>
    </w:p>
    <w:p w14:paraId="5E267602" w14:textId="1AA0E580"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Tenant compte des travaux menés au niveau international sur la protection de la dignité et des droits des personnes handicapées, en particulier la Convention des Nations Unies relative aux droits des personnes handicapées du 13 décembre </w:t>
      </w:r>
      <w:proofErr w:type="gramStart"/>
      <w:r w:rsidRPr="00F9410B">
        <w:rPr>
          <w:rFonts w:eastAsiaTheme="minorHAnsi" w:cs="Arial"/>
          <w:color w:val="000000" w:themeColor="text1"/>
          <w:szCs w:val="20"/>
        </w:rPr>
        <w:t>2006;</w:t>
      </w:r>
      <w:proofErr w:type="gramEnd"/>
      <w:r w:rsidRPr="00F9410B">
        <w:rPr>
          <w:rFonts w:eastAsiaTheme="minorHAnsi" w:cs="Arial"/>
          <w:color w:val="000000" w:themeColor="text1"/>
          <w:szCs w:val="20"/>
        </w:rPr>
        <w:t xml:space="preserve"> </w:t>
      </w:r>
    </w:p>
    <w:p w14:paraId="299114DA" w14:textId="77777777" w:rsidR="00BE25B2" w:rsidRPr="00F9410B" w:rsidRDefault="00BE25B2" w:rsidP="00BE25B2">
      <w:pPr>
        <w:rPr>
          <w:rFonts w:eastAsiaTheme="minorHAnsi" w:cs="Arial"/>
          <w:color w:val="000000" w:themeColor="text1"/>
          <w:szCs w:val="20"/>
        </w:rPr>
      </w:pPr>
    </w:p>
    <w:p w14:paraId="048A12A8" w14:textId="3DD9AF42"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Considérant que la finalité de la Convention sur les droits de l’homme et la biomédecine, telle qu'elle est définie à son article 1, est de protéger l'être humain dans sa dignité et son identité, et de garantir à toute personne, sans discrimination, le respect de son intégrité et de ses autres droits et libertés fondamentaux à l'égard des applications de la biologie et de la </w:t>
      </w:r>
      <w:proofErr w:type="gramStart"/>
      <w:r w:rsidRPr="00F9410B">
        <w:rPr>
          <w:rFonts w:eastAsiaTheme="minorHAnsi" w:cs="Arial"/>
          <w:color w:val="000000" w:themeColor="text1"/>
          <w:szCs w:val="20"/>
        </w:rPr>
        <w:t>médecine;</w:t>
      </w:r>
      <w:proofErr w:type="gramEnd"/>
    </w:p>
    <w:p w14:paraId="63255C6D" w14:textId="77777777" w:rsidR="00BE25B2" w:rsidRPr="00F9410B" w:rsidRDefault="00BE25B2" w:rsidP="00BE25B2">
      <w:pPr>
        <w:rPr>
          <w:rFonts w:eastAsiaTheme="minorHAnsi" w:cs="Arial"/>
          <w:color w:val="000000" w:themeColor="text1"/>
          <w:szCs w:val="20"/>
        </w:rPr>
      </w:pPr>
    </w:p>
    <w:p w14:paraId="3FFA6809" w14:textId="3A4E3478"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Gardant à l’esprit la Recommandation </w:t>
      </w:r>
      <w:bookmarkStart w:id="0" w:name="_ML_000000000001_VALID"/>
      <w:r w:rsidR="00DD0010" w:rsidRPr="00DD0010">
        <w:rPr>
          <w:rFonts w:eastAsiaTheme="minorHAnsi" w:cs="Arial"/>
          <w:color w:val="000000" w:themeColor="text1"/>
          <w:szCs w:val="20"/>
        </w:rPr>
        <w:fldChar w:fldCharType="begin"/>
      </w:r>
      <w:r w:rsidR="00DD0010" w:rsidRPr="00DD0010">
        <w:rPr>
          <w:rFonts w:eastAsiaTheme="minorHAnsi" w:cs="Arial"/>
          <w:color w:val="000000" w:themeColor="text1"/>
          <w:szCs w:val="20"/>
        </w:rPr>
        <w:instrText xml:space="preserve"> HYPERLINK "https://search.coe.int/cm/Pages/result_details.aspx?Reference=Rec(2004)10" \o "Recommandation REC(2004)10 du Comité des Ministres aux Etats membres relative à la protection des droits de l'homme et de la dignité des personnes atteintes de troubles mentaux et son exposé des motifs (adopté par le Comité des Ministres le 22 septembre 2004 lors de la 896e réunion des Délégués des Ministres)" </w:instrText>
      </w:r>
      <w:r w:rsidR="00DD0010" w:rsidRPr="00DD0010">
        <w:rPr>
          <w:rFonts w:eastAsiaTheme="minorHAnsi" w:cs="Arial"/>
          <w:color w:val="000000" w:themeColor="text1"/>
          <w:szCs w:val="20"/>
        </w:rPr>
      </w:r>
      <w:r w:rsidR="00DD0010" w:rsidRPr="00DD0010">
        <w:rPr>
          <w:rFonts w:eastAsiaTheme="minorHAnsi" w:cs="Arial"/>
          <w:color w:val="000000" w:themeColor="text1"/>
          <w:szCs w:val="20"/>
        </w:rPr>
        <w:fldChar w:fldCharType="separate"/>
      </w:r>
      <w:bookmarkEnd w:id="0"/>
      <w:r w:rsidR="00DD0010" w:rsidRPr="00DD0010">
        <w:rPr>
          <w:rStyle w:val="Hyperlink"/>
          <w:rFonts w:eastAsiaTheme="minorHAnsi" w:cs="Arial"/>
          <w:color w:val="000000" w:themeColor="text1"/>
          <w:szCs w:val="20"/>
        </w:rPr>
        <w:t>Rec(2004)10</w:t>
      </w:r>
      <w:r w:rsidR="00DD0010" w:rsidRPr="00DD0010">
        <w:rPr>
          <w:rFonts w:eastAsiaTheme="minorHAnsi" w:cs="Arial"/>
          <w:color w:val="000000" w:themeColor="text1"/>
          <w:szCs w:val="20"/>
        </w:rPr>
        <w:fldChar w:fldCharType="end"/>
      </w:r>
      <w:r w:rsidRPr="00F9410B">
        <w:rPr>
          <w:rFonts w:eastAsiaTheme="minorHAnsi" w:cs="Arial"/>
          <w:color w:val="000000" w:themeColor="text1"/>
          <w:szCs w:val="20"/>
        </w:rPr>
        <w:t xml:space="preserve"> du Comité des Ministres aux États membres relative à la protection des droits de l'homme et de la dignité des personnes atteintes de troubles mentaux;</w:t>
      </w:r>
    </w:p>
    <w:p w14:paraId="605C6B06" w14:textId="77777777" w:rsidR="00BE25B2" w:rsidRPr="00F9410B" w:rsidRDefault="00BE25B2" w:rsidP="00BE25B2">
      <w:pPr>
        <w:rPr>
          <w:rFonts w:eastAsiaTheme="minorHAnsi" w:cs="Arial"/>
          <w:color w:val="000000" w:themeColor="text1"/>
          <w:szCs w:val="20"/>
        </w:rPr>
      </w:pPr>
    </w:p>
    <w:p w14:paraId="0475F32C" w14:textId="5482A71C"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Reconnaissant l'importance des travaux du Comité européen pour la prévention de la torture et des peines ou traitements inhumains ou dégradants (CPT) et des normes pertinentes développées par ce </w:t>
      </w:r>
      <w:proofErr w:type="gramStart"/>
      <w:r w:rsidRPr="00F9410B">
        <w:rPr>
          <w:rFonts w:eastAsiaTheme="minorHAnsi" w:cs="Arial"/>
          <w:color w:val="000000" w:themeColor="text1"/>
          <w:szCs w:val="20"/>
        </w:rPr>
        <w:t>comité;</w:t>
      </w:r>
      <w:proofErr w:type="gramEnd"/>
    </w:p>
    <w:p w14:paraId="3351C686" w14:textId="77777777" w:rsidR="00BE25B2" w:rsidRPr="00F9410B" w:rsidRDefault="00BE25B2" w:rsidP="00BE25B2">
      <w:pPr>
        <w:rPr>
          <w:rFonts w:eastAsiaTheme="minorHAnsi" w:cs="Arial"/>
          <w:color w:val="000000" w:themeColor="text1"/>
          <w:szCs w:val="20"/>
        </w:rPr>
      </w:pPr>
    </w:p>
    <w:p w14:paraId="3BFE808E" w14:textId="6339C4FD"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Soulignant que toute forme de discrimination fondée sur des problèmes de santé mentale doit être </w:t>
      </w:r>
      <w:proofErr w:type="gramStart"/>
      <w:r w:rsidRPr="00F9410B">
        <w:rPr>
          <w:rFonts w:eastAsiaTheme="minorHAnsi" w:cs="Arial"/>
          <w:color w:val="000000" w:themeColor="text1"/>
          <w:szCs w:val="20"/>
        </w:rPr>
        <w:t>interdite;</w:t>
      </w:r>
      <w:proofErr w:type="gramEnd"/>
    </w:p>
    <w:p w14:paraId="3A471499" w14:textId="77777777" w:rsidR="00BE25B2" w:rsidRPr="00F9410B" w:rsidRDefault="00BE25B2" w:rsidP="00BE25B2">
      <w:pPr>
        <w:rPr>
          <w:rFonts w:eastAsiaTheme="minorHAnsi" w:cs="Arial"/>
          <w:color w:val="000000" w:themeColor="text1"/>
          <w:szCs w:val="20"/>
        </w:rPr>
      </w:pPr>
    </w:p>
    <w:p w14:paraId="2D968973" w14:textId="53EE00A1" w:rsidR="00BE25B2" w:rsidRDefault="00BE25B2" w:rsidP="00BE25B2">
      <w:pPr>
        <w:rPr>
          <w:rFonts w:eastAsiaTheme="minorHAnsi" w:cs="Arial"/>
          <w:bCs/>
          <w:color w:val="000000" w:themeColor="text1"/>
          <w:szCs w:val="20"/>
        </w:rPr>
      </w:pPr>
      <w:r w:rsidRPr="00F9410B">
        <w:rPr>
          <w:rFonts w:eastAsiaTheme="minorHAnsi" w:cs="Arial"/>
          <w:color w:val="000000" w:themeColor="text1"/>
          <w:szCs w:val="20"/>
        </w:rPr>
        <w:t xml:space="preserve">Rappelant l’importance d’assurer un accès équitable </w:t>
      </w:r>
      <w:r w:rsidRPr="00F9410B">
        <w:rPr>
          <w:rFonts w:eastAsiaTheme="minorHAnsi" w:cs="Arial"/>
          <w:bCs/>
          <w:color w:val="000000" w:themeColor="text1"/>
          <w:szCs w:val="20"/>
        </w:rPr>
        <w:t xml:space="preserve">à des soins de santé mentale de qualité appropriée, tenant compte des besoins de santé et des ressources </w:t>
      </w:r>
      <w:proofErr w:type="gramStart"/>
      <w:r w:rsidRPr="00F9410B">
        <w:rPr>
          <w:rFonts w:eastAsiaTheme="minorHAnsi" w:cs="Arial"/>
          <w:bCs/>
          <w:color w:val="000000" w:themeColor="text1"/>
          <w:szCs w:val="20"/>
        </w:rPr>
        <w:t>disponibles;</w:t>
      </w:r>
      <w:proofErr w:type="gramEnd"/>
    </w:p>
    <w:p w14:paraId="6C9B1287" w14:textId="77777777" w:rsidR="00BE25B2" w:rsidRPr="00F9410B" w:rsidRDefault="00BE25B2" w:rsidP="00BE25B2">
      <w:pPr>
        <w:rPr>
          <w:rFonts w:eastAsiaTheme="minorHAnsi" w:cs="Arial"/>
          <w:color w:val="000000" w:themeColor="text1"/>
          <w:szCs w:val="20"/>
        </w:rPr>
      </w:pPr>
    </w:p>
    <w:p w14:paraId="253077AB" w14:textId="77777777" w:rsidR="00EA55EE" w:rsidRDefault="00EA55EE">
      <w:pPr>
        <w:rPr>
          <w:rFonts w:eastAsiaTheme="minorHAnsi" w:cs="Arial"/>
          <w:bCs/>
          <w:color w:val="000000" w:themeColor="text1"/>
          <w:szCs w:val="20"/>
        </w:rPr>
      </w:pPr>
      <w:r>
        <w:rPr>
          <w:rFonts w:eastAsiaTheme="minorHAnsi" w:cs="Arial"/>
          <w:bCs/>
          <w:color w:val="000000" w:themeColor="text1"/>
          <w:szCs w:val="20"/>
        </w:rPr>
        <w:br w:type="page"/>
      </w:r>
    </w:p>
    <w:p w14:paraId="0323CDA8" w14:textId="0A02B6EE" w:rsidR="00BE25B2" w:rsidRDefault="00BE25B2" w:rsidP="00BE25B2">
      <w:pPr>
        <w:tabs>
          <w:tab w:val="left" w:pos="426"/>
          <w:tab w:val="left" w:pos="1276"/>
          <w:tab w:val="left" w:pos="1701"/>
        </w:tabs>
        <w:rPr>
          <w:rFonts w:eastAsiaTheme="minorHAnsi" w:cs="Arial"/>
          <w:bCs/>
          <w:color w:val="000000" w:themeColor="text1"/>
          <w:szCs w:val="20"/>
        </w:rPr>
      </w:pPr>
      <w:r w:rsidRPr="00F9410B">
        <w:rPr>
          <w:rFonts w:eastAsiaTheme="minorHAnsi" w:cs="Arial"/>
          <w:bCs/>
          <w:color w:val="000000" w:themeColor="text1"/>
          <w:szCs w:val="20"/>
        </w:rPr>
        <w:lastRenderedPageBreak/>
        <w:t xml:space="preserve">Soulignant la nécessité de protéger les personnes vulnérables atteintes de </w:t>
      </w:r>
      <w:r w:rsidRPr="00F9410B">
        <w:rPr>
          <w:rFonts w:cs="Arial"/>
          <w:color w:val="222222"/>
          <w:szCs w:val="20"/>
        </w:rPr>
        <w:t xml:space="preserve">problèmes de santé </w:t>
      </w:r>
      <w:proofErr w:type="gramStart"/>
      <w:r w:rsidRPr="00F9410B">
        <w:rPr>
          <w:rFonts w:cs="Arial"/>
          <w:color w:val="222222"/>
          <w:szCs w:val="20"/>
        </w:rPr>
        <w:t>mentale</w:t>
      </w:r>
      <w:r w:rsidRPr="00F9410B">
        <w:rPr>
          <w:rFonts w:eastAsiaTheme="minorHAnsi" w:cs="Arial"/>
          <w:bCs/>
          <w:color w:val="000000" w:themeColor="text1"/>
          <w:szCs w:val="20"/>
        </w:rPr>
        <w:t>;</w:t>
      </w:r>
      <w:proofErr w:type="gramEnd"/>
    </w:p>
    <w:p w14:paraId="11D6B797" w14:textId="77777777" w:rsidR="00BE25B2" w:rsidRPr="00F9410B" w:rsidRDefault="00BE25B2" w:rsidP="00BE25B2">
      <w:pPr>
        <w:tabs>
          <w:tab w:val="left" w:pos="426"/>
          <w:tab w:val="left" w:pos="1276"/>
          <w:tab w:val="left" w:pos="1701"/>
        </w:tabs>
        <w:rPr>
          <w:rFonts w:eastAsiaTheme="minorHAnsi" w:cs="Arial"/>
          <w:bCs/>
          <w:color w:val="000000" w:themeColor="text1"/>
          <w:szCs w:val="20"/>
        </w:rPr>
      </w:pPr>
    </w:p>
    <w:p w14:paraId="0F956772" w14:textId="754DD09A" w:rsidR="00BE25B2" w:rsidRDefault="00BE25B2" w:rsidP="00BE25B2">
      <w:pPr>
        <w:tabs>
          <w:tab w:val="left" w:pos="426"/>
          <w:tab w:val="left" w:pos="851"/>
          <w:tab w:val="left" w:pos="1276"/>
          <w:tab w:val="left" w:pos="1701"/>
        </w:tabs>
        <w:rPr>
          <w:rFonts w:eastAsiaTheme="minorHAnsi" w:cs="Arial"/>
          <w:bCs/>
          <w:color w:val="000000" w:themeColor="text1"/>
          <w:szCs w:val="20"/>
        </w:rPr>
      </w:pPr>
      <w:r w:rsidRPr="00F9410B">
        <w:rPr>
          <w:rFonts w:eastAsiaTheme="minorHAnsi" w:cs="Arial"/>
          <w:bCs/>
          <w:color w:val="000000" w:themeColor="text1"/>
          <w:szCs w:val="20"/>
        </w:rPr>
        <w:t xml:space="preserve">Rappelant que toute intervention dans le domaine de la santé doit être effectuée dans le respect des normes et obligations </w:t>
      </w:r>
      <w:proofErr w:type="gramStart"/>
      <w:r w:rsidRPr="00F9410B">
        <w:rPr>
          <w:rFonts w:eastAsiaTheme="minorHAnsi" w:cs="Arial"/>
          <w:bCs/>
          <w:color w:val="000000" w:themeColor="text1"/>
          <w:szCs w:val="20"/>
        </w:rPr>
        <w:t>professionnelles;</w:t>
      </w:r>
      <w:proofErr w:type="gramEnd"/>
    </w:p>
    <w:p w14:paraId="094D2152" w14:textId="0803849A" w:rsidR="00BE25B2" w:rsidRPr="00F9410B" w:rsidRDefault="00BE25B2" w:rsidP="00EA55EE">
      <w:pPr>
        <w:rPr>
          <w:rFonts w:eastAsiaTheme="minorHAnsi" w:cs="Arial"/>
          <w:bCs/>
          <w:color w:val="000000" w:themeColor="text1"/>
          <w:szCs w:val="20"/>
        </w:rPr>
      </w:pPr>
    </w:p>
    <w:p w14:paraId="71AE49D8" w14:textId="77777777" w:rsidR="00BE25B2" w:rsidRPr="00F9410B" w:rsidRDefault="00BE25B2" w:rsidP="00BE25B2">
      <w:pPr>
        <w:tabs>
          <w:tab w:val="left" w:pos="426"/>
          <w:tab w:val="left" w:pos="851"/>
          <w:tab w:val="left" w:pos="1276"/>
          <w:tab w:val="left" w:pos="1701"/>
        </w:tabs>
        <w:rPr>
          <w:rFonts w:eastAsiaTheme="minorHAnsi" w:cs="Arial"/>
          <w:bCs/>
          <w:color w:val="000000" w:themeColor="text1"/>
          <w:szCs w:val="20"/>
        </w:rPr>
      </w:pPr>
      <w:r w:rsidRPr="00F9410B">
        <w:rPr>
          <w:rFonts w:eastAsiaTheme="minorHAnsi" w:cs="Arial"/>
          <w:bCs/>
          <w:color w:val="000000" w:themeColor="text1"/>
          <w:szCs w:val="20"/>
        </w:rPr>
        <w:t xml:space="preserve">Soulignant l’importance d’une formation adéquate du personnel </w:t>
      </w:r>
      <w:r w:rsidRPr="00F9410B">
        <w:rPr>
          <w:rFonts w:eastAsiaTheme="minorHAnsi" w:cs="Arial"/>
          <w:color w:val="000000" w:themeColor="text1"/>
          <w:szCs w:val="20"/>
        </w:rPr>
        <w:t>travaillant au sein des services de soins de</w:t>
      </w:r>
      <w:r w:rsidRPr="00F9410B">
        <w:rPr>
          <w:rFonts w:eastAsiaTheme="minorHAnsi" w:cs="Arial"/>
          <w:b/>
          <w:bCs/>
          <w:color w:val="000000" w:themeColor="text1"/>
          <w:szCs w:val="20"/>
        </w:rPr>
        <w:t xml:space="preserve"> </w:t>
      </w:r>
      <w:r w:rsidRPr="00F9410B">
        <w:rPr>
          <w:rFonts w:eastAsiaTheme="minorHAnsi" w:cs="Arial"/>
          <w:color w:val="000000" w:themeColor="text1"/>
          <w:szCs w:val="20"/>
        </w:rPr>
        <w:t xml:space="preserve">santé </w:t>
      </w:r>
      <w:proofErr w:type="gramStart"/>
      <w:r w:rsidRPr="00F9410B">
        <w:rPr>
          <w:rFonts w:eastAsiaTheme="minorHAnsi" w:cs="Arial"/>
          <w:color w:val="000000" w:themeColor="text1"/>
          <w:szCs w:val="20"/>
        </w:rPr>
        <w:t>mentale</w:t>
      </w:r>
      <w:r w:rsidRPr="00F9410B">
        <w:rPr>
          <w:rFonts w:eastAsiaTheme="minorHAnsi" w:cs="Arial"/>
          <w:bCs/>
          <w:color w:val="000000" w:themeColor="text1"/>
          <w:szCs w:val="20"/>
        </w:rPr>
        <w:t>;</w:t>
      </w:r>
      <w:proofErr w:type="gramEnd"/>
    </w:p>
    <w:p w14:paraId="4653D49C" w14:textId="0E161FD5" w:rsidR="00BE25B2" w:rsidRDefault="00BE25B2" w:rsidP="00BE25B2">
      <w:pPr>
        <w:tabs>
          <w:tab w:val="left" w:pos="426"/>
          <w:tab w:val="left" w:pos="851"/>
          <w:tab w:val="left" w:pos="1276"/>
          <w:tab w:val="left" w:pos="1701"/>
        </w:tabs>
        <w:rPr>
          <w:rFonts w:eastAsiaTheme="minorHAnsi" w:cs="Arial"/>
          <w:bCs/>
          <w:color w:val="000000" w:themeColor="text1"/>
          <w:szCs w:val="20"/>
        </w:rPr>
      </w:pPr>
      <w:r w:rsidRPr="00F9410B">
        <w:rPr>
          <w:rFonts w:eastAsiaTheme="minorHAnsi" w:cs="Arial"/>
          <w:bCs/>
          <w:color w:val="000000" w:themeColor="text1"/>
          <w:szCs w:val="20"/>
        </w:rPr>
        <w:t>Soulignant que la dignité humaine exige que les personnes aient accès à un soutien dans l’exercice de</w:t>
      </w:r>
      <w:r w:rsidRPr="00F9410B">
        <w:rPr>
          <w:rFonts w:eastAsiaTheme="minorHAnsi" w:cs="Arial"/>
          <w:b/>
          <w:bCs/>
          <w:color w:val="000000" w:themeColor="text1"/>
          <w:szCs w:val="20"/>
        </w:rPr>
        <w:t xml:space="preserve"> </w:t>
      </w:r>
      <w:r w:rsidRPr="00F9410B">
        <w:rPr>
          <w:rFonts w:eastAsiaTheme="minorHAnsi" w:cs="Arial"/>
          <w:bCs/>
          <w:color w:val="000000" w:themeColor="text1"/>
          <w:szCs w:val="20"/>
        </w:rPr>
        <w:t xml:space="preserve">leur </w:t>
      </w:r>
      <w:proofErr w:type="gramStart"/>
      <w:r w:rsidRPr="00F9410B">
        <w:rPr>
          <w:rFonts w:eastAsiaTheme="minorHAnsi" w:cs="Arial"/>
          <w:bCs/>
          <w:color w:val="000000" w:themeColor="text1"/>
          <w:szCs w:val="20"/>
        </w:rPr>
        <w:t>autonomie;</w:t>
      </w:r>
      <w:proofErr w:type="gramEnd"/>
    </w:p>
    <w:p w14:paraId="01CFE395" w14:textId="77777777" w:rsidR="00BE25B2" w:rsidRPr="00F9410B" w:rsidRDefault="00BE25B2" w:rsidP="00BE25B2">
      <w:pPr>
        <w:tabs>
          <w:tab w:val="left" w:pos="426"/>
          <w:tab w:val="left" w:pos="851"/>
          <w:tab w:val="left" w:pos="1276"/>
          <w:tab w:val="left" w:pos="1701"/>
        </w:tabs>
        <w:rPr>
          <w:rFonts w:eastAsiaTheme="minorHAnsi" w:cs="Arial"/>
          <w:bCs/>
          <w:color w:val="000000" w:themeColor="text1"/>
          <w:szCs w:val="20"/>
        </w:rPr>
      </w:pPr>
    </w:p>
    <w:p w14:paraId="1910494E" w14:textId="63A868C9"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Soulignant l'importance de l'implication des personnes dans les décisions relatives à leur traitement et à leurs </w:t>
      </w:r>
      <w:proofErr w:type="gramStart"/>
      <w:r w:rsidRPr="00F9410B">
        <w:rPr>
          <w:rFonts w:eastAsiaTheme="minorHAnsi" w:cs="Arial"/>
          <w:color w:val="000000" w:themeColor="text1"/>
          <w:szCs w:val="20"/>
        </w:rPr>
        <w:t>soins;</w:t>
      </w:r>
      <w:proofErr w:type="gramEnd"/>
    </w:p>
    <w:p w14:paraId="4EC8C6DA" w14:textId="77777777" w:rsidR="00EA55EE" w:rsidRPr="00F9410B" w:rsidRDefault="00EA55EE" w:rsidP="00BE25B2">
      <w:pPr>
        <w:rPr>
          <w:rFonts w:eastAsiaTheme="minorHAnsi" w:cs="Arial"/>
          <w:color w:val="000000" w:themeColor="text1"/>
          <w:szCs w:val="20"/>
        </w:rPr>
      </w:pPr>
    </w:p>
    <w:p w14:paraId="20D8E6A4" w14:textId="07817F40"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Soulignant l'importance du principe du consentement libre et éclairé aux interventions dans le domaine de la </w:t>
      </w:r>
      <w:proofErr w:type="gramStart"/>
      <w:r w:rsidRPr="00F9410B">
        <w:rPr>
          <w:rFonts w:eastAsiaTheme="minorHAnsi" w:cs="Arial"/>
          <w:color w:val="000000" w:themeColor="text1"/>
          <w:szCs w:val="20"/>
        </w:rPr>
        <w:t>santé;</w:t>
      </w:r>
      <w:proofErr w:type="gramEnd"/>
    </w:p>
    <w:p w14:paraId="0DFB7CDD" w14:textId="77777777" w:rsidR="00EA55EE" w:rsidRPr="00F9410B" w:rsidRDefault="00EA55EE" w:rsidP="00BE25B2">
      <w:pPr>
        <w:rPr>
          <w:rFonts w:eastAsiaTheme="minorHAnsi" w:cs="Arial"/>
          <w:color w:val="000000" w:themeColor="text1"/>
          <w:szCs w:val="20"/>
        </w:rPr>
      </w:pPr>
    </w:p>
    <w:p w14:paraId="3C14E8FC" w14:textId="03F1F01F"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Reconnaissant que les restrictions aux droits établis par la Convention sur les droits et l’homme et la biomédecine ne peuvent être autorisées que si elles sont prévues par la loi et si elles constituent des mesures nécessaires, dans une société démocratique, à la sûreté publique, à la prévention des infractions pénales, à la protection de la santé publique ou à la protection des droits et libertés </w:t>
      </w:r>
      <w:proofErr w:type="gramStart"/>
      <w:r w:rsidRPr="00F9410B">
        <w:rPr>
          <w:rFonts w:eastAsiaTheme="minorHAnsi" w:cs="Arial"/>
          <w:color w:val="000000" w:themeColor="text1"/>
          <w:szCs w:val="20"/>
        </w:rPr>
        <w:t>d'autrui;</w:t>
      </w:r>
      <w:proofErr w:type="gramEnd"/>
    </w:p>
    <w:p w14:paraId="72E8AA3C" w14:textId="77777777" w:rsidR="00EA55EE" w:rsidRPr="00F9410B" w:rsidRDefault="00EA55EE" w:rsidP="00BE25B2">
      <w:pPr>
        <w:rPr>
          <w:rFonts w:eastAsiaTheme="minorHAnsi" w:cs="Arial"/>
          <w:color w:val="000000" w:themeColor="text1"/>
          <w:szCs w:val="20"/>
        </w:rPr>
      </w:pPr>
    </w:p>
    <w:p w14:paraId="093AE95C" w14:textId="7E696646"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Tenant compte des normes professionnelles nationales et internationales dans le domaine du placement et du traitement involontaires des personnes au sein des services de soins de</w:t>
      </w:r>
      <w:r w:rsidRPr="00F9410B">
        <w:rPr>
          <w:rFonts w:eastAsiaTheme="minorHAnsi" w:cs="Arial"/>
          <w:b/>
          <w:bCs/>
          <w:color w:val="000000" w:themeColor="text1"/>
          <w:szCs w:val="20"/>
        </w:rPr>
        <w:t xml:space="preserve"> </w:t>
      </w:r>
      <w:r w:rsidRPr="00F9410B">
        <w:rPr>
          <w:rFonts w:eastAsiaTheme="minorHAnsi" w:cs="Arial"/>
          <w:color w:val="000000" w:themeColor="text1"/>
          <w:szCs w:val="20"/>
        </w:rPr>
        <w:t>santé mentale et des travaux</w:t>
      </w:r>
      <w:r w:rsidR="00EA55EE">
        <w:rPr>
          <w:rFonts w:eastAsiaTheme="minorHAnsi" w:cs="Arial"/>
          <w:color w:val="000000" w:themeColor="text1"/>
          <w:szCs w:val="20"/>
        </w:rPr>
        <w:t xml:space="preserve"> </w:t>
      </w:r>
      <w:r w:rsidRPr="00F9410B">
        <w:rPr>
          <w:rFonts w:eastAsiaTheme="minorHAnsi" w:cs="Arial"/>
          <w:color w:val="000000" w:themeColor="text1"/>
          <w:szCs w:val="20"/>
        </w:rPr>
        <w:t xml:space="preserve">antérieurs du Comité des Ministres et de l'Assemblée parlementaire du Conseil de l'Europe en la </w:t>
      </w:r>
      <w:proofErr w:type="gramStart"/>
      <w:r w:rsidRPr="00F9410B">
        <w:rPr>
          <w:rFonts w:eastAsiaTheme="minorHAnsi" w:cs="Arial"/>
          <w:color w:val="000000" w:themeColor="text1"/>
          <w:szCs w:val="20"/>
        </w:rPr>
        <w:t>matière;</w:t>
      </w:r>
      <w:proofErr w:type="gramEnd"/>
    </w:p>
    <w:p w14:paraId="2C858C15" w14:textId="77777777" w:rsidR="00EA55EE" w:rsidRPr="00F9410B" w:rsidRDefault="00EA55EE" w:rsidP="00BE25B2">
      <w:pPr>
        <w:rPr>
          <w:rFonts w:eastAsiaTheme="minorHAnsi" w:cs="Arial"/>
          <w:color w:val="000000" w:themeColor="text1"/>
          <w:szCs w:val="20"/>
        </w:rPr>
      </w:pPr>
    </w:p>
    <w:p w14:paraId="341731C9" w14:textId="1A5BD6D3" w:rsidR="00BE25B2" w:rsidRDefault="00BE25B2" w:rsidP="00BE25B2">
      <w:pPr>
        <w:tabs>
          <w:tab w:val="left" w:pos="426"/>
          <w:tab w:val="left" w:pos="851"/>
          <w:tab w:val="left" w:pos="1134"/>
        </w:tabs>
        <w:rPr>
          <w:rFonts w:cs="Arial"/>
          <w:szCs w:val="20"/>
        </w:rPr>
      </w:pPr>
      <w:r w:rsidRPr="00F9410B">
        <w:rPr>
          <w:rFonts w:cs="Arial"/>
          <w:szCs w:val="20"/>
        </w:rPr>
        <w:t xml:space="preserve">Considérant que le traitement involontaire d’une personne dont l’aptitude à prendre une décision sur un traitement est gravement altérée doit avoir pour objectif de permettre à cette personne de retrouver cette </w:t>
      </w:r>
      <w:proofErr w:type="gramStart"/>
      <w:r w:rsidRPr="00F9410B">
        <w:rPr>
          <w:rFonts w:cs="Arial"/>
          <w:szCs w:val="20"/>
        </w:rPr>
        <w:t>aptitude;</w:t>
      </w:r>
      <w:proofErr w:type="gramEnd"/>
    </w:p>
    <w:p w14:paraId="504D2448" w14:textId="77777777" w:rsidR="00EA55EE" w:rsidRPr="00F9410B" w:rsidRDefault="00EA55EE" w:rsidP="00BE25B2">
      <w:pPr>
        <w:tabs>
          <w:tab w:val="left" w:pos="426"/>
          <w:tab w:val="left" w:pos="851"/>
          <w:tab w:val="left" w:pos="1134"/>
        </w:tabs>
        <w:rPr>
          <w:rFonts w:cs="Arial"/>
          <w:szCs w:val="20"/>
        </w:rPr>
      </w:pPr>
    </w:p>
    <w:p w14:paraId="78DDAACE" w14:textId="3A75D0DF"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Soulignant le caractère primordial du développement de mesures appropriées de soins de santé</w:t>
      </w:r>
      <w:r w:rsidRPr="00F9410B">
        <w:rPr>
          <w:rFonts w:eastAsiaTheme="minorHAnsi" w:cs="Arial"/>
          <w:b/>
          <w:color w:val="000000" w:themeColor="text1"/>
          <w:szCs w:val="20"/>
        </w:rPr>
        <w:t xml:space="preserve"> </w:t>
      </w:r>
      <w:r w:rsidRPr="00F9410B">
        <w:rPr>
          <w:rFonts w:eastAsiaTheme="minorHAnsi" w:cs="Arial"/>
          <w:color w:val="000000" w:themeColor="text1"/>
          <w:szCs w:val="20"/>
        </w:rPr>
        <w:t>mentale</w:t>
      </w:r>
      <w:r w:rsidRPr="00F9410B">
        <w:rPr>
          <w:rFonts w:eastAsiaTheme="minorHAnsi" w:cs="Arial"/>
          <w:b/>
          <w:color w:val="000000" w:themeColor="text1"/>
          <w:szCs w:val="20"/>
        </w:rPr>
        <w:t xml:space="preserve"> </w:t>
      </w:r>
      <w:r w:rsidRPr="00F9410B">
        <w:rPr>
          <w:rFonts w:eastAsiaTheme="minorHAnsi" w:cs="Arial"/>
          <w:bCs/>
          <w:color w:val="000000" w:themeColor="text1"/>
          <w:szCs w:val="20"/>
        </w:rPr>
        <w:t xml:space="preserve">effectuées avec le consentement de la personne concernée et visant à éviter le recours au placement et au traitement </w:t>
      </w:r>
      <w:proofErr w:type="gramStart"/>
      <w:r w:rsidRPr="00F9410B">
        <w:rPr>
          <w:rFonts w:eastAsiaTheme="minorHAnsi" w:cs="Arial"/>
          <w:bCs/>
          <w:color w:val="000000" w:themeColor="text1"/>
          <w:szCs w:val="20"/>
        </w:rPr>
        <w:t>involontaires</w:t>
      </w:r>
      <w:r w:rsidRPr="00F9410B">
        <w:rPr>
          <w:rFonts w:cs="Arial"/>
          <w:color w:val="222222"/>
          <w:szCs w:val="20"/>
          <w:lang w:eastAsia="en-GB"/>
        </w:rPr>
        <w:t>;</w:t>
      </w:r>
      <w:proofErr w:type="gramEnd"/>
      <w:r w:rsidRPr="00F9410B">
        <w:rPr>
          <w:rFonts w:eastAsiaTheme="minorHAnsi" w:cs="Arial"/>
          <w:color w:val="000000" w:themeColor="text1"/>
          <w:szCs w:val="20"/>
        </w:rPr>
        <w:t xml:space="preserve"> </w:t>
      </w:r>
    </w:p>
    <w:p w14:paraId="54DAD85F" w14:textId="77777777" w:rsidR="00EA55EE" w:rsidRPr="00F9410B" w:rsidRDefault="00EA55EE" w:rsidP="00BE25B2">
      <w:pPr>
        <w:rPr>
          <w:rFonts w:eastAsiaTheme="minorHAnsi" w:cs="Arial"/>
          <w:strike/>
          <w:color w:val="000000" w:themeColor="text1"/>
          <w:szCs w:val="20"/>
        </w:rPr>
      </w:pPr>
    </w:p>
    <w:p w14:paraId="6AEEA947" w14:textId="6AAB9AC9"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Reconnaissant que le recours au placement et au traitement involontaires est susceptible de porter atteinte à la dignité humaine et aux droits et libertés fondamentaux et, partant, qu’il doit être limité et que de telles mesures ne doivent être mises en œuvre qu’en dernier </w:t>
      </w:r>
      <w:proofErr w:type="gramStart"/>
      <w:r w:rsidRPr="00F9410B">
        <w:rPr>
          <w:rFonts w:eastAsiaTheme="minorHAnsi" w:cs="Arial"/>
          <w:color w:val="000000" w:themeColor="text1"/>
          <w:szCs w:val="20"/>
        </w:rPr>
        <w:t>recours;</w:t>
      </w:r>
      <w:proofErr w:type="gramEnd"/>
    </w:p>
    <w:p w14:paraId="545E0EE6" w14:textId="77777777" w:rsidR="00EA55EE" w:rsidRPr="00F9410B" w:rsidRDefault="00EA55EE" w:rsidP="00BE25B2">
      <w:pPr>
        <w:rPr>
          <w:rFonts w:eastAsiaTheme="minorHAnsi" w:cs="Arial"/>
          <w:color w:val="000000" w:themeColor="text1"/>
          <w:szCs w:val="20"/>
        </w:rPr>
      </w:pPr>
    </w:p>
    <w:p w14:paraId="60E10027" w14:textId="376E6D64"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Soulignant la nécessité d’assurer que, en cas de recours à de telles mesures, les personnes concernées bénéficient d’une protection appropriée et peuvent exercer effectivement leurs </w:t>
      </w:r>
      <w:proofErr w:type="gramStart"/>
      <w:r w:rsidRPr="00F9410B">
        <w:rPr>
          <w:rFonts w:eastAsiaTheme="minorHAnsi" w:cs="Arial"/>
          <w:color w:val="000000" w:themeColor="text1"/>
          <w:szCs w:val="20"/>
        </w:rPr>
        <w:t>droits;</w:t>
      </w:r>
      <w:proofErr w:type="gramEnd"/>
    </w:p>
    <w:p w14:paraId="22675505" w14:textId="77777777" w:rsidR="00EA55EE" w:rsidRPr="00F9410B" w:rsidRDefault="00EA55EE" w:rsidP="00BE25B2">
      <w:pPr>
        <w:rPr>
          <w:rFonts w:eastAsiaTheme="minorHAnsi" w:cs="Arial"/>
          <w:color w:val="000000" w:themeColor="text1"/>
          <w:szCs w:val="20"/>
        </w:rPr>
      </w:pPr>
    </w:p>
    <w:p w14:paraId="32CFBFA5" w14:textId="7135636D"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Soulignant l’importance d’un contrôle approprié du recours à</w:t>
      </w:r>
      <w:r w:rsidRPr="00F9410B">
        <w:rPr>
          <w:rFonts w:eastAsiaTheme="minorHAnsi" w:cs="Arial"/>
          <w:b/>
          <w:color w:val="000000" w:themeColor="text1"/>
          <w:szCs w:val="20"/>
        </w:rPr>
        <w:t xml:space="preserve"> </w:t>
      </w:r>
      <w:r w:rsidRPr="00F9410B">
        <w:rPr>
          <w:rFonts w:eastAsiaTheme="minorHAnsi" w:cs="Arial"/>
          <w:color w:val="000000" w:themeColor="text1"/>
          <w:szCs w:val="20"/>
        </w:rPr>
        <w:t xml:space="preserve">de telles </w:t>
      </w:r>
      <w:proofErr w:type="gramStart"/>
      <w:r w:rsidRPr="00F9410B">
        <w:rPr>
          <w:rFonts w:eastAsiaTheme="minorHAnsi" w:cs="Arial"/>
          <w:color w:val="000000" w:themeColor="text1"/>
          <w:szCs w:val="20"/>
        </w:rPr>
        <w:t>mesures;</w:t>
      </w:r>
      <w:proofErr w:type="gramEnd"/>
      <w:r w:rsidRPr="00F9410B">
        <w:rPr>
          <w:rFonts w:eastAsiaTheme="minorHAnsi" w:cs="Arial"/>
          <w:color w:val="000000" w:themeColor="text1"/>
          <w:szCs w:val="20"/>
        </w:rPr>
        <w:t xml:space="preserve"> </w:t>
      </w:r>
    </w:p>
    <w:p w14:paraId="283438CC" w14:textId="77777777" w:rsidR="00EA55EE" w:rsidRPr="00F9410B" w:rsidRDefault="00EA55EE" w:rsidP="00BE25B2">
      <w:pPr>
        <w:rPr>
          <w:rFonts w:eastAsiaTheme="minorHAnsi" w:cs="Arial"/>
          <w:color w:val="000000" w:themeColor="text1"/>
          <w:szCs w:val="20"/>
        </w:rPr>
      </w:pPr>
    </w:p>
    <w:p w14:paraId="66F7F0DC" w14:textId="73923D9D"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Résolus à prendre les mesures nécessaires pour protéger la dignité humaine et assurer le respect des droits </w:t>
      </w:r>
      <w:r w:rsidRPr="00F9410B">
        <w:rPr>
          <w:rFonts w:eastAsiaTheme="minorHAnsi" w:cs="Arial"/>
          <w:bCs/>
          <w:color w:val="000000" w:themeColor="text1"/>
          <w:szCs w:val="20"/>
        </w:rPr>
        <w:t>de l’homme</w:t>
      </w:r>
      <w:r w:rsidRPr="00F9410B">
        <w:rPr>
          <w:rFonts w:eastAsiaTheme="minorHAnsi" w:cs="Arial"/>
          <w:color w:val="000000" w:themeColor="text1"/>
          <w:szCs w:val="20"/>
        </w:rPr>
        <w:t xml:space="preserve"> et des libertés fondamentales de la personne</w:t>
      </w:r>
      <w:r w:rsidRPr="00F9410B">
        <w:rPr>
          <w:rFonts w:eastAsiaTheme="minorHAnsi" w:cs="Arial"/>
          <w:b/>
          <w:bCs/>
          <w:color w:val="000000" w:themeColor="text1"/>
          <w:szCs w:val="20"/>
        </w:rPr>
        <w:t xml:space="preserve"> </w:t>
      </w:r>
      <w:r w:rsidRPr="00F9410B">
        <w:rPr>
          <w:rFonts w:eastAsiaTheme="minorHAnsi" w:cs="Arial"/>
          <w:bCs/>
          <w:color w:val="000000" w:themeColor="text1"/>
          <w:szCs w:val="20"/>
        </w:rPr>
        <w:t>à l’égard du placement et du traitement involontaires</w:t>
      </w:r>
      <w:r w:rsidRPr="00F9410B">
        <w:rPr>
          <w:rFonts w:eastAsiaTheme="minorHAnsi" w:cs="Arial"/>
          <w:color w:val="000000" w:themeColor="text1"/>
          <w:szCs w:val="20"/>
        </w:rPr>
        <w:t xml:space="preserve"> en précisant les normes de protection applicables pour le recours </w:t>
      </w:r>
      <w:r w:rsidRPr="00F9410B">
        <w:rPr>
          <w:rFonts w:eastAsiaTheme="minorHAnsi" w:cs="Arial"/>
          <w:bCs/>
          <w:color w:val="000000" w:themeColor="text1"/>
          <w:szCs w:val="20"/>
        </w:rPr>
        <w:t>à de telles mesures</w:t>
      </w:r>
      <w:r w:rsidRPr="00F9410B">
        <w:rPr>
          <w:rFonts w:eastAsiaTheme="minorHAnsi" w:cs="Arial"/>
          <w:color w:val="000000" w:themeColor="text1"/>
          <w:szCs w:val="20"/>
        </w:rPr>
        <w:t>,</w:t>
      </w:r>
    </w:p>
    <w:p w14:paraId="4C529D48" w14:textId="77777777" w:rsidR="00EA55EE" w:rsidRPr="00F9410B" w:rsidRDefault="00EA55EE" w:rsidP="00BE25B2">
      <w:pPr>
        <w:rPr>
          <w:rFonts w:eastAsiaTheme="minorHAnsi" w:cs="Arial"/>
          <w:color w:val="000000" w:themeColor="text1"/>
          <w:szCs w:val="20"/>
        </w:rPr>
      </w:pPr>
    </w:p>
    <w:p w14:paraId="50E0128B" w14:textId="1868A6B4" w:rsidR="00BE25B2" w:rsidRDefault="00BE25B2" w:rsidP="00BE25B2">
      <w:pPr>
        <w:rPr>
          <w:rFonts w:eastAsiaTheme="minorHAnsi" w:cs="Arial"/>
          <w:color w:val="000000" w:themeColor="text1"/>
          <w:szCs w:val="20"/>
        </w:rPr>
      </w:pPr>
      <w:r w:rsidRPr="00F9410B">
        <w:rPr>
          <w:rFonts w:eastAsiaTheme="minorHAnsi" w:cs="Arial"/>
          <w:color w:val="000000" w:themeColor="text1"/>
          <w:szCs w:val="20"/>
        </w:rPr>
        <w:t xml:space="preserve">Sont convenus de ce qui </w:t>
      </w:r>
      <w:proofErr w:type="gramStart"/>
      <w:r w:rsidRPr="00F9410B">
        <w:rPr>
          <w:rFonts w:eastAsiaTheme="minorHAnsi" w:cs="Arial"/>
          <w:color w:val="000000" w:themeColor="text1"/>
          <w:szCs w:val="20"/>
        </w:rPr>
        <w:t>suit:</w:t>
      </w:r>
      <w:proofErr w:type="gramEnd"/>
    </w:p>
    <w:p w14:paraId="4E1AC206" w14:textId="77777777" w:rsidR="00EA55EE" w:rsidRPr="00F9410B" w:rsidRDefault="00EA55EE" w:rsidP="00BE25B2">
      <w:pPr>
        <w:rPr>
          <w:rFonts w:eastAsiaTheme="minorHAnsi" w:cs="Arial"/>
          <w:color w:val="000000" w:themeColor="text1"/>
          <w:szCs w:val="20"/>
        </w:rPr>
      </w:pPr>
    </w:p>
    <w:p w14:paraId="3F344A8B" w14:textId="01D00F2D" w:rsidR="00BE25B2" w:rsidRDefault="00BE25B2" w:rsidP="00BE25B2">
      <w:pPr>
        <w:rPr>
          <w:rFonts w:cs="Arial"/>
          <w:b/>
          <w:bCs/>
          <w:szCs w:val="20"/>
          <w:u w:val="single"/>
        </w:rPr>
      </w:pPr>
      <w:r w:rsidRPr="00F9410B">
        <w:rPr>
          <w:rFonts w:cs="Arial"/>
          <w:b/>
          <w:bCs/>
          <w:szCs w:val="20"/>
          <w:u w:val="single"/>
        </w:rPr>
        <w:t>Chapitre I – Objet et champ d’application</w:t>
      </w:r>
    </w:p>
    <w:p w14:paraId="25E2E546" w14:textId="77777777" w:rsidR="00EA55EE" w:rsidRPr="00F9410B" w:rsidRDefault="00EA55EE" w:rsidP="00BE25B2">
      <w:pPr>
        <w:rPr>
          <w:rFonts w:cs="Arial"/>
          <w:b/>
          <w:bCs/>
          <w:szCs w:val="20"/>
          <w:u w:val="single"/>
        </w:rPr>
      </w:pPr>
    </w:p>
    <w:p w14:paraId="541C8D7D" w14:textId="0C82838E" w:rsidR="00BE25B2" w:rsidRDefault="00BE25B2" w:rsidP="00BE25B2">
      <w:pPr>
        <w:outlineLvl w:val="0"/>
        <w:rPr>
          <w:rFonts w:cs="Arial"/>
          <w:b/>
          <w:bCs/>
          <w:szCs w:val="20"/>
        </w:rPr>
      </w:pPr>
      <w:r w:rsidRPr="00F9410B">
        <w:rPr>
          <w:rFonts w:cs="Arial"/>
          <w:b/>
          <w:bCs/>
          <w:szCs w:val="20"/>
        </w:rPr>
        <w:t>Article 1 – Objet</w:t>
      </w:r>
    </w:p>
    <w:p w14:paraId="05FD8FE5" w14:textId="77777777" w:rsidR="00EA55EE" w:rsidRPr="00F9410B" w:rsidRDefault="00EA55EE" w:rsidP="00BE25B2">
      <w:pPr>
        <w:outlineLvl w:val="0"/>
        <w:rPr>
          <w:rFonts w:cs="Arial"/>
          <w:b/>
          <w:bCs/>
          <w:szCs w:val="20"/>
        </w:rPr>
      </w:pPr>
    </w:p>
    <w:p w14:paraId="666CC9D4" w14:textId="6B85E53C" w:rsidR="00BE25B2" w:rsidRDefault="00BE25B2" w:rsidP="00BE25B2">
      <w:pPr>
        <w:pStyle w:val="ListParagraph"/>
        <w:numPr>
          <w:ilvl w:val="0"/>
          <w:numId w:val="46"/>
        </w:numPr>
        <w:tabs>
          <w:tab w:val="left" w:pos="426"/>
        </w:tabs>
        <w:spacing w:after="0" w:line="240" w:lineRule="auto"/>
        <w:ind w:left="0" w:firstLine="0"/>
        <w:contextualSpacing w:val="0"/>
        <w:rPr>
          <w:rFonts w:cs="Arial"/>
          <w:szCs w:val="20"/>
        </w:rPr>
      </w:pPr>
      <w:r w:rsidRPr="00F9410B">
        <w:rPr>
          <w:rFonts w:cs="Arial"/>
          <w:szCs w:val="20"/>
        </w:rPr>
        <w:t xml:space="preserve">Les Parties au présent Protocole protègent la dignité et l’identité de toutes les personnes et garantissent, sans discrimination, le respect de </w:t>
      </w:r>
      <w:r w:rsidRPr="00F9410B">
        <w:rPr>
          <w:rFonts w:cs="Arial"/>
          <w:bCs/>
          <w:szCs w:val="20"/>
        </w:rPr>
        <w:t>leur autonomie,</w:t>
      </w:r>
      <w:r w:rsidRPr="00F9410B">
        <w:rPr>
          <w:rFonts w:cs="Arial"/>
          <w:szCs w:val="20"/>
        </w:rPr>
        <w:t xml:space="preserve"> de leur intégrité et de leurs autres droits et libertés fondamentales, à l’égard </w:t>
      </w:r>
      <w:r w:rsidRPr="00F9410B">
        <w:rPr>
          <w:rFonts w:cs="Arial"/>
          <w:bCs/>
          <w:szCs w:val="20"/>
        </w:rPr>
        <w:t>du placement et du traitement involontaires</w:t>
      </w:r>
      <w:r w:rsidRPr="00F9410B">
        <w:rPr>
          <w:rFonts w:cs="Arial"/>
          <w:color w:val="222222"/>
          <w:szCs w:val="20"/>
        </w:rPr>
        <w:t xml:space="preserve"> au</w:t>
      </w:r>
      <w:r w:rsidRPr="00F9410B">
        <w:rPr>
          <w:rFonts w:cs="Arial"/>
          <w:b/>
          <w:color w:val="222222"/>
          <w:szCs w:val="20"/>
        </w:rPr>
        <w:t xml:space="preserve"> </w:t>
      </w:r>
      <w:r w:rsidRPr="00F9410B">
        <w:rPr>
          <w:rFonts w:cs="Arial"/>
          <w:color w:val="222222"/>
          <w:szCs w:val="20"/>
        </w:rPr>
        <w:t>sein des services de soins de santé mentale</w:t>
      </w:r>
      <w:r w:rsidRPr="00F9410B">
        <w:rPr>
          <w:rFonts w:cs="Arial"/>
          <w:bCs/>
          <w:color w:val="222222"/>
          <w:szCs w:val="20"/>
        </w:rPr>
        <w:t>.</w:t>
      </w:r>
      <w:r w:rsidRPr="00F9410B">
        <w:rPr>
          <w:rFonts w:cs="Arial"/>
          <w:szCs w:val="20"/>
        </w:rPr>
        <w:t xml:space="preserve"> </w:t>
      </w:r>
    </w:p>
    <w:p w14:paraId="0AB80C9C" w14:textId="77777777" w:rsidR="00EA55EE" w:rsidRPr="00F9410B" w:rsidRDefault="00EA55EE" w:rsidP="00EA55EE">
      <w:pPr>
        <w:pStyle w:val="ListParagraph"/>
        <w:tabs>
          <w:tab w:val="left" w:pos="426"/>
        </w:tabs>
        <w:spacing w:after="0" w:line="240" w:lineRule="auto"/>
        <w:ind w:left="0"/>
        <w:contextualSpacing w:val="0"/>
        <w:rPr>
          <w:rFonts w:cs="Arial"/>
          <w:szCs w:val="20"/>
        </w:rPr>
      </w:pPr>
    </w:p>
    <w:p w14:paraId="7687A68D" w14:textId="51C88008" w:rsidR="00BE25B2" w:rsidRDefault="00BE25B2" w:rsidP="00BE25B2">
      <w:pPr>
        <w:pStyle w:val="ListParagraph"/>
        <w:numPr>
          <w:ilvl w:val="0"/>
          <w:numId w:val="46"/>
        </w:numPr>
        <w:tabs>
          <w:tab w:val="left" w:pos="426"/>
        </w:tabs>
        <w:spacing w:after="0" w:line="240" w:lineRule="auto"/>
        <w:ind w:left="0" w:firstLine="0"/>
        <w:rPr>
          <w:rFonts w:cs="Arial"/>
          <w:szCs w:val="20"/>
        </w:rPr>
      </w:pPr>
      <w:r w:rsidRPr="00F9410B">
        <w:rPr>
          <w:rFonts w:cs="Arial"/>
          <w:szCs w:val="20"/>
        </w:rPr>
        <w:t xml:space="preserve">Les dispositions du présent Protocole ne limitent ni ne portent atteinte à la faculté pour chaque Partie d’accorder une protection plus étendue que celle prévue par le présent Protocole. </w:t>
      </w:r>
    </w:p>
    <w:p w14:paraId="13E49810" w14:textId="77777777" w:rsidR="00EA55EE" w:rsidRPr="00F9410B" w:rsidRDefault="00EA55EE" w:rsidP="00EA55EE">
      <w:pPr>
        <w:pStyle w:val="ListParagraph"/>
        <w:tabs>
          <w:tab w:val="left" w:pos="426"/>
        </w:tabs>
        <w:spacing w:after="0" w:line="240" w:lineRule="auto"/>
        <w:ind w:left="0"/>
        <w:rPr>
          <w:rFonts w:cs="Arial"/>
          <w:szCs w:val="20"/>
        </w:rPr>
      </w:pPr>
    </w:p>
    <w:p w14:paraId="6ECB3367" w14:textId="77777777" w:rsidR="00EA55EE" w:rsidRDefault="00EA55EE">
      <w:pPr>
        <w:rPr>
          <w:rFonts w:cs="Arial"/>
          <w:b/>
          <w:bCs/>
          <w:szCs w:val="20"/>
        </w:rPr>
      </w:pPr>
      <w:r>
        <w:rPr>
          <w:rFonts w:cs="Arial"/>
          <w:b/>
          <w:bCs/>
          <w:szCs w:val="20"/>
        </w:rPr>
        <w:br w:type="page"/>
      </w:r>
    </w:p>
    <w:p w14:paraId="4D0D5593" w14:textId="33D789B8" w:rsidR="00BE25B2" w:rsidRDefault="00BE25B2" w:rsidP="00EA55EE">
      <w:pPr>
        <w:outlineLvl w:val="0"/>
        <w:rPr>
          <w:rFonts w:cs="Arial"/>
          <w:b/>
          <w:bCs/>
          <w:szCs w:val="20"/>
        </w:rPr>
      </w:pPr>
      <w:r w:rsidRPr="00F9410B">
        <w:rPr>
          <w:rFonts w:cs="Arial"/>
          <w:b/>
          <w:bCs/>
          <w:szCs w:val="20"/>
        </w:rPr>
        <w:t>Article 2 – Champ d’application et définitions</w:t>
      </w:r>
    </w:p>
    <w:p w14:paraId="79398753" w14:textId="77777777" w:rsidR="00EA55EE" w:rsidRPr="00F9410B" w:rsidRDefault="00EA55EE" w:rsidP="00BE25B2">
      <w:pPr>
        <w:outlineLvl w:val="0"/>
        <w:rPr>
          <w:rFonts w:cs="Arial"/>
          <w:b/>
          <w:bCs/>
          <w:i/>
          <w:szCs w:val="20"/>
        </w:rPr>
      </w:pPr>
    </w:p>
    <w:p w14:paraId="1398C70A" w14:textId="2F0981F3" w:rsidR="00BE25B2" w:rsidRDefault="00BE25B2" w:rsidP="00BE25B2">
      <w:pPr>
        <w:outlineLvl w:val="0"/>
        <w:rPr>
          <w:rFonts w:cs="Arial"/>
          <w:i/>
          <w:iCs/>
          <w:szCs w:val="20"/>
        </w:rPr>
      </w:pPr>
      <w:r w:rsidRPr="00F9410B">
        <w:rPr>
          <w:rFonts w:cs="Arial"/>
          <w:i/>
          <w:iCs/>
          <w:szCs w:val="20"/>
        </w:rPr>
        <w:t>Champ d’application</w:t>
      </w:r>
    </w:p>
    <w:p w14:paraId="1ACB186D" w14:textId="77777777" w:rsidR="00EA55EE" w:rsidRPr="00F9410B" w:rsidRDefault="00EA55EE" w:rsidP="00BE25B2">
      <w:pPr>
        <w:outlineLvl w:val="0"/>
        <w:rPr>
          <w:rFonts w:cs="Arial"/>
          <w:i/>
          <w:iCs/>
          <w:szCs w:val="20"/>
        </w:rPr>
      </w:pPr>
    </w:p>
    <w:p w14:paraId="67188DEB" w14:textId="7C74DC92" w:rsidR="00BE25B2" w:rsidRDefault="00BE25B2" w:rsidP="00BE25B2">
      <w:pPr>
        <w:pStyle w:val="ListParagraph"/>
        <w:numPr>
          <w:ilvl w:val="0"/>
          <w:numId w:val="45"/>
        </w:numPr>
        <w:tabs>
          <w:tab w:val="left" w:pos="426"/>
        </w:tabs>
        <w:spacing w:after="0" w:line="240" w:lineRule="auto"/>
        <w:ind w:left="0" w:firstLine="0"/>
        <w:contextualSpacing w:val="0"/>
        <w:rPr>
          <w:rFonts w:cs="Arial"/>
          <w:bCs/>
          <w:szCs w:val="20"/>
        </w:rPr>
      </w:pPr>
      <w:r w:rsidRPr="00F9410B">
        <w:rPr>
          <w:rFonts w:cs="Arial"/>
          <w:szCs w:val="20"/>
        </w:rPr>
        <w:t xml:space="preserve">Les dispositions du présent Protocole s’appliquent au </w:t>
      </w:r>
      <w:r w:rsidRPr="00F9410B">
        <w:rPr>
          <w:rFonts w:cs="Arial"/>
          <w:bCs/>
          <w:szCs w:val="20"/>
        </w:rPr>
        <w:t xml:space="preserve">placement et au traitement involontaires </w:t>
      </w:r>
      <w:r w:rsidRPr="00F9410B">
        <w:rPr>
          <w:rFonts w:cs="Arial"/>
          <w:szCs w:val="20"/>
        </w:rPr>
        <w:t>de personnes atteintes de troubles mentaux</w:t>
      </w:r>
      <w:r w:rsidRPr="00F9410B">
        <w:rPr>
          <w:rFonts w:cs="Arial"/>
          <w:bCs/>
          <w:szCs w:val="20"/>
        </w:rPr>
        <w:t>.</w:t>
      </w:r>
    </w:p>
    <w:p w14:paraId="2A3EB81D" w14:textId="77777777" w:rsidR="00EA55EE" w:rsidRPr="00F9410B" w:rsidRDefault="00EA55EE" w:rsidP="00EA55EE">
      <w:pPr>
        <w:pStyle w:val="ListParagraph"/>
        <w:tabs>
          <w:tab w:val="left" w:pos="426"/>
        </w:tabs>
        <w:spacing w:after="0" w:line="240" w:lineRule="auto"/>
        <w:ind w:left="0"/>
        <w:contextualSpacing w:val="0"/>
        <w:rPr>
          <w:rFonts w:cs="Arial"/>
          <w:bCs/>
          <w:szCs w:val="20"/>
        </w:rPr>
      </w:pPr>
    </w:p>
    <w:p w14:paraId="3C5EB342" w14:textId="2F0CE276" w:rsidR="00EA55EE" w:rsidRDefault="00BE25B2" w:rsidP="00BE25B2">
      <w:pPr>
        <w:pStyle w:val="ListParagraph"/>
        <w:tabs>
          <w:tab w:val="left" w:pos="426"/>
        </w:tabs>
        <w:spacing w:after="0" w:line="240" w:lineRule="auto"/>
        <w:ind w:left="0"/>
        <w:rPr>
          <w:rFonts w:cs="Arial"/>
          <w:color w:val="222222"/>
          <w:szCs w:val="20"/>
        </w:rPr>
      </w:pPr>
      <w:r w:rsidRPr="00F9410B">
        <w:rPr>
          <w:rFonts w:cs="Arial"/>
          <w:bCs/>
          <w:szCs w:val="20"/>
        </w:rPr>
        <w:t>2.</w:t>
      </w:r>
      <w:r w:rsidRPr="00F9410B">
        <w:rPr>
          <w:rFonts w:cs="Arial"/>
          <w:bCs/>
          <w:szCs w:val="20"/>
        </w:rPr>
        <w:tab/>
      </w:r>
      <w:r w:rsidRPr="00F9410B">
        <w:rPr>
          <w:rStyle w:val="hps"/>
          <w:rFonts w:cs="Arial"/>
          <w:color w:val="222222"/>
          <w:szCs w:val="20"/>
        </w:rPr>
        <w:t>Les</w:t>
      </w:r>
      <w:r w:rsidRPr="00F9410B">
        <w:rPr>
          <w:rFonts w:cs="Arial"/>
          <w:color w:val="222222"/>
          <w:szCs w:val="20"/>
        </w:rPr>
        <w:t xml:space="preserve"> </w:t>
      </w:r>
      <w:r w:rsidRPr="00F9410B">
        <w:rPr>
          <w:rStyle w:val="hps"/>
          <w:rFonts w:cs="Arial"/>
          <w:color w:val="222222"/>
          <w:szCs w:val="20"/>
        </w:rPr>
        <w:t>dispositions du présent Protocole</w:t>
      </w:r>
      <w:r w:rsidRPr="00F9410B">
        <w:rPr>
          <w:rFonts w:cs="Arial"/>
          <w:color w:val="222222"/>
          <w:szCs w:val="20"/>
        </w:rPr>
        <w:t xml:space="preserve"> ne </w:t>
      </w:r>
      <w:r w:rsidRPr="00F9410B">
        <w:rPr>
          <w:rStyle w:val="hps"/>
          <w:rFonts w:cs="Arial"/>
          <w:color w:val="222222"/>
          <w:szCs w:val="20"/>
        </w:rPr>
        <w:t>s’appliquent</w:t>
      </w:r>
      <w:r w:rsidRPr="00F9410B">
        <w:rPr>
          <w:rFonts w:cs="Arial"/>
          <w:color w:val="222222"/>
          <w:szCs w:val="20"/>
        </w:rPr>
        <w:t xml:space="preserve"> pas </w:t>
      </w:r>
      <w:r w:rsidRPr="00F9410B">
        <w:rPr>
          <w:rStyle w:val="hps"/>
          <w:rFonts w:cs="Arial"/>
          <w:color w:val="222222"/>
          <w:szCs w:val="20"/>
        </w:rPr>
        <w:t>aux mineurs.</w:t>
      </w:r>
      <w:r w:rsidRPr="00F9410B">
        <w:rPr>
          <w:rFonts w:cs="Arial"/>
          <w:color w:val="222222"/>
          <w:szCs w:val="20"/>
        </w:rPr>
        <w:t xml:space="preserve"> </w:t>
      </w:r>
    </w:p>
    <w:p w14:paraId="1C58A329" w14:textId="77777777" w:rsidR="00EA55EE" w:rsidRPr="00F9410B" w:rsidRDefault="00EA55EE" w:rsidP="00BE25B2">
      <w:pPr>
        <w:pStyle w:val="ListParagraph"/>
        <w:tabs>
          <w:tab w:val="left" w:pos="426"/>
        </w:tabs>
        <w:spacing w:after="0" w:line="240" w:lineRule="auto"/>
        <w:ind w:left="0"/>
        <w:rPr>
          <w:rFonts w:cs="Arial"/>
          <w:color w:val="222222"/>
          <w:szCs w:val="20"/>
        </w:rPr>
      </w:pPr>
    </w:p>
    <w:p w14:paraId="641783C9" w14:textId="0F780AA7" w:rsidR="00BE25B2" w:rsidRDefault="00BE25B2" w:rsidP="00BE25B2">
      <w:pPr>
        <w:tabs>
          <w:tab w:val="left" w:pos="426"/>
        </w:tabs>
        <w:rPr>
          <w:rFonts w:cs="Arial"/>
          <w:szCs w:val="20"/>
        </w:rPr>
      </w:pPr>
      <w:r w:rsidRPr="00F9410B">
        <w:rPr>
          <w:rFonts w:cs="Arial"/>
          <w:szCs w:val="20"/>
        </w:rPr>
        <w:t>3.</w:t>
      </w:r>
      <w:r w:rsidRPr="00F9410B">
        <w:rPr>
          <w:rFonts w:cs="Arial"/>
          <w:szCs w:val="20"/>
        </w:rPr>
        <w:tab/>
        <w:t>Le présent Protocole ne s’applique pas aux placements et aux traitements ordonnés dans le cadre d’une procédure pénale.</w:t>
      </w:r>
    </w:p>
    <w:p w14:paraId="3F0D03AF" w14:textId="3211008E" w:rsidR="00EA55EE" w:rsidRPr="00F9410B" w:rsidRDefault="00EA55EE" w:rsidP="00EA55EE">
      <w:pPr>
        <w:rPr>
          <w:rFonts w:cs="Arial"/>
          <w:szCs w:val="20"/>
        </w:rPr>
      </w:pPr>
    </w:p>
    <w:p w14:paraId="7527ACEE" w14:textId="71531402" w:rsidR="00BE25B2" w:rsidRDefault="00BE25B2" w:rsidP="00BE25B2">
      <w:pPr>
        <w:rPr>
          <w:rFonts w:cs="Arial"/>
          <w:i/>
          <w:iCs/>
          <w:szCs w:val="20"/>
        </w:rPr>
      </w:pPr>
      <w:r w:rsidRPr="00F9410B">
        <w:rPr>
          <w:rFonts w:cs="Arial"/>
          <w:i/>
          <w:iCs/>
          <w:szCs w:val="20"/>
        </w:rPr>
        <w:t>Définitions</w:t>
      </w:r>
    </w:p>
    <w:p w14:paraId="1B337CDA" w14:textId="77777777" w:rsidR="00EA55EE" w:rsidRPr="00F9410B" w:rsidRDefault="00EA55EE" w:rsidP="00BE25B2">
      <w:pPr>
        <w:rPr>
          <w:rFonts w:cs="Arial"/>
          <w:i/>
          <w:iCs/>
          <w:szCs w:val="20"/>
        </w:rPr>
      </w:pPr>
    </w:p>
    <w:p w14:paraId="0E220A6B" w14:textId="192F12EB" w:rsidR="00BE25B2" w:rsidRDefault="00BE25B2" w:rsidP="00BE25B2">
      <w:pPr>
        <w:tabs>
          <w:tab w:val="left" w:pos="426"/>
        </w:tabs>
        <w:rPr>
          <w:rFonts w:cs="Arial"/>
          <w:szCs w:val="20"/>
        </w:rPr>
      </w:pPr>
      <w:r w:rsidRPr="00F9410B">
        <w:rPr>
          <w:rFonts w:cs="Arial"/>
          <w:szCs w:val="20"/>
        </w:rPr>
        <w:t>4.</w:t>
      </w:r>
      <w:r w:rsidRPr="00F9410B">
        <w:rPr>
          <w:rFonts w:cs="Arial"/>
          <w:szCs w:val="20"/>
        </w:rPr>
        <w:tab/>
        <w:t xml:space="preserve">Aux fins du présent Protocole, </w:t>
      </w:r>
      <w:proofErr w:type="gramStart"/>
      <w:r w:rsidRPr="00F9410B">
        <w:rPr>
          <w:rFonts w:cs="Arial"/>
          <w:szCs w:val="20"/>
        </w:rPr>
        <w:t>l’expression:</w:t>
      </w:r>
      <w:proofErr w:type="gramEnd"/>
    </w:p>
    <w:p w14:paraId="3DF573CC" w14:textId="77777777" w:rsidR="00EA55EE" w:rsidRPr="00F9410B" w:rsidRDefault="00EA55EE" w:rsidP="00BE25B2">
      <w:pPr>
        <w:tabs>
          <w:tab w:val="left" w:pos="426"/>
        </w:tabs>
        <w:rPr>
          <w:rFonts w:cs="Arial"/>
          <w:szCs w:val="20"/>
        </w:rPr>
      </w:pPr>
    </w:p>
    <w:p w14:paraId="4AF66A56" w14:textId="0C683C51" w:rsidR="00BE25B2" w:rsidRDefault="00BE25B2" w:rsidP="00BE25B2">
      <w:pPr>
        <w:tabs>
          <w:tab w:val="left" w:pos="426"/>
          <w:tab w:val="left" w:pos="709"/>
          <w:tab w:val="left" w:pos="993"/>
        </w:tabs>
        <w:ind w:left="720" w:hanging="294"/>
        <w:rPr>
          <w:rStyle w:val="hps"/>
          <w:rFonts w:cs="Arial"/>
          <w:bCs/>
          <w:color w:val="222222"/>
          <w:szCs w:val="20"/>
        </w:rPr>
      </w:pPr>
      <w:r w:rsidRPr="00F9410B">
        <w:rPr>
          <w:rStyle w:val="hps"/>
          <w:rFonts w:cs="Arial"/>
          <w:color w:val="222222"/>
          <w:szCs w:val="20"/>
        </w:rPr>
        <w:t>–</w:t>
      </w:r>
      <w:r w:rsidRPr="00F9410B">
        <w:rPr>
          <w:rStyle w:val="hps"/>
          <w:rFonts w:cs="Arial"/>
          <w:color w:val="222222"/>
          <w:szCs w:val="20"/>
        </w:rPr>
        <w:tab/>
      </w:r>
      <w:r w:rsidRPr="00F9410B">
        <w:rPr>
          <w:rStyle w:val="hps"/>
          <w:rFonts w:cs="Arial"/>
          <w:bCs/>
          <w:color w:val="222222"/>
          <w:szCs w:val="20"/>
        </w:rPr>
        <w:t xml:space="preserve">« trouble mental » est définie conformément aux normes médicales internationalement </w:t>
      </w:r>
      <w:proofErr w:type="gramStart"/>
      <w:r w:rsidRPr="00F9410B">
        <w:rPr>
          <w:rStyle w:val="hps"/>
          <w:rFonts w:cs="Arial"/>
          <w:bCs/>
          <w:color w:val="222222"/>
          <w:szCs w:val="20"/>
        </w:rPr>
        <w:t>reconnues;</w:t>
      </w:r>
      <w:proofErr w:type="gramEnd"/>
      <w:r w:rsidRPr="00F9410B">
        <w:rPr>
          <w:rStyle w:val="hps"/>
          <w:rFonts w:cs="Arial"/>
          <w:bCs/>
          <w:color w:val="222222"/>
          <w:szCs w:val="20"/>
        </w:rPr>
        <w:t xml:space="preserve"> un défaut d’adaptation aux valeurs morales, sociales, politiques, </w:t>
      </w:r>
      <w:r w:rsidRPr="00F9410B">
        <w:rPr>
          <w:rStyle w:val="hps"/>
          <w:rFonts w:cs="Arial"/>
          <w:color w:val="222222"/>
          <w:szCs w:val="20"/>
        </w:rPr>
        <w:t>religieuses ou autres</w:t>
      </w:r>
      <w:r w:rsidRPr="00F9410B">
        <w:rPr>
          <w:rStyle w:val="hps"/>
          <w:rFonts w:cs="Arial"/>
          <w:bCs/>
          <w:color w:val="222222"/>
          <w:szCs w:val="20"/>
        </w:rPr>
        <w:t xml:space="preserve"> de la société ne peut être considéré comme un trouble mental;</w:t>
      </w:r>
    </w:p>
    <w:p w14:paraId="15DEB5C9" w14:textId="77777777" w:rsidR="00EA55EE" w:rsidRPr="00F9410B" w:rsidRDefault="00EA55EE" w:rsidP="00BE25B2">
      <w:pPr>
        <w:tabs>
          <w:tab w:val="left" w:pos="426"/>
          <w:tab w:val="left" w:pos="709"/>
          <w:tab w:val="left" w:pos="993"/>
        </w:tabs>
        <w:ind w:left="720" w:hanging="294"/>
        <w:rPr>
          <w:rStyle w:val="hps"/>
          <w:rFonts w:cs="Arial"/>
          <w:color w:val="222222"/>
          <w:szCs w:val="20"/>
        </w:rPr>
      </w:pPr>
    </w:p>
    <w:p w14:paraId="6A5A394F" w14:textId="1BF0A901" w:rsidR="00BE25B2" w:rsidRDefault="00BE25B2" w:rsidP="00BE25B2">
      <w:pPr>
        <w:tabs>
          <w:tab w:val="left" w:pos="426"/>
          <w:tab w:val="left" w:pos="993"/>
        </w:tabs>
        <w:ind w:left="709" w:hanging="283"/>
        <w:rPr>
          <w:rFonts w:cs="Arial"/>
          <w:strike/>
          <w:szCs w:val="20"/>
        </w:rPr>
      </w:pPr>
      <w:r w:rsidRPr="00F9410B">
        <w:rPr>
          <w:rStyle w:val="hps"/>
          <w:rFonts w:cs="Arial"/>
          <w:color w:val="222222"/>
          <w:szCs w:val="20"/>
        </w:rPr>
        <w:t>–</w:t>
      </w:r>
      <w:r w:rsidRPr="00F9410B">
        <w:rPr>
          <w:rStyle w:val="hps"/>
          <w:rFonts w:cs="Arial"/>
          <w:color w:val="222222"/>
          <w:szCs w:val="20"/>
        </w:rPr>
        <w:tab/>
        <w:t xml:space="preserve">« mesure involontaire » se réfère </w:t>
      </w:r>
      <w:r w:rsidRPr="00F9410B">
        <w:rPr>
          <w:rStyle w:val="hps"/>
          <w:rFonts w:cs="Arial"/>
          <w:bCs/>
          <w:color w:val="222222"/>
          <w:szCs w:val="20"/>
        </w:rPr>
        <w:t>à tout</w:t>
      </w:r>
      <w:r w:rsidRPr="00F9410B">
        <w:rPr>
          <w:rStyle w:val="hps"/>
          <w:rFonts w:cs="Arial"/>
          <w:color w:val="222222"/>
          <w:szCs w:val="20"/>
        </w:rPr>
        <w:t xml:space="preserve"> placement et/ou traitement </w:t>
      </w:r>
      <w:r w:rsidRPr="00F9410B">
        <w:rPr>
          <w:rStyle w:val="hps"/>
          <w:rFonts w:cs="Arial"/>
          <w:bCs/>
          <w:color w:val="222222"/>
          <w:szCs w:val="20"/>
        </w:rPr>
        <w:t xml:space="preserve">d’une personne sans son consentement libre et éclairé ou contre sa </w:t>
      </w:r>
      <w:proofErr w:type="gramStart"/>
      <w:r w:rsidRPr="00F9410B">
        <w:rPr>
          <w:rStyle w:val="hps"/>
          <w:rFonts w:cs="Arial"/>
          <w:bCs/>
          <w:color w:val="222222"/>
          <w:szCs w:val="20"/>
        </w:rPr>
        <w:t>volonté;</w:t>
      </w:r>
      <w:proofErr w:type="gramEnd"/>
      <w:r w:rsidRPr="00F9410B">
        <w:rPr>
          <w:rFonts w:cs="Arial"/>
          <w:strike/>
          <w:szCs w:val="20"/>
        </w:rPr>
        <w:t xml:space="preserve"> </w:t>
      </w:r>
    </w:p>
    <w:p w14:paraId="7A903BB0" w14:textId="77777777" w:rsidR="00EA55EE" w:rsidRPr="00F9410B" w:rsidRDefault="00EA55EE" w:rsidP="00BE25B2">
      <w:pPr>
        <w:tabs>
          <w:tab w:val="left" w:pos="426"/>
          <w:tab w:val="left" w:pos="993"/>
        </w:tabs>
        <w:ind w:left="709" w:hanging="283"/>
        <w:rPr>
          <w:rFonts w:cs="Arial"/>
          <w:color w:val="222222"/>
          <w:szCs w:val="20"/>
        </w:rPr>
      </w:pPr>
    </w:p>
    <w:p w14:paraId="22558443" w14:textId="0A4ED536" w:rsidR="00BE25B2" w:rsidRDefault="00BE25B2" w:rsidP="00BE25B2">
      <w:pPr>
        <w:tabs>
          <w:tab w:val="left" w:pos="993"/>
        </w:tabs>
        <w:ind w:left="709" w:hanging="283"/>
        <w:rPr>
          <w:rFonts w:cs="Arial"/>
          <w:szCs w:val="20"/>
        </w:rPr>
      </w:pPr>
      <w:r w:rsidRPr="00F9410B">
        <w:rPr>
          <w:rFonts w:cs="Arial"/>
          <w:szCs w:val="20"/>
        </w:rPr>
        <w:t>–</w:t>
      </w:r>
      <w:r w:rsidRPr="00F9410B">
        <w:rPr>
          <w:rFonts w:cs="Arial"/>
          <w:szCs w:val="20"/>
        </w:rPr>
        <w:tab/>
        <w:t>« fin thérapeutique » se réfère au contrôle des symptômes, au ralentissement du processus de détérioration, à la réadaptation</w:t>
      </w:r>
      <w:r w:rsidRPr="00F9410B">
        <w:rPr>
          <w:rFonts w:cs="Arial"/>
          <w:b/>
          <w:bCs/>
          <w:szCs w:val="20"/>
        </w:rPr>
        <w:t xml:space="preserve"> </w:t>
      </w:r>
      <w:r w:rsidRPr="00F9410B">
        <w:rPr>
          <w:rFonts w:cs="Arial"/>
          <w:szCs w:val="20"/>
        </w:rPr>
        <w:t xml:space="preserve">et à la guérison d’un trouble mental en vue du rétablissement de la </w:t>
      </w:r>
      <w:proofErr w:type="gramStart"/>
      <w:r w:rsidRPr="00F9410B">
        <w:rPr>
          <w:rFonts w:cs="Arial"/>
          <w:szCs w:val="20"/>
        </w:rPr>
        <w:t>personne;</w:t>
      </w:r>
      <w:proofErr w:type="gramEnd"/>
    </w:p>
    <w:p w14:paraId="0D563F47" w14:textId="77777777" w:rsidR="00EA55EE" w:rsidRPr="00F9410B" w:rsidRDefault="00EA55EE" w:rsidP="00BE25B2">
      <w:pPr>
        <w:tabs>
          <w:tab w:val="left" w:pos="993"/>
        </w:tabs>
        <w:ind w:left="709" w:hanging="283"/>
        <w:rPr>
          <w:rFonts w:cs="Arial"/>
          <w:szCs w:val="20"/>
        </w:rPr>
      </w:pPr>
    </w:p>
    <w:p w14:paraId="45BFBBC8" w14:textId="40C64549" w:rsidR="00BE25B2" w:rsidRDefault="00BE25B2" w:rsidP="00BE25B2">
      <w:pPr>
        <w:tabs>
          <w:tab w:val="left" w:pos="993"/>
        </w:tabs>
        <w:ind w:left="709" w:hanging="283"/>
        <w:rPr>
          <w:rFonts w:cs="Arial"/>
          <w:szCs w:val="20"/>
        </w:rPr>
      </w:pPr>
      <w:r w:rsidRPr="00F9410B">
        <w:rPr>
          <w:rFonts w:cs="Arial"/>
          <w:szCs w:val="20"/>
        </w:rPr>
        <w:t>–</w:t>
      </w:r>
      <w:r w:rsidRPr="00F9410B">
        <w:rPr>
          <w:rFonts w:cs="Arial"/>
          <w:szCs w:val="20"/>
        </w:rPr>
        <w:tab/>
        <w:t xml:space="preserve">« isolement » se réfère au maintien forcé d’une personne seule et séparée des autres dans une pièce ou une zone </w:t>
      </w:r>
      <w:proofErr w:type="gramStart"/>
      <w:r w:rsidRPr="00F9410B">
        <w:rPr>
          <w:rFonts w:cs="Arial"/>
          <w:szCs w:val="20"/>
        </w:rPr>
        <w:t>désignée;</w:t>
      </w:r>
      <w:proofErr w:type="gramEnd"/>
    </w:p>
    <w:p w14:paraId="115CC7BB" w14:textId="77777777" w:rsidR="00EA55EE" w:rsidRPr="00F9410B" w:rsidRDefault="00EA55EE" w:rsidP="00BE25B2">
      <w:pPr>
        <w:tabs>
          <w:tab w:val="left" w:pos="993"/>
        </w:tabs>
        <w:ind w:left="709" w:hanging="283"/>
        <w:rPr>
          <w:rFonts w:cs="Arial"/>
          <w:szCs w:val="20"/>
        </w:rPr>
      </w:pPr>
    </w:p>
    <w:p w14:paraId="6793BF65" w14:textId="2F670BFA" w:rsidR="00BE25B2" w:rsidRDefault="00BE25B2" w:rsidP="00BE25B2">
      <w:pPr>
        <w:tabs>
          <w:tab w:val="left" w:pos="993"/>
        </w:tabs>
        <w:ind w:left="709" w:hanging="283"/>
        <w:rPr>
          <w:rFonts w:cs="Arial"/>
          <w:szCs w:val="20"/>
        </w:rPr>
      </w:pPr>
      <w:r w:rsidRPr="00F9410B">
        <w:rPr>
          <w:rFonts w:cs="Arial"/>
          <w:szCs w:val="20"/>
        </w:rPr>
        <w:t>–</w:t>
      </w:r>
      <w:r w:rsidRPr="00F9410B">
        <w:rPr>
          <w:rFonts w:cs="Arial"/>
          <w:szCs w:val="20"/>
        </w:rPr>
        <w:tab/>
        <w:t xml:space="preserve">« contention » se réfère à l'utilisation de moyens physiques, mécaniques ou pharmaceutiques visant à maintenir ou à immobiliser une personne, ou à contrôler ses </w:t>
      </w:r>
      <w:proofErr w:type="gramStart"/>
      <w:r w:rsidRPr="00F9410B">
        <w:rPr>
          <w:rFonts w:cs="Arial"/>
          <w:szCs w:val="20"/>
        </w:rPr>
        <w:t>mouvements;</w:t>
      </w:r>
      <w:proofErr w:type="gramEnd"/>
    </w:p>
    <w:p w14:paraId="1F4354C2" w14:textId="77777777" w:rsidR="00EA55EE" w:rsidRPr="00F9410B" w:rsidRDefault="00EA55EE" w:rsidP="00BE25B2">
      <w:pPr>
        <w:tabs>
          <w:tab w:val="left" w:pos="993"/>
        </w:tabs>
        <w:ind w:left="709" w:hanging="283"/>
        <w:rPr>
          <w:rFonts w:cs="Arial"/>
          <w:szCs w:val="20"/>
        </w:rPr>
      </w:pPr>
    </w:p>
    <w:p w14:paraId="2A227A6E" w14:textId="75174F45" w:rsidR="00BE25B2" w:rsidRDefault="00BE25B2" w:rsidP="00BE25B2">
      <w:pPr>
        <w:tabs>
          <w:tab w:val="left" w:pos="426"/>
          <w:tab w:val="left" w:pos="993"/>
        </w:tabs>
        <w:ind w:left="709" w:hanging="283"/>
        <w:rPr>
          <w:rFonts w:cs="Arial"/>
          <w:szCs w:val="20"/>
        </w:rPr>
      </w:pPr>
      <w:r w:rsidRPr="00F9410B">
        <w:rPr>
          <w:rFonts w:cs="Arial"/>
          <w:szCs w:val="20"/>
        </w:rPr>
        <w:t>–</w:t>
      </w:r>
      <w:r w:rsidRPr="00F9410B">
        <w:rPr>
          <w:rFonts w:cs="Arial"/>
          <w:szCs w:val="20"/>
        </w:rPr>
        <w:tab/>
        <w:t xml:space="preserve">« représentant » fait référence à une personne désignée par la loi pour représenter les intérêts et prendre des décisions au nom d’une personne, qui, selon la loi, n’a pas la capacité de </w:t>
      </w:r>
      <w:proofErr w:type="gramStart"/>
      <w:r w:rsidRPr="00F9410B">
        <w:rPr>
          <w:rFonts w:cs="Arial"/>
          <w:szCs w:val="20"/>
        </w:rPr>
        <w:t>consentir;</w:t>
      </w:r>
      <w:proofErr w:type="gramEnd"/>
    </w:p>
    <w:p w14:paraId="1A48FE22" w14:textId="77777777" w:rsidR="00EA55EE" w:rsidRPr="00F9410B" w:rsidRDefault="00EA55EE" w:rsidP="00BE25B2">
      <w:pPr>
        <w:tabs>
          <w:tab w:val="left" w:pos="426"/>
          <w:tab w:val="left" w:pos="993"/>
        </w:tabs>
        <w:ind w:left="709" w:hanging="283"/>
        <w:rPr>
          <w:rFonts w:cs="Arial"/>
          <w:szCs w:val="20"/>
        </w:rPr>
      </w:pPr>
    </w:p>
    <w:p w14:paraId="07BFA7A7" w14:textId="7D4A1FC3" w:rsidR="00BE25B2" w:rsidRDefault="00BE25B2" w:rsidP="00BE25B2">
      <w:pPr>
        <w:tabs>
          <w:tab w:val="left" w:pos="426"/>
          <w:tab w:val="left" w:pos="993"/>
        </w:tabs>
        <w:ind w:left="709" w:hanging="283"/>
        <w:rPr>
          <w:rFonts w:cs="Arial"/>
          <w:szCs w:val="20"/>
        </w:rPr>
      </w:pPr>
      <w:r w:rsidRPr="00F9410B">
        <w:rPr>
          <w:rFonts w:cs="Arial"/>
          <w:szCs w:val="20"/>
        </w:rPr>
        <w:t>–</w:t>
      </w:r>
      <w:r w:rsidRPr="00F9410B">
        <w:rPr>
          <w:rFonts w:cs="Arial"/>
          <w:szCs w:val="20"/>
        </w:rPr>
        <w:tab/>
        <w:t xml:space="preserve">« personne de confiance » désigne une personne choisie par quelqu’un </w:t>
      </w:r>
      <w:r w:rsidRPr="00F9410B">
        <w:rPr>
          <w:rFonts w:cs="Arial"/>
          <w:bCs/>
          <w:szCs w:val="20"/>
        </w:rPr>
        <w:t xml:space="preserve">bénéficiant </w:t>
      </w:r>
      <w:r w:rsidRPr="00F9410B">
        <w:rPr>
          <w:rFonts w:cs="Arial"/>
          <w:color w:val="222222"/>
          <w:szCs w:val="20"/>
        </w:rPr>
        <w:t>de soins de santé mentale,</w:t>
      </w:r>
      <w:r w:rsidRPr="00F9410B">
        <w:rPr>
          <w:rFonts w:cs="Arial"/>
          <w:szCs w:val="20"/>
        </w:rPr>
        <w:t xml:space="preserve"> </w:t>
      </w:r>
      <w:r w:rsidRPr="00F9410B">
        <w:rPr>
          <w:rFonts w:cs="Arial"/>
          <w:bCs/>
          <w:szCs w:val="20"/>
        </w:rPr>
        <w:t xml:space="preserve">qui est </w:t>
      </w:r>
      <w:r w:rsidRPr="00F9410B">
        <w:rPr>
          <w:rFonts w:cs="Arial"/>
          <w:szCs w:val="20"/>
        </w:rPr>
        <w:t xml:space="preserve">expressément désignée pour l’aider et le soutenir, et qui a accepté ce </w:t>
      </w:r>
      <w:proofErr w:type="gramStart"/>
      <w:r w:rsidRPr="00F9410B">
        <w:rPr>
          <w:rFonts w:cs="Arial"/>
          <w:szCs w:val="20"/>
        </w:rPr>
        <w:t>rôle;</w:t>
      </w:r>
      <w:proofErr w:type="gramEnd"/>
    </w:p>
    <w:p w14:paraId="1FB16BA3" w14:textId="77777777" w:rsidR="00EA55EE" w:rsidRPr="00F9410B" w:rsidRDefault="00EA55EE" w:rsidP="00BE25B2">
      <w:pPr>
        <w:tabs>
          <w:tab w:val="left" w:pos="426"/>
          <w:tab w:val="left" w:pos="993"/>
        </w:tabs>
        <w:ind w:left="709" w:hanging="283"/>
        <w:rPr>
          <w:rFonts w:cs="Arial"/>
          <w:szCs w:val="20"/>
        </w:rPr>
      </w:pPr>
    </w:p>
    <w:p w14:paraId="5E8F7567" w14:textId="747AFFFD" w:rsidR="00BE25B2" w:rsidRDefault="00BE25B2" w:rsidP="00BE25B2">
      <w:pPr>
        <w:tabs>
          <w:tab w:val="left" w:pos="426"/>
          <w:tab w:val="left" w:pos="993"/>
        </w:tabs>
        <w:ind w:left="709" w:hanging="283"/>
        <w:rPr>
          <w:rFonts w:cs="Arial"/>
          <w:szCs w:val="20"/>
        </w:rPr>
      </w:pPr>
      <w:r w:rsidRPr="00F9410B">
        <w:rPr>
          <w:rFonts w:cs="Arial"/>
          <w:szCs w:val="20"/>
        </w:rPr>
        <w:t>–</w:t>
      </w:r>
      <w:r w:rsidRPr="00F9410B">
        <w:rPr>
          <w:rFonts w:cs="Arial"/>
          <w:szCs w:val="20"/>
        </w:rPr>
        <w:tab/>
        <w:t xml:space="preserve">« tribunal » fait référence à une instance </w:t>
      </w:r>
      <w:proofErr w:type="gramStart"/>
      <w:r w:rsidRPr="00F9410B">
        <w:rPr>
          <w:rFonts w:cs="Arial"/>
          <w:szCs w:val="20"/>
        </w:rPr>
        <w:t>juridictionnelle;</w:t>
      </w:r>
      <w:proofErr w:type="gramEnd"/>
    </w:p>
    <w:p w14:paraId="2DBB7A75" w14:textId="77777777" w:rsidR="00EA55EE" w:rsidRPr="00F9410B" w:rsidRDefault="00EA55EE" w:rsidP="00BE25B2">
      <w:pPr>
        <w:tabs>
          <w:tab w:val="left" w:pos="426"/>
          <w:tab w:val="left" w:pos="993"/>
        </w:tabs>
        <w:ind w:left="709" w:hanging="283"/>
        <w:rPr>
          <w:rFonts w:cs="Arial"/>
          <w:szCs w:val="20"/>
        </w:rPr>
      </w:pPr>
    </w:p>
    <w:p w14:paraId="4097D20D" w14:textId="0C55A390" w:rsidR="00BE25B2" w:rsidRDefault="00BE25B2" w:rsidP="00BE25B2">
      <w:pPr>
        <w:tabs>
          <w:tab w:val="left" w:pos="426"/>
          <w:tab w:val="left" w:pos="993"/>
        </w:tabs>
        <w:ind w:left="709" w:hanging="283"/>
        <w:rPr>
          <w:rStyle w:val="hps"/>
          <w:rFonts w:cs="Arial"/>
          <w:color w:val="222222"/>
          <w:szCs w:val="20"/>
        </w:rPr>
      </w:pPr>
      <w:r w:rsidRPr="00F9410B">
        <w:rPr>
          <w:rFonts w:cs="Arial"/>
          <w:szCs w:val="20"/>
        </w:rPr>
        <w:t>–</w:t>
      </w:r>
      <w:r w:rsidRPr="00F9410B">
        <w:rPr>
          <w:rFonts w:cs="Arial"/>
          <w:szCs w:val="20"/>
        </w:rPr>
        <w:tab/>
        <w:t xml:space="preserve">« organe compétent » désigne une autorité, une personne ou un organe prévu par la loi pour prendre </w:t>
      </w:r>
      <w:r w:rsidRPr="00F9410B">
        <w:rPr>
          <w:rStyle w:val="hps"/>
          <w:rFonts w:cs="Arial"/>
          <w:color w:val="222222"/>
          <w:szCs w:val="20"/>
        </w:rPr>
        <w:t>une décision sur</w:t>
      </w:r>
      <w:r w:rsidRPr="00F9410B">
        <w:rPr>
          <w:rFonts w:cs="Arial"/>
          <w:color w:val="222222"/>
          <w:szCs w:val="20"/>
        </w:rPr>
        <w:t xml:space="preserve"> </w:t>
      </w:r>
      <w:r w:rsidRPr="00F9410B">
        <w:rPr>
          <w:rStyle w:val="hps"/>
          <w:rFonts w:cs="Arial"/>
          <w:color w:val="222222"/>
          <w:szCs w:val="20"/>
        </w:rPr>
        <w:t>une mesure </w:t>
      </w:r>
      <w:proofErr w:type="gramStart"/>
      <w:r w:rsidRPr="00F9410B">
        <w:rPr>
          <w:rStyle w:val="hps"/>
          <w:rFonts w:cs="Arial"/>
          <w:color w:val="222222"/>
          <w:szCs w:val="20"/>
        </w:rPr>
        <w:t>involontaire;</w:t>
      </w:r>
      <w:proofErr w:type="gramEnd"/>
    </w:p>
    <w:p w14:paraId="4C70829C" w14:textId="77777777" w:rsidR="00EA55EE" w:rsidRPr="00F9410B" w:rsidRDefault="00EA55EE" w:rsidP="00BE25B2">
      <w:pPr>
        <w:tabs>
          <w:tab w:val="left" w:pos="426"/>
          <w:tab w:val="left" w:pos="993"/>
        </w:tabs>
        <w:ind w:left="709" w:hanging="283"/>
        <w:rPr>
          <w:rFonts w:cs="Arial"/>
          <w:szCs w:val="20"/>
        </w:rPr>
      </w:pPr>
    </w:p>
    <w:p w14:paraId="1B620A33" w14:textId="134F7676" w:rsidR="00BE25B2" w:rsidRDefault="00BE25B2" w:rsidP="00BE25B2">
      <w:pPr>
        <w:tabs>
          <w:tab w:val="left" w:pos="993"/>
        </w:tabs>
        <w:ind w:left="709" w:hanging="283"/>
        <w:rPr>
          <w:rStyle w:val="hps"/>
          <w:rFonts w:cs="Arial"/>
          <w:color w:val="222222"/>
          <w:szCs w:val="20"/>
        </w:rPr>
      </w:pPr>
      <w:r w:rsidRPr="00F9410B">
        <w:rPr>
          <w:rFonts w:cs="Arial"/>
          <w:szCs w:val="20"/>
        </w:rPr>
        <w:t>–</w:t>
      </w:r>
      <w:r w:rsidRPr="00F9410B">
        <w:rPr>
          <w:rFonts w:cs="Arial"/>
          <w:szCs w:val="20"/>
        </w:rPr>
        <w:tab/>
        <w:t xml:space="preserve">« autorité responsable » se réfère à l’autorité responsable de l’établissement où est placée </w:t>
      </w:r>
      <w:r w:rsidRPr="00F9410B">
        <w:rPr>
          <w:rFonts w:cs="Arial"/>
          <w:bCs/>
          <w:szCs w:val="20"/>
        </w:rPr>
        <w:t>la personne</w:t>
      </w:r>
      <w:r w:rsidRPr="00F9410B">
        <w:rPr>
          <w:rFonts w:cs="Arial"/>
          <w:szCs w:val="20"/>
        </w:rPr>
        <w:t xml:space="preserve">, ou à l’autorité administrativement responsable des </w:t>
      </w:r>
      <w:r w:rsidRPr="00F9410B">
        <w:rPr>
          <w:rStyle w:val="hps"/>
          <w:rFonts w:cs="Arial"/>
          <w:color w:val="222222"/>
          <w:szCs w:val="20"/>
        </w:rPr>
        <w:t>médecins</w:t>
      </w:r>
      <w:r w:rsidRPr="00F9410B">
        <w:rPr>
          <w:rFonts w:cs="Arial"/>
          <w:color w:val="222222"/>
          <w:szCs w:val="20"/>
        </w:rPr>
        <w:t xml:space="preserve"> </w:t>
      </w:r>
      <w:r w:rsidRPr="00F9410B">
        <w:rPr>
          <w:rStyle w:val="hps"/>
          <w:rFonts w:cs="Arial"/>
          <w:color w:val="222222"/>
          <w:szCs w:val="20"/>
        </w:rPr>
        <w:t>qui supervisent</w:t>
      </w:r>
      <w:r w:rsidRPr="00F9410B">
        <w:rPr>
          <w:rFonts w:cs="Arial"/>
          <w:color w:val="222222"/>
          <w:szCs w:val="20"/>
        </w:rPr>
        <w:t xml:space="preserve"> </w:t>
      </w:r>
      <w:r w:rsidRPr="00F9410B">
        <w:rPr>
          <w:rStyle w:val="hps"/>
          <w:rFonts w:cs="Arial"/>
          <w:color w:val="222222"/>
          <w:szCs w:val="20"/>
        </w:rPr>
        <w:t xml:space="preserve">les soins médicaux </w:t>
      </w:r>
      <w:r w:rsidRPr="00F9410B">
        <w:rPr>
          <w:rStyle w:val="hps"/>
          <w:rFonts w:cs="Arial"/>
          <w:bCs/>
          <w:color w:val="222222"/>
          <w:szCs w:val="20"/>
        </w:rPr>
        <w:t>de la personne</w:t>
      </w:r>
      <w:r w:rsidRPr="00F9410B">
        <w:rPr>
          <w:rStyle w:val="hps"/>
          <w:rFonts w:cs="Arial"/>
          <w:color w:val="222222"/>
          <w:szCs w:val="20"/>
        </w:rPr>
        <w:t>.</w:t>
      </w:r>
    </w:p>
    <w:p w14:paraId="6A8053E6" w14:textId="77777777" w:rsidR="00EA55EE" w:rsidRPr="00F9410B" w:rsidRDefault="00EA55EE" w:rsidP="00BE25B2">
      <w:pPr>
        <w:tabs>
          <w:tab w:val="left" w:pos="993"/>
        </w:tabs>
        <w:ind w:left="709" w:hanging="283"/>
        <w:rPr>
          <w:rStyle w:val="hps"/>
          <w:rFonts w:cs="Arial"/>
          <w:color w:val="222222"/>
          <w:szCs w:val="20"/>
        </w:rPr>
      </w:pPr>
    </w:p>
    <w:p w14:paraId="1B2E1953" w14:textId="581F7FE3" w:rsidR="00BE25B2" w:rsidRDefault="00BE25B2" w:rsidP="00BE25B2">
      <w:pPr>
        <w:rPr>
          <w:rFonts w:cs="Arial"/>
          <w:b/>
          <w:bCs/>
          <w:szCs w:val="20"/>
          <w:u w:val="single"/>
        </w:rPr>
      </w:pPr>
      <w:r w:rsidRPr="00F9410B">
        <w:rPr>
          <w:rFonts w:cs="Arial"/>
          <w:b/>
          <w:bCs/>
          <w:szCs w:val="20"/>
          <w:u w:val="single"/>
        </w:rPr>
        <w:t>Chapitre II – Règle générale</w:t>
      </w:r>
    </w:p>
    <w:p w14:paraId="4B79FF6E" w14:textId="77777777" w:rsidR="00EA55EE" w:rsidRPr="00F9410B" w:rsidRDefault="00EA55EE" w:rsidP="00BE25B2">
      <w:pPr>
        <w:rPr>
          <w:rFonts w:cs="Arial"/>
          <w:b/>
          <w:bCs/>
          <w:szCs w:val="20"/>
          <w:u w:val="single"/>
        </w:rPr>
      </w:pPr>
    </w:p>
    <w:p w14:paraId="528E53FA" w14:textId="2249023E" w:rsidR="00BE25B2" w:rsidRDefault="00BE25B2" w:rsidP="00BE25B2">
      <w:pPr>
        <w:rPr>
          <w:rFonts w:cs="Arial"/>
          <w:b/>
          <w:bCs/>
          <w:szCs w:val="20"/>
        </w:rPr>
      </w:pPr>
      <w:r w:rsidRPr="00F9410B">
        <w:rPr>
          <w:rFonts w:cs="Arial"/>
          <w:b/>
          <w:bCs/>
          <w:szCs w:val="20"/>
        </w:rPr>
        <w:t>Article 3 – Règle générale</w:t>
      </w:r>
    </w:p>
    <w:p w14:paraId="65E7D1D9" w14:textId="77777777" w:rsidR="00EA55EE" w:rsidRPr="00F9410B" w:rsidRDefault="00EA55EE" w:rsidP="00BE25B2">
      <w:pPr>
        <w:rPr>
          <w:rFonts w:cs="Arial"/>
          <w:b/>
          <w:bCs/>
          <w:szCs w:val="20"/>
        </w:rPr>
      </w:pPr>
    </w:p>
    <w:p w14:paraId="39387AF5" w14:textId="096A5D0F" w:rsidR="00BE25B2" w:rsidRDefault="00BE25B2" w:rsidP="00BE25B2">
      <w:pPr>
        <w:tabs>
          <w:tab w:val="left" w:pos="426"/>
        </w:tabs>
        <w:rPr>
          <w:rFonts w:cs="Arial"/>
          <w:bCs/>
          <w:szCs w:val="20"/>
        </w:rPr>
      </w:pPr>
      <w:r w:rsidRPr="00F9410B">
        <w:rPr>
          <w:rFonts w:cs="Arial"/>
          <w:bCs/>
          <w:szCs w:val="20"/>
        </w:rPr>
        <w:t>1.</w:t>
      </w:r>
      <w:r w:rsidRPr="00F9410B">
        <w:rPr>
          <w:rFonts w:cs="Arial"/>
          <w:bCs/>
          <w:szCs w:val="20"/>
        </w:rPr>
        <w:tab/>
        <w:t>Les mesures en santé mentale ne doivent être effectuées, en règle générale, qu’avec le consentement libre et éclairé de la personne concernée ou, lorsque, selon la loi, la personne n'a pas la capacité de consentir, en respectant ses souhaits.</w:t>
      </w:r>
    </w:p>
    <w:p w14:paraId="5080B927" w14:textId="77777777" w:rsidR="00EA55EE" w:rsidRPr="00F9410B" w:rsidRDefault="00EA55EE" w:rsidP="00BE25B2">
      <w:pPr>
        <w:tabs>
          <w:tab w:val="left" w:pos="426"/>
        </w:tabs>
        <w:rPr>
          <w:rFonts w:cs="Arial"/>
          <w:bCs/>
          <w:szCs w:val="20"/>
        </w:rPr>
      </w:pPr>
    </w:p>
    <w:p w14:paraId="46D1DA60" w14:textId="754BE98D" w:rsidR="00BE25B2" w:rsidRDefault="00BE25B2" w:rsidP="00BE25B2">
      <w:pPr>
        <w:tabs>
          <w:tab w:val="left" w:pos="426"/>
        </w:tabs>
        <w:rPr>
          <w:rFonts w:cs="Arial"/>
          <w:bCs/>
          <w:szCs w:val="20"/>
        </w:rPr>
      </w:pPr>
      <w:r w:rsidRPr="00F9410B">
        <w:rPr>
          <w:rFonts w:cs="Arial"/>
          <w:bCs/>
          <w:szCs w:val="20"/>
        </w:rPr>
        <w:t>2.</w:t>
      </w:r>
      <w:r w:rsidRPr="00F9410B">
        <w:rPr>
          <w:rFonts w:cs="Arial"/>
          <w:b/>
          <w:szCs w:val="20"/>
        </w:rPr>
        <w:tab/>
      </w:r>
      <w:r w:rsidRPr="00F9410B">
        <w:rPr>
          <w:rFonts w:cs="Arial"/>
          <w:bCs/>
          <w:szCs w:val="20"/>
        </w:rPr>
        <w:t xml:space="preserve">Toutes les options disponibles respectant les dispositions du paragraphe 1 doivent être examinées et évaluées avant de recourir à un placement ou à </w:t>
      </w:r>
      <w:proofErr w:type="gramStart"/>
      <w:r w:rsidRPr="00F9410B">
        <w:rPr>
          <w:rFonts w:cs="Arial"/>
          <w:bCs/>
          <w:szCs w:val="20"/>
        </w:rPr>
        <w:t>un traitement involontaires</w:t>
      </w:r>
      <w:proofErr w:type="gramEnd"/>
      <w:r w:rsidRPr="00F9410B">
        <w:rPr>
          <w:rFonts w:cs="Arial"/>
          <w:bCs/>
          <w:szCs w:val="20"/>
        </w:rPr>
        <w:t xml:space="preserve"> dans les conditions prévues par le présent Protocole.</w:t>
      </w:r>
    </w:p>
    <w:p w14:paraId="7C4BC4FF" w14:textId="77777777" w:rsidR="00EA55EE" w:rsidRPr="00F9410B" w:rsidRDefault="00EA55EE" w:rsidP="00BE25B2">
      <w:pPr>
        <w:tabs>
          <w:tab w:val="left" w:pos="426"/>
        </w:tabs>
        <w:rPr>
          <w:rFonts w:cs="Arial"/>
          <w:bCs/>
          <w:szCs w:val="20"/>
        </w:rPr>
      </w:pPr>
    </w:p>
    <w:p w14:paraId="7BB378C0" w14:textId="01D177BB" w:rsidR="00BE25B2" w:rsidRDefault="00BE25B2" w:rsidP="00BE25B2">
      <w:pPr>
        <w:tabs>
          <w:tab w:val="left" w:pos="426"/>
        </w:tabs>
        <w:rPr>
          <w:rFonts w:cs="Arial"/>
          <w:bCs/>
          <w:szCs w:val="20"/>
        </w:rPr>
      </w:pPr>
      <w:r w:rsidRPr="00F9410B">
        <w:rPr>
          <w:rFonts w:cs="Arial"/>
          <w:bCs/>
          <w:szCs w:val="20"/>
        </w:rPr>
        <w:t>3.</w:t>
      </w:r>
      <w:r w:rsidRPr="00F9410B">
        <w:rPr>
          <w:rFonts w:cs="Arial"/>
          <w:bCs/>
          <w:szCs w:val="20"/>
        </w:rPr>
        <w:tab/>
        <w:t xml:space="preserve">L'existence d'un trouble mental, en tant que tel, ne justifie en aucun cas un placement ou </w:t>
      </w:r>
      <w:proofErr w:type="gramStart"/>
      <w:r w:rsidRPr="00F9410B">
        <w:rPr>
          <w:rFonts w:cs="Arial"/>
          <w:bCs/>
          <w:szCs w:val="20"/>
        </w:rPr>
        <w:t>un traitement involontaires</w:t>
      </w:r>
      <w:proofErr w:type="gramEnd"/>
      <w:r w:rsidRPr="00F9410B">
        <w:rPr>
          <w:rFonts w:cs="Arial"/>
          <w:bCs/>
          <w:szCs w:val="20"/>
        </w:rPr>
        <w:t>.</w:t>
      </w:r>
    </w:p>
    <w:p w14:paraId="5BEAF59B" w14:textId="77777777" w:rsidR="00EA55EE" w:rsidRPr="00F9410B" w:rsidRDefault="00EA55EE" w:rsidP="00BE25B2">
      <w:pPr>
        <w:tabs>
          <w:tab w:val="left" w:pos="426"/>
        </w:tabs>
        <w:rPr>
          <w:rFonts w:cs="Arial"/>
          <w:bCs/>
          <w:szCs w:val="20"/>
        </w:rPr>
      </w:pPr>
    </w:p>
    <w:p w14:paraId="2F2C62D3" w14:textId="47788531" w:rsidR="00BE25B2" w:rsidRDefault="00BE25B2" w:rsidP="00BE25B2">
      <w:pPr>
        <w:tabs>
          <w:tab w:val="left" w:pos="426"/>
        </w:tabs>
        <w:rPr>
          <w:rFonts w:cs="Arial"/>
          <w:bCs/>
          <w:szCs w:val="20"/>
        </w:rPr>
      </w:pPr>
      <w:r w:rsidRPr="00F9410B">
        <w:rPr>
          <w:rFonts w:cs="Arial"/>
          <w:bCs/>
          <w:szCs w:val="20"/>
        </w:rPr>
        <w:t>4.</w:t>
      </w:r>
      <w:r w:rsidRPr="00F9410B">
        <w:rPr>
          <w:rFonts w:cs="Arial"/>
          <w:bCs/>
          <w:szCs w:val="20"/>
        </w:rPr>
        <w:tab/>
        <w:t>Dans tous les cas et dans la mesure du possible, la personne doit être associée à la planification de ses soins de santé mentale et être traitée dans le milieu dans lequel elle vit, en vue de son rétablissement.</w:t>
      </w:r>
    </w:p>
    <w:p w14:paraId="759A89C1" w14:textId="77777777" w:rsidR="00EA55EE" w:rsidRPr="00F9410B" w:rsidRDefault="00EA55EE" w:rsidP="00BE25B2">
      <w:pPr>
        <w:tabs>
          <w:tab w:val="left" w:pos="426"/>
        </w:tabs>
        <w:rPr>
          <w:rFonts w:cs="Arial"/>
          <w:bCs/>
          <w:szCs w:val="20"/>
        </w:rPr>
      </w:pPr>
    </w:p>
    <w:p w14:paraId="54D802E8" w14:textId="5FDD2FBF" w:rsidR="00BE25B2" w:rsidRDefault="00BE25B2" w:rsidP="00BE25B2">
      <w:pPr>
        <w:pStyle w:val="HTMLPreformatted"/>
        <w:rPr>
          <w:rFonts w:ascii="Arial" w:hAnsi="Arial" w:cs="Arial"/>
          <w:b/>
          <w:color w:val="222222"/>
          <w:lang w:val="fr-FR"/>
        </w:rPr>
      </w:pPr>
      <w:r w:rsidRPr="00F9410B">
        <w:rPr>
          <w:rFonts w:ascii="Arial" w:hAnsi="Arial" w:cs="Arial"/>
          <w:b/>
          <w:bCs/>
          <w:lang w:val="fr-FR"/>
        </w:rPr>
        <w:t xml:space="preserve">Article 4 – </w:t>
      </w:r>
      <w:r w:rsidRPr="00F9410B">
        <w:rPr>
          <w:rFonts w:ascii="Arial" w:hAnsi="Arial" w:cs="Arial"/>
          <w:b/>
          <w:color w:val="222222"/>
          <w:lang w:val="fr-FR"/>
        </w:rPr>
        <w:t>Accès aux soins de santé mentale</w:t>
      </w:r>
      <w:r w:rsidRPr="00F9410B">
        <w:rPr>
          <w:rFonts w:ascii="Arial" w:hAnsi="Arial" w:cs="Arial"/>
          <w:color w:val="222222"/>
          <w:lang w:val="fr-FR"/>
        </w:rPr>
        <w:t xml:space="preserve"> </w:t>
      </w:r>
      <w:r w:rsidRPr="00F9410B">
        <w:rPr>
          <w:rFonts w:ascii="Arial" w:hAnsi="Arial" w:cs="Arial"/>
          <w:b/>
          <w:color w:val="222222"/>
          <w:lang w:val="fr-FR"/>
        </w:rPr>
        <w:t>appropriés</w:t>
      </w:r>
    </w:p>
    <w:p w14:paraId="437DAD92" w14:textId="77777777" w:rsidR="00EA55EE" w:rsidRPr="00F9410B" w:rsidRDefault="00EA55EE" w:rsidP="00BE25B2">
      <w:pPr>
        <w:pStyle w:val="HTMLPreformatted"/>
        <w:rPr>
          <w:rFonts w:ascii="Arial" w:hAnsi="Arial" w:cs="Arial"/>
          <w:b/>
          <w:color w:val="222222"/>
          <w:lang w:val="fr-FR"/>
        </w:rPr>
      </w:pPr>
    </w:p>
    <w:p w14:paraId="57157F54" w14:textId="300510FD" w:rsidR="00EA55EE" w:rsidRDefault="00BE25B2" w:rsidP="00EA55EE">
      <w:pPr>
        <w:tabs>
          <w:tab w:val="left" w:pos="426"/>
        </w:tabs>
        <w:rPr>
          <w:rFonts w:cs="Arial"/>
          <w:bCs/>
          <w:szCs w:val="20"/>
        </w:rPr>
      </w:pPr>
      <w:r w:rsidRPr="00F9410B">
        <w:rPr>
          <w:rFonts w:cs="Arial"/>
          <w:bCs/>
          <w:szCs w:val="20"/>
        </w:rPr>
        <w:t>Les Parties doivent s’assurer qu’une diversité de services de qualité appropriée, respectant la règle générale énoncée à l’article 3, est fournie pour répondre aux besoins individuels en santé mentale des personnes dans les services de soins de</w:t>
      </w:r>
      <w:r w:rsidRPr="00F9410B">
        <w:rPr>
          <w:rFonts w:cs="Arial"/>
          <w:b/>
          <w:szCs w:val="20"/>
        </w:rPr>
        <w:t xml:space="preserve"> </w:t>
      </w:r>
      <w:r w:rsidRPr="00F9410B">
        <w:rPr>
          <w:rFonts w:cs="Arial"/>
          <w:bCs/>
          <w:szCs w:val="20"/>
        </w:rPr>
        <w:t>santé mentale.</w:t>
      </w:r>
    </w:p>
    <w:p w14:paraId="124FA4CB" w14:textId="77777777" w:rsidR="00EA55EE" w:rsidRPr="00F9410B" w:rsidRDefault="00EA55EE" w:rsidP="00BE25B2">
      <w:pPr>
        <w:tabs>
          <w:tab w:val="left" w:pos="426"/>
        </w:tabs>
        <w:rPr>
          <w:rFonts w:cs="Arial"/>
          <w:bCs/>
          <w:szCs w:val="20"/>
        </w:rPr>
      </w:pPr>
    </w:p>
    <w:p w14:paraId="21EE0E8C" w14:textId="6EC28BEF" w:rsidR="00BE25B2" w:rsidRDefault="00BE25B2" w:rsidP="00BE25B2">
      <w:pPr>
        <w:rPr>
          <w:rFonts w:cs="Arial"/>
          <w:b/>
          <w:bCs/>
          <w:szCs w:val="20"/>
          <w:u w:val="single"/>
        </w:rPr>
      </w:pPr>
      <w:r w:rsidRPr="00F9410B">
        <w:rPr>
          <w:rFonts w:cs="Arial"/>
          <w:b/>
          <w:bCs/>
          <w:szCs w:val="20"/>
          <w:u w:val="single"/>
        </w:rPr>
        <w:t>Chapitre III – Dispositions générales</w:t>
      </w:r>
    </w:p>
    <w:p w14:paraId="387F4889" w14:textId="77777777" w:rsidR="00EA55EE" w:rsidRPr="00F9410B" w:rsidRDefault="00EA55EE" w:rsidP="00BE25B2">
      <w:pPr>
        <w:rPr>
          <w:rFonts w:cs="Arial"/>
          <w:b/>
          <w:bCs/>
          <w:szCs w:val="20"/>
          <w:u w:val="single"/>
        </w:rPr>
      </w:pPr>
    </w:p>
    <w:p w14:paraId="44B0DDF6" w14:textId="060E7B3A" w:rsidR="00BE25B2" w:rsidRDefault="00BE25B2" w:rsidP="00BE25B2">
      <w:pPr>
        <w:rPr>
          <w:rFonts w:cs="Arial"/>
          <w:b/>
          <w:szCs w:val="20"/>
        </w:rPr>
      </w:pPr>
      <w:r w:rsidRPr="00F9410B">
        <w:rPr>
          <w:rFonts w:cs="Arial"/>
          <w:b/>
          <w:szCs w:val="20"/>
        </w:rPr>
        <w:t>Article 5 – Légalité</w:t>
      </w:r>
    </w:p>
    <w:p w14:paraId="749A102C" w14:textId="77777777" w:rsidR="00EA55EE" w:rsidRPr="00F9410B" w:rsidRDefault="00EA55EE" w:rsidP="00BE25B2">
      <w:pPr>
        <w:rPr>
          <w:rFonts w:cs="Arial"/>
          <w:b/>
          <w:szCs w:val="20"/>
        </w:rPr>
      </w:pPr>
    </w:p>
    <w:p w14:paraId="503FFCAF" w14:textId="1471C415" w:rsidR="00BE25B2" w:rsidRDefault="00BE25B2" w:rsidP="00BE25B2">
      <w:pPr>
        <w:rPr>
          <w:rFonts w:cs="Arial"/>
          <w:bCs/>
          <w:szCs w:val="20"/>
        </w:rPr>
      </w:pPr>
      <w:r w:rsidRPr="00F9410B">
        <w:rPr>
          <w:rFonts w:cs="Arial"/>
          <w:bCs/>
          <w:szCs w:val="20"/>
        </w:rPr>
        <w:t>Des mesures involontaires</w:t>
      </w:r>
      <w:r w:rsidRPr="00F9410B">
        <w:rPr>
          <w:rFonts w:cs="Arial"/>
          <w:b/>
          <w:bCs/>
          <w:szCs w:val="20"/>
        </w:rPr>
        <w:t xml:space="preserve"> </w:t>
      </w:r>
      <w:r w:rsidRPr="00F9410B">
        <w:rPr>
          <w:rFonts w:cs="Arial"/>
          <w:bCs/>
          <w:szCs w:val="20"/>
        </w:rPr>
        <w:t xml:space="preserve">ne doivent être appliquées que conformément aux dispositions de la loi et en accord avec les garanties établies dans le présent Protocole. </w:t>
      </w:r>
    </w:p>
    <w:p w14:paraId="6B7C2647" w14:textId="77777777" w:rsidR="00EA55EE" w:rsidRPr="00F9410B" w:rsidRDefault="00EA55EE" w:rsidP="00BE25B2">
      <w:pPr>
        <w:rPr>
          <w:rFonts w:cs="Arial"/>
          <w:b/>
          <w:szCs w:val="20"/>
        </w:rPr>
      </w:pPr>
    </w:p>
    <w:p w14:paraId="41CDA901" w14:textId="14D56B08" w:rsidR="00BE25B2" w:rsidRDefault="00BE25B2" w:rsidP="00BE25B2">
      <w:pPr>
        <w:rPr>
          <w:rFonts w:cs="Arial"/>
          <w:b/>
          <w:szCs w:val="20"/>
        </w:rPr>
      </w:pPr>
      <w:r w:rsidRPr="00F9410B">
        <w:rPr>
          <w:rFonts w:cs="Arial"/>
          <w:b/>
          <w:szCs w:val="20"/>
        </w:rPr>
        <w:t>Article 6 – Proportionnalité et nécessité</w:t>
      </w:r>
    </w:p>
    <w:p w14:paraId="5A77C17C" w14:textId="77777777" w:rsidR="00EA55EE" w:rsidRPr="00F9410B" w:rsidRDefault="00EA55EE" w:rsidP="00BE25B2">
      <w:pPr>
        <w:rPr>
          <w:rFonts w:cs="Arial"/>
          <w:b/>
          <w:szCs w:val="20"/>
        </w:rPr>
      </w:pPr>
    </w:p>
    <w:p w14:paraId="09D966A1" w14:textId="3F469900" w:rsidR="00BE25B2" w:rsidRDefault="00BE25B2" w:rsidP="00BE25B2">
      <w:pPr>
        <w:tabs>
          <w:tab w:val="left" w:pos="426"/>
        </w:tabs>
        <w:rPr>
          <w:rFonts w:cs="Arial"/>
          <w:bCs/>
          <w:szCs w:val="20"/>
        </w:rPr>
      </w:pPr>
      <w:r w:rsidRPr="00F9410B">
        <w:rPr>
          <w:rFonts w:cs="Arial"/>
          <w:bCs/>
          <w:szCs w:val="20"/>
        </w:rPr>
        <w:t>Des mesures involontaires</w:t>
      </w:r>
      <w:r w:rsidRPr="00F9410B">
        <w:rPr>
          <w:rFonts w:cs="Arial"/>
          <w:szCs w:val="20"/>
        </w:rPr>
        <w:t xml:space="preserve"> </w:t>
      </w:r>
      <w:r w:rsidRPr="00F9410B">
        <w:rPr>
          <w:rStyle w:val="hps"/>
          <w:rFonts w:cs="Arial"/>
          <w:color w:val="222222"/>
          <w:szCs w:val="20"/>
        </w:rPr>
        <w:t>ne doivent être utilisées</w:t>
      </w:r>
      <w:r w:rsidRPr="00F9410B">
        <w:rPr>
          <w:rFonts w:cs="Arial"/>
          <w:color w:val="222222"/>
          <w:szCs w:val="20"/>
        </w:rPr>
        <w:t xml:space="preserve"> que </w:t>
      </w:r>
      <w:r w:rsidRPr="00F9410B">
        <w:rPr>
          <w:rStyle w:val="hps"/>
          <w:rFonts w:cs="Arial"/>
          <w:color w:val="222222"/>
          <w:szCs w:val="20"/>
        </w:rPr>
        <w:t xml:space="preserve">conformément au </w:t>
      </w:r>
      <w:r w:rsidRPr="00F9410B">
        <w:rPr>
          <w:rFonts w:cs="Arial"/>
          <w:bCs/>
          <w:szCs w:val="20"/>
        </w:rPr>
        <w:t xml:space="preserve">principe de proportionnalité et de nécessité. </w:t>
      </w:r>
      <w:r w:rsidRPr="00F9410B">
        <w:rPr>
          <w:rFonts w:cs="Arial"/>
          <w:szCs w:val="20"/>
        </w:rPr>
        <w:t xml:space="preserve">Les personnes faisant l’objet de telles mesures sont soignées dans l’environnement le moins restrictif possible et bénéficient du traitement </w:t>
      </w:r>
      <w:r w:rsidRPr="00F9410B">
        <w:rPr>
          <w:rFonts w:cs="Arial"/>
          <w:bCs/>
          <w:szCs w:val="20"/>
        </w:rPr>
        <w:t>le moins restrictif ou intrusif possible, compte tenu des exigences liées à leurs besoins en matière de santé et à leur besoin de protection ou à celui d’autrui contre tout dommage.</w:t>
      </w:r>
    </w:p>
    <w:p w14:paraId="12685E82" w14:textId="77777777" w:rsidR="00EA55EE" w:rsidRPr="00F9410B" w:rsidRDefault="00EA55EE" w:rsidP="00BE25B2">
      <w:pPr>
        <w:tabs>
          <w:tab w:val="left" w:pos="426"/>
        </w:tabs>
        <w:rPr>
          <w:rFonts w:cs="Arial"/>
          <w:b/>
          <w:szCs w:val="20"/>
        </w:rPr>
      </w:pPr>
    </w:p>
    <w:p w14:paraId="7442EB1A" w14:textId="48FE5BF8" w:rsidR="00BE25B2" w:rsidRDefault="00BE25B2" w:rsidP="00BE25B2">
      <w:pPr>
        <w:tabs>
          <w:tab w:val="left" w:pos="426"/>
        </w:tabs>
        <w:rPr>
          <w:rFonts w:cs="Arial"/>
          <w:b/>
          <w:szCs w:val="20"/>
        </w:rPr>
      </w:pPr>
      <w:r w:rsidRPr="00F9410B">
        <w:rPr>
          <w:rFonts w:cs="Arial"/>
          <w:b/>
          <w:szCs w:val="20"/>
        </w:rPr>
        <w:t>Article 7 – Personne de confiance</w:t>
      </w:r>
    </w:p>
    <w:p w14:paraId="611B2284" w14:textId="77777777" w:rsidR="00EA55EE" w:rsidRPr="00F9410B" w:rsidRDefault="00EA55EE" w:rsidP="00BE25B2">
      <w:pPr>
        <w:tabs>
          <w:tab w:val="left" w:pos="426"/>
        </w:tabs>
        <w:rPr>
          <w:rFonts w:cs="Arial"/>
          <w:b/>
          <w:szCs w:val="20"/>
        </w:rPr>
      </w:pPr>
    </w:p>
    <w:p w14:paraId="464242A0" w14:textId="69081198" w:rsidR="00BE25B2" w:rsidRDefault="00BE25B2" w:rsidP="00BE25B2">
      <w:pPr>
        <w:rPr>
          <w:rFonts w:cs="Arial"/>
          <w:color w:val="222222"/>
          <w:szCs w:val="20"/>
        </w:rPr>
      </w:pPr>
      <w:r w:rsidRPr="00F9410B">
        <w:rPr>
          <w:rFonts w:cs="Arial"/>
          <w:szCs w:val="20"/>
        </w:rPr>
        <w:t xml:space="preserve">Dans le cadre d’une procédure concernant une mesure involontaire, la personne concernée a le droit de choisir une personne de confiance, </w:t>
      </w:r>
      <w:r w:rsidRPr="00F9410B">
        <w:rPr>
          <w:rFonts w:cs="Arial"/>
          <w:color w:val="222222"/>
          <w:szCs w:val="20"/>
        </w:rPr>
        <w:t>expressément désignée conformément à la loi.</w:t>
      </w:r>
    </w:p>
    <w:p w14:paraId="7597E6C8" w14:textId="77777777" w:rsidR="00EA55EE" w:rsidRPr="00F9410B" w:rsidRDefault="00EA55EE" w:rsidP="00BE25B2">
      <w:pPr>
        <w:rPr>
          <w:rFonts w:cs="Arial"/>
          <w:szCs w:val="20"/>
        </w:rPr>
      </w:pPr>
    </w:p>
    <w:p w14:paraId="7702C977" w14:textId="5F7D7C71" w:rsidR="00BE25B2" w:rsidRDefault="00BE25B2" w:rsidP="00BE25B2">
      <w:pPr>
        <w:rPr>
          <w:rFonts w:cs="Arial"/>
          <w:b/>
          <w:bCs/>
          <w:szCs w:val="20"/>
        </w:rPr>
      </w:pPr>
      <w:r w:rsidRPr="00F9410B">
        <w:rPr>
          <w:rFonts w:cs="Arial"/>
          <w:b/>
          <w:bCs/>
          <w:szCs w:val="20"/>
        </w:rPr>
        <w:t>Article 8 – Aide juridique</w:t>
      </w:r>
    </w:p>
    <w:p w14:paraId="6C1BE991" w14:textId="77777777" w:rsidR="00EA55EE" w:rsidRPr="00F9410B" w:rsidRDefault="00EA55EE" w:rsidP="00BE25B2">
      <w:pPr>
        <w:rPr>
          <w:rFonts w:cs="Arial"/>
          <w:b/>
          <w:bCs/>
          <w:szCs w:val="20"/>
        </w:rPr>
      </w:pPr>
    </w:p>
    <w:p w14:paraId="40F7D62A" w14:textId="05DC5CCF" w:rsidR="00BE25B2" w:rsidRDefault="00BE25B2" w:rsidP="00BE25B2">
      <w:pPr>
        <w:pStyle w:val="ListParagraph"/>
        <w:numPr>
          <w:ilvl w:val="0"/>
          <w:numId w:val="48"/>
        </w:numPr>
        <w:tabs>
          <w:tab w:val="left" w:pos="426"/>
        </w:tabs>
        <w:spacing w:after="0" w:line="240" w:lineRule="auto"/>
        <w:ind w:left="0" w:firstLine="0"/>
        <w:contextualSpacing w:val="0"/>
        <w:rPr>
          <w:rFonts w:cs="Arial"/>
          <w:szCs w:val="20"/>
        </w:rPr>
      </w:pPr>
      <w:r w:rsidRPr="00F9410B">
        <w:rPr>
          <w:rFonts w:cs="Arial"/>
          <w:bCs/>
          <w:szCs w:val="20"/>
        </w:rPr>
        <w:t xml:space="preserve">Les personnes faisant l’objet de mesures involontaires ont </w:t>
      </w:r>
      <w:r w:rsidRPr="00F9410B">
        <w:rPr>
          <w:rFonts w:cs="Arial"/>
          <w:szCs w:val="20"/>
        </w:rPr>
        <w:t xml:space="preserve">le droit de bénéficier effectivement d’une aide juridique. </w:t>
      </w:r>
    </w:p>
    <w:p w14:paraId="71E131DC" w14:textId="77777777" w:rsidR="00EA55EE" w:rsidRPr="00F9410B" w:rsidRDefault="00EA55EE" w:rsidP="00EA55EE">
      <w:pPr>
        <w:pStyle w:val="ListParagraph"/>
        <w:tabs>
          <w:tab w:val="left" w:pos="426"/>
        </w:tabs>
        <w:spacing w:after="0" w:line="240" w:lineRule="auto"/>
        <w:ind w:left="0"/>
        <w:contextualSpacing w:val="0"/>
        <w:rPr>
          <w:rFonts w:cs="Arial"/>
          <w:szCs w:val="20"/>
        </w:rPr>
      </w:pPr>
    </w:p>
    <w:p w14:paraId="7EDFCD84" w14:textId="6742BBC2" w:rsidR="00BE25B2" w:rsidRPr="00EA55EE" w:rsidRDefault="00BE25B2" w:rsidP="00BE25B2">
      <w:pPr>
        <w:pStyle w:val="ListParagraph"/>
        <w:numPr>
          <w:ilvl w:val="0"/>
          <w:numId w:val="48"/>
        </w:numPr>
        <w:tabs>
          <w:tab w:val="left" w:pos="426"/>
        </w:tabs>
        <w:spacing w:after="0" w:line="240" w:lineRule="auto"/>
        <w:ind w:left="0" w:firstLine="0"/>
        <w:contextualSpacing w:val="0"/>
        <w:rPr>
          <w:rFonts w:cs="Arial"/>
          <w:b/>
          <w:bCs/>
          <w:snapToGrid w:val="0"/>
          <w:szCs w:val="20"/>
        </w:rPr>
      </w:pPr>
      <w:r w:rsidRPr="00F9410B">
        <w:rPr>
          <w:rFonts w:cs="Arial"/>
          <w:szCs w:val="20"/>
        </w:rPr>
        <w:t>Sous réserve des conditions prévues par la loi, l’aide juridique est gratuite pour toute procédure telle que visée aux articles </w:t>
      </w:r>
      <w:r w:rsidRPr="00F9410B">
        <w:rPr>
          <w:rFonts w:cs="Arial"/>
          <w:bCs/>
          <w:szCs w:val="20"/>
        </w:rPr>
        <w:t>12</w:t>
      </w:r>
      <w:r w:rsidRPr="00F9410B">
        <w:rPr>
          <w:rFonts w:cs="Arial"/>
          <w:szCs w:val="20"/>
        </w:rPr>
        <w:t xml:space="preserve"> et </w:t>
      </w:r>
      <w:r w:rsidRPr="00F9410B">
        <w:rPr>
          <w:rFonts w:cs="Arial"/>
          <w:bCs/>
          <w:szCs w:val="20"/>
        </w:rPr>
        <w:t>16</w:t>
      </w:r>
      <w:r w:rsidRPr="00F9410B">
        <w:rPr>
          <w:rFonts w:cs="Arial"/>
          <w:bCs/>
          <w:snapToGrid w:val="0"/>
          <w:szCs w:val="20"/>
        </w:rPr>
        <w:t>.</w:t>
      </w:r>
    </w:p>
    <w:p w14:paraId="0629DE9E" w14:textId="77777777" w:rsidR="00EA55EE" w:rsidRPr="00F9410B" w:rsidRDefault="00EA55EE" w:rsidP="00EA55EE">
      <w:pPr>
        <w:pStyle w:val="ListParagraph"/>
        <w:tabs>
          <w:tab w:val="left" w:pos="426"/>
        </w:tabs>
        <w:spacing w:after="0" w:line="240" w:lineRule="auto"/>
        <w:ind w:left="0"/>
        <w:contextualSpacing w:val="0"/>
        <w:rPr>
          <w:rFonts w:cs="Arial"/>
          <w:b/>
          <w:bCs/>
          <w:snapToGrid w:val="0"/>
          <w:szCs w:val="20"/>
        </w:rPr>
      </w:pPr>
    </w:p>
    <w:p w14:paraId="6ADC2CFF" w14:textId="0F4DFE69" w:rsidR="00BE25B2" w:rsidRDefault="00BE25B2" w:rsidP="00BE25B2">
      <w:pPr>
        <w:rPr>
          <w:rFonts w:cs="Arial"/>
          <w:b/>
          <w:bCs/>
          <w:szCs w:val="20"/>
        </w:rPr>
      </w:pPr>
      <w:r w:rsidRPr="00F9410B">
        <w:rPr>
          <w:rFonts w:cs="Arial"/>
          <w:b/>
          <w:bCs/>
          <w:szCs w:val="20"/>
        </w:rPr>
        <w:t>Article 9 – Obligations professionnelles et règles de conduites</w:t>
      </w:r>
    </w:p>
    <w:p w14:paraId="3E25BFA9" w14:textId="77777777" w:rsidR="00EA55EE" w:rsidRPr="00F9410B" w:rsidRDefault="00EA55EE" w:rsidP="00BE25B2">
      <w:pPr>
        <w:rPr>
          <w:rFonts w:cs="Arial"/>
          <w:b/>
          <w:bCs/>
          <w:szCs w:val="20"/>
        </w:rPr>
      </w:pPr>
    </w:p>
    <w:p w14:paraId="1BB73025" w14:textId="4E3EE2AB" w:rsidR="00BE25B2" w:rsidRDefault="00BE25B2" w:rsidP="00BE25B2">
      <w:pPr>
        <w:rPr>
          <w:rFonts w:cs="Arial"/>
          <w:bCs/>
          <w:szCs w:val="20"/>
        </w:rPr>
      </w:pPr>
      <w:bookmarkStart w:id="1" w:name="_Hlk36664605"/>
      <w:r w:rsidRPr="00F9410B">
        <w:rPr>
          <w:rFonts w:cs="Arial"/>
          <w:bCs/>
          <w:szCs w:val="20"/>
        </w:rPr>
        <w:t xml:space="preserve">Les personnes faisant l’objet de mesures involontaires </w:t>
      </w:r>
      <w:bookmarkEnd w:id="1"/>
      <w:r w:rsidRPr="00F9410B">
        <w:rPr>
          <w:rFonts w:cs="Arial"/>
          <w:bCs/>
          <w:szCs w:val="20"/>
        </w:rPr>
        <w:t>bénéficient de soins délivrés dans le respect des normes et obligations professionnelles par des personnes ayant les compétences et l’expérience requises.</w:t>
      </w:r>
    </w:p>
    <w:p w14:paraId="5D8A8978" w14:textId="77777777" w:rsidR="00EA55EE" w:rsidRPr="00F9410B" w:rsidRDefault="00EA55EE" w:rsidP="00BE25B2">
      <w:pPr>
        <w:rPr>
          <w:rFonts w:cs="Arial"/>
          <w:b/>
          <w:bCs/>
          <w:szCs w:val="20"/>
        </w:rPr>
      </w:pPr>
    </w:p>
    <w:p w14:paraId="5DBEB882" w14:textId="4936951B" w:rsidR="00BE25B2" w:rsidRDefault="00BE25B2" w:rsidP="00BE25B2">
      <w:pPr>
        <w:rPr>
          <w:rFonts w:cs="Arial"/>
          <w:b/>
          <w:szCs w:val="20"/>
        </w:rPr>
      </w:pPr>
      <w:r w:rsidRPr="00F9410B">
        <w:rPr>
          <w:rFonts w:cs="Arial"/>
          <w:b/>
          <w:bCs/>
          <w:szCs w:val="20"/>
        </w:rPr>
        <w:t>Article 10 – E</w:t>
      </w:r>
      <w:r w:rsidRPr="00F9410B">
        <w:rPr>
          <w:rFonts w:cs="Arial"/>
          <w:b/>
          <w:szCs w:val="20"/>
        </w:rPr>
        <w:t>nvironnement approprié</w:t>
      </w:r>
    </w:p>
    <w:p w14:paraId="4E02F710" w14:textId="77777777" w:rsidR="00EA55EE" w:rsidRPr="00F9410B" w:rsidRDefault="00EA55EE" w:rsidP="00BE25B2">
      <w:pPr>
        <w:rPr>
          <w:rFonts w:cs="Arial"/>
          <w:b/>
          <w:szCs w:val="20"/>
        </w:rPr>
      </w:pPr>
    </w:p>
    <w:p w14:paraId="78B92E7C" w14:textId="26C8A826" w:rsidR="00BE25B2" w:rsidRDefault="00BE25B2" w:rsidP="00BE25B2">
      <w:pPr>
        <w:tabs>
          <w:tab w:val="left" w:pos="426"/>
        </w:tabs>
        <w:rPr>
          <w:rFonts w:cs="Arial"/>
          <w:bCs/>
          <w:szCs w:val="20"/>
        </w:rPr>
      </w:pPr>
      <w:r w:rsidRPr="00F9410B">
        <w:rPr>
          <w:rFonts w:cs="Arial"/>
          <w:bCs/>
          <w:szCs w:val="20"/>
        </w:rPr>
        <w:t>1.</w:t>
      </w:r>
      <w:r w:rsidRPr="00F9410B">
        <w:rPr>
          <w:rFonts w:cs="Arial"/>
          <w:b/>
          <w:szCs w:val="20"/>
        </w:rPr>
        <w:tab/>
      </w:r>
      <w:r w:rsidRPr="00F9410B">
        <w:rPr>
          <w:rFonts w:cs="Arial"/>
          <w:szCs w:val="20"/>
        </w:rPr>
        <w:t xml:space="preserve">Les </w:t>
      </w:r>
      <w:r w:rsidRPr="00F9410B">
        <w:rPr>
          <w:rFonts w:cs="Arial"/>
          <w:bCs/>
          <w:szCs w:val="20"/>
        </w:rPr>
        <w:t>Parties au présent Protocole prennent des mesures afin d’assurer que tout placement involontaire et tout</w:t>
      </w:r>
      <w:r w:rsidRPr="00F9410B">
        <w:rPr>
          <w:rFonts w:cs="Arial"/>
          <w:szCs w:val="20"/>
        </w:rPr>
        <w:t xml:space="preserve"> </w:t>
      </w:r>
      <w:r w:rsidRPr="00F9410B">
        <w:rPr>
          <w:rFonts w:cs="Arial"/>
          <w:bCs/>
          <w:szCs w:val="20"/>
        </w:rPr>
        <w:t xml:space="preserve">traitement involontaire sont effectués dans un environnement approprié </w:t>
      </w:r>
      <w:r w:rsidRPr="00F9410B">
        <w:rPr>
          <w:rFonts w:cs="Arial"/>
          <w:szCs w:val="20"/>
        </w:rPr>
        <w:t>respectant la dignité de la personne</w:t>
      </w:r>
      <w:r w:rsidRPr="00F9410B">
        <w:rPr>
          <w:rFonts w:cs="Arial"/>
          <w:bCs/>
          <w:szCs w:val="20"/>
        </w:rPr>
        <w:t>.</w:t>
      </w:r>
    </w:p>
    <w:p w14:paraId="7AE76E53" w14:textId="77777777" w:rsidR="00EA55EE" w:rsidRPr="00F9410B" w:rsidRDefault="00EA55EE" w:rsidP="00BE25B2">
      <w:pPr>
        <w:tabs>
          <w:tab w:val="left" w:pos="426"/>
        </w:tabs>
        <w:rPr>
          <w:rFonts w:cs="Arial"/>
          <w:bCs/>
          <w:szCs w:val="20"/>
        </w:rPr>
      </w:pPr>
    </w:p>
    <w:p w14:paraId="73395463" w14:textId="1B807305" w:rsidR="00BE25B2" w:rsidRDefault="00BE25B2" w:rsidP="00BE25B2">
      <w:pPr>
        <w:tabs>
          <w:tab w:val="left" w:pos="426"/>
        </w:tabs>
        <w:rPr>
          <w:rFonts w:cs="Arial"/>
          <w:szCs w:val="20"/>
        </w:rPr>
      </w:pPr>
      <w:r w:rsidRPr="00F9410B">
        <w:rPr>
          <w:rFonts w:cs="Arial"/>
          <w:szCs w:val="20"/>
        </w:rPr>
        <w:t>2.</w:t>
      </w:r>
      <w:r w:rsidRPr="00F9410B">
        <w:rPr>
          <w:rFonts w:cs="Arial"/>
          <w:szCs w:val="20"/>
        </w:rPr>
        <w:tab/>
        <w:t>Tout placement involontaire doit avoir lieu dans un établissement de soins de santé mentale spécifique.</w:t>
      </w:r>
    </w:p>
    <w:p w14:paraId="29C94CE0" w14:textId="77777777" w:rsidR="00EA55EE" w:rsidRPr="00F9410B" w:rsidRDefault="00EA55EE" w:rsidP="00BE25B2">
      <w:pPr>
        <w:tabs>
          <w:tab w:val="left" w:pos="426"/>
        </w:tabs>
        <w:rPr>
          <w:rFonts w:cs="Arial"/>
          <w:szCs w:val="20"/>
        </w:rPr>
      </w:pPr>
    </w:p>
    <w:p w14:paraId="79675837" w14:textId="2A9700D9" w:rsidR="00BE25B2" w:rsidRDefault="00BE25B2" w:rsidP="00BE25B2">
      <w:pPr>
        <w:rPr>
          <w:rFonts w:cs="Arial"/>
          <w:b/>
          <w:bCs/>
          <w:szCs w:val="20"/>
          <w:u w:val="single"/>
        </w:rPr>
      </w:pPr>
      <w:r w:rsidRPr="00F9410B">
        <w:rPr>
          <w:rFonts w:cs="Arial"/>
          <w:b/>
          <w:bCs/>
          <w:szCs w:val="20"/>
          <w:u w:val="single"/>
        </w:rPr>
        <w:t>Chapitre IV – Critères pour le placement et le traitement involontaires</w:t>
      </w:r>
    </w:p>
    <w:p w14:paraId="7E0845A4" w14:textId="77777777" w:rsidR="00EA55EE" w:rsidRPr="00F9410B" w:rsidRDefault="00EA55EE" w:rsidP="00BE25B2">
      <w:pPr>
        <w:rPr>
          <w:rFonts w:cs="Arial"/>
          <w:b/>
          <w:bCs/>
          <w:szCs w:val="20"/>
          <w:u w:val="single"/>
        </w:rPr>
      </w:pPr>
    </w:p>
    <w:p w14:paraId="0CB038BC" w14:textId="1E64A95A" w:rsidR="00BE25B2" w:rsidRDefault="00BE25B2" w:rsidP="00BE25B2">
      <w:pPr>
        <w:outlineLvl w:val="0"/>
        <w:rPr>
          <w:rFonts w:cs="Arial"/>
          <w:b/>
          <w:bCs/>
          <w:szCs w:val="20"/>
        </w:rPr>
      </w:pPr>
      <w:r w:rsidRPr="00F9410B">
        <w:rPr>
          <w:rFonts w:cs="Arial"/>
          <w:b/>
          <w:bCs/>
          <w:szCs w:val="20"/>
        </w:rPr>
        <w:t>Article 11 – Critères pour le placement et le traitement involontaires</w:t>
      </w:r>
    </w:p>
    <w:p w14:paraId="16C1B671" w14:textId="77777777" w:rsidR="00EA55EE" w:rsidRPr="00F9410B" w:rsidRDefault="00EA55EE" w:rsidP="00BE25B2">
      <w:pPr>
        <w:outlineLvl w:val="0"/>
        <w:rPr>
          <w:rFonts w:cs="Arial"/>
          <w:b/>
          <w:bCs/>
          <w:szCs w:val="20"/>
        </w:rPr>
      </w:pPr>
    </w:p>
    <w:p w14:paraId="5F7D366C" w14:textId="2080D13D" w:rsidR="00BE25B2" w:rsidRDefault="00BE25B2" w:rsidP="00BE25B2">
      <w:pPr>
        <w:tabs>
          <w:tab w:val="left" w:pos="426"/>
          <w:tab w:val="left" w:pos="1134"/>
        </w:tabs>
        <w:rPr>
          <w:rFonts w:cs="Arial"/>
          <w:szCs w:val="20"/>
        </w:rPr>
      </w:pPr>
      <w:r w:rsidRPr="00F9410B">
        <w:rPr>
          <w:rFonts w:cs="Arial"/>
          <w:szCs w:val="20"/>
        </w:rPr>
        <w:t xml:space="preserve">Le recours </w:t>
      </w:r>
      <w:r w:rsidRPr="00F9410B">
        <w:rPr>
          <w:rFonts w:cs="Arial"/>
          <w:bCs/>
          <w:szCs w:val="20"/>
        </w:rPr>
        <w:t>au placement</w:t>
      </w:r>
      <w:r w:rsidRPr="00F9410B">
        <w:rPr>
          <w:rFonts w:cs="Arial"/>
          <w:b/>
          <w:szCs w:val="20"/>
        </w:rPr>
        <w:t xml:space="preserve"> </w:t>
      </w:r>
      <w:r w:rsidRPr="00F9410B">
        <w:rPr>
          <w:rFonts w:cs="Arial"/>
          <w:bCs/>
          <w:szCs w:val="20"/>
        </w:rPr>
        <w:t>et/ou</w:t>
      </w:r>
      <w:r w:rsidRPr="00F9410B">
        <w:rPr>
          <w:rFonts w:cs="Arial"/>
          <w:b/>
          <w:szCs w:val="20"/>
        </w:rPr>
        <w:t xml:space="preserve"> </w:t>
      </w:r>
      <w:r w:rsidRPr="00F9410B">
        <w:rPr>
          <w:rFonts w:cs="Arial"/>
          <w:bCs/>
          <w:szCs w:val="20"/>
        </w:rPr>
        <w:t>au traitement involontaires</w:t>
      </w:r>
      <w:r w:rsidRPr="00F9410B">
        <w:rPr>
          <w:rFonts w:cs="Arial"/>
          <w:szCs w:val="20"/>
        </w:rPr>
        <w:t xml:space="preserve"> n’est possible que si les critères suivants sont </w:t>
      </w:r>
      <w:proofErr w:type="gramStart"/>
      <w:r w:rsidRPr="00F9410B">
        <w:rPr>
          <w:rFonts w:cs="Arial"/>
          <w:szCs w:val="20"/>
        </w:rPr>
        <w:t>réunis:</w:t>
      </w:r>
      <w:proofErr w:type="gramEnd"/>
    </w:p>
    <w:p w14:paraId="08E7CFE1" w14:textId="77777777" w:rsidR="00EA55EE" w:rsidRPr="00F9410B" w:rsidRDefault="00EA55EE" w:rsidP="00BE25B2">
      <w:pPr>
        <w:tabs>
          <w:tab w:val="left" w:pos="426"/>
          <w:tab w:val="left" w:pos="1134"/>
        </w:tabs>
        <w:rPr>
          <w:rFonts w:cs="Arial"/>
          <w:szCs w:val="20"/>
        </w:rPr>
      </w:pPr>
    </w:p>
    <w:p w14:paraId="619DBAED" w14:textId="401E9F7D" w:rsidR="00BE25B2" w:rsidRDefault="00BE25B2" w:rsidP="00991B77">
      <w:pPr>
        <w:tabs>
          <w:tab w:val="left" w:pos="993"/>
        </w:tabs>
        <w:ind w:left="709" w:hanging="283"/>
        <w:rPr>
          <w:rFonts w:cs="Arial"/>
          <w:szCs w:val="20"/>
        </w:rPr>
      </w:pPr>
      <w:r w:rsidRPr="00F9410B">
        <w:rPr>
          <w:rFonts w:cs="Arial"/>
          <w:szCs w:val="20"/>
        </w:rPr>
        <w:t>i.</w:t>
      </w:r>
      <w:r w:rsidRPr="00F9410B">
        <w:rPr>
          <w:rFonts w:cs="Arial"/>
          <w:szCs w:val="20"/>
        </w:rPr>
        <w:tab/>
        <w:t xml:space="preserve">a. </w:t>
      </w:r>
      <w:r w:rsidRPr="00F9410B">
        <w:rPr>
          <w:rFonts w:cs="Arial"/>
          <w:bCs/>
          <w:szCs w:val="20"/>
        </w:rPr>
        <w:t>l’état de santé mentale actuel de</w:t>
      </w:r>
      <w:r w:rsidRPr="00F9410B">
        <w:rPr>
          <w:rFonts w:cs="Arial"/>
          <w:szCs w:val="20"/>
        </w:rPr>
        <w:t xml:space="preserve"> la personne présente un risque sérieux de dommage grave pour sa santé, et son aptitude à prendre une décision sur la mesure est gravement </w:t>
      </w:r>
      <w:proofErr w:type="gramStart"/>
      <w:r w:rsidRPr="00F9410B">
        <w:rPr>
          <w:rFonts w:cs="Arial"/>
          <w:szCs w:val="20"/>
        </w:rPr>
        <w:t>altérée;</w:t>
      </w:r>
      <w:proofErr w:type="gramEnd"/>
      <w:r w:rsidRPr="00F9410B">
        <w:rPr>
          <w:rFonts w:cs="Arial"/>
          <w:szCs w:val="20"/>
        </w:rPr>
        <w:t xml:space="preserve"> ou</w:t>
      </w:r>
    </w:p>
    <w:p w14:paraId="71D95373" w14:textId="77777777" w:rsidR="00EA55EE" w:rsidRPr="00F9410B" w:rsidRDefault="00EA55EE" w:rsidP="00BE25B2">
      <w:pPr>
        <w:tabs>
          <w:tab w:val="left" w:pos="993"/>
        </w:tabs>
        <w:ind w:left="426"/>
        <w:rPr>
          <w:rFonts w:cs="Arial"/>
          <w:szCs w:val="20"/>
        </w:rPr>
      </w:pPr>
    </w:p>
    <w:p w14:paraId="7B19134D" w14:textId="6791BC3C" w:rsidR="00BE25B2" w:rsidRDefault="00BE25B2" w:rsidP="00991B77">
      <w:pPr>
        <w:tabs>
          <w:tab w:val="left" w:pos="993"/>
        </w:tabs>
        <w:ind w:left="709"/>
        <w:rPr>
          <w:rFonts w:cs="Arial"/>
          <w:szCs w:val="20"/>
        </w:rPr>
      </w:pPr>
      <w:r w:rsidRPr="00F9410B">
        <w:rPr>
          <w:rFonts w:cs="Arial"/>
          <w:szCs w:val="20"/>
        </w:rPr>
        <w:t xml:space="preserve">b. </w:t>
      </w:r>
      <w:r w:rsidRPr="00F9410B">
        <w:rPr>
          <w:rFonts w:cs="Arial"/>
          <w:bCs/>
          <w:szCs w:val="20"/>
        </w:rPr>
        <w:t>l’état de santé mentale actuel de</w:t>
      </w:r>
      <w:r w:rsidRPr="00F9410B">
        <w:rPr>
          <w:rFonts w:cs="Arial"/>
          <w:szCs w:val="20"/>
        </w:rPr>
        <w:t xml:space="preserve"> la personne présente un risque sérieux de dommage grave pour </w:t>
      </w:r>
      <w:proofErr w:type="gramStart"/>
      <w:r w:rsidRPr="00F9410B">
        <w:rPr>
          <w:rFonts w:cs="Arial"/>
          <w:szCs w:val="20"/>
        </w:rPr>
        <w:t>autrui;</w:t>
      </w:r>
      <w:proofErr w:type="gramEnd"/>
    </w:p>
    <w:p w14:paraId="35C79E46" w14:textId="77777777" w:rsidR="00EA55EE" w:rsidRPr="00F9410B" w:rsidRDefault="00EA55EE" w:rsidP="00BE25B2">
      <w:pPr>
        <w:tabs>
          <w:tab w:val="left" w:pos="993"/>
        </w:tabs>
        <w:ind w:left="425"/>
        <w:rPr>
          <w:rFonts w:cs="Arial"/>
          <w:szCs w:val="20"/>
        </w:rPr>
      </w:pPr>
    </w:p>
    <w:p w14:paraId="0C065ED2" w14:textId="460FA79D" w:rsidR="00BE25B2" w:rsidRDefault="00BE25B2" w:rsidP="00BE25B2">
      <w:pPr>
        <w:tabs>
          <w:tab w:val="left" w:pos="567"/>
          <w:tab w:val="left" w:pos="993"/>
        </w:tabs>
        <w:ind w:left="426"/>
        <w:rPr>
          <w:rFonts w:cs="Arial"/>
          <w:szCs w:val="20"/>
        </w:rPr>
      </w:pPr>
      <w:r w:rsidRPr="00F9410B">
        <w:rPr>
          <w:rFonts w:cs="Arial"/>
          <w:bCs/>
          <w:szCs w:val="20"/>
        </w:rPr>
        <w:t>ii.</w:t>
      </w:r>
      <w:r w:rsidRPr="00F9410B">
        <w:rPr>
          <w:rFonts w:cs="Arial"/>
          <w:bCs/>
          <w:szCs w:val="20"/>
        </w:rPr>
        <w:tab/>
        <w:t xml:space="preserve">la mesure a une fin </w:t>
      </w:r>
      <w:proofErr w:type="gramStart"/>
      <w:r w:rsidRPr="00F9410B">
        <w:rPr>
          <w:rFonts w:cs="Arial"/>
          <w:bCs/>
          <w:szCs w:val="20"/>
        </w:rPr>
        <w:t>thérapeutique;</w:t>
      </w:r>
      <w:proofErr w:type="gramEnd"/>
      <w:r w:rsidRPr="00F9410B">
        <w:rPr>
          <w:rFonts w:cs="Arial"/>
          <w:bCs/>
          <w:szCs w:val="20"/>
        </w:rPr>
        <w:t xml:space="preserve"> </w:t>
      </w:r>
      <w:r w:rsidRPr="00F9410B">
        <w:rPr>
          <w:rFonts w:cs="Arial"/>
          <w:szCs w:val="20"/>
        </w:rPr>
        <w:t>et</w:t>
      </w:r>
    </w:p>
    <w:p w14:paraId="619E171D" w14:textId="77777777" w:rsidR="00EA55EE" w:rsidRPr="00F9410B" w:rsidRDefault="00EA55EE" w:rsidP="00BE25B2">
      <w:pPr>
        <w:tabs>
          <w:tab w:val="left" w:pos="567"/>
          <w:tab w:val="left" w:pos="993"/>
        </w:tabs>
        <w:ind w:left="426"/>
        <w:rPr>
          <w:rFonts w:cs="Arial"/>
          <w:szCs w:val="20"/>
        </w:rPr>
      </w:pPr>
    </w:p>
    <w:p w14:paraId="6B705CDA" w14:textId="08E98EA7" w:rsidR="00BE25B2" w:rsidRDefault="00BE25B2" w:rsidP="00BE25B2">
      <w:pPr>
        <w:tabs>
          <w:tab w:val="left" w:pos="567"/>
          <w:tab w:val="left" w:pos="993"/>
        </w:tabs>
        <w:ind w:left="426"/>
        <w:rPr>
          <w:rFonts w:cs="Arial"/>
          <w:szCs w:val="20"/>
        </w:rPr>
      </w:pPr>
      <w:r w:rsidRPr="00F9410B">
        <w:rPr>
          <w:rFonts w:cs="Arial"/>
          <w:bCs/>
          <w:szCs w:val="20"/>
        </w:rPr>
        <w:t>iii.</w:t>
      </w:r>
      <w:r w:rsidRPr="00F9410B">
        <w:rPr>
          <w:rFonts w:cs="Arial"/>
          <w:szCs w:val="20"/>
        </w:rPr>
        <w:tab/>
        <w:t>aucune mesure volontaire n’est suffisante pour répondre au(x) risque(s) mentionné(s) au paragraphe i.</w:t>
      </w:r>
    </w:p>
    <w:p w14:paraId="03124B5A" w14:textId="77777777" w:rsidR="00EA55EE" w:rsidRPr="00F9410B" w:rsidRDefault="00EA55EE" w:rsidP="00BE25B2">
      <w:pPr>
        <w:tabs>
          <w:tab w:val="left" w:pos="567"/>
          <w:tab w:val="left" w:pos="993"/>
        </w:tabs>
        <w:ind w:left="426"/>
        <w:rPr>
          <w:rFonts w:cs="Arial"/>
          <w:szCs w:val="20"/>
        </w:rPr>
      </w:pPr>
    </w:p>
    <w:p w14:paraId="2848104D" w14:textId="77777777" w:rsidR="00EA55EE" w:rsidRDefault="00EA55EE">
      <w:pPr>
        <w:rPr>
          <w:rFonts w:cs="Arial"/>
          <w:b/>
          <w:bCs/>
          <w:szCs w:val="20"/>
          <w:u w:val="single"/>
        </w:rPr>
      </w:pPr>
      <w:r>
        <w:rPr>
          <w:rFonts w:cs="Arial"/>
          <w:b/>
          <w:bCs/>
          <w:szCs w:val="20"/>
          <w:u w:val="single"/>
        </w:rPr>
        <w:br w:type="page"/>
      </w:r>
    </w:p>
    <w:p w14:paraId="50A70ABC" w14:textId="2B3195AE" w:rsidR="00BE25B2" w:rsidRDefault="00BE25B2" w:rsidP="00BE25B2">
      <w:pPr>
        <w:rPr>
          <w:rFonts w:cs="Arial"/>
          <w:b/>
          <w:bCs/>
          <w:szCs w:val="20"/>
          <w:u w:val="single"/>
        </w:rPr>
      </w:pPr>
      <w:r w:rsidRPr="00F9410B">
        <w:rPr>
          <w:rFonts w:cs="Arial"/>
          <w:b/>
          <w:bCs/>
          <w:szCs w:val="20"/>
          <w:u w:val="single"/>
        </w:rPr>
        <w:t>Chapitre V – Procédures relatives au placement et au traitement involontaires</w:t>
      </w:r>
    </w:p>
    <w:p w14:paraId="376151ED" w14:textId="77777777" w:rsidR="00EA55EE" w:rsidRPr="00F9410B" w:rsidRDefault="00EA55EE" w:rsidP="00BE25B2">
      <w:pPr>
        <w:rPr>
          <w:rFonts w:cs="Arial"/>
          <w:b/>
          <w:bCs/>
          <w:szCs w:val="20"/>
          <w:u w:val="single"/>
        </w:rPr>
      </w:pPr>
    </w:p>
    <w:p w14:paraId="3353ABBC" w14:textId="2B90BE5A" w:rsidR="00BE25B2" w:rsidRDefault="00BE25B2" w:rsidP="00BE25B2">
      <w:pPr>
        <w:rPr>
          <w:rFonts w:cs="Arial"/>
          <w:b/>
          <w:szCs w:val="20"/>
        </w:rPr>
      </w:pPr>
      <w:r w:rsidRPr="00F9410B">
        <w:rPr>
          <w:rFonts w:cs="Arial"/>
          <w:b/>
          <w:szCs w:val="20"/>
        </w:rPr>
        <w:t>Article 12 – Procédures ordinaires pour la prise de décision sur le placement et le traitement involontaires</w:t>
      </w:r>
    </w:p>
    <w:p w14:paraId="6AE34095" w14:textId="77777777" w:rsidR="00EA55EE" w:rsidRPr="00F9410B" w:rsidRDefault="00EA55EE" w:rsidP="00BE25B2">
      <w:pPr>
        <w:rPr>
          <w:rFonts w:cs="Arial"/>
          <w:b/>
          <w:szCs w:val="20"/>
        </w:rPr>
      </w:pPr>
    </w:p>
    <w:p w14:paraId="2BF0122E" w14:textId="6FA61683" w:rsidR="00BE25B2" w:rsidRDefault="00BE25B2" w:rsidP="00BE25B2">
      <w:pPr>
        <w:tabs>
          <w:tab w:val="left" w:pos="426"/>
        </w:tabs>
        <w:rPr>
          <w:rFonts w:cs="Arial"/>
          <w:bCs/>
          <w:szCs w:val="20"/>
        </w:rPr>
      </w:pPr>
      <w:r w:rsidRPr="00F9410B">
        <w:rPr>
          <w:rFonts w:cs="Arial"/>
          <w:szCs w:val="20"/>
        </w:rPr>
        <w:t>1.</w:t>
      </w:r>
      <w:r w:rsidRPr="00F9410B">
        <w:rPr>
          <w:rFonts w:cs="Arial"/>
          <w:bCs/>
          <w:szCs w:val="20"/>
        </w:rPr>
        <w:tab/>
        <w:t xml:space="preserve">La décision de soumettre une personne à un placement involontaire ou à un traitement involontaire est prise par un tribunal ou un autre organe compétent. Le tribunal ou l’autre organe </w:t>
      </w:r>
      <w:proofErr w:type="gramStart"/>
      <w:r w:rsidRPr="00F9410B">
        <w:rPr>
          <w:rFonts w:cs="Arial"/>
          <w:bCs/>
          <w:szCs w:val="20"/>
        </w:rPr>
        <w:t>compétent:</w:t>
      </w:r>
      <w:proofErr w:type="gramEnd"/>
    </w:p>
    <w:p w14:paraId="51BA96CD" w14:textId="77777777" w:rsidR="00EA55EE" w:rsidRPr="00F9410B" w:rsidRDefault="00EA55EE" w:rsidP="00BE25B2">
      <w:pPr>
        <w:tabs>
          <w:tab w:val="left" w:pos="426"/>
        </w:tabs>
        <w:rPr>
          <w:rFonts w:cs="Arial"/>
          <w:b/>
          <w:bCs/>
          <w:szCs w:val="20"/>
        </w:rPr>
      </w:pPr>
    </w:p>
    <w:p w14:paraId="33F6421B" w14:textId="4C8A5338" w:rsidR="00BE25B2" w:rsidRDefault="00BE25B2" w:rsidP="00BE25B2">
      <w:pPr>
        <w:pStyle w:val="ListParagraph"/>
        <w:numPr>
          <w:ilvl w:val="0"/>
          <w:numId w:val="49"/>
        </w:numPr>
        <w:tabs>
          <w:tab w:val="left" w:pos="851"/>
        </w:tabs>
        <w:spacing w:after="0" w:line="240" w:lineRule="auto"/>
        <w:ind w:left="426" w:firstLine="0"/>
        <w:contextualSpacing w:val="0"/>
        <w:rPr>
          <w:rFonts w:cs="Arial"/>
          <w:bCs/>
          <w:szCs w:val="20"/>
        </w:rPr>
      </w:pPr>
      <w:proofErr w:type="gramStart"/>
      <w:r w:rsidRPr="00F9410B">
        <w:rPr>
          <w:rFonts w:cs="Arial"/>
          <w:bCs/>
          <w:szCs w:val="20"/>
        </w:rPr>
        <w:t>agit</w:t>
      </w:r>
      <w:proofErr w:type="gramEnd"/>
      <w:r w:rsidRPr="00F9410B">
        <w:rPr>
          <w:rFonts w:cs="Arial"/>
          <w:bCs/>
          <w:szCs w:val="20"/>
        </w:rPr>
        <w:t xml:space="preserve"> sur la base d’un examen médical approprié </w:t>
      </w:r>
      <w:r w:rsidRPr="00F9410B">
        <w:rPr>
          <w:rFonts w:cs="Arial"/>
          <w:bCs/>
          <w:iCs/>
          <w:spacing w:val="-3"/>
          <w:szCs w:val="20"/>
        </w:rPr>
        <w:t>par au moins un médecin ayant les compétences et l’expérience requises, conformément aux normes et obligations professionnelles applicables</w:t>
      </w:r>
      <w:r w:rsidRPr="00F9410B">
        <w:rPr>
          <w:rFonts w:cs="Arial"/>
          <w:bCs/>
          <w:szCs w:val="20"/>
        </w:rPr>
        <w:t>;</w:t>
      </w:r>
    </w:p>
    <w:p w14:paraId="71A77298" w14:textId="77777777" w:rsidR="00EA55EE" w:rsidRPr="00F9410B" w:rsidRDefault="00EA55EE" w:rsidP="00EA55EE">
      <w:pPr>
        <w:pStyle w:val="ListParagraph"/>
        <w:tabs>
          <w:tab w:val="left" w:pos="851"/>
        </w:tabs>
        <w:spacing w:after="0" w:line="240" w:lineRule="auto"/>
        <w:ind w:left="426"/>
        <w:contextualSpacing w:val="0"/>
        <w:rPr>
          <w:rFonts w:cs="Arial"/>
          <w:bCs/>
          <w:szCs w:val="20"/>
        </w:rPr>
      </w:pPr>
    </w:p>
    <w:p w14:paraId="0952E605" w14:textId="2EB34651" w:rsidR="00BE25B2" w:rsidRPr="00EA55EE" w:rsidRDefault="00BE25B2" w:rsidP="00BE25B2">
      <w:pPr>
        <w:pStyle w:val="ListParagraph"/>
        <w:numPr>
          <w:ilvl w:val="0"/>
          <w:numId w:val="49"/>
        </w:numPr>
        <w:tabs>
          <w:tab w:val="left" w:pos="851"/>
        </w:tabs>
        <w:spacing w:after="0" w:line="240" w:lineRule="auto"/>
        <w:ind w:left="426" w:firstLine="0"/>
        <w:contextualSpacing w:val="0"/>
        <w:rPr>
          <w:rStyle w:val="hps"/>
          <w:rFonts w:cs="Arial"/>
          <w:bCs/>
          <w:szCs w:val="20"/>
        </w:rPr>
      </w:pPr>
      <w:proofErr w:type="gramStart"/>
      <w:r w:rsidRPr="00F9410B">
        <w:rPr>
          <w:rFonts w:cs="Arial"/>
          <w:bCs/>
          <w:szCs w:val="20"/>
        </w:rPr>
        <w:t>s’assure</w:t>
      </w:r>
      <w:proofErr w:type="gramEnd"/>
      <w:r w:rsidRPr="00F9410B">
        <w:rPr>
          <w:rFonts w:cs="Arial"/>
          <w:bCs/>
          <w:szCs w:val="20"/>
        </w:rPr>
        <w:t xml:space="preserve"> que les critères énoncés </w:t>
      </w:r>
      <w:r w:rsidRPr="00F9410B">
        <w:rPr>
          <w:rFonts w:cs="Arial"/>
          <w:szCs w:val="20"/>
        </w:rPr>
        <w:t>à l’article 11</w:t>
      </w:r>
      <w:r w:rsidRPr="00F9410B">
        <w:rPr>
          <w:rFonts w:cs="Arial"/>
          <w:bCs/>
          <w:szCs w:val="20"/>
        </w:rPr>
        <w:t xml:space="preserve"> </w:t>
      </w:r>
      <w:r w:rsidRPr="00F9410B">
        <w:rPr>
          <w:rStyle w:val="hps"/>
          <w:rFonts w:cs="Arial"/>
          <w:szCs w:val="20"/>
        </w:rPr>
        <w:t>sont satisfaits;</w:t>
      </w:r>
    </w:p>
    <w:p w14:paraId="2E9D63D9" w14:textId="77777777" w:rsidR="00EA55EE" w:rsidRPr="00F9410B" w:rsidRDefault="00EA55EE" w:rsidP="00EA55EE">
      <w:pPr>
        <w:pStyle w:val="ListParagraph"/>
        <w:tabs>
          <w:tab w:val="left" w:pos="851"/>
        </w:tabs>
        <w:spacing w:after="0" w:line="240" w:lineRule="auto"/>
        <w:ind w:left="426"/>
        <w:contextualSpacing w:val="0"/>
        <w:rPr>
          <w:rFonts w:cs="Arial"/>
          <w:bCs/>
          <w:szCs w:val="20"/>
        </w:rPr>
      </w:pPr>
    </w:p>
    <w:p w14:paraId="4C4F09FC" w14:textId="567AC446" w:rsidR="00BE25B2" w:rsidRDefault="00BE25B2" w:rsidP="00BE25B2">
      <w:pPr>
        <w:tabs>
          <w:tab w:val="left" w:pos="851"/>
          <w:tab w:val="left" w:pos="1134"/>
        </w:tabs>
        <w:ind w:left="426"/>
        <w:rPr>
          <w:rFonts w:cs="Arial"/>
          <w:szCs w:val="20"/>
        </w:rPr>
      </w:pPr>
      <w:r w:rsidRPr="00F9410B">
        <w:rPr>
          <w:rFonts w:cs="Arial"/>
          <w:bCs/>
          <w:szCs w:val="20"/>
        </w:rPr>
        <w:t>iii.</w:t>
      </w:r>
      <w:r w:rsidRPr="00F9410B">
        <w:rPr>
          <w:rFonts w:cs="Arial"/>
          <w:bCs/>
          <w:szCs w:val="20"/>
        </w:rPr>
        <w:tab/>
        <w:t xml:space="preserve">prend sa décision selon les procédures prévues par la loi, conformément aux principes selon lesquels la personne concernée est entendue personnellement et avec le soutien de sa personne de confiance, </w:t>
      </w:r>
      <w:r w:rsidRPr="00F9410B">
        <w:rPr>
          <w:rFonts w:cs="Arial"/>
          <w:szCs w:val="20"/>
        </w:rPr>
        <w:t xml:space="preserve">si une telle personne a été </w:t>
      </w:r>
      <w:proofErr w:type="gramStart"/>
      <w:r w:rsidRPr="00F9410B">
        <w:rPr>
          <w:rFonts w:cs="Arial"/>
          <w:szCs w:val="20"/>
        </w:rPr>
        <w:t>désignée;</w:t>
      </w:r>
      <w:proofErr w:type="gramEnd"/>
    </w:p>
    <w:p w14:paraId="3EC88C18" w14:textId="77777777" w:rsidR="00EA55EE" w:rsidRPr="00F9410B" w:rsidRDefault="00EA55EE" w:rsidP="00BE25B2">
      <w:pPr>
        <w:tabs>
          <w:tab w:val="left" w:pos="851"/>
          <w:tab w:val="left" w:pos="1134"/>
        </w:tabs>
        <w:ind w:left="426"/>
        <w:rPr>
          <w:rFonts w:cs="Arial"/>
          <w:bCs/>
          <w:szCs w:val="20"/>
        </w:rPr>
      </w:pPr>
    </w:p>
    <w:p w14:paraId="0F3EDCEB" w14:textId="7E381002" w:rsidR="00BE25B2" w:rsidRDefault="00BE25B2" w:rsidP="00BE25B2">
      <w:pPr>
        <w:tabs>
          <w:tab w:val="left" w:pos="851"/>
          <w:tab w:val="left" w:pos="1134"/>
        </w:tabs>
        <w:ind w:left="426"/>
        <w:rPr>
          <w:rFonts w:cs="Arial"/>
          <w:bCs/>
          <w:szCs w:val="20"/>
        </w:rPr>
      </w:pPr>
      <w:r w:rsidRPr="00F9410B">
        <w:rPr>
          <w:rFonts w:cs="Arial"/>
          <w:bCs/>
          <w:szCs w:val="20"/>
        </w:rPr>
        <w:t>iv.</w:t>
      </w:r>
      <w:r w:rsidRPr="00F9410B">
        <w:rPr>
          <w:rFonts w:cs="Arial"/>
          <w:bCs/>
          <w:szCs w:val="20"/>
        </w:rPr>
        <w:tab/>
        <w:t>prend en compte</w:t>
      </w:r>
      <w:r w:rsidRPr="00F9410B">
        <w:rPr>
          <w:rFonts w:cs="Arial"/>
          <w:b/>
          <w:bCs/>
          <w:szCs w:val="20"/>
        </w:rPr>
        <w:t xml:space="preserve"> </w:t>
      </w:r>
      <w:r w:rsidRPr="00F9410B">
        <w:rPr>
          <w:rFonts w:cs="Arial"/>
          <w:bCs/>
          <w:szCs w:val="20"/>
        </w:rPr>
        <w:t>l’avis de la personne concernée</w:t>
      </w:r>
      <w:r w:rsidRPr="00F9410B">
        <w:rPr>
          <w:rFonts w:cs="Arial"/>
          <w:b/>
          <w:bCs/>
          <w:szCs w:val="20"/>
        </w:rPr>
        <w:t xml:space="preserve"> </w:t>
      </w:r>
      <w:r w:rsidRPr="00F9410B">
        <w:rPr>
          <w:rFonts w:cs="Arial"/>
          <w:bCs/>
          <w:szCs w:val="20"/>
        </w:rPr>
        <w:t xml:space="preserve">et tout vœu pertinent précédemment exprimé par cette </w:t>
      </w:r>
      <w:proofErr w:type="gramStart"/>
      <w:r w:rsidRPr="00F9410B">
        <w:rPr>
          <w:rFonts w:cs="Arial"/>
          <w:bCs/>
          <w:szCs w:val="20"/>
        </w:rPr>
        <w:t>personne;</w:t>
      </w:r>
      <w:proofErr w:type="gramEnd"/>
      <w:r w:rsidRPr="00F9410B">
        <w:rPr>
          <w:rFonts w:cs="Arial"/>
          <w:bCs/>
          <w:szCs w:val="20"/>
        </w:rPr>
        <w:t xml:space="preserve"> et</w:t>
      </w:r>
    </w:p>
    <w:p w14:paraId="47CB1F40" w14:textId="77777777" w:rsidR="00EA55EE" w:rsidRPr="00F9410B" w:rsidRDefault="00EA55EE" w:rsidP="00BE25B2">
      <w:pPr>
        <w:tabs>
          <w:tab w:val="left" w:pos="851"/>
          <w:tab w:val="left" w:pos="1134"/>
        </w:tabs>
        <w:ind w:left="426"/>
        <w:rPr>
          <w:rFonts w:cs="Arial"/>
          <w:bCs/>
          <w:szCs w:val="20"/>
        </w:rPr>
      </w:pPr>
    </w:p>
    <w:p w14:paraId="79ADEB13" w14:textId="3FE41699" w:rsidR="00BE25B2" w:rsidRDefault="00BE25B2" w:rsidP="00BE25B2">
      <w:pPr>
        <w:tabs>
          <w:tab w:val="left" w:pos="851"/>
        </w:tabs>
        <w:ind w:left="426"/>
        <w:rPr>
          <w:rFonts w:cs="Arial"/>
          <w:bCs/>
          <w:szCs w:val="20"/>
        </w:rPr>
      </w:pPr>
      <w:r w:rsidRPr="00F9410B">
        <w:rPr>
          <w:rFonts w:cs="Arial"/>
          <w:bCs/>
          <w:szCs w:val="20"/>
        </w:rPr>
        <w:t>v.</w:t>
      </w:r>
      <w:r w:rsidRPr="00F9410B">
        <w:rPr>
          <w:rFonts w:cs="Arial"/>
          <w:bCs/>
          <w:szCs w:val="20"/>
        </w:rPr>
        <w:tab/>
        <w:t>consulte, le cas échéant, le représentant de la personne.</w:t>
      </w:r>
    </w:p>
    <w:p w14:paraId="2C43BC48" w14:textId="77777777" w:rsidR="00EA55EE" w:rsidRPr="00F9410B" w:rsidRDefault="00EA55EE" w:rsidP="00EA55EE">
      <w:pPr>
        <w:tabs>
          <w:tab w:val="left" w:pos="851"/>
        </w:tabs>
        <w:rPr>
          <w:rFonts w:cs="Arial"/>
          <w:bCs/>
          <w:szCs w:val="20"/>
        </w:rPr>
      </w:pPr>
    </w:p>
    <w:p w14:paraId="20203197" w14:textId="3D9AE1AF" w:rsidR="00BE25B2" w:rsidRDefault="00BE25B2" w:rsidP="00BE25B2">
      <w:pPr>
        <w:tabs>
          <w:tab w:val="left" w:pos="426"/>
        </w:tabs>
        <w:rPr>
          <w:rFonts w:cs="Arial"/>
          <w:bCs/>
          <w:szCs w:val="20"/>
        </w:rPr>
      </w:pPr>
      <w:r w:rsidRPr="00F9410B">
        <w:rPr>
          <w:rFonts w:cs="Arial"/>
          <w:bCs/>
          <w:szCs w:val="20"/>
        </w:rPr>
        <w:t>2.</w:t>
      </w:r>
      <w:r w:rsidRPr="00F9410B">
        <w:rPr>
          <w:rFonts w:cs="Arial"/>
          <w:bCs/>
          <w:szCs w:val="20"/>
        </w:rPr>
        <w:tab/>
        <w:t>La décision de soumettre une personne à une mesure involontaire indique la période de la validité de cette mesure et est consignée par écrit.</w:t>
      </w:r>
    </w:p>
    <w:p w14:paraId="79D0D402" w14:textId="77777777" w:rsidR="00EA55EE" w:rsidRPr="00F9410B" w:rsidRDefault="00EA55EE" w:rsidP="00BE25B2">
      <w:pPr>
        <w:tabs>
          <w:tab w:val="left" w:pos="426"/>
        </w:tabs>
        <w:rPr>
          <w:rFonts w:cs="Arial"/>
          <w:bCs/>
          <w:szCs w:val="20"/>
        </w:rPr>
      </w:pPr>
    </w:p>
    <w:p w14:paraId="0E1B20BC" w14:textId="5B623DF8" w:rsidR="00BE25B2" w:rsidRDefault="00BE25B2" w:rsidP="00BE25B2">
      <w:pPr>
        <w:tabs>
          <w:tab w:val="left" w:pos="426"/>
        </w:tabs>
        <w:rPr>
          <w:rFonts w:cs="Arial"/>
          <w:bCs/>
          <w:szCs w:val="20"/>
        </w:rPr>
      </w:pPr>
      <w:r w:rsidRPr="00F9410B">
        <w:rPr>
          <w:rFonts w:cs="Arial"/>
          <w:bCs/>
          <w:szCs w:val="20"/>
        </w:rPr>
        <w:t>3.</w:t>
      </w:r>
      <w:r w:rsidRPr="00F9410B">
        <w:rPr>
          <w:rFonts w:cs="Arial"/>
          <w:bCs/>
          <w:szCs w:val="20"/>
        </w:rPr>
        <w:tab/>
        <w:t>La loi précise la durée maximale de validité de toute décision de soumettre une personne à une mesure involontaire et les modalités de réexamen régulier.</w:t>
      </w:r>
    </w:p>
    <w:p w14:paraId="62F04D00" w14:textId="77777777" w:rsidR="00EA55EE" w:rsidRPr="00F9410B" w:rsidRDefault="00EA55EE" w:rsidP="00BE25B2">
      <w:pPr>
        <w:tabs>
          <w:tab w:val="left" w:pos="426"/>
        </w:tabs>
        <w:rPr>
          <w:rFonts w:cs="Arial"/>
          <w:bCs/>
          <w:szCs w:val="20"/>
        </w:rPr>
      </w:pPr>
    </w:p>
    <w:p w14:paraId="41C38C96" w14:textId="37C6E725" w:rsidR="00BE25B2" w:rsidRDefault="00BE25B2" w:rsidP="00BE25B2">
      <w:pPr>
        <w:outlineLvl w:val="0"/>
        <w:rPr>
          <w:rFonts w:cs="Arial"/>
          <w:b/>
          <w:szCs w:val="20"/>
        </w:rPr>
      </w:pPr>
      <w:r w:rsidRPr="00F9410B">
        <w:rPr>
          <w:rFonts w:cs="Arial"/>
          <w:b/>
          <w:szCs w:val="20"/>
        </w:rPr>
        <w:t>Article 13 – Procédures pour la prise de décision dans les situations d'urgence</w:t>
      </w:r>
    </w:p>
    <w:p w14:paraId="649E50BA" w14:textId="77777777" w:rsidR="00EA55EE" w:rsidRPr="00F9410B" w:rsidRDefault="00EA55EE" w:rsidP="00BE25B2">
      <w:pPr>
        <w:outlineLvl w:val="0"/>
        <w:rPr>
          <w:rFonts w:cs="Arial"/>
          <w:b/>
          <w:szCs w:val="20"/>
        </w:rPr>
      </w:pPr>
    </w:p>
    <w:p w14:paraId="05F52A7E" w14:textId="288BEB0E" w:rsidR="00BE25B2" w:rsidRDefault="00BE25B2" w:rsidP="00BE25B2">
      <w:pPr>
        <w:tabs>
          <w:tab w:val="left" w:pos="426"/>
        </w:tabs>
        <w:rPr>
          <w:rFonts w:cs="Arial"/>
          <w:bCs/>
          <w:szCs w:val="20"/>
        </w:rPr>
      </w:pPr>
      <w:r w:rsidRPr="00F9410B">
        <w:rPr>
          <w:rFonts w:cs="Arial"/>
          <w:bCs/>
          <w:szCs w:val="20"/>
        </w:rPr>
        <w:t>1.</w:t>
      </w:r>
      <w:r w:rsidRPr="00F9410B">
        <w:rPr>
          <w:rFonts w:cs="Arial"/>
          <w:bCs/>
          <w:szCs w:val="20"/>
        </w:rPr>
        <w:tab/>
        <w:t>Lorsque, en raison du caractère imminent du</w:t>
      </w:r>
      <w:r w:rsidRPr="00F9410B">
        <w:rPr>
          <w:rFonts w:cs="Arial"/>
          <w:b/>
          <w:bCs/>
          <w:szCs w:val="20"/>
        </w:rPr>
        <w:t xml:space="preserve"> </w:t>
      </w:r>
      <w:r w:rsidRPr="00F9410B">
        <w:rPr>
          <w:rFonts w:cs="Arial"/>
          <w:bCs/>
          <w:szCs w:val="20"/>
        </w:rPr>
        <w:t xml:space="preserve">risque de dommages graves pour la santé de la personne concernée ou pour autrui, le temps manque pour suivre les procédures prévues à l’article 12, la décision de soumettre une personne à un placement et/ou à un traitement involontaires peut être prise par un tribunal ou </w:t>
      </w:r>
      <w:r w:rsidRPr="00F9410B">
        <w:rPr>
          <w:rFonts w:cs="Arial"/>
          <w:szCs w:val="20"/>
        </w:rPr>
        <w:t xml:space="preserve">un autre organe </w:t>
      </w:r>
      <w:r w:rsidRPr="00F9410B">
        <w:rPr>
          <w:rFonts w:cs="Arial"/>
          <w:bCs/>
          <w:szCs w:val="20"/>
        </w:rPr>
        <w:t>compétent, dans</w:t>
      </w:r>
      <w:r w:rsidRPr="00F9410B">
        <w:rPr>
          <w:rFonts w:cs="Arial"/>
          <w:b/>
          <w:bCs/>
          <w:szCs w:val="20"/>
        </w:rPr>
        <w:t xml:space="preserve"> </w:t>
      </w:r>
      <w:r w:rsidRPr="00F9410B">
        <w:rPr>
          <w:rFonts w:cs="Arial"/>
          <w:bCs/>
          <w:szCs w:val="20"/>
        </w:rPr>
        <w:t xml:space="preserve">les conditions </w:t>
      </w:r>
      <w:proofErr w:type="gramStart"/>
      <w:r w:rsidRPr="00F9410B">
        <w:rPr>
          <w:rFonts w:cs="Arial"/>
          <w:bCs/>
          <w:szCs w:val="20"/>
        </w:rPr>
        <w:t>suivantes:</w:t>
      </w:r>
      <w:proofErr w:type="gramEnd"/>
    </w:p>
    <w:p w14:paraId="1AC538C0" w14:textId="77777777" w:rsidR="00EA55EE" w:rsidRPr="00F9410B" w:rsidRDefault="00EA55EE" w:rsidP="00BE25B2">
      <w:pPr>
        <w:tabs>
          <w:tab w:val="left" w:pos="426"/>
        </w:tabs>
        <w:rPr>
          <w:rFonts w:cs="Arial"/>
          <w:bCs/>
          <w:strike/>
          <w:szCs w:val="20"/>
        </w:rPr>
      </w:pPr>
    </w:p>
    <w:p w14:paraId="296BC8A4" w14:textId="1B1EEE3A" w:rsidR="00BE25B2" w:rsidRDefault="00BE25B2" w:rsidP="00BE25B2">
      <w:pPr>
        <w:tabs>
          <w:tab w:val="left" w:pos="426"/>
          <w:tab w:val="left" w:pos="851"/>
        </w:tabs>
        <w:ind w:left="426"/>
        <w:rPr>
          <w:rFonts w:cs="Arial"/>
          <w:bCs/>
          <w:szCs w:val="20"/>
        </w:rPr>
      </w:pPr>
      <w:r w:rsidRPr="00F9410B">
        <w:rPr>
          <w:rFonts w:cs="Arial"/>
          <w:bCs/>
          <w:szCs w:val="20"/>
        </w:rPr>
        <w:t>i.</w:t>
      </w:r>
      <w:r w:rsidRPr="00F9410B">
        <w:rPr>
          <w:rFonts w:cs="Arial"/>
          <w:bCs/>
          <w:szCs w:val="20"/>
        </w:rPr>
        <w:tab/>
        <w:t xml:space="preserve">le placement et/ou le traitement involontaires ne sont effectués que sur la base d’un examen médical approprié à la mesure </w:t>
      </w:r>
      <w:proofErr w:type="gramStart"/>
      <w:r w:rsidRPr="00F9410B">
        <w:rPr>
          <w:rFonts w:cs="Arial"/>
          <w:bCs/>
          <w:szCs w:val="20"/>
        </w:rPr>
        <w:t>envisagée;</w:t>
      </w:r>
      <w:proofErr w:type="gramEnd"/>
    </w:p>
    <w:p w14:paraId="0CA5DDB2" w14:textId="77777777" w:rsidR="00EA55EE" w:rsidRPr="00F9410B" w:rsidRDefault="00EA55EE" w:rsidP="00BE25B2">
      <w:pPr>
        <w:tabs>
          <w:tab w:val="left" w:pos="426"/>
          <w:tab w:val="left" w:pos="851"/>
        </w:tabs>
        <w:ind w:left="426"/>
        <w:rPr>
          <w:rFonts w:cs="Arial"/>
          <w:bCs/>
          <w:szCs w:val="20"/>
        </w:rPr>
      </w:pPr>
    </w:p>
    <w:p w14:paraId="26FCFD24" w14:textId="5236B919" w:rsidR="00BE25B2" w:rsidRDefault="00BE25B2" w:rsidP="00BE25B2">
      <w:pPr>
        <w:tabs>
          <w:tab w:val="left" w:pos="426"/>
          <w:tab w:val="left" w:pos="851"/>
        </w:tabs>
        <w:ind w:left="426"/>
        <w:rPr>
          <w:rStyle w:val="hps"/>
          <w:rFonts w:cs="Arial"/>
          <w:color w:val="222222"/>
          <w:szCs w:val="20"/>
        </w:rPr>
      </w:pPr>
      <w:r w:rsidRPr="00F9410B">
        <w:rPr>
          <w:rFonts w:cs="Arial"/>
          <w:bCs/>
          <w:szCs w:val="20"/>
        </w:rPr>
        <w:t>ii.</w:t>
      </w:r>
      <w:r w:rsidRPr="00F9410B">
        <w:rPr>
          <w:rFonts w:cs="Arial"/>
          <w:bCs/>
          <w:szCs w:val="20"/>
        </w:rPr>
        <w:tab/>
      </w:r>
      <w:r w:rsidRPr="00F9410B">
        <w:rPr>
          <w:rStyle w:val="hps"/>
          <w:rFonts w:cs="Arial"/>
          <w:color w:val="222222"/>
          <w:szCs w:val="20"/>
        </w:rPr>
        <w:t>les</w:t>
      </w:r>
      <w:r w:rsidRPr="00F9410B">
        <w:rPr>
          <w:rFonts w:cs="Arial"/>
          <w:color w:val="222222"/>
          <w:szCs w:val="20"/>
        </w:rPr>
        <w:t xml:space="preserve"> </w:t>
      </w:r>
      <w:r w:rsidRPr="00F9410B">
        <w:rPr>
          <w:rStyle w:val="hps"/>
          <w:rFonts w:cs="Arial"/>
          <w:color w:val="222222"/>
          <w:szCs w:val="20"/>
        </w:rPr>
        <w:t>critères</w:t>
      </w:r>
      <w:r w:rsidRPr="00F9410B">
        <w:rPr>
          <w:rFonts w:cs="Arial"/>
          <w:color w:val="222222"/>
          <w:szCs w:val="20"/>
        </w:rPr>
        <w:t xml:space="preserve"> </w:t>
      </w:r>
      <w:r w:rsidRPr="00F9410B">
        <w:rPr>
          <w:rStyle w:val="hps"/>
          <w:rFonts w:cs="Arial"/>
          <w:color w:val="222222"/>
          <w:szCs w:val="20"/>
        </w:rPr>
        <w:t xml:space="preserve">énoncés </w:t>
      </w:r>
      <w:r w:rsidRPr="00F9410B">
        <w:rPr>
          <w:rStyle w:val="hps"/>
          <w:rFonts w:cs="Arial"/>
          <w:bCs/>
          <w:color w:val="222222"/>
          <w:szCs w:val="20"/>
        </w:rPr>
        <w:t>à l’article 11</w:t>
      </w:r>
      <w:r w:rsidRPr="00F9410B">
        <w:rPr>
          <w:rStyle w:val="hps"/>
          <w:rFonts w:cs="Arial"/>
          <w:b/>
          <w:color w:val="222222"/>
          <w:szCs w:val="20"/>
        </w:rPr>
        <w:t xml:space="preserve"> </w:t>
      </w:r>
      <w:r w:rsidRPr="00F9410B">
        <w:rPr>
          <w:rStyle w:val="hps"/>
          <w:rFonts w:cs="Arial"/>
          <w:color w:val="222222"/>
          <w:szCs w:val="20"/>
        </w:rPr>
        <w:t xml:space="preserve">sont </w:t>
      </w:r>
      <w:proofErr w:type="gramStart"/>
      <w:r w:rsidRPr="00F9410B">
        <w:rPr>
          <w:rStyle w:val="hps"/>
          <w:rFonts w:cs="Arial"/>
          <w:color w:val="222222"/>
          <w:szCs w:val="20"/>
        </w:rPr>
        <w:t>satisfaits;</w:t>
      </w:r>
      <w:proofErr w:type="gramEnd"/>
    </w:p>
    <w:p w14:paraId="1867E035" w14:textId="77777777" w:rsidR="00EA55EE" w:rsidRPr="00F9410B" w:rsidRDefault="00EA55EE" w:rsidP="00BE25B2">
      <w:pPr>
        <w:tabs>
          <w:tab w:val="left" w:pos="426"/>
          <w:tab w:val="left" w:pos="851"/>
        </w:tabs>
        <w:ind w:left="426"/>
        <w:rPr>
          <w:rFonts w:cs="Arial"/>
          <w:bCs/>
          <w:szCs w:val="20"/>
        </w:rPr>
      </w:pPr>
    </w:p>
    <w:p w14:paraId="52882572" w14:textId="641108D9" w:rsidR="00BE25B2" w:rsidRDefault="00BE25B2" w:rsidP="00BE25B2">
      <w:pPr>
        <w:tabs>
          <w:tab w:val="left" w:pos="426"/>
          <w:tab w:val="left" w:pos="851"/>
        </w:tabs>
        <w:ind w:left="426"/>
        <w:rPr>
          <w:rFonts w:cs="Arial"/>
          <w:bCs/>
          <w:szCs w:val="20"/>
        </w:rPr>
      </w:pPr>
      <w:r w:rsidRPr="00F9410B">
        <w:rPr>
          <w:rFonts w:cs="Arial"/>
          <w:bCs/>
          <w:szCs w:val="20"/>
        </w:rPr>
        <w:t>iii.</w:t>
      </w:r>
      <w:r w:rsidRPr="00F9410B">
        <w:rPr>
          <w:rFonts w:cs="Arial"/>
          <w:bCs/>
          <w:szCs w:val="20"/>
        </w:rPr>
        <w:tab/>
        <w:t xml:space="preserve">les alinéas iii, iv et v du paragraphe 1 de l’article </w:t>
      </w:r>
      <w:r w:rsidRPr="00F9410B">
        <w:rPr>
          <w:rFonts w:cs="Arial"/>
          <w:szCs w:val="20"/>
        </w:rPr>
        <w:t xml:space="preserve">12 </w:t>
      </w:r>
      <w:r w:rsidRPr="00F9410B">
        <w:rPr>
          <w:rFonts w:cs="Arial"/>
          <w:bCs/>
          <w:szCs w:val="20"/>
        </w:rPr>
        <w:t xml:space="preserve">sont, dans la mesure du possible, </w:t>
      </w:r>
      <w:proofErr w:type="gramStart"/>
      <w:r w:rsidRPr="00F9410B">
        <w:rPr>
          <w:rFonts w:cs="Arial"/>
          <w:bCs/>
          <w:szCs w:val="20"/>
        </w:rPr>
        <w:t>respectés;</w:t>
      </w:r>
      <w:proofErr w:type="gramEnd"/>
    </w:p>
    <w:p w14:paraId="7C8D647D" w14:textId="77777777" w:rsidR="00EA55EE" w:rsidRPr="00F9410B" w:rsidRDefault="00EA55EE" w:rsidP="00BE25B2">
      <w:pPr>
        <w:tabs>
          <w:tab w:val="left" w:pos="426"/>
          <w:tab w:val="left" w:pos="851"/>
        </w:tabs>
        <w:ind w:left="426"/>
        <w:rPr>
          <w:rFonts w:cs="Arial"/>
          <w:bCs/>
          <w:szCs w:val="20"/>
        </w:rPr>
      </w:pPr>
    </w:p>
    <w:p w14:paraId="4C11584F" w14:textId="575512AF" w:rsidR="00BE25B2" w:rsidRDefault="00BE25B2" w:rsidP="00BE25B2">
      <w:pPr>
        <w:tabs>
          <w:tab w:val="left" w:pos="426"/>
          <w:tab w:val="left" w:pos="851"/>
        </w:tabs>
        <w:ind w:left="426"/>
        <w:rPr>
          <w:rFonts w:cs="Arial"/>
          <w:bCs/>
          <w:szCs w:val="20"/>
        </w:rPr>
      </w:pPr>
      <w:bookmarkStart w:id="2" w:name="_Hlk36723981"/>
      <w:r w:rsidRPr="00F9410B">
        <w:rPr>
          <w:rFonts w:cs="Arial"/>
          <w:bCs/>
          <w:szCs w:val="20"/>
        </w:rPr>
        <w:t>iv.</w:t>
      </w:r>
      <w:r w:rsidRPr="00F9410B">
        <w:rPr>
          <w:rFonts w:cs="Arial"/>
          <w:b/>
          <w:bCs/>
          <w:szCs w:val="20"/>
        </w:rPr>
        <w:tab/>
      </w:r>
      <w:r w:rsidRPr="00F9410B">
        <w:rPr>
          <w:rFonts w:cs="Arial"/>
          <w:bCs/>
          <w:szCs w:val="20"/>
        </w:rPr>
        <w:t xml:space="preserve">toute décision de soumettre une personne à un placement et/ou à </w:t>
      </w:r>
      <w:proofErr w:type="gramStart"/>
      <w:r w:rsidRPr="00F9410B">
        <w:rPr>
          <w:rFonts w:cs="Arial"/>
          <w:bCs/>
          <w:szCs w:val="20"/>
        </w:rPr>
        <w:t>un traitement involontaires</w:t>
      </w:r>
      <w:proofErr w:type="gramEnd"/>
      <w:r w:rsidRPr="00F9410B">
        <w:rPr>
          <w:rFonts w:cs="Arial"/>
          <w:bCs/>
          <w:szCs w:val="20"/>
        </w:rPr>
        <w:t xml:space="preserve"> est consignée par écrit.</w:t>
      </w:r>
    </w:p>
    <w:p w14:paraId="75BAA667" w14:textId="77777777" w:rsidR="00EA55EE" w:rsidRPr="00F9410B" w:rsidRDefault="00EA55EE" w:rsidP="00BE25B2">
      <w:pPr>
        <w:tabs>
          <w:tab w:val="left" w:pos="426"/>
          <w:tab w:val="left" w:pos="851"/>
        </w:tabs>
        <w:ind w:left="426"/>
        <w:rPr>
          <w:rFonts w:cs="Arial"/>
          <w:bCs/>
          <w:szCs w:val="20"/>
        </w:rPr>
      </w:pPr>
    </w:p>
    <w:bookmarkEnd w:id="2"/>
    <w:p w14:paraId="5075BCFE" w14:textId="60EFE1C3" w:rsidR="00BE25B2" w:rsidRDefault="00BE25B2" w:rsidP="00BE25B2">
      <w:pPr>
        <w:tabs>
          <w:tab w:val="left" w:pos="426"/>
        </w:tabs>
        <w:rPr>
          <w:rStyle w:val="hps"/>
          <w:rFonts w:cs="Arial"/>
          <w:szCs w:val="20"/>
        </w:rPr>
      </w:pPr>
      <w:r w:rsidRPr="00F9410B">
        <w:rPr>
          <w:rFonts w:cs="Arial"/>
          <w:bCs/>
          <w:szCs w:val="20"/>
        </w:rPr>
        <w:t>2.</w:t>
      </w:r>
      <w:r w:rsidRPr="00F9410B">
        <w:rPr>
          <w:rFonts w:cs="Arial"/>
          <w:bCs/>
          <w:szCs w:val="20"/>
        </w:rPr>
        <w:tab/>
        <w:t xml:space="preserve">La loi </w:t>
      </w:r>
      <w:r w:rsidRPr="00F9410B">
        <w:rPr>
          <w:rStyle w:val="hps"/>
          <w:rFonts w:cs="Arial"/>
          <w:szCs w:val="20"/>
        </w:rPr>
        <w:t>précise la</w:t>
      </w:r>
      <w:r w:rsidRPr="00F9410B">
        <w:rPr>
          <w:rFonts w:cs="Arial"/>
          <w:szCs w:val="20"/>
        </w:rPr>
        <w:t xml:space="preserve"> </w:t>
      </w:r>
      <w:r w:rsidRPr="00F9410B">
        <w:rPr>
          <w:rStyle w:val="hps"/>
          <w:rFonts w:cs="Arial"/>
          <w:szCs w:val="20"/>
        </w:rPr>
        <w:t>période maximale pendant laquelle</w:t>
      </w:r>
      <w:r w:rsidRPr="00F9410B">
        <w:rPr>
          <w:rFonts w:cs="Arial"/>
          <w:szCs w:val="20"/>
        </w:rPr>
        <w:t xml:space="preserve"> </w:t>
      </w:r>
      <w:r w:rsidRPr="00F9410B">
        <w:rPr>
          <w:rStyle w:val="hps"/>
          <w:rFonts w:cs="Arial"/>
          <w:szCs w:val="20"/>
        </w:rPr>
        <w:t>une mesure d'urgence</w:t>
      </w:r>
      <w:r w:rsidRPr="00F9410B">
        <w:rPr>
          <w:rFonts w:cs="Arial"/>
          <w:szCs w:val="20"/>
        </w:rPr>
        <w:t xml:space="preserve"> </w:t>
      </w:r>
      <w:r w:rsidRPr="00F9410B">
        <w:rPr>
          <w:rStyle w:val="hps"/>
          <w:rFonts w:cs="Arial"/>
          <w:szCs w:val="20"/>
        </w:rPr>
        <w:t>peut être appliquée</w:t>
      </w:r>
      <w:r w:rsidRPr="00580043">
        <w:rPr>
          <w:rStyle w:val="hps"/>
          <w:rFonts w:cs="Arial"/>
          <w:szCs w:val="20"/>
        </w:rPr>
        <w:t>.</w:t>
      </w:r>
    </w:p>
    <w:p w14:paraId="6DB4F285" w14:textId="77777777" w:rsidR="00EA55EE" w:rsidRPr="00580043" w:rsidRDefault="00EA55EE" w:rsidP="00BE25B2">
      <w:pPr>
        <w:tabs>
          <w:tab w:val="left" w:pos="426"/>
        </w:tabs>
        <w:rPr>
          <w:rFonts w:cs="Arial"/>
          <w:szCs w:val="20"/>
        </w:rPr>
      </w:pPr>
    </w:p>
    <w:p w14:paraId="4FE0447F" w14:textId="1D36404D" w:rsidR="00BE25B2" w:rsidRDefault="00BE25B2" w:rsidP="00BE25B2">
      <w:pPr>
        <w:tabs>
          <w:tab w:val="left" w:pos="426"/>
        </w:tabs>
        <w:rPr>
          <w:rFonts w:cs="Arial"/>
          <w:szCs w:val="20"/>
          <w:lang w:bidi="fr-FR"/>
        </w:rPr>
      </w:pPr>
      <w:r w:rsidRPr="00F9410B">
        <w:rPr>
          <w:rFonts w:cs="Arial"/>
          <w:bCs/>
          <w:szCs w:val="20"/>
        </w:rPr>
        <w:t>3.</w:t>
      </w:r>
      <w:r w:rsidRPr="00F9410B">
        <w:rPr>
          <w:rFonts w:cs="Arial"/>
          <w:bCs/>
          <w:szCs w:val="20"/>
        </w:rPr>
        <w:tab/>
        <w:t xml:space="preserve">La durée d’une mesure d’urgence doit être aussi courte que possible. Elle ne doit pas se prolonger au-delà de la situation d’urgence ou de la période maximale prévue au paragraphe 2, sauf si la procédure prévue à l’article </w:t>
      </w:r>
      <w:r w:rsidRPr="00F9410B">
        <w:rPr>
          <w:rFonts w:cs="Arial"/>
          <w:szCs w:val="20"/>
        </w:rPr>
        <w:t xml:space="preserve">12 </w:t>
      </w:r>
      <w:r w:rsidRPr="00F9410B">
        <w:rPr>
          <w:rFonts w:cs="Arial"/>
          <w:bCs/>
          <w:szCs w:val="20"/>
        </w:rPr>
        <w:t>a été initiée</w:t>
      </w:r>
      <w:r w:rsidRPr="00F9410B">
        <w:rPr>
          <w:rFonts w:cs="Arial"/>
          <w:szCs w:val="20"/>
          <w:lang w:bidi="fr-FR"/>
        </w:rPr>
        <w:t>.</w:t>
      </w:r>
    </w:p>
    <w:p w14:paraId="49E95454" w14:textId="77777777" w:rsidR="00EA55EE" w:rsidRPr="00F9410B" w:rsidRDefault="00EA55EE" w:rsidP="00BE25B2">
      <w:pPr>
        <w:tabs>
          <w:tab w:val="left" w:pos="426"/>
        </w:tabs>
        <w:rPr>
          <w:rFonts w:cs="Arial"/>
          <w:szCs w:val="20"/>
          <w:lang w:bidi="fr-FR"/>
        </w:rPr>
      </w:pPr>
    </w:p>
    <w:p w14:paraId="69B0AF60" w14:textId="1754FDA6" w:rsidR="00BE25B2" w:rsidRDefault="00BE25B2" w:rsidP="00BE25B2">
      <w:pPr>
        <w:tabs>
          <w:tab w:val="left" w:pos="426"/>
        </w:tabs>
        <w:rPr>
          <w:rFonts w:cs="Arial"/>
          <w:b/>
          <w:bCs/>
          <w:szCs w:val="20"/>
        </w:rPr>
      </w:pPr>
      <w:r w:rsidRPr="00F9410B">
        <w:rPr>
          <w:rFonts w:cs="Arial"/>
          <w:b/>
          <w:bCs/>
          <w:szCs w:val="20"/>
        </w:rPr>
        <w:t>Article 14 – Prolongation d’une mesure involontaire</w:t>
      </w:r>
    </w:p>
    <w:p w14:paraId="329388B2" w14:textId="77777777" w:rsidR="00EA55EE" w:rsidRPr="00F9410B" w:rsidRDefault="00EA55EE" w:rsidP="00BE25B2">
      <w:pPr>
        <w:tabs>
          <w:tab w:val="left" w:pos="426"/>
        </w:tabs>
        <w:rPr>
          <w:rFonts w:cs="Arial"/>
          <w:b/>
          <w:bCs/>
          <w:szCs w:val="20"/>
        </w:rPr>
      </w:pPr>
    </w:p>
    <w:p w14:paraId="3A44DDA7" w14:textId="51C8BBBF" w:rsidR="00BE25B2" w:rsidRDefault="00BE25B2" w:rsidP="00BE25B2">
      <w:pPr>
        <w:tabs>
          <w:tab w:val="left" w:pos="426"/>
        </w:tabs>
        <w:rPr>
          <w:rFonts w:cs="Arial"/>
          <w:bCs/>
          <w:szCs w:val="20"/>
        </w:rPr>
      </w:pPr>
      <w:r w:rsidRPr="00F9410B">
        <w:rPr>
          <w:rFonts w:cs="Arial"/>
          <w:bCs/>
          <w:szCs w:val="20"/>
        </w:rPr>
        <w:t xml:space="preserve">Les dispositions de l’article </w:t>
      </w:r>
      <w:r w:rsidRPr="00F9410B">
        <w:rPr>
          <w:rFonts w:cs="Arial"/>
          <w:szCs w:val="20"/>
        </w:rPr>
        <w:t>12</w:t>
      </w:r>
      <w:r w:rsidRPr="00F9410B">
        <w:rPr>
          <w:rFonts w:cs="Arial"/>
          <w:bCs/>
          <w:szCs w:val="20"/>
        </w:rPr>
        <w:t xml:space="preserve"> s’appliquent également aux procédures de prise de décision portant sur la prolongation d’une mesure</w:t>
      </w:r>
      <w:r w:rsidRPr="00F9410B">
        <w:rPr>
          <w:rFonts w:cs="Arial"/>
          <w:b/>
          <w:bCs/>
          <w:szCs w:val="20"/>
        </w:rPr>
        <w:t xml:space="preserve"> </w:t>
      </w:r>
      <w:r w:rsidRPr="00F9410B">
        <w:rPr>
          <w:rFonts w:cs="Arial"/>
          <w:bCs/>
          <w:szCs w:val="20"/>
        </w:rPr>
        <w:t>involontaire.</w:t>
      </w:r>
    </w:p>
    <w:p w14:paraId="1CD769BA" w14:textId="77777777" w:rsidR="00EA55EE" w:rsidRPr="00F9410B" w:rsidRDefault="00EA55EE" w:rsidP="00BE25B2">
      <w:pPr>
        <w:tabs>
          <w:tab w:val="left" w:pos="426"/>
        </w:tabs>
        <w:rPr>
          <w:rFonts w:cs="Arial"/>
          <w:bCs/>
          <w:szCs w:val="20"/>
        </w:rPr>
      </w:pPr>
    </w:p>
    <w:p w14:paraId="0572A3EE" w14:textId="77777777" w:rsidR="00EA55EE" w:rsidRDefault="00EA55EE">
      <w:pPr>
        <w:rPr>
          <w:rFonts w:cs="Arial"/>
          <w:b/>
          <w:bCs/>
          <w:szCs w:val="20"/>
        </w:rPr>
      </w:pPr>
      <w:r>
        <w:rPr>
          <w:rFonts w:cs="Arial"/>
          <w:b/>
          <w:bCs/>
          <w:szCs w:val="20"/>
        </w:rPr>
        <w:br w:type="page"/>
      </w:r>
    </w:p>
    <w:p w14:paraId="7EF81918" w14:textId="265E29B4" w:rsidR="00BE25B2" w:rsidRDefault="00BE25B2" w:rsidP="00BE25B2">
      <w:pPr>
        <w:tabs>
          <w:tab w:val="left" w:pos="426"/>
        </w:tabs>
        <w:rPr>
          <w:rFonts w:cs="Arial"/>
          <w:b/>
          <w:bCs/>
          <w:szCs w:val="20"/>
        </w:rPr>
      </w:pPr>
      <w:r w:rsidRPr="00F9410B">
        <w:rPr>
          <w:rFonts w:cs="Arial"/>
          <w:b/>
          <w:bCs/>
          <w:szCs w:val="20"/>
        </w:rPr>
        <w:t>Article 15 – Arrêt d’une mesure involontaire</w:t>
      </w:r>
    </w:p>
    <w:p w14:paraId="05AE7A3B" w14:textId="77777777" w:rsidR="00EA55EE" w:rsidRPr="00F9410B" w:rsidRDefault="00EA55EE" w:rsidP="00BE25B2">
      <w:pPr>
        <w:tabs>
          <w:tab w:val="left" w:pos="426"/>
        </w:tabs>
        <w:rPr>
          <w:rFonts w:cs="Arial"/>
          <w:bCs/>
          <w:szCs w:val="20"/>
        </w:rPr>
      </w:pPr>
    </w:p>
    <w:p w14:paraId="0EE7AE39" w14:textId="1193D8CB" w:rsidR="00BE25B2" w:rsidRDefault="00BE25B2" w:rsidP="00BE25B2">
      <w:pPr>
        <w:tabs>
          <w:tab w:val="left" w:pos="426"/>
        </w:tabs>
        <w:rPr>
          <w:rFonts w:cs="Arial"/>
          <w:bCs/>
          <w:szCs w:val="20"/>
        </w:rPr>
      </w:pPr>
      <w:r w:rsidRPr="00F9410B">
        <w:rPr>
          <w:rFonts w:cs="Arial"/>
          <w:bCs/>
          <w:szCs w:val="20"/>
        </w:rPr>
        <w:t>1.</w:t>
      </w:r>
      <w:r w:rsidRPr="00F9410B">
        <w:rPr>
          <w:rFonts w:cs="Arial"/>
          <w:bCs/>
          <w:szCs w:val="20"/>
        </w:rPr>
        <w:tab/>
        <w:t xml:space="preserve">Il est mis fin au placement ou au traitement involontaires si l’un des critères </w:t>
      </w:r>
      <w:r w:rsidRPr="00F9410B">
        <w:rPr>
          <w:rStyle w:val="hps"/>
          <w:rFonts w:cs="Arial"/>
          <w:color w:val="222222"/>
          <w:szCs w:val="20"/>
        </w:rPr>
        <w:t>énoncés</w:t>
      </w:r>
      <w:r w:rsidRPr="00F9410B">
        <w:rPr>
          <w:rStyle w:val="shorttext"/>
          <w:rFonts w:cs="Arial"/>
          <w:color w:val="222222"/>
          <w:szCs w:val="20"/>
        </w:rPr>
        <w:t xml:space="preserve"> à</w:t>
      </w:r>
      <w:r w:rsidRPr="00F9410B">
        <w:rPr>
          <w:rStyle w:val="hps"/>
          <w:rFonts w:cs="Arial"/>
          <w:color w:val="222222"/>
          <w:szCs w:val="20"/>
        </w:rPr>
        <w:t xml:space="preserve"> l’article </w:t>
      </w:r>
      <w:r w:rsidRPr="00F9410B">
        <w:rPr>
          <w:rStyle w:val="hps"/>
          <w:rFonts w:cs="Arial"/>
          <w:bCs/>
          <w:color w:val="222222"/>
          <w:szCs w:val="20"/>
        </w:rPr>
        <w:t>11</w:t>
      </w:r>
      <w:r w:rsidRPr="00F9410B">
        <w:rPr>
          <w:rStyle w:val="hps"/>
          <w:rFonts w:cs="Arial"/>
          <w:color w:val="222222"/>
          <w:szCs w:val="20"/>
        </w:rPr>
        <w:t xml:space="preserve"> </w:t>
      </w:r>
      <w:r w:rsidRPr="00F9410B">
        <w:rPr>
          <w:rFonts w:cs="Arial"/>
          <w:bCs/>
          <w:szCs w:val="20"/>
        </w:rPr>
        <w:t>n’est plus rempli.</w:t>
      </w:r>
    </w:p>
    <w:p w14:paraId="6FF08F6D" w14:textId="77777777" w:rsidR="00EA55EE" w:rsidRPr="00F9410B" w:rsidRDefault="00EA55EE" w:rsidP="00BE25B2">
      <w:pPr>
        <w:tabs>
          <w:tab w:val="left" w:pos="426"/>
        </w:tabs>
        <w:rPr>
          <w:rFonts w:cs="Arial"/>
          <w:bCs/>
          <w:szCs w:val="20"/>
        </w:rPr>
      </w:pPr>
    </w:p>
    <w:p w14:paraId="691387F6" w14:textId="7ABB44D3" w:rsidR="00BE25B2" w:rsidRDefault="00BE25B2" w:rsidP="00BE25B2">
      <w:pPr>
        <w:tabs>
          <w:tab w:val="left" w:pos="426"/>
        </w:tabs>
        <w:rPr>
          <w:rFonts w:cs="Arial"/>
          <w:bCs/>
          <w:szCs w:val="20"/>
        </w:rPr>
      </w:pPr>
      <w:r w:rsidRPr="00F9410B">
        <w:rPr>
          <w:rFonts w:cs="Arial"/>
          <w:bCs/>
          <w:szCs w:val="20"/>
        </w:rPr>
        <w:t>2.</w:t>
      </w:r>
      <w:r w:rsidRPr="00F9410B">
        <w:rPr>
          <w:rFonts w:cs="Arial"/>
          <w:bCs/>
          <w:szCs w:val="20"/>
        </w:rPr>
        <w:tab/>
        <w:t xml:space="preserve">Le médecin responsable des soins de la personne vérifie si l’un des critères pertinents </w:t>
      </w:r>
      <w:r w:rsidRPr="00F9410B">
        <w:rPr>
          <w:rStyle w:val="hps"/>
          <w:rFonts w:cs="Arial"/>
          <w:color w:val="222222"/>
          <w:szCs w:val="20"/>
        </w:rPr>
        <w:t>énoncés</w:t>
      </w:r>
      <w:r w:rsidRPr="00F9410B">
        <w:rPr>
          <w:rStyle w:val="shorttext"/>
          <w:rFonts w:cs="Arial"/>
          <w:color w:val="222222"/>
          <w:szCs w:val="20"/>
        </w:rPr>
        <w:t xml:space="preserve"> à l’</w:t>
      </w:r>
      <w:r w:rsidRPr="00F9410B">
        <w:rPr>
          <w:rStyle w:val="hps"/>
          <w:rFonts w:cs="Arial"/>
          <w:color w:val="222222"/>
          <w:szCs w:val="20"/>
        </w:rPr>
        <w:t xml:space="preserve">article </w:t>
      </w:r>
      <w:r w:rsidRPr="00F9410B">
        <w:rPr>
          <w:rStyle w:val="hps"/>
          <w:rFonts w:cs="Arial"/>
          <w:bCs/>
          <w:color w:val="222222"/>
          <w:szCs w:val="20"/>
        </w:rPr>
        <w:t xml:space="preserve">11 </w:t>
      </w:r>
      <w:r w:rsidRPr="00F9410B">
        <w:rPr>
          <w:rFonts w:cs="Arial"/>
          <w:bCs/>
          <w:szCs w:val="20"/>
        </w:rPr>
        <w:t xml:space="preserve">n’est plus rempli. </w:t>
      </w:r>
    </w:p>
    <w:p w14:paraId="7D4C5925" w14:textId="77777777" w:rsidR="00EA55EE" w:rsidRPr="00F9410B" w:rsidRDefault="00EA55EE" w:rsidP="00BE25B2">
      <w:pPr>
        <w:tabs>
          <w:tab w:val="left" w:pos="426"/>
        </w:tabs>
        <w:rPr>
          <w:rFonts w:cs="Arial"/>
          <w:b/>
          <w:strike/>
          <w:szCs w:val="20"/>
        </w:rPr>
      </w:pPr>
    </w:p>
    <w:p w14:paraId="2D53DE9B" w14:textId="5CEF3C49" w:rsidR="00BE25B2" w:rsidRDefault="00BE25B2" w:rsidP="00BE25B2">
      <w:pPr>
        <w:tabs>
          <w:tab w:val="left" w:pos="426"/>
        </w:tabs>
        <w:rPr>
          <w:rFonts w:cs="Arial"/>
          <w:szCs w:val="20"/>
        </w:rPr>
      </w:pPr>
      <w:r w:rsidRPr="00F9410B">
        <w:rPr>
          <w:rFonts w:cs="Arial"/>
          <w:szCs w:val="20"/>
        </w:rPr>
        <w:t>3.</w:t>
      </w:r>
      <w:r w:rsidRPr="00F9410B">
        <w:rPr>
          <w:rFonts w:cs="Arial"/>
          <w:szCs w:val="20"/>
        </w:rPr>
        <w:tab/>
        <w:t>L’autorité responsable veille à ce qu’il soit vérifié, à intervalles réguliers, que la mesure continue d’être en conformité avec les exigences légales.</w:t>
      </w:r>
    </w:p>
    <w:p w14:paraId="60E8AB56" w14:textId="77777777" w:rsidR="00991B77" w:rsidRPr="00F9410B" w:rsidRDefault="00991B77" w:rsidP="00BE25B2">
      <w:pPr>
        <w:tabs>
          <w:tab w:val="left" w:pos="426"/>
        </w:tabs>
        <w:rPr>
          <w:rFonts w:cs="Arial"/>
          <w:bCs/>
          <w:szCs w:val="20"/>
        </w:rPr>
      </w:pPr>
    </w:p>
    <w:p w14:paraId="058FABEA" w14:textId="7504E270" w:rsidR="00BE25B2" w:rsidRDefault="00BE25B2" w:rsidP="00BE25B2">
      <w:pPr>
        <w:tabs>
          <w:tab w:val="left" w:pos="426"/>
        </w:tabs>
        <w:rPr>
          <w:rFonts w:cs="Arial"/>
          <w:szCs w:val="20"/>
        </w:rPr>
      </w:pPr>
      <w:r w:rsidRPr="00F9410B">
        <w:rPr>
          <w:rFonts w:cs="Arial"/>
          <w:bCs/>
          <w:szCs w:val="20"/>
        </w:rPr>
        <w:t>4.</w:t>
      </w:r>
      <w:r w:rsidRPr="00F9410B">
        <w:rPr>
          <w:rFonts w:cs="Arial"/>
          <w:bCs/>
          <w:szCs w:val="20"/>
        </w:rPr>
        <w:tab/>
        <w:t>Le médecin en charge des soins de la personne, ou un autre personnel de santé désigné par la loi, et l’autorité responsable peuvent</w:t>
      </w:r>
      <w:r w:rsidRPr="00F9410B">
        <w:rPr>
          <w:rFonts w:cs="Arial"/>
          <w:b/>
          <w:bCs/>
          <w:szCs w:val="20"/>
        </w:rPr>
        <w:t xml:space="preserve"> </w:t>
      </w:r>
      <w:r w:rsidRPr="00F9410B">
        <w:rPr>
          <w:rFonts w:cs="Arial"/>
          <w:bCs/>
          <w:szCs w:val="20"/>
        </w:rPr>
        <w:t>agir, sur la base des résultats de la vérification prévue aux paragraphes 2 et 3, pour mettre fin à l’application de cette mesure, sauf si, en accord avec la loi, un tribunal ou une autre instance compétente est impliqué dans la procédure de levée de la mesure.</w:t>
      </w:r>
      <w:r w:rsidRPr="00F9410B">
        <w:rPr>
          <w:rFonts w:cs="Arial"/>
          <w:szCs w:val="20"/>
        </w:rPr>
        <w:t xml:space="preserve"> </w:t>
      </w:r>
    </w:p>
    <w:p w14:paraId="576FE895" w14:textId="77777777" w:rsidR="00EA55EE" w:rsidRPr="00F9410B" w:rsidRDefault="00EA55EE" w:rsidP="00BE25B2">
      <w:pPr>
        <w:tabs>
          <w:tab w:val="left" w:pos="426"/>
        </w:tabs>
        <w:rPr>
          <w:rFonts w:cs="Arial"/>
          <w:bCs/>
          <w:szCs w:val="20"/>
        </w:rPr>
      </w:pPr>
    </w:p>
    <w:p w14:paraId="73C2EE0C" w14:textId="7B3A8CBE" w:rsidR="00BE25B2" w:rsidRDefault="00BE25B2" w:rsidP="00BE25B2">
      <w:pPr>
        <w:tabs>
          <w:tab w:val="left" w:pos="426"/>
        </w:tabs>
        <w:rPr>
          <w:rFonts w:cs="Arial"/>
          <w:b/>
          <w:bCs/>
          <w:szCs w:val="20"/>
        </w:rPr>
      </w:pPr>
      <w:r w:rsidRPr="00F9410B">
        <w:rPr>
          <w:rFonts w:cs="Arial"/>
          <w:b/>
          <w:bCs/>
          <w:szCs w:val="20"/>
        </w:rPr>
        <w:t>Article 16 – Recours et réexamen concernant la légalité d’une mesure involontaire</w:t>
      </w:r>
    </w:p>
    <w:p w14:paraId="10365574" w14:textId="77777777" w:rsidR="00EA55EE" w:rsidRPr="00F9410B" w:rsidRDefault="00EA55EE" w:rsidP="00BE25B2">
      <w:pPr>
        <w:tabs>
          <w:tab w:val="left" w:pos="426"/>
        </w:tabs>
        <w:rPr>
          <w:rFonts w:cs="Arial"/>
          <w:b/>
          <w:bCs/>
          <w:szCs w:val="20"/>
        </w:rPr>
      </w:pPr>
    </w:p>
    <w:p w14:paraId="18332B7D" w14:textId="0F790382" w:rsidR="00BE25B2" w:rsidRDefault="00BE25B2" w:rsidP="00BE25B2">
      <w:pPr>
        <w:tabs>
          <w:tab w:val="left" w:pos="426"/>
        </w:tabs>
        <w:rPr>
          <w:rFonts w:cs="Arial"/>
          <w:szCs w:val="20"/>
        </w:rPr>
      </w:pPr>
      <w:r w:rsidRPr="00F9410B">
        <w:rPr>
          <w:rFonts w:cs="Arial"/>
          <w:szCs w:val="20"/>
        </w:rPr>
        <w:t>1.</w:t>
      </w:r>
      <w:r w:rsidRPr="00F9410B">
        <w:rPr>
          <w:rFonts w:cs="Arial"/>
          <w:szCs w:val="20"/>
        </w:rPr>
        <w:tab/>
        <w:t xml:space="preserve">Les Parties s’assurent que les personnes qui font l’objet d’un placement et/ou d’un traitement involontaires peuvent, avec le soutien de leur personne de confiance, si une telle personne a été désignée, exercer effectivement le </w:t>
      </w:r>
      <w:proofErr w:type="gramStart"/>
      <w:r w:rsidRPr="00F9410B">
        <w:rPr>
          <w:rFonts w:cs="Arial"/>
          <w:szCs w:val="20"/>
        </w:rPr>
        <w:t>droit:</w:t>
      </w:r>
      <w:proofErr w:type="gramEnd"/>
    </w:p>
    <w:p w14:paraId="308846D4" w14:textId="77777777" w:rsidR="00EA55EE" w:rsidRPr="00F9410B" w:rsidRDefault="00EA55EE" w:rsidP="00BE25B2">
      <w:pPr>
        <w:tabs>
          <w:tab w:val="left" w:pos="426"/>
        </w:tabs>
        <w:rPr>
          <w:rFonts w:cs="Arial"/>
          <w:szCs w:val="20"/>
        </w:rPr>
      </w:pPr>
    </w:p>
    <w:p w14:paraId="7E1807E3" w14:textId="7711FA1F" w:rsidR="00BE25B2" w:rsidRDefault="00BE25B2" w:rsidP="00BE25B2">
      <w:pPr>
        <w:tabs>
          <w:tab w:val="left" w:pos="426"/>
          <w:tab w:val="left" w:pos="851"/>
        </w:tabs>
        <w:ind w:left="426"/>
        <w:rPr>
          <w:rFonts w:cs="Arial"/>
          <w:szCs w:val="20"/>
        </w:rPr>
      </w:pPr>
      <w:r w:rsidRPr="00F9410B">
        <w:rPr>
          <w:rFonts w:cs="Arial"/>
          <w:szCs w:val="20"/>
        </w:rPr>
        <w:t>i.</w:t>
      </w:r>
      <w:r w:rsidRPr="00F9410B">
        <w:rPr>
          <w:rFonts w:cs="Arial"/>
          <w:szCs w:val="20"/>
        </w:rPr>
        <w:tab/>
        <w:t xml:space="preserve">de faire un recours devant un tribunal contre la décision de les soumettre à la </w:t>
      </w:r>
      <w:proofErr w:type="gramStart"/>
      <w:r w:rsidRPr="00F9410B">
        <w:rPr>
          <w:rFonts w:cs="Arial"/>
          <w:szCs w:val="20"/>
        </w:rPr>
        <w:t>mesure;</w:t>
      </w:r>
      <w:proofErr w:type="gramEnd"/>
      <w:r w:rsidRPr="00F9410B">
        <w:rPr>
          <w:rFonts w:cs="Arial"/>
          <w:szCs w:val="20"/>
        </w:rPr>
        <w:t xml:space="preserve"> et</w:t>
      </w:r>
    </w:p>
    <w:p w14:paraId="07B55F91" w14:textId="77777777" w:rsidR="00EA55EE" w:rsidRPr="00F9410B" w:rsidRDefault="00EA55EE" w:rsidP="00BE25B2">
      <w:pPr>
        <w:tabs>
          <w:tab w:val="left" w:pos="426"/>
          <w:tab w:val="left" w:pos="851"/>
        </w:tabs>
        <w:ind w:left="426"/>
        <w:rPr>
          <w:rFonts w:cs="Arial"/>
          <w:szCs w:val="20"/>
        </w:rPr>
      </w:pPr>
    </w:p>
    <w:p w14:paraId="7AF3997B" w14:textId="541FEB28" w:rsidR="00BE25B2" w:rsidRDefault="00BE25B2" w:rsidP="00BE25B2">
      <w:pPr>
        <w:tabs>
          <w:tab w:val="left" w:pos="426"/>
          <w:tab w:val="left" w:pos="851"/>
        </w:tabs>
        <w:ind w:left="426"/>
        <w:rPr>
          <w:rFonts w:cs="Arial"/>
          <w:szCs w:val="20"/>
        </w:rPr>
      </w:pPr>
      <w:r w:rsidRPr="00F9410B">
        <w:rPr>
          <w:rFonts w:cs="Arial"/>
          <w:szCs w:val="20"/>
        </w:rPr>
        <w:t>ii.</w:t>
      </w:r>
      <w:r w:rsidRPr="00F9410B">
        <w:rPr>
          <w:rFonts w:cs="Arial"/>
          <w:szCs w:val="20"/>
        </w:rPr>
        <w:tab/>
        <w:t>de demander le réexamen par un tribunal de la conformité avec la loi de la mesure ou de son maintien.</w:t>
      </w:r>
    </w:p>
    <w:p w14:paraId="678D412F" w14:textId="77777777" w:rsidR="00EA55EE" w:rsidRPr="00F9410B" w:rsidRDefault="00EA55EE" w:rsidP="00BE25B2">
      <w:pPr>
        <w:tabs>
          <w:tab w:val="left" w:pos="426"/>
          <w:tab w:val="left" w:pos="851"/>
        </w:tabs>
        <w:ind w:left="426"/>
        <w:rPr>
          <w:rFonts w:cs="Arial"/>
          <w:szCs w:val="20"/>
        </w:rPr>
      </w:pPr>
    </w:p>
    <w:p w14:paraId="6E53F400" w14:textId="310A983E" w:rsidR="00BE25B2" w:rsidRDefault="00BE25B2" w:rsidP="00BE25B2">
      <w:pPr>
        <w:tabs>
          <w:tab w:val="left" w:pos="426"/>
          <w:tab w:val="left" w:pos="709"/>
        </w:tabs>
        <w:rPr>
          <w:rFonts w:cs="Arial"/>
          <w:szCs w:val="20"/>
        </w:rPr>
      </w:pPr>
      <w:r w:rsidRPr="00F9410B">
        <w:rPr>
          <w:rFonts w:cs="Arial"/>
          <w:szCs w:val="20"/>
        </w:rPr>
        <w:t>Un recours peut également être exercé et un réexamen</w:t>
      </w:r>
      <w:r w:rsidRPr="00F9410B">
        <w:rPr>
          <w:rFonts w:cs="Arial"/>
          <w:b/>
          <w:szCs w:val="20"/>
        </w:rPr>
        <w:t xml:space="preserve"> </w:t>
      </w:r>
      <w:r w:rsidRPr="00F9410B">
        <w:rPr>
          <w:rFonts w:cs="Arial"/>
          <w:szCs w:val="20"/>
        </w:rPr>
        <w:t>demandé par le représentant de la personne concernée, lorsqu’une telle personne a été désignée.</w:t>
      </w:r>
    </w:p>
    <w:p w14:paraId="7E7F5923" w14:textId="77777777" w:rsidR="00EA55EE" w:rsidRPr="00F9410B" w:rsidRDefault="00EA55EE" w:rsidP="00BE25B2">
      <w:pPr>
        <w:tabs>
          <w:tab w:val="left" w:pos="426"/>
          <w:tab w:val="left" w:pos="709"/>
        </w:tabs>
        <w:rPr>
          <w:rFonts w:cs="Arial"/>
          <w:szCs w:val="20"/>
        </w:rPr>
      </w:pPr>
    </w:p>
    <w:p w14:paraId="25C488A1" w14:textId="768B9304" w:rsidR="00BE25B2" w:rsidRDefault="00BE25B2" w:rsidP="00BE25B2">
      <w:pPr>
        <w:tabs>
          <w:tab w:val="left" w:pos="426"/>
        </w:tabs>
        <w:rPr>
          <w:rFonts w:cs="Arial"/>
          <w:szCs w:val="20"/>
        </w:rPr>
      </w:pPr>
      <w:r w:rsidRPr="00F9410B">
        <w:rPr>
          <w:rFonts w:cs="Arial"/>
          <w:szCs w:val="20"/>
        </w:rPr>
        <w:t>2.</w:t>
      </w:r>
      <w:r w:rsidRPr="00F9410B">
        <w:rPr>
          <w:rFonts w:cs="Arial"/>
          <w:szCs w:val="20"/>
        </w:rPr>
        <w:tab/>
        <w:t>Les Parties s’assurent que toute personne faisant l’objet d’une mesure involontaire</w:t>
      </w:r>
      <w:r w:rsidRPr="00F9410B">
        <w:rPr>
          <w:rFonts w:cs="Arial"/>
          <w:b/>
          <w:szCs w:val="20"/>
        </w:rPr>
        <w:t xml:space="preserve"> </w:t>
      </w:r>
      <w:r w:rsidRPr="00F9410B">
        <w:rPr>
          <w:rFonts w:cs="Arial"/>
          <w:szCs w:val="20"/>
        </w:rPr>
        <w:t>peut exercer d’une manière effective</w:t>
      </w:r>
      <w:r w:rsidRPr="00F9410B">
        <w:rPr>
          <w:rFonts w:cs="Arial"/>
          <w:b/>
          <w:szCs w:val="20"/>
        </w:rPr>
        <w:t xml:space="preserve"> </w:t>
      </w:r>
      <w:r w:rsidRPr="00F9410B">
        <w:rPr>
          <w:rFonts w:cs="Arial"/>
          <w:szCs w:val="20"/>
        </w:rPr>
        <w:t>le droit d’être entendue en personne</w:t>
      </w:r>
      <w:r w:rsidRPr="00F9410B">
        <w:rPr>
          <w:rFonts w:cs="Arial"/>
          <w:bCs/>
          <w:szCs w:val="20"/>
        </w:rPr>
        <w:t>, avec le soutien, le cas échéant, de sa personne de confiance</w:t>
      </w:r>
      <w:r w:rsidRPr="00F9410B">
        <w:rPr>
          <w:rFonts w:cs="Arial"/>
          <w:szCs w:val="20"/>
        </w:rPr>
        <w:t>, ou, par l’intermédiaire de son représentant, si une telle personne a été désignée, lors des procédures de réexamen ou de recours.</w:t>
      </w:r>
    </w:p>
    <w:p w14:paraId="6393F1AB" w14:textId="77777777" w:rsidR="00EA55EE" w:rsidRPr="00F9410B" w:rsidRDefault="00EA55EE" w:rsidP="00BE25B2">
      <w:pPr>
        <w:tabs>
          <w:tab w:val="left" w:pos="426"/>
        </w:tabs>
        <w:rPr>
          <w:rFonts w:cs="Arial"/>
          <w:b/>
          <w:bCs/>
          <w:strike/>
          <w:szCs w:val="20"/>
        </w:rPr>
      </w:pPr>
    </w:p>
    <w:p w14:paraId="7FBA603A" w14:textId="3DAB18A5" w:rsidR="00BE25B2" w:rsidRDefault="00BE25B2" w:rsidP="00BE25B2">
      <w:pPr>
        <w:tabs>
          <w:tab w:val="left" w:pos="426"/>
        </w:tabs>
        <w:rPr>
          <w:rStyle w:val="hps"/>
          <w:rFonts w:cs="Arial"/>
          <w:szCs w:val="20"/>
        </w:rPr>
      </w:pPr>
      <w:r w:rsidRPr="00F9410B">
        <w:rPr>
          <w:rFonts w:cs="Arial"/>
          <w:szCs w:val="20"/>
        </w:rPr>
        <w:t>3.</w:t>
      </w:r>
      <w:r w:rsidRPr="00F9410B">
        <w:rPr>
          <w:rFonts w:cs="Arial"/>
          <w:szCs w:val="20"/>
        </w:rPr>
        <w:tab/>
        <w:t>La personne concernée, son représentant, la personne fournissant l’aide juridique devant le tribunal, ainsi que, en accord avec la loi, la personne de confiance ont accès à toutes les pièces détenues par le tribunal, sous réserve du respect de la confidentialité et de la sûreté d’autrui, en accord avec la loi</w:t>
      </w:r>
      <w:r w:rsidRPr="00F9410B">
        <w:rPr>
          <w:rStyle w:val="hps"/>
          <w:rFonts w:cs="Arial"/>
          <w:szCs w:val="20"/>
        </w:rPr>
        <w:t>.</w:t>
      </w:r>
    </w:p>
    <w:p w14:paraId="67DD3E84" w14:textId="77777777" w:rsidR="00EA55EE" w:rsidRPr="00F9410B" w:rsidRDefault="00EA55EE" w:rsidP="00BE25B2">
      <w:pPr>
        <w:tabs>
          <w:tab w:val="left" w:pos="426"/>
        </w:tabs>
        <w:rPr>
          <w:rFonts w:cs="Arial"/>
          <w:szCs w:val="20"/>
        </w:rPr>
      </w:pPr>
    </w:p>
    <w:p w14:paraId="2C0A85CF" w14:textId="4EC8829E" w:rsidR="00BE25B2" w:rsidRDefault="00BE25B2" w:rsidP="00BE25B2">
      <w:pPr>
        <w:tabs>
          <w:tab w:val="left" w:pos="426"/>
        </w:tabs>
        <w:rPr>
          <w:rFonts w:cs="Arial"/>
          <w:color w:val="222222"/>
          <w:szCs w:val="20"/>
        </w:rPr>
      </w:pPr>
      <w:r w:rsidRPr="00F9410B">
        <w:rPr>
          <w:rFonts w:cs="Arial"/>
          <w:szCs w:val="20"/>
        </w:rPr>
        <w:t>4.</w:t>
      </w:r>
      <w:r w:rsidRPr="00F9410B">
        <w:rPr>
          <w:rFonts w:cs="Arial"/>
          <w:szCs w:val="20"/>
        </w:rPr>
        <w:tab/>
        <w:t>Le tribunal prend sa décision dans le plus court délai</w:t>
      </w:r>
      <w:r w:rsidRPr="00F9410B">
        <w:rPr>
          <w:rFonts w:cs="Arial"/>
          <w:color w:val="222222"/>
          <w:szCs w:val="20"/>
        </w:rPr>
        <w:t>, conformément à la loi.</w:t>
      </w:r>
    </w:p>
    <w:p w14:paraId="7D47BCBD" w14:textId="77777777" w:rsidR="00EA55EE" w:rsidRPr="00F9410B" w:rsidRDefault="00EA55EE" w:rsidP="00BE25B2">
      <w:pPr>
        <w:tabs>
          <w:tab w:val="left" w:pos="426"/>
        </w:tabs>
        <w:rPr>
          <w:rFonts w:cs="Arial"/>
          <w:szCs w:val="20"/>
        </w:rPr>
      </w:pPr>
    </w:p>
    <w:p w14:paraId="2ABC300A" w14:textId="2DB44038" w:rsidR="00BE25B2" w:rsidRDefault="00BE25B2" w:rsidP="00BE25B2">
      <w:pPr>
        <w:tabs>
          <w:tab w:val="left" w:pos="426"/>
        </w:tabs>
        <w:rPr>
          <w:rFonts w:cs="Arial"/>
          <w:b/>
          <w:bCs/>
          <w:szCs w:val="20"/>
          <w:u w:val="single"/>
        </w:rPr>
      </w:pPr>
      <w:r w:rsidRPr="00F9410B">
        <w:rPr>
          <w:rFonts w:cs="Arial"/>
          <w:b/>
          <w:bCs/>
          <w:szCs w:val="20"/>
          <w:u w:val="single"/>
        </w:rPr>
        <w:t>Chapitre VI – Mesures restrictives et irréversibles</w:t>
      </w:r>
    </w:p>
    <w:p w14:paraId="77107E41" w14:textId="77777777" w:rsidR="00EA55EE" w:rsidRPr="00F9410B" w:rsidRDefault="00EA55EE" w:rsidP="00BE25B2">
      <w:pPr>
        <w:tabs>
          <w:tab w:val="left" w:pos="426"/>
        </w:tabs>
        <w:rPr>
          <w:rFonts w:cs="Arial"/>
          <w:b/>
          <w:bCs/>
          <w:szCs w:val="20"/>
          <w:u w:val="single"/>
        </w:rPr>
      </w:pPr>
    </w:p>
    <w:p w14:paraId="108BC14F" w14:textId="44209A97" w:rsidR="00BE25B2" w:rsidRDefault="00BE25B2" w:rsidP="00BE25B2">
      <w:pPr>
        <w:tabs>
          <w:tab w:val="left" w:pos="426"/>
        </w:tabs>
        <w:rPr>
          <w:rFonts w:cs="Arial"/>
          <w:b/>
          <w:bCs/>
          <w:szCs w:val="20"/>
        </w:rPr>
      </w:pPr>
      <w:r w:rsidRPr="00F9410B">
        <w:rPr>
          <w:rFonts w:cs="Arial"/>
          <w:b/>
          <w:bCs/>
          <w:szCs w:val="20"/>
        </w:rPr>
        <w:t>Article 17 – Isolement et contention</w:t>
      </w:r>
    </w:p>
    <w:p w14:paraId="31D77D7B" w14:textId="77777777" w:rsidR="00EA55EE" w:rsidRPr="00F9410B" w:rsidRDefault="00EA55EE" w:rsidP="00BE25B2">
      <w:pPr>
        <w:tabs>
          <w:tab w:val="left" w:pos="426"/>
        </w:tabs>
        <w:rPr>
          <w:rFonts w:cs="Arial"/>
          <w:b/>
          <w:bCs/>
          <w:szCs w:val="20"/>
        </w:rPr>
      </w:pPr>
    </w:p>
    <w:p w14:paraId="5C83A6B9" w14:textId="32F59D5E" w:rsidR="00BE25B2" w:rsidRDefault="00BE25B2" w:rsidP="00BE25B2">
      <w:pPr>
        <w:tabs>
          <w:tab w:val="left" w:pos="426"/>
        </w:tabs>
        <w:rPr>
          <w:rFonts w:cs="Arial"/>
          <w:szCs w:val="20"/>
        </w:rPr>
      </w:pPr>
      <w:r w:rsidRPr="00F9410B">
        <w:rPr>
          <w:rFonts w:cs="Arial"/>
          <w:szCs w:val="20"/>
        </w:rPr>
        <w:t>1.</w:t>
      </w:r>
      <w:r w:rsidRPr="00F9410B">
        <w:rPr>
          <w:rFonts w:cs="Arial"/>
          <w:szCs w:val="20"/>
        </w:rPr>
        <w:tab/>
        <w:t>Les Parties assurent le développement de méthodes et de programmes pour prévenir le recours à l’isolement et à la contention.</w:t>
      </w:r>
    </w:p>
    <w:p w14:paraId="13A2F625" w14:textId="77777777" w:rsidR="00EA55EE" w:rsidRPr="00F9410B" w:rsidRDefault="00EA55EE" w:rsidP="00BE25B2">
      <w:pPr>
        <w:tabs>
          <w:tab w:val="left" w:pos="426"/>
        </w:tabs>
        <w:rPr>
          <w:rFonts w:cs="Arial"/>
          <w:szCs w:val="20"/>
        </w:rPr>
      </w:pPr>
    </w:p>
    <w:p w14:paraId="419FFBCC" w14:textId="6DC9987E" w:rsidR="00BE25B2" w:rsidRDefault="00BE25B2" w:rsidP="00BE25B2">
      <w:pPr>
        <w:tabs>
          <w:tab w:val="left" w:pos="426"/>
        </w:tabs>
        <w:rPr>
          <w:rFonts w:cs="Arial"/>
          <w:bCs/>
          <w:szCs w:val="20"/>
        </w:rPr>
      </w:pPr>
      <w:r w:rsidRPr="00F9410B">
        <w:rPr>
          <w:rFonts w:cs="Arial"/>
          <w:szCs w:val="20"/>
        </w:rPr>
        <w:t>2.</w:t>
      </w:r>
      <w:r w:rsidRPr="00F9410B">
        <w:rPr>
          <w:rFonts w:cs="Arial"/>
          <w:bCs/>
          <w:szCs w:val="20"/>
        </w:rPr>
        <w:tab/>
        <w:t>Le recours à l’isolement ou à la contention ne doit intervenir, sous réserve des conditions de protection prévues par la loi, qu’afin de prévenir tout dommage grave et</w:t>
      </w:r>
      <w:r w:rsidRPr="00F9410B">
        <w:rPr>
          <w:rFonts w:cs="Arial"/>
          <w:b/>
          <w:bCs/>
          <w:szCs w:val="20"/>
        </w:rPr>
        <w:t xml:space="preserve"> </w:t>
      </w:r>
      <w:r w:rsidRPr="00F9410B">
        <w:rPr>
          <w:rFonts w:cs="Arial"/>
          <w:bCs/>
          <w:szCs w:val="20"/>
        </w:rPr>
        <w:t>imminent pour la personne concernée ou pour autrui. L’isolement et la contention doivent toujours avoir lieu dans un environnement approprié. Conformément au principe de proportionnalité et de nécessité, l’isolement et la contention ne doivent être utilisés qu’en dernier recours et pour une durée limitée à sa stricte nécessité.</w:t>
      </w:r>
    </w:p>
    <w:p w14:paraId="69EC1CAC" w14:textId="77777777" w:rsidR="00EA55EE" w:rsidRPr="00F9410B" w:rsidRDefault="00EA55EE" w:rsidP="00BE25B2">
      <w:pPr>
        <w:tabs>
          <w:tab w:val="left" w:pos="426"/>
        </w:tabs>
        <w:rPr>
          <w:rFonts w:cs="Arial"/>
          <w:bCs/>
          <w:szCs w:val="20"/>
        </w:rPr>
      </w:pPr>
    </w:p>
    <w:p w14:paraId="318B8CDD" w14:textId="2214D8EA" w:rsidR="00BE25B2" w:rsidRDefault="00BE25B2" w:rsidP="00BE25B2">
      <w:pPr>
        <w:tabs>
          <w:tab w:val="left" w:pos="426"/>
        </w:tabs>
        <w:rPr>
          <w:rFonts w:cs="Arial"/>
          <w:bCs/>
          <w:szCs w:val="20"/>
        </w:rPr>
      </w:pPr>
      <w:r w:rsidRPr="00F9410B">
        <w:rPr>
          <w:rFonts w:cs="Arial"/>
          <w:szCs w:val="20"/>
        </w:rPr>
        <w:t>3.</w:t>
      </w:r>
      <w:r w:rsidRPr="00F9410B">
        <w:rPr>
          <w:rFonts w:cs="Arial"/>
          <w:bCs/>
          <w:szCs w:val="20"/>
        </w:rPr>
        <w:tab/>
        <w:t>Tout recours à l’isolement ou à la contention doit être spécifiquement et expressément ordonné par un médecin ou immédiatement porté à l'attention d'un médecin afin d’obtenir son autorisation. La nature et</w:t>
      </w:r>
      <w:r w:rsidRPr="00F9410B">
        <w:rPr>
          <w:rFonts w:cs="Arial"/>
          <w:b/>
          <w:bCs/>
          <w:szCs w:val="20"/>
        </w:rPr>
        <w:t xml:space="preserve"> </w:t>
      </w:r>
      <w:r w:rsidRPr="00F9410B">
        <w:rPr>
          <w:rFonts w:cs="Arial"/>
          <w:bCs/>
          <w:szCs w:val="20"/>
        </w:rPr>
        <w:t>les raisons de tout recours à l’isolement ou à la contention, et la durée de l’application de ces mesures, doivent être consignées dans le dossier médical de la personne, ainsi que spécifiquement enregistrées.</w:t>
      </w:r>
    </w:p>
    <w:p w14:paraId="14D2481A" w14:textId="77777777" w:rsidR="00EA55EE" w:rsidRPr="00F9410B" w:rsidRDefault="00EA55EE" w:rsidP="00BE25B2">
      <w:pPr>
        <w:tabs>
          <w:tab w:val="left" w:pos="426"/>
        </w:tabs>
        <w:rPr>
          <w:rFonts w:cs="Arial"/>
          <w:bCs/>
          <w:szCs w:val="20"/>
        </w:rPr>
      </w:pPr>
    </w:p>
    <w:p w14:paraId="51A7C643" w14:textId="6224BEAC" w:rsidR="00BE25B2" w:rsidRDefault="00BE25B2" w:rsidP="00BE25B2">
      <w:pPr>
        <w:tabs>
          <w:tab w:val="left" w:pos="426"/>
        </w:tabs>
        <w:rPr>
          <w:rFonts w:cs="Arial"/>
          <w:bCs/>
          <w:szCs w:val="20"/>
        </w:rPr>
      </w:pPr>
      <w:r w:rsidRPr="00F9410B">
        <w:rPr>
          <w:rFonts w:cs="Arial"/>
          <w:szCs w:val="20"/>
        </w:rPr>
        <w:t>4.</w:t>
      </w:r>
      <w:r w:rsidRPr="00F9410B">
        <w:rPr>
          <w:rFonts w:cs="Arial"/>
          <w:bCs/>
          <w:szCs w:val="20"/>
        </w:rPr>
        <w:tab/>
        <w:t>Les personnes faisant l’objet d’une mesure d’isolement ou de contention mécanique doivent bénéficier d’une surveillance continue par un membre du personnel ayant une formation appropriée.</w:t>
      </w:r>
    </w:p>
    <w:p w14:paraId="36B3B349" w14:textId="77777777" w:rsidR="00EA55EE" w:rsidRPr="00F9410B" w:rsidRDefault="00EA55EE" w:rsidP="00BE25B2">
      <w:pPr>
        <w:tabs>
          <w:tab w:val="left" w:pos="426"/>
        </w:tabs>
        <w:rPr>
          <w:rFonts w:cs="Arial"/>
          <w:bCs/>
          <w:strike/>
          <w:szCs w:val="20"/>
        </w:rPr>
      </w:pPr>
    </w:p>
    <w:p w14:paraId="2C6DD939" w14:textId="26F1D974" w:rsidR="00BE25B2" w:rsidRDefault="00BE25B2" w:rsidP="00BE25B2">
      <w:pPr>
        <w:tabs>
          <w:tab w:val="left" w:pos="426"/>
        </w:tabs>
        <w:rPr>
          <w:rFonts w:cs="Arial"/>
          <w:bCs/>
          <w:szCs w:val="20"/>
        </w:rPr>
      </w:pPr>
      <w:r w:rsidRPr="00F9410B">
        <w:rPr>
          <w:rFonts w:cs="Arial"/>
          <w:szCs w:val="20"/>
        </w:rPr>
        <w:t>5.</w:t>
      </w:r>
      <w:r w:rsidRPr="00F9410B">
        <w:rPr>
          <w:rFonts w:cs="Arial"/>
          <w:bCs/>
          <w:szCs w:val="20"/>
        </w:rPr>
        <w:tab/>
        <w:t xml:space="preserve">Tout recours à l’isolement ou à la contention peut être soumis aux procédures de plainte prévues à l’article </w:t>
      </w:r>
      <w:r w:rsidRPr="00F9410B">
        <w:rPr>
          <w:rFonts w:cs="Arial"/>
          <w:szCs w:val="20"/>
        </w:rPr>
        <w:t>22</w:t>
      </w:r>
      <w:r w:rsidRPr="00F9410B">
        <w:rPr>
          <w:rFonts w:cs="Arial"/>
          <w:bCs/>
          <w:szCs w:val="20"/>
        </w:rPr>
        <w:t>.</w:t>
      </w:r>
    </w:p>
    <w:p w14:paraId="2D65A9D4" w14:textId="303105CE" w:rsidR="00EA55EE" w:rsidRPr="00580043" w:rsidRDefault="00EA55EE" w:rsidP="00EA55EE">
      <w:pPr>
        <w:rPr>
          <w:rFonts w:cs="Arial"/>
          <w:szCs w:val="20"/>
        </w:rPr>
      </w:pPr>
      <w:r>
        <w:rPr>
          <w:rFonts w:cs="Arial"/>
          <w:szCs w:val="20"/>
        </w:rPr>
        <w:br w:type="page"/>
      </w:r>
    </w:p>
    <w:p w14:paraId="0D33343B" w14:textId="769B864C" w:rsidR="00BE25B2" w:rsidRDefault="00BE25B2" w:rsidP="00BE25B2">
      <w:pPr>
        <w:tabs>
          <w:tab w:val="left" w:pos="426"/>
        </w:tabs>
        <w:rPr>
          <w:rFonts w:cs="Arial"/>
          <w:b/>
          <w:bCs/>
          <w:szCs w:val="20"/>
        </w:rPr>
      </w:pPr>
      <w:r w:rsidRPr="00F9410B">
        <w:rPr>
          <w:rFonts w:cs="Arial"/>
          <w:b/>
          <w:bCs/>
          <w:szCs w:val="20"/>
        </w:rPr>
        <w:t>Article 18</w:t>
      </w:r>
      <w:r w:rsidRPr="00F9410B">
        <w:rPr>
          <w:rFonts w:cs="Arial"/>
          <w:bCs/>
          <w:szCs w:val="20"/>
        </w:rPr>
        <w:t xml:space="preserve"> </w:t>
      </w:r>
      <w:r w:rsidRPr="00F9410B">
        <w:rPr>
          <w:rFonts w:cs="Arial"/>
          <w:b/>
          <w:bCs/>
          <w:strike/>
          <w:szCs w:val="20"/>
        </w:rPr>
        <w:t>–</w:t>
      </w:r>
      <w:r w:rsidRPr="00F9410B">
        <w:rPr>
          <w:rFonts w:cs="Arial"/>
          <w:b/>
          <w:bCs/>
          <w:szCs w:val="20"/>
        </w:rPr>
        <w:t xml:space="preserve"> Traitement visant à produire un effet irréversible</w:t>
      </w:r>
    </w:p>
    <w:p w14:paraId="477C084C" w14:textId="77777777" w:rsidR="00EA55EE" w:rsidRPr="00F9410B" w:rsidRDefault="00EA55EE" w:rsidP="00BE25B2">
      <w:pPr>
        <w:tabs>
          <w:tab w:val="left" w:pos="426"/>
        </w:tabs>
        <w:rPr>
          <w:rFonts w:cs="Arial"/>
          <w:b/>
          <w:bCs/>
          <w:szCs w:val="20"/>
        </w:rPr>
      </w:pPr>
    </w:p>
    <w:p w14:paraId="00676AB8" w14:textId="7C571AA8" w:rsidR="00BE25B2" w:rsidRDefault="00BE25B2" w:rsidP="00BE25B2">
      <w:pPr>
        <w:tabs>
          <w:tab w:val="left" w:pos="426"/>
        </w:tabs>
        <w:rPr>
          <w:rFonts w:cs="Arial"/>
          <w:bCs/>
          <w:szCs w:val="20"/>
        </w:rPr>
      </w:pPr>
      <w:r w:rsidRPr="00F9410B">
        <w:rPr>
          <w:rFonts w:cs="Arial"/>
          <w:bCs/>
          <w:szCs w:val="20"/>
        </w:rPr>
        <w:t>Le recours à un traitement qui vise à produire un effet physique irréversible ne doit pas être utilisé dans le contexte de mesures involontaires.</w:t>
      </w:r>
    </w:p>
    <w:p w14:paraId="59A82AEB" w14:textId="63B876DE" w:rsidR="00EA55EE" w:rsidRDefault="00EA55EE">
      <w:pPr>
        <w:rPr>
          <w:rFonts w:cs="Arial"/>
          <w:b/>
          <w:bCs/>
          <w:szCs w:val="20"/>
          <w:u w:val="single"/>
        </w:rPr>
      </w:pPr>
    </w:p>
    <w:p w14:paraId="1A75B990" w14:textId="699A25C7" w:rsidR="00BE25B2" w:rsidRDefault="00BE25B2" w:rsidP="00BE25B2">
      <w:pPr>
        <w:tabs>
          <w:tab w:val="left" w:pos="426"/>
        </w:tabs>
        <w:rPr>
          <w:rFonts w:cs="Arial"/>
          <w:b/>
          <w:bCs/>
          <w:szCs w:val="20"/>
          <w:u w:val="single"/>
        </w:rPr>
      </w:pPr>
      <w:r w:rsidRPr="00F9410B">
        <w:rPr>
          <w:rFonts w:cs="Arial"/>
          <w:b/>
          <w:bCs/>
          <w:szCs w:val="20"/>
          <w:u w:val="single"/>
        </w:rPr>
        <w:t>Chapitre VII – Information et communication</w:t>
      </w:r>
    </w:p>
    <w:p w14:paraId="6DCCD216" w14:textId="77777777" w:rsidR="00EA55EE" w:rsidRPr="00F9410B" w:rsidRDefault="00EA55EE" w:rsidP="00BE25B2">
      <w:pPr>
        <w:tabs>
          <w:tab w:val="left" w:pos="426"/>
        </w:tabs>
        <w:rPr>
          <w:rFonts w:cs="Arial"/>
          <w:b/>
          <w:bCs/>
          <w:szCs w:val="20"/>
          <w:u w:val="single"/>
        </w:rPr>
      </w:pPr>
    </w:p>
    <w:p w14:paraId="315C7CF1" w14:textId="65A48CC0" w:rsidR="00BE25B2" w:rsidRDefault="00BE25B2" w:rsidP="00BE25B2">
      <w:pPr>
        <w:tabs>
          <w:tab w:val="left" w:pos="426"/>
        </w:tabs>
        <w:rPr>
          <w:rFonts w:cs="Arial"/>
          <w:b/>
          <w:bCs/>
          <w:szCs w:val="20"/>
        </w:rPr>
      </w:pPr>
      <w:r w:rsidRPr="00F9410B">
        <w:rPr>
          <w:rFonts w:cs="Arial"/>
          <w:b/>
          <w:bCs/>
          <w:szCs w:val="20"/>
        </w:rPr>
        <w:t>Article 19</w:t>
      </w:r>
      <w:r w:rsidRPr="00F9410B">
        <w:rPr>
          <w:rFonts w:cs="Arial"/>
          <w:bCs/>
          <w:szCs w:val="20"/>
        </w:rPr>
        <w:t xml:space="preserve"> </w:t>
      </w:r>
      <w:r w:rsidRPr="00F9410B">
        <w:rPr>
          <w:rFonts w:cs="Arial"/>
          <w:b/>
          <w:bCs/>
          <w:szCs w:val="20"/>
        </w:rPr>
        <w:t>– Droit à l’information</w:t>
      </w:r>
    </w:p>
    <w:p w14:paraId="74B89E34" w14:textId="77777777" w:rsidR="00EA55EE" w:rsidRPr="00F9410B" w:rsidRDefault="00EA55EE" w:rsidP="00BE25B2">
      <w:pPr>
        <w:tabs>
          <w:tab w:val="left" w:pos="426"/>
        </w:tabs>
        <w:rPr>
          <w:rFonts w:cs="Arial"/>
          <w:b/>
          <w:bCs/>
          <w:szCs w:val="20"/>
        </w:rPr>
      </w:pPr>
    </w:p>
    <w:p w14:paraId="4431F12A" w14:textId="23835B3B" w:rsidR="00BE25B2" w:rsidRDefault="00BE25B2" w:rsidP="00BE25B2">
      <w:pPr>
        <w:tabs>
          <w:tab w:val="left" w:pos="426"/>
        </w:tabs>
        <w:rPr>
          <w:rFonts w:cs="Arial"/>
          <w:szCs w:val="20"/>
        </w:rPr>
      </w:pPr>
      <w:r w:rsidRPr="00F9410B">
        <w:rPr>
          <w:rFonts w:cs="Arial"/>
          <w:szCs w:val="20"/>
        </w:rPr>
        <w:t>1.</w:t>
      </w:r>
      <w:r w:rsidRPr="00F9410B">
        <w:rPr>
          <w:rFonts w:cs="Arial"/>
          <w:szCs w:val="20"/>
        </w:rPr>
        <w:tab/>
        <w:t>Une information appropriée concernant leurs droits relatifs</w:t>
      </w:r>
      <w:r w:rsidRPr="00F9410B">
        <w:rPr>
          <w:rFonts w:cs="Arial"/>
          <w:b/>
          <w:szCs w:val="20"/>
        </w:rPr>
        <w:t xml:space="preserve"> </w:t>
      </w:r>
      <w:r w:rsidRPr="00F9410B">
        <w:rPr>
          <w:rFonts w:cs="Arial"/>
          <w:szCs w:val="20"/>
        </w:rPr>
        <w:t>à la/aux mesure(s) involontaire(s) et les voies de recours qui leur sont ouvertes doivent être fournies dans le plus court délai aux personnes faisant l’objet de telles mesures</w:t>
      </w:r>
      <w:r w:rsidRPr="00F9410B">
        <w:rPr>
          <w:rFonts w:cs="Arial"/>
          <w:b/>
          <w:szCs w:val="20"/>
        </w:rPr>
        <w:t xml:space="preserve"> </w:t>
      </w:r>
      <w:r w:rsidRPr="00F9410B">
        <w:rPr>
          <w:rFonts w:cs="Arial"/>
          <w:szCs w:val="20"/>
        </w:rPr>
        <w:t>et à toute personne leur fournissant de l’aide juridique, à tout</w:t>
      </w:r>
      <w:r w:rsidRPr="00F9410B">
        <w:rPr>
          <w:rFonts w:cs="Arial"/>
          <w:b/>
          <w:szCs w:val="20"/>
        </w:rPr>
        <w:t xml:space="preserve"> </w:t>
      </w:r>
      <w:r w:rsidRPr="00F9410B">
        <w:rPr>
          <w:rFonts w:cs="Arial"/>
          <w:szCs w:val="20"/>
        </w:rPr>
        <w:t>représentant et à toute personne de confiance.</w:t>
      </w:r>
    </w:p>
    <w:p w14:paraId="014FA275" w14:textId="77777777" w:rsidR="00EA55EE" w:rsidRPr="00F9410B" w:rsidRDefault="00EA55EE" w:rsidP="00BE25B2">
      <w:pPr>
        <w:tabs>
          <w:tab w:val="left" w:pos="426"/>
        </w:tabs>
        <w:rPr>
          <w:rFonts w:cs="Arial"/>
          <w:szCs w:val="20"/>
        </w:rPr>
      </w:pPr>
    </w:p>
    <w:p w14:paraId="4AFDAC7A" w14:textId="67180292" w:rsidR="00BE25B2" w:rsidRDefault="00BE25B2" w:rsidP="00BE25B2">
      <w:pPr>
        <w:tabs>
          <w:tab w:val="left" w:pos="426"/>
        </w:tabs>
        <w:rPr>
          <w:rFonts w:cs="Arial"/>
          <w:szCs w:val="20"/>
        </w:rPr>
      </w:pPr>
      <w:r w:rsidRPr="00F9410B">
        <w:rPr>
          <w:rFonts w:cs="Arial"/>
          <w:szCs w:val="20"/>
        </w:rPr>
        <w:t>2.</w:t>
      </w:r>
      <w:r w:rsidRPr="00F9410B">
        <w:rPr>
          <w:rFonts w:cs="Arial"/>
          <w:szCs w:val="20"/>
        </w:rPr>
        <w:tab/>
        <w:t>Les personnes concernées, tout représentant et toute personne leur fournissant de l’aide juridique</w:t>
      </w:r>
      <w:r w:rsidRPr="00F9410B">
        <w:rPr>
          <w:rFonts w:cs="Arial"/>
          <w:bCs/>
          <w:szCs w:val="20"/>
        </w:rPr>
        <w:t xml:space="preserve"> </w:t>
      </w:r>
      <w:r w:rsidRPr="00F9410B">
        <w:rPr>
          <w:rFonts w:cs="Arial"/>
          <w:szCs w:val="20"/>
        </w:rPr>
        <w:t>sont informés régulièrement et de manière appropriée des motifs</w:t>
      </w:r>
      <w:r w:rsidRPr="00F9410B">
        <w:rPr>
          <w:rFonts w:cs="Arial"/>
          <w:b/>
          <w:szCs w:val="20"/>
        </w:rPr>
        <w:t xml:space="preserve"> </w:t>
      </w:r>
      <w:r w:rsidRPr="00F9410B">
        <w:rPr>
          <w:rFonts w:cs="Arial"/>
          <w:szCs w:val="20"/>
        </w:rPr>
        <w:t>de la mesure</w:t>
      </w:r>
      <w:r w:rsidRPr="00F9410B">
        <w:rPr>
          <w:rFonts w:cs="Arial"/>
          <w:bCs/>
          <w:szCs w:val="20"/>
        </w:rPr>
        <w:t xml:space="preserve"> </w:t>
      </w:r>
      <w:r w:rsidRPr="00F9410B">
        <w:rPr>
          <w:rFonts w:cs="Arial"/>
          <w:szCs w:val="20"/>
        </w:rPr>
        <w:t>et des critères justifiant son prolongement éventuel ou sa levée, et reçoivent communication des copies de toutes les décisions pertinentes. La loi peut prévoir que la personne de confiance reçoive également cette information.</w:t>
      </w:r>
    </w:p>
    <w:p w14:paraId="1F27915B" w14:textId="77777777" w:rsidR="00EA55EE" w:rsidRPr="00F9410B" w:rsidRDefault="00EA55EE" w:rsidP="00BE25B2">
      <w:pPr>
        <w:tabs>
          <w:tab w:val="left" w:pos="426"/>
        </w:tabs>
        <w:rPr>
          <w:rFonts w:cs="Arial"/>
          <w:szCs w:val="20"/>
        </w:rPr>
      </w:pPr>
    </w:p>
    <w:p w14:paraId="00CEA475" w14:textId="4C0007BB" w:rsidR="00BE25B2" w:rsidRDefault="00BE25B2" w:rsidP="00BE25B2">
      <w:pPr>
        <w:tabs>
          <w:tab w:val="left" w:pos="426"/>
        </w:tabs>
        <w:rPr>
          <w:rFonts w:cs="Arial"/>
          <w:bCs/>
          <w:szCs w:val="20"/>
        </w:rPr>
      </w:pPr>
      <w:r w:rsidRPr="00F9410B">
        <w:rPr>
          <w:rFonts w:cs="Arial"/>
          <w:bCs/>
          <w:szCs w:val="20"/>
        </w:rPr>
        <w:t>3.</w:t>
      </w:r>
      <w:r w:rsidRPr="00F9410B">
        <w:rPr>
          <w:rFonts w:cs="Arial"/>
          <w:bCs/>
          <w:szCs w:val="20"/>
        </w:rPr>
        <w:tab/>
      </w:r>
      <w:r w:rsidRPr="00F9410B">
        <w:rPr>
          <w:rFonts w:cs="Arial"/>
          <w:szCs w:val="20"/>
        </w:rPr>
        <w:t>Les personnes fournissant de l’aide juridique aux personnes concernées, les représentants de ces dernières et leur personne de confiance</w:t>
      </w:r>
      <w:r w:rsidRPr="00F9410B">
        <w:rPr>
          <w:rFonts w:cs="Arial"/>
          <w:bCs/>
          <w:szCs w:val="20"/>
        </w:rPr>
        <w:t xml:space="preserve"> doivent être informés dans les plus courts délais de tout recours à la contention ou à l’isolement.</w:t>
      </w:r>
    </w:p>
    <w:p w14:paraId="38356933" w14:textId="77777777" w:rsidR="00EA55EE" w:rsidRPr="00F9410B" w:rsidRDefault="00EA55EE" w:rsidP="00BE25B2">
      <w:pPr>
        <w:tabs>
          <w:tab w:val="left" w:pos="426"/>
        </w:tabs>
        <w:rPr>
          <w:rFonts w:cs="Arial"/>
          <w:bCs/>
          <w:szCs w:val="20"/>
        </w:rPr>
      </w:pPr>
    </w:p>
    <w:p w14:paraId="1287D1B5" w14:textId="7411A251" w:rsidR="00BE25B2" w:rsidRDefault="00BE25B2" w:rsidP="00BE25B2">
      <w:pPr>
        <w:tabs>
          <w:tab w:val="left" w:pos="426"/>
        </w:tabs>
        <w:rPr>
          <w:rFonts w:cs="Arial"/>
          <w:b/>
          <w:bCs/>
          <w:szCs w:val="20"/>
        </w:rPr>
      </w:pPr>
      <w:r w:rsidRPr="00F9410B">
        <w:rPr>
          <w:rFonts w:cs="Arial"/>
          <w:b/>
          <w:bCs/>
          <w:szCs w:val="20"/>
        </w:rPr>
        <w:t>Article 20</w:t>
      </w:r>
      <w:r w:rsidRPr="00F9410B">
        <w:rPr>
          <w:rFonts w:cs="Arial"/>
          <w:iCs/>
          <w:szCs w:val="20"/>
        </w:rPr>
        <w:t xml:space="preserve"> </w:t>
      </w:r>
      <w:r w:rsidRPr="00F9410B">
        <w:rPr>
          <w:rFonts w:cs="Arial"/>
          <w:b/>
          <w:bCs/>
          <w:szCs w:val="20"/>
        </w:rPr>
        <w:t>– Droit à la communication</w:t>
      </w:r>
    </w:p>
    <w:p w14:paraId="638CE0A1" w14:textId="77777777" w:rsidR="00EA55EE" w:rsidRPr="00F9410B" w:rsidRDefault="00EA55EE" w:rsidP="00BE25B2">
      <w:pPr>
        <w:tabs>
          <w:tab w:val="left" w:pos="426"/>
        </w:tabs>
        <w:rPr>
          <w:rFonts w:cs="Arial"/>
          <w:b/>
          <w:bCs/>
          <w:strike/>
          <w:szCs w:val="20"/>
        </w:rPr>
      </w:pPr>
    </w:p>
    <w:p w14:paraId="7F84BEE1" w14:textId="2E926D36" w:rsidR="00BE25B2" w:rsidRDefault="00BE25B2" w:rsidP="00BE25B2">
      <w:pPr>
        <w:tabs>
          <w:tab w:val="left" w:pos="426"/>
        </w:tabs>
        <w:rPr>
          <w:rFonts w:cs="Arial"/>
          <w:bCs/>
          <w:szCs w:val="20"/>
        </w:rPr>
      </w:pPr>
      <w:r w:rsidRPr="00F9410B">
        <w:rPr>
          <w:rFonts w:cs="Arial"/>
          <w:bCs/>
          <w:szCs w:val="20"/>
        </w:rPr>
        <w:t>1.</w:t>
      </w:r>
      <w:r w:rsidRPr="00F9410B">
        <w:rPr>
          <w:rFonts w:cs="Arial"/>
          <w:bCs/>
          <w:szCs w:val="20"/>
        </w:rPr>
        <w:tab/>
        <w:t>Dans le cadre des mesures</w:t>
      </w:r>
      <w:r w:rsidRPr="00F9410B">
        <w:rPr>
          <w:rFonts w:cs="Arial"/>
          <w:b/>
          <w:bCs/>
          <w:szCs w:val="20"/>
        </w:rPr>
        <w:t xml:space="preserve"> </w:t>
      </w:r>
      <w:r w:rsidRPr="00F9410B">
        <w:rPr>
          <w:rFonts w:cs="Arial"/>
          <w:bCs/>
          <w:szCs w:val="20"/>
        </w:rPr>
        <w:t xml:space="preserve">involontaires, les personnes concernées ont le droit de communiquer sans restriction avec toute personne leur fournissant de l’aide juridique, tout représentant ou tout organe </w:t>
      </w:r>
      <w:r w:rsidRPr="00F9410B">
        <w:rPr>
          <w:rStyle w:val="hps"/>
          <w:rFonts w:cs="Arial"/>
          <w:szCs w:val="20"/>
        </w:rPr>
        <w:t>officiel</w:t>
      </w:r>
      <w:r w:rsidRPr="00F9410B">
        <w:rPr>
          <w:rFonts w:cs="Arial"/>
          <w:szCs w:val="20"/>
        </w:rPr>
        <w:t xml:space="preserve"> </w:t>
      </w:r>
      <w:r w:rsidRPr="00F9410B">
        <w:rPr>
          <w:rStyle w:val="hps"/>
          <w:rFonts w:cs="Arial"/>
          <w:szCs w:val="20"/>
        </w:rPr>
        <w:t>chargé de la protection</w:t>
      </w:r>
      <w:r w:rsidRPr="00F9410B">
        <w:rPr>
          <w:rFonts w:cs="Arial"/>
          <w:szCs w:val="20"/>
        </w:rPr>
        <w:t xml:space="preserve"> </w:t>
      </w:r>
      <w:r w:rsidRPr="00F9410B">
        <w:rPr>
          <w:rStyle w:val="hps"/>
          <w:rFonts w:cs="Arial"/>
          <w:szCs w:val="20"/>
        </w:rPr>
        <w:t>des droits des</w:t>
      </w:r>
      <w:r w:rsidRPr="00F9410B">
        <w:rPr>
          <w:rFonts w:cs="Arial"/>
          <w:szCs w:val="20"/>
        </w:rPr>
        <w:t xml:space="preserve"> </w:t>
      </w:r>
      <w:r w:rsidRPr="00F9410B">
        <w:rPr>
          <w:rStyle w:val="hps"/>
          <w:rFonts w:cs="Arial"/>
          <w:szCs w:val="20"/>
        </w:rPr>
        <w:t>personnes faisant l’objet de mesures</w:t>
      </w:r>
      <w:r w:rsidRPr="00F9410B">
        <w:rPr>
          <w:rFonts w:cs="Arial"/>
          <w:szCs w:val="20"/>
        </w:rPr>
        <w:t xml:space="preserve"> </w:t>
      </w:r>
      <w:r w:rsidRPr="00F9410B">
        <w:rPr>
          <w:rStyle w:val="hps"/>
          <w:rFonts w:cs="Arial"/>
          <w:szCs w:val="20"/>
        </w:rPr>
        <w:t>involontaires</w:t>
      </w:r>
      <w:r w:rsidRPr="00F9410B">
        <w:rPr>
          <w:rFonts w:cs="Arial"/>
          <w:bCs/>
          <w:szCs w:val="20"/>
        </w:rPr>
        <w:t>.</w:t>
      </w:r>
    </w:p>
    <w:p w14:paraId="42747999" w14:textId="77777777" w:rsidR="00EA55EE" w:rsidRPr="00F9410B" w:rsidRDefault="00EA55EE" w:rsidP="00BE25B2">
      <w:pPr>
        <w:tabs>
          <w:tab w:val="left" w:pos="426"/>
        </w:tabs>
        <w:rPr>
          <w:rFonts w:cs="Arial"/>
          <w:bCs/>
          <w:szCs w:val="20"/>
        </w:rPr>
      </w:pPr>
    </w:p>
    <w:p w14:paraId="229BB6F0" w14:textId="0969B947" w:rsidR="00BE25B2" w:rsidRDefault="00BE25B2" w:rsidP="00BE25B2">
      <w:pPr>
        <w:tabs>
          <w:tab w:val="left" w:pos="426"/>
        </w:tabs>
        <w:rPr>
          <w:rFonts w:cs="Arial"/>
          <w:bCs/>
          <w:szCs w:val="20"/>
        </w:rPr>
      </w:pPr>
      <w:r w:rsidRPr="00F9410B">
        <w:rPr>
          <w:rFonts w:cs="Arial"/>
          <w:bCs/>
          <w:szCs w:val="20"/>
        </w:rPr>
        <w:t>2.</w:t>
      </w:r>
      <w:r w:rsidRPr="00F9410B">
        <w:rPr>
          <w:rFonts w:cs="Arial"/>
          <w:bCs/>
          <w:szCs w:val="20"/>
        </w:rPr>
        <w:tab/>
        <w:t>Les personnes concernées ont aussi le droit de communiquer avec leur personne de confiance et avec des personnes et organes autres que ceux mentionnés au paragraphe 1. Ce droit ne peut être limité que dans la mesure où cela est nécessaire pour protéger la santé et la sécurité de la personne concernée.</w:t>
      </w:r>
    </w:p>
    <w:p w14:paraId="37F59257" w14:textId="77777777" w:rsidR="00EA55EE" w:rsidRPr="00F9410B" w:rsidRDefault="00EA55EE" w:rsidP="00BE25B2">
      <w:pPr>
        <w:tabs>
          <w:tab w:val="left" w:pos="426"/>
        </w:tabs>
        <w:rPr>
          <w:rFonts w:cs="Arial"/>
          <w:bCs/>
          <w:szCs w:val="20"/>
        </w:rPr>
      </w:pPr>
    </w:p>
    <w:p w14:paraId="4AC5D45A" w14:textId="62FBDA43" w:rsidR="00BE25B2" w:rsidRDefault="00BE25B2" w:rsidP="00BE25B2">
      <w:pPr>
        <w:rPr>
          <w:rFonts w:cs="Arial"/>
          <w:b/>
          <w:szCs w:val="20"/>
          <w:u w:val="single"/>
        </w:rPr>
      </w:pPr>
      <w:r w:rsidRPr="00F9410B">
        <w:rPr>
          <w:rFonts w:cs="Arial"/>
          <w:b/>
          <w:szCs w:val="20"/>
          <w:u w:val="single"/>
        </w:rPr>
        <w:t xml:space="preserve">Chapitre VIII – </w:t>
      </w:r>
      <w:r w:rsidRPr="00F9410B">
        <w:rPr>
          <w:rFonts w:cs="Arial"/>
          <w:b/>
          <w:bCs/>
          <w:szCs w:val="20"/>
          <w:u w:val="single"/>
        </w:rPr>
        <w:t>Archivage, procédures de plainte</w:t>
      </w:r>
      <w:r w:rsidRPr="00F9410B">
        <w:rPr>
          <w:rFonts w:cs="Arial"/>
          <w:b/>
          <w:szCs w:val="20"/>
          <w:u w:val="single"/>
        </w:rPr>
        <w:t xml:space="preserve"> et suivi </w:t>
      </w:r>
    </w:p>
    <w:p w14:paraId="72F12131" w14:textId="77777777" w:rsidR="00EA55EE" w:rsidRPr="00F9410B" w:rsidRDefault="00EA55EE" w:rsidP="00BE25B2">
      <w:pPr>
        <w:rPr>
          <w:rFonts w:cs="Arial"/>
          <w:b/>
          <w:szCs w:val="20"/>
          <w:u w:val="single"/>
        </w:rPr>
      </w:pPr>
    </w:p>
    <w:p w14:paraId="22705F42" w14:textId="27934160" w:rsidR="00BE25B2" w:rsidRDefault="00BE25B2" w:rsidP="00BE25B2">
      <w:pPr>
        <w:tabs>
          <w:tab w:val="left" w:pos="426"/>
        </w:tabs>
        <w:rPr>
          <w:rFonts w:cs="Arial"/>
          <w:b/>
          <w:bCs/>
          <w:szCs w:val="20"/>
        </w:rPr>
      </w:pPr>
      <w:r w:rsidRPr="00F9410B">
        <w:rPr>
          <w:rFonts w:cs="Arial"/>
          <w:b/>
          <w:bCs/>
          <w:szCs w:val="20"/>
        </w:rPr>
        <w:t>Article 21 – Archivage</w:t>
      </w:r>
    </w:p>
    <w:p w14:paraId="573FBAFE" w14:textId="77777777" w:rsidR="00EA55EE" w:rsidRPr="00F9410B" w:rsidRDefault="00EA55EE" w:rsidP="00BE25B2">
      <w:pPr>
        <w:tabs>
          <w:tab w:val="left" w:pos="426"/>
        </w:tabs>
        <w:rPr>
          <w:rFonts w:cs="Arial"/>
          <w:b/>
          <w:bCs/>
          <w:szCs w:val="20"/>
        </w:rPr>
      </w:pPr>
    </w:p>
    <w:p w14:paraId="4C03234B" w14:textId="2A20010B" w:rsidR="00BE25B2" w:rsidRDefault="00BE25B2" w:rsidP="00BE25B2">
      <w:pPr>
        <w:tabs>
          <w:tab w:val="left" w:pos="426"/>
        </w:tabs>
        <w:rPr>
          <w:rFonts w:cs="Arial"/>
          <w:szCs w:val="20"/>
        </w:rPr>
      </w:pPr>
      <w:r w:rsidRPr="00F9410B">
        <w:rPr>
          <w:rFonts w:cs="Arial"/>
          <w:szCs w:val="20"/>
        </w:rPr>
        <w:t xml:space="preserve">Des dossiers médicaux et administratifs exhaustifs sont établis pour toutes les personnes faisant l’objet d’un placement et/ou </w:t>
      </w:r>
      <w:proofErr w:type="gramStart"/>
      <w:r w:rsidRPr="00F9410B">
        <w:rPr>
          <w:rFonts w:cs="Arial"/>
          <w:szCs w:val="20"/>
        </w:rPr>
        <w:t>d’un traitement involontaires</w:t>
      </w:r>
      <w:proofErr w:type="gramEnd"/>
      <w:r w:rsidRPr="00F9410B">
        <w:rPr>
          <w:rFonts w:cs="Arial"/>
          <w:szCs w:val="20"/>
        </w:rPr>
        <w:t>. Les conditions d’accès à ces informations et leur période de conservation sont définies par la loi.</w:t>
      </w:r>
    </w:p>
    <w:p w14:paraId="28D4C0D0" w14:textId="77777777" w:rsidR="00EA55EE" w:rsidRPr="00F9410B" w:rsidRDefault="00EA55EE" w:rsidP="00BE25B2">
      <w:pPr>
        <w:tabs>
          <w:tab w:val="left" w:pos="426"/>
        </w:tabs>
        <w:rPr>
          <w:rFonts w:cs="Arial"/>
          <w:szCs w:val="20"/>
        </w:rPr>
      </w:pPr>
    </w:p>
    <w:p w14:paraId="2F6DD68E" w14:textId="42F5882D" w:rsidR="00BE25B2" w:rsidRDefault="00BE25B2" w:rsidP="00BE25B2">
      <w:pPr>
        <w:rPr>
          <w:rFonts w:cs="Arial"/>
          <w:b/>
          <w:bCs/>
          <w:szCs w:val="20"/>
        </w:rPr>
      </w:pPr>
      <w:r w:rsidRPr="00F9410B">
        <w:rPr>
          <w:rFonts w:cs="Arial"/>
          <w:b/>
          <w:bCs/>
          <w:szCs w:val="20"/>
        </w:rPr>
        <w:t>Article 22</w:t>
      </w:r>
      <w:r w:rsidRPr="00F9410B">
        <w:rPr>
          <w:rFonts w:cs="Arial"/>
          <w:bCs/>
          <w:iCs/>
          <w:szCs w:val="20"/>
        </w:rPr>
        <w:t xml:space="preserve"> </w:t>
      </w:r>
      <w:r w:rsidRPr="00F9410B">
        <w:rPr>
          <w:rFonts w:cs="Arial"/>
          <w:b/>
          <w:bCs/>
          <w:szCs w:val="20"/>
        </w:rPr>
        <w:t>– Procédures de plainte</w:t>
      </w:r>
    </w:p>
    <w:p w14:paraId="60760162" w14:textId="77777777" w:rsidR="00EA55EE" w:rsidRPr="00F9410B" w:rsidRDefault="00EA55EE" w:rsidP="00BE25B2">
      <w:pPr>
        <w:rPr>
          <w:rFonts w:cs="Arial"/>
          <w:b/>
          <w:bCs/>
          <w:szCs w:val="20"/>
        </w:rPr>
      </w:pPr>
    </w:p>
    <w:p w14:paraId="23CCC50D" w14:textId="04F5BFC9" w:rsidR="00BE25B2" w:rsidRDefault="00BE25B2" w:rsidP="00BE25B2">
      <w:pPr>
        <w:rPr>
          <w:rFonts w:cs="Arial"/>
          <w:szCs w:val="20"/>
        </w:rPr>
      </w:pPr>
      <w:r w:rsidRPr="00F9410B">
        <w:rPr>
          <w:rFonts w:cs="Arial"/>
          <w:szCs w:val="20"/>
        </w:rPr>
        <w:t>Les Parties s’assurent que les personnes faisant l’objet d’une mesure involontaire, avec le soutien de leur personne de confiance si une telle personne a été désignée, ainsi que toute personne leur fournissant de l’aide juridique et tout représentant ont accès à une procédure de plaintes efficace, tant au sein de l’instance compétente qu'auprès d’un organisme externe indépendant, concernant les questions liées à la mise en œuvre de mesures involontaires qui ne sont pas couvertes par les procédures prévues à l'article</w:t>
      </w:r>
      <w:r w:rsidRPr="00F9410B">
        <w:rPr>
          <w:rFonts w:cs="Arial"/>
          <w:bCs/>
          <w:szCs w:val="20"/>
        </w:rPr>
        <w:t xml:space="preserve"> 16</w:t>
      </w:r>
      <w:r w:rsidRPr="00F9410B">
        <w:rPr>
          <w:rFonts w:cs="Arial"/>
          <w:szCs w:val="20"/>
        </w:rPr>
        <w:t>.</w:t>
      </w:r>
    </w:p>
    <w:p w14:paraId="62CB3BCA" w14:textId="77777777" w:rsidR="00EA55EE" w:rsidRPr="00F9410B" w:rsidRDefault="00EA55EE" w:rsidP="00BE25B2">
      <w:pPr>
        <w:rPr>
          <w:rFonts w:cs="Arial"/>
          <w:szCs w:val="20"/>
        </w:rPr>
      </w:pPr>
    </w:p>
    <w:p w14:paraId="01B057CC" w14:textId="29C18FF2" w:rsidR="00BE25B2" w:rsidRDefault="00BE25B2" w:rsidP="00BE25B2">
      <w:pPr>
        <w:tabs>
          <w:tab w:val="left" w:pos="426"/>
        </w:tabs>
        <w:outlineLvl w:val="0"/>
        <w:rPr>
          <w:rFonts w:cs="Arial"/>
          <w:b/>
          <w:bCs/>
          <w:szCs w:val="20"/>
        </w:rPr>
      </w:pPr>
      <w:r w:rsidRPr="00F9410B">
        <w:rPr>
          <w:rFonts w:cs="Arial"/>
          <w:b/>
          <w:bCs/>
          <w:szCs w:val="20"/>
        </w:rPr>
        <w:t>Article 23</w:t>
      </w:r>
      <w:r w:rsidRPr="00F9410B">
        <w:rPr>
          <w:rFonts w:cs="Arial"/>
          <w:bCs/>
          <w:szCs w:val="20"/>
        </w:rPr>
        <w:t xml:space="preserve"> </w:t>
      </w:r>
      <w:r w:rsidRPr="00F9410B">
        <w:rPr>
          <w:rFonts w:cs="Arial"/>
          <w:b/>
          <w:bCs/>
          <w:szCs w:val="20"/>
        </w:rPr>
        <w:t>– Suivi</w:t>
      </w:r>
    </w:p>
    <w:p w14:paraId="01BC0F69" w14:textId="77777777" w:rsidR="00EA55EE" w:rsidRPr="00F9410B" w:rsidRDefault="00EA55EE" w:rsidP="00BE25B2">
      <w:pPr>
        <w:tabs>
          <w:tab w:val="left" w:pos="426"/>
        </w:tabs>
        <w:outlineLvl w:val="0"/>
        <w:rPr>
          <w:rFonts w:cs="Arial"/>
          <w:b/>
          <w:bCs/>
          <w:szCs w:val="20"/>
        </w:rPr>
      </w:pPr>
    </w:p>
    <w:p w14:paraId="6524D8F1" w14:textId="26A7D01D" w:rsidR="00BE25B2" w:rsidRDefault="00BE25B2" w:rsidP="00BE25B2">
      <w:pPr>
        <w:widowControl w:val="0"/>
        <w:numPr>
          <w:ilvl w:val="0"/>
          <w:numId w:val="47"/>
        </w:numPr>
        <w:tabs>
          <w:tab w:val="left" w:pos="426"/>
        </w:tabs>
        <w:ind w:left="0" w:firstLine="0"/>
        <w:rPr>
          <w:rFonts w:cs="Arial"/>
          <w:bCs/>
          <w:szCs w:val="20"/>
        </w:rPr>
      </w:pPr>
      <w:r w:rsidRPr="00F9410B">
        <w:rPr>
          <w:rFonts w:cs="Arial"/>
          <w:bCs/>
          <w:szCs w:val="20"/>
        </w:rPr>
        <w:t xml:space="preserve">Les Parties s’assurent que le respect des dispositions du présent Protocole fait l’objet d’un suivi indépendant approprié. </w:t>
      </w:r>
    </w:p>
    <w:p w14:paraId="0EE7BF62" w14:textId="77777777" w:rsidR="00EA55EE" w:rsidRPr="00F9410B" w:rsidRDefault="00EA55EE" w:rsidP="00EA55EE">
      <w:pPr>
        <w:widowControl w:val="0"/>
        <w:tabs>
          <w:tab w:val="left" w:pos="426"/>
        </w:tabs>
        <w:rPr>
          <w:rFonts w:cs="Arial"/>
          <w:bCs/>
          <w:szCs w:val="20"/>
        </w:rPr>
      </w:pPr>
    </w:p>
    <w:p w14:paraId="51A3795B" w14:textId="6BA5CAB8" w:rsidR="00BE25B2" w:rsidRDefault="00BE25B2" w:rsidP="00BE25B2">
      <w:pPr>
        <w:widowControl w:val="0"/>
        <w:numPr>
          <w:ilvl w:val="0"/>
          <w:numId w:val="47"/>
        </w:numPr>
        <w:tabs>
          <w:tab w:val="left" w:pos="426"/>
        </w:tabs>
        <w:ind w:left="0" w:firstLine="0"/>
        <w:rPr>
          <w:rFonts w:cs="Arial"/>
          <w:szCs w:val="20"/>
        </w:rPr>
      </w:pPr>
      <w:r w:rsidRPr="00F9410B">
        <w:rPr>
          <w:rFonts w:cs="Arial"/>
          <w:bCs/>
          <w:szCs w:val="20"/>
        </w:rPr>
        <w:t xml:space="preserve">Les établissements </w:t>
      </w:r>
      <w:r w:rsidRPr="00F9410B">
        <w:rPr>
          <w:rFonts w:cs="Arial"/>
          <w:szCs w:val="20"/>
        </w:rPr>
        <w:t>utilisés</w:t>
      </w:r>
      <w:r w:rsidRPr="00F9410B">
        <w:rPr>
          <w:rFonts w:cs="Arial"/>
          <w:bCs/>
          <w:szCs w:val="20"/>
        </w:rPr>
        <w:t xml:space="preserve"> pour le placement involontaire de personnes </w:t>
      </w:r>
      <w:r w:rsidRPr="00F9410B">
        <w:rPr>
          <w:rFonts w:cs="Arial"/>
          <w:bCs/>
          <w:color w:val="222222"/>
          <w:szCs w:val="20"/>
        </w:rPr>
        <w:t>au sein de services de soins de santé mentale</w:t>
      </w:r>
      <w:r w:rsidRPr="00F9410B">
        <w:rPr>
          <w:rFonts w:cs="Arial"/>
          <w:bCs/>
          <w:szCs w:val="20"/>
        </w:rPr>
        <w:t xml:space="preserve"> sont enregistrés auprès d’une autorité appropriée et sont soumis à </w:t>
      </w:r>
      <w:r w:rsidRPr="00F9410B">
        <w:rPr>
          <w:rFonts w:cs="Arial"/>
          <w:szCs w:val="20"/>
        </w:rPr>
        <w:t>des inspections indépendantes et systématiques.</w:t>
      </w:r>
      <w:r w:rsidRPr="00F9410B" w:rsidDel="0031495D">
        <w:rPr>
          <w:rFonts w:cs="Arial"/>
          <w:szCs w:val="20"/>
        </w:rPr>
        <w:t xml:space="preserve"> </w:t>
      </w:r>
    </w:p>
    <w:p w14:paraId="525EF6EB" w14:textId="77777777" w:rsidR="00EA55EE" w:rsidRPr="00F9410B" w:rsidRDefault="00EA55EE" w:rsidP="00EA55EE">
      <w:pPr>
        <w:widowControl w:val="0"/>
        <w:tabs>
          <w:tab w:val="left" w:pos="426"/>
        </w:tabs>
        <w:rPr>
          <w:rFonts w:cs="Arial"/>
          <w:szCs w:val="20"/>
        </w:rPr>
      </w:pPr>
    </w:p>
    <w:p w14:paraId="077386CE" w14:textId="20337BCD" w:rsidR="00BE25B2" w:rsidRDefault="00BE25B2" w:rsidP="00BE25B2">
      <w:pPr>
        <w:rPr>
          <w:rFonts w:cs="Arial"/>
          <w:b/>
          <w:szCs w:val="20"/>
          <w:u w:val="single"/>
        </w:rPr>
      </w:pPr>
      <w:r w:rsidRPr="00F9410B">
        <w:rPr>
          <w:rFonts w:cs="Arial"/>
          <w:b/>
          <w:szCs w:val="20"/>
          <w:u w:val="single"/>
        </w:rPr>
        <w:t>Chapitre IX – Sanctions</w:t>
      </w:r>
    </w:p>
    <w:p w14:paraId="7221268F" w14:textId="77777777" w:rsidR="00EA55EE" w:rsidRPr="00F9410B" w:rsidRDefault="00EA55EE" w:rsidP="00BE25B2">
      <w:pPr>
        <w:rPr>
          <w:rFonts w:cs="Arial"/>
          <w:b/>
          <w:szCs w:val="20"/>
          <w:u w:val="single"/>
        </w:rPr>
      </w:pPr>
    </w:p>
    <w:p w14:paraId="76075224" w14:textId="7CD139E6" w:rsidR="00BE25B2" w:rsidRDefault="00BE25B2" w:rsidP="00BE25B2">
      <w:pPr>
        <w:tabs>
          <w:tab w:val="left" w:pos="426"/>
        </w:tabs>
        <w:rPr>
          <w:rFonts w:cs="Arial"/>
          <w:b/>
          <w:szCs w:val="20"/>
        </w:rPr>
      </w:pPr>
      <w:r w:rsidRPr="00F9410B">
        <w:rPr>
          <w:rFonts w:cs="Arial"/>
          <w:b/>
          <w:szCs w:val="20"/>
        </w:rPr>
        <w:t>Article 24 – Sanctions</w:t>
      </w:r>
    </w:p>
    <w:p w14:paraId="01A739CC" w14:textId="77777777" w:rsidR="00EA55EE" w:rsidRPr="00F9410B" w:rsidRDefault="00EA55EE" w:rsidP="00BE25B2">
      <w:pPr>
        <w:tabs>
          <w:tab w:val="left" w:pos="426"/>
        </w:tabs>
        <w:rPr>
          <w:rFonts w:cs="Arial"/>
          <w:b/>
          <w:szCs w:val="20"/>
        </w:rPr>
      </w:pPr>
    </w:p>
    <w:p w14:paraId="11E72FF5" w14:textId="076109B9" w:rsidR="00BE25B2" w:rsidRDefault="00BE25B2" w:rsidP="00BE25B2">
      <w:pPr>
        <w:tabs>
          <w:tab w:val="left" w:pos="426"/>
        </w:tabs>
        <w:rPr>
          <w:rFonts w:cs="Arial"/>
          <w:bCs/>
          <w:szCs w:val="20"/>
        </w:rPr>
      </w:pPr>
      <w:r w:rsidRPr="00F9410B">
        <w:rPr>
          <w:rFonts w:cs="Arial"/>
          <w:bCs/>
          <w:szCs w:val="20"/>
        </w:rPr>
        <w:t xml:space="preserve">Les Parties prévoient des sanctions appropriées dans les cas de manquement aux dispositions du présent Protocole. </w:t>
      </w:r>
    </w:p>
    <w:p w14:paraId="30BEC40B" w14:textId="7FA8730A" w:rsidR="00EA55EE" w:rsidRDefault="00EA55EE">
      <w:pPr>
        <w:rPr>
          <w:rFonts w:cs="Arial"/>
          <w:bCs/>
          <w:szCs w:val="20"/>
        </w:rPr>
      </w:pPr>
      <w:r>
        <w:rPr>
          <w:rFonts w:cs="Arial"/>
          <w:bCs/>
          <w:szCs w:val="20"/>
        </w:rPr>
        <w:br w:type="page"/>
      </w:r>
    </w:p>
    <w:p w14:paraId="7C523526" w14:textId="77777777" w:rsidR="00EA55EE" w:rsidRPr="00F9410B" w:rsidRDefault="00EA55EE" w:rsidP="00BE25B2">
      <w:pPr>
        <w:tabs>
          <w:tab w:val="left" w:pos="426"/>
        </w:tabs>
        <w:rPr>
          <w:rFonts w:cs="Arial"/>
          <w:bCs/>
          <w:szCs w:val="20"/>
        </w:rPr>
      </w:pPr>
    </w:p>
    <w:p w14:paraId="6D278DA9" w14:textId="3335ABEA" w:rsidR="00BE25B2" w:rsidRDefault="00BE25B2" w:rsidP="00BE25B2">
      <w:pPr>
        <w:rPr>
          <w:rFonts w:cs="Arial"/>
          <w:b/>
          <w:szCs w:val="20"/>
          <w:u w:val="single"/>
        </w:rPr>
      </w:pPr>
      <w:r w:rsidRPr="00F9410B">
        <w:rPr>
          <w:rFonts w:cs="Arial"/>
          <w:b/>
          <w:szCs w:val="20"/>
          <w:u w:val="single"/>
        </w:rPr>
        <w:t>Chapitre X – Relation entre le présent Protocole et d'autres dispositions, et réexamen du Protocole</w:t>
      </w:r>
    </w:p>
    <w:p w14:paraId="2D10FC36" w14:textId="77777777" w:rsidR="00EA55EE" w:rsidRPr="00F9410B" w:rsidRDefault="00EA55EE" w:rsidP="00BE25B2">
      <w:pPr>
        <w:rPr>
          <w:rFonts w:cs="Arial"/>
          <w:b/>
          <w:szCs w:val="20"/>
          <w:u w:val="single"/>
        </w:rPr>
      </w:pPr>
    </w:p>
    <w:p w14:paraId="21728D6C" w14:textId="2173A411" w:rsidR="00BE25B2" w:rsidRDefault="00BE25B2" w:rsidP="00BE25B2">
      <w:pPr>
        <w:tabs>
          <w:tab w:val="left" w:pos="426"/>
        </w:tabs>
        <w:rPr>
          <w:rFonts w:cs="Arial"/>
          <w:b/>
          <w:szCs w:val="20"/>
        </w:rPr>
      </w:pPr>
      <w:r w:rsidRPr="00F9410B">
        <w:rPr>
          <w:rFonts w:cs="Arial"/>
          <w:b/>
          <w:szCs w:val="20"/>
        </w:rPr>
        <w:t xml:space="preserve">Article 25 – Relation du présent Protocole avec la Convention </w:t>
      </w:r>
    </w:p>
    <w:p w14:paraId="6C69D5A2" w14:textId="77777777" w:rsidR="00EA55EE" w:rsidRPr="00F9410B" w:rsidRDefault="00EA55EE" w:rsidP="00BE25B2">
      <w:pPr>
        <w:tabs>
          <w:tab w:val="left" w:pos="426"/>
        </w:tabs>
        <w:rPr>
          <w:rFonts w:cs="Arial"/>
          <w:b/>
          <w:szCs w:val="20"/>
        </w:rPr>
      </w:pPr>
    </w:p>
    <w:p w14:paraId="42A839FB" w14:textId="78CDF002" w:rsidR="00BE25B2" w:rsidRDefault="00BE25B2" w:rsidP="00BE25B2">
      <w:pPr>
        <w:tabs>
          <w:tab w:val="left" w:pos="426"/>
        </w:tabs>
        <w:rPr>
          <w:rFonts w:cs="Arial"/>
          <w:bCs/>
          <w:szCs w:val="20"/>
        </w:rPr>
      </w:pPr>
      <w:r w:rsidRPr="00F9410B">
        <w:rPr>
          <w:rFonts w:cs="Arial"/>
          <w:bCs/>
          <w:szCs w:val="20"/>
        </w:rPr>
        <w:t xml:space="preserve">Les Parties considèrent les articles 1 à 24 du présent Protocole comme des articles additionnels à la </w:t>
      </w:r>
      <w:r w:rsidRPr="00F9410B">
        <w:rPr>
          <w:rFonts w:eastAsiaTheme="minorHAnsi" w:cs="Arial"/>
          <w:bCs/>
          <w:color w:val="000000" w:themeColor="text1"/>
          <w:szCs w:val="20"/>
        </w:rPr>
        <w:t>Convention sur les droits de l’homme et la biomédecine</w:t>
      </w:r>
      <w:r w:rsidRPr="00F9410B">
        <w:rPr>
          <w:rFonts w:cs="Arial"/>
          <w:bCs/>
          <w:szCs w:val="20"/>
        </w:rPr>
        <w:t xml:space="preserve">, et toutes les dispositions de la convention s'appliquent en conséquence. </w:t>
      </w:r>
    </w:p>
    <w:p w14:paraId="0F7D6AA6" w14:textId="77777777" w:rsidR="00EA55EE" w:rsidRPr="00F9410B" w:rsidRDefault="00EA55EE" w:rsidP="00BE25B2">
      <w:pPr>
        <w:tabs>
          <w:tab w:val="left" w:pos="426"/>
        </w:tabs>
        <w:rPr>
          <w:rFonts w:cs="Arial"/>
          <w:bCs/>
          <w:szCs w:val="20"/>
        </w:rPr>
      </w:pPr>
    </w:p>
    <w:p w14:paraId="4AC5328B" w14:textId="597127C3" w:rsidR="00BE25B2" w:rsidRDefault="00BE25B2" w:rsidP="00BE25B2">
      <w:pPr>
        <w:tabs>
          <w:tab w:val="left" w:pos="426"/>
        </w:tabs>
        <w:rPr>
          <w:rFonts w:cs="Arial"/>
          <w:b/>
          <w:szCs w:val="20"/>
        </w:rPr>
      </w:pPr>
      <w:r w:rsidRPr="00F9410B">
        <w:rPr>
          <w:rFonts w:cs="Arial"/>
          <w:b/>
          <w:szCs w:val="20"/>
        </w:rPr>
        <w:t xml:space="preserve">Article 26 – Réexamen du Protocole </w:t>
      </w:r>
    </w:p>
    <w:p w14:paraId="650F4C4A" w14:textId="77777777" w:rsidR="00EA55EE" w:rsidRPr="00F9410B" w:rsidRDefault="00EA55EE" w:rsidP="00BE25B2">
      <w:pPr>
        <w:tabs>
          <w:tab w:val="left" w:pos="426"/>
        </w:tabs>
        <w:rPr>
          <w:rFonts w:cs="Arial"/>
          <w:b/>
          <w:szCs w:val="20"/>
        </w:rPr>
      </w:pPr>
    </w:p>
    <w:p w14:paraId="0A30C89B" w14:textId="16EE94AB" w:rsidR="00BE25B2" w:rsidRDefault="00BE25B2" w:rsidP="00BE25B2">
      <w:pPr>
        <w:tabs>
          <w:tab w:val="left" w:pos="426"/>
        </w:tabs>
        <w:rPr>
          <w:rFonts w:cs="Arial"/>
          <w:bCs/>
          <w:szCs w:val="20"/>
        </w:rPr>
      </w:pPr>
      <w:r w:rsidRPr="00F9410B">
        <w:rPr>
          <w:rFonts w:cs="Arial"/>
          <w:bCs/>
          <w:szCs w:val="20"/>
        </w:rPr>
        <w:t xml:space="preserve">Afin de tenir compte des évolutions scientifiques, le présent Protocole fera l'objet d'un examen au sein du comité visé à l'article 32 de la </w:t>
      </w:r>
      <w:r w:rsidRPr="00F9410B">
        <w:rPr>
          <w:rFonts w:eastAsiaTheme="minorHAnsi" w:cs="Arial"/>
          <w:bCs/>
          <w:color w:val="000000" w:themeColor="text1"/>
          <w:szCs w:val="20"/>
        </w:rPr>
        <w:t>Convention sur les droits de l’homme et la biomédecine</w:t>
      </w:r>
      <w:r w:rsidRPr="00F9410B">
        <w:rPr>
          <w:rFonts w:cs="Arial"/>
          <w:bCs/>
          <w:szCs w:val="20"/>
        </w:rPr>
        <w:t xml:space="preserve">, dans un délai maximal de cinq ans après l'entrée en vigueur du présent Protocole et, par la suite, à des intervalles que le comité pourra déterminer. </w:t>
      </w:r>
    </w:p>
    <w:p w14:paraId="59CA192B" w14:textId="77777777" w:rsidR="00EA55EE" w:rsidRPr="00F9410B" w:rsidRDefault="00EA55EE" w:rsidP="00BE25B2">
      <w:pPr>
        <w:tabs>
          <w:tab w:val="left" w:pos="426"/>
        </w:tabs>
        <w:rPr>
          <w:rFonts w:cs="Arial"/>
          <w:bCs/>
          <w:szCs w:val="20"/>
        </w:rPr>
      </w:pPr>
    </w:p>
    <w:p w14:paraId="0C8C8813" w14:textId="3934778A" w:rsidR="00BE25B2" w:rsidRDefault="00BE25B2" w:rsidP="00BE25B2">
      <w:pPr>
        <w:rPr>
          <w:rFonts w:cs="Arial"/>
          <w:b/>
          <w:szCs w:val="20"/>
          <w:u w:val="single"/>
        </w:rPr>
      </w:pPr>
      <w:r w:rsidRPr="00F9410B">
        <w:rPr>
          <w:rFonts w:cs="Arial"/>
          <w:b/>
          <w:szCs w:val="20"/>
          <w:u w:val="single"/>
        </w:rPr>
        <w:t>Chapitre XI – Dispositions finales</w:t>
      </w:r>
    </w:p>
    <w:p w14:paraId="2CDAB8B5" w14:textId="77777777" w:rsidR="00EA55EE" w:rsidRPr="00F9410B" w:rsidRDefault="00EA55EE" w:rsidP="00BE25B2">
      <w:pPr>
        <w:rPr>
          <w:rFonts w:cs="Arial"/>
          <w:b/>
          <w:szCs w:val="20"/>
          <w:u w:val="single"/>
        </w:rPr>
      </w:pPr>
    </w:p>
    <w:p w14:paraId="064D095D" w14:textId="5DECCDD8" w:rsidR="00BE25B2" w:rsidRDefault="00BE25B2" w:rsidP="00BE25B2">
      <w:pPr>
        <w:tabs>
          <w:tab w:val="left" w:pos="426"/>
        </w:tabs>
        <w:rPr>
          <w:rFonts w:cs="Arial"/>
          <w:b/>
          <w:szCs w:val="20"/>
        </w:rPr>
      </w:pPr>
      <w:r w:rsidRPr="00F9410B">
        <w:rPr>
          <w:rFonts w:cs="Arial"/>
          <w:b/>
          <w:szCs w:val="20"/>
        </w:rPr>
        <w:t>Article 27 – Signature et ratification</w:t>
      </w:r>
    </w:p>
    <w:p w14:paraId="60A1CC5B" w14:textId="77777777" w:rsidR="00EA55EE" w:rsidRPr="00F9410B" w:rsidRDefault="00EA55EE" w:rsidP="00BE25B2">
      <w:pPr>
        <w:tabs>
          <w:tab w:val="left" w:pos="426"/>
        </w:tabs>
        <w:rPr>
          <w:rFonts w:cs="Arial"/>
          <w:b/>
          <w:szCs w:val="20"/>
        </w:rPr>
      </w:pPr>
    </w:p>
    <w:p w14:paraId="546CDAB3" w14:textId="59E41B05" w:rsidR="00BE25B2" w:rsidRDefault="00BE25B2" w:rsidP="00BE25B2">
      <w:pPr>
        <w:tabs>
          <w:tab w:val="left" w:pos="426"/>
        </w:tabs>
        <w:rPr>
          <w:rFonts w:cs="Arial"/>
          <w:bCs/>
          <w:szCs w:val="20"/>
        </w:rPr>
      </w:pPr>
      <w:r w:rsidRPr="00F9410B">
        <w:rPr>
          <w:rFonts w:cs="Arial"/>
          <w:bCs/>
          <w:szCs w:val="20"/>
        </w:rPr>
        <w:t xml:space="preserve">Le présent Protocole est ouvert à la signature des signataires de la </w:t>
      </w:r>
      <w:r w:rsidRPr="00F9410B">
        <w:rPr>
          <w:rFonts w:eastAsiaTheme="minorHAnsi" w:cs="Arial"/>
          <w:bCs/>
          <w:color w:val="000000" w:themeColor="text1"/>
          <w:szCs w:val="20"/>
        </w:rPr>
        <w:t>Convention sur les droits de l’homme et la biomédecine</w:t>
      </w:r>
      <w:r w:rsidRPr="00F9410B">
        <w:rPr>
          <w:rFonts w:cs="Arial"/>
          <w:bCs/>
          <w:szCs w:val="20"/>
        </w:rPr>
        <w:t>. Il est soumis à ratification, acceptation ou approbation. Un signataire ne peut ratifier, accepter ou approuver le présent Protocole sans avoir antérieurement ou simultanément exprimé son consentement à être lié par la Convention. Les instruments de ratification, d'acceptation ou d'approbation seront déposés près le/la Secrétaire Général</w:t>
      </w:r>
      <w:r w:rsidR="005C2D7C">
        <w:rPr>
          <w:rFonts w:cs="Arial"/>
          <w:bCs/>
          <w:szCs w:val="20"/>
        </w:rPr>
        <w:t>.</w:t>
      </w:r>
      <w:r w:rsidRPr="00F9410B">
        <w:rPr>
          <w:rFonts w:cs="Arial"/>
          <w:bCs/>
          <w:szCs w:val="20"/>
        </w:rPr>
        <w:t xml:space="preserve">e du Conseil de l'Europe. </w:t>
      </w:r>
    </w:p>
    <w:p w14:paraId="6AEC696E" w14:textId="77777777" w:rsidR="00EA55EE" w:rsidRPr="00F9410B" w:rsidRDefault="00EA55EE" w:rsidP="00BE25B2">
      <w:pPr>
        <w:tabs>
          <w:tab w:val="left" w:pos="426"/>
        </w:tabs>
        <w:rPr>
          <w:rFonts w:cs="Arial"/>
          <w:bCs/>
          <w:szCs w:val="20"/>
        </w:rPr>
      </w:pPr>
    </w:p>
    <w:p w14:paraId="6F0EDB6B" w14:textId="0A958358" w:rsidR="00BE25B2" w:rsidRDefault="00BE25B2" w:rsidP="00BE25B2">
      <w:pPr>
        <w:tabs>
          <w:tab w:val="left" w:pos="426"/>
        </w:tabs>
        <w:rPr>
          <w:rFonts w:cs="Arial"/>
          <w:b/>
          <w:szCs w:val="20"/>
        </w:rPr>
      </w:pPr>
      <w:r w:rsidRPr="00F9410B">
        <w:rPr>
          <w:rFonts w:cs="Arial"/>
          <w:b/>
          <w:szCs w:val="20"/>
        </w:rPr>
        <w:t>Article 28 – Entrée en vigueur</w:t>
      </w:r>
    </w:p>
    <w:p w14:paraId="24DC8D7A" w14:textId="77777777" w:rsidR="00EA55EE" w:rsidRPr="00F9410B" w:rsidRDefault="00EA55EE" w:rsidP="00BE25B2">
      <w:pPr>
        <w:tabs>
          <w:tab w:val="left" w:pos="426"/>
        </w:tabs>
        <w:rPr>
          <w:rFonts w:cs="Arial"/>
          <w:b/>
          <w:szCs w:val="20"/>
        </w:rPr>
      </w:pPr>
    </w:p>
    <w:p w14:paraId="28048245" w14:textId="3C2C583D" w:rsidR="00BE25B2" w:rsidRDefault="00BE25B2" w:rsidP="00BE25B2">
      <w:pPr>
        <w:tabs>
          <w:tab w:val="left" w:pos="426"/>
        </w:tabs>
        <w:rPr>
          <w:rFonts w:cs="Arial"/>
          <w:bCs/>
          <w:szCs w:val="20"/>
        </w:rPr>
      </w:pPr>
      <w:r w:rsidRPr="00F9410B">
        <w:rPr>
          <w:rFonts w:cs="Arial"/>
          <w:bCs/>
          <w:szCs w:val="20"/>
        </w:rPr>
        <w:t>1.</w:t>
      </w:r>
      <w:r w:rsidRPr="00F9410B">
        <w:rPr>
          <w:rFonts w:cs="Arial"/>
          <w:bCs/>
          <w:szCs w:val="20"/>
        </w:rPr>
        <w:tab/>
        <w:t xml:space="preserve">Le présent Protocole entrera en vigueur le premier jour du mois qui suit l'expiration d'une période de trois mois après la date à laquelle cinq États, incluant au moins quatre États membres du Conseil de l'Europe, auront exprimé leur consentement à être liés par le Protocole conformément aux dispositions de l'article 27. </w:t>
      </w:r>
    </w:p>
    <w:p w14:paraId="0C41EA9D" w14:textId="77777777" w:rsidR="00EA55EE" w:rsidRPr="00F9410B" w:rsidRDefault="00EA55EE" w:rsidP="00BE25B2">
      <w:pPr>
        <w:tabs>
          <w:tab w:val="left" w:pos="426"/>
        </w:tabs>
        <w:rPr>
          <w:rFonts w:cs="Arial"/>
          <w:bCs/>
          <w:szCs w:val="20"/>
        </w:rPr>
      </w:pPr>
    </w:p>
    <w:p w14:paraId="50066835" w14:textId="57D24354" w:rsidR="00BE25B2" w:rsidRDefault="00BE25B2" w:rsidP="00BE25B2">
      <w:pPr>
        <w:tabs>
          <w:tab w:val="left" w:pos="426"/>
        </w:tabs>
        <w:rPr>
          <w:rFonts w:cs="Arial"/>
          <w:bCs/>
          <w:szCs w:val="20"/>
        </w:rPr>
      </w:pPr>
      <w:r w:rsidRPr="00F9410B">
        <w:rPr>
          <w:rFonts w:cs="Arial"/>
          <w:bCs/>
          <w:szCs w:val="20"/>
        </w:rPr>
        <w:t>2.</w:t>
      </w:r>
      <w:r w:rsidRPr="00F9410B">
        <w:rPr>
          <w:rFonts w:cs="Arial"/>
          <w:bCs/>
          <w:szCs w:val="20"/>
        </w:rPr>
        <w:tab/>
        <w:t xml:space="preserve">Pour tout signataire qui exprimera ultérieurement son consentement à être lié par le Protocole, celui-ci entrera en vigueur le premier jour du mois qui suit l'expiration d'une période de trois mois après la date du dépôt de son instrument de ratification, d'acceptation ou d'approbation. </w:t>
      </w:r>
    </w:p>
    <w:p w14:paraId="386DD37E" w14:textId="77777777" w:rsidR="00EA55EE" w:rsidRPr="00F9410B" w:rsidRDefault="00EA55EE" w:rsidP="00BE25B2">
      <w:pPr>
        <w:tabs>
          <w:tab w:val="left" w:pos="426"/>
        </w:tabs>
        <w:rPr>
          <w:rFonts w:cs="Arial"/>
          <w:bCs/>
          <w:szCs w:val="20"/>
        </w:rPr>
      </w:pPr>
    </w:p>
    <w:p w14:paraId="20D89C9C" w14:textId="68576AC7" w:rsidR="00BE25B2" w:rsidRDefault="00BE25B2" w:rsidP="00BE25B2">
      <w:pPr>
        <w:tabs>
          <w:tab w:val="left" w:pos="426"/>
        </w:tabs>
        <w:rPr>
          <w:rFonts w:cs="Arial"/>
          <w:b/>
          <w:szCs w:val="20"/>
        </w:rPr>
      </w:pPr>
      <w:r w:rsidRPr="00F9410B">
        <w:rPr>
          <w:rFonts w:cs="Arial"/>
          <w:b/>
          <w:szCs w:val="20"/>
        </w:rPr>
        <w:t>Article 29 – Adhésion</w:t>
      </w:r>
    </w:p>
    <w:p w14:paraId="7CA8449B" w14:textId="77777777" w:rsidR="00EA55EE" w:rsidRPr="00F9410B" w:rsidRDefault="00EA55EE" w:rsidP="00BE25B2">
      <w:pPr>
        <w:tabs>
          <w:tab w:val="left" w:pos="426"/>
        </w:tabs>
        <w:rPr>
          <w:rFonts w:cs="Arial"/>
          <w:b/>
          <w:szCs w:val="20"/>
        </w:rPr>
      </w:pPr>
    </w:p>
    <w:p w14:paraId="2FD1F6EB" w14:textId="04239EF1" w:rsidR="00EA55EE" w:rsidRDefault="00BE25B2" w:rsidP="00BE25B2">
      <w:pPr>
        <w:tabs>
          <w:tab w:val="left" w:pos="426"/>
        </w:tabs>
        <w:rPr>
          <w:rFonts w:cs="Arial"/>
          <w:bCs/>
          <w:szCs w:val="20"/>
        </w:rPr>
      </w:pPr>
      <w:r w:rsidRPr="00F9410B">
        <w:rPr>
          <w:rFonts w:cs="Arial"/>
          <w:bCs/>
          <w:szCs w:val="20"/>
        </w:rPr>
        <w:t>1.</w:t>
      </w:r>
      <w:r w:rsidRPr="00F9410B">
        <w:rPr>
          <w:rFonts w:cs="Arial"/>
          <w:bCs/>
          <w:szCs w:val="20"/>
        </w:rPr>
        <w:tab/>
        <w:t xml:space="preserve">Après l'entrée en vigueur du présent Protocole, tout État qui a adhéré à la Convention sur les </w:t>
      </w:r>
      <w:bookmarkStart w:id="3" w:name="_Hlk90477731"/>
      <w:r w:rsidRPr="00F9410B">
        <w:rPr>
          <w:rFonts w:cs="Arial"/>
          <w:bCs/>
          <w:szCs w:val="20"/>
        </w:rPr>
        <w:t xml:space="preserve">droits de l’homme et la biomédecine pourra adhérer également au présent Protocole. </w:t>
      </w:r>
    </w:p>
    <w:p w14:paraId="65954376" w14:textId="77777777" w:rsidR="00EA55EE" w:rsidRPr="00F9410B" w:rsidRDefault="00EA55EE" w:rsidP="00BE25B2">
      <w:pPr>
        <w:tabs>
          <w:tab w:val="left" w:pos="426"/>
        </w:tabs>
        <w:rPr>
          <w:rFonts w:cs="Arial"/>
          <w:bCs/>
          <w:szCs w:val="20"/>
        </w:rPr>
      </w:pPr>
    </w:p>
    <w:p w14:paraId="704F4AD4" w14:textId="70F5B3D0" w:rsidR="00BE25B2" w:rsidRDefault="00BE25B2" w:rsidP="00BE25B2">
      <w:pPr>
        <w:tabs>
          <w:tab w:val="left" w:pos="426"/>
        </w:tabs>
        <w:rPr>
          <w:rFonts w:cs="Arial"/>
          <w:bCs/>
          <w:szCs w:val="20"/>
        </w:rPr>
      </w:pPr>
      <w:r w:rsidRPr="00F9410B">
        <w:rPr>
          <w:rFonts w:cs="Arial"/>
          <w:bCs/>
          <w:szCs w:val="20"/>
        </w:rPr>
        <w:t>2.</w:t>
      </w:r>
      <w:r w:rsidRPr="00F9410B">
        <w:rPr>
          <w:rFonts w:cs="Arial"/>
          <w:bCs/>
          <w:szCs w:val="20"/>
        </w:rPr>
        <w:tab/>
        <w:t xml:space="preserve">L'adhésion s'effectuera par le dépôt, près le/la Secrétaire Général.e du Conseil de l'Europe, d'un instrument d'adhésion qui prendra effet le premier jour du mois qui suit l'expiration d'une période de trois mois après la date de son dépôt. </w:t>
      </w:r>
    </w:p>
    <w:p w14:paraId="45F167C6" w14:textId="77777777" w:rsidR="00EA55EE" w:rsidRPr="00F9410B" w:rsidRDefault="00EA55EE" w:rsidP="00BE25B2">
      <w:pPr>
        <w:tabs>
          <w:tab w:val="left" w:pos="426"/>
        </w:tabs>
        <w:rPr>
          <w:rFonts w:cs="Arial"/>
          <w:bCs/>
          <w:szCs w:val="20"/>
        </w:rPr>
      </w:pPr>
    </w:p>
    <w:bookmarkEnd w:id="3"/>
    <w:p w14:paraId="2CF6A4D2" w14:textId="18DEB5EA" w:rsidR="00BE25B2" w:rsidRDefault="00BE25B2" w:rsidP="00BE25B2">
      <w:pPr>
        <w:tabs>
          <w:tab w:val="left" w:pos="426"/>
        </w:tabs>
        <w:rPr>
          <w:rFonts w:cs="Arial"/>
          <w:b/>
          <w:szCs w:val="20"/>
        </w:rPr>
      </w:pPr>
      <w:r w:rsidRPr="00F9410B">
        <w:rPr>
          <w:rFonts w:cs="Arial"/>
          <w:b/>
          <w:szCs w:val="20"/>
        </w:rPr>
        <w:t>Article 30 – Dénonciation</w:t>
      </w:r>
    </w:p>
    <w:p w14:paraId="32F59778" w14:textId="77777777" w:rsidR="00EA55EE" w:rsidRPr="00F9410B" w:rsidRDefault="00EA55EE" w:rsidP="00BE25B2">
      <w:pPr>
        <w:tabs>
          <w:tab w:val="left" w:pos="426"/>
        </w:tabs>
        <w:rPr>
          <w:rFonts w:cs="Arial"/>
          <w:b/>
          <w:szCs w:val="20"/>
        </w:rPr>
      </w:pPr>
    </w:p>
    <w:p w14:paraId="0D1DE53B" w14:textId="12C098AF" w:rsidR="00BE25B2" w:rsidRDefault="00BE25B2" w:rsidP="00BE25B2">
      <w:pPr>
        <w:tabs>
          <w:tab w:val="left" w:pos="426"/>
        </w:tabs>
        <w:rPr>
          <w:rFonts w:cs="Arial"/>
          <w:bCs/>
          <w:szCs w:val="20"/>
        </w:rPr>
      </w:pPr>
      <w:r w:rsidRPr="00F9410B">
        <w:rPr>
          <w:rFonts w:cs="Arial"/>
          <w:bCs/>
          <w:szCs w:val="20"/>
        </w:rPr>
        <w:t>1.</w:t>
      </w:r>
      <w:r w:rsidRPr="00F9410B">
        <w:rPr>
          <w:rFonts w:cs="Arial"/>
          <w:bCs/>
          <w:szCs w:val="20"/>
        </w:rPr>
        <w:tab/>
        <w:t xml:space="preserve">Toute Partie peut, à tout moment, dénoncer le présent Protocole, en adressant une notification au/à la Secrétaire Général.e du Conseil de l'Europe. </w:t>
      </w:r>
    </w:p>
    <w:p w14:paraId="01AE2CFF" w14:textId="77777777" w:rsidR="00EA55EE" w:rsidRPr="00F9410B" w:rsidRDefault="00EA55EE" w:rsidP="00BE25B2">
      <w:pPr>
        <w:tabs>
          <w:tab w:val="left" w:pos="426"/>
        </w:tabs>
        <w:rPr>
          <w:rFonts w:cs="Arial"/>
          <w:bCs/>
          <w:szCs w:val="20"/>
        </w:rPr>
      </w:pPr>
    </w:p>
    <w:p w14:paraId="4EEFD336" w14:textId="1200E7B0" w:rsidR="00BE25B2" w:rsidRDefault="00BE25B2" w:rsidP="00BE25B2">
      <w:pPr>
        <w:tabs>
          <w:tab w:val="left" w:pos="426"/>
        </w:tabs>
        <w:rPr>
          <w:rFonts w:cs="Arial"/>
          <w:bCs/>
          <w:szCs w:val="20"/>
        </w:rPr>
      </w:pPr>
      <w:r w:rsidRPr="00F9410B">
        <w:rPr>
          <w:rFonts w:cs="Arial"/>
          <w:bCs/>
          <w:szCs w:val="20"/>
        </w:rPr>
        <w:t>2.</w:t>
      </w:r>
      <w:r w:rsidRPr="00F9410B">
        <w:rPr>
          <w:rFonts w:cs="Arial"/>
          <w:bCs/>
          <w:szCs w:val="20"/>
        </w:rPr>
        <w:tab/>
        <w:t xml:space="preserve">La dénonciation prendra effet le premier jour du mois qui suit l'expiration d'une période de trois mois après la date de réception de la notification par le/la Secrétaire Général.e. </w:t>
      </w:r>
    </w:p>
    <w:p w14:paraId="47C5157E" w14:textId="77777777" w:rsidR="00EA55EE" w:rsidRPr="00F9410B" w:rsidRDefault="00EA55EE" w:rsidP="00BE25B2">
      <w:pPr>
        <w:tabs>
          <w:tab w:val="left" w:pos="426"/>
        </w:tabs>
        <w:rPr>
          <w:rFonts w:cs="Arial"/>
          <w:bCs/>
          <w:szCs w:val="20"/>
        </w:rPr>
      </w:pPr>
    </w:p>
    <w:p w14:paraId="005E4DAC" w14:textId="77777777" w:rsidR="00EA55EE" w:rsidRDefault="00EA55EE">
      <w:pPr>
        <w:rPr>
          <w:rFonts w:cs="Arial"/>
          <w:b/>
          <w:szCs w:val="20"/>
        </w:rPr>
      </w:pPr>
      <w:r>
        <w:rPr>
          <w:rFonts w:cs="Arial"/>
          <w:b/>
          <w:szCs w:val="20"/>
        </w:rPr>
        <w:br w:type="page"/>
      </w:r>
    </w:p>
    <w:p w14:paraId="6186A318" w14:textId="7FA537E5" w:rsidR="00BE25B2" w:rsidRDefault="00BE25B2" w:rsidP="00BE25B2">
      <w:pPr>
        <w:tabs>
          <w:tab w:val="left" w:pos="426"/>
        </w:tabs>
        <w:rPr>
          <w:rFonts w:cs="Arial"/>
          <w:b/>
          <w:szCs w:val="20"/>
        </w:rPr>
      </w:pPr>
      <w:r w:rsidRPr="00F9410B">
        <w:rPr>
          <w:rFonts w:cs="Arial"/>
          <w:b/>
          <w:szCs w:val="20"/>
        </w:rPr>
        <w:t>Article 31 – Notifications</w:t>
      </w:r>
    </w:p>
    <w:p w14:paraId="32946EB9" w14:textId="77777777" w:rsidR="00EA55EE" w:rsidRPr="00F9410B" w:rsidRDefault="00EA55EE" w:rsidP="00BE25B2">
      <w:pPr>
        <w:tabs>
          <w:tab w:val="left" w:pos="426"/>
        </w:tabs>
        <w:rPr>
          <w:rFonts w:cs="Arial"/>
          <w:b/>
          <w:szCs w:val="20"/>
        </w:rPr>
      </w:pPr>
    </w:p>
    <w:p w14:paraId="052BBFD1" w14:textId="03687E8F" w:rsidR="00BE25B2" w:rsidRDefault="00BE25B2" w:rsidP="00BE25B2">
      <w:pPr>
        <w:tabs>
          <w:tab w:val="left" w:pos="426"/>
        </w:tabs>
        <w:rPr>
          <w:rFonts w:cs="Arial"/>
          <w:bCs/>
          <w:szCs w:val="20"/>
        </w:rPr>
      </w:pPr>
      <w:r w:rsidRPr="00F9410B">
        <w:rPr>
          <w:rFonts w:cs="Arial"/>
          <w:bCs/>
          <w:szCs w:val="20"/>
        </w:rPr>
        <w:t xml:space="preserve">Le/la Secrétaire Général.e du Conseil de l'Europe notifiera aux États membres du Conseil de l'Europe, à l’Union européenne, à tout signataire, à toute Partie et à tout autre </w:t>
      </w:r>
      <w:bookmarkStart w:id="4" w:name="_Hlk88472808"/>
      <w:r w:rsidRPr="00F9410B">
        <w:rPr>
          <w:rFonts w:cs="Arial"/>
          <w:bCs/>
          <w:szCs w:val="20"/>
        </w:rPr>
        <w:t>É</w:t>
      </w:r>
      <w:bookmarkEnd w:id="4"/>
      <w:r w:rsidRPr="00F9410B">
        <w:rPr>
          <w:rFonts w:cs="Arial"/>
          <w:bCs/>
          <w:szCs w:val="20"/>
        </w:rPr>
        <w:t xml:space="preserve">tat qui a été invité à adhérer à la </w:t>
      </w:r>
      <w:r w:rsidRPr="00F9410B">
        <w:rPr>
          <w:rFonts w:eastAsiaTheme="minorHAnsi" w:cs="Arial"/>
          <w:bCs/>
          <w:color w:val="000000" w:themeColor="text1"/>
          <w:szCs w:val="20"/>
        </w:rPr>
        <w:t xml:space="preserve">Convention sur les droits de l’homme et la </w:t>
      </w:r>
      <w:proofErr w:type="gramStart"/>
      <w:r w:rsidRPr="00F9410B">
        <w:rPr>
          <w:rFonts w:eastAsiaTheme="minorHAnsi" w:cs="Arial"/>
          <w:bCs/>
          <w:color w:val="000000" w:themeColor="text1"/>
          <w:szCs w:val="20"/>
        </w:rPr>
        <w:t>biomédecine</w:t>
      </w:r>
      <w:r w:rsidRPr="00F9410B">
        <w:rPr>
          <w:rFonts w:cs="Arial"/>
          <w:bCs/>
          <w:szCs w:val="20"/>
        </w:rPr>
        <w:t>:</w:t>
      </w:r>
      <w:proofErr w:type="gramEnd"/>
      <w:r w:rsidRPr="00F9410B">
        <w:rPr>
          <w:rFonts w:cs="Arial"/>
          <w:bCs/>
          <w:szCs w:val="20"/>
        </w:rPr>
        <w:t xml:space="preserve"> </w:t>
      </w:r>
    </w:p>
    <w:p w14:paraId="5ACBF523" w14:textId="77777777" w:rsidR="00EA55EE" w:rsidRPr="00F9410B" w:rsidRDefault="00EA55EE" w:rsidP="00BE25B2">
      <w:pPr>
        <w:tabs>
          <w:tab w:val="left" w:pos="426"/>
        </w:tabs>
        <w:rPr>
          <w:rFonts w:cs="Arial"/>
          <w:bCs/>
          <w:szCs w:val="20"/>
        </w:rPr>
      </w:pPr>
    </w:p>
    <w:p w14:paraId="7A6A5E35" w14:textId="5D881A9A" w:rsidR="00BE25B2" w:rsidRDefault="00BE25B2" w:rsidP="00BE25B2">
      <w:pPr>
        <w:pStyle w:val="ListParagraph"/>
        <w:numPr>
          <w:ilvl w:val="0"/>
          <w:numId w:val="50"/>
        </w:numPr>
        <w:tabs>
          <w:tab w:val="left" w:pos="426"/>
        </w:tabs>
        <w:spacing w:after="0" w:line="240" w:lineRule="auto"/>
        <w:rPr>
          <w:rFonts w:cs="Arial"/>
          <w:bCs/>
          <w:szCs w:val="20"/>
        </w:rPr>
      </w:pPr>
      <w:proofErr w:type="gramStart"/>
      <w:r w:rsidRPr="00F9410B">
        <w:rPr>
          <w:rFonts w:cs="Arial"/>
          <w:bCs/>
          <w:szCs w:val="20"/>
        </w:rPr>
        <w:t>toute</w:t>
      </w:r>
      <w:proofErr w:type="gramEnd"/>
      <w:r w:rsidRPr="00F9410B">
        <w:rPr>
          <w:rFonts w:cs="Arial"/>
          <w:bCs/>
          <w:szCs w:val="20"/>
        </w:rPr>
        <w:t xml:space="preserve"> signature; </w:t>
      </w:r>
    </w:p>
    <w:p w14:paraId="49716C72" w14:textId="77777777" w:rsidR="00EA55EE" w:rsidRPr="00F9410B" w:rsidRDefault="00EA55EE" w:rsidP="00EA55EE">
      <w:pPr>
        <w:pStyle w:val="ListParagraph"/>
        <w:tabs>
          <w:tab w:val="left" w:pos="426"/>
        </w:tabs>
        <w:spacing w:after="0" w:line="240" w:lineRule="auto"/>
        <w:ind w:left="1080"/>
        <w:rPr>
          <w:rFonts w:cs="Arial"/>
          <w:bCs/>
          <w:szCs w:val="20"/>
        </w:rPr>
      </w:pPr>
    </w:p>
    <w:p w14:paraId="5DAD1AAD" w14:textId="1F5A3DD6" w:rsidR="00BE25B2" w:rsidRDefault="00BE25B2" w:rsidP="00BE25B2">
      <w:pPr>
        <w:pStyle w:val="ListParagraph"/>
        <w:numPr>
          <w:ilvl w:val="0"/>
          <w:numId w:val="50"/>
        </w:numPr>
        <w:tabs>
          <w:tab w:val="left" w:pos="426"/>
        </w:tabs>
        <w:spacing w:after="0" w:line="240" w:lineRule="auto"/>
        <w:rPr>
          <w:rFonts w:cs="Arial"/>
          <w:bCs/>
          <w:szCs w:val="20"/>
        </w:rPr>
      </w:pPr>
      <w:proofErr w:type="gramStart"/>
      <w:r w:rsidRPr="00F9410B">
        <w:rPr>
          <w:rFonts w:cs="Arial"/>
          <w:bCs/>
          <w:szCs w:val="20"/>
        </w:rPr>
        <w:t>le</w:t>
      </w:r>
      <w:proofErr w:type="gramEnd"/>
      <w:r w:rsidRPr="00F9410B">
        <w:rPr>
          <w:rFonts w:cs="Arial"/>
          <w:bCs/>
          <w:szCs w:val="20"/>
        </w:rPr>
        <w:t xml:space="preserve"> dépôt de tout instrument de ratification, d'acceptation, d'approbation ou d'adhésion; </w:t>
      </w:r>
    </w:p>
    <w:p w14:paraId="64030E36" w14:textId="77777777" w:rsidR="00EA55EE" w:rsidRPr="00F9410B" w:rsidRDefault="00EA55EE" w:rsidP="00EA55EE">
      <w:pPr>
        <w:pStyle w:val="ListParagraph"/>
        <w:tabs>
          <w:tab w:val="left" w:pos="426"/>
        </w:tabs>
        <w:spacing w:after="0" w:line="240" w:lineRule="auto"/>
        <w:ind w:left="1080"/>
        <w:rPr>
          <w:rFonts w:cs="Arial"/>
          <w:bCs/>
          <w:szCs w:val="20"/>
        </w:rPr>
      </w:pPr>
    </w:p>
    <w:p w14:paraId="54E54FC3" w14:textId="0CC96947" w:rsidR="00BE25B2" w:rsidRDefault="00BE25B2" w:rsidP="00BE25B2">
      <w:pPr>
        <w:pStyle w:val="ListParagraph"/>
        <w:numPr>
          <w:ilvl w:val="0"/>
          <w:numId w:val="50"/>
        </w:numPr>
        <w:tabs>
          <w:tab w:val="left" w:pos="426"/>
        </w:tabs>
        <w:spacing w:after="0" w:line="240" w:lineRule="auto"/>
        <w:rPr>
          <w:rFonts w:cs="Arial"/>
          <w:bCs/>
          <w:szCs w:val="20"/>
        </w:rPr>
      </w:pPr>
      <w:proofErr w:type="gramStart"/>
      <w:r w:rsidRPr="00F9410B">
        <w:rPr>
          <w:rFonts w:cs="Arial"/>
          <w:bCs/>
          <w:szCs w:val="20"/>
        </w:rPr>
        <w:t>toute</w:t>
      </w:r>
      <w:proofErr w:type="gramEnd"/>
      <w:r w:rsidRPr="00F9410B">
        <w:rPr>
          <w:rFonts w:cs="Arial"/>
          <w:bCs/>
          <w:szCs w:val="20"/>
        </w:rPr>
        <w:t xml:space="preserve"> date d'entrée en vigueur du présent Protocole conformément aux articles 28 et 29; </w:t>
      </w:r>
    </w:p>
    <w:p w14:paraId="25D88CFB" w14:textId="77777777" w:rsidR="00EA55EE" w:rsidRPr="00F9410B" w:rsidRDefault="00EA55EE" w:rsidP="00EA55EE">
      <w:pPr>
        <w:pStyle w:val="ListParagraph"/>
        <w:tabs>
          <w:tab w:val="left" w:pos="426"/>
        </w:tabs>
        <w:spacing w:after="0" w:line="240" w:lineRule="auto"/>
        <w:ind w:left="1080"/>
        <w:rPr>
          <w:rFonts w:cs="Arial"/>
          <w:bCs/>
          <w:szCs w:val="20"/>
        </w:rPr>
      </w:pPr>
    </w:p>
    <w:p w14:paraId="7C31E1C6" w14:textId="644514CB" w:rsidR="00BE25B2" w:rsidRDefault="00BE25B2" w:rsidP="00BE25B2">
      <w:pPr>
        <w:pStyle w:val="ListParagraph"/>
        <w:numPr>
          <w:ilvl w:val="0"/>
          <w:numId w:val="50"/>
        </w:numPr>
        <w:tabs>
          <w:tab w:val="left" w:pos="426"/>
        </w:tabs>
        <w:spacing w:after="0" w:line="240" w:lineRule="auto"/>
        <w:rPr>
          <w:rFonts w:cs="Arial"/>
          <w:bCs/>
          <w:szCs w:val="20"/>
        </w:rPr>
      </w:pPr>
      <w:proofErr w:type="gramStart"/>
      <w:r w:rsidRPr="00F9410B">
        <w:rPr>
          <w:rFonts w:cs="Arial"/>
          <w:bCs/>
          <w:szCs w:val="20"/>
        </w:rPr>
        <w:t>tout</w:t>
      </w:r>
      <w:proofErr w:type="gramEnd"/>
      <w:r w:rsidRPr="00F9410B">
        <w:rPr>
          <w:rFonts w:cs="Arial"/>
          <w:bCs/>
          <w:szCs w:val="20"/>
        </w:rPr>
        <w:t xml:space="preserve"> autre acte, notification ou communication ayant trait au présent Protocole.</w:t>
      </w:r>
    </w:p>
    <w:p w14:paraId="493B8E28" w14:textId="77777777" w:rsidR="00EA55EE" w:rsidRPr="00F9410B" w:rsidRDefault="00EA55EE" w:rsidP="00EA55EE">
      <w:pPr>
        <w:pStyle w:val="ListParagraph"/>
        <w:tabs>
          <w:tab w:val="left" w:pos="426"/>
        </w:tabs>
        <w:spacing w:after="0" w:line="240" w:lineRule="auto"/>
        <w:ind w:left="1080"/>
        <w:rPr>
          <w:rFonts w:cs="Arial"/>
          <w:bCs/>
          <w:szCs w:val="20"/>
        </w:rPr>
      </w:pPr>
    </w:p>
    <w:p w14:paraId="20AF6563" w14:textId="77777777" w:rsidR="00BE25B2" w:rsidRPr="00F9410B" w:rsidRDefault="00BE25B2" w:rsidP="00BE25B2">
      <w:pPr>
        <w:pStyle w:val="NormalWeb"/>
        <w:shd w:val="clear" w:color="auto" w:fill="FFFFFF"/>
        <w:spacing w:before="0" w:beforeAutospacing="0" w:after="0" w:afterAutospacing="0"/>
        <w:ind w:left="709" w:hanging="425"/>
        <w:rPr>
          <w:rFonts w:ascii="Arial" w:hAnsi="Arial" w:cs="Arial"/>
          <w:color w:val="161616"/>
          <w:sz w:val="20"/>
          <w:szCs w:val="20"/>
        </w:rPr>
      </w:pPr>
      <w:r w:rsidRPr="00F9410B">
        <w:rPr>
          <w:rStyle w:val="normal10"/>
          <w:rFonts w:ascii="Arial" w:hAnsi="Arial" w:cs="Arial"/>
          <w:color w:val="161616"/>
          <w:sz w:val="20"/>
          <w:szCs w:val="20"/>
        </w:rPr>
        <w:t>En foi de quoi, les soussignés, dûment autorisés à cet effet, ont signé le présent Protocole.</w:t>
      </w:r>
    </w:p>
    <w:p w14:paraId="03D15592" w14:textId="77777777" w:rsidR="00BE25B2" w:rsidRPr="00F9410B" w:rsidRDefault="00BE25B2" w:rsidP="00BE25B2">
      <w:pPr>
        <w:pStyle w:val="NormalWeb"/>
        <w:shd w:val="clear" w:color="auto" w:fill="FFFFFF"/>
        <w:spacing w:before="0" w:beforeAutospacing="0" w:after="0" w:afterAutospacing="0"/>
        <w:ind w:left="284"/>
        <w:rPr>
          <w:rFonts w:ascii="Arial" w:hAnsi="Arial" w:cs="Arial"/>
          <w:color w:val="161616"/>
          <w:sz w:val="20"/>
          <w:szCs w:val="20"/>
        </w:rPr>
      </w:pPr>
      <w:r w:rsidRPr="00F9410B">
        <w:rPr>
          <w:rStyle w:val="normal10"/>
          <w:rFonts w:ascii="Arial" w:hAnsi="Arial" w:cs="Arial"/>
          <w:color w:val="161616"/>
          <w:sz w:val="20"/>
          <w:szCs w:val="20"/>
        </w:rPr>
        <w:t xml:space="preserve">Fait à Strasbourg, le xx xx 20xx, en français et en anglais, les deux textes faisant également foi, en un seul exemplaire qui sera déposé dans les archives du Conseil de l’Europe. Le/la Secrétaire Général.e du Conseil de l’Europe en communiquera copie certifiée conforme à chacun des </w:t>
      </w:r>
      <w:r w:rsidRPr="00F9410B">
        <w:rPr>
          <w:rFonts w:ascii="Arial" w:hAnsi="Arial" w:cs="Arial"/>
          <w:bCs/>
          <w:sz w:val="20"/>
          <w:szCs w:val="20"/>
        </w:rPr>
        <w:t>É</w:t>
      </w:r>
      <w:r w:rsidRPr="00F9410B">
        <w:rPr>
          <w:rStyle w:val="normal10"/>
          <w:rFonts w:ascii="Arial" w:hAnsi="Arial" w:cs="Arial"/>
          <w:color w:val="161616"/>
          <w:sz w:val="20"/>
          <w:szCs w:val="20"/>
        </w:rPr>
        <w:t xml:space="preserve">tats membres du Conseil de l’Europe, à l’Union européenne, à tout signataire, à toute Partie et à tout autre </w:t>
      </w:r>
      <w:r w:rsidRPr="00F9410B">
        <w:rPr>
          <w:rFonts w:ascii="Arial" w:hAnsi="Arial" w:cs="Arial"/>
          <w:bCs/>
          <w:sz w:val="20"/>
          <w:szCs w:val="20"/>
        </w:rPr>
        <w:t>É</w:t>
      </w:r>
      <w:r w:rsidRPr="00F9410B">
        <w:rPr>
          <w:rStyle w:val="normal10"/>
          <w:rFonts w:ascii="Arial" w:hAnsi="Arial" w:cs="Arial"/>
          <w:color w:val="161616"/>
          <w:sz w:val="20"/>
          <w:szCs w:val="20"/>
        </w:rPr>
        <w:t xml:space="preserve">tat </w:t>
      </w:r>
      <w:proofErr w:type="gramStart"/>
      <w:r w:rsidRPr="00F9410B">
        <w:rPr>
          <w:rStyle w:val="normal10"/>
          <w:rFonts w:ascii="Arial" w:hAnsi="Arial" w:cs="Arial"/>
          <w:color w:val="161616"/>
          <w:sz w:val="20"/>
          <w:szCs w:val="20"/>
        </w:rPr>
        <w:t>non membre</w:t>
      </w:r>
      <w:proofErr w:type="gramEnd"/>
      <w:r w:rsidRPr="00F9410B">
        <w:rPr>
          <w:rStyle w:val="normal10"/>
          <w:rFonts w:ascii="Arial" w:hAnsi="Arial" w:cs="Arial"/>
          <w:color w:val="161616"/>
          <w:sz w:val="20"/>
          <w:szCs w:val="20"/>
        </w:rPr>
        <w:t xml:space="preserve"> qui a été invité à adhérer à la Convention sur les droits de l’homme et la biomédecine.</w:t>
      </w:r>
    </w:p>
    <w:p w14:paraId="64823B71" w14:textId="77777777" w:rsidR="00BE25B2" w:rsidRPr="000B044F" w:rsidRDefault="00BE25B2" w:rsidP="00E80261">
      <w:pPr>
        <w:rPr>
          <w:rFonts w:eastAsia="Times New Roman"/>
          <w:szCs w:val="24"/>
        </w:rPr>
      </w:pPr>
    </w:p>
    <w:sectPr w:rsidR="00BE25B2" w:rsidRPr="000B044F" w:rsidSect="004B10BB">
      <w:headerReference w:type="even" r:id="rId8"/>
      <w:headerReference w:type="default" r:id="rId9"/>
      <w:footerReference w:type="default" r:id="rId10"/>
      <w:headerReference w:type="first" r:id="rId11"/>
      <w:footerReference w:type="first" r:id="rId12"/>
      <w:type w:val="continuous"/>
      <w:pgSz w:w="11907" w:h="16840" w:code="9"/>
      <w:pgMar w:top="992" w:right="851" w:bottom="568"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130F7" w14:textId="77777777" w:rsidR="00C9653A" w:rsidRDefault="00C9653A" w:rsidP="00FD6043">
      <w:r>
        <w:separator/>
      </w:r>
    </w:p>
  </w:endnote>
  <w:endnote w:type="continuationSeparator" w:id="0">
    <w:p w14:paraId="7476FC85" w14:textId="77777777" w:rsidR="00C9653A" w:rsidRDefault="00C9653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5763"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57C3"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F9350" w14:textId="77777777" w:rsidR="00C9653A" w:rsidRDefault="00C9653A" w:rsidP="00FD6043">
      <w:r>
        <w:separator/>
      </w:r>
    </w:p>
  </w:footnote>
  <w:footnote w:type="continuationSeparator" w:id="0">
    <w:p w14:paraId="2CED936B" w14:textId="77777777" w:rsidR="00C9653A" w:rsidRDefault="00C9653A" w:rsidP="00FD6043">
      <w:r>
        <w:continuationSeparator/>
      </w:r>
    </w:p>
  </w:footnote>
  <w:footnote w:id="1">
    <w:p w14:paraId="444A0B12" w14:textId="0B38C395" w:rsidR="004D1C0F" w:rsidRPr="00E80261" w:rsidRDefault="00853C90" w:rsidP="004728F8">
      <w:pPr>
        <w:pStyle w:val="FootnoteText"/>
        <w:rPr>
          <w:szCs w:val="16"/>
          <w:highlight w:val="lightGray"/>
        </w:rPr>
      </w:pPr>
      <w:r w:rsidRPr="00E80261">
        <w:rPr>
          <w:rStyle w:val="FootnoteReference"/>
        </w:rPr>
        <w:footnoteRef/>
      </w:r>
      <w:r w:rsidRPr="00E80261">
        <w:t xml:space="preserve"> </w:t>
      </w:r>
      <w:r w:rsidR="00E80261" w:rsidRPr="00E80261">
        <w:rPr>
          <w:szCs w:val="16"/>
        </w:rPr>
        <w:t>C</w:t>
      </w:r>
      <w:r w:rsidR="004728F8" w:rsidRPr="00E80261">
        <w:rPr>
          <w:szCs w:val="16"/>
        </w:rPr>
        <w:t>e document a été classé en diffusion restreinte jusqu'à la date de son examen par le Comité des Ministres.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2400" w14:textId="02F468BB" w:rsidR="00E24C57" w:rsidRPr="00491E67" w:rsidRDefault="009342FF" w:rsidP="00491E67">
    <w:pPr>
      <w:pStyle w:val="Header"/>
    </w:pPr>
    <w:proofErr w:type="gramStart"/>
    <w:r w:rsidRPr="00491E67">
      <w:t>CM(</w:t>
    </w:r>
    <w:proofErr w:type="gramEnd"/>
    <w:r w:rsidR="00DD2E68">
      <w:t>202</w:t>
    </w:r>
    <w:r w:rsidR="00102EE9">
      <w:t>2</w:t>
    </w:r>
    <w:r w:rsidRPr="00491E67">
      <w:t>)</w:t>
    </w:r>
    <w:r w:rsidR="00BD1F10">
      <w:t>1</w:t>
    </w:r>
    <w:r w:rsidR="000B044F">
      <w:t>4</w:t>
    </w:r>
    <w:r w:rsidR="00D31EB8">
      <w:t>-add</w:t>
    </w:r>
    <w:r w:rsidR="003D033B">
      <w:t>1</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1E86" w14:textId="75627771"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DD2E68">
      <w:t>202</w:t>
    </w:r>
    <w:r w:rsidR="00102EE9">
      <w:t>2</w:t>
    </w:r>
    <w:r w:rsidR="009342FF" w:rsidRPr="00491E67">
      <w:t>)</w:t>
    </w:r>
    <w:r w:rsidR="00BD1F10">
      <w:t>1</w:t>
    </w:r>
    <w:r w:rsidR="000B044F">
      <w:t>4</w:t>
    </w:r>
    <w:r w:rsidR="00D31EB8">
      <w:t>-add</w:t>
    </w:r>
    <w:r w:rsidR="003D033B">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003C"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18F2036D" wp14:editId="177A3BBA">
          <wp:simplePos x="0" y="0"/>
          <wp:positionH relativeFrom="page">
            <wp:posOffset>306</wp:posOffset>
          </wp:positionH>
          <wp:positionV relativeFrom="page">
            <wp:posOffset>0</wp:posOffset>
          </wp:positionV>
          <wp:extent cx="7548587" cy="106776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6435"/>
    <w:multiLevelType w:val="hybridMultilevel"/>
    <w:tmpl w:val="2DC651C0"/>
    <w:lvl w:ilvl="0" w:tplc="8EC237F6">
      <w:start w:val="1"/>
      <w:numFmt w:val="decimal"/>
      <w:lvlText w:val="%1."/>
      <w:lvlJc w:val="left"/>
      <w:pPr>
        <w:ind w:left="720" w:hanging="360"/>
      </w:pPr>
      <w:rPr>
        <w:rFonts w:ascii="Arial" w:hAnsi="Arial"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C2E7D"/>
    <w:multiLevelType w:val="multilevel"/>
    <w:tmpl w:val="4CF4AD40"/>
    <w:lvl w:ilvl="0">
      <w:start w:val="1"/>
      <w:numFmt w:val="decimal"/>
      <w:lvlText w:val="%1."/>
      <w:lvlJc w:val="left"/>
      <w:pPr>
        <w:tabs>
          <w:tab w:val="num" w:pos="567"/>
        </w:tabs>
        <w:ind w:left="454" w:hanging="454"/>
      </w:pPr>
      <w:rPr>
        <w:rFonts w:ascii="Arial" w:hAnsi="Arial" w:hint="default"/>
        <w:b/>
        <w:color w:val="auto"/>
        <w:sz w:val="20"/>
      </w:rPr>
    </w:lvl>
    <w:lvl w:ilvl="1">
      <w:start w:val="1"/>
      <w:numFmt w:val="decimal"/>
      <w:lvlText w:val="%1.%2."/>
      <w:lvlJc w:val="left"/>
      <w:pPr>
        <w:tabs>
          <w:tab w:val="num" w:pos="907"/>
        </w:tabs>
        <w:ind w:left="907" w:hanging="453"/>
      </w:pPr>
      <w:rPr>
        <w:rFonts w:hint="default"/>
      </w:rPr>
    </w:lvl>
    <w:lvl w:ilvl="2">
      <w:start w:val="10"/>
      <w:numFmt w:val="bullet"/>
      <w:lvlText w:val="-"/>
      <w:lvlJc w:val="left"/>
      <w:pPr>
        <w:tabs>
          <w:tab w:val="num" w:pos="1588"/>
        </w:tabs>
        <w:ind w:left="1588" w:hanging="680"/>
      </w:pPr>
      <w:rPr>
        <w:rFonts w:ascii="Arial" w:eastAsia="ヒラギノ角ゴ Pro W3" w:hAnsi="Arial" w:cs="Arial" w:hint="default"/>
      </w:rPr>
    </w:lvl>
    <w:lvl w:ilvl="3">
      <w:start w:val="10"/>
      <w:numFmt w:val="bullet"/>
      <w:lvlText w:val="-"/>
      <w:lvlJc w:val="left"/>
      <w:pPr>
        <w:tabs>
          <w:tab w:val="num" w:pos="1929"/>
        </w:tabs>
        <w:ind w:left="1816" w:hanging="454"/>
      </w:pPr>
      <w:rPr>
        <w:rFonts w:ascii="Arial" w:eastAsia="ヒラギノ角ゴ Pro W3" w:hAnsi="Arial" w:cs="Arial" w:hint="default"/>
      </w:rPr>
    </w:lvl>
    <w:lvl w:ilvl="4">
      <w:start w:val="1"/>
      <w:numFmt w:val="decimal"/>
      <w:lvlText w:val="%1.%2.%3.%4.%5."/>
      <w:lvlJc w:val="left"/>
      <w:pPr>
        <w:tabs>
          <w:tab w:val="num" w:pos="2383"/>
        </w:tabs>
        <w:ind w:left="2270" w:hanging="454"/>
      </w:pPr>
      <w:rPr>
        <w:rFonts w:hint="default"/>
      </w:rPr>
    </w:lvl>
    <w:lvl w:ilvl="5">
      <w:start w:val="1"/>
      <w:numFmt w:val="decimal"/>
      <w:lvlText w:val="%1.%2.%3.%4.%5.%6."/>
      <w:lvlJc w:val="left"/>
      <w:pPr>
        <w:tabs>
          <w:tab w:val="num" w:pos="2837"/>
        </w:tabs>
        <w:ind w:left="2724" w:hanging="454"/>
      </w:pPr>
      <w:rPr>
        <w:rFonts w:hint="default"/>
      </w:rPr>
    </w:lvl>
    <w:lvl w:ilvl="6">
      <w:start w:val="1"/>
      <w:numFmt w:val="decimal"/>
      <w:lvlText w:val="%1.%2.%3.%4.%5.%6.%7."/>
      <w:lvlJc w:val="left"/>
      <w:pPr>
        <w:tabs>
          <w:tab w:val="num" w:pos="3291"/>
        </w:tabs>
        <w:ind w:left="3178" w:hanging="454"/>
      </w:pPr>
      <w:rPr>
        <w:rFonts w:hint="default"/>
      </w:rPr>
    </w:lvl>
    <w:lvl w:ilvl="7">
      <w:start w:val="1"/>
      <w:numFmt w:val="decimal"/>
      <w:lvlText w:val="%1.%2.%3.%4.%5.%6.%7.%8."/>
      <w:lvlJc w:val="left"/>
      <w:pPr>
        <w:tabs>
          <w:tab w:val="num" w:pos="3745"/>
        </w:tabs>
        <w:ind w:left="3632" w:hanging="454"/>
      </w:pPr>
      <w:rPr>
        <w:rFonts w:hint="default"/>
      </w:rPr>
    </w:lvl>
    <w:lvl w:ilvl="8">
      <w:start w:val="1"/>
      <w:numFmt w:val="decimal"/>
      <w:lvlText w:val="%1.%2.%3.%4.%5.%6.%7.%8.%9."/>
      <w:lvlJc w:val="left"/>
      <w:pPr>
        <w:tabs>
          <w:tab w:val="num" w:pos="4199"/>
        </w:tabs>
        <w:ind w:left="4086" w:hanging="454"/>
      </w:pPr>
      <w:rPr>
        <w:rFonts w:hint="default"/>
      </w:rPr>
    </w:lvl>
  </w:abstractNum>
  <w:abstractNum w:abstractNumId="2" w15:restartNumberingAfterBreak="0">
    <w:nsid w:val="05BB032F"/>
    <w:multiLevelType w:val="multilevel"/>
    <w:tmpl w:val="7C00724E"/>
    <w:lvl w:ilvl="0">
      <w:start w:val="8"/>
      <w:numFmt w:val="decimal"/>
      <w:lvlText w:val="%1"/>
      <w:lvlJc w:val="left"/>
      <w:pPr>
        <w:ind w:left="360" w:hanging="360"/>
      </w:pPr>
      <w:rPr>
        <w:rFonts w:hint="default"/>
      </w:rPr>
    </w:lvl>
    <w:lvl w:ilvl="1">
      <w:start w:val="1"/>
      <w:numFmt w:val="decimal"/>
      <w:lvlText w:val="%1.%2"/>
      <w:lvlJc w:val="left"/>
      <w:pPr>
        <w:ind w:left="3763" w:hanging="360"/>
      </w:pPr>
      <w:rPr>
        <w:rFonts w:hint="default"/>
        <w:b w:val="0"/>
        <w:bCs w:val="0"/>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79517B8"/>
    <w:multiLevelType w:val="hybridMultilevel"/>
    <w:tmpl w:val="55BC7B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C678B1"/>
    <w:multiLevelType w:val="multilevel"/>
    <w:tmpl w:val="9FDAE5F6"/>
    <w:numStyleLink w:val="myliststyle"/>
  </w:abstractNum>
  <w:abstractNum w:abstractNumId="5" w15:restartNumberingAfterBreak="0">
    <w:nsid w:val="080D7910"/>
    <w:multiLevelType w:val="hybridMultilevel"/>
    <w:tmpl w:val="6C1CEC20"/>
    <w:lvl w:ilvl="0" w:tplc="040C0003">
      <w:start w:val="1"/>
      <w:numFmt w:val="bullet"/>
      <w:lvlText w:val="o"/>
      <w:lvlJc w:val="left"/>
      <w:pPr>
        <w:ind w:left="1168" w:hanging="360"/>
      </w:pPr>
      <w:rPr>
        <w:rFonts w:ascii="Courier New" w:hAnsi="Courier New" w:cs="Courier New" w:hint="default"/>
      </w:rPr>
    </w:lvl>
    <w:lvl w:ilvl="1" w:tplc="040C0003" w:tentative="1">
      <w:start w:val="1"/>
      <w:numFmt w:val="bullet"/>
      <w:lvlText w:val="o"/>
      <w:lvlJc w:val="left"/>
      <w:pPr>
        <w:ind w:left="1888" w:hanging="360"/>
      </w:pPr>
      <w:rPr>
        <w:rFonts w:ascii="Courier New" w:hAnsi="Courier New" w:cs="Courier New" w:hint="default"/>
      </w:rPr>
    </w:lvl>
    <w:lvl w:ilvl="2" w:tplc="040C0005" w:tentative="1">
      <w:start w:val="1"/>
      <w:numFmt w:val="bullet"/>
      <w:lvlText w:val=""/>
      <w:lvlJc w:val="left"/>
      <w:pPr>
        <w:ind w:left="2608" w:hanging="360"/>
      </w:pPr>
      <w:rPr>
        <w:rFonts w:ascii="Wingdings" w:hAnsi="Wingdings" w:hint="default"/>
      </w:rPr>
    </w:lvl>
    <w:lvl w:ilvl="3" w:tplc="040C0001" w:tentative="1">
      <w:start w:val="1"/>
      <w:numFmt w:val="bullet"/>
      <w:lvlText w:val=""/>
      <w:lvlJc w:val="left"/>
      <w:pPr>
        <w:ind w:left="3328" w:hanging="360"/>
      </w:pPr>
      <w:rPr>
        <w:rFonts w:ascii="Symbol" w:hAnsi="Symbol" w:hint="default"/>
      </w:rPr>
    </w:lvl>
    <w:lvl w:ilvl="4" w:tplc="040C0003" w:tentative="1">
      <w:start w:val="1"/>
      <w:numFmt w:val="bullet"/>
      <w:lvlText w:val="o"/>
      <w:lvlJc w:val="left"/>
      <w:pPr>
        <w:ind w:left="4048" w:hanging="360"/>
      </w:pPr>
      <w:rPr>
        <w:rFonts w:ascii="Courier New" w:hAnsi="Courier New" w:cs="Courier New" w:hint="default"/>
      </w:rPr>
    </w:lvl>
    <w:lvl w:ilvl="5" w:tplc="040C0005" w:tentative="1">
      <w:start w:val="1"/>
      <w:numFmt w:val="bullet"/>
      <w:lvlText w:val=""/>
      <w:lvlJc w:val="left"/>
      <w:pPr>
        <w:ind w:left="4768" w:hanging="360"/>
      </w:pPr>
      <w:rPr>
        <w:rFonts w:ascii="Wingdings" w:hAnsi="Wingdings" w:hint="default"/>
      </w:rPr>
    </w:lvl>
    <w:lvl w:ilvl="6" w:tplc="040C0001" w:tentative="1">
      <w:start w:val="1"/>
      <w:numFmt w:val="bullet"/>
      <w:lvlText w:val=""/>
      <w:lvlJc w:val="left"/>
      <w:pPr>
        <w:ind w:left="5488" w:hanging="360"/>
      </w:pPr>
      <w:rPr>
        <w:rFonts w:ascii="Symbol" w:hAnsi="Symbol" w:hint="default"/>
      </w:rPr>
    </w:lvl>
    <w:lvl w:ilvl="7" w:tplc="040C0003" w:tentative="1">
      <w:start w:val="1"/>
      <w:numFmt w:val="bullet"/>
      <w:lvlText w:val="o"/>
      <w:lvlJc w:val="left"/>
      <w:pPr>
        <w:ind w:left="6208" w:hanging="360"/>
      </w:pPr>
      <w:rPr>
        <w:rFonts w:ascii="Courier New" w:hAnsi="Courier New" w:cs="Courier New" w:hint="default"/>
      </w:rPr>
    </w:lvl>
    <w:lvl w:ilvl="8" w:tplc="040C0005" w:tentative="1">
      <w:start w:val="1"/>
      <w:numFmt w:val="bullet"/>
      <w:lvlText w:val=""/>
      <w:lvlJc w:val="left"/>
      <w:pPr>
        <w:ind w:left="6928" w:hanging="360"/>
      </w:pPr>
      <w:rPr>
        <w:rFonts w:ascii="Wingdings" w:hAnsi="Wingdings" w:hint="default"/>
      </w:rPr>
    </w:lvl>
  </w:abstractNum>
  <w:abstractNum w:abstractNumId="6" w15:restartNumberingAfterBreak="0">
    <w:nsid w:val="087E75A2"/>
    <w:multiLevelType w:val="hybridMultilevel"/>
    <w:tmpl w:val="F9F6FF2E"/>
    <w:lvl w:ilvl="0" w:tplc="4D74AEA0">
      <w:start w:val="5"/>
      <w:numFmt w:val="bullet"/>
      <w:lvlText w:val="-"/>
      <w:lvlJc w:val="left"/>
      <w:pPr>
        <w:ind w:left="720" w:hanging="360"/>
      </w:pPr>
      <w:rPr>
        <w:rFonts w:ascii="Calibri" w:eastAsiaTheme="minorHAnsi" w:hAnsi="Calibri" w:cs="Calibri" w:hint="default"/>
        <w:u w:val="non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162C20"/>
    <w:multiLevelType w:val="hybridMultilevel"/>
    <w:tmpl w:val="58BA586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46F45"/>
    <w:multiLevelType w:val="hybridMultilevel"/>
    <w:tmpl w:val="DBCCD25C"/>
    <w:lvl w:ilvl="0" w:tplc="040C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F86AF1"/>
    <w:multiLevelType w:val="hybridMultilevel"/>
    <w:tmpl w:val="E56026AA"/>
    <w:lvl w:ilvl="0" w:tplc="037C1D0E">
      <w:start w:val="1"/>
      <w:numFmt w:val="decimal"/>
      <w:pStyle w:val="Listlvl1"/>
      <w:lvlText w:val="%1."/>
      <w:lvlJc w:val="left"/>
      <w:pPr>
        <w:ind w:left="720" w:hanging="360"/>
      </w:pPr>
      <w:rPr>
        <w:rFonts w:hint="default"/>
        <w:b/>
        <w:bCs/>
      </w:rPr>
    </w:lvl>
    <w:lvl w:ilvl="1" w:tplc="A05210A4">
      <w:start w:val="1"/>
      <w:numFmt w:val="decimal"/>
      <w:lvlText w:val="%2.1"/>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6B35D2"/>
    <w:multiLevelType w:val="hybridMultilevel"/>
    <w:tmpl w:val="499A2490"/>
    <w:lvl w:ilvl="0" w:tplc="54385612">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10857A9"/>
    <w:multiLevelType w:val="hybridMultilevel"/>
    <w:tmpl w:val="939896A0"/>
    <w:lvl w:ilvl="0" w:tplc="EE38A332">
      <w:start w:val="8"/>
      <w:numFmt w:val="bullet"/>
      <w:lvlText w:val="-"/>
      <w:lvlJc w:val="left"/>
      <w:pPr>
        <w:ind w:left="2568" w:hanging="360"/>
      </w:pPr>
      <w:rPr>
        <w:rFonts w:ascii="Calibri" w:eastAsiaTheme="minorHAnsi" w:hAnsi="Calibri" w:cs="Calibri" w:hint="default"/>
        <w:i w:val="0"/>
      </w:rPr>
    </w:lvl>
    <w:lvl w:ilvl="1" w:tplc="040C0003" w:tentative="1">
      <w:start w:val="1"/>
      <w:numFmt w:val="bullet"/>
      <w:lvlText w:val="o"/>
      <w:lvlJc w:val="left"/>
      <w:pPr>
        <w:ind w:left="3288" w:hanging="360"/>
      </w:pPr>
      <w:rPr>
        <w:rFonts w:ascii="Courier New" w:hAnsi="Courier New" w:cs="Courier New" w:hint="default"/>
      </w:rPr>
    </w:lvl>
    <w:lvl w:ilvl="2" w:tplc="040C0005" w:tentative="1">
      <w:start w:val="1"/>
      <w:numFmt w:val="bullet"/>
      <w:lvlText w:val=""/>
      <w:lvlJc w:val="left"/>
      <w:pPr>
        <w:ind w:left="4008" w:hanging="360"/>
      </w:pPr>
      <w:rPr>
        <w:rFonts w:ascii="Wingdings" w:hAnsi="Wingdings" w:hint="default"/>
      </w:rPr>
    </w:lvl>
    <w:lvl w:ilvl="3" w:tplc="040C0001" w:tentative="1">
      <w:start w:val="1"/>
      <w:numFmt w:val="bullet"/>
      <w:lvlText w:val=""/>
      <w:lvlJc w:val="left"/>
      <w:pPr>
        <w:ind w:left="4728" w:hanging="360"/>
      </w:pPr>
      <w:rPr>
        <w:rFonts w:ascii="Symbol" w:hAnsi="Symbol" w:hint="default"/>
      </w:rPr>
    </w:lvl>
    <w:lvl w:ilvl="4" w:tplc="040C0003" w:tentative="1">
      <w:start w:val="1"/>
      <w:numFmt w:val="bullet"/>
      <w:lvlText w:val="o"/>
      <w:lvlJc w:val="left"/>
      <w:pPr>
        <w:ind w:left="5448" w:hanging="360"/>
      </w:pPr>
      <w:rPr>
        <w:rFonts w:ascii="Courier New" w:hAnsi="Courier New" w:cs="Courier New" w:hint="default"/>
      </w:rPr>
    </w:lvl>
    <w:lvl w:ilvl="5" w:tplc="040C0005" w:tentative="1">
      <w:start w:val="1"/>
      <w:numFmt w:val="bullet"/>
      <w:lvlText w:val=""/>
      <w:lvlJc w:val="left"/>
      <w:pPr>
        <w:ind w:left="6168" w:hanging="360"/>
      </w:pPr>
      <w:rPr>
        <w:rFonts w:ascii="Wingdings" w:hAnsi="Wingdings" w:hint="default"/>
      </w:rPr>
    </w:lvl>
    <w:lvl w:ilvl="6" w:tplc="040C0001" w:tentative="1">
      <w:start w:val="1"/>
      <w:numFmt w:val="bullet"/>
      <w:lvlText w:val=""/>
      <w:lvlJc w:val="left"/>
      <w:pPr>
        <w:ind w:left="6888" w:hanging="360"/>
      </w:pPr>
      <w:rPr>
        <w:rFonts w:ascii="Symbol" w:hAnsi="Symbol" w:hint="default"/>
      </w:rPr>
    </w:lvl>
    <w:lvl w:ilvl="7" w:tplc="040C0003" w:tentative="1">
      <w:start w:val="1"/>
      <w:numFmt w:val="bullet"/>
      <w:lvlText w:val="o"/>
      <w:lvlJc w:val="left"/>
      <w:pPr>
        <w:ind w:left="7608" w:hanging="360"/>
      </w:pPr>
      <w:rPr>
        <w:rFonts w:ascii="Courier New" w:hAnsi="Courier New" w:cs="Courier New" w:hint="default"/>
      </w:rPr>
    </w:lvl>
    <w:lvl w:ilvl="8" w:tplc="040C0005" w:tentative="1">
      <w:start w:val="1"/>
      <w:numFmt w:val="bullet"/>
      <w:lvlText w:val=""/>
      <w:lvlJc w:val="left"/>
      <w:pPr>
        <w:ind w:left="8328" w:hanging="360"/>
      </w:pPr>
      <w:rPr>
        <w:rFonts w:ascii="Wingdings" w:hAnsi="Wingdings" w:hint="default"/>
      </w:rPr>
    </w:lvl>
  </w:abstractNum>
  <w:abstractNum w:abstractNumId="12" w15:restartNumberingAfterBreak="0">
    <w:nsid w:val="22A84C16"/>
    <w:multiLevelType w:val="hybridMultilevel"/>
    <w:tmpl w:val="526A1D8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1F3698"/>
    <w:multiLevelType w:val="multilevel"/>
    <w:tmpl w:val="69C8BFAA"/>
    <w:lvl w:ilvl="0">
      <w:start w:val="1"/>
      <w:numFmt w:val="decimal"/>
      <w:lvlText w:val="%1."/>
      <w:lvlJc w:val="left"/>
      <w:pPr>
        <w:tabs>
          <w:tab w:val="num" w:pos="567"/>
        </w:tabs>
        <w:ind w:left="454" w:hanging="454"/>
      </w:pPr>
      <w:rPr>
        <w:rFonts w:ascii="Arial" w:hAnsi="Arial" w:hint="default"/>
        <w:b/>
        <w:color w:val="auto"/>
        <w:sz w:val="20"/>
      </w:rPr>
    </w:lvl>
    <w:lvl w:ilvl="1">
      <w:start w:val="1"/>
      <w:numFmt w:val="decimal"/>
      <w:lvlText w:val="%1.%2."/>
      <w:lvlJc w:val="left"/>
      <w:pPr>
        <w:tabs>
          <w:tab w:val="num" w:pos="907"/>
        </w:tabs>
        <w:ind w:left="907" w:hanging="453"/>
      </w:pPr>
      <w:rPr>
        <w:rFonts w:hint="default"/>
      </w:rPr>
    </w:lvl>
    <w:lvl w:ilvl="2">
      <w:start w:val="10"/>
      <w:numFmt w:val="bullet"/>
      <w:lvlText w:val="-"/>
      <w:lvlJc w:val="left"/>
      <w:pPr>
        <w:tabs>
          <w:tab w:val="num" w:pos="1588"/>
        </w:tabs>
        <w:ind w:left="1588" w:hanging="680"/>
      </w:pPr>
      <w:rPr>
        <w:rFonts w:ascii="Arial" w:eastAsia="ヒラギノ角ゴ Pro W3" w:hAnsi="Arial" w:cs="Arial" w:hint="default"/>
      </w:rPr>
    </w:lvl>
    <w:lvl w:ilvl="3">
      <w:start w:val="1"/>
      <w:numFmt w:val="decimal"/>
      <w:lvlText w:val="%1.%2.%3.%4."/>
      <w:lvlJc w:val="left"/>
      <w:pPr>
        <w:tabs>
          <w:tab w:val="num" w:pos="1929"/>
        </w:tabs>
        <w:ind w:left="1816" w:hanging="454"/>
      </w:pPr>
      <w:rPr>
        <w:rFonts w:hint="default"/>
      </w:rPr>
    </w:lvl>
    <w:lvl w:ilvl="4">
      <w:start w:val="1"/>
      <w:numFmt w:val="decimal"/>
      <w:lvlText w:val="%1.%2.%3.%4.%5."/>
      <w:lvlJc w:val="left"/>
      <w:pPr>
        <w:tabs>
          <w:tab w:val="num" w:pos="2383"/>
        </w:tabs>
        <w:ind w:left="2270" w:hanging="454"/>
      </w:pPr>
      <w:rPr>
        <w:rFonts w:hint="default"/>
      </w:rPr>
    </w:lvl>
    <w:lvl w:ilvl="5">
      <w:start w:val="1"/>
      <w:numFmt w:val="decimal"/>
      <w:lvlText w:val="%1.%2.%3.%4.%5.%6."/>
      <w:lvlJc w:val="left"/>
      <w:pPr>
        <w:tabs>
          <w:tab w:val="num" w:pos="2837"/>
        </w:tabs>
        <w:ind w:left="2724" w:hanging="454"/>
      </w:pPr>
      <w:rPr>
        <w:rFonts w:hint="default"/>
      </w:rPr>
    </w:lvl>
    <w:lvl w:ilvl="6">
      <w:start w:val="1"/>
      <w:numFmt w:val="decimal"/>
      <w:lvlText w:val="%1.%2.%3.%4.%5.%6.%7."/>
      <w:lvlJc w:val="left"/>
      <w:pPr>
        <w:tabs>
          <w:tab w:val="num" w:pos="3291"/>
        </w:tabs>
        <w:ind w:left="3178" w:hanging="454"/>
      </w:pPr>
      <w:rPr>
        <w:rFonts w:hint="default"/>
      </w:rPr>
    </w:lvl>
    <w:lvl w:ilvl="7">
      <w:start w:val="1"/>
      <w:numFmt w:val="decimal"/>
      <w:lvlText w:val="%1.%2.%3.%4.%5.%6.%7.%8."/>
      <w:lvlJc w:val="left"/>
      <w:pPr>
        <w:tabs>
          <w:tab w:val="num" w:pos="3745"/>
        </w:tabs>
        <w:ind w:left="3632" w:hanging="454"/>
      </w:pPr>
      <w:rPr>
        <w:rFonts w:hint="default"/>
      </w:rPr>
    </w:lvl>
    <w:lvl w:ilvl="8">
      <w:start w:val="1"/>
      <w:numFmt w:val="decimal"/>
      <w:lvlText w:val="%1.%2.%3.%4.%5.%6.%7.%8.%9."/>
      <w:lvlJc w:val="left"/>
      <w:pPr>
        <w:tabs>
          <w:tab w:val="num" w:pos="4199"/>
        </w:tabs>
        <w:ind w:left="4086" w:hanging="454"/>
      </w:pPr>
      <w:rPr>
        <w:rFonts w:hint="default"/>
      </w:rPr>
    </w:lvl>
  </w:abstractNum>
  <w:abstractNum w:abstractNumId="14" w15:restartNumberingAfterBreak="0">
    <w:nsid w:val="2E8C6962"/>
    <w:multiLevelType w:val="hybridMultilevel"/>
    <w:tmpl w:val="0A4C658A"/>
    <w:lvl w:ilvl="0" w:tplc="A9468A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642334F"/>
    <w:multiLevelType w:val="hybridMultilevel"/>
    <w:tmpl w:val="158033AE"/>
    <w:lvl w:ilvl="0" w:tplc="E484211C">
      <w:numFmt w:val="bullet"/>
      <w:lvlText w:val="-"/>
      <w:lvlJc w:val="left"/>
      <w:pPr>
        <w:ind w:left="1364" w:hanging="360"/>
      </w:pPr>
      <w:rPr>
        <w:rFonts w:ascii="Calibri" w:eastAsiaTheme="minorHAnsi" w:hAnsi="Calibri" w:cs="Calibr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6" w15:restartNumberingAfterBreak="0">
    <w:nsid w:val="36853869"/>
    <w:multiLevelType w:val="multilevel"/>
    <w:tmpl w:val="3D1CE49E"/>
    <w:lvl w:ilvl="0">
      <w:start w:val="1"/>
      <w:numFmt w:val="decimal"/>
      <w:lvlText w:val="%1."/>
      <w:lvlJc w:val="left"/>
      <w:pPr>
        <w:ind w:left="720" w:hanging="360"/>
      </w:p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72D7F5E"/>
    <w:multiLevelType w:val="hybridMultilevel"/>
    <w:tmpl w:val="50180080"/>
    <w:lvl w:ilvl="0" w:tplc="A4F25C9C">
      <w:start w:val="1"/>
      <w:numFmt w:val="decimal"/>
      <w:lvlText w:val="%1."/>
      <w:lvlJc w:val="left"/>
      <w:pPr>
        <w:ind w:left="502" w:hanging="360"/>
      </w:pPr>
      <w:rPr>
        <w:rFonts w:hint="default"/>
        <w:b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3EE6315D"/>
    <w:multiLevelType w:val="hybridMultilevel"/>
    <w:tmpl w:val="0E00717A"/>
    <w:lvl w:ilvl="0" w:tplc="6F08EB22">
      <w:start w:val="1"/>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9" w15:restartNumberingAfterBreak="0">
    <w:nsid w:val="3F916A8C"/>
    <w:multiLevelType w:val="hybridMultilevel"/>
    <w:tmpl w:val="B376278E"/>
    <w:lvl w:ilvl="0" w:tplc="F7144DE6">
      <w:start w:val="1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257BB3"/>
    <w:multiLevelType w:val="hybridMultilevel"/>
    <w:tmpl w:val="8FF63FB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4721C5A"/>
    <w:multiLevelType w:val="hybridMultilevel"/>
    <w:tmpl w:val="FD567478"/>
    <w:lvl w:ilvl="0" w:tplc="8C46FFE8">
      <w:start w:val="2"/>
      <w:numFmt w:val="bullet"/>
      <w:lvlText w:val="-"/>
      <w:lvlJc w:val="left"/>
      <w:pPr>
        <w:ind w:left="1099" w:hanging="360"/>
      </w:pPr>
      <w:rPr>
        <w:rFonts w:ascii="Arial" w:eastAsia="Times New Roman" w:hAnsi="Arial" w:cs="Arial" w:hint="default"/>
      </w:rPr>
    </w:lvl>
    <w:lvl w:ilvl="1" w:tplc="040C0003" w:tentative="1">
      <w:start w:val="1"/>
      <w:numFmt w:val="bullet"/>
      <w:lvlText w:val="o"/>
      <w:lvlJc w:val="left"/>
      <w:pPr>
        <w:ind w:left="1819" w:hanging="360"/>
      </w:pPr>
      <w:rPr>
        <w:rFonts w:ascii="Courier New" w:hAnsi="Courier New" w:cs="Courier New" w:hint="default"/>
      </w:rPr>
    </w:lvl>
    <w:lvl w:ilvl="2" w:tplc="040C0005" w:tentative="1">
      <w:start w:val="1"/>
      <w:numFmt w:val="bullet"/>
      <w:lvlText w:val=""/>
      <w:lvlJc w:val="left"/>
      <w:pPr>
        <w:ind w:left="2539" w:hanging="360"/>
      </w:pPr>
      <w:rPr>
        <w:rFonts w:ascii="Wingdings" w:hAnsi="Wingdings" w:hint="default"/>
      </w:rPr>
    </w:lvl>
    <w:lvl w:ilvl="3" w:tplc="040C0001" w:tentative="1">
      <w:start w:val="1"/>
      <w:numFmt w:val="bullet"/>
      <w:lvlText w:val=""/>
      <w:lvlJc w:val="left"/>
      <w:pPr>
        <w:ind w:left="3259" w:hanging="360"/>
      </w:pPr>
      <w:rPr>
        <w:rFonts w:ascii="Symbol" w:hAnsi="Symbol" w:hint="default"/>
      </w:rPr>
    </w:lvl>
    <w:lvl w:ilvl="4" w:tplc="040C0003" w:tentative="1">
      <w:start w:val="1"/>
      <w:numFmt w:val="bullet"/>
      <w:lvlText w:val="o"/>
      <w:lvlJc w:val="left"/>
      <w:pPr>
        <w:ind w:left="3979" w:hanging="360"/>
      </w:pPr>
      <w:rPr>
        <w:rFonts w:ascii="Courier New" w:hAnsi="Courier New" w:cs="Courier New" w:hint="default"/>
      </w:rPr>
    </w:lvl>
    <w:lvl w:ilvl="5" w:tplc="040C0005" w:tentative="1">
      <w:start w:val="1"/>
      <w:numFmt w:val="bullet"/>
      <w:lvlText w:val=""/>
      <w:lvlJc w:val="left"/>
      <w:pPr>
        <w:ind w:left="4699" w:hanging="360"/>
      </w:pPr>
      <w:rPr>
        <w:rFonts w:ascii="Wingdings" w:hAnsi="Wingdings" w:hint="default"/>
      </w:rPr>
    </w:lvl>
    <w:lvl w:ilvl="6" w:tplc="040C0001" w:tentative="1">
      <w:start w:val="1"/>
      <w:numFmt w:val="bullet"/>
      <w:lvlText w:val=""/>
      <w:lvlJc w:val="left"/>
      <w:pPr>
        <w:ind w:left="5419" w:hanging="360"/>
      </w:pPr>
      <w:rPr>
        <w:rFonts w:ascii="Symbol" w:hAnsi="Symbol" w:hint="default"/>
      </w:rPr>
    </w:lvl>
    <w:lvl w:ilvl="7" w:tplc="040C0003" w:tentative="1">
      <w:start w:val="1"/>
      <w:numFmt w:val="bullet"/>
      <w:lvlText w:val="o"/>
      <w:lvlJc w:val="left"/>
      <w:pPr>
        <w:ind w:left="6139" w:hanging="360"/>
      </w:pPr>
      <w:rPr>
        <w:rFonts w:ascii="Courier New" w:hAnsi="Courier New" w:cs="Courier New" w:hint="default"/>
      </w:rPr>
    </w:lvl>
    <w:lvl w:ilvl="8" w:tplc="040C0005" w:tentative="1">
      <w:start w:val="1"/>
      <w:numFmt w:val="bullet"/>
      <w:lvlText w:val=""/>
      <w:lvlJc w:val="left"/>
      <w:pPr>
        <w:ind w:left="6859" w:hanging="360"/>
      </w:pPr>
      <w:rPr>
        <w:rFonts w:ascii="Wingdings" w:hAnsi="Wingdings" w:hint="default"/>
      </w:rPr>
    </w:lvl>
  </w:abstractNum>
  <w:abstractNum w:abstractNumId="22" w15:restartNumberingAfterBreak="0">
    <w:nsid w:val="45EA64A0"/>
    <w:multiLevelType w:val="hybridMultilevel"/>
    <w:tmpl w:val="A69C2E2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48797C2D"/>
    <w:multiLevelType w:val="hybridMultilevel"/>
    <w:tmpl w:val="49D4CCFA"/>
    <w:lvl w:ilvl="0" w:tplc="F7144DE6">
      <w:start w:val="10"/>
      <w:numFmt w:val="bullet"/>
      <w:lvlText w:val="-"/>
      <w:lvlJc w:val="left"/>
      <w:pPr>
        <w:ind w:left="1038" w:hanging="360"/>
      </w:pPr>
      <w:rPr>
        <w:rFonts w:ascii="Arial" w:eastAsia="ヒラギノ角ゴ Pro W3" w:hAnsi="Arial" w:cs="Aria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24" w15:restartNumberingAfterBreak="0">
    <w:nsid w:val="49F624B4"/>
    <w:multiLevelType w:val="multilevel"/>
    <w:tmpl w:val="9FDAE5F6"/>
    <w:numStyleLink w:val="myliststyle"/>
  </w:abstractNum>
  <w:abstractNum w:abstractNumId="25" w15:restartNumberingAfterBreak="0">
    <w:nsid w:val="4AD3461D"/>
    <w:multiLevelType w:val="hybridMultilevel"/>
    <w:tmpl w:val="F0BE51B4"/>
    <w:lvl w:ilvl="0" w:tplc="528E88C4">
      <w:start w:val="202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4B8D2D7D"/>
    <w:multiLevelType w:val="hybridMultilevel"/>
    <w:tmpl w:val="943C275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0477AF5"/>
    <w:multiLevelType w:val="hybridMultilevel"/>
    <w:tmpl w:val="A12A71CE"/>
    <w:lvl w:ilvl="0" w:tplc="629A23E6">
      <w:start w:val="5"/>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BD58E5"/>
    <w:multiLevelType w:val="multilevel"/>
    <w:tmpl w:val="19DED784"/>
    <w:lvl w:ilvl="0">
      <w:start w:val="1"/>
      <w:numFmt w:val="decimal"/>
      <w:lvlText w:val="%1."/>
      <w:lvlJc w:val="left"/>
      <w:pPr>
        <w:ind w:left="360" w:hanging="360"/>
      </w:pPr>
      <w:rPr>
        <w:rFonts w:ascii="Arial" w:hAnsi="Arial" w:cs="Arial" w:hint="default"/>
        <w:b/>
        <w:bCs/>
        <w:sz w:val="22"/>
        <w:szCs w:val="22"/>
      </w:rPr>
    </w:lvl>
    <w:lvl w:ilvl="1">
      <w:start w:val="1"/>
      <w:numFmt w:val="decimal"/>
      <w:isLgl/>
      <w:lvlText w:val="%1.%2"/>
      <w:lvlJc w:val="left"/>
      <w:pPr>
        <w:ind w:left="430" w:hanging="4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2FE24A4"/>
    <w:multiLevelType w:val="hybridMultilevel"/>
    <w:tmpl w:val="9F0049D6"/>
    <w:lvl w:ilvl="0" w:tplc="F7144DE6">
      <w:start w:val="1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28734E"/>
    <w:multiLevelType w:val="multilevel"/>
    <w:tmpl w:val="9FDAE5F6"/>
    <w:numStyleLink w:val="myliststyle"/>
  </w:abstractNum>
  <w:abstractNum w:abstractNumId="31" w15:restartNumberingAfterBreak="0">
    <w:nsid w:val="54EA6585"/>
    <w:multiLevelType w:val="hybridMultilevel"/>
    <w:tmpl w:val="E0024A9A"/>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A855BBC"/>
    <w:multiLevelType w:val="hybridMultilevel"/>
    <w:tmpl w:val="6B842C1E"/>
    <w:lvl w:ilvl="0" w:tplc="D9A090F6">
      <w:start w:val="1"/>
      <w:numFmt w:val="lowerLetter"/>
      <w:lvlText w:val="%1."/>
      <w:lvlJc w:val="left"/>
      <w:pPr>
        <w:ind w:left="720" w:hanging="360"/>
      </w:pPr>
      <w:rPr>
        <w:rFonts w:ascii="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234929"/>
    <w:multiLevelType w:val="multilevel"/>
    <w:tmpl w:val="9FDAE5F6"/>
    <w:styleLink w:val="myliststyle"/>
    <w:lvl w:ilvl="0">
      <w:start w:val="1"/>
      <w:numFmt w:val="decimal"/>
      <w:lvlText w:val="%1."/>
      <w:lvlJc w:val="left"/>
      <w:pPr>
        <w:tabs>
          <w:tab w:val="num" w:pos="567"/>
        </w:tabs>
        <w:ind w:left="454" w:hanging="454"/>
      </w:pPr>
      <w:rPr>
        <w:rFonts w:ascii="Arial" w:hAnsi="Arial" w:hint="default"/>
        <w:b/>
        <w:color w:val="auto"/>
        <w:sz w:val="20"/>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588"/>
        </w:tabs>
        <w:ind w:left="1588" w:hanging="680"/>
      </w:pPr>
      <w:rPr>
        <w:rFonts w:hint="default"/>
      </w:rPr>
    </w:lvl>
    <w:lvl w:ilvl="3">
      <w:start w:val="1"/>
      <w:numFmt w:val="bullet"/>
      <w:lvlText w:val=""/>
      <w:lvlJc w:val="left"/>
      <w:pPr>
        <w:tabs>
          <w:tab w:val="num" w:pos="1929"/>
        </w:tabs>
        <w:ind w:left="1816" w:hanging="454"/>
      </w:pPr>
      <w:rPr>
        <w:rFonts w:ascii="Symbol" w:hAnsi="Symbol" w:hint="default"/>
        <w:color w:val="auto"/>
      </w:rPr>
    </w:lvl>
    <w:lvl w:ilvl="4">
      <w:start w:val="1"/>
      <w:numFmt w:val="bullet"/>
      <w:lvlText w:val=""/>
      <w:lvlJc w:val="left"/>
      <w:pPr>
        <w:tabs>
          <w:tab w:val="num" w:pos="2383"/>
        </w:tabs>
        <w:ind w:left="2270" w:hanging="454"/>
      </w:pPr>
      <w:rPr>
        <w:rFonts w:ascii="Symbol" w:hAnsi="Symbol" w:hint="default"/>
        <w:color w:val="auto"/>
      </w:rPr>
    </w:lvl>
    <w:lvl w:ilvl="5">
      <w:start w:val="1"/>
      <w:numFmt w:val="bullet"/>
      <w:lvlText w:val=""/>
      <w:lvlJc w:val="left"/>
      <w:pPr>
        <w:tabs>
          <w:tab w:val="num" w:pos="2837"/>
        </w:tabs>
        <w:ind w:left="2724" w:hanging="454"/>
      </w:pPr>
      <w:rPr>
        <w:rFonts w:ascii="Symbol" w:hAnsi="Symbol" w:hint="default"/>
        <w:color w:val="auto"/>
      </w:rPr>
    </w:lvl>
    <w:lvl w:ilvl="6">
      <w:start w:val="1"/>
      <w:numFmt w:val="bullet"/>
      <w:lvlText w:val=""/>
      <w:lvlJc w:val="left"/>
      <w:pPr>
        <w:tabs>
          <w:tab w:val="num" w:pos="3291"/>
        </w:tabs>
        <w:ind w:left="3178" w:hanging="454"/>
      </w:pPr>
      <w:rPr>
        <w:rFonts w:ascii="Symbol" w:hAnsi="Symbol" w:hint="default"/>
        <w:color w:val="auto"/>
      </w:rPr>
    </w:lvl>
    <w:lvl w:ilvl="7">
      <w:start w:val="1"/>
      <w:numFmt w:val="bullet"/>
      <w:lvlText w:val=""/>
      <w:lvlJc w:val="left"/>
      <w:pPr>
        <w:tabs>
          <w:tab w:val="num" w:pos="3745"/>
        </w:tabs>
        <w:ind w:left="3632" w:hanging="454"/>
      </w:pPr>
      <w:rPr>
        <w:rFonts w:ascii="Symbol" w:hAnsi="Symbol" w:hint="default"/>
        <w:color w:val="auto"/>
      </w:rPr>
    </w:lvl>
    <w:lvl w:ilvl="8">
      <w:start w:val="1"/>
      <w:numFmt w:val="bullet"/>
      <w:lvlText w:val=""/>
      <w:lvlJc w:val="left"/>
      <w:pPr>
        <w:tabs>
          <w:tab w:val="num" w:pos="4199"/>
        </w:tabs>
        <w:ind w:left="4086" w:hanging="454"/>
      </w:pPr>
      <w:rPr>
        <w:rFonts w:ascii="Symbol" w:hAnsi="Symbol" w:hint="default"/>
        <w:color w:val="auto"/>
      </w:rPr>
    </w:lvl>
  </w:abstractNum>
  <w:abstractNum w:abstractNumId="34" w15:restartNumberingAfterBreak="0">
    <w:nsid w:val="5D7E6CB5"/>
    <w:multiLevelType w:val="hybridMultilevel"/>
    <w:tmpl w:val="5CFCAC9C"/>
    <w:lvl w:ilvl="0" w:tplc="36581EFE">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15:restartNumberingAfterBreak="0">
    <w:nsid w:val="623A1BEF"/>
    <w:multiLevelType w:val="hybridMultilevel"/>
    <w:tmpl w:val="E8324550"/>
    <w:lvl w:ilvl="0" w:tplc="5E02D5E8">
      <w:numFmt w:val="bullet"/>
      <w:lvlText w:val="-"/>
      <w:lvlJc w:val="left"/>
      <w:pPr>
        <w:ind w:left="1070" w:hanging="71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8439C4"/>
    <w:multiLevelType w:val="hybridMultilevel"/>
    <w:tmpl w:val="9DCAD77E"/>
    <w:lvl w:ilvl="0" w:tplc="F7144DE6">
      <w:start w:val="1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6E7D96"/>
    <w:multiLevelType w:val="multilevel"/>
    <w:tmpl w:val="9FDAE5F6"/>
    <w:numStyleLink w:val="myliststyle"/>
  </w:abstractNum>
  <w:abstractNum w:abstractNumId="38" w15:restartNumberingAfterBreak="0">
    <w:nsid w:val="6C4740EA"/>
    <w:multiLevelType w:val="hybridMultilevel"/>
    <w:tmpl w:val="49AA9710"/>
    <w:lvl w:ilvl="0" w:tplc="5D04C57E">
      <w:start w:val="11"/>
      <w:numFmt w:val="bullet"/>
      <w:lvlText w:val="-"/>
      <w:lvlJc w:val="left"/>
      <w:pPr>
        <w:ind w:left="720" w:hanging="360"/>
      </w:pPr>
      <w:rPr>
        <w:rFonts w:ascii="Tahoma" w:eastAsiaTheme="minorHAnsi" w:hAnsi="Tahoma" w:cs="Tahom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081E5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38C1ADA"/>
    <w:multiLevelType w:val="multilevel"/>
    <w:tmpl w:val="7090DB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418" w:hanging="698"/>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3CF1CFA"/>
    <w:multiLevelType w:val="hybridMultilevel"/>
    <w:tmpl w:val="144C0576"/>
    <w:lvl w:ilvl="0" w:tplc="2F32E7C6">
      <w:start w:val="2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660D26"/>
    <w:multiLevelType w:val="hybridMultilevel"/>
    <w:tmpl w:val="3A8ED10E"/>
    <w:lvl w:ilvl="0" w:tplc="F7144DE6">
      <w:start w:val="10"/>
      <w:numFmt w:val="bullet"/>
      <w:lvlText w:val="-"/>
      <w:lvlJc w:val="left"/>
      <w:pPr>
        <w:ind w:left="720" w:hanging="360"/>
      </w:pPr>
      <w:rPr>
        <w:rFonts w:ascii="Arial" w:eastAsia="ヒラギノ角ゴ Pro W3" w:hAnsi="Arial" w:cs="Arial" w:hint="default"/>
      </w:rPr>
    </w:lvl>
    <w:lvl w:ilvl="1" w:tplc="F7144DE6">
      <w:start w:val="10"/>
      <w:numFmt w:val="bullet"/>
      <w:lvlText w:val="-"/>
      <w:lvlJc w:val="left"/>
      <w:pPr>
        <w:ind w:left="1785" w:hanging="705"/>
      </w:pPr>
      <w:rPr>
        <w:rFonts w:ascii="Arial" w:eastAsia="ヒラギノ角ゴ Pro W3"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086B44"/>
    <w:multiLevelType w:val="hybridMultilevel"/>
    <w:tmpl w:val="9820954A"/>
    <w:lvl w:ilvl="0" w:tplc="F7144DE6">
      <w:start w:val="10"/>
      <w:numFmt w:val="bullet"/>
      <w:lvlText w:val="-"/>
      <w:lvlJc w:val="left"/>
      <w:pPr>
        <w:ind w:left="720" w:hanging="360"/>
      </w:pPr>
      <w:rPr>
        <w:rFonts w:ascii="Arial" w:eastAsia="ヒラギノ角ゴ Pro W3" w:hAnsi="Arial" w:cs="Arial" w:hint="default"/>
      </w:rPr>
    </w:lvl>
    <w:lvl w:ilvl="1" w:tplc="ADD664D6">
      <w:start w:val="12"/>
      <w:numFmt w:val="bullet"/>
      <w:lvlText w:val=""/>
      <w:lvlJc w:val="left"/>
      <w:pPr>
        <w:ind w:left="1785" w:hanging="705"/>
      </w:pPr>
      <w:rPr>
        <w:rFonts w:ascii="Symbol" w:eastAsiaTheme="minorHAnsi" w:hAnsi="Symbol"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2F3DE0"/>
    <w:multiLevelType w:val="hybridMultilevel"/>
    <w:tmpl w:val="DC6EFE8C"/>
    <w:lvl w:ilvl="0" w:tplc="F7144DE6">
      <w:start w:val="1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F2044F"/>
    <w:multiLevelType w:val="hybridMultilevel"/>
    <w:tmpl w:val="EA6E0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FF6E44"/>
    <w:multiLevelType w:val="hybridMultilevel"/>
    <w:tmpl w:val="715415AC"/>
    <w:lvl w:ilvl="0" w:tplc="EE38A332">
      <w:start w:val="8"/>
      <w:numFmt w:val="bullet"/>
      <w:lvlText w:val="-"/>
      <w:lvlJc w:val="left"/>
      <w:pPr>
        <w:ind w:left="720" w:hanging="360"/>
      </w:pPr>
      <w:rPr>
        <w:rFonts w:ascii="Calibri" w:eastAsiaTheme="minorHAnsi" w:hAnsi="Calibri" w:cs="Calibr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E43CFA"/>
    <w:multiLevelType w:val="hybridMultilevel"/>
    <w:tmpl w:val="A9E2E502"/>
    <w:lvl w:ilvl="0" w:tplc="0D26B1B6">
      <w:start w:val="1"/>
      <w:numFmt w:val="decimal"/>
      <w:lvlText w:val="%1."/>
      <w:lvlJc w:val="left"/>
      <w:pPr>
        <w:ind w:left="1080" w:hanging="72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C3D0C33"/>
    <w:multiLevelType w:val="multilevel"/>
    <w:tmpl w:val="E3A61810"/>
    <w:lvl w:ilvl="0">
      <w:start w:val="3"/>
      <w:numFmt w:val="decimal"/>
      <w:lvlText w:val="%1"/>
      <w:lvlJc w:val="left"/>
      <w:pPr>
        <w:tabs>
          <w:tab w:val="num" w:pos="567"/>
        </w:tabs>
        <w:ind w:left="454" w:hanging="454"/>
      </w:pPr>
      <w:rPr>
        <w:rFonts w:ascii="Arial" w:hAnsi="Arial" w:hint="default"/>
        <w:color w:val="auto"/>
        <w:sz w:val="20"/>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588"/>
        </w:tabs>
        <w:ind w:left="1588" w:hanging="680"/>
      </w:pPr>
      <w:rPr>
        <w:rFonts w:hint="default"/>
      </w:rPr>
    </w:lvl>
    <w:lvl w:ilvl="3">
      <w:start w:val="1"/>
      <w:numFmt w:val="decimal"/>
      <w:lvlText w:val="%1.%2.%3.%4."/>
      <w:lvlJc w:val="left"/>
      <w:pPr>
        <w:tabs>
          <w:tab w:val="num" w:pos="1929"/>
        </w:tabs>
        <w:ind w:left="1816" w:hanging="454"/>
      </w:pPr>
      <w:rPr>
        <w:rFonts w:hint="default"/>
      </w:rPr>
    </w:lvl>
    <w:lvl w:ilvl="4">
      <w:start w:val="1"/>
      <w:numFmt w:val="decimal"/>
      <w:lvlText w:val="%1.%2.%3.%4.%5."/>
      <w:lvlJc w:val="left"/>
      <w:pPr>
        <w:tabs>
          <w:tab w:val="num" w:pos="2383"/>
        </w:tabs>
        <w:ind w:left="2270" w:hanging="454"/>
      </w:pPr>
      <w:rPr>
        <w:rFonts w:hint="default"/>
      </w:rPr>
    </w:lvl>
    <w:lvl w:ilvl="5">
      <w:start w:val="1"/>
      <w:numFmt w:val="decimal"/>
      <w:lvlText w:val="%1.%2.%3.%4.%5.%6."/>
      <w:lvlJc w:val="left"/>
      <w:pPr>
        <w:tabs>
          <w:tab w:val="num" w:pos="2837"/>
        </w:tabs>
        <w:ind w:left="2724" w:hanging="454"/>
      </w:pPr>
      <w:rPr>
        <w:rFonts w:hint="default"/>
      </w:rPr>
    </w:lvl>
    <w:lvl w:ilvl="6">
      <w:start w:val="1"/>
      <w:numFmt w:val="decimal"/>
      <w:lvlText w:val="%1.%2.%3.%4.%5.%6.%7."/>
      <w:lvlJc w:val="left"/>
      <w:pPr>
        <w:tabs>
          <w:tab w:val="num" w:pos="3291"/>
        </w:tabs>
        <w:ind w:left="3178" w:hanging="454"/>
      </w:pPr>
      <w:rPr>
        <w:rFonts w:hint="default"/>
      </w:rPr>
    </w:lvl>
    <w:lvl w:ilvl="7">
      <w:start w:val="1"/>
      <w:numFmt w:val="decimal"/>
      <w:lvlText w:val="%1.%2.%3.%4.%5.%6.%7.%8."/>
      <w:lvlJc w:val="left"/>
      <w:pPr>
        <w:tabs>
          <w:tab w:val="num" w:pos="3745"/>
        </w:tabs>
        <w:ind w:left="3632" w:hanging="454"/>
      </w:pPr>
      <w:rPr>
        <w:rFonts w:hint="default"/>
      </w:rPr>
    </w:lvl>
    <w:lvl w:ilvl="8">
      <w:start w:val="1"/>
      <w:numFmt w:val="decimal"/>
      <w:lvlText w:val="%1.%2.%3.%4.%5.%6.%7.%8.%9."/>
      <w:lvlJc w:val="left"/>
      <w:pPr>
        <w:tabs>
          <w:tab w:val="num" w:pos="4199"/>
        </w:tabs>
        <w:ind w:left="4086" w:hanging="454"/>
      </w:pPr>
      <w:rPr>
        <w:rFonts w:hint="default"/>
      </w:rPr>
    </w:lvl>
  </w:abstractNum>
  <w:abstractNum w:abstractNumId="49" w15:restartNumberingAfterBreak="0">
    <w:nsid w:val="7E7C3CA5"/>
    <w:multiLevelType w:val="hybridMultilevel"/>
    <w:tmpl w:val="4CBE868C"/>
    <w:lvl w:ilvl="0" w:tplc="5D04C57E">
      <w:start w:val="11"/>
      <w:numFmt w:val="bullet"/>
      <w:lvlText w:val="-"/>
      <w:lvlJc w:val="left"/>
      <w:pPr>
        <w:ind w:left="363" w:hanging="360"/>
      </w:pPr>
      <w:rPr>
        <w:rFonts w:ascii="Tahoma" w:eastAsiaTheme="minorHAnsi" w:hAnsi="Tahoma" w:cs="Tahoma" w:hint="default"/>
        <w:sz w:val="22"/>
      </w:rPr>
    </w:lvl>
    <w:lvl w:ilvl="1" w:tplc="528E88C4">
      <w:start w:val="2022"/>
      <w:numFmt w:val="bullet"/>
      <w:lvlText w:val="-"/>
      <w:lvlJc w:val="left"/>
      <w:pPr>
        <w:ind w:left="1138" w:hanging="360"/>
      </w:pPr>
      <w:rPr>
        <w:rFonts w:ascii="Calibri" w:eastAsiaTheme="minorHAnsi" w:hAnsi="Calibri" w:cs="Calibri" w:hint="default"/>
      </w:rPr>
    </w:lvl>
    <w:lvl w:ilvl="2" w:tplc="040C0005" w:tentative="1">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hint="default"/>
      </w:rPr>
    </w:lvl>
    <w:lvl w:ilvl="8" w:tplc="040C0005" w:tentative="1">
      <w:start w:val="1"/>
      <w:numFmt w:val="bullet"/>
      <w:lvlText w:val=""/>
      <w:lvlJc w:val="left"/>
      <w:pPr>
        <w:ind w:left="6123" w:hanging="360"/>
      </w:pPr>
      <w:rPr>
        <w:rFonts w:ascii="Wingdings" w:hAnsi="Wingdings" w:hint="default"/>
      </w:rPr>
    </w:lvl>
  </w:abstractNum>
  <w:num w:numId="1">
    <w:abstractNumId w:val="41"/>
  </w:num>
  <w:num w:numId="2">
    <w:abstractNumId w:val="29"/>
  </w:num>
  <w:num w:numId="3">
    <w:abstractNumId w:val="43"/>
  </w:num>
  <w:num w:numId="4">
    <w:abstractNumId w:val="42"/>
  </w:num>
  <w:num w:numId="5">
    <w:abstractNumId w:val="23"/>
  </w:num>
  <w:num w:numId="6">
    <w:abstractNumId w:val="3"/>
  </w:num>
  <w:num w:numId="7">
    <w:abstractNumId w:val="36"/>
  </w:num>
  <w:num w:numId="8">
    <w:abstractNumId w:val="44"/>
  </w:num>
  <w:num w:numId="9">
    <w:abstractNumId w:val="11"/>
  </w:num>
  <w:num w:numId="10">
    <w:abstractNumId w:val="9"/>
  </w:num>
  <w:num w:numId="11">
    <w:abstractNumId w:val="2"/>
  </w:num>
  <w:num w:numId="12">
    <w:abstractNumId w:val="26"/>
  </w:num>
  <w:num w:numId="13">
    <w:abstractNumId w:val="40"/>
  </w:num>
  <w:num w:numId="14">
    <w:abstractNumId w:val="33"/>
  </w:num>
  <w:num w:numId="15">
    <w:abstractNumId w:val="4"/>
  </w:num>
  <w:num w:numId="16">
    <w:abstractNumId w:val="48"/>
  </w:num>
  <w:num w:numId="17">
    <w:abstractNumId w:val="30"/>
  </w:num>
  <w:num w:numId="18">
    <w:abstractNumId w:val="24"/>
  </w:num>
  <w:num w:numId="19">
    <w:abstractNumId w:val="13"/>
  </w:num>
  <w:num w:numId="20">
    <w:abstractNumId w:val="1"/>
  </w:num>
  <w:num w:numId="21">
    <w:abstractNumId w:val="37"/>
    <w:lvlOverride w:ilvl="0">
      <w:lvl w:ilvl="0">
        <w:start w:val="1"/>
        <w:numFmt w:val="decimal"/>
        <w:lvlText w:val="%1."/>
        <w:lvlJc w:val="left"/>
        <w:pPr>
          <w:ind w:left="360" w:hanging="360"/>
        </w:pPr>
        <w:rPr>
          <w:rFonts w:ascii="Arial" w:hAnsi="Arial" w:cs="Arial" w:hint="default"/>
          <w:sz w:val="20"/>
          <w:szCs w:val="20"/>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2">
    <w:abstractNumId w:val="19"/>
  </w:num>
  <w:num w:numId="23">
    <w:abstractNumId w:val="35"/>
  </w:num>
  <w:num w:numId="24">
    <w:abstractNumId w:val="46"/>
  </w:num>
  <w:num w:numId="25">
    <w:abstractNumId w:val="16"/>
  </w:num>
  <w:num w:numId="26">
    <w:abstractNumId w:val="39"/>
  </w:num>
  <w:num w:numId="27">
    <w:abstractNumId w:val="49"/>
  </w:num>
  <w:num w:numId="28">
    <w:abstractNumId w:val="27"/>
  </w:num>
  <w:num w:numId="29">
    <w:abstractNumId w:val="6"/>
  </w:num>
  <w:num w:numId="30">
    <w:abstractNumId w:val="25"/>
  </w:num>
  <w:num w:numId="31">
    <w:abstractNumId w:val="34"/>
  </w:num>
  <w:num w:numId="32">
    <w:abstractNumId w:val="38"/>
  </w:num>
  <w:num w:numId="33">
    <w:abstractNumId w:val="28"/>
  </w:num>
  <w:num w:numId="34">
    <w:abstractNumId w:val="15"/>
  </w:num>
  <w:num w:numId="35">
    <w:abstractNumId w:val="18"/>
  </w:num>
  <w:num w:numId="36">
    <w:abstractNumId w:val="22"/>
  </w:num>
  <w:num w:numId="37">
    <w:abstractNumId w:val="5"/>
  </w:num>
  <w:num w:numId="38">
    <w:abstractNumId w:val="8"/>
  </w:num>
  <w:num w:numId="39">
    <w:abstractNumId w:val="32"/>
  </w:num>
  <w:num w:numId="40">
    <w:abstractNumId w:val="7"/>
  </w:num>
  <w:num w:numId="41">
    <w:abstractNumId w:val="21"/>
  </w:num>
  <w:num w:numId="42">
    <w:abstractNumId w:val="12"/>
  </w:num>
  <w:num w:numId="43">
    <w:abstractNumId w:val="20"/>
  </w:num>
  <w:num w:numId="44">
    <w:abstractNumId w:val="31"/>
  </w:num>
  <w:num w:numId="45">
    <w:abstractNumId w:val="45"/>
  </w:num>
  <w:num w:numId="46">
    <w:abstractNumId w:val="17"/>
  </w:num>
  <w:num w:numId="47">
    <w:abstractNumId w:val="47"/>
  </w:num>
  <w:num w:numId="48">
    <w:abstractNumId w:val="0"/>
  </w:num>
  <w:num w:numId="49">
    <w:abstractNumId w:val="10"/>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9"/>
  <w:hyphenationZone w:val="425"/>
  <w:evenAndOddHeaders/>
  <w:drawingGridHorizontalSpacing w:val="90"/>
  <w:drawingGridVerticalSpacing w:val="245"/>
  <w:displayHorizontalDrawingGridEvery w:val="0"/>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261"/>
    <w:rsid w:val="00027B2B"/>
    <w:rsid w:val="00033741"/>
    <w:rsid w:val="00035FDF"/>
    <w:rsid w:val="00042A16"/>
    <w:rsid w:val="00055AD1"/>
    <w:rsid w:val="00071EA7"/>
    <w:rsid w:val="00072CBD"/>
    <w:rsid w:val="00082CEE"/>
    <w:rsid w:val="000A307B"/>
    <w:rsid w:val="000B044F"/>
    <w:rsid w:val="000B5C6D"/>
    <w:rsid w:val="000C52A6"/>
    <w:rsid w:val="000C5E2A"/>
    <w:rsid w:val="000E50A4"/>
    <w:rsid w:val="000F4CF2"/>
    <w:rsid w:val="000F58C3"/>
    <w:rsid w:val="000F5ADA"/>
    <w:rsid w:val="000F708C"/>
    <w:rsid w:val="00102EE9"/>
    <w:rsid w:val="00105B8A"/>
    <w:rsid w:val="00106141"/>
    <w:rsid w:val="00106E94"/>
    <w:rsid w:val="00110729"/>
    <w:rsid w:val="001116A6"/>
    <w:rsid w:val="00113EB0"/>
    <w:rsid w:val="00123CDD"/>
    <w:rsid w:val="0012530E"/>
    <w:rsid w:val="00134D9A"/>
    <w:rsid w:val="00135BDB"/>
    <w:rsid w:val="00137BB4"/>
    <w:rsid w:val="0014266D"/>
    <w:rsid w:val="00147EF4"/>
    <w:rsid w:val="00153BB3"/>
    <w:rsid w:val="00156DC1"/>
    <w:rsid w:val="00160B03"/>
    <w:rsid w:val="00171115"/>
    <w:rsid w:val="00172EE2"/>
    <w:rsid w:val="00177C88"/>
    <w:rsid w:val="00182DA9"/>
    <w:rsid w:val="001A6076"/>
    <w:rsid w:val="001B7E0B"/>
    <w:rsid w:val="001C00FB"/>
    <w:rsid w:val="001E7C29"/>
    <w:rsid w:val="001F297D"/>
    <w:rsid w:val="001F31FA"/>
    <w:rsid w:val="001F4F04"/>
    <w:rsid w:val="00214299"/>
    <w:rsid w:val="002220BF"/>
    <w:rsid w:val="002250DD"/>
    <w:rsid w:val="0023437D"/>
    <w:rsid w:val="00242ABB"/>
    <w:rsid w:val="00251353"/>
    <w:rsid w:val="00262B36"/>
    <w:rsid w:val="00265917"/>
    <w:rsid w:val="002861FB"/>
    <w:rsid w:val="0029036A"/>
    <w:rsid w:val="00293EE6"/>
    <w:rsid w:val="002B1EAE"/>
    <w:rsid w:val="002C0872"/>
    <w:rsid w:val="002C20BA"/>
    <w:rsid w:val="002C43B5"/>
    <w:rsid w:val="002C4704"/>
    <w:rsid w:val="002D0655"/>
    <w:rsid w:val="002D11B8"/>
    <w:rsid w:val="002E4089"/>
    <w:rsid w:val="002F3006"/>
    <w:rsid w:val="002F405C"/>
    <w:rsid w:val="002F6BB7"/>
    <w:rsid w:val="00303712"/>
    <w:rsid w:val="00311F10"/>
    <w:rsid w:val="00312B35"/>
    <w:rsid w:val="003354C4"/>
    <w:rsid w:val="00335CAF"/>
    <w:rsid w:val="003364D1"/>
    <w:rsid w:val="00336AE7"/>
    <w:rsid w:val="00356FB8"/>
    <w:rsid w:val="0037200F"/>
    <w:rsid w:val="00373957"/>
    <w:rsid w:val="00381C50"/>
    <w:rsid w:val="00385587"/>
    <w:rsid w:val="00392D1D"/>
    <w:rsid w:val="003A0D93"/>
    <w:rsid w:val="003A5509"/>
    <w:rsid w:val="003B2C8C"/>
    <w:rsid w:val="003B345B"/>
    <w:rsid w:val="003B3E1E"/>
    <w:rsid w:val="003D033B"/>
    <w:rsid w:val="003D3B17"/>
    <w:rsid w:val="003D48AE"/>
    <w:rsid w:val="003D4CAE"/>
    <w:rsid w:val="003D6AC2"/>
    <w:rsid w:val="003F3D4B"/>
    <w:rsid w:val="0040027C"/>
    <w:rsid w:val="00400868"/>
    <w:rsid w:val="004256CB"/>
    <w:rsid w:val="004329B7"/>
    <w:rsid w:val="00440CB1"/>
    <w:rsid w:val="00443709"/>
    <w:rsid w:val="00447D22"/>
    <w:rsid w:val="004553F6"/>
    <w:rsid w:val="004728F8"/>
    <w:rsid w:val="00480D8B"/>
    <w:rsid w:val="00483AEF"/>
    <w:rsid w:val="00491E67"/>
    <w:rsid w:val="00493A5B"/>
    <w:rsid w:val="004A37E1"/>
    <w:rsid w:val="004B04D4"/>
    <w:rsid w:val="004B10BB"/>
    <w:rsid w:val="004C0C2F"/>
    <w:rsid w:val="004C11B3"/>
    <w:rsid w:val="004C7C58"/>
    <w:rsid w:val="004D1C0F"/>
    <w:rsid w:val="004E0C47"/>
    <w:rsid w:val="004E1D12"/>
    <w:rsid w:val="004F1D8B"/>
    <w:rsid w:val="004F563D"/>
    <w:rsid w:val="0050115D"/>
    <w:rsid w:val="005106A0"/>
    <w:rsid w:val="0054041B"/>
    <w:rsid w:val="005424B0"/>
    <w:rsid w:val="00544F6A"/>
    <w:rsid w:val="00550B6C"/>
    <w:rsid w:val="00571216"/>
    <w:rsid w:val="00574663"/>
    <w:rsid w:val="0058059B"/>
    <w:rsid w:val="005A1B3B"/>
    <w:rsid w:val="005B1B70"/>
    <w:rsid w:val="005B1FA1"/>
    <w:rsid w:val="005B3604"/>
    <w:rsid w:val="005C2D7C"/>
    <w:rsid w:val="005C73BB"/>
    <w:rsid w:val="005D7BB3"/>
    <w:rsid w:val="005D7CDF"/>
    <w:rsid w:val="005F093B"/>
    <w:rsid w:val="005F3DC6"/>
    <w:rsid w:val="00614982"/>
    <w:rsid w:val="006341AE"/>
    <w:rsid w:val="00643231"/>
    <w:rsid w:val="00643C3F"/>
    <w:rsid w:val="00644AD3"/>
    <w:rsid w:val="006455FA"/>
    <w:rsid w:val="00671684"/>
    <w:rsid w:val="00671EA2"/>
    <w:rsid w:val="006908C5"/>
    <w:rsid w:val="006A243E"/>
    <w:rsid w:val="006D2F2B"/>
    <w:rsid w:val="006E3BE1"/>
    <w:rsid w:val="006E640F"/>
    <w:rsid w:val="006F0318"/>
    <w:rsid w:val="006F6B48"/>
    <w:rsid w:val="00707A3F"/>
    <w:rsid w:val="00712E65"/>
    <w:rsid w:val="007150DE"/>
    <w:rsid w:val="00735569"/>
    <w:rsid w:val="00745E42"/>
    <w:rsid w:val="00761627"/>
    <w:rsid w:val="00773CFE"/>
    <w:rsid w:val="007A543D"/>
    <w:rsid w:val="007A670E"/>
    <w:rsid w:val="007B3DD0"/>
    <w:rsid w:val="007C0AD1"/>
    <w:rsid w:val="007D1BBE"/>
    <w:rsid w:val="007D3946"/>
    <w:rsid w:val="007D7B20"/>
    <w:rsid w:val="007E168C"/>
    <w:rsid w:val="007F6C46"/>
    <w:rsid w:val="00800A19"/>
    <w:rsid w:val="008042E6"/>
    <w:rsid w:val="00805F04"/>
    <w:rsid w:val="00810D5A"/>
    <w:rsid w:val="00814AA2"/>
    <w:rsid w:val="00815544"/>
    <w:rsid w:val="0082394F"/>
    <w:rsid w:val="00824777"/>
    <w:rsid w:val="00851443"/>
    <w:rsid w:val="00853C90"/>
    <w:rsid w:val="008575F2"/>
    <w:rsid w:val="0087380A"/>
    <w:rsid w:val="00883F9B"/>
    <w:rsid w:val="008A2D5E"/>
    <w:rsid w:val="008B07D4"/>
    <w:rsid w:val="008B360D"/>
    <w:rsid w:val="008C12CC"/>
    <w:rsid w:val="008E2952"/>
    <w:rsid w:val="008F6DF0"/>
    <w:rsid w:val="00915AB1"/>
    <w:rsid w:val="00916BF5"/>
    <w:rsid w:val="009215B8"/>
    <w:rsid w:val="00923554"/>
    <w:rsid w:val="009270C4"/>
    <w:rsid w:val="009342FF"/>
    <w:rsid w:val="00940F14"/>
    <w:rsid w:val="00950D67"/>
    <w:rsid w:val="009527D7"/>
    <w:rsid w:val="00955512"/>
    <w:rsid w:val="00963962"/>
    <w:rsid w:val="00974C41"/>
    <w:rsid w:val="00990722"/>
    <w:rsid w:val="00991B77"/>
    <w:rsid w:val="00995A84"/>
    <w:rsid w:val="009A3808"/>
    <w:rsid w:val="009B115F"/>
    <w:rsid w:val="009B27AD"/>
    <w:rsid w:val="009B3AB7"/>
    <w:rsid w:val="009C5258"/>
    <w:rsid w:val="009D28F3"/>
    <w:rsid w:val="009D28F7"/>
    <w:rsid w:val="009E1F8E"/>
    <w:rsid w:val="00A12DEC"/>
    <w:rsid w:val="00A13FA3"/>
    <w:rsid w:val="00A161B3"/>
    <w:rsid w:val="00A22D53"/>
    <w:rsid w:val="00A42977"/>
    <w:rsid w:val="00A474E5"/>
    <w:rsid w:val="00A54F53"/>
    <w:rsid w:val="00A842D4"/>
    <w:rsid w:val="00A93CA3"/>
    <w:rsid w:val="00AB6552"/>
    <w:rsid w:val="00AB67F8"/>
    <w:rsid w:val="00AB7727"/>
    <w:rsid w:val="00AB7AA7"/>
    <w:rsid w:val="00AC73AA"/>
    <w:rsid w:val="00AD0EFC"/>
    <w:rsid w:val="00AE76B8"/>
    <w:rsid w:val="00B06133"/>
    <w:rsid w:val="00B129D8"/>
    <w:rsid w:val="00B227AE"/>
    <w:rsid w:val="00B41B03"/>
    <w:rsid w:val="00B41EC3"/>
    <w:rsid w:val="00B509CE"/>
    <w:rsid w:val="00B63F08"/>
    <w:rsid w:val="00B81BAC"/>
    <w:rsid w:val="00B849E0"/>
    <w:rsid w:val="00B90246"/>
    <w:rsid w:val="00B920E4"/>
    <w:rsid w:val="00BA4178"/>
    <w:rsid w:val="00BA792B"/>
    <w:rsid w:val="00BA79A3"/>
    <w:rsid w:val="00BB7DCE"/>
    <w:rsid w:val="00BC6D80"/>
    <w:rsid w:val="00BD1F10"/>
    <w:rsid w:val="00BD25C0"/>
    <w:rsid w:val="00BE25B2"/>
    <w:rsid w:val="00BF1C7F"/>
    <w:rsid w:val="00C049EE"/>
    <w:rsid w:val="00C109FD"/>
    <w:rsid w:val="00C14C2C"/>
    <w:rsid w:val="00C409C2"/>
    <w:rsid w:val="00C74E6F"/>
    <w:rsid w:val="00C8348A"/>
    <w:rsid w:val="00C92F89"/>
    <w:rsid w:val="00C95474"/>
    <w:rsid w:val="00C9653A"/>
    <w:rsid w:val="00CC0A2E"/>
    <w:rsid w:val="00CC39DC"/>
    <w:rsid w:val="00CE1FF8"/>
    <w:rsid w:val="00CE4890"/>
    <w:rsid w:val="00CE6FD2"/>
    <w:rsid w:val="00D0182E"/>
    <w:rsid w:val="00D0265B"/>
    <w:rsid w:val="00D13FAF"/>
    <w:rsid w:val="00D24A57"/>
    <w:rsid w:val="00D31EB8"/>
    <w:rsid w:val="00D36BF8"/>
    <w:rsid w:val="00D43366"/>
    <w:rsid w:val="00D46265"/>
    <w:rsid w:val="00D53526"/>
    <w:rsid w:val="00D554E6"/>
    <w:rsid w:val="00D70628"/>
    <w:rsid w:val="00DA525D"/>
    <w:rsid w:val="00DA7643"/>
    <w:rsid w:val="00DB029C"/>
    <w:rsid w:val="00DC162E"/>
    <w:rsid w:val="00DC4A39"/>
    <w:rsid w:val="00DD0010"/>
    <w:rsid w:val="00DD019E"/>
    <w:rsid w:val="00DD2E68"/>
    <w:rsid w:val="00DD7344"/>
    <w:rsid w:val="00DE0A21"/>
    <w:rsid w:val="00DE5B67"/>
    <w:rsid w:val="00DF6796"/>
    <w:rsid w:val="00E1258A"/>
    <w:rsid w:val="00E125C6"/>
    <w:rsid w:val="00E15639"/>
    <w:rsid w:val="00E1656D"/>
    <w:rsid w:val="00E173B5"/>
    <w:rsid w:val="00E24C57"/>
    <w:rsid w:val="00E33306"/>
    <w:rsid w:val="00E475F9"/>
    <w:rsid w:val="00E50974"/>
    <w:rsid w:val="00E665F7"/>
    <w:rsid w:val="00E80261"/>
    <w:rsid w:val="00E86611"/>
    <w:rsid w:val="00E940BF"/>
    <w:rsid w:val="00EA55EE"/>
    <w:rsid w:val="00EA643A"/>
    <w:rsid w:val="00EB25DD"/>
    <w:rsid w:val="00EC4141"/>
    <w:rsid w:val="00EE34E3"/>
    <w:rsid w:val="00EF0BE4"/>
    <w:rsid w:val="00F01885"/>
    <w:rsid w:val="00F168A4"/>
    <w:rsid w:val="00F2380B"/>
    <w:rsid w:val="00F24713"/>
    <w:rsid w:val="00F40699"/>
    <w:rsid w:val="00F40B8D"/>
    <w:rsid w:val="00F433D6"/>
    <w:rsid w:val="00F61D34"/>
    <w:rsid w:val="00F739FF"/>
    <w:rsid w:val="00F76BBD"/>
    <w:rsid w:val="00F95A29"/>
    <w:rsid w:val="00F96689"/>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4E6B33C6"/>
  <w15:docId w15:val="{6F2B447B-173F-4F79-AF57-5A2D0F73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39FF"/>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customStyle="1" w:styleId="Default">
    <w:name w:val="Default"/>
    <w:rsid w:val="00E80261"/>
    <w:pPr>
      <w:autoSpaceDE w:val="0"/>
      <w:autoSpaceDN w:val="0"/>
      <w:adjustRightInd w:val="0"/>
    </w:pPr>
    <w:rPr>
      <w:rFonts w:ascii="Tahoma" w:eastAsiaTheme="minorHAnsi" w:hAnsi="Tahoma" w:cs="Tahoma"/>
      <w:color w:val="000000"/>
      <w:sz w:val="24"/>
      <w:szCs w:val="24"/>
      <w:lang w:eastAsia="en-US"/>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106E94"/>
    <w:pPr>
      <w:spacing w:after="160" w:line="259" w:lineRule="auto"/>
      <w:ind w:left="720"/>
      <w:contextualSpacing/>
    </w:pPr>
    <w:rPr>
      <w:rFonts w:eastAsiaTheme="minorHAnsi" w:cstheme="minorBidi"/>
    </w:rPr>
  </w:style>
  <w:style w:type="paragraph" w:customStyle="1" w:styleId="Listlvl1">
    <w:name w:val="List_lvl_1"/>
    <w:basedOn w:val="ListParagraph"/>
    <w:rsid w:val="004F563D"/>
    <w:pPr>
      <w:numPr>
        <w:numId w:val="10"/>
      </w:numPr>
      <w:spacing w:after="0" w:line="360" w:lineRule="auto"/>
      <w:ind w:left="567" w:hanging="567"/>
      <w:contextualSpacing w:val="0"/>
    </w:pPr>
    <w:rPr>
      <w:rFonts w:cs="Arial"/>
      <w:b/>
      <w:bCs/>
      <w:szCs w:val="20"/>
    </w:rPr>
  </w:style>
  <w:style w:type="numbering" w:customStyle="1" w:styleId="myliststyle">
    <w:name w:val="my_list_style"/>
    <w:uiPriority w:val="99"/>
    <w:rsid w:val="00F739FF"/>
    <w:pPr>
      <w:numPr>
        <w:numId w:val="14"/>
      </w:numPr>
    </w:pPr>
  </w:style>
  <w:style w:type="paragraph" w:customStyle="1" w:styleId="mylistlv1">
    <w:name w:val="my_list_lv_1"/>
    <w:basedOn w:val="ListParagraph"/>
    <w:autoRedefine/>
    <w:qFormat/>
    <w:rsid w:val="007D3946"/>
    <w:pPr>
      <w:spacing w:after="0"/>
      <w:ind w:left="0"/>
    </w:pPr>
    <w:rPr>
      <w:b/>
      <w:lang w:val="en-US"/>
    </w:rPr>
  </w:style>
  <w:style w:type="character" w:styleId="UnresolvedMention">
    <w:name w:val="Unresolved Mention"/>
    <w:basedOn w:val="DefaultParagraphFont"/>
    <w:uiPriority w:val="99"/>
    <w:semiHidden/>
    <w:unhideWhenUsed/>
    <w:rsid w:val="00DD019E"/>
    <w:rPr>
      <w:color w:val="605E5C"/>
      <w:shd w:val="clear" w:color="auto" w:fill="E1DFDD"/>
    </w:rPr>
  </w:style>
  <w:style w:type="character" w:styleId="Strong">
    <w:name w:val="Strong"/>
    <w:basedOn w:val="DefaultParagraphFont"/>
    <w:uiPriority w:val="22"/>
    <w:qFormat/>
    <w:rsid w:val="00033741"/>
    <w:rPr>
      <w:b/>
      <w:bC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9B27AD"/>
    <w:rPr>
      <w:rFonts w:ascii="Arial" w:eastAsiaTheme="minorHAnsi" w:hAnsi="Arial" w:cstheme="minorBidi"/>
      <w:szCs w:val="22"/>
      <w:lang w:val="fr-FR" w:eastAsia="en-US"/>
    </w:rPr>
  </w:style>
  <w:style w:type="paragraph" w:customStyle="1" w:styleId="COEligne">
    <w:name w:val="COE_ligne"/>
    <w:basedOn w:val="Normal"/>
    <w:rsid w:val="000B044F"/>
    <w:pPr>
      <w:tabs>
        <w:tab w:val="left" w:pos="-720"/>
      </w:tabs>
      <w:suppressAutoHyphens/>
      <w:jc w:val="both"/>
    </w:pPr>
    <w:rPr>
      <w:rFonts w:eastAsia="Times New Roman"/>
      <w:i/>
      <w:spacing w:val="-2"/>
      <w:szCs w:val="20"/>
      <w:u w:val="single"/>
      <w:lang w:val="en-GB"/>
    </w:rPr>
  </w:style>
  <w:style w:type="paragraph" w:styleId="NormalWeb">
    <w:name w:val="Normal (Web)"/>
    <w:basedOn w:val="Normal"/>
    <w:uiPriority w:val="99"/>
    <w:rsid w:val="00BE25B2"/>
    <w:pPr>
      <w:spacing w:before="100" w:beforeAutospacing="1" w:after="100" w:afterAutospacing="1"/>
    </w:pPr>
    <w:rPr>
      <w:rFonts w:ascii="Times New Roman" w:eastAsia="Times New Roman" w:hAnsi="Times New Roman"/>
      <w:sz w:val="24"/>
      <w:szCs w:val="24"/>
      <w:lang w:eastAsia="fr-FR"/>
    </w:rPr>
  </w:style>
  <w:style w:type="character" w:customStyle="1" w:styleId="hps">
    <w:name w:val="hps"/>
    <w:basedOn w:val="DefaultParagraphFont"/>
    <w:rsid w:val="00BE25B2"/>
  </w:style>
  <w:style w:type="character" w:customStyle="1" w:styleId="shorttext">
    <w:name w:val="short_text"/>
    <w:basedOn w:val="DefaultParagraphFont"/>
    <w:rsid w:val="00BE25B2"/>
  </w:style>
  <w:style w:type="paragraph" w:styleId="HTMLPreformatted">
    <w:name w:val="HTML Preformatted"/>
    <w:basedOn w:val="Normal"/>
    <w:link w:val="HTMLPreformattedChar"/>
    <w:uiPriority w:val="99"/>
    <w:unhideWhenUsed/>
    <w:rsid w:val="00BE2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en-GB" w:eastAsia="en-GB"/>
    </w:rPr>
  </w:style>
  <w:style w:type="character" w:customStyle="1" w:styleId="HTMLPreformattedChar">
    <w:name w:val="HTML Preformatted Char"/>
    <w:basedOn w:val="DefaultParagraphFont"/>
    <w:link w:val="HTMLPreformatted"/>
    <w:uiPriority w:val="99"/>
    <w:rsid w:val="00BE25B2"/>
    <w:rPr>
      <w:rFonts w:ascii="Courier New" w:eastAsia="Times New Roman" w:hAnsi="Courier New" w:cs="Courier New"/>
    </w:rPr>
  </w:style>
  <w:style w:type="character" w:customStyle="1" w:styleId="normal10">
    <w:name w:val="normal10"/>
    <w:basedOn w:val="DefaultParagraphFont"/>
    <w:rsid w:val="00BE2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B79EAB9-4D34-4D67-99BD-F0896FA8F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4051</Words>
  <Characters>22284</Characters>
  <Application>Microsoft Office Word</Application>
  <DocSecurity>0</DocSecurity>
  <Lines>185</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26283</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BUI-THI Regine</dc:creator>
  <cp:keywords/>
  <dc:description/>
  <cp:lastModifiedBy>EVANS Elizabeth</cp:lastModifiedBy>
  <cp:revision>10</cp:revision>
  <cp:lastPrinted>2016-03-16T18:37:00Z</cp:lastPrinted>
  <dcterms:created xsi:type="dcterms:W3CDTF">2022-01-19T08:00:00Z</dcterms:created>
  <dcterms:modified xsi:type="dcterms:W3CDTF">2022-01-25T09:26:00Z</dcterms:modified>
</cp:coreProperties>
</file>