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5F406464" w:rsidR="00D82C18" w:rsidRPr="000E3D79" w:rsidRDefault="00B7220B" w:rsidP="000E3D79">
      <w:pPr>
        <w:spacing w:before="120" w:after="120" w:line="260" w:lineRule="atLeast"/>
        <w:jc w:val="both"/>
        <w:rPr>
          <w:rFonts w:ascii="Verdana" w:hAnsi="Verdana"/>
          <w:b/>
          <w:bCs/>
          <w:noProof/>
          <w:lang w:val="tr-TR"/>
        </w:rPr>
      </w:pPr>
      <w:r w:rsidRPr="000E3D79">
        <w:rPr>
          <w:rFonts w:ascii="Verdana" w:hAnsi="Verdana"/>
          <w:b/>
          <w:bCs/>
          <w:noProof/>
          <w:sz w:val="28"/>
          <w:szCs w:val="28"/>
          <w:lang w:val="tr-TR"/>
        </w:rPr>
        <w:t xml:space="preserve">Ders 1.5 </w:t>
      </w:r>
      <w:r w:rsidR="003C18E3" w:rsidRPr="000E3D79">
        <w:rPr>
          <w:rFonts w:ascii="Verdana" w:hAnsi="Verdana"/>
          <w:b/>
          <w:bCs/>
          <w:noProof/>
          <w:sz w:val="28"/>
          <w:szCs w:val="28"/>
          <w:lang w:val="tr-TR"/>
        </w:rPr>
        <w:t xml:space="preserve">Resmi Olmayan </w:t>
      </w:r>
      <w:r w:rsidRPr="000E3D79">
        <w:rPr>
          <w:rFonts w:ascii="Verdana" w:hAnsi="Verdana"/>
          <w:b/>
          <w:bCs/>
          <w:noProof/>
          <w:sz w:val="28"/>
          <w:szCs w:val="28"/>
          <w:lang w:val="tr-TR"/>
        </w:rPr>
        <w:t>Uluslararası İşbirliği Yöntemleri (</w:t>
      </w:r>
      <w:r w:rsidR="00D10CB9" w:rsidRPr="000E3D79">
        <w:rPr>
          <w:rFonts w:ascii="Verdana" w:hAnsi="Verdana"/>
          <w:b/>
          <w:bCs/>
          <w:noProof/>
          <w:sz w:val="28"/>
          <w:szCs w:val="28"/>
          <w:lang w:val="tr-TR"/>
        </w:rPr>
        <w:t>ç</w:t>
      </w:r>
      <w:r w:rsidRPr="000E3D79">
        <w:rPr>
          <w:rFonts w:ascii="Verdana" w:hAnsi="Verdana"/>
          <w:b/>
          <w:bCs/>
          <w:noProof/>
          <w:sz w:val="28"/>
          <w:szCs w:val="28"/>
          <w:lang w:val="tr-TR"/>
        </w:rPr>
        <w:t xml:space="preserve">evrimiçi </w:t>
      </w:r>
      <w:r w:rsidR="00D10CB9" w:rsidRPr="000E3D79">
        <w:rPr>
          <w:rFonts w:ascii="Verdana" w:hAnsi="Verdana"/>
          <w:b/>
          <w:bCs/>
          <w:noProof/>
          <w:sz w:val="28"/>
          <w:szCs w:val="28"/>
          <w:lang w:val="tr-TR"/>
        </w:rPr>
        <w:t>s</w:t>
      </w:r>
      <w:r w:rsidRPr="000E3D79">
        <w:rPr>
          <w:rFonts w:ascii="Verdana" w:hAnsi="Verdana"/>
          <w:b/>
          <w:bCs/>
          <w:noProof/>
          <w:sz w:val="28"/>
          <w:szCs w:val="28"/>
          <w:lang w:val="tr-TR"/>
        </w:rPr>
        <w:t>ürüm)</w:t>
      </w:r>
    </w:p>
    <w:p w14:paraId="1D0E3DC5" w14:textId="77777777" w:rsidR="00C115FC" w:rsidRPr="000E3D79" w:rsidRDefault="00C115FC" w:rsidP="000E3D79">
      <w:pPr>
        <w:spacing w:before="120" w:after="120" w:line="260" w:lineRule="atLeast"/>
        <w:ind w:left="360"/>
        <w:rPr>
          <w:rFonts w:ascii="Verdana" w:hAnsi="Verdana"/>
          <w:noProof/>
          <w:lang w:val="tr-TR"/>
        </w:rPr>
      </w:pPr>
    </w:p>
    <w:tbl>
      <w:tblPr>
        <w:tblStyle w:val="TableGrid"/>
        <w:tblW w:w="0" w:type="auto"/>
        <w:tblLayout w:type="fixed"/>
        <w:tblLook w:val="04A0" w:firstRow="1" w:lastRow="0" w:firstColumn="1" w:lastColumn="0" w:noHBand="0" w:noVBand="1"/>
      </w:tblPr>
      <w:tblGrid>
        <w:gridCol w:w="1668"/>
        <w:gridCol w:w="5177"/>
        <w:gridCol w:w="2165"/>
      </w:tblGrid>
      <w:tr w:rsidR="00C115FC" w:rsidRPr="000E3D79" w14:paraId="58A3485E" w14:textId="77777777" w:rsidTr="00F1574D">
        <w:trPr>
          <w:trHeight w:val="872"/>
        </w:trPr>
        <w:tc>
          <w:tcPr>
            <w:tcW w:w="6845" w:type="dxa"/>
            <w:gridSpan w:val="2"/>
            <w:shd w:val="clear" w:color="auto" w:fill="DEEAF6" w:themeFill="accent5" w:themeFillTint="33"/>
            <w:vAlign w:val="center"/>
          </w:tcPr>
          <w:p w14:paraId="0067FF35" w14:textId="7997B8EF" w:rsidR="00D82C18" w:rsidRPr="000E3D79" w:rsidRDefault="00B7220B" w:rsidP="000E3D79">
            <w:pPr>
              <w:spacing w:before="120" w:after="120" w:line="260" w:lineRule="atLeast"/>
              <w:rPr>
                <w:rFonts w:ascii="Verdana" w:hAnsi="Verdana"/>
                <w:noProof/>
                <w:sz w:val="22"/>
                <w:szCs w:val="22"/>
                <w:lang w:val="tr-TR"/>
              </w:rPr>
            </w:pPr>
            <w:r w:rsidRPr="000E3D79">
              <w:rPr>
                <w:rFonts w:ascii="Verdana" w:hAnsi="Verdana"/>
                <w:noProof/>
                <w:sz w:val="22"/>
                <w:szCs w:val="22"/>
                <w:lang w:val="tr-TR"/>
              </w:rPr>
              <w:t xml:space="preserve">Ders 1.5 </w:t>
            </w:r>
            <w:r w:rsidR="003C18E3" w:rsidRPr="000E3D79">
              <w:rPr>
                <w:rFonts w:ascii="Verdana" w:hAnsi="Verdana"/>
                <w:noProof/>
                <w:sz w:val="22"/>
                <w:szCs w:val="22"/>
                <w:lang w:val="tr-TR"/>
              </w:rPr>
              <w:t xml:space="preserve">Resmi Olmayan </w:t>
            </w:r>
            <w:r w:rsidRPr="000E3D79">
              <w:rPr>
                <w:rFonts w:ascii="Verdana" w:hAnsi="Verdana"/>
                <w:noProof/>
                <w:sz w:val="22"/>
                <w:szCs w:val="22"/>
                <w:lang w:val="tr-TR"/>
              </w:rPr>
              <w:t>Uluslararası İşbirliği Yöntemleri (çevrim</w:t>
            </w:r>
            <w:r w:rsidR="00BB034D" w:rsidRPr="000E3D79">
              <w:rPr>
                <w:rFonts w:ascii="Verdana" w:hAnsi="Verdana"/>
                <w:noProof/>
                <w:sz w:val="22"/>
                <w:szCs w:val="22"/>
                <w:lang w:val="tr-TR"/>
              </w:rPr>
              <w:t xml:space="preserve"> </w:t>
            </w:r>
            <w:r w:rsidRPr="000E3D79">
              <w:rPr>
                <w:rFonts w:ascii="Verdana" w:hAnsi="Verdana"/>
                <w:noProof/>
                <w:sz w:val="22"/>
                <w:szCs w:val="22"/>
                <w:lang w:val="tr-TR"/>
              </w:rPr>
              <w:t>içi sürüm)</w:t>
            </w:r>
          </w:p>
        </w:tc>
        <w:tc>
          <w:tcPr>
            <w:tcW w:w="2165" w:type="dxa"/>
            <w:shd w:val="clear" w:color="auto" w:fill="DEEAF6" w:themeFill="accent5" w:themeFillTint="33"/>
            <w:vAlign w:val="center"/>
          </w:tcPr>
          <w:p w14:paraId="30B631DA" w14:textId="225E0137" w:rsidR="00D82C18" w:rsidRPr="000E3D79" w:rsidRDefault="00B7220B" w:rsidP="000E3D79">
            <w:pPr>
              <w:spacing w:before="120" w:after="120" w:line="260" w:lineRule="atLeast"/>
              <w:rPr>
                <w:rFonts w:ascii="Verdana" w:hAnsi="Verdana"/>
                <w:noProof/>
                <w:sz w:val="22"/>
                <w:szCs w:val="22"/>
                <w:lang w:val="tr-TR"/>
              </w:rPr>
            </w:pPr>
            <w:r w:rsidRPr="000E3D79">
              <w:rPr>
                <w:rFonts w:ascii="Verdana" w:hAnsi="Verdana"/>
                <w:noProof/>
                <w:sz w:val="22"/>
                <w:szCs w:val="22"/>
                <w:lang w:val="tr-TR"/>
              </w:rPr>
              <w:t>Süre</w:t>
            </w:r>
            <w:r w:rsidR="00D82C18" w:rsidRPr="000E3D79">
              <w:rPr>
                <w:rFonts w:ascii="Verdana" w:hAnsi="Verdana"/>
                <w:noProof/>
                <w:sz w:val="22"/>
                <w:szCs w:val="22"/>
                <w:lang w:val="tr-TR"/>
              </w:rPr>
              <w:t xml:space="preserve">: </w:t>
            </w:r>
            <w:r w:rsidR="000668D4" w:rsidRPr="000E3D79">
              <w:rPr>
                <w:rFonts w:ascii="Verdana" w:hAnsi="Verdana"/>
                <w:noProof/>
                <w:color w:val="000000" w:themeColor="text1"/>
                <w:sz w:val="22"/>
                <w:szCs w:val="22"/>
                <w:lang w:val="tr-TR"/>
              </w:rPr>
              <w:t>6</w:t>
            </w:r>
            <w:r w:rsidR="00773F6C" w:rsidRPr="000E3D79">
              <w:rPr>
                <w:rFonts w:ascii="Verdana" w:hAnsi="Verdana"/>
                <w:noProof/>
                <w:color w:val="000000" w:themeColor="text1"/>
                <w:sz w:val="22"/>
                <w:szCs w:val="22"/>
                <w:lang w:val="tr-TR"/>
              </w:rPr>
              <w:t xml:space="preserve">0 </w:t>
            </w:r>
            <w:r w:rsidRPr="000E3D79">
              <w:rPr>
                <w:rFonts w:ascii="Verdana" w:hAnsi="Verdana"/>
                <w:noProof/>
                <w:color w:val="000000" w:themeColor="text1"/>
                <w:sz w:val="22"/>
                <w:szCs w:val="22"/>
                <w:lang w:val="tr-TR"/>
              </w:rPr>
              <w:t>dakika</w:t>
            </w:r>
            <w:r w:rsidR="00E13BE7" w:rsidRPr="000E3D79">
              <w:rPr>
                <w:rFonts w:ascii="Verdana" w:hAnsi="Verdana"/>
                <w:noProof/>
                <w:color w:val="000000" w:themeColor="text1"/>
                <w:sz w:val="22"/>
                <w:szCs w:val="22"/>
                <w:lang w:val="tr-TR"/>
              </w:rPr>
              <w:t xml:space="preserve"> </w:t>
            </w:r>
          </w:p>
        </w:tc>
      </w:tr>
      <w:tr w:rsidR="00E7344B" w:rsidRPr="000E3D79" w14:paraId="7C1107AB" w14:textId="77777777" w:rsidTr="00B56791">
        <w:trPr>
          <w:trHeight w:val="1376"/>
        </w:trPr>
        <w:tc>
          <w:tcPr>
            <w:tcW w:w="9010" w:type="dxa"/>
            <w:gridSpan w:val="3"/>
            <w:vAlign w:val="center"/>
          </w:tcPr>
          <w:p w14:paraId="0B1C3404" w14:textId="3173113A" w:rsidR="00E7344B" w:rsidRPr="000E3D79" w:rsidRDefault="00537B8F" w:rsidP="000E3D79">
            <w:pPr>
              <w:spacing w:before="120" w:after="120" w:line="260" w:lineRule="atLeast"/>
              <w:rPr>
                <w:rFonts w:ascii="Verdana" w:hAnsi="Verdana"/>
                <w:b/>
                <w:noProof/>
                <w:sz w:val="22"/>
                <w:szCs w:val="22"/>
                <w:lang w:val="tr-TR"/>
              </w:rPr>
            </w:pPr>
            <w:r w:rsidRPr="000E3D79">
              <w:rPr>
                <w:rFonts w:ascii="Verdana" w:hAnsi="Verdana"/>
                <w:b/>
                <w:noProof/>
                <w:sz w:val="22"/>
                <w:szCs w:val="22"/>
                <w:lang w:val="tr-TR"/>
              </w:rPr>
              <w:t>Gerek</w:t>
            </w:r>
            <w:r w:rsidR="004F0D12" w:rsidRPr="000E3D79">
              <w:rPr>
                <w:rFonts w:ascii="Verdana" w:hAnsi="Verdana"/>
                <w:b/>
                <w:noProof/>
                <w:sz w:val="22"/>
                <w:szCs w:val="22"/>
                <w:lang w:val="tr-TR"/>
              </w:rPr>
              <w:t>li</w:t>
            </w:r>
            <w:r w:rsidRPr="000E3D79">
              <w:rPr>
                <w:rFonts w:ascii="Verdana" w:hAnsi="Verdana"/>
                <w:b/>
                <w:noProof/>
                <w:sz w:val="22"/>
                <w:szCs w:val="22"/>
                <w:lang w:val="tr-TR"/>
              </w:rPr>
              <w:t xml:space="preserve"> Kaynaklar</w:t>
            </w:r>
            <w:r w:rsidR="00E7344B" w:rsidRPr="000E3D79">
              <w:rPr>
                <w:rFonts w:ascii="Verdana" w:hAnsi="Verdana"/>
                <w:b/>
                <w:noProof/>
                <w:sz w:val="22"/>
                <w:szCs w:val="22"/>
                <w:lang w:val="tr-TR"/>
              </w:rPr>
              <w:t>:</w:t>
            </w:r>
            <w:r w:rsidR="00E13BE7" w:rsidRPr="000E3D79">
              <w:rPr>
                <w:rFonts w:ascii="Verdana" w:hAnsi="Verdana"/>
                <w:b/>
                <w:noProof/>
                <w:sz w:val="22"/>
                <w:szCs w:val="22"/>
                <w:lang w:val="tr-TR"/>
              </w:rPr>
              <w:t xml:space="preserve"> </w:t>
            </w:r>
          </w:p>
          <w:p w14:paraId="0270BF17" w14:textId="5E71110E" w:rsidR="005C0A4A" w:rsidRPr="000E3D79" w:rsidRDefault="00537B8F" w:rsidP="000E3D79">
            <w:pPr>
              <w:pStyle w:val="bul1"/>
              <w:numPr>
                <w:ilvl w:val="0"/>
                <w:numId w:val="6"/>
              </w:numPr>
              <w:spacing w:before="120" w:after="120" w:line="260" w:lineRule="atLeast"/>
              <w:rPr>
                <w:noProof/>
                <w:lang w:val="tr-TR"/>
              </w:rPr>
            </w:pPr>
            <w:r w:rsidRPr="000E3D79">
              <w:rPr>
                <w:noProof/>
                <w:lang w:val="tr-TR"/>
              </w:rPr>
              <w:t xml:space="preserve">Hazırlanan </w:t>
            </w:r>
            <w:r w:rsidR="004F0D12" w:rsidRPr="000E3D79">
              <w:rPr>
                <w:noProof/>
                <w:lang w:val="tr-TR"/>
              </w:rPr>
              <w:t xml:space="preserve">materyallerle </w:t>
            </w:r>
            <w:r w:rsidRPr="000E3D79">
              <w:rPr>
                <w:noProof/>
                <w:lang w:val="tr-TR"/>
              </w:rPr>
              <w:t>uyumlu yazılım sürümlerinin yüklü olduğu PC/</w:t>
            </w:r>
            <w:proofErr w:type="spellStart"/>
            <w:r w:rsidR="003966F1" w:rsidRPr="000E3D79">
              <w:t>dizüstü</w:t>
            </w:r>
            <w:proofErr w:type="spellEnd"/>
            <w:r w:rsidR="003966F1" w:rsidRPr="000E3D79">
              <w:t xml:space="preserve"> </w:t>
            </w:r>
            <w:proofErr w:type="spellStart"/>
            <w:r w:rsidR="003966F1" w:rsidRPr="000E3D79">
              <w:t>bilgisayar</w:t>
            </w:r>
            <w:proofErr w:type="spellEnd"/>
            <w:r w:rsidR="003966F1" w:rsidRPr="000E3D79">
              <w:t xml:space="preserve"> (Laptop)</w:t>
            </w:r>
          </w:p>
          <w:p w14:paraId="3A5F9545" w14:textId="34B7E166" w:rsidR="005C0A4A" w:rsidRPr="000E3D79" w:rsidRDefault="00537B8F" w:rsidP="000E3D79">
            <w:pPr>
              <w:pStyle w:val="bul1"/>
              <w:numPr>
                <w:ilvl w:val="0"/>
                <w:numId w:val="6"/>
              </w:numPr>
              <w:spacing w:before="120" w:after="120" w:line="260" w:lineRule="atLeast"/>
              <w:rPr>
                <w:noProof/>
                <w:lang w:val="tr-TR"/>
              </w:rPr>
            </w:pPr>
            <w:r w:rsidRPr="000E3D79">
              <w:rPr>
                <w:noProof/>
                <w:lang w:val="tr-TR"/>
              </w:rPr>
              <w:t>İ</w:t>
            </w:r>
            <w:r w:rsidR="005C0A4A" w:rsidRPr="000E3D79">
              <w:rPr>
                <w:noProof/>
                <w:lang w:val="tr-TR"/>
              </w:rPr>
              <w:t xml:space="preserve">nternet </w:t>
            </w:r>
            <w:r w:rsidRPr="000E3D79">
              <w:rPr>
                <w:noProof/>
                <w:lang w:val="tr-TR"/>
              </w:rPr>
              <w:t>erişimi</w:t>
            </w:r>
          </w:p>
          <w:p w14:paraId="693F3C5A" w14:textId="464CFE13" w:rsidR="00537B8F" w:rsidRPr="000E3D79" w:rsidRDefault="00537B8F" w:rsidP="000E3D79">
            <w:pPr>
              <w:pStyle w:val="bul1"/>
              <w:numPr>
                <w:ilvl w:val="0"/>
                <w:numId w:val="6"/>
              </w:numPr>
              <w:spacing w:before="120" w:after="120" w:line="260" w:lineRule="atLeast"/>
              <w:rPr>
                <w:noProof/>
                <w:szCs w:val="18"/>
                <w:lang w:val="tr-TR"/>
              </w:rPr>
            </w:pPr>
            <w:r w:rsidRPr="000E3D79">
              <w:rPr>
                <w:noProof/>
                <w:szCs w:val="18"/>
                <w:lang w:val="tr-TR"/>
              </w:rPr>
              <w:t>Çevrimiçi konferans yazılımına/platformuna erişim</w:t>
            </w:r>
          </w:p>
          <w:p w14:paraId="39FB36B1" w14:textId="052B36F9" w:rsidR="00537B8F" w:rsidRPr="000E3D79" w:rsidRDefault="00537B8F" w:rsidP="000E3D79">
            <w:pPr>
              <w:pStyle w:val="bul1"/>
              <w:numPr>
                <w:ilvl w:val="0"/>
                <w:numId w:val="6"/>
              </w:numPr>
              <w:spacing w:before="120" w:after="120" w:line="260" w:lineRule="atLeast"/>
              <w:rPr>
                <w:noProof/>
                <w:szCs w:val="18"/>
                <w:lang w:val="tr-TR"/>
              </w:rPr>
            </w:pPr>
            <w:r w:rsidRPr="000E3D79">
              <w:rPr>
                <w:noProof/>
                <w:szCs w:val="18"/>
                <w:lang w:val="tr-TR"/>
              </w:rPr>
              <w:t>Projektör ve görüntü ekranı</w:t>
            </w:r>
          </w:p>
          <w:p w14:paraId="14CF9EF0" w14:textId="65E8AD8B" w:rsidR="000F7896" w:rsidRPr="000E3D79" w:rsidRDefault="00537B8F" w:rsidP="000E3D79">
            <w:pPr>
              <w:pStyle w:val="bul1"/>
              <w:numPr>
                <w:ilvl w:val="0"/>
                <w:numId w:val="6"/>
              </w:numPr>
              <w:spacing w:before="120" w:after="120" w:line="260" w:lineRule="atLeast"/>
              <w:rPr>
                <w:noProof/>
                <w:lang w:val="tr-TR"/>
              </w:rPr>
            </w:pPr>
            <w:r w:rsidRPr="000E3D79">
              <w:rPr>
                <w:noProof/>
                <w:szCs w:val="18"/>
                <w:lang w:val="tr-TR"/>
              </w:rPr>
              <w:t>Öğrenci not kağıdı ve kalemler</w:t>
            </w:r>
          </w:p>
        </w:tc>
      </w:tr>
      <w:tr w:rsidR="00E7344B" w:rsidRPr="000E3D79" w14:paraId="635F2EFD" w14:textId="77777777" w:rsidTr="004D35F1">
        <w:trPr>
          <w:trHeight w:val="2051"/>
        </w:trPr>
        <w:tc>
          <w:tcPr>
            <w:tcW w:w="9010" w:type="dxa"/>
            <w:gridSpan w:val="3"/>
            <w:vAlign w:val="center"/>
          </w:tcPr>
          <w:p w14:paraId="34602AF3" w14:textId="21971AD7" w:rsidR="00A03CF0" w:rsidRPr="000E3D79" w:rsidRDefault="00537B8F" w:rsidP="000E3D79">
            <w:pPr>
              <w:spacing w:before="120" w:after="120" w:line="260" w:lineRule="atLeast"/>
              <w:rPr>
                <w:rFonts w:ascii="Verdana" w:hAnsi="Verdana"/>
                <w:b/>
                <w:noProof/>
                <w:sz w:val="22"/>
                <w:szCs w:val="22"/>
                <w:lang w:val="tr-TR"/>
              </w:rPr>
            </w:pPr>
            <w:r w:rsidRPr="000E3D79">
              <w:rPr>
                <w:rFonts w:ascii="Verdana" w:hAnsi="Verdana"/>
                <w:b/>
                <w:noProof/>
                <w:sz w:val="22"/>
                <w:szCs w:val="22"/>
                <w:lang w:val="tr-TR"/>
              </w:rPr>
              <w:t>Oturumun Amacı</w:t>
            </w:r>
            <w:r w:rsidR="00A03CF0" w:rsidRPr="000E3D79">
              <w:rPr>
                <w:rFonts w:ascii="Verdana" w:hAnsi="Verdana"/>
                <w:b/>
                <w:noProof/>
                <w:sz w:val="22"/>
                <w:szCs w:val="22"/>
                <w:lang w:val="tr-TR"/>
              </w:rPr>
              <w:t xml:space="preserve">:  </w:t>
            </w:r>
          </w:p>
          <w:p w14:paraId="303D581E" w14:textId="1F79C9E8" w:rsidR="00B56791" w:rsidRPr="000E3D79" w:rsidRDefault="002239CE" w:rsidP="000E3D79">
            <w:pPr>
              <w:spacing w:before="120" w:after="120" w:line="260" w:lineRule="atLeast"/>
              <w:jc w:val="both"/>
              <w:rPr>
                <w:rFonts w:ascii="Verdana" w:eastAsia="Times New Roman" w:hAnsi="Verdana" w:cs="Arial"/>
                <w:noProof/>
                <w:color w:val="000000"/>
                <w:sz w:val="18"/>
                <w:szCs w:val="18"/>
                <w:lang w:val="tr-TR"/>
              </w:rPr>
            </w:pPr>
            <w:r w:rsidRPr="000E3D79">
              <w:rPr>
                <w:rFonts w:ascii="Verdana" w:eastAsia="Times New Roman" w:hAnsi="Verdana" w:cs="Arial"/>
                <w:noProof/>
                <w:color w:val="000000"/>
                <w:sz w:val="18"/>
                <w:szCs w:val="18"/>
                <w:lang w:val="tr-TR"/>
              </w:rPr>
              <w:t>Bu o</w:t>
            </w:r>
            <w:r w:rsidR="00537B8F" w:rsidRPr="000E3D79">
              <w:rPr>
                <w:rFonts w:ascii="Verdana" w:eastAsia="Times New Roman" w:hAnsi="Verdana" w:cs="Arial"/>
                <w:noProof/>
                <w:color w:val="000000"/>
                <w:sz w:val="18"/>
                <w:szCs w:val="18"/>
                <w:lang w:val="tr-TR"/>
              </w:rPr>
              <w:t xml:space="preserve">turum, polis, savcılık ve mahkeme düzeyinde yerleşik iletişim kanallarının kullanılması yoluyla </w:t>
            </w:r>
            <w:r w:rsidR="008A3D7A" w:rsidRPr="000E3D79">
              <w:rPr>
                <w:rFonts w:ascii="Verdana" w:eastAsia="Times New Roman" w:hAnsi="Verdana" w:cs="Arial"/>
                <w:noProof/>
                <w:color w:val="000000"/>
                <w:sz w:val="18"/>
                <w:szCs w:val="18"/>
                <w:lang w:val="tr-TR"/>
              </w:rPr>
              <w:t>resmi olmayan</w:t>
            </w:r>
            <w:r w:rsidR="00537B8F" w:rsidRPr="000E3D79">
              <w:rPr>
                <w:rFonts w:ascii="Verdana" w:eastAsia="Times New Roman" w:hAnsi="Verdana" w:cs="Arial"/>
                <w:noProof/>
                <w:color w:val="000000"/>
                <w:sz w:val="18"/>
                <w:szCs w:val="18"/>
                <w:lang w:val="tr-TR"/>
              </w:rPr>
              <w:t xml:space="preserve"> işbirliği yolları hakkında bir sunum yapılmasına ve konunun tartışılmasına yöneliktir.</w:t>
            </w:r>
            <w:r w:rsidR="00260809" w:rsidRPr="000E3D79">
              <w:rPr>
                <w:rFonts w:ascii="Verdana" w:eastAsia="Times New Roman" w:hAnsi="Verdana" w:cs="Arial"/>
                <w:noProof/>
                <w:color w:val="000000"/>
                <w:sz w:val="18"/>
                <w:szCs w:val="18"/>
                <w:lang w:val="tr-TR"/>
              </w:rPr>
              <w:t xml:space="preserve"> </w:t>
            </w:r>
            <w:r w:rsidR="00537B8F" w:rsidRPr="000E3D79">
              <w:rPr>
                <w:rFonts w:ascii="Verdana" w:eastAsia="Times New Roman" w:hAnsi="Verdana" w:cs="Arial"/>
                <w:noProof/>
                <w:color w:val="000000"/>
                <w:sz w:val="18"/>
                <w:szCs w:val="18"/>
                <w:lang w:val="tr-TR"/>
              </w:rPr>
              <w:t xml:space="preserve">Uluslararası kuruluşların ve işbirliği ağlarının </w:t>
            </w:r>
            <w:r w:rsidRPr="000E3D79">
              <w:rPr>
                <w:rFonts w:ascii="Verdana" w:eastAsia="Times New Roman" w:hAnsi="Verdana" w:cs="Arial"/>
                <w:noProof/>
                <w:color w:val="000000"/>
                <w:sz w:val="18"/>
                <w:szCs w:val="18"/>
                <w:lang w:val="tr-TR"/>
              </w:rPr>
              <w:t>pek çok</w:t>
            </w:r>
            <w:r w:rsidR="00537B8F" w:rsidRPr="000E3D79">
              <w:rPr>
                <w:rFonts w:ascii="Verdana" w:eastAsia="Times New Roman" w:hAnsi="Verdana" w:cs="Arial"/>
                <w:noProof/>
                <w:color w:val="000000"/>
                <w:sz w:val="18"/>
                <w:szCs w:val="18"/>
                <w:lang w:val="tr-TR"/>
              </w:rPr>
              <w:t xml:space="preserve"> örneği mevcuttur ve en başarılı olanlardan bazıları burada sunulmaktadır.</w:t>
            </w:r>
          </w:p>
          <w:p w14:paraId="6F6C295C" w14:textId="22A3088F" w:rsidR="00260809" w:rsidRPr="000E3D79" w:rsidRDefault="00537B8F" w:rsidP="000E3D79">
            <w:pPr>
              <w:spacing w:before="120" w:after="120" w:line="260" w:lineRule="atLeast"/>
              <w:jc w:val="both"/>
              <w:rPr>
                <w:rFonts w:ascii="Verdana" w:eastAsia="Times New Roman" w:hAnsi="Verdana" w:cs="Arial"/>
                <w:noProof/>
                <w:color w:val="000000"/>
                <w:sz w:val="18"/>
                <w:szCs w:val="18"/>
                <w:lang w:val="tr-TR"/>
              </w:rPr>
            </w:pPr>
            <w:r w:rsidRPr="000E3D79">
              <w:rPr>
                <w:rFonts w:ascii="Verdana" w:eastAsia="Times New Roman" w:hAnsi="Verdana" w:cs="Arial"/>
                <w:noProof/>
                <w:color w:val="000000"/>
                <w:sz w:val="18"/>
                <w:szCs w:val="18"/>
                <w:lang w:val="tr-TR"/>
              </w:rPr>
              <w:t xml:space="preserve">Uzman, bu ağları, prosedürleri ve iletişim noktalarını hızlı bir şekilde iletişim kurmak ve sadece bilgiyi değil, aynı zamanda mümkün ve kabul edilebilir </w:t>
            </w:r>
            <w:r w:rsidR="00D10CB9" w:rsidRPr="000E3D79">
              <w:rPr>
                <w:rFonts w:ascii="Verdana" w:eastAsia="Times New Roman" w:hAnsi="Verdana" w:cs="Arial"/>
                <w:noProof/>
                <w:color w:val="000000"/>
                <w:sz w:val="18"/>
                <w:szCs w:val="18"/>
                <w:lang w:val="tr-TR"/>
              </w:rPr>
              <w:t>delilleri</w:t>
            </w:r>
            <w:r w:rsidRPr="000E3D79">
              <w:rPr>
                <w:rFonts w:ascii="Verdana" w:eastAsia="Times New Roman" w:hAnsi="Verdana" w:cs="Arial"/>
                <w:noProof/>
                <w:color w:val="000000"/>
                <w:sz w:val="18"/>
                <w:szCs w:val="18"/>
                <w:lang w:val="tr-TR"/>
              </w:rPr>
              <w:t xml:space="preserve"> da paylaşmak için kullanma fırsatları sunmalıdır.</w:t>
            </w:r>
          </w:p>
          <w:p w14:paraId="3FE58655" w14:textId="2790CB4E" w:rsidR="00A03CF0" w:rsidRPr="000E3D79" w:rsidRDefault="00537B8F" w:rsidP="000E3D79">
            <w:pPr>
              <w:spacing w:before="120" w:after="120" w:line="260" w:lineRule="atLeast"/>
              <w:jc w:val="both"/>
              <w:rPr>
                <w:rFonts w:ascii="Verdana" w:hAnsi="Verdana"/>
                <w:noProof/>
                <w:sz w:val="18"/>
                <w:szCs w:val="18"/>
                <w:lang w:val="tr-TR"/>
              </w:rPr>
            </w:pPr>
            <w:r w:rsidRPr="000E3D79">
              <w:rPr>
                <w:rFonts w:ascii="Verdana" w:eastAsia="Times New Roman" w:hAnsi="Verdana" w:cs="Arial"/>
                <w:noProof/>
                <w:color w:val="000000"/>
                <w:sz w:val="18"/>
                <w:szCs w:val="18"/>
                <w:lang w:val="tr-TR"/>
              </w:rPr>
              <w:t xml:space="preserve">Oturumun </w:t>
            </w:r>
            <w:r w:rsidR="002239CE" w:rsidRPr="000E3D79">
              <w:rPr>
                <w:rFonts w:ascii="Verdana" w:eastAsia="Times New Roman" w:hAnsi="Verdana" w:cs="Arial"/>
                <w:noProof/>
                <w:color w:val="000000"/>
                <w:sz w:val="18"/>
                <w:szCs w:val="18"/>
                <w:lang w:val="tr-TR"/>
              </w:rPr>
              <w:t>odağı</w:t>
            </w:r>
            <w:r w:rsidRPr="000E3D79">
              <w:rPr>
                <w:rFonts w:ascii="Verdana" w:eastAsia="Times New Roman" w:hAnsi="Verdana" w:cs="Arial"/>
                <w:noProof/>
                <w:color w:val="000000"/>
                <w:sz w:val="18"/>
                <w:szCs w:val="18"/>
                <w:lang w:val="tr-TR"/>
              </w:rPr>
              <w:t xml:space="preserve">, siber suçun bastırılmasında </w:t>
            </w:r>
            <w:r w:rsidR="002239CE" w:rsidRPr="000E3D79">
              <w:rPr>
                <w:rFonts w:ascii="Verdana" w:eastAsia="Times New Roman" w:hAnsi="Verdana" w:cs="Arial"/>
                <w:noProof/>
                <w:color w:val="000000"/>
                <w:sz w:val="18"/>
                <w:szCs w:val="18"/>
                <w:lang w:val="tr-TR"/>
              </w:rPr>
              <w:t xml:space="preserve">gerekli </w:t>
            </w:r>
            <w:r w:rsidRPr="000E3D79">
              <w:rPr>
                <w:rFonts w:ascii="Verdana" w:eastAsia="Times New Roman" w:hAnsi="Verdana" w:cs="Arial"/>
                <w:noProof/>
                <w:color w:val="000000"/>
                <w:sz w:val="18"/>
                <w:szCs w:val="18"/>
                <w:lang w:val="tr-TR"/>
              </w:rPr>
              <w:t>müdahale için eldeki mekanizmaların en verimli şekilde kullanılması olmalıdır.</w:t>
            </w:r>
          </w:p>
        </w:tc>
      </w:tr>
      <w:tr w:rsidR="00A03CF0" w:rsidRPr="000E3D79" w14:paraId="1B5A80A7" w14:textId="77777777" w:rsidTr="00F1338F">
        <w:trPr>
          <w:trHeight w:val="5894"/>
        </w:trPr>
        <w:tc>
          <w:tcPr>
            <w:tcW w:w="9010" w:type="dxa"/>
            <w:gridSpan w:val="3"/>
          </w:tcPr>
          <w:p w14:paraId="559A7E05" w14:textId="03B3F8F8" w:rsidR="00A03CF0" w:rsidRPr="000E3D79" w:rsidRDefault="00537B8F" w:rsidP="000E3D79">
            <w:pPr>
              <w:spacing w:before="120" w:after="120" w:line="260" w:lineRule="atLeast"/>
              <w:rPr>
                <w:rFonts w:ascii="Verdana" w:hAnsi="Verdana"/>
                <w:b/>
                <w:noProof/>
                <w:sz w:val="22"/>
                <w:szCs w:val="22"/>
                <w:lang w:val="tr-TR"/>
              </w:rPr>
            </w:pPr>
            <w:r w:rsidRPr="000E3D79">
              <w:rPr>
                <w:rFonts w:ascii="Verdana" w:hAnsi="Verdana"/>
                <w:b/>
                <w:noProof/>
                <w:sz w:val="22"/>
                <w:szCs w:val="22"/>
                <w:lang w:val="tr-TR"/>
              </w:rPr>
              <w:t>Hedefler</w:t>
            </w:r>
            <w:r w:rsidR="00271010" w:rsidRPr="000E3D79">
              <w:rPr>
                <w:rFonts w:ascii="Verdana" w:hAnsi="Verdana"/>
                <w:b/>
                <w:noProof/>
                <w:sz w:val="22"/>
                <w:szCs w:val="22"/>
                <w:lang w:val="tr-TR"/>
              </w:rPr>
              <w:t>:</w:t>
            </w:r>
          </w:p>
          <w:p w14:paraId="51F056A4" w14:textId="2C734C71" w:rsidR="00537B8F" w:rsidRPr="000E3D79" w:rsidRDefault="00537B8F" w:rsidP="000E3D7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noProof/>
                <w:sz w:val="18"/>
                <w:szCs w:val="18"/>
                <w:lang w:val="tr-TR"/>
              </w:rPr>
            </w:pPr>
            <w:r w:rsidRPr="000E3D79">
              <w:rPr>
                <w:rFonts w:ascii="Verdana" w:eastAsia="Times New Roman" w:hAnsi="Verdana" w:cs="Times New Roman"/>
                <w:noProof/>
                <w:sz w:val="18"/>
                <w:szCs w:val="18"/>
                <w:lang w:val="tr-TR"/>
              </w:rPr>
              <w:t xml:space="preserve">Cezai konularda resmi ve resmi </w:t>
            </w:r>
            <w:r w:rsidR="008A3D7A" w:rsidRPr="000E3D79">
              <w:rPr>
                <w:rFonts w:ascii="Verdana" w:eastAsia="Times New Roman" w:hAnsi="Verdana" w:cs="Times New Roman"/>
                <w:noProof/>
                <w:sz w:val="18"/>
                <w:szCs w:val="18"/>
                <w:lang w:val="tr-TR"/>
              </w:rPr>
              <w:t xml:space="preserve">olmayan </w:t>
            </w:r>
            <w:r w:rsidRPr="000E3D79">
              <w:rPr>
                <w:rFonts w:ascii="Verdana" w:eastAsia="Times New Roman" w:hAnsi="Verdana" w:cs="Times New Roman"/>
                <w:noProof/>
                <w:sz w:val="18"/>
                <w:szCs w:val="18"/>
                <w:lang w:val="tr-TR"/>
              </w:rPr>
              <w:t xml:space="preserve">karşılıklı </w:t>
            </w:r>
            <w:r w:rsidR="002239CE" w:rsidRPr="000E3D79">
              <w:rPr>
                <w:rFonts w:ascii="Verdana" w:eastAsia="Times New Roman" w:hAnsi="Verdana" w:cs="Times New Roman"/>
                <w:noProof/>
                <w:sz w:val="18"/>
                <w:szCs w:val="18"/>
                <w:lang w:val="tr-TR"/>
              </w:rPr>
              <w:t xml:space="preserve">adli </w:t>
            </w:r>
            <w:r w:rsidRPr="000E3D79">
              <w:rPr>
                <w:rFonts w:ascii="Verdana" w:eastAsia="Times New Roman" w:hAnsi="Verdana" w:cs="Times New Roman"/>
                <w:noProof/>
                <w:sz w:val="18"/>
                <w:szCs w:val="18"/>
                <w:lang w:val="tr-TR"/>
              </w:rPr>
              <w:t>yardım arasındaki farkları anlamak</w:t>
            </w:r>
          </w:p>
          <w:p w14:paraId="761D6DA4" w14:textId="30421E6D" w:rsidR="00537B8F" w:rsidRPr="000E3D79" w:rsidRDefault="00537B8F" w:rsidP="000E3D7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noProof/>
                <w:sz w:val="18"/>
                <w:szCs w:val="18"/>
                <w:lang w:val="tr-TR"/>
              </w:rPr>
            </w:pPr>
            <w:r w:rsidRPr="000E3D79">
              <w:rPr>
                <w:rFonts w:ascii="Verdana" w:eastAsia="Times New Roman" w:hAnsi="Verdana" w:cs="Times New Roman"/>
                <w:noProof/>
                <w:sz w:val="18"/>
                <w:szCs w:val="18"/>
                <w:lang w:val="tr-TR"/>
              </w:rPr>
              <w:t xml:space="preserve">Siber Suç organizasyonu, kurulumu ve yetkinlikleri için Uluslararası Kuruluşlar ve Ağlar hakkında ek bilgi almak </w:t>
            </w:r>
          </w:p>
          <w:p w14:paraId="55D1FF6B" w14:textId="0A6A2406" w:rsidR="00537B8F" w:rsidRPr="000E3D79" w:rsidRDefault="00537B8F" w:rsidP="000E3D7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noProof/>
                <w:sz w:val="18"/>
                <w:szCs w:val="18"/>
                <w:lang w:val="tr-TR"/>
              </w:rPr>
            </w:pPr>
            <w:r w:rsidRPr="000E3D79">
              <w:rPr>
                <w:rFonts w:ascii="Verdana" w:eastAsia="Times New Roman" w:hAnsi="Verdana" w:cs="Times New Roman"/>
                <w:noProof/>
                <w:sz w:val="18"/>
                <w:szCs w:val="18"/>
                <w:lang w:val="tr-TR"/>
              </w:rPr>
              <w:t>Avrupa Konseyi Siber Suçlar Sözleşmesi Madde 35'in uygulanmasını ayrıca analiz etmek ve anlamak</w:t>
            </w:r>
          </w:p>
          <w:p w14:paraId="782802F5" w14:textId="24F4C1E3" w:rsidR="00260809" w:rsidRPr="000E3D79" w:rsidRDefault="00537B8F" w:rsidP="000E3D79">
            <w:pPr>
              <w:pStyle w:val="ListParagraph"/>
              <w:numPr>
                <w:ilvl w:val="0"/>
                <w:numId w:val="18"/>
              </w:numPr>
              <w:tabs>
                <w:tab w:val="left" w:pos="426"/>
                <w:tab w:val="left" w:pos="851"/>
              </w:tabs>
              <w:spacing w:before="120" w:after="120" w:line="260" w:lineRule="atLeast"/>
              <w:contextualSpacing w:val="0"/>
              <w:jc w:val="both"/>
              <w:rPr>
                <w:rFonts w:ascii="Verdana" w:eastAsia="Times New Roman" w:hAnsi="Verdana" w:cs="Times New Roman"/>
                <w:noProof/>
                <w:sz w:val="18"/>
                <w:szCs w:val="18"/>
                <w:lang w:val="tr-TR"/>
              </w:rPr>
            </w:pPr>
            <w:r w:rsidRPr="000E3D79">
              <w:rPr>
                <w:rFonts w:ascii="Verdana" w:eastAsia="Times New Roman" w:hAnsi="Verdana" w:cs="Times New Roman"/>
                <w:noProof/>
                <w:sz w:val="18"/>
                <w:szCs w:val="18"/>
                <w:lang w:val="tr-TR"/>
              </w:rPr>
              <w:t>İşbirliğini geliştirmek için bazı kapasite geliştirme çözümleri hakkında farkındalık yaratmak</w:t>
            </w:r>
          </w:p>
          <w:p w14:paraId="61ABEAC5" w14:textId="5302ADCF" w:rsidR="004D35F1" w:rsidRPr="000E3D79" w:rsidRDefault="004D35F1" w:rsidP="000E3D79">
            <w:pPr>
              <w:tabs>
                <w:tab w:val="left" w:pos="426"/>
                <w:tab w:val="left" w:pos="851"/>
              </w:tabs>
              <w:spacing w:before="120" w:after="120" w:line="260" w:lineRule="atLeast"/>
              <w:ind w:left="360"/>
              <w:rPr>
                <w:rFonts w:ascii="Verdana" w:eastAsia="Times New Roman" w:hAnsi="Verdana" w:cs="Times New Roman"/>
                <w:noProof/>
                <w:sz w:val="18"/>
                <w:szCs w:val="18"/>
                <w:lang w:val="tr-TR"/>
              </w:rPr>
            </w:pPr>
          </w:p>
        </w:tc>
      </w:tr>
      <w:tr w:rsidR="005703B7" w:rsidRPr="000E3D79" w14:paraId="03110757" w14:textId="77777777" w:rsidTr="00D62E5F">
        <w:trPr>
          <w:trHeight w:val="3230"/>
        </w:trPr>
        <w:tc>
          <w:tcPr>
            <w:tcW w:w="9010" w:type="dxa"/>
            <w:gridSpan w:val="3"/>
            <w:tcBorders>
              <w:bottom w:val="single" w:sz="4" w:space="0" w:color="auto"/>
            </w:tcBorders>
            <w:vAlign w:val="center"/>
          </w:tcPr>
          <w:p w14:paraId="7A064E85" w14:textId="5E48583A" w:rsidR="005703B7" w:rsidRPr="000E3D79" w:rsidRDefault="00940497" w:rsidP="000E3D79">
            <w:pPr>
              <w:spacing w:before="120" w:after="120" w:line="260" w:lineRule="atLeast"/>
              <w:rPr>
                <w:rFonts w:ascii="Verdana" w:hAnsi="Verdana"/>
                <w:b/>
                <w:noProof/>
                <w:color w:val="000000" w:themeColor="text1"/>
                <w:sz w:val="22"/>
                <w:szCs w:val="22"/>
                <w:lang w:val="tr-TR"/>
              </w:rPr>
            </w:pPr>
            <w:r w:rsidRPr="000E3D79">
              <w:rPr>
                <w:rFonts w:ascii="Verdana" w:hAnsi="Verdana"/>
                <w:b/>
                <w:noProof/>
                <w:color w:val="000000" w:themeColor="text1"/>
                <w:sz w:val="22"/>
                <w:szCs w:val="22"/>
                <w:lang w:val="tr-TR"/>
              </w:rPr>
              <w:lastRenderedPageBreak/>
              <w:t>Eğit</w:t>
            </w:r>
            <w:r w:rsidR="006356F9" w:rsidRPr="000E3D79">
              <w:rPr>
                <w:rFonts w:ascii="Verdana" w:hAnsi="Verdana"/>
                <w:b/>
                <w:noProof/>
                <w:color w:val="000000" w:themeColor="text1"/>
                <w:sz w:val="22"/>
                <w:szCs w:val="22"/>
                <w:lang w:val="tr-TR"/>
              </w:rPr>
              <w:t>ici Rehberi</w:t>
            </w:r>
          </w:p>
          <w:p w14:paraId="4A62EF5F" w14:textId="186D91DC" w:rsidR="004D35F1" w:rsidRPr="000E3D79" w:rsidRDefault="00940497" w:rsidP="000E3D79">
            <w:pPr>
              <w:spacing w:before="120" w:after="120" w:line="260" w:lineRule="atLeast"/>
              <w:rPr>
                <w:rFonts w:ascii="Verdana" w:hAnsi="Verdana"/>
                <w:bCs/>
                <w:noProof/>
                <w:color w:val="000000" w:themeColor="text1"/>
                <w:sz w:val="18"/>
                <w:szCs w:val="18"/>
                <w:lang w:val="tr-TR"/>
              </w:rPr>
            </w:pPr>
            <w:r w:rsidRPr="000E3D79">
              <w:rPr>
                <w:rFonts w:ascii="Verdana" w:hAnsi="Verdana"/>
                <w:bCs/>
                <w:noProof/>
                <w:color w:val="000000" w:themeColor="text1"/>
                <w:sz w:val="18"/>
                <w:szCs w:val="18"/>
                <w:lang w:val="tr-TR"/>
              </w:rPr>
              <w:t xml:space="preserve">Oturum sırasında aşağıdaki </w:t>
            </w:r>
            <w:r w:rsidR="002239CE" w:rsidRPr="000E3D79">
              <w:rPr>
                <w:rFonts w:ascii="Verdana" w:hAnsi="Verdana"/>
                <w:bCs/>
                <w:noProof/>
                <w:color w:val="000000" w:themeColor="text1"/>
                <w:sz w:val="18"/>
                <w:szCs w:val="18"/>
                <w:lang w:val="tr-TR"/>
              </w:rPr>
              <w:t xml:space="preserve">hususlar </w:t>
            </w:r>
            <w:r w:rsidRPr="000E3D79">
              <w:rPr>
                <w:rFonts w:ascii="Verdana" w:hAnsi="Verdana"/>
                <w:bCs/>
                <w:noProof/>
                <w:color w:val="000000" w:themeColor="text1"/>
                <w:sz w:val="18"/>
                <w:szCs w:val="18"/>
                <w:lang w:val="tr-TR"/>
              </w:rPr>
              <w:t>dikkate alınmalıdır:</w:t>
            </w:r>
          </w:p>
          <w:p w14:paraId="67D2ED24" w14:textId="7940D23A" w:rsidR="00B40FCA" w:rsidRPr="000E3D79" w:rsidRDefault="00940497" w:rsidP="000E3D79">
            <w:pPr>
              <w:pStyle w:val="ListParagraph"/>
              <w:numPr>
                <w:ilvl w:val="0"/>
                <w:numId w:val="21"/>
              </w:numPr>
              <w:spacing w:before="120" w:after="120" w:line="260" w:lineRule="atLeast"/>
              <w:contextualSpacing w:val="0"/>
              <w:rPr>
                <w:rFonts w:ascii="Verdana" w:hAnsi="Verdana"/>
                <w:bCs/>
                <w:noProof/>
                <w:color w:val="000000" w:themeColor="text1"/>
                <w:sz w:val="18"/>
                <w:szCs w:val="18"/>
                <w:lang w:val="tr-TR"/>
              </w:rPr>
            </w:pPr>
            <w:r w:rsidRPr="000E3D79">
              <w:rPr>
                <w:rFonts w:ascii="Verdana" w:hAnsi="Verdana"/>
                <w:bCs/>
                <w:noProof/>
                <w:color w:val="000000" w:themeColor="text1"/>
                <w:sz w:val="18"/>
                <w:szCs w:val="18"/>
                <w:lang w:val="tr-TR"/>
              </w:rPr>
              <w:t xml:space="preserve">Cezai konularda </w:t>
            </w:r>
            <w:r w:rsidR="008D0558" w:rsidRPr="000E3D79">
              <w:rPr>
                <w:rFonts w:ascii="Verdana" w:hAnsi="Verdana"/>
                <w:bCs/>
                <w:noProof/>
                <w:color w:val="000000" w:themeColor="text1"/>
                <w:sz w:val="18"/>
                <w:szCs w:val="18"/>
                <w:lang w:val="tr-TR"/>
              </w:rPr>
              <w:t xml:space="preserve">karşılıklı resmi adli yardımlaşma ve resmi olmayan adli yardımlaşma arasındaki farklar, bunlara ilişkin örnekler, temel noktalar ve öneriler </w:t>
            </w:r>
          </w:p>
          <w:p w14:paraId="0BC914A8" w14:textId="4D4F7BF5" w:rsidR="00940497" w:rsidRPr="000E3D79" w:rsidRDefault="008A3D7A" w:rsidP="000E3D79">
            <w:pPr>
              <w:pStyle w:val="ListParagraph"/>
              <w:widowControl w:val="0"/>
              <w:numPr>
                <w:ilvl w:val="0"/>
                <w:numId w:val="15"/>
              </w:numPr>
              <w:spacing w:before="120" w:after="120" w:line="260" w:lineRule="atLeast"/>
              <w:contextualSpacing w:val="0"/>
              <w:jc w:val="both"/>
              <w:rPr>
                <w:rFonts w:ascii="Verdana" w:hAnsi="Verdana" w:cs="Arial"/>
                <w:noProof/>
                <w:sz w:val="18"/>
                <w:szCs w:val="18"/>
                <w:lang w:val="tr-TR"/>
              </w:rPr>
            </w:pPr>
            <w:r w:rsidRPr="000E3D79">
              <w:rPr>
                <w:rFonts w:ascii="Verdana" w:hAnsi="Verdana" w:cs="Arial"/>
                <w:noProof/>
                <w:sz w:val="18"/>
                <w:szCs w:val="18"/>
                <w:lang w:val="tr-TR"/>
              </w:rPr>
              <w:t xml:space="preserve">Resmi </w:t>
            </w:r>
            <w:r w:rsidR="00940497" w:rsidRPr="000E3D79">
              <w:rPr>
                <w:rFonts w:ascii="Verdana" w:hAnsi="Verdana" w:cs="Arial"/>
                <w:noProof/>
                <w:sz w:val="18"/>
                <w:szCs w:val="18"/>
                <w:lang w:val="tr-TR"/>
              </w:rPr>
              <w:t>ve resmi</w:t>
            </w:r>
            <w:r w:rsidR="008D0558" w:rsidRPr="000E3D79">
              <w:rPr>
                <w:rFonts w:ascii="Verdana" w:hAnsi="Verdana" w:cs="Arial"/>
                <w:noProof/>
                <w:sz w:val="18"/>
                <w:szCs w:val="18"/>
                <w:lang w:val="tr-TR"/>
              </w:rPr>
              <w:t xml:space="preserve"> olmayan</w:t>
            </w:r>
            <w:r w:rsidR="00940497" w:rsidRPr="000E3D79">
              <w:rPr>
                <w:rFonts w:ascii="Verdana" w:hAnsi="Verdana" w:cs="Arial"/>
                <w:noProof/>
                <w:sz w:val="18"/>
                <w:szCs w:val="18"/>
                <w:lang w:val="tr-TR"/>
              </w:rPr>
              <w:t xml:space="preserve"> siber suç işbirliği deneyimi ve olanakları konusunda uzmanlaşmış uluslararası kuruluşlar ve ağlar (INTERPOL NCB ve NCRP, </w:t>
            </w:r>
            <w:r w:rsidR="002239CE" w:rsidRPr="000E3D79">
              <w:rPr>
                <w:rFonts w:ascii="Verdana" w:hAnsi="Verdana" w:cs="Arial"/>
                <w:noProof/>
                <w:sz w:val="18"/>
                <w:szCs w:val="18"/>
                <w:lang w:val="tr-TR"/>
              </w:rPr>
              <w:t xml:space="preserve">AB </w:t>
            </w:r>
            <w:r w:rsidR="00940497" w:rsidRPr="000E3D79">
              <w:rPr>
                <w:rFonts w:ascii="Verdana" w:hAnsi="Verdana" w:cs="Arial"/>
                <w:noProof/>
                <w:sz w:val="18"/>
                <w:szCs w:val="18"/>
                <w:lang w:val="tr-TR"/>
              </w:rPr>
              <w:t>mekanizmaları, EUROPOL, EC3, EUROJUST, EJCN, EJN)</w:t>
            </w:r>
          </w:p>
          <w:p w14:paraId="38D594BE" w14:textId="025E0E07" w:rsidR="00940497" w:rsidRPr="000E3D79" w:rsidRDefault="008D0558" w:rsidP="000E3D79">
            <w:pPr>
              <w:pStyle w:val="ListParagraph"/>
              <w:widowControl w:val="0"/>
              <w:numPr>
                <w:ilvl w:val="0"/>
                <w:numId w:val="15"/>
              </w:numPr>
              <w:spacing w:before="120" w:after="120" w:line="260" w:lineRule="atLeast"/>
              <w:contextualSpacing w:val="0"/>
              <w:jc w:val="both"/>
              <w:rPr>
                <w:rFonts w:ascii="Verdana" w:hAnsi="Verdana" w:cs="Arial"/>
                <w:noProof/>
                <w:sz w:val="18"/>
                <w:szCs w:val="18"/>
                <w:lang w:val="tr-TR"/>
              </w:rPr>
            </w:pPr>
            <w:r w:rsidRPr="000E3D79">
              <w:rPr>
                <w:rFonts w:ascii="Verdana" w:hAnsi="Verdana" w:cs="Arial"/>
                <w:noProof/>
                <w:sz w:val="18"/>
                <w:szCs w:val="18"/>
                <w:lang w:val="tr-TR"/>
              </w:rPr>
              <w:t>S</w:t>
            </w:r>
            <w:r w:rsidR="00940497" w:rsidRPr="000E3D79">
              <w:rPr>
                <w:rFonts w:ascii="Verdana" w:hAnsi="Verdana" w:cs="Arial"/>
                <w:noProof/>
                <w:sz w:val="18"/>
                <w:szCs w:val="18"/>
                <w:lang w:val="tr-TR"/>
              </w:rPr>
              <w:t>iber suç</w:t>
            </w:r>
            <w:r w:rsidRPr="000E3D79">
              <w:rPr>
                <w:rFonts w:ascii="Verdana" w:hAnsi="Verdana" w:cs="Arial"/>
                <w:noProof/>
                <w:sz w:val="18"/>
                <w:szCs w:val="18"/>
                <w:lang w:val="tr-TR"/>
              </w:rPr>
              <w:t>a hızlı</w:t>
            </w:r>
            <w:r w:rsidR="00940497" w:rsidRPr="000E3D79">
              <w:rPr>
                <w:rFonts w:ascii="Verdana" w:hAnsi="Verdana" w:cs="Arial"/>
                <w:noProof/>
                <w:sz w:val="18"/>
                <w:szCs w:val="18"/>
                <w:lang w:val="tr-TR"/>
              </w:rPr>
              <w:t xml:space="preserve"> tepki ve bilgi alışverişi deneyimler</w:t>
            </w:r>
            <w:r w:rsidRPr="000E3D79">
              <w:rPr>
                <w:rFonts w:ascii="Verdana" w:hAnsi="Verdana" w:cs="Arial"/>
                <w:noProof/>
                <w:sz w:val="18"/>
                <w:szCs w:val="18"/>
                <w:lang w:val="tr-TR"/>
              </w:rPr>
              <w:t>i</w:t>
            </w:r>
            <w:r w:rsidR="00940497" w:rsidRPr="000E3D79">
              <w:rPr>
                <w:rFonts w:ascii="Verdana" w:hAnsi="Verdana" w:cs="Arial"/>
                <w:noProof/>
                <w:sz w:val="18"/>
                <w:szCs w:val="18"/>
                <w:lang w:val="tr-TR"/>
              </w:rPr>
              <w:t xml:space="preserve"> için Avrupa Konseyi Siber Suç</w:t>
            </w:r>
            <w:r w:rsidRPr="000E3D79">
              <w:rPr>
                <w:rFonts w:ascii="Verdana" w:hAnsi="Verdana" w:cs="Arial"/>
                <w:noProof/>
                <w:sz w:val="18"/>
                <w:szCs w:val="18"/>
                <w:lang w:val="tr-TR"/>
              </w:rPr>
              <w:t xml:space="preserve"> Sözleşmesi</w:t>
            </w:r>
            <w:r w:rsidR="00940497" w:rsidRPr="000E3D79">
              <w:rPr>
                <w:rFonts w:ascii="Verdana" w:hAnsi="Verdana" w:cs="Arial"/>
                <w:noProof/>
                <w:sz w:val="18"/>
                <w:szCs w:val="18"/>
                <w:lang w:val="tr-TR"/>
              </w:rPr>
              <w:t xml:space="preserve"> 7/24 </w:t>
            </w:r>
            <w:r w:rsidR="004D7F59" w:rsidRPr="000E3D79">
              <w:rPr>
                <w:rFonts w:ascii="Verdana" w:hAnsi="Verdana" w:cs="Arial"/>
                <w:noProof/>
                <w:sz w:val="18"/>
                <w:szCs w:val="18"/>
                <w:lang w:val="tr-TR"/>
              </w:rPr>
              <w:t>İrtibat</w:t>
            </w:r>
            <w:r w:rsidR="00940497" w:rsidRPr="000E3D79">
              <w:rPr>
                <w:rFonts w:ascii="Verdana" w:hAnsi="Verdana" w:cs="Arial"/>
                <w:noProof/>
                <w:sz w:val="18"/>
                <w:szCs w:val="18"/>
                <w:lang w:val="tr-TR"/>
              </w:rPr>
              <w:t xml:space="preserve"> Noktası Ağı</w:t>
            </w:r>
          </w:p>
          <w:p w14:paraId="5EFF4BEF" w14:textId="65C737C8" w:rsidR="00F824B2" w:rsidRPr="000E3D79" w:rsidRDefault="00940497" w:rsidP="000E3D79">
            <w:pPr>
              <w:pStyle w:val="ListParagraph"/>
              <w:widowControl w:val="0"/>
              <w:numPr>
                <w:ilvl w:val="0"/>
                <w:numId w:val="15"/>
              </w:numPr>
              <w:spacing w:before="120" w:after="120" w:line="260" w:lineRule="atLeast"/>
              <w:contextualSpacing w:val="0"/>
              <w:jc w:val="both"/>
              <w:rPr>
                <w:rFonts w:ascii="Verdana" w:hAnsi="Verdana" w:cs="Arial"/>
                <w:noProof/>
                <w:sz w:val="18"/>
                <w:szCs w:val="18"/>
                <w:lang w:val="tr-TR"/>
              </w:rPr>
            </w:pPr>
            <w:r w:rsidRPr="000E3D79">
              <w:rPr>
                <w:rFonts w:ascii="Verdana" w:hAnsi="Verdana" w:cs="Arial"/>
                <w:noProof/>
                <w:sz w:val="18"/>
                <w:szCs w:val="18"/>
                <w:lang w:val="tr-TR"/>
              </w:rPr>
              <w:t>Siber suçlara uluslararası müdahale</w:t>
            </w:r>
            <w:r w:rsidR="008D0558" w:rsidRPr="000E3D79">
              <w:rPr>
                <w:rFonts w:ascii="Verdana" w:hAnsi="Verdana" w:cs="Arial"/>
                <w:noProof/>
                <w:sz w:val="18"/>
                <w:szCs w:val="18"/>
                <w:lang w:val="tr-TR"/>
              </w:rPr>
              <w:t xml:space="preserve"> konusunda</w:t>
            </w:r>
            <w:r w:rsidRPr="000E3D79">
              <w:rPr>
                <w:rFonts w:ascii="Verdana" w:hAnsi="Verdana" w:cs="Arial"/>
                <w:noProof/>
                <w:sz w:val="18"/>
                <w:szCs w:val="18"/>
                <w:lang w:val="tr-TR"/>
              </w:rPr>
              <w:t xml:space="preserve"> kapasite geliştirme deneyimi (</w:t>
            </w:r>
            <w:r w:rsidR="008D0558" w:rsidRPr="000E3D79">
              <w:rPr>
                <w:rFonts w:ascii="Verdana" w:hAnsi="Verdana" w:cs="Arial"/>
                <w:noProof/>
                <w:sz w:val="18"/>
                <w:szCs w:val="18"/>
                <w:lang w:val="tr-TR"/>
              </w:rPr>
              <w:t>uyarlanabilir</w:t>
            </w:r>
            <w:r w:rsidRPr="000E3D79">
              <w:rPr>
                <w:rFonts w:ascii="Verdana" w:hAnsi="Verdana" w:cs="Arial"/>
                <w:noProof/>
                <w:sz w:val="18"/>
                <w:szCs w:val="18"/>
                <w:lang w:val="tr-TR"/>
              </w:rPr>
              <w:t>)</w:t>
            </w:r>
          </w:p>
        </w:tc>
      </w:tr>
      <w:tr w:rsidR="005A4E47" w:rsidRPr="000E3D79"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1BF3B4AC" w:rsidR="005A4E47" w:rsidRPr="000E3D79" w:rsidRDefault="00940497" w:rsidP="000E3D79">
            <w:pPr>
              <w:spacing w:before="120" w:after="120" w:line="260" w:lineRule="atLeast"/>
              <w:rPr>
                <w:rFonts w:ascii="Verdana" w:hAnsi="Verdana"/>
                <w:b/>
                <w:noProof/>
                <w:sz w:val="28"/>
                <w:szCs w:val="28"/>
                <w:lang w:val="tr-TR"/>
              </w:rPr>
            </w:pPr>
            <w:r w:rsidRPr="000E3D79">
              <w:rPr>
                <w:rFonts w:ascii="Verdana" w:hAnsi="Verdana"/>
                <w:b/>
                <w:noProof/>
                <w:sz w:val="28"/>
                <w:szCs w:val="28"/>
                <w:lang w:val="tr-TR"/>
              </w:rPr>
              <w:t>Ders İçeriği</w:t>
            </w:r>
          </w:p>
        </w:tc>
      </w:tr>
      <w:tr w:rsidR="00F1574D" w:rsidRPr="000E3D79" w14:paraId="57CC7AA4" w14:textId="77777777" w:rsidTr="00C745F7">
        <w:trPr>
          <w:trHeight w:val="629"/>
        </w:trPr>
        <w:tc>
          <w:tcPr>
            <w:tcW w:w="1668" w:type="dxa"/>
            <w:shd w:val="clear" w:color="auto" w:fill="D9E2F3" w:themeFill="accent1" w:themeFillTint="33"/>
            <w:vAlign w:val="center"/>
          </w:tcPr>
          <w:p w14:paraId="4538C338" w14:textId="12BB57F7" w:rsidR="00D82C18" w:rsidRPr="000E3D79" w:rsidRDefault="00940497" w:rsidP="000E3D79">
            <w:pPr>
              <w:spacing w:before="120" w:after="120" w:line="260" w:lineRule="atLeast"/>
              <w:jc w:val="center"/>
              <w:rPr>
                <w:rFonts w:ascii="Verdana" w:hAnsi="Verdana"/>
                <w:b/>
                <w:noProof/>
                <w:sz w:val="22"/>
                <w:szCs w:val="22"/>
                <w:lang w:val="tr-TR"/>
              </w:rPr>
            </w:pPr>
            <w:r w:rsidRPr="000E3D79">
              <w:rPr>
                <w:rFonts w:ascii="Verdana" w:hAnsi="Verdana"/>
                <w:b/>
                <w:noProof/>
                <w:sz w:val="22"/>
                <w:szCs w:val="22"/>
                <w:lang w:val="tr-TR"/>
              </w:rPr>
              <w:t>Slayt Numara</w:t>
            </w:r>
            <w:r w:rsidR="006356F9" w:rsidRPr="000E3D79">
              <w:rPr>
                <w:rFonts w:ascii="Verdana" w:hAnsi="Verdana"/>
                <w:b/>
                <w:noProof/>
                <w:sz w:val="22"/>
                <w:szCs w:val="22"/>
                <w:lang w:val="tr-TR"/>
              </w:rPr>
              <w:t>ları</w:t>
            </w:r>
          </w:p>
        </w:tc>
        <w:tc>
          <w:tcPr>
            <w:tcW w:w="7342" w:type="dxa"/>
            <w:gridSpan w:val="2"/>
            <w:shd w:val="clear" w:color="auto" w:fill="D9E2F3" w:themeFill="accent1" w:themeFillTint="33"/>
            <w:vAlign w:val="center"/>
          </w:tcPr>
          <w:p w14:paraId="2DA616FC" w14:textId="095A7F95" w:rsidR="00D82C18" w:rsidRPr="000E3D79" w:rsidRDefault="00940497" w:rsidP="000E3D79">
            <w:pPr>
              <w:spacing w:before="120" w:after="120" w:line="260" w:lineRule="atLeast"/>
              <w:rPr>
                <w:rFonts w:ascii="Verdana" w:hAnsi="Verdana"/>
                <w:b/>
                <w:noProof/>
                <w:sz w:val="22"/>
                <w:szCs w:val="22"/>
                <w:lang w:val="tr-TR"/>
              </w:rPr>
            </w:pPr>
            <w:r w:rsidRPr="000E3D79">
              <w:rPr>
                <w:rFonts w:ascii="Verdana" w:hAnsi="Verdana"/>
                <w:b/>
                <w:noProof/>
                <w:sz w:val="22"/>
                <w:szCs w:val="22"/>
                <w:lang w:val="tr-TR"/>
              </w:rPr>
              <w:t>İçerik</w:t>
            </w:r>
          </w:p>
        </w:tc>
      </w:tr>
      <w:tr w:rsidR="00F1574D" w:rsidRPr="000E3D79" w14:paraId="11A12D7E" w14:textId="77777777" w:rsidTr="00C745F7">
        <w:trPr>
          <w:trHeight w:val="1043"/>
        </w:trPr>
        <w:tc>
          <w:tcPr>
            <w:tcW w:w="1668" w:type="dxa"/>
            <w:vAlign w:val="center"/>
          </w:tcPr>
          <w:p w14:paraId="5A89CF27" w14:textId="5FDB9963" w:rsidR="00F1574D" w:rsidRPr="000E3D79" w:rsidRDefault="00CF141D"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t>1 -</w:t>
            </w:r>
            <w:r w:rsidR="003630ED" w:rsidRPr="000E3D79">
              <w:rPr>
                <w:rFonts w:ascii="Verdana" w:hAnsi="Verdana"/>
                <w:noProof/>
                <w:sz w:val="18"/>
                <w:szCs w:val="18"/>
                <w:lang w:val="tr-TR"/>
              </w:rPr>
              <w:t xml:space="preserve"> </w:t>
            </w:r>
            <w:r w:rsidR="00F824B2" w:rsidRPr="000E3D79">
              <w:rPr>
                <w:rFonts w:ascii="Verdana" w:hAnsi="Verdana"/>
                <w:noProof/>
                <w:sz w:val="18"/>
                <w:szCs w:val="18"/>
                <w:lang w:val="tr-TR"/>
              </w:rPr>
              <w:t>3</w:t>
            </w:r>
          </w:p>
        </w:tc>
        <w:tc>
          <w:tcPr>
            <w:tcW w:w="7342" w:type="dxa"/>
            <w:gridSpan w:val="2"/>
            <w:vAlign w:val="center"/>
          </w:tcPr>
          <w:p w14:paraId="36345B59" w14:textId="26B3EEC4" w:rsidR="00556D69" w:rsidRPr="000E3D79" w:rsidRDefault="00940497" w:rsidP="000E3D79">
            <w:pPr>
              <w:spacing w:before="120" w:after="120" w:line="260" w:lineRule="atLeast"/>
              <w:jc w:val="both"/>
              <w:rPr>
                <w:rFonts w:ascii="Verdana" w:hAnsi="Verdana"/>
                <w:noProof/>
                <w:color w:val="000000" w:themeColor="text1"/>
                <w:sz w:val="18"/>
                <w:szCs w:val="18"/>
                <w:lang w:val="tr-TR"/>
              </w:rPr>
            </w:pPr>
            <w:r w:rsidRPr="000E3D79">
              <w:rPr>
                <w:rFonts w:ascii="Verdana" w:hAnsi="Verdana"/>
                <w:noProof/>
                <w:color w:val="000000" w:themeColor="text1"/>
                <w:sz w:val="18"/>
                <w:szCs w:val="18"/>
                <w:lang w:val="tr-TR"/>
              </w:rPr>
              <w:t>Açılış slaytları oturuma giriş niteliğindedir ve oturum gündemini ve hedeflerini ve Giriş eğitiminden bazı</w:t>
            </w:r>
            <w:r w:rsidR="008E3099" w:rsidRPr="000E3D79">
              <w:rPr>
                <w:rFonts w:ascii="Verdana" w:hAnsi="Verdana"/>
                <w:noProof/>
                <w:color w:val="000000" w:themeColor="text1"/>
                <w:sz w:val="18"/>
                <w:szCs w:val="18"/>
                <w:lang w:val="tr-TR"/>
              </w:rPr>
              <w:t xml:space="preserve"> hatırlatıcı alt konuları </w:t>
            </w:r>
            <w:r w:rsidR="002239CE" w:rsidRPr="000E3D79">
              <w:rPr>
                <w:rFonts w:ascii="Verdana" w:hAnsi="Verdana"/>
                <w:noProof/>
                <w:color w:val="000000" w:themeColor="text1"/>
                <w:sz w:val="18"/>
                <w:szCs w:val="18"/>
                <w:lang w:val="tr-TR"/>
              </w:rPr>
              <w:t>içerir</w:t>
            </w:r>
            <w:r w:rsidRPr="000E3D79">
              <w:rPr>
                <w:rFonts w:ascii="Verdana" w:hAnsi="Verdana"/>
                <w:noProof/>
                <w:color w:val="000000" w:themeColor="text1"/>
                <w:sz w:val="18"/>
                <w:szCs w:val="18"/>
                <w:lang w:val="tr-TR"/>
              </w:rPr>
              <w:t>.</w:t>
            </w:r>
            <w:r w:rsidR="00556D69" w:rsidRPr="000E3D79">
              <w:rPr>
                <w:rFonts w:ascii="Verdana" w:hAnsi="Verdana"/>
                <w:noProof/>
                <w:color w:val="000000" w:themeColor="text1"/>
                <w:sz w:val="18"/>
                <w:szCs w:val="18"/>
                <w:lang w:val="tr-TR"/>
              </w:rPr>
              <w:t xml:space="preserve">  </w:t>
            </w:r>
          </w:p>
        </w:tc>
      </w:tr>
      <w:tr w:rsidR="00A60446" w:rsidRPr="000E3D79" w14:paraId="42D2960A" w14:textId="77777777" w:rsidTr="00C745F7">
        <w:trPr>
          <w:trHeight w:val="1880"/>
        </w:trPr>
        <w:tc>
          <w:tcPr>
            <w:tcW w:w="1668" w:type="dxa"/>
            <w:vAlign w:val="center"/>
          </w:tcPr>
          <w:p w14:paraId="3DAC33AA" w14:textId="7C75678A" w:rsidR="00A60446" w:rsidRPr="000E3D79" w:rsidRDefault="005C0A4A"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t>4</w:t>
            </w:r>
            <w:r w:rsidR="00CF141D" w:rsidRPr="000E3D79">
              <w:rPr>
                <w:rFonts w:ascii="Verdana" w:hAnsi="Verdana"/>
                <w:noProof/>
                <w:sz w:val="18"/>
                <w:szCs w:val="18"/>
                <w:lang w:val="tr-TR"/>
              </w:rPr>
              <w:t xml:space="preserve"> </w:t>
            </w:r>
            <w:r w:rsidR="00BB2DA9" w:rsidRPr="000E3D79">
              <w:rPr>
                <w:rFonts w:ascii="Verdana" w:hAnsi="Verdana"/>
                <w:noProof/>
                <w:sz w:val="18"/>
                <w:szCs w:val="18"/>
                <w:lang w:val="tr-TR"/>
              </w:rPr>
              <w:t>–</w:t>
            </w:r>
            <w:r w:rsidR="003B34C4" w:rsidRPr="000E3D79">
              <w:rPr>
                <w:rFonts w:ascii="Verdana" w:hAnsi="Verdana"/>
                <w:noProof/>
                <w:sz w:val="18"/>
                <w:szCs w:val="18"/>
                <w:lang w:val="tr-TR"/>
              </w:rPr>
              <w:t xml:space="preserve"> 6</w:t>
            </w:r>
          </w:p>
        </w:tc>
        <w:tc>
          <w:tcPr>
            <w:tcW w:w="7342" w:type="dxa"/>
            <w:gridSpan w:val="2"/>
            <w:vAlign w:val="center"/>
          </w:tcPr>
          <w:p w14:paraId="5929DC54" w14:textId="749EBCF8" w:rsidR="003B34C4" w:rsidRPr="000E3D79" w:rsidRDefault="00940497"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szCs w:val="18"/>
                <w:lang w:val="tr-TR"/>
              </w:rPr>
              <w:t xml:space="preserve">Bu slaytlar, cezai konularda resmi ve sözde </w:t>
            </w:r>
            <w:r w:rsidR="008A3D7A" w:rsidRPr="000E3D79">
              <w:rPr>
                <w:rFonts w:ascii="Verdana" w:eastAsia="Times New Roman" w:hAnsi="Verdana"/>
                <w:noProof/>
                <w:szCs w:val="18"/>
                <w:lang w:val="tr-TR"/>
              </w:rPr>
              <w:t>resmi olmayan</w:t>
            </w:r>
            <w:r w:rsidRPr="000E3D79">
              <w:rPr>
                <w:rFonts w:ascii="Verdana" w:eastAsia="Times New Roman" w:hAnsi="Verdana"/>
                <w:noProof/>
                <w:szCs w:val="18"/>
                <w:lang w:val="tr-TR"/>
              </w:rPr>
              <w:t xml:space="preserve"> karşılıklı </w:t>
            </w:r>
            <w:r w:rsidR="002239CE" w:rsidRPr="000E3D79">
              <w:rPr>
                <w:rFonts w:ascii="Verdana" w:eastAsia="Times New Roman" w:hAnsi="Verdana"/>
                <w:noProof/>
                <w:szCs w:val="18"/>
                <w:lang w:val="tr-TR"/>
              </w:rPr>
              <w:t xml:space="preserve">adli </w:t>
            </w:r>
            <w:r w:rsidRPr="000E3D79">
              <w:rPr>
                <w:rFonts w:ascii="Verdana" w:eastAsia="Times New Roman" w:hAnsi="Verdana"/>
                <w:noProof/>
                <w:szCs w:val="18"/>
                <w:lang w:val="tr-TR"/>
              </w:rPr>
              <w:t>yardım arasındaki farklara ışık tutmaktadır.</w:t>
            </w:r>
            <w:r w:rsidR="003B34C4" w:rsidRPr="000E3D79">
              <w:rPr>
                <w:rFonts w:ascii="Verdana" w:eastAsia="Times New Roman" w:hAnsi="Verdana"/>
                <w:noProof/>
                <w:szCs w:val="18"/>
                <w:lang w:val="tr-TR"/>
              </w:rPr>
              <w:t xml:space="preserve"> </w:t>
            </w:r>
          </w:p>
          <w:p w14:paraId="4BCB6BBA" w14:textId="414DD67F" w:rsidR="003B34C4" w:rsidRPr="000E3D79" w:rsidRDefault="00940497" w:rsidP="000E3D79">
            <w:pPr>
              <w:pStyle w:val="Subtitle"/>
              <w:spacing w:before="120" w:line="260" w:lineRule="atLeast"/>
              <w:rPr>
                <w:rFonts w:ascii="Verdana" w:eastAsia="MS PGothic" w:hAnsi="Verdana" w:cs="MS PGothic"/>
                <w:noProof/>
                <w:kern w:val="24"/>
                <w:sz w:val="36"/>
                <w:szCs w:val="36"/>
                <w:lang w:val="tr-TR" w:eastAsia="en-GB"/>
              </w:rPr>
            </w:pPr>
            <w:r w:rsidRPr="000E3D79">
              <w:rPr>
                <w:rFonts w:ascii="Verdana" w:eastAsia="Times New Roman" w:hAnsi="Verdana"/>
                <w:noProof/>
                <w:szCs w:val="18"/>
                <w:lang w:val="tr-TR"/>
              </w:rPr>
              <w:t xml:space="preserve">Resmi bir talepte bulunan savcılar veya </w:t>
            </w:r>
            <w:r w:rsidR="00B12567" w:rsidRPr="000E3D79">
              <w:rPr>
                <w:rFonts w:ascii="Verdana" w:eastAsia="Times New Roman" w:hAnsi="Verdana"/>
                <w:noProof/>
                <w:szCs w:val="18"/>
                <w:lang w:val="tr-TR"/>
              </w:rPr>
              <w:t>hakimler</w:t>
            </w:r>
            <w:r w:rsidRPr="000E3D79">
              <w:rPr>
                <w:rFonts w:ascii="Verdana" w:eastAsia="Times New Roman" w:hAnsi="Verdana"/>
                <w:noProof/>
                <w:szCs w:val="18"/>
                <w:lang w:val="tr-TR"/>
              </w:rPr>
              <w:t>, talepte bulunulan bir devletin, böyle bir yükümlülüğün var olduğu durumlarda uluslararası bir belge yoluyla yardım etme konusundaki uluslararası yükümlülüğünü her zaman ileri sürmelidir. Aynı şekilde, talep mektubunun yazıldığı yetki de açıklanmalıdır.</w:t>
            </w:r>
            <w:r w:rsidR="003B34C4" w:rsidRPr="000E3D79">
              <w:rPr>
                <w:rFonts w:ascii="Verdana" w:eastAsia="MS PGothic" w:hAnsi="Verdana" w:cs="MS PGothic"/>
                <w:noProof/>
                <w:kern w:val="24"/>
                <w:sz w:val="36"/>
                <w:szCs w:val="36"/>
                <w:lang w:val="tr-TR" w:eastAsia="en-GB"/>
              </w:rPr>
              <w:t xml:space="preserve"> </w:t>
            </w:r>
          </w:p>
          <w:p w14:paraId="1246D7D4" w14:textId="2E166B8E" w:rsidR="00A60446" w:rsidRPr="000E3D79" w:rsidRDefault="00940497"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szCs w:val="18"/>
                <w:lang w:val="tr-TR"/>
              </w:rPr>
              <w:t xml:space="preserve">İdari yardım, </w:t>
            </w:r>
            <w:r w:rsidR="00D10CB9" w:rsidRPr="000E3D79">
              <w:rPr>
                <w:rFonts w:ascii="Verdana" w:eastAsia="Times New Roman" w:hAnsi="Verdana"/>
                <w:noProof/>
                <w:szCs w:val="18"/>
                <w:lang w:val="tr-TR"/>
              </w:rPr>
              <w:t>delil</w:t>
            </w:r>
            <w:r w:rsidRPr="000E3D79">
              <w:rPr>
                <w:rFonts w:ascii="Verdana" w:eastAsia="Times New Roman" w:hAnsi="Verdana"/>
                <w:noProof/>
                <w:szCs w:val="18"/>
                <w:lang w:val="tr-TR"/>
              </w:rPr>
              <w:t xml:space="preserve"> elde etmek i</w:t>
            </w:r>
            <w:r w:rsidR="00B12567" w:rsidRPr="000E3D79">
              <w:rPr>
                <w:rFonts w:ascii="Verdana" w:eastAsia="Times New Roman" w:hAnsi="Verdana"/>
                <w:noProof/>
                <w:szCs w:val="18"/>
                <w:lang w:val="tr-TR"/>
              </w:rPr>
              <w:t xml:space="preserve">çin herhangi bir zorlayıcı </w:t>
            </w:r>
            <w:r w:rsidR="00BF1AA5" w:rsidRPr="000E3D79">
              <w:rPr>
                <w:rFonts w:ascii="Verdana" w:eastAsia="Times New Roman" w:hAnsi="Verdana"/>
                <w:noProof/>
                <w:szCs w:val="18"/>
                <w:lang w:val="tr-TR"/>
              </w:rPr>
              <w:t>durumun</w:t>
            </w:r>
            <w:r w:rsidRPr="000E3D79">
              <w:rPr>
                <w:rFonts w:ascii="Verdana" w:eastAsia="Times New Roman" w:hAnsi="Verdana"/>
                <w:noProof/>
                <w:szCs w:val="18"/>
                <w:lang w:val="tr-TR"/>
              </w:rPr>
              <w:t xml:space="preserve"> (örneğin bir </w:t>
            </w:r>
            <w:r w:rsidR="00BF1AA5" w:rsidRPr="000E3D79">
              <w:rPr>
                <w:rFonts w:ascii="Verdana" w:eastAsia="Times New Roman" w:hAnsi="Verdana"/>
                <w:noProof/>
                <w:szCs w:val="18"/>
                <w:lang w:val="tr-TR"/>
              </w:rPr>
              <w:t>talimat</w:t>
            </w:r>
            <w:r w:rsidRPr="000E3D79">
              <w:rPr>
                <w:rFonts w:ascii="Verdana" w:eastAsia="Times New Roman" w:hAnsi="Verdana"/>
                <w:noProof/>
                <w:szCs w:val="18"/>
                <w:lang w:val="tr-TR"/>
              </w:rPr>
              <w:t xml:space="preserve"> veya mahkeme emri) kullanılmasının gerekli olmadığı bir devlete </w:t>
            </w:r>
            <w:r w:rsidR="00D10CB9" w:rsidRPr="000E3D79">
              <w:rPr>
                <w:rFonts w:ascii="Verdana" w:eastAsia="Times New Roman" w:hAnsi="Verdana"/>
                <w:noProof/>
                <w:szCs w:val="18"/>
                <w:lang w:val="tr-TR"/>
              </w:rPr>
              <w:t>delil</w:t>
            </w:r>
            <w:r w:rsidRPr="000E3D79">
              <w:rPr>
                <w:rFonts w:ascii="Verdana" w:eastAsia="Times New Roman" w:hAnsi="Verdana"/>
                <w:noProof/>
                <w:szCs w:val="18"/>
                <w:lang w:val="tr-TR"/>
              </w:rPr>
              <w:t xml:space="preserve"> toplama talebinde bulunurken de kullanılabilir ve kullanılmalıdır. Böyle bir yaklaşım gecikme riskini azaltır ve çoğu devlet tarafından memnuniyetle karşılanacaktır.</w:t>
            </w:r>
            <w:r w:rsidR="003B34C4" w:rsidRPr="000E3D79">
              <w:rPr>
                <w:rFonts w:ascii="Verdana" w:eastAsia="Times New Roman" w:hAnsi="Verdana"/>
                <w:noProof/>
                <w:szCs w:val="18"/>
                <w:lang w:val="tr-TR"/>
              </w:rPr>
              <w:t xml:space="preserve"> </w:t>
            </w:r>
          </w:p>
        </w:tc>
      </w:tr>
      <w:tr w:rsidR="003B34C4" w:rsidRPr="000E3D79" w14:paraId="19763061" w14:textId="77777777" w:rsidTr="00C745F7">
        <w:trPr>
          <w:trHeight w:val="1880"/>
        </w:trPr>
        <w:tc>
          <w:tcPr>
            <w:tcW w:w="1668" w:type="dxa"/>
            <w:vAlign w:val="center"/>
          </w:tcPr>
          <w:p w14:paraId="58BC834A" w14:textId="31F30621" w:rsidR="003B34C4" w:rsidRPr="000E3D79" w:rsidRDefault="00CF141D"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t xml:space="preserve">7 </w:t>
            </w:r>
            <w:r w:rsidR="00BB2DA9" w:rsidRPr="000E3D79">
              <w:rPr>
                <w:rFonts w:ascii="Verdana" w:hAnsi="Verdana"/>
                <w:noProof/>
                <w:sz w:val="18"/>
                <w:szCs w:val="18"/>
                <w:lang w:val="tr-TR"/>
              </w:rPr>
              <w:t>–</w:t>
            </w:r>
            <w:r w:rsidR="003B34C4" w:rsidRPr="000E3D79">
              <w:rPr>
                <w:rFonts w:ascii="Verdana" w:hAnsi="Verdana"/>
                <w:noProof/>
                <w:sz w:val="18"/>
                <w:szCs w:val="18"/>
                <w:lang w:val="tr-TR"/>
              </w:rPr>
              <w:t xml:space="preserve"> 8</w:t>
            </w:r>
          </w:p>
        </w:tc>
        <w:tc>
          <w:tcPr>
            <w:tcW w:w="7342" w:type="dxa"/>
            <w:gridSpan w:val="2"/>
            <w:vAlign w:val="center"/>
          </w:tcPr>
          <w:p w14:paraId="7391A0F1" w14:textId="08C4734D" w:rsidR="003B34C4" w:rsidRPr="000E3D79" w:rsidRDefault="00940497" w:rsidP="000E3D79">
            <w:pPr>
              <w:pStyle w:val="Subtitle"/>
              <w:spacing w:before="120" w:line="260" w:lineRule="atLeast"/>
              <w:rPr>
                <w:rFonts w:ascii="Verdana" w:eastAsia="MS PGothic" w:hAnsi="Verdana" w:cs="MS PGothic"/>
                <w:iCs w:val="0"/>
                <w:noProof/>
                <w:kern w:val="24"/>
                <w:sz w:val="36"/>
                <w:szCs w:val="36"/>
                <w:lang w:val="tr-TR"/>
              </w:rPr>
            </w:pPr>
            <w:r w:rsidRPr="000E3D79">
              <w:rPr>
                <w:rFonts w:ascii="Verdana" w:eastAsia="Times New Roman" w:hAnsi="Verdana"/>
                <w:noProof/>
                <w:szCs w:val="18"/>
                <w:lang w:val="tr-TR"/>
              </w:rPr>
              <w:t xml:space="preserve">Bu slaytlar resmi ve </w:t>
            </w:r>
            <w:r w:rsidR="008A3D7A" w:rsidRPr="000E3D79">
              <w:rPr>
                <w:rFonts w:ascii="Verdana" w:eastAsia="Times New Roman" w:hAnsi="Verdana"/>
                <w:noProof/>
                <w:szCs w:val="18"/>
                <w:lang w:val="tr-TR"/>
              </w:rPr>
              <w:t>resmi olmayan</w:t>
            </w:r>
            <w:r w:rsidRPr="000E3D79">
              <w:rPr>
                <w:rFonts w:ascii="Verdana" w:eastAsia="Times New Roman" w:hAnsi="Verdana"/>
                <w:noProof/>
                <w:szCs w:val="18"/>
                <w:lang w:val="tr-TR"/>
              </w:rPr>
              <w:t xml:space="preserve"> yardım için bazı örnekler vermektedir.</w:t>
            </w:r>
            <w:r w:rsidR="003B34C4" w:rsidRPr="000E3D79">
              <w:rPr>
                <w:rFonts w:ascii="Verdana" w:eastAsia="MS PGothic" w:hAnsi="Verdana" w:cs="MS PGothic"/>
                <w:iCs w:val="0"/>
                <w:noProof/>
                <w:kern w:val="24"/>
                <w:sz w:val="36"/>
                <w:szCs w:val="36"/>
                <w:lang w:val="tr-TR"/>
              </w:rPr>
              <w:t xml:space="preserve"> </w:t>
            </w:r>
          </w:p>
          <w:p w14:paraId="4DCD3927" w14:textId="76212028" w:rsidR="003B34C4" w:rsidRPr="000E3D79" w:rsidRDefault="00940497" w:rsidP="000E3D79">
            <w:pPr>
              <w:pStyle w:val="Subtitle"/>
              <w:spacing w:before="120" w:line="260" w:lineRule="atLeast"/>
              <w:rPr>
                <w:rFonts w:ascii="Verdana" w:eastAsia="MS PGothic" w:hAnsi="Verdana" w:cs="MS PGothic"/>
                <w:noProof/>
                <w:kern w:val="24"/>
                <w:sz w:val="36"/>
                <w:szCs w:val="36"/>
                <w:lang w:val="tr-TR" w:eastAsia="en-GB"/>
              </w:rPr>
            </w:pPr>
            <w:r w:rsidRPr="000E3D79">
              <w:rPr>
                <w:rFonts w:ascii="Verdana" w:eastAsia="Times New Roman" w:hAnsi="Verdana"/>
                <w:noProof/>
                <w:szCs w:val="18"/>
                <w:lang w:val="tr-TR"/>
              </w:rPr>
              <w:t xml:space="preserve">Karşılıklı </w:t>
            </w:r>
            <w:r w:rsidR="002239CE" w:rsidRPr="000E3D79">
              <w:rPr>
                <w:rFonts w:ascii="Verdana" w:eastAsia="Times New Roman" w:hAnsi="Verdana"/>
                <w:noProof/>
                <w:szCs w:val="18"/>
                <w:lang w:val="tr-TR"/>
              </w:rPr>
              <w:t xml:space="preserve">adli </w:t>
            </w:r>
            <w:r w:rsidRPr="000E3D79">
              <w:rPr>
                <w:rFonts w:ascii="Verdana" w:eastAsia="Times New Roman" w:hAnsi="Verdana"/>
                <w:noProof/>
                <w:szCs w:val="18"/>
                <w:lang w:val="tr-TR"/>
              </w:rPr>
              <w:t xml:space="preserve">yardım rejiminin </w:t>
            </w:r>
            <w:r w:rsidR="00D10CB9" w:rsidRPr="000E3D79">
              <w:rPr>
                <w:rFonts w:ascii="Verdana" w:eastAsia="Times New Roman" w:hAnsi="Verdana"/>
                <w:noProof/>
                <w:szCs w:val="18"/>
                <w:lang w:val="tr-TR"/>
              </w:rPr>
              <w:t>delil</w:t>
            </w:r>
            <w:r w:rsidRPr="000E3D79">
              <w:rPr>
                <w:rFonts w:ascii="Verdana" w:eastAsia="Times New Roman" w:hAnsi="Verdana"/>
                <w:noProof/>
                <w:szCs w:val="18"/>
                <w:lang w:val="tr-TR"/>
              </w:rPr>
              <w:t xml:space="preserve"> elde etmek için bir yöntem olduğu unutulmamalıdır, bu nedenle istihbarat elde etmek ve şüphelilerin veya kaçakların yerini belirlemek genellikle sadece idari yardım yoluyla aranmalıdır ki bu da elbette bir anlaşmanın gerçekleşebileceği veya gerçekleşmeyebileceği anlamına gelir.</w:t>
            </w:r>
            <w:r w:rsidR="003B34C4" w:rsidRPr="000E3D79">
              <w:rPr>
                <w:rFonts w:ascii="Verdana" w:eastAsia="MS PGothic" w:hAnsi="Verdana" w:cs="MS PGothic"/>
                <w:noProof/>
                <w:kern w:val="24"/>
                <w:sz w:val="36"/>
                <w:szCs w:val="36"/>
                <w:lang w:val="tr-TR" w:eastAsia="en-GB"/>
              </w:rPr>
              <w:t xml:space="preserve"> </w:t>
            </w:r>
          </w:p>
          <w:p w14:paraId="2D6620AD" w14:textId="77777777" w:rsidR="00940497" w:rsidRPr="000E3D79" w:rsidRDefault="00940497"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szCs w:val="18"/>
                <w:lang w:val="tr-TR"/>
              </w:rPr>
              <w:t>Gayri resmi olarak ele alınabilecek soruşturma türlerinin kesin bir listesi yapılmasa da, bazı genel gözlemler yararlı olabilir.</w:t>
            </w:r>
          </w:p>
          <w:p w14:paraId="53059D73" w14:textId="420061E4" w:rsidR="003B34C4" w:rsidRPr="000E3D79" w:rsidRDefault="00940497"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szCs w:val="18"/>
                <w:lang w:val="tr-TR"/>
              </w:rPr>
              <w:t>Bununla birlikte, devletten devlete farklılıklar her zaman akılda tutulmalıdır.</w:t>
            </w:r>
          </w:p>
        </w:tc>
      </w:tr>
      <w:tr w:rsidR="003B34C4" w:rsidRPr="000E3D79" w14:paraId="2DD044A7" w14:textId="77777777" w:rsidTr="000E3D79">
        <w:trPr>
          <w:trHeight w:val="710"/>
        </w:trPr>
        <w:tc>
          <w:tcPr>
            <w:tcW w:w="1668" w:type="dxa"/>
            <w:vAlign w:val="center"/>
          </w:tcPr>
          <w:p w14:paraId="4CFF30A3" w14:textId="74AAFA00" w:rsidR="003B34C4" w:rsidRPr="000E3D79" w:rsidRDefault="00CF141D"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t xml:space="preserve">9 </w:t>
            </w:r>
            <w:r w:rsidR="00BB2DA9" w:rsidRPr="000E3D79">
              <w:rPr>
                <w:rFonts w:ascii="Verdana" w:hAnsi="Verdana"/>
                <w:noProof/>
                <w:sz w:val="18"/>
                <w:szCs w:val="18"/>
                <w:lang w:val="tr-TR"/>
              </w:rPr>
              <w:t>–</w:t>
            </w:r>
            <w:r w:rsidR="003B34C4" w:rsidRPr="000E3D79">
              <w:rPr>
                <w:rFonts w:ascii="Verdana" w:hAnsi="Verdana"/>
                <w:noProof/>
                <w:sz w:val="18"/>
                <w:szCs w:val="18"/>
                <w:lang w:val="tr-TR"/>
              </w:rPr>
              <w:t xml:space="preserve"> 12</w:t>
            </w:r>
          </w:p>
        </w:tc>
        <w:tc>
          <w:tcPr>
            <w:tcW w:w="7342" w:type="dxa"/>
            <w:gridSpan w:val="2"/>
            <w:vAlign w:val="center"/>
          </w:tcPr>
          <w:p w14:paraId="31B8105B" w14:textId="03E31A8F" w:rsidR="0023008E" w:rsidRPr="000E3D79" w:rsidRDefault="00940497" w:rsidP="000E3D79">
            <w:pPr>
              <w:pStyle w:val="Subtitle"/>
              <w:spacing w:before="120" w:line="260" w:lineRule="atLeast"/>
              <w:rPr>
                <w:rFonts w:ascii="Verdana" w:eastAsia="MS PGothic" w:hAnsi="Verdana" w:cs="MS PGothic"/>
                <w:noProof/>
                <w:kern w:val="24"/>
                <w:sz w:val="36"/>
                <w:szCs w:val="36"/>
                <w:lang w:val="tr-TR" w:eastAsia="en-GB"/>
              </w:rPr>
            </w:pPr>
            <w:r w:rsidRPr="000E3D79">
              <w:rPr>
                <w:rFonts w:ascii="Verdana" w:eastAsia="Times New Roman" w:hAnsi="Verdana"/>
                <w:noProof/>
                <w:szCs w:val="18"/>
                <w:lang w:val="tr-TR"/>
              </w:rPr>
              <w:t xml:space="preserve">Bu slaytlar, </w:t>
            </w:r>
            <w:r w:rsidR="008A3D7A" w:rsidRPr="000E3D79">
              <w:rPr>
                <w:rFonts w:ascii="Verdana" w:eastAsia="Times New Roman" w:hAnsi="Verdana"/>
                <w:noProof/>
                <w:szCs w:val="18"/>
                <w:lang w:val="tr-TR"/>
              </w:rPr>
              <w:t>resmi olmayan</w:t>
            </w:r>
            <w:r w:rsidRPr="000E3D79">
              <w:rPr>
                <w:rFonts w:ascii="Verdana" w:eastAsia="Times New Roman" w:hAnsi="Verdana"/>
                <w:noProof/>
                <w:szCs w:val="18"/>
                <w:lang w:val="tr-TR"/>
              </w:rPr>
              <w:t xml:space="preserve"> yardım yoluyla elde edilen </w:t>
            </w:r>
            <w:r w:rsidR="00D10CB9" w:rsidRPr="000E3D79">
              <w:rPr>
                <w:rFonts w:ascii="Verdana" w:eastAsia="Times New Roman" w:hAnsi="Verdana"/>
                <w:noProof/>
                <w:szCs w:val="18"/>
                <w:lang w:val="tr-TR"/>
              </w:rPr>
              <w:t>delillerin</w:t>
            </w:r>
            <w:r w:rsidRPr="000E3D79">
              <w:rPr>
                <w:rFonts w:ascii="Verdana" w:eastAsia="Times New Roman" w:hAnsi="Verdana"/>
                <w:noProof/>
                <w:szCs w:val="18"/>
                <w:lang w:val="tr-TR"/>
              </w:rPr>
              <w:t xml:space="preserve"> kabul edilebilirliğini ve bazı önemli hususları ve tavsiyeleri </w:t>
            </w:r>
            <w:r w:rsidR="002239CE" w:rsidRPr="000E3D79">
              <w:rPr>
                <w:rFonts w:ascii="Verdana" w:eastAsia="Times New Roman" w:hAnsi="Verdana"/>
                <w:noProof/>
                <w:szCs w:val="18"/>
                <w:lang w:val="tr-TR"/>
              </w:rPr>
              <w:t>incelemektedir</w:t>
            </w:r>
            <w:r w:rsidRPr="000E3D79">
              <w:rPr>
                <w:rFonts w:ascii="Verdana" w:eastAsia="Times New Roman" w:hAnsi="Verdana"/>
                <w:noProof/>
                <w:szCs w:val="18"/>
                <w:lang w:val="tr-TR"/>
              </w:rPr>
              <w:t>.</w:t>
            </w:r>
            <w:r w:rsidR="0023008E" w:rsidRPr="000E3D79">
              <w:rPr>
                <w:rFonts w:ascii="Verdana" w:eastAsia="MS PGothic" w:hAnsi="Verdana" w:cs="MS PGothic"/>
                <w:noProof/>
                <w:kern w:val="24"/>
                <w:sz w:val="36"/>
                <w:szCs w:val="36"/>
                <w:lang w:val="tr-TR" w:eastAsia="en-GB"/>
              </w:rPr>
              <w:t xml:space="preserve"> </w:t>
            </w:r>
          </w:p>
          <w:p w14:paraId="76167D24" w14:textId="082D8D0F" w:rsidR="0023008E" w:rsidRPr="000E3D79" w:rsidRDefault="00940497" w:rsidP="000E3D79">
            <w:pPr>
              <w:pStyle w:val="Subtitle"/>
              <w:spacing w:before="120" w:line="260" w:lineRule="atLeast"/>
              <w:rPr>
                <w:rFonts w:ascii="Verdana" w:eastAsia="MS PGothic" w:hAnsi="Verdana" w:cs="MS PGothic"/>
                <w:noProof/>
                <w:kern w:val="24"/>
                <w:sz w:val="36"/>
                <w:szCs w:val="36"/>
                <w:lang w:val="tr-TR" w:eastAsia="en-GB"/>
              </w:rPr>
            </w:pPr>
            <w:r w:rsidRPr="000E3D79">
              <w:rPr>
                <w:rFonts w:ascii="Verdana" w:eastAsia="Times New Roman" w:hAnsi="Verdana"/>
                <w:noProof/>
                <w:szCs w:val="18"/>
                <w:lang w:val="tr-TR"/>
              </w:rPr>
              <w:t>İdari yardımla ilgili herhangi bir değerlendirme, bu tür bir yardımın daha sonraki, resmi bir talebe yol açmak için kullanılmasını göz ardı etmemelidir.</w:t>
            </w:r>
            <w:r w:rsidR="0023008E" w:rsidRPr="000E3D79">
              <w:rPr>
                <w:rFonts w:ascii="Verdana" w:eastAsia="MS PGothic" w:hAnsi="Verdana" w:cs="MS PGothic"/>
                <w:noProof/>
                <w:kern w:val="24"/>
                <w:sz w:val="36"/>
                <w:szCs w:val="36"/>
                <w:lang w:val="tr-TR" w:eastAsia="en-GB"/>
              </w:rPr>
              <w:t xml:space="preserve"> </w:t>
            </w:r>
          </w:p>
          <w:p w14:paraId="74F9CA3C" w14:textId="12346158" w:rsidR="0023008E" w:rsidRPr="000E3D79" w:rsidRDefault="00940497"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szCs w:val="18"/>
                <w:lang w:val="tr-TR"/>
              </w:rPr>
              <w:t>Bu unsurları dikkate almamak, (</w:t>
            </w:r>
            <w:r w:rsidR="00D10CB9" w:rsidRPr="000E3D79">
              <w:rPr>
                <w:rFonts w:ascii="Verdana" w:eastAsia="Times New Roman" w:hAnsi="Verdana"/>
                <w:noProof/>
                <w:szCs w:val="18"/>
                <w:lang w:val="tr-TR"/>
              </w:rPr>
              <w:t>delillerle</w:t>
            </w:r>
            <w:r w:rsidRPr="000E3D79">
              <w:rPr>
                <w:rFonts w:ascii="Verdana" w:eastAsia="Times New Roman" w:hAnsi="Verdana"/>
                <w:noProof/>
                <w:szCs w:val="18"/>
                <w:lang w:val="tr-TR"/>
              </w:rPr>
              <w:t xml:space="preserve"> ilgili olarak zorunlu ilkelere sahip Devletlerde) bu tür </w:t>
            </w:r>
            <w:r w:rsidR="00D10CB9" w:rsidRPr="000E3D79">
              <w:rPr>
                <w:rFonts w:ascii="Verdana" w:eastAsia="Times New Roman" w:hAnsi="Verdana"/>
                <w:noProof/>
                <w:szCs w:val="18"/>
                <w:lang w:val="tr-TR"/>
              </w:rPr>
              <w:t>delillerin</w:t>
            </w:r>
            <w:r w:rsidRPr="000E3D79">
              <w:rPr>
                <w:rFonts w:ascii="Verdana" w:eastAsia="Times New Roman" w:hAnsi="Verdana"/>
                <w:noProof/>
                <w:szCs w:val="18"/>
                <w:lang w:val="tr-TR"/>
              </w:rPr>
              <w:t xml:space="preserve"> hariç tutulmasına neden olabilir; buna ek olarak, ancak daha az önemli olmayacak şekilde, gayri resmi talep yoluyla uygunsuz </w:t>
            </w:r>
            <w:r w:rsidRPr="000E3D79">
              <w:rPr>
                <w:rFonts w:ascii="Verdana" w:eastAsia="Times New Roman" w:hAnsi="Verdana"/>
                <w:noProof/>
                <w:szCs w:val="18"/>
                <w:lang w:val="tr-TR"/>
              </w:rPr>
              <w:lastRenderedPageBreak/>
              <w:t>eylemler, yabancı Devletin yetkililerini rahatsız edebilir, bu nedenle gelecekteki herhangi bir talebe yardımcı olmaya daha az meyilli olabilir.</w:t>
            </w:r>
          </w:p>
        </w:tc>
      </w:tr>
      <w:tr w:rsidR="00F1574D" w:rsidRPr="000E3D79" w14:paraId="65F07CB5" w14:textId="77777777" w:rsidTr="00C745F7">
        <w:trPr>
          <w:trHeight w:val="1880"/>
        </w:trPr>
        <w:tc>
          <w:tcPr>
            <w:tcW w:w="1668" w:type="dxa"/>
            <w:vAlign w:val="center"/>
          </w:tcPr>
          <w:p w14:paraId="6F5AEB2D" w14:textId="3011C210" w:rsidR="00F1574D" w:rsidRPr="000E3D79" w:rsidRDefault="0023008E"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lastRenderedPageBreak/>
              <w:t>1</w:t>
            </w:r>
            <w:r w:rsidR="00F824B2" w:rsidRPr="000E3D79">
              <w:rPr>
                <w:rFonts w:ascii="Verdana" w:hAnsi="Verdana"/>
                <w:noProof/>
                <w:sz w:val="18"/>
                <w:szCs w:val="18"/>
                <w:lang w:val="tr-TR"/>
              </w:rPr>
              <w:t>3</w:t>
            </w:r>
            <w:r w:rsidR="00151E6A" w:rsidRPr="000E3D79">
              <w:rPr>
                <w:rFonts w:ascii="Verdana" w:hAnsi="Verdana"/>
                <w:noProof/>
                <w:sz w:val="18"/>
                <w:szCs w:val="18"/>
                <w:lang w:val="tr-TR"/>
              </w:rPr>
              <w:t xml:space="preserve"> </w:t>
            </w:r>
            <w:r w:rsidR="00BB2DA9" w:rsidRPr="000E3D79">
              <w:rPr>
                <w:rFonts w:ascii="Verdana" w:hAnsi="Verdana"/>
                <w:noProof/>
                <w:sz w:val="18"/>
                <w:szCs w:val="18"/>
                <w:lang w:val="tr-TR"/>
              </w:rPr>
              <w:t>–</w:t>
            </w:r>
            <w:r w:rsidR="00151E6A" w:rsidRPr="000E3D79">
              <w:rPr>
                <w:rFonts w:ascii="Verdana" w:hAnsi="Verdana"/>
                <w:noProof/>
                <w:sz w:val="18"/>
                <w:szCs w:val="18"/>
                <w:lang w:val="tr-TR"/>
              </w:rPr>
              <w:t xml:space="preserve"> </w:t>
            </w:r>
            <w:r w:rsidRPr="000E3D79">
              <w:rPr>
                <w:rFonts w:ascii="Verdana" w:hAnsi="Verdana"/>
                <w:noProof/>
                <w:sz w:val="18"/>
                <w:szCs w:val="18"/>
                <w:lang w:val="tr-TR"/>
              </w:rPr>
              <w:t>1</w:t>
            </w:r>
            <w:r w:rsidR="005C0A4A" w:rsidRPr="000E3D79">
              <w:rPr>
                <w:rFonts w:ascii="Verdana" w:hAnsi="Verdana"/>
                <w:noProof/>
                <w:sz w:val="18"/>
                <w:szCs w:val="18"/>
                <w:lang w:val="tr-TR"/>
              </w:rPr>
              <w:t>5</w:t>
            </w:r>
          </w:p>
        </w:tc>
        <w:tc>
          <w:tcPr>
            <w:tcW w:w="7342" w:type="dxa"/>
            <w:gridSpan w:val="2"/>
            <w:vAlign w:val="center"/>
          </w:tcPr>
          <w:p w14:paraId="742147C5" w14:textId="5E01DFED" w:rsidR="00940497" w:rsidRPr="000E3D79" w:rsidRDefault="00940497"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szCs w:val="18"/>
                <w:lang w:val="tr-TR"/>
              </w:rPr>
              <w:t xml:space="preserve">Bu slaytlar, INTERPOL'ün </w:t>
            </w:r>
            <w:r w:rsidR="008A3D7A" w:rsidRPr="000E3D79">
              <w:rPr>
                <w:rFonts w:ascii="Verdana" w:eastAsia="Times New Roman" w:hAnsi="Verdana"/>
                <w:noProof/>
                <w:szCs w:val="18"/>
                <w:lang w:val="tr-TR"/>
              </w:rPr>
              <w:t>resmi olmayan</w:t>
            </w:r>
            <w:r w:rsidRPr="000E3D79">
              <w:rPr>
                <w:rFonts w:ascii="Verdana" w:eastAsia="Times New Roman" w:hAnsi="Verdana"/>
                <w:noProof/>
                <w:szCs w:val="18"/>
                <w:lang w:val="tr-TR"/>
              </w:rPr>
              <w:t xml:space="preserve"> bir bilgi ağı alışverişi olarak kullanımı için kurulum ve olasılıkları açıklamaktadır.</w:t>
            </w:r>
          </w:p>
          <w:p w14:paraId="0F942724" w14:textId="3BCB56EA" w:rsidR="0045500D" w:rsidRPr="000E3D79" w:rsidRDefault="00940497" w:rsidP="000E3D79">
            <w:pPr>
              <w:pStyle w:val="Subtitle"/>
              <w:spacing w:before="120" w:line="260" w:lineRule="atLeast"/>
              <w:rPr>
                <w:rFonts w:ascii="Verdana" w:eastAsia="MS PGothic" w:hAnsi="Verdana" w:cs="MS PGothic"/>
                <w:noProof/>
                <w:kern w:val="24"/>
                <w:lang w:val="tr-TR" w:eastAsia="en-GB"/>
              </w:rPr>
            </w:pPr>
            <w:r w:rsidRPr="000E3D79">
              <w:rPr>
                <w:rFonts w:ascii="Verdana" w:eastAsia="Times New Roman" w:hAnsi="Verdana"/>
                <w:noProof/>
                <w:szCs w:val="18"/>
                <w:lang w:val="tr-TR"/>
              </w:rPr>
              <w:t xml:space="preserve">Üye ülkelerin her biri bir INTERPOL Ulusal Merkez Bürosuna (NCB) ev sahipliği yapmaktadır. Bu bürolar, diğer ülkelerin ulusal kolluk kuvvetlerinin, I-24/7 adlı güvenli küresel polis iletişim ağımız aracılığıyla Genel Sekreterlikle bağlantısını sağlar. </w:t>
            </w:r>
            <w:r w:rsidR="0045500D" w:rsidRPr="000E3D79">
              <w:rPr>
                <w:rFonts w:ascii="Verdana" w:eastAsia="MS PGothic" w:hAnsi="Verdana" w:cs="MS PGothic"/>
                <w:noProof/>
                <w:kern w:val="24"/>
                <w:lang w:val="tr-TR" w:eastAsia="en-GB"/>
              </w:rPr>
              <w:t xml:space="preserve"> </w:t>
            </w:r>
          </w:p>
          <w:p w14:paraId="5A97A890" w14:textId="69A8EAA9" w:rsidR="0045500D" w:rsidRPr="000E3D79" w:rsidRDefault="00940497"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szCs w:val="18"/>
                <w:lang w:val="tr-TR"/>
              </w:rPr>
              <w:t>NCB'ler, ulusal suç verilerini kendi ulusal yasalarına uygun olarak küresel veri tabanlarımıza katkıda bulunur. Bu, polisin bir eğilimi belirlemesine, bir suçu önlemesine veya bir suçluyu tutuklamasına izin vermek için doğru verilerin doğru zamanda doğru yerde olmasını sağlar. Örneğin, Kırmızı Bültenlerimiz tüm ülkelerde polisi aranan kişilere karşı uyarır.</w:t>
            </w:r>
          </w:p>
          <w:p w14:paraId="649FEA68" w14:textId="090F03B6" w:rsidR="0045500D" w:rsidRPr="000E3D79" w:rsidRDefault="00940497"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szCs w:val="18"/>
                <w:lang w:val="tr-TR"/>
              </w:rPr>
              <w:t>NCB'ler sınır ötesi soruşturmalar, operasyonlar ve tutuklamalar konusunda işbirliği yapar. Ulusal sınırların ötesine soruşturma yürütmek için başka herhangi bir NCB'den işbirliği isteyebilirler.</w:t>
            </w:r>
          </w:p>
        </w:tc>
      </w:tr>
      <w:tr w:rsidR="00F1574D" w:rsidRPr="000E3D79" w14:paraId="15587DD6" w14:textId="77777777" w:rsidTr="00C745F7">
        <w:trPr>
          <w:trHeight w:val="1916"/>
        </w:trPr>
        <w:tc>
          <w:tcPr>
            <w:tcW w:w="1668" w:type="dxa"/>
            <w:vAlign w:val="center"/>
          </w:tcPr>
          <w:p w14:paraId="65C32028" w14:textId="48BF89A9" w:rsidR="00F1574D" w:rsidRPr="000E3D79" w:rsidRDefault="0023008E"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t>1</w:t>
            </w:r>
            <w:r w:rsidR="005C0A4A" w:rsidRPr="000E3D79">
              <w:rPr>
                <w:rFonts w:ascii="Verdana" w:hAnsi="Verdana"/>
                <w:noProof/>
                <w:sz w:val="18"/>
                <w:szCs w:val="18"/>
                <w:lang w:val="tr-TR"/>
              </w:rPr>
              <w:t>6</w:t>
            </w:r>
            <w:r w:rsidR="0045500D" w:rsidRPr="000E3D79">
              <w:rPr>
                <w:rFonts w:ascii="Verdana" w:hAnsi="Verdana"/>
                <w:noProof/>
                <w:sz w:val="18"/>
                <w:szCs w:val="18"/>
                <w:lang w:val="tr-TR"/>
              </w:rPr>
              <w:t xml:space="preserve"> </w:t>
            </w:r>
            <w:r w:rsidR="00BB2DA9" w:rsidRPr="000E3D79">
              <w:rPr>
                <w:rFonts w:ascii="Verdana" w:hAnsi="Verdana"/>
                <w:noProof/>
                <w:sz w:val="18"/>
                <w:szCs w:val="18"/>
                <w:lang w:val="tr-TR"/>
              </w:rPr>
              <w:t>–</w:t>
            </w:r>
            <w:r w:rsidR="00FE45CA" w:rsidRPr="000E3D79">
              <w:rPr>
                <w:rFonts w:ascii="Verdana" w:hAnsi="Verdana"/>
                <w:noProof/>
                <w:sz w:val="18"/>
                <w:szCs w:val="18"/>
                <w:lang w:val="tr-TR"/>
              </w:rPr>
              <w:t xml:space="preserve"> </w:t>
            </w:r>
            <w:r w:rsidRPr="000E3D79">
              <w:rPr>
                <w:rFonts w:ascii="Verdana" w:hAnsi="Verdana"/>
                <w:noProof/>
                <w:sz w:val="18"/>
                <w:szCs w:val="18"/>
                <w:lang w:val="tr-TR"/>
              </w:rPr>
              <w:t>1</w:t>
            </w:r>
            <w:r w:rsidR="005C0A4A" w:rsidRPr="000E3D79">
              <w:rPr>
                <w:rFonts w:ascii="Verdana" w:hAnsi="Verdana"/>
                <w:noProof/>
                <w:sz w:val="18"/>
                <w:szCs w:val="18"/>
                <w:lang w:val="tr-TR"/>
              </w:rPr>
              <w:t>8</w:t>
            </w:r>
          </w:p>
        </w:tc>
        <w:tc>
          <w:tcPr>
            <w:tcW w:w="7342" w:type="dxa"/>
            <w:gridSpan w:val="2"/>
            <w:vAlign w:val="center"/>
          </w:tcPr>
          <w:p w14:paraId="72E93026" w14:textId="08F88069" w:rsidR="0023008E" w:rsidRPr="000E3D79" w:rsidRDefault="00133F71" w:rsidP="000E3D79">
            <w:pPr>
              <w:pStyle w:val="Subtitle"/>
              <w:spacing w:before="120" w:line="260" w:lineRule="atLeast"/>
              <w:rPr>
                <w:rFonts w:ascii="Verdana" w:eastAsia="Times New Roman" w:hAnsi="Verdana"/>
                <w:noProof/>
                <w:lang w:val="tr-TR"/>
              </w:rPr>
            </w:pPr>
            <w:r w:rsidRPr="000E3D79">
              <w:rPr>
                <w:rFonts w:ascii="Verdana" w:eastAsia="Times New Roman" w:hAnsi="Verdana"/>
                <w:noProof/>
                <w:lang w:val="tr-TR"/>
              </w:rPr>
              <w:t xml:space="preserve">Bu slaytlar, MLA (Karşılıklı </w:t>
            </w:r>
            <w:r w:rsidR="002239CE" w:rsidRPr="000E3D79">
              <w:rPr>
                <w:rFonts w:ascii="Verdana" w:eastAsia="Times New Roman" w:hAnsi="Verdana"/>
                <w:noProof/>
                <w:lang w:val="tr-TR"/>
              </w:rPr>
              <w:t xml:space="preserve">Adli </w:t>
            </w:r>
            <w:r w:rsidRPr="000E3D79">
              <w:rPr>
                <w:rFonts w:ascii="Verdana" w:eastAsia="Times New Roman" w:hAnsi="Verdana"/>
                <w:noProof/>
                <w:lang w:val="tr-TR"/>
              </w:rPr>
              <w:t>Yardım) ile ilgili Avrupa Birliği belgelerini ve adli, polis ve gümrük makamları arasında cezai konularda karşılıklı yardımlaşmayı teşvik etmek ve kolaylaştırmak ve adli işbirliğinin hızını ve etkinliğini artırmak için 2000 tarihli AB Sözleşmesini açıklamaktadır.</w:t>
            </w:r>
            <w:r w:rsidR="0023008E" w:rsidRPr="000E3D79">
              <w:rPr>
                <w:rFonts w:ascii="Verdana" w:eastAsia="Times New Roman" w:hAnsi="Verdana"/>
                <w:noProof/>
                <w:lang w:val="tr-TR"/>
              </w:rPr>
              <w:t xml:space="preserve"> </w:t>
            </w:r>
            <w:r w:rsidRPr="000E3D79">
              <w:rPr>
                <w:rFonts w:ascii="Verdana" w:eastAsia="Times New Roman" w:hAnsi="Verdana"/>
                <w:noProof/>
                <w:lang w:val="tr-TR"/>
              </w:rPr>
              <w:t>Bu belge, Ceza İşlerinde Karşılıklı Yardıma ilişkin 1959 Avrupa Konseyi Sözleşmesini ve onun 1978 Protokolünü tamamlayıcı niteliktedir.</w:t>
            </w:r>
          </w:p>
          <w:p w14:paraId="2E42FEAB" w14:textId="1BAB2F90" w:rsidR="005C0A4A" w:rsidRPr="000E3D79" w:rsidRDefault="00133F71" w:rsidP="000E3D79">
            <w:pPr>
              <w:spacing w:before="120" w:after="120" w:line="260" w:lineRule="atLeast"/>
              <w:jc w:val="both"/>
              <w:rPr>
                <w:rFonts w:ascii="Verdana" w:hAnsi="Verdana"/>
                <w:iCs/>
                <w:noProof/>
                <w:sz w:val="18"/>
                <w:szCs w:val="18"/>
                <w:lang w:val="tr-TR"/>
              </w:rPr>
            </w:pPr>
            <w:r w:rsidRPr="000E3D79">
              <w:rPr>
                <w:rFonts w:ascii="Verdana" w:hAnsi="Verdana"/>
                <w:iCs/>
                <w:noProof/>
                <w:sz w:val="18"/>
                <w:szCs w:val="18"/>
                <w:lang w:val="tr-TR"/>
              </w:rPr>
              <w:t>Bu slaytlar EUROPOL ve EC3 merkezinin bu konudaki çalışmalarının kapsamını sunmaktadır.</w:t>
            </w:r>
            <w:r w:rsidR="005C0A4A" w:rsidRPr="000E3D79">
              <w:rPr>
                <w:rFonts w:ascii="Verdana" w:hAnsi="Verdana"/>
                <w:iCs/>
                <w:noProof/>
                <w:sz w:val="18"/>
                <w:szCs w:val="18"/>
                <w:lang w:val="tr-TR"/>
              </w:rPr>
              <w:t xml:space="preserve"> </w:t>
            </w:r>
          </w:p>
          <w:p w14:paraId="09B58FC0" w14:textId="6734BCBC" w:rsidR="0023008E" w:rsidRPr="000E3D79" w:rsidRDefault="00133F71" w:rsidP="000E3D79">
            <w:pPr>
              <w:spacing w:before="120" w:after="120" w:line="260" w:lineRule="atLeast"/>
              <w:jc w:val="both"/>
              <w:rPr>
                <w:rFonts w:ascii="Verdana" w:hAnsi="Verdana"/>
                <w:noProof/>
                <w:sz w:val="18"/>
                <w:szCs w:val="18"/>
                <w:lang w:val="tr-TR"/>
              </w:rPr>
            </w:pPr>
            <w:r w:rsidRPr="000E3D79">
              <w:rPr>
                <w:rFonts w:ascii="Verdana" w:hAnsi="Verdana"/>
                <w:noProof/>
                <w:sz w:val="18"/>
                <w:szCs w:val="18"/>
                <w:lang w:val="tr-TR"/>
              </w:rPr>
              <w:t>Europol, AB'de siber suçlara yönelik kanun yaptırımını güçlendirmek ve böylece Avrupa vatandaşlarını, işletmelerini ve hükümetlerini çevrimiçi suçlardan korumaya yardımcı olmak için 2013 yılında Avrupa Siber Suç Merkezi'ni (EC3) kurdu. EC3, kuruluşundan bu yana siber suçlarla mücadeleye önemli katkılarda bulunmuştur:</w:t>
            </w:r>
            <w:r w:rsidR="005C0A4A" w:rsidRPr="000E3D79">
              <w:rPr>
                <w:rFonts w:ascii="Verdana" w:hAnsi="Verdana"/>
                <w:noProof/>
                <w:sz w:val="18"/>
                <w:szCs w:val="18"/>
                <w:lang w:val="tr-TR"/>
              </w:rPr>
              <w:t xml:space="preserve"> </w:t>
            </w:r>
            <w:r w:rsidRPr="000E3D79">
              <w:rPr>
                <w:rFonts w:ascii="Verdana" w:hAnsi="Verdana"/>
                <w:noProof/>
                <w:sz w:val="18"/>
                <w:szCs w:val="18"/>
                <w:lang w:val="tr-TR"/>
              </w:rPr>
              <w:t>Bu ofis, yüzlerce tutuklamayla sonuçlanan onlarca yüksek profilli operasyon ve yüzlerce operasyonel destek dağıtımında yer almış ve büyük çoğunluğunun suç teşkil ettiği kanıtlanmış olan yüz binlerce dosyayı analiz etmiştir.</w:t>
            </w:r>
          </w:p>
        </w:tc>
      </w:tr>
      <w:tr w:rsidR="00F1574D" w:rsidRPr="000E3D79" w14:paraId="3C4A313A" w14:textId="77777777" w:rsidTr="00C745F7">
        <w:trPr>
          <w:trHeight w:val="890"/>
        </w:trPr>
        <w:tc>
          <w:tcPr>
            <w:tcW w:w="1668" w:type="dxa"/>
            <w:vAlign w:val="center"/>
          </w:tcPr>
          <w:p w14:paraId="00098EC4" w14:textId="78957A02" w:rsidR="00F1574D" w:rsidRPr="000E3D79" w:rsidRDefault="005C0A4A"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t>19</w:t>
            </w:r>
            <w:r w:rsidR="00CF141D" w:rsidRPr="000E3D79">
              <w:rPr>
                <w:rFonts w:ascii="Verdana" w:hAnsi="Verdana"/>
                <w:noProof/>
                <w:sz w:val="18"/>
                <w:szCs w:val="18"/>
                <w:lang w:val="tr-TR"/>
              </w:rPr>
              <w:t xml:space="preserve"> </w:t>
            </w:r>
            <w:r w:rsidR="00BB2DA9" w:rsidRPr="000E3D79">
              <w:rPr>
                <w:rFonts w:ascii="Verdana" w:hAnsi="Verdana"/>
                <w:noProof/>
                <w:sz w:val="18"/>
                <w:szCs w:val="18"/>
                <w:lang w:val="tr-TR"/>
              </w:rPr>
              <w:t>–</w:t>
            </w:r>
            <w:r w:rsidR="003F6587" w:rsidRPr="000E3D79">
              <w:rPr>
                <w:rFonts w:ascii="Verdana" w:hAnsi="Verdana"/>
                <w:noProof/>
                <w:sz w:val="18"/>
                <w:szCs w:val="18"/>
                <w:lang w:val="tr-TR"/>
              </w:rPr>
              <w:t xml:space="preserve"> </w:t>
            </w:r>
            <w:r w:rsidR="005D7794" w:rsidRPr="000E3D79">
              <w:rPr>
                <w:rFonts w:ascii="Verdana" w:hAnsi="Verdana"/>
                <w:noProof/>
                <w:sz w:val="18"/>
                <w:szCs w:val="18"/>
                <w:lang w:val="tr-TR"/>
              </w:rPr>
              <w:t>2</w:t>
            </w:r>
            <w:r w:rsidR="0023008E" w:rsidRPr="000E3D79">
              <w:rPr>
                <w:rFonts w:ascii="Verdana" w:hAnsi="Verdana"/>
                <w:noProof/>
                <w:sz w:val="18"/>
                <w:szCs w:val="18"/>
                <w:lang w:val="tr-TR"/>
              </w:rPr>
              <w:t>2</w:t>
            </w:r>
          </w:p>
        </w:tc>
        <w:tc>
          <w:tcPr>
            <w:tcW w:w="7342" w:type="dxa"/>
            <w:gridSpan w:val="2"/>
            <w:vAlign w:val="center"/>
          </w:tcPr>
          <w:p w14:paraId="6E72154C" w14:textId="2B7EE880" w:rsidR="00A31FA0" w:rsidRPr="000E3D79" w:rsidRDefault="00133F71" w:rsidP="000E3D79">
            <w:pPr>
              <w:pStyle w:val="Subtitle"/>
              <w:spacing w:before="120" w:line="260" w:lineRule="atLeast"/>
              <w:rPr>
                <w:rFonts w:ascii="Verdana" w:eastAsia="Times New Roman" w:hAnsi="Verdana"/>
                <w:noProof/>
                <w:lang w:val="tr-TR"/>
              </w:rPr>
            </w:pPr>
            <w:r w:rsidRPr="000E3D79">
              <w:rPr>
                <w:rFonts w:ascii="Verdana" w:eastAsia="Times New Roman" w:hAnsi="Verdana"/>
                <w:noProof/>
                <w:lang w:val="tr-TR"/>
              </w:rPr>
              <w:t>Bu slaytlar, EUROJUST'un bu konudaki çalışmalarının kapsamını sunmaktadır.</w:t>
            </w:r>
            <w:r w:rsidR="00A31FA0" w:rsidRPr="000E3D79">
              <w:rPr>
                <w:rFonts w:ascii="Verdana" w:eastAsia="MS PGothic" w:hAnsi="Verdana" w:cs="MS PGothic"/>
                <w:noProof/>
                <w:kern w:val="24"/>
                <w:lang w:val="tr-TR" w:eastAsia="en-GB"/>
              </w:rPr>
              <w:t xml:space="preserve"> </w:t>
            </w:r>
            <w:r w:rsidRPr="000E3D79">
              <w:rPr>
                <w:rFonts w:ascii="Verdana" w:eastAsia="Times New Roman" w:hAnsi="Verdana"/>
                <w:noProof/>
                <w:lang w:val="tr-TR"/>
              </w:rPr>
              <w:t>Avrupa Konseyi, 46 No'lu Kararında, ciddi organize suçla mücadeleyi güçlendirmek için, her Üye Devletten kendi hukuk sistemine göre ayrı, eşdeğer yetkinliğe sahip ulusal savcılar, sulh hakimleri veya polis memurlarından oluşan bir birimin (EUROJUST) kurulması konusunda anlaştı.</w:t>
            </w:r>
          </w:p>
          <w:p w14:paraId="1C27728F" w14:textId="3013D464" w:rsidR="00556D69" w:rsidRPr="000E3D79" w:rsidRDefault="00133F71" w:rsidP="000E3D79">
            <w:pPr>
              <w:pStyle w:val="Subtitle"/>
              <w:spacing w:before="120" w:line="260" w:lineRule="atLeast"/>
              <w:rPr>
                <w:rFonts w:ascii="Verdana" w:eastAsia="Times New Roman" w:hAnsi="Verdana"/>
                <w:noProof/>
                <w:lang w:val="tr-TR"/>
              </w:rPr>
            </w:pPr>
            <w:r w:rsidRPr="000E3D79">
              <w:rPr>
                <w:rFonts w:ascii="Verdana" w:eastAsia="Times New Roman" w:hAnsi="Verdana"/>
                <w:noProof/>
                <w:lang w:val="tr-TR"/>
              </w:rPr>
              <w:t>Temmuz 2013'te Avrupa Komisyonu, 2002’de kurulmuş olan EUROJUST organizasyonunun yasal halefi olacak olan yeni bir Ceza ve Adalet İşbirliği Ajansı için tek ve yenilenmiş bir yasal çerçeve sağlamak üzere EUROJUST hakkında yeni bir düzenleme yapılması için Avrupa Parlamentosu ve Konseyi'ne bir öneri sundu.</w:t>
            </w:r>
          </w:p>
          <w:p w14:paraId="30629AB6" w14:textId="7DFF42BC" w:rsidR="005C0A4A" w:rsidRPr="000E3D79" w:rsidRDefault="00133F71" w:rsidP="000E3D79">
            <w:pPr>
              <w:pStyle w:val="Subtitle"/>
              <w:spacing w:before="120" w:line="260" w:lineRule="atLeast"/>
              <w:rPr>
                <w:rFonts w:ascii="Verdana" w:eastAsia="Times New Roman" w:hAnsi="Verdana"/>
                <w:noProof/>
                <w:szCs w:val="18"/>
                <w:lang w:val="tr-TR"/>
              </w:rPr>
            </w:pPr>
            <w:r w:rsidRPr="000E3D79">
              <w:rPr>
                <w:rFonts w:ascii="Verdana" w:eastAsia="Times New Roman" w:hAnsi="Verdana"/>
                <w:noProof/>
                <w:lang w:val="tr-TR"/>
              </w:rPr>
              <w:t>Avrupa Yargı Siber Suç Ağı (EJCN), siber suçlar, siber etkin suçlar ve siber uzaydaki soruşturmaların yol açtığı zorluklarla mücadele konusunda uzmanlaşmış uygulayıcılar</w:t>
            </w:r>
            <w:r w:rsidRPr="000E3D79">
              <w:rPr>
                <w:rFonts w:ascii="Verdana" w:eastAsia="Times New Roman" w:hAnsi="Verdana"/>
                <w:noProof/>
                <w:szCs w:val="18"/>
                <w:lang w:val="tr-TR"/>
              </w:rPr>
              <w:t xml:space="preserve"> arasındaki temasları teşvik etmek ve soruşturma ve kovuşturmaların verimliliğini artırmak için 2016 yılında Hollanda AB Başkanlığı sırasında kurulmuştur.</w:t>
            </w:r>
          </w:p>
          <w:p w14:paraId="09B693A1" w14:textId="5B853C70" w:rsidR="005C0A4A" w:rsidRPr="000E3D79" w:rsidRDefault="00133F71" w:rsidP="000E3D79">
            <w:pPr>
              <w:spacing w:beforeLines="20" w:before="48" w:afterLines="120" w:after="288" w:line="260" w:lineRule="atLeast"/>
              <w:jc w:val="both"/>
              <w:rPr>
                <w:rFonts w:ascii="Verdana" w:hAnsi="Verdana"/>
                <w:noProof/>
                <w:lang w:val="tr-TR"/>
              </w:rPr>
            </w:pPr>
            <w:r w:rsidRPr="000E3D79">
              <w:rPr>
                <w:rFonts w:ascii="Verdana" w:eastAsia="Times New Roman" w:hAnsi="Verdana"/>
                <w:noProof/>
                <w:sz w:val="18"/>
                <w:szCs w:val="18"/>
                <w:lang w:val="tr-TR"/>
              </w:rPr>
              <w:t>EJCN, siber suçların soruşturulması ve kovuşturulmasına ilişkin uzmanlık, en iyi uygulama ve diğer ilgili bilgilerin alışverişini sağlayarak yetkili adli makamlar arasındaki işbirliğini kolaylaştırmış ve artırmıştır.</w:t>
            </w:r>
            <w:r w:rsidR="005C0A4A" w:rsidRPr="000E3D79">
              <w:rPr>
                <w:rFonts w:ascii="Verdana" w:eastAsia="Times New Roman" w:hAnsi="Verdana"/>
                <w:noProof/>
                <w:sz w:val="18"/>
                <w:szCs w:val="18"/>
                <w:lang w:val="tr-TR"/>
              </w:rPr>
              <w:t xml:space="preserve"> </w:t>
            </w:r>
            <w:r w:rsidRPr="000E3D79">
              <w:rPr>
                <w:rFonts w:ascii="Verdana" w:eastAsia="Times New Roman" w:hAnsi="Verdana"/>
                <w:noProof/>
                <w:sz w:val="18"/>
                <w:szCs w:val="18"/>
                <w:lang w:val="tr-TR"/>
              </w:rPr>
              <w:t xml:space="preserve">Ağ ayrıca, siber </w:t>
            </w:r>
            <w:r w:rsidRPr="000E3D79">
              <w:rPr>
                <w:rFonts w:ascii="Verdana" w:eastAsia="Times New Roman" w:hAnsi="Verdana"/>
                <w:noProof/>
                <w:sz w:val="18"/>
                <w:szCs w:val="18"/>
                <w:lang w:val="tr-TR"/>
              </w:rPr>
              <w:lastRenderedPageBreak/>
              <w:t>uzayda hukukun üstünlüğünün sağlanmasında rol oynayan farklı aktörler ve paydaşlar arasında diyaloğu da teşvik etmiştir.</w:t>
            </w:r>
          </w:p>
        </w:tc>
      </w:tr>
      <w:tr w:rsidR="00F1574D" w:rsidRPr="000E3D79" w14:paraId="720470D6" w14:textId="77777777" w:rsidTr="00C745F7">
        <w:trPr>
          <w:trHeight w:val="1169"/>
        </w:trPr>
        <w:tc>
          <w:tcPr>
            <w:tcW w:w="1668" w:type="dxa"/>
            <w:vAlign w:val="center"/>
          </w:tcPr>
          <w:p w14:paraId="61FD9F0D" w14:textId="631DB774" w:rsidR="00F1574D" w:rsidRPr="000E3D79" w:rsidRDefault="00A31FA0"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lastRenderedPageBreak/>
              <w:t>2</w:t>
            </w:r>
            <w:r w:rsidR="0064085A" w:rsidRPr="000E3D79">
              <w:rPr>
                <w:rFonts w:ascii="Verdana" w:hAnsi="Verdana"/>
                <w:noProof/>
                <w:sz w:val="18"/>
                <w:szCs w:val="18"/>
                <w:lang w:val="tr-TR"/>
              </w:rPr>
              <w:t>3</w:t>
            </w:r>
            <w:r w:rsidR="00CF141D" w:rsidRPr="000E3D79">
              <w:rPr>
                <w:rFonts w:ascii="Verdana" w:hAnsi="Verdana"/>
                <w:noProof/>
                <w:sz w:val="18"/>
                <w:szCs w:val="18"/>
                <w:lang w:val="tr-TR"/>
              </w:rPr>
              <w:t xml:space="preserve"> </w:t>
            </w:r>
            <w:r w:rsidR="00BB2DA9" w:rsidRPr="000E3D79">
              <w:rPr>
                <w:rFonts w:ascii="Verdana" w:hAnsi="Verdana"/>
                <w:noProof/>
                <w:sz w:val="18"/>
                <w:szCs w:val="18"/>
                <w:lang w:val="tr-TR"/>
              </w:rPr>
              <w:t>–</w:t>
            </w:r>
            <w:r w:rsidR="006527C6" w:rsidRPr="000E3D79">
              <w:rPr>
                <w:rFonts w:ascii="Verdana" w:hAnsi="Verdana"/>
                <w:noProof/>
                <w:sz w:val="18"/>
                <w:szCs w:val="18"/>
                <w:lang w:val="tr-TR"/>
              </w:rPr>
              <w:t xml:space="preserve"> </w:t>
            </w:r>
            <w:r w:rsidR="0064085A" w:rsidRPr="000E3D79">
              <w:rPr>
                <w:rFonts w:ascii="Verdana" w:hAnsi="Verdana"/>
                <w:noProof/>
                <w:sz w:val="18"/>
                <w:szCs w:val="18"/>
                <w:lang w:val="tr-TR"/>
              </w:rPr>
              <w:t>28</w:t>
            </w:r>
          </w:p>
        </w:tc>
        <w:tc>
          <w:tcPr>
            <w:tcW w:w="7342" w:type="dxa"/>
            <w:gridSpan w:val="2"/>
            <w:vAlign w:val="center"/>
          </w:tcPr>
          <w:p w14:paraId="40B913F5" w14:textId="1B538FB1" w:rsidR="00A31FA0" w:rsidRPr="000E3D79" w:rsidRDefault="00623110" w:rsidP="000E3D79">
            <w:pPr>
              <w:pStyle w:val="Subtitle"/>
              <w:spacing w:before="120" w:line="260" w:lineRule="atLeast"/>
              <w:rPr>
                <w:rFonts w:ascii="Verdana" w:eastAsia="MS PGothic" w:hAnsi="Verdana" w:cs="MS PGothic"/>
                <w:noProof/>
                <w:kern w:val="24"/>
                <w:lang w:val="tr-TR" w:eastAsia="en-GB"/>
              </w:rPr>
            </w:pPr>
            <w:r w:rsidRPr="000E3D79">
              <w:rPr>
                <w:rFonts w:ascii="Verdana" w:hAnsi="Verdana"/>
                <w:noProof/>
                <w:szCs w:val="18"/>
                <w:lang w:val="tr-TR"/>
              </w:rPr>
              <w:t xml:space="preserve">Bu slaytlar, Avrupa Konseyi 7/24 </w:t>
            </w:r>
            <w:r w:rsidR="004D7F59" w:rsidRPr="000E3D79">
              <w:rPr>
                <w:rFonts w:ascii="Verdana" w:hAnsi="Verdana"/>
                <w:noProof/>
                <w:szCs w:val="18"/>
                <w:lang w:val="tr-TR"/>
              </w:rPr>
              <w:t>İrtibat</w:t>
            </w:r>
            <w:r w:rsidRPr="000E3D79">
              <w:rPr>
                <w:rFonts w:ascii="Verdana" w:hAnsi="Verdana"/>
                <w:noProof/>
                <w:szCs w:val="18"/>
                <w:lang w:val="tr-TR"/>
              </w:rPr>
              <w:t xml:space="preserve"> Noktası Siber Suç Ağı'nı kapsamaktadır.</w:t>
            </w:r>
            <w:r w:rsidR="00A31FA0" w:rsidRPr="000E3D79">
              <w:rPr>
                <w:rFonts w:ascii="Verdana" w:eastAsia="MS PGothic" w:hAnsi="Verdana" w:cs="MS PGothic"/>
                <w:noProof/>
                <w:kern w:val="24"/>
                <w:lang w:val="tr-TR" w:eastAsia="en-GB"/>
              </w:rPr>
              <w:t xml:space="preserve"> </w:t>
            </w:r>
          </w:p>
          <w:p w14:paraId="2E63EC97" w14:textId="2EFF9364" w:rsidR="00A31FA0" w:rsidRPr="000E3D79" w:rsidRDefault="00623110" w:rsidP="000E3D79">
            <w:pPr>
              <w:pStyle w:val="Subtitle"/>
              <w:spacing w:before="120" w:line="260" w:lineRule="atLeast"/>
              <w:rPr>
                <w:rFonts w:ascii="Verdana" w:eastAsia="MS PGothic" w:hAnsi="Verdana" w:cs="MS PGothic"/>
                <w:noProof/>
                <w:kern w:val="24"/>
                <w:lang w:val="tr-TR" w:eastAsia="en-GB"/>
              </w:rPr>
            </w:pPr>
            <w:r w:rsidRPr="000E3D79">
              <w:rPr>
                <w:rFonts w:ascii="Verdana" w:hAnsi="Verdana"/>
                <w:noProof/>
                <w:szCs w:val="18"/>
                <w:lang w:val="tr-TR"/>
              </w:rPr>
              <w:t xml:space="preserve">Sözleşmenin 35. Maddesinin 1. fıkrasının c bendi uyarınca, Taraflardan her biri, bu Bölüm kapsamındaki soruşturma ve yargılamalarda, özellikle Madde'de tanımlandığı üzere, acil yardım sağlamak için </w:t>
            </w:r>
            <w:r w:rsidR="00E93C61" w:rsidRPr="000E3D79">
              <w:rPr>
                <w:rFonts w:ascii="Verdana" w:hAnsi="Verdana"/>
                <w:noProof/>
                <w:szCs w:val="18"/>
                <w:lang w:val="tr-TR"/>
              </w:rPr>
              <w:t xml:space="preserve">haftanın 7 günü </w:t>
            </w:r>
            <w:r w:rsidRPr="000E3D79">
              <w:rPr>
                <w:rFonts w:ascii="Verdana" w:hAnsi="Verdana"/>
                <w:noProof/>
                <w:szCs w:val="18"/>
                <w:lang w:val="tr-TR"/>
              </w:rPr>
              <w:t>24 saat</w:t>
            </w:r>
            <w:r w:rsidR="00E93C61" w:rsidRPr="000E3D79">
              <w:rPr>
                <w:rFonts w:ascii="Verdana" w:hAnsi="Verdana"/>
                <w:noProof/>
                <w:szCs w:val="18"/>
                <w:lang w:val="tr-TR"/>
              </w:rPr>
              <w:t xml:space="preserve"> </w:t>
            </w:r>
            <w:r w:rsidRPr="000E3D79">
              <w:rPr>
                <w:rFonts w:ascii="Verdana" w:hAnsi="Verdana"/>
                <w:noProof/>
                <w:szCs w:val="18"/>
                <w:lang w:val="tr-TR"/>
              </w:rPr>
              <w:t xml:space="preserve">kullanılabilir bir </w:t>
            </w:r>
            <w:r w:rsidR="004D7F59" w:rsidRPr="000E3D79">
              <w:rPr>
                <w:rFonts w:ascii="Verdana" w:hAnsi="Verdana"/>
                <w:noProof/>
                <w:szCs w:val="18"/>
                <w:lang w:val="tr-TR"/>
              </w:rPr>
              <w:t>irtibat</w:t>
            </w:r>
            <w:r w:rsidRPr="000E3D79">
              <w:rPr>
                <w:rFonts w:ascii="Verdana" w:hAnsi="Verdana"/>
                <w:noProof/>
                <w:szCs w:val="18"/>
                <w:lang w:val="tr-TR"/>
              </w:rPr>
              <w:t xml:space="preserve"> noktası belirleme yükümlülüğüne sahiptir.</w:t>
            </w:r>
            <w:r w:rsidR="00A31FA0" w:rsidRPr="000E3D79">
              <w:rPr>
                <w:rFonts w:ascii="Verdana" w:hAnsi="Verdana"/>
                <w:noProof/>
                <w:szCs w:val="18"/>
                <w:lang w:val="tr-TR"/>
              </w:rPr>
              <w:t xml:space="preserve"> </w:t>
            </w:r>
            <w:r w:rsidRPr="000E3D79">
              <w:rPr>
                <w:rFonts w:ascii="Verdana" w:hAnsi="Verdana"/>
                <w:noProof/>
                <w:szCs w:val="18"/>
                <w:lang w:val="tr-TR"/>
              </w:rPr>
              <w:t>Bu ağın kurulmasının, Tarafların bilgisayar veya bilgisayarla ilgili suçlardan kaynaklanan kanun uygulama zorluklarına etkili bir şekilde yanıt verebilmelerini sağlamak için bu Sözleşme tarafından sağlanan en önemli araçlardan biri olduğu kabul edilmiştir.</w:t>
            </w:r>
            <w:r w:rsidR="00A31FA0" w:rsidRPr="000E3D79">
              <w:rPr>
                <w:rFonts w:ascii="Verdana" w:eastAsia="MS PGothic" w:hAnsi="Verdana" w:cs="MS PGothic"/>
                <w:noProof/>
                <w:kern w:val="24"/>
                <w:lang w:val="tr-TR" w:eastAsia="en-GB"/>
              </w:rPr>
              <w:t xml:space="preserve"> </w:t>
            </w:r>
          </w:p>
          <w:p w14:paraId="59CB9448" w14:textId="0D946735" w:rsidR="005F709E" w:rsidRPr="000E3D79" w:rsidRDefault="00190DEF" w:rsidP="000E3D79">
            <w:pPr>
              <w:pStyle w:val="Subtitle"/>
              <w:spacing w:before="120" w:line="260" w:lineRule="atLeast"/>
              <w:rPr>
                <w:rFonts w:ascii="Verdana" w:hAnsi="Verdana"/>
                <w:noProof/>
                <w:szCs w:val="18"/>
                <w:lang w:val="tr-TR"/>
              </w:rPr>
            </w:pPr>
            <w:r w:rsidRPr="000E3D79">
              <w:rPr>
                <w:rFonts w:ascii="Verdana" w:hAnsi="Verdana"/>
                <w:noProof/>
                <w:szCs w:val="18"/>
                <w:lang w:val="tr-TR"/>
              </w:rPr>
              <w:t xml:space="preserve">Her bir Taraf, kanun uygulama yapısı içinde </w:t>
            </w:r>
            <w:r w:rsidR="004D7F59" w:rsidRPr="000E3D79">
              <w:rPr>
                <w:rFonts w:ascii="Verdana" w:hAnsi="Verdana"/>
                <w:noProof/>
                <w:szCs w:val="18"/>
                <w:lang w:val="tr-TR"/>
              </w:rPr>
              <w:t>irtibat</w:t>
            </w:r>
            <w:r w:rsidRPr="000E3D79">
              <w:rPr>
                <w:rFonts w:ascii="Verdana" w:hAnsi="Verdana"/>
                <w:noProof/>
                <w:szCs w:val="18"/>
                <w:lang w:val="tr-TR"/>
              </w:rPr>
              <w:t xml:space="preserve"> noktasını nerede bulacağını belirleme özgürlüğüne sahiptir.</w:t>
            </w:r>
            <w:r w:rsidR="00A31FA0" w:rsidRPr="000E3D79">
              <w:rPr>
                <w:rFonts w:ascii="Verdana" w:hAnsi="Verdana"/>
                <w:noProof/>
                <w:szCs w:val="18"/>
                <w:lang w:val="tr-TR"/>
              </w:rPr>
              <w:t xml:space="preserve"> </w:t>
            </w:r>
            <w:r w:rsidRPr="000E3D79">
              <w:rPr>
                <w:rFonts w:ascii="Verdana" w:hAnsi="Verdana"/>
                <w:noProof/>
                <w:szCs w:val="18"/>
                <w:lang w:val="tr-TR"/>
              </w:rPr>
              <w:t xml:space="preserve">Bazı taraflar, karşılıklı yardım için 7/24 </w:t>
            </w:r>
            <w:r w:rsidR="004D7F59" w:rsidRPr="000E3D79">
              <w:rPr>
                <w:rFonts w:ascii="Verdana" w:hAnsi="Verdana"/>
                <w:noProof/>
                <w:szCs w:val="18"/>
                <w:lang w:val="tr-TR"/>
              </w:rPr>
              <w:t>irtibat</w:t>
            </w:r>
            <w:r w:rsidRPr="000E3D79">
              <w:rPr>
                <w:rFonts w:ascii="Verdana" w:hAnsi="Verdana"/>
                <w:noProof/>
                <w:szCs w:val="18"/>
                <w:lang w:val="tr-TR"/>
              </w:rPr>
              <w:t xml:space="preserve"> noktasını kendi merkezi otoritesinde kurmak isteyebilir, bazıları en iyi yerin bilgisayar veya bilgisayarla ilgili suçlarla mücadelede uzmanlaşmış bir polis birimi olduğuna inanabilir, ancak hükümet yapısı ve yasal sistemi göz önüne alındığında, bazı devletler özel kurumlarla çalışmayı tercih edebilir.</w:t>
            </w:r>
            <w:r w:rsidR="00A31FA0" w:rsidRPr="000E3D79">
              <w:rPr>
                <w:rFonts w:ascii="Verdana" w:hAnsi="Verdana"/>
                <w:noProof/>
                <w:szCs w:val="18"/>
                <w:lang w:val="tr-TR"/>
              </w:rPr>
              <w:t xml:space="preserve"> </w:t>
            </w:r>
          </w:p>
        </w:tc>
      </w:tr>
      <w:tr w:rsidR="00F1574D" w:rsidRPr="000E3D79" w14:paraId="0A65AD6F" w14:textId="77777777" w:rsidTr="00C745F7">
        <w:trPr>
          <w:trHeight w:val="1313"/>
        </w:trPr>
        <w:tc>
          <w:tcPr>
            <w:tcW w:w="1668" w:type="dxa"/>
            <w:vAlign w:val="center"/>
          </w:tcPr>
          <w:p w14:paraId="55312634" w14:textId="419E1BF8" w:rsidR="00F1574D" w:rsidRPr="000E3D79" w:rsidRDefault="0064085A"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t>29</w:t>
            </w:r>
            <w:r w:rsidR="00CF141D" w:rsidRPr="000E3D79">
              <w:rPr>
                <w:rFonts w:ascii="Verdana" w:hAnsi="Verdana"/>
                <w:noProof/>
                <w:sz w:val="18"/>
                <w:szCs w:val="18"/>
                <w:lang w:val="tr-TR"/>
              </w:rPr>
              <w:t xml:space="preserve"> </w:t>
            </w:r>
            <w:r w:rsidR="00BB2DA9" w:rsidRPr="000E3D79">
              <w:rPr>
                <w:rFonts w:ascii="Verdana" w:hAnsi="Verdana"/>
                <w:noProof/>
                <w:sz w:val="18"/>
                <w:szCs w:val="18"/>
                <w:lang w:val="tr-TR"/>
              </w:rPr>
              <w:t>–</w:t>
            </w:r>
            <w:r w:rsidR="00A342ED" w:rsidRPr="000E3D79">
              <w:rPr>
                <w:rFonts w:ascii="Verdana" w:hAnsi="Verdana"/>
                <w:noProof/>
                <w:sz w:val="18"/>
                <w:szCs w:val="18"/>
                <w:lang w:val="tr-TR"/>
              </w:rPr>
              <w:t xml:space="preserve"> </w:t>
            </w:r>
            <w:r w:rsidRPr="000E3D79">
              <w:rPr>
                <w:rFonts w:ascii="Verdana" w:hAnsi="Verdana"/>
                <w:noProof/>
                <w:sz w:val="18"/>
                <w:szCs w:val="18"/>
                <w:lang w:val="tr-TR"/>
              </w:rPr>
              <w:t>3</w:t>
            </w:r>
            <w:r w:rsidR="000668D4" w:rsidRPr="000E3D79">
              <w:rPr>
                <w:rFonts w:ascii="Verdana" w:hAnsi="Verdana"/>
                <w:noProof/>
                <w:sz w:val="18"/>
                <w:szCs w:val="18"/>
                <w:lang w:val="tr-TR"/>
              </w:rPr>
              <w:t>7</w:t>
            </w:r>
          </w:p>
        </w:tc>
        <w:tc>
          <w:tcPr>
            <w:tcW w:w="7342" w:type="dxa"/>
            <w:gridSpan w:val="2"/>
            <w:vAlign w:val="center"/>
          </w:tcPr>
          <w:p w14:paraId="59937E6B" w14:textId="178CBB85" w:rsidR="00A31FA0" w:rsidRPr="000E3D79" w:rsidRDefault="00CF141D" w:rsidP="000E3D79">
            <w:pPr>
              <w:spacing w:before="120" w:after="120" w:line="260" w:lineRule="atLeast"/>
              <w:jc w:val="both"/>
              <w:rPr>
                <w:rFonts w:ascii="Verdana" w:eastAsia="MS PGothic" w:hAnsi="Verdana" w:cs="MS PGothic"/>
                <w:noProof/>
                <w:color w:val="000000" w:themeColor="text1"/>
                <w:kern w:val="24"/>
                <w:sz w:val="18"/>
                <w:szCs w:val="18"/>
                <w:lang w:val="tr-TR" w:eastAsia="en-GB"/>
              </w:rPr>
            </w:pPr>
            <w:r w:rsidRPr="000E3D79">
              <w:rPr>
                <w:rFonts w:ascii="Verdana" w:hAnsi="Verdana"/>
                <w:noProof/>
                <w:sz w:val="18"/>
                <w:szCs w:val="18"/>
                <w:lang w:val="tr-TR"/>
              </w:rPr>
              <w:t>Bu slaytlar, Avrupa Konseyi'nin özellikle uluslararası işbirliğini geliştirmeyi amaçlayan projelerinden biri kapsamındaki kapasite geliştirme çabalarını sunmaktadır.</w:t>
            </w:r>
            <w:r w:rsidR="00AE5CF6" w:rsidRPr="000E3D79">
              <w:rPr>
                <w:rFonts w:ascii="Verdana" w:hAnsi="Verdana"/>
                <w:noProof/>
                <w:sz w:val="18"/>
                <w:szCs w:val="18"/>
                <w:lang w:val="tr-TR"/>
              </w:rPr>
              <w:t xml:space="preserve"> </w:t>
            </w:r>
            <w:r w:rsidRPr="000E3D79">
              <w:rPr>
                <w:rFonts w:ascii="Verdana" w:hAnsi="Verdana"/>
                <w:noProof/>
                <w:sz w:val="18"/>
                <w:szCs w:val="18"/>
                <w:lang w:val="tr-TR"/>
              </w:rPr>
              <w:t>Cybercrime @ EaP projeleri tarafından üretilen bölgesel Raporların bulguları, işbirliğini geliştirmeye yönelik daha pratik, gerçekçi yaklaşımları tartışmak için bir kaynak olarak kullanılabilir.</w:t>
            </w:r>
          </w:p>
        </w:tc>
      </w:tr>
      <w:tr w:rsidR="005F709E" w:rsidRPr="000E3D79" w14:paraId="1918B48F" w14:textId="77777777" w:rsidTr="00C745F7">
        <w:trPr>
          <w:trHeight w:val="1313"/>
        </w:trPr>
        <w:tc>
          <w:tcPr>
            <w:tcW w:w="1668" w:type="dxa"/>
            <w:vAlign w:val="center"/>
          </w:tcPr>
          <w:p w14:paraId="224BC13F" w14:textId="4F135326" w:rsidR="005F709E" w:rsidRPr="000E3D79" w:rsidRDefault="0064085A" w:rsidP="000E3D79">
            <w:pPr>
              <w:spacing w:before="120" w:after="120" w:line="260" w:lineRule="atLeast"/>
              <w:jc w:val="center"/>
              <w:rPr>
                <w:rFonts w:ascii="Verdana" w:hAnsi="Verdana"/>
                <w:noProof/>
                <w:sz w:val="18"/>
                <w:szCs w:val="18"/>
                <w:lang w:val="tr-TR"/>
              </w:rPr>
            </w:pPr>
            <w:r w:rsidRPr="000E3D79">
              <w:rPr>
                <w:rFonts w:ascii="Verdana" w:hAnsi="Verdana"/>
                <w:noProof/>
                <w:sz w:val="18"/>
                <w:szCs w:val="18"/>
                <w:lang w:val="tr-TR"/>
              </w:rPr>
              <w:t>3</w:t>
            </w:r>
            <w:r w:rsidR="000668D4" w:rsidRPr="000E3D79">
              <w:rPr>
                <w:rFonts w:ascii="Verdana" w:hAnsi="Verdana"/>
                <w:noProof/>
                <w:sz w:val="18"/>
                <w:szCs w:val="18"/>
                <w:lang w:val="tr-TR"/>
              </w:rPr>
              <w:t>8</w:t>
            </w:r>
            <w:r w:rsidR="00CF141D" w:rsidRPr="000E3D79">
              <w:rPr>
                <w:rFonts w:ascii="Verdana" w:hAnsi="Verdana"/>
                <w:noProof/>
                <w:sz w:val="18"/>
                <w:szCs w:val="18"/>
                <w:lang w:val="tr-TR"/>
              </w:rPr>
              <w:t xml:space="preserve"> </w:t>
            </w:r>
            <w:r w:rsidR="00BB2DA9" w:rsidRPr="000E3D79">
              <w:rPr>
                <w:rFonts w:ascii="Verdana" w:hAnsi="Verdana"/>
                <w:noProof/>
                <w:sz w:val="18"/>
                <w:szCs w:val="18"/>
                <w:lang w:val="tr-TR"/>
              </w:rPr>
              <w:t>–</w:t>
            </w:r>
            <w:r w:rsidR="005F709E" w:rsidRPr="000E3D79">
              <w:rPr>
                <w:rFonts w:ascii="Verdana" w:hAnsi="Verdana"/>
                <w:noProof/>
                <w:sz w:val="18"/>
                <w:szCs w:val="18"/>
                <w:lang w:val="tr-TR"/>
              </w:rPr>
              <w:t xml:space="preserve"> </w:t>
            </w:r>
            <w:r w:rsidR="000668D4" w:rsidRPr="000E3D79">
              <w:rPr>
                <w:rFonts w:ascii="Verdana" w:hAnsi="Verdana"/>
                <w:noProof/>
                <w:sz w:val="18"/>
                <w:szCs w:val="18"/>
                <w:lang w:val="tr-TR"/>
              </w:rPr>
              <w:t>40</w:t>
            </w:r>
          </w:p>
        </w:tc>
        <w:tc>
          <w:tcPr>
            <w:tcW w:w="7342" w:type="dxa"/>
            <w:gridSpan w:val="2"/>
            <w:vAlign w:val="center"/>
          </w:tcPr>
          <w:p w14:paraId="3A655925" w14:textId="1DC63574" w:rsidR="00CF141D" w:rsidRPr="000E3D79" w:rsidRDefault="00CF141D" w:rsidP="000E3D79">
            <w:pPr>
              <w:spacing w:before="120" w:after="120" w:line="260" w:lineRule="atLeast"/>
              <w:jc w:val="both"/>
              <w:rPr>
                <w:rFonts w:ascii="Verdana" w:hAnsi="Verdana"/>
                <w:noProof/>
                <w:sz w:val="18"/>
                <w:szCs w:val="18"/>
                <w:lang w:val="tr-TR"/>
              </w:rPr>
            </w:pPr>
            <w:r w:rsidRPr="000E3D79">
              <w:rPr>
                <w:rFonts w:ascii="Verdana" w:hAnsi="Verdana"/>
                <w:noProof/>
                <w:sz w:val="18"/>
                <w:szCs w:val="18"/>
                <w:lang w:val="tr-TR"/>
              </w:rPr>
              <w:t xml:space="preserve">Son slaytlar, eğiticinin öğrenme hedeflerini </w:t>
            </w:r>
            <w:r w:rsidR="00E93C61" w:rsidRPr="000E3D79">
              <w:rPr>
                <w:rFonts w:ascii="Verdana" w:hAnsi="Verdana"/>
                <w:noProof/>
                <w:sz w:val="18"/>
                <w:szCs w:val="18"/>
                <w:lang w:val="tr-TR"/>
              </w:rPr>
              <w:t xml:space="preserve">katılımcılarla </w:t>
            </w:r>
            <w:r w:rsidRPr="000E3D79">
              <w:rPr>
                <w:rFonts w:ascii="Verdana" w:hAnsi="Verdana"/>
                <w:noProof/>
                <w:sz w:val="18"/>
                <w:szCs w:val="18"/>
                <w:lang w:val="tr-TR"/>
              </w:rPr>
              <w:t>birlikte gözden geçirmesine ve böylece bu hedeflere ulaşıldığından emin olmasına olanak tanır.</w:t>
            </w:r>
          </w:p>
          <w:p w14:paraId="4F4159A3" w14:textId="5FE33E73" w:rsidR="005F709E" w:rsidRPr="000E3D79" w:rsidRDefault="00CF141D" w:rsidP="000E3D79">
            <w:pPr>
              <w:spacing w:before="120" w:after="120" w:line="260" w:lineRule="atLeast"/>
              <w:jc w:val="both"/>
              <w:rPr>
                <w:rFonts w:ascii="Verdana" w:hAnsi="Verdana"/>
                <w:noProof/>
                <w:sz w:val="18"/>
                <w:szCs w:val="18"/>
                <w:lang w:val="tr-TR"/>
              </w:rPr>
            </w:pPr>
            <w:r w:rsidRPr="000E3D79">
              <w:rPr>
                <w:rFonts w:ascii="Verdana" w:hAnsi="Verdana"/>
                <w:noProof/>
                <w:sz w:val="18"/>
                <w:szCs w:val="18"/>
                <w:lang w:val="tr-TR"/>
              </w:rPr>
              <w:t xml:space="preserve">Ayrıca, bu bölüm </w:t>
            </w:r>
            <w:r w:rsidR="00E93C61" w:rsidRPr="000E3D79">
              <w:rPr>
                <w:rFonts w:ascii="Verdana" w:hAnsi="Verdana"/>
                <w:noProof/>
                <w:sz w:val="18"/>
                <w:szCs w:val="18"/>
                <w:lang w:val="tr-TR"/>
              </w:rPr>
              <w:t xml:space="preserve">katılımcılar </w:t>
            </w:r>
            <w:r w:rsidRPr="000E3D79">
              <w:rPr>
                <w:rFonts w:ascii="Verdana" w:hAnsi="Verdana"/>
                <w:noProof/>
                <w:sz w:val="18"/>
                <w:szCs w:val="18"/>
                <w:lang w:val="tr-TR"/>
              </w:rPr>
              <w:t xml:space="preserve">için çözülmemiş veya tam olarak anlaşılmamış konularla alakalı sorunları dile getirmeleri için bir fırsattır. Ek olarak, </w:t>
            </w:r>
            <w:r w:rsidR="00E93C61" w:rsidRPr="000E3D79">
              <w:rPr>
                <w:rFonts w:ascii="Verdana" w:hAnsi="Verdana"/>
                <w:noProof/>
                <w:sz w:val="18"/>
                <w:szCs w:val="18"/>
                <w:lang w:val="tr-TR"/>
              </w:rPr>
              <w:t>eğitici</w:t>
            </w:r>
            <w:r w:rsidRPr="000E3D79">
              <w:rPr>
                <w:rFonts w:ascii="Verdana" w:hAnsi="Verdana"/>
                <w:noProof/>
                <w:sz w:val="18"/>
                <w:szCs w:val="18"/>
                <w:lang w:val="tr-TR"/>
              </w:rPr>
              <w:t xml:space="preserve">, katılımcılara sorular sorarak öğrenilen bilgileri </w:t>
            </w:r>
            <w:r w:rsidR="00E93C61" w:rsidRPr="000E3D79">
              <w:rPr>
                <w:rFonts w:ascii="Verdana" w:hAnsi="Verdana"/>
                <w:noProof/>
                <w:sz w:val="18"/>
                <w:szCs w:val="18"/>
                <w:lang w:val="tr-TR"/>
              </w:rPr>
              <w:t>ölçmek</w:t>
            </w:r>
            <w:r w:rsidRPr="000E3D79">
              <w:rPr>
                <w:rFonts w:ascii="Verdana" w:hAnsi="Verdana"/>
                <w:noProof/>
                <w:sz w:val="18"/>
                <w:szCs w:val="18"/>
                <w:lang w:val="tr-TR"/>
              </w:rPr>
              <w:t xml:space="preserve"> için </w:t>
            </w:r>
            <w:r w:rsidR="00E93C61" w:rsidRPr="000E3D79">
              <w:rPr>
                <w:rFonts w:ascii="Verdana" w:hAnsi="Verdana"/>
                <w:noProof/>
                <w:sz w:val="18"/>
                <w:szCs w:val="18"/>
                <w:lang w:val="tr-TR"/>
              </w:rPr>
              <w:t xml:space="preserve">de </w:t>
            </w:r>
            <w:r w:rsidRPr="000E3D79">
              <w:rPr>
                <w:rFonts w:ascii="Verdana" w:hAnsi="Verdana"/>
                <w:noProof/>
                <w:sz w:val="18"/>
                <w:szCs w:val="18"/>
                <w:lang w:val="tr-TR"/>
              </w:rPr>
              <w:t xml:space="preserve">oturumu kullanabilir. </w:t>
            </w:r>
            <w:r w:rsidR="00E93C61" w:rsidRPr="000E3D79">
              <w:rPr>
                <w:rFonts w:ascii="Verdana" w:hAnsi="Verdana"/>
                <w:noProof/>
                <w:sz w:val="18"/>
                <w:szCs w:val="18"/>
                <w:lang w:val="tr-TR"/>
              </w:rPr>
              <w:t xml:space="preserve">Bu ders </w:t>
            </w:r>
            <w:r w:rsidRPr="000E3D79">
              <w:rPr>
                <w:rFonts w:ascii="Verdana" w:hAnsi="Verdana"/>
                <w:noProof/>
                <w:sz w:val="18"/>
                <w:szCs w:val="18"/>
                <w:lang w:val="tr-TR"/>
              </w:rPr>
              <w:t xml:space="preserve">için resmi bir değerlendirme </w:t>
            </w:r>
            <w:r w:rsidR="00E93C61" w:rsidRPr="000E3D79">
              <w:rPr>
                <w:rFonts w:ascii="Verdana" w:hAnsi="Verdana"/>
                <w:noProof/>
                <w:sz w:val="18"/>
                <w:szCs w:val="18"/>
                <w:lang w:val="tr-TR"/>
              </w:rPr>
              <w:t xml:space="preserve">yapılmayacağından </w:t>
            </w:r>
            <w:r w:rsidRPr="000E3D79">
              <w:rPr>
                <w:rFonts w:ascii="Verdana" w:hAnsi="Verdana"/>
                <w:noProof/>
                <w:sz w:val="18"/>
                <w:szCs w:val="18"/>
                <w:lang w:val="tr-TR"/>
              </w:rPr>
              <w:t xml:space="preserve">bu </w:t>
            </w:r>
            <w:r w:rsidR="00E93C61" w:rsidRPr="000E3D79">
              <w:rPr>
                <w:rFonts w:ascii="Verdana" w:hAnsi="Verdana"/>
                <w:noProof/>
                <w:sz w:val="18"/>
                <w:szCs w:val="18"/>
                <w:lang w:val="tr-TR"/>
              </w:rPr>
              <w:t xml:space="preserve">ölçüm </w:t>
            </w:r>
            <w:r w:rsidRPr="000E3D79">
              <w:rPr>
                <w:rFonts w:ascii="Verdana" w:hAnsi="Verdana"/>
                <w:noProof/>
                <w:sz w:val="18"/>
                <w:szCs w:val="18"/>
                <w:lang w:val="tr-TR"/>
              </w:rPr>
              <w:t>önemlidir.</w:t>
            </w:r>
          </w:p>
        </w:tc>
      </w:tr>
      <w:tr w:rsidR="00CF141D" w:rsidRPr="000E3D79" w14:paraId="2ECF09B7" w14:textId="77777777" w:rsidTr="00F1574D">
        <w:trPr>
          <w:trHeight w:val="890"/>
        </w:trPr>
        <w:tc>
          <w:tcPr>
            <w:tcW w:w="9010" w:type="dxa"/>
            <w:gridSpan w:val="3"/>
            <w:vAlign w:val="center"/>
          </w:tcPr>
          <w:p w14:paraId="3A20BE6D" w14:textId="2BDFA18A" w:rsidR="00CF141D" w:rsidRPr="000E3D79" w:rsidRDefault="006356F9" w:rsidP="000E3D79">
            <w:pPr>
              <w:spacing w:before="120" w:after="120" w:line="260" w:lineRule="atLeast"/>
              <w:rPr>
                <w:rFonts w:ascii="Verdana" w:hAnsi="Verdana"/>
                <w:b/>
                <w:noProof/>
                <w:sz w:val="22"/>
                <w:szCs w:val="22"/>
                <w:lang w:val="tr-TR"/>
              </w:rPr>
            </w:pPr>
            <w:r w:rsidRPr="000E3D79">
              <w:rPr>
                <w:rFonts w:ascii="Verdana" w:hAnsi="Verdana"/>
                <w:b/>
                <w:noProof/>
                <w:sz w:val="22"/>
                <w:szCs w:val="22"/>
                <w:lang w:val="tr-TR"/>
              </w:rPr>
              <w:t>Uygulamalı Egzersizler</w:t>
            </w:r>
          </w:p>
          <w:p w14:paraId="04D65D89" w14:textId="16E60F4B" w:rsidR="00CF141D" w:rsidRPr="000E3D79" w:rsidRDefault="00CF141D" w:rsidP="000E3D79">
            <w:pPr>
              <w:spacing w:before="120" w:after="120" w:line="260" w:lineRule="atLeast"/>
              <w:rPr>
                <w:rFonts w:ascii="Verdana" w:hAnsi="Verdana"/>
                <w:noProof/>
                <w:sz w:val="18"/>
                <w:szCs w:val="18"/>
                <w:lang w:val="tr-TR"/>
              </w:rPr>
            </w:pPr>
            <w:r w:rsidRPr="000E3D79">
              <w:rPr>
                <w:rFonts w:ascii="Verdana" w:hAnsi="Verdana"/>
                <w:noProof/>
                <w:color w:val="000000" w:themeColor="text1"/>
                <w:sz w:val="18"/>
                <w:szCs w:val="18"/>
                <w:lang w:val="tr-TR"/>
              </w:rPr>
              <w:t>Bu ders</w:t>
            </w:r>
            <w:r w:rsidR="006356F9" w:rsidRPr="000E3D79">
              <w:rPr>
                <w:rFonts w:ascii="Verdana" w:hAnsi="Verdana"/>
                <w:noProof/>
                <w:color w:val="000000" w:themeColor="text1"/>
                <w:sz w:val="18"/>
                <w:szCs w:val="18"/>
                <w:lang w:val="tr-TR"/>
              </w:rPr>
              <w:t xml:space="preserve"> için</w:t>
            </w:r>
            <w:r w:rsidRPr="000E3D79">
              <w:rPr>
                <w:rFonts w:ascii="Verdana" w:hAnsi="Verdana"/>
                <w:noProof/>
                <w:color w:val="000000" w:themeColor="text1"/>
                <w:sz w:val="18"/>
                <w:szCs w:val="18"/>
                <w:lang w:val="tr-TR"/>
              </w:rPr>
              <w:t xml:space="preserve"> </w:t>
            </w:r>
            <w:r w:rsidR="00762C53" w:rsidRPr="000E3D79">
              <w:rPr>
                <w:rFonts w:ascii="Verdana" w:hAnsi="Verdana"/>
                <w:noProof/>
                <w:color w:val="000000" w:themeColor="text1"/>
                <w:sz w:val="18"/>
                <w:szCs w:val="18"/>
                <w:lang w:val="tr-TR"/>
              </w:rPr>
              <w:t>uygulamalı egzersiz</w:t>
            </w:r>
            <w:r w:rsidRPr="000E3D79">
              <w:rPr>
                <w:rFonts w:ascii="Verdana" w:hAnsi="Verdana"/>
                <w:noProof/>
                <w:color w:val="000000" w:themeColor="text1"/>
                <w:sz w:val="18"/>
                <w:szCs w:val="18"/>
                <w:lang w:val="tr-TR"/>
              </w:rPr>
              <w:t xml:space="preserve"> öngörülmemektedir.</w:t>
            </w:r>
          </w:p>
        </w:tc>
      </w:tr>
      <w:tr w:rsidR="00CF141D" w:rsidRPr="000E3D79" w14:paraId="603967A2" w14:textId="77777777" w:rsidTr="00F1574D">
        <w:tc>
          <w:tcPr>
            <w:tcW w:w="9010" w:type="dxa"/>
            <w:gridSpan w:val="3"/>
            <w:vAlign w:val="center"/>
          </w:tcPr>
          <w:p w14:paraId="43248355" w14:textId="07E162D8" w:rsidR="00CF141D" w:rsidRPr="000E3D79" w:rsidRDefault="00CF141D" w:rsidP="000E3D79">
            <w:pPr>
              <w:spacing w:before="120" w:after="120" w:line="260" w:lineRule="atLeast"/>
              <w:rPr>
                <w:rFonts w:ascii="Verdana" w:hAnsi="Verdana"/>
                <w:b/>
                <w:noProof/>
                <w:sz w:val="22"/>
                <w:szCs w:val="22"/>
                <w:lang w:val="tr-TR"/>
              </w:rPr>
            </w:pPr>
            <w:r w:rsidRPr="000E3D79">
              <w:rPr>
                <w:rFonts w:ascii="Verdana" w:hAnsi="Verdana"/>
                <w:b/>
                <w:noProof/>
                <w:sz w:val="22"/>
                <w:szCs w:val="22"/>
                <w:lang w:val="tr-TR"/>
              </w:rPr>
              <w:t>Değerlendirme/Bilgi Kontrolü</w:t>
            </w:r>
          </w:p>
          <w:p w14:paraId="4496975B" w14:textId="5F96E6E0" w:rsidR="00CF141D" w:rsidRPr="000E3D79" w:rsidRDefault="00CF141D" w:rsidP="000E3D79">
            <w:pPr>
              <w:spacing w:before="120" w:after="120" w:line="260" w:lineRule="atLeast"/>
              <w:rPr>
                <w:rFonts w:ascii="Verdana" w:hAnsi="Verdana"/>
                <w:noProof/>
                <w:sz w:val="18"/>
                <w:szCs w:val="18"/>
                <w:lang w:val="tr-TR"/>
              </w:rPr>
            </w:pPr>
            <w:r w:rsidRPr="000E3D79">
              <w:rPr>
                <w:rFonts w:ascii="Verdana" w:hAnsi="Verdana"/>
                <w:noProof/>
                <w:color w:val="000000" w:themeColor="text1"/>
                <w:sz w:val="18"/>
                <w:szCs w:val="18"/>
                <w:lang w:val="tr-TR"/>
              </w:rPr>
              <w:t xml:space="preserve">Bu oturum için bilgi kontrolü veya değerlendirme </w:t>
            </w:r>
            <w:r w:rsidR="006356F9" w:rsidRPr="000E3D79">
              <w:rPr>
                <w:rFonts w:ascii="Verdana" w:hAnsi="Verdana"/>
                <w:noProof/>
                <w:color w:val="000000" w:themeColor="text1"/>
                <w:sz w:val="18"/>
                <w:szCs w:val="18"/>
                <w:lang w:val="tr-TR"/>
              </w:rPr>
              <w:t>istenmemiştir</w:t>
            </w:r>
            <w:r w:rsidRPr="000E3D79">
              <w:rPr>
                <w:rFonts w:ascii="Verdana" w:hAnsi="Verdana"/>
                <w:noProof/>
                <w:color w:val="000000" w:themeColor="text1"/>
                <w:sz w:val="18"/>
                <w:szCs w:val="18"/>
                <w:lang w:val="tr-TR"/>
              </w:rPr>
              <w:t>.</w:t>
            </w:r>
          </w:p>
        </w:tc>
      </w:tr>
    </w:tbl>
    <w:p w14:paraId="15498912" w14:textId="77777777" w:rsidR="00D82C18" w:rsidRPr="000E3D79" w:rsidRDefault="00D82C18" w:rsidP="000E3D79">
      <w:pPr>
        <w:spacing w:before="120" w:after="120" w:line="260" w:lineRule="atLeast"/>
        <w:rPr>
          <w:rFonts w:ascii="Verdana" w:hAnsi="Verdana"/>
          <w:noProof/>
          <w:lang w:val="tr-TR"/>
        </w:rPr>
      </w:pPr>
    </w:p>
    <w:sectPr w:rsidR="00D82C18" w:rsidRPr="000E3D79"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9"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CCA1946"/>
    <w:multiLevelType w:val="hybridMultilevel"/>
    <w:tmpl w:val="345AB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num>
  <w:num w:numId="3">
    <w:abstractNumId w:val="12"/>
  </w:num>
  <w:num w:numId="4">
    <w:abstractNumId w:val="10"/>
  </w:num>
  <w:num w:numId="5">
    <w:abstractNumId w:val="11"/>
  </w:num>
  <w:num w:numId="6">
    <w:abstractNumId w:val="20"/>
  </w:num>
  <w:num w:numId="7">
    <w:abstractNumId w:val="6"/>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8"/>
  </w:num>
  <w:num w:numId="10">
    <w:abstractNumId w:val="3"/>
  </w:num>
  <w:num w:numId="11">
    <w:abstractNumId w:val="13"/>
  </w:num>
  <w:num w:numId="12">
    <w:abstractNumId w:val="17"/>
  </w:num>
  <w:num w:numId="13">
    <w:abstractNumId w:val="4"/>
  </w:num>
  <w:num w:numId="14">
    <w:abstractNumId w:val="8"/>
  </w:num>
  <w:num w:numId="15">
    <w:abstractNumId w:val="16"/>
  </w:num>
  <w:num w:numId="16">
    <w:abstractNumId w:val="1"/>
  </w:num>
  <w:num w:numId="17">
    <w:abstractNumId w:val="2"/>
  </w:num>
  <w:num w:numId="18">
    <w:abstractNumId w:val="19"/>
  </w:num>
  <w:num w:numId="19">
    <w:abstractNumId w:val="14"/>
  </w:num>
  <w:num w:numId="20">
    <w:abstractNumId w:val="5"/>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6EAD"/>
    <w:rsid w:val="000668D4"/>
    <w:rsid w:val="000C40EE"/>
    <w:rsid w:val="000E3D79"/>
    <w:rsid w:val="000F7896"/>
    <w:rsid w:val="00133F71"/>
    <w:rsid w:val="00151E6A"/>
    <w:rsid w:val="00190DEF"/>
    <w:rsid w:val="001D603D"/>
    <w:rsid w:val="002239CE"/>
    <w:rsid w:val="0023008E"/>
    <w:rsid w:val="00260809"/>
    <w:rsid w:val="00271010"/>
    <w:rsid w:val="002E3ECE"/>
    <w:rsid w:val="002F3B54"/>
    <w:rsid w:val="003334DC"/>
    <w:rsid w:val="0034224C"/>
    <w:rsid w:val="00342639"/>
    <w:rsid w:val="003453F7"/>
    <w:rsid w:val="003630ED"/>
    <w:rsid w:val="003966F1"/>
    <w:rsid w:val="003A435F"/>
    <w:rsid w:val="003B34C4"/>
    <w:rsid w:val="003C18E3"/>
    <w:rsid w:val="003F6587"/>
    <w:rsid w:val="00450007"/>
    <w:rsid w:val="0045500D"/>
    <w:rsid w:val="00457DD3"/>
    <w:rsid w:val="004B7351"/>
    <w:rsid w:val="004D35F1"/>
    <w:rsid w:val="004D7F59"/>
    <w:rsid w:val="004F0D12"/>
    <w:rsid w:val="00537B8F"/>
    <w:rsid w:val="00556D69"/>
    <w:rsid w:val="005703B7"/>
    <w:rsid w:val="005A4E47"/>
    <w:rsid w:val="005C0A4A"/>
    <w:rsid w:val="005D4432"/>
    <w:rsid w:val="005D7794"/>
    <w:rsid w:val="005F709E"/>
    <w:rsid w:val="00623110"/>
    <w:rsid w:val="006356F9"/>
    <w:rsid w:val="00636AFC"/>
    <w:rsid w:val="0064085A"/>
    <w:rsid w:val="006527C6"/>
    <w:rsid w:val="006B6FDF"/>
    <w:rsid w:val="006F1F03"/>
    <w:rsid w:val="007434A9"/>
    <w:rsid w:val="0075334E"/>
    <w:rsid w:val="00762C53"/>
    <w:rsid w:val="007678A6"/>
    <w:rsid w:val="00773F6C"/>
    <w:rsid w:val="0080315D"/>
    <w:rsid w:val="008147B2"/>
    <w:rsid w:val="00844FBF"/>
    <w:rsid w:val="008817F1"/>
    <w:rsid w:val="008A3D7A"/>
    <w:rsid w:val="008A4C93"/>
    <w:rsid w:val="008D0558"/>
    <w:rsid w:val="008E3099"/>
    <w:rsid w:val="008E3FE7"/>
    <w:rsid w:val="009158AB"/>
    <w:rsid w:val="00940497"/>
    <w:rsid w:val="00951791"/>
    <w:rsid w:val="009D1DB1"/>
    <w:rsid w:val="009F336B"/>
    <w:rsid w:val="00A03CF0"/>
    <w:rsid w:val="00A31FA0"/>
    <w:rsid w:val="00A342ED"/>
    <w:rsid w:val="00A4110D"/>
    <w:rsid w:val="00A60446"/>
    <w:rsid w:val="00A734A5"/>
    <w:rsid w:val="00A76996"/>
    <w:rsid w:val="00AA5742"/>
    <w:rsid w:val="00AB07AA"/>
    <w:rsid w:val="00AE5CF6"/>
    <w:rsid w:val="00B12567"/>
    <w:rsid w:val="00B3608C"/>
    <w:rsid w:val="00B40FCA"/>
    <w:rsid w:val="00B56791"/>
    <w:rsid w:val="00B7220B"/>
    <w:rsid w:val="00BB034D"/>
    <w:rsid w:val="00BB2DA9"/>
    <w:rsid w:val="00BD7897"/>
    <w:rsid w:val="00BF1AA5"/>
    <w:rsid w:val="00C115FC"/>
    <w:rsid w:val="00C541A2"/>
    <w:rsid w:val="00C745F7"/>
    <w:rsid w:val="00CB02C4"/>
    <w:rsid w:val="00CB3026"/>
    <w:rsid w:val="00CC1F79"/>
    <w:rsid w:val="00CC2222"/>
    <w:rsid w:val="00CF141D"/>
    <w:rsid w:val="00D10CB9"/>
    <w:rsid w:val="00D52F56"/>
    <w:rsid w:val="00D606A3"/>
    <w:rsid w:val="00D62E5F"/>
    <w:rsid w:val="00D82C18"/>
    <w:rsid w:val="00E13BE7"/>
    <w:rsid w:val="00E7344B"/>
    <w:rsid w:val="00E93C61"/>
    <w:rsid w:val="00E95703"/>
    <w:rsid w:val="00EE1E16"/>
    <w:rsid w:val="00F1338F"/>
    <w:rsid w:val="00F1574D"/>
    <w:rsid w:val="00F504D6"/>
    <w:rsid w:val="00F62A15"/>
    <w:rsid w:val="00F650D1"/>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A4A"/>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4F0D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0D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1477</Words>
  <Characters>8423</Characters>
  <Application>Microsoft Office Word</Application>
  <DocSecurity>0</DocSecurity>
  <Lines>70</Lines>
  <Paragraphs>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10</cp:revision>
  <dcterms:created xsi:type="dcterms:W3CDTF">2021-04-08T10:56:00Z</dcterms:created>
  <dcterms:modified xsi:type="dcterms:W3CDTF">2021-05-04T11:51:00Z</dcterms:modified>
</cp:coreProperties>
</file>