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F7B786" w14:textId="77777777" w:rsidR="00164D60" w:rsidRPr="00FB26C9" w:rsidRDefault="00164D60" w:rsidP="00FB26C9">
      <w:pPr>
        <w:spacing w:before="120" w:after="120" w:line="260" w:lineRule="atLeast"/>
        <w:rPr>
          <w:rFonts w:ascii="Verdana" w:eastAsia="Calibri" w:hAnsi="Verdana" w:cs="Times New Roman"/>
          <w:sz w:val="24"/>
          <w:szCs w:val="24"/>
        </w:rPr>
      </w:pPr>
      <w:r w:rsidRPr="00FB26C9">
        <w:rPr>
          <w:rFonts w:ascii="Verdana" w:eastAsia="Calibri" w:hAnsi="Verdana" w:cs="Times New Roman"/>
          <w:b/>
          <w:bCs/>
          <w:sz w:val="28"/>
          <w:szCs w:val="28"/>
        </w:rPr>
        <w:t>Ders</w:t>
      </w:r>
      <w:r w:rsidR="00B5480A" w:rsidRPr="00FB26C9">
        <w:rPr>
          <w:rFonts w:ascii="Verdana" w:eastAsia="Calibri" w:hAnsi="Verdana" w:cs="Times New Roman"/>
          <w:b/>
          <w:bCs/>
          <w:sz w:val="28"/>
          <w:szCs w:val="28"/>
        </w:rPr>
        <w:t xml:space="preserve"> 1.3</w:t>
      </w:r>
      <w:r w:rsidRPr="00FB26C9">
        <w:rPr>
          <w:rFonts w:ascii="Verdana" w:eastAsia="Calibri" w:hAnsi="Verdana" w:cs="Times New Roman"/>
          <w:b/>
          <w:bCs/>
          <w:sz w:val="28"/>
          <w:szCs w:val="28"/>
        </w:rPr>
        <w:t xml:space="preserve"> </w:t>
      </w:r>
      <w:r w:rsidR="00F2276A" w:rsidRPr="00FB26C9">
        <w:rPr>
          <w:rFonts w:ascii="Verdana" w:eastAsia="Calibri" w:hAnsi="Verdana" w:cs="Times New Roman"/>
          <w:b/>
          <w:bCs/>
          <w:sz w:val="28"/>
          <w:szCs w:val="28"/>
        </w:rPr>
        <w:t xml:space="preserve">Siber Suç ve Elektronik Delillerle ilgili Uluslararası İşbirliğine ilişkin Hukuki Çerçeve </w:t>
      </w:r>
      <w:r w:rsidR="00B5480A" w:rsidRPr="00FB26C9">
        <w:rPr>
          <w:rFonts w:ascii="Verdana" w:eastAsia="Calibri" w:hAnsi="Verdana" w:cs="Times New Roman"/>
          <w:b/>
          <w:bCs/>
          <w:sz w:val="28"/>
          <w:szCs w:val="28"/>
        </w:rPr>
        <w:t>(çevrimiçi sürüm)</w:t>
      </w:r>
    </w:p>
    <w:p w14:paraId="6748562F" w14:textId="77777777" w:rsidR="00164D60" w:rsidRPr="00FB26C9" w:rsidRDefault="00164D60" w:rsidP="00FB26C9">
      <w:pPr>
        <w:spacing w:before="120" w:after="120" w:line="260" w:lineRule="atLeast"/>
        <w:ind w:left="360"/>
        <w:rPr>
          <w:rFonts w:ascii="Verdana" w:eastAsia="Calibri" w:hAnsi="Verdana" w:cs="Times New Roman"/>
          <w:sz w:val="24"/>
          <w:szCs w:val="24"/>
        </w:rPr>
      </w:pPr>
    </w:p>
    <w:tbl>
      <w:tblPr>
        <w:tblStyle w:val="TableGrid"/>
        <w:tblW w:w="0" w:type="auto"/>
        <w:tblLayout w:type="fixed"/>
        <w:tblLook w:val="04A0" w:firstRow="1" w:lastRow="0" w:firstColumn="1" w:lastColumn="0" w:noHBand="0" w:noVBand="1"/>
      </w:tblPr>
      <w:tblGrid>
        <w:gridCol w:w="1824"/>
        <w:gridCol w:w="5089"/>
        <w:gridCol w:w="2183"/>
      </w:tblGrid>
      <w:tr w:rsidR="00164D60" w:rsidRPr="00FB26C9" w14:paraId="4EBD5EE2" w14:textId="77777777" w:rsidTr="00FB26C9">
        <w:trPr>
          <w:trHeight w:val="621"/>
        </w:trPr>
        <w:tc>
          <w:tcPr>
            <w:tcW w:w="691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D1F465A" w14:textId="77777777" w:rsidR="00164D60" w:rsidRPr="00FB26C9" w:rsidRDefault="00086B79" w:rsidP="00FB26C9">
            <w:pPr>
              <w:spacing w:before="120" w:after="120" w:line="260" w:lineRule="atLeast"/>
              <w:rPr>
                <w:rFonts w:ascii="Verdana" w:hAnsi="Verdana"/>
                <w:lang w:val="tr-TR"/>
              </w:rPr>
            </w:pPr>
            <w:r w:rsidRPr="00FB26C9">
              <w:rPr>
                <w:rFonts w:ascii="Verdana" w:hAnsi="Verdana"/>
                <w:lang w:val="tr-TR"/>
              </w:rPr>
              <w:t>Ders</w:t>
            </w:r>
            <w:r w:rsidR="00164D60" w:rsidRPr="00FB26C9">
              <w:rPr>
                <w:rFonts w:ascii="Verdana" w:hAnsi="Verdana"/>
                <w:lang w:val="tr-TR"/>
              </w:rPr>
              <w:t xml:space="preserve"> 1.</w:t>
            </w:r>
            <w:r w:rsidR="00B5480A" w:rsidRPr="00FB26C9">
              <w:rPr>
                <w:rFonts w:ascii="Verdana" w:hAnsi="Verdana"/>
                <w:lang w:val="tr-TR"/>
              </w:rPr>
              <w:t>3</w:t>
            </w:r>
            <w:r w:rsidR="00164D60" w:rsidRPr="00FB26C9">
              <w:rPr>
                <w:rFonts w:ascii="Verdana" w:hAnsi="Verdana"/>
                <w:lang w:val="tr-TR"/>
              </w:rPr>
              <w:t xml:space="preserve"> </w:t>
            </w:r>
            <w:r w:rsidR="00F2276A" w:rsidRPr="00FB26C9">
              <w:rPr>
                <w:rFonts w:ascii="Verdana" w:hAnsi="Verdana"/>
                <w:lang w:val="tr-TR"/>
              </w:rPr>
              <w:t xml:space="preserve">Siber Suç ve Elektronik Delillerle ilgili Uluslararası İşbirliğine ilişkin Hukuki Çerçeve </w:t>
            </w:r>
            <w:r w:rsidR="00B5480A" w:rsidRPr="00FB26C9">
              <w:rPr>
                <w:rFonts w:ascii="Verdana" w:hAnsi="Verdana"/>
                <w:lang w:val="tr-TR"/>
              </w:rPr>
              <w:t>(çevrim</w:t>
            </w:r>
            <w:r w:rsidR="004217CF" w:rsidRPr="00FB26C9">
              <w:rPr>
                <w:rFonts w:ascii="Verdana" w:hAnsi="Verdana"/>
                <w:lang w:val="tr-TR"/>
              </w:rPr>
              <w:t xml:space="preserve"> </w:t>
            </w:r>
            <w:r w:rsidR="00B5480A" w:rsidRPr="00FB26C9">
              <w:rPr>
                <w:rFonts w:ascii="Verdana" w:hAnsi="Verdana"/>
                <w:lang w:val="tr-TR"/>
              </w:rPr>
              <w:t>içi sürüm)</w:t>
            </w:r>
          </w:p>
        </w:tc>
        <w:tc>
          <w:tcPr>
            <w:tcW w:w="21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3DADF83" w14:textId="77777777" w:rsidR="00164D60" w:rsidRPr="00FB26C9" w:rsidRDefault="00086B79" w:rsidP="00FB26C9">
            <w:pPr>
              <w:spacing w:before="120" w:after="120" w:line="260" w:lineRule="atLeast"/>
              <w:rPr>
                <w:rFonts w:ascii="Verdana" w:hAnsi="Verdana"/>
                <w:lang w:val="tr-TR"/>
              </w:rPr>
            </w:pPr>
            <w:r w:rsidRPr="00FB26C9">
              <w:rPr>
                <w:rFonts w:ascii="Verdana" w:hAnsi="Verdana"/>
                <w:lang w:val="tr-TR"/>
              </w:rPr>
              <w:t>Süre</w:t>
            </w:r>
            <w:r w:rsidR="00164D60" w:rsidRPr="00FB26C9">
              <w:rPr>
                <w:rFonts w:ascii="Verdana" w:hAnsi="Verdana"/>
                <w:lang w:val="tr-TR"/>
              </w:rPr>
              <w:t xml:space="preserve">: </w:t>
            </w:r>
            <w:r w:rsidR="00B5480A" w:rsidRPr="00FB26C9">
              <w:rPr>
                <w:rFonts w:ascii="Verdana" w:hAnsi="Verdana"/>
                <w:color w:val="000000"/>
                <w:lang w:val="tr-TR"/>
              </w:rPr>
              <w:t>6</w:t>
            </w:r>
            <w:r w:rsidRPr="00FB26C9">
              <w:rPr>
                <w:rFonts w:ascii="Verdana" w:hAnsi="Verdana"/>
                <w:color w:val="000000"/>
                <w:lang w:val="tr-TR"/>
              </w:rPr>
              <w:t>0 dakika</w:t>
            </w:r>
            <w:r w:rsidR="00164D60" w:rsidRPr="00FB26C9">
              <w:rPr>
                <w:rFonts w:ascii="Verdana" w:hAnsi="Verdana"/>
                <w:color w:val="000000"/>
                <w:lang w:val="tr-TR"/>
              </w:rPr>
              <w:t xml:space="preserve"> </w:t>
            </w:r>
          </w:p>
        </w:tc>
      </w:tr>
      <w:tr w:rsidR="00164D60" w:rsidRPr="00FB26C9" w14:paraId="2DB81DCE" w14:textId="77777777" w:rsidTr="00FB26C9">
        <w:trPr>
          <w:trHeight w:val="1230"/>
        </w:trPr>
        <w:tc>
          <w:tcPr>
            <w:tcW w:w="9096" w:type="dxa"/>
            <w:gridSpan w:val="3"/>
            <w:tcBorders>
              <w:top w:val="single" w:sz="4" w:space="0" w:color="auto"/>
              <w:left w:val="single" w:sz="4" w:space="0" w:color="auto"/>
              <w:bottom w:val="single" w:sz="4" w:space="0" w:color="auto"/>
              <w:right w:val="single" w:sz="4" w:space="0" w:color="auto"/>
            </w:tcBorders>
            <w:vAlign w:val="center"/>
            <w:hideMark/>
          </w:tcPr>
          <w:p w14:paraId="51EDEA14" w14:textId="77777777" w:rsidR="00164D60" w:rsidRPr="00FB26C9" w:rsidRDefault="000821F5" w:rsidP="00FB26C9">
            <w:pPr>
              <w:spacing w:before="120" w:after="120" w:line="260" w:lineRule="atLeast"/>
              <w:rPr>
                <w:rFonts w:ascii="Verdana" w:hAnsi="Verdana"/>
                <w:b/>
                <w:lang w:val="tr-TR"/>
              </w:rPr>
            </w:pPr>
            <w:r w:rsidRPr="00FB26C9">
              <w:rPr>
                <w:rFonts w:ascii="Verdana" w:hAnsi="Verdana"/>
                <w:b/>
                <w:lang w:val="tr-TR"/>
              </w:rPr>
              <w:t>Gerekli Kaynaklar</w:t>
            </w:r>
            <w:r w:rsidR="00164D60" w:rsidRPr="00FB26C9">
              <w:rPr>
                <w:rFonts w:ascii="Verdana" w:hAnsi="Verdana"/>
                <w:b/>
                <w:lang w:val="tr-TR"/>
              </w:rPr>
              <w:t xml:space="preserve">: </w:t>
            </w:r>
          </w:p>
          <w:p w14:paraId="2F39E346" w14:textId="77777777" w:rsidR="00164D60" w:rsidRPr="00FB26C9" w:rsidRDefault="00086B79" w:rsidP="00FB26C9">
            <w:pPr>
              <w:numPr>
                <w:ilvl w:val="0"/>
                <w:numId w:val="1"/>
              </w:numPr>
              <w:spacing w:before="120" w:after="120" w:line="260" w:lineRule="atLeast"/>
              <w:jc w:val="both"/>
              <w:rPr>
                <w:rFonts w:ascii="Verdana" w:hAnsi="Verdana"/>
                <w:sz w:val="18"/>
                <w:lang w:val="tr-TR" w:eastAsia="de-DE"/>
              </w:rPr>
            </w:pPr>
            <w:r w:rsidRPr="00FB26C9">
              <w:rPr>
                <w:rFonts w:ascii="Verdana" w:hAnsi="Verdana"/>
                <w:sz w:val="18"/>
                <w:lang w:val="tr-TR" w:eastAsia="de-DE"/>
              </w:rPr>
              <w:t xml:space="preserve">Hazırlanmış Materyallerle uyumlu </w:t>
            </w:r>
            <w:r w:rsidR="00B10BB3" w:rsidRPr="00FB26C9">
              <w:rPr>
                <w:rFonts w:ascii="Verdana" w:hAnsi="Verdana"/>
                <w:sz w:val="18"/>
                <w:lang w:val="tr-TR" w:eastAsia="de-DE"/>
              </w:rPr>
              <w:t>yazılım sürümlerinin</w:t>
            </w:r>
            <w:r w:rsidRPr="00FB26C9">
              <w:rPr>
                <w:rFonts w:ascii="Verdana" w:hAnsi="Verdana"/>
                <w:sz w:val="18"/>
                <w:lang w:val="tr-TR" w:eastAsia="de-DE"/>
              </w:rPr>
              <w:t xml:space="preserve"> yüklü olduğu </w:t>
            </w:r>
            <w:r w:rsidR="00164D60" w:rsidRPr="00FB26C9">
              <w:rPr>
                <w:rFonts w:ascii="Verdana" w:hAnsi="Verdana"/>
                <w:sz w:val="18"/>
                <w:lang w:val="tr-TR" w:eastAsia="de-DE"/>
              </w:rPr>
              <w:t>PC/</w:t>
            </w:r>
            <w:r w:rsidR="00CF460F" w:rsidRPr="00FB26C9">
              <w:rPr>
                <w:rFonts w:ascii="Verdana" w:hAnsi="Verdana"/>
                <w:sz w:val="18"/>
                <w:lang w:val="tr-TR" w:eastAsia="de-DE"/>
              </w:rPr>
              <w:t>dizüstü bilgisayar (Laptop)</w:t>
            </w:r>
          </w:p>
          <w:p w14:paraId="5AD0BE62" w14:textId="77777777" w:rsidR="00164D60" w:rsidRPr="00FB26C9" w:rsidRDefault="00086B79" w:rsidP="00FB26C9">
            <w:pPr>
              <w:numPr>
                <w:ilvl w:val="0"/>
                <w:numId w:val="1"/>
              </w:numPr>
              <w:spacing w:before="120" w:after="120" w:line="260" w:lineRule="atLeast"/>
              <w:jc w:val="both"/>
              <w:rPr>
                <w:rFonts w:ascii="Verdana" w:hAnsi="Verdana"/>
                <w:sz w:val="18"/>
                <w:lang w:val="tr-TR" w:eastAsia="de-DE"/>
              </w:rPr>
            </w:pPr>
            <w:r w:rsidRPr="00FB26C9">
              <w:rPr>
                <w:rFonts w:ascii="Verdana" w:hAnsi="Verdana"/>
                <w:sz w:val="18"/>
                <w:lang w:val="tr-TR" w:eastAsia="de-DE"/>
              </w:rPr>
              <w:t>İnternet erişimi</w:t>
            </w:r>
            <w:r w:rsidR="00164D60" w:rsidRPr="00FB26C9">
              <w:rPr>
                <w:rFonts w:ascii="Verdana" w:hAnsi="Verdana"/>
                <w:sz w:val="18"/>
                <w:lang w:val="tr-TR" w:eastAsia="de-DE"/>
              </w:rPr>
              <w:t xml:space="preserve"> </w:t>
            </w:r>
          </w:p>
          <w:p w14:paraId="15249A29" w14:textId="77777777" w:rsidR="00164D60" w:rsidRPr="00FB26C9" w:rsidRDefault="00164D60" w:rsidP="00FB26C9">
            <w:pPr>
              <w:numPr>
                <w:ilvl w:val="0"/>
                <w:numId w:val="1"/>
              </w:numPr>
              <w:spacing w:before="120" w:after="120" w:line="260" w:lineRule="atLeast"/>
              <w:jc w:val="both"/>
              <w:rPr>
                <w:rFonts w:ascii="Verdana" w:hAnsi="Verdana"/>
                <w:sz w:val="18"/>
                <w:lang w:val="tr-TR" w:eastAsia="de-DE"/>
              </w:rPr>
            </w:pPr>
            <w:r w:rsidRPr="00FB26C9">
              <w:rPr>
                <w:rFonts w:ascii="Verdana" w:hAnsi="Verdana"/>
                <w:sz w:val="18"/>
                <w:lang w:val="tr-TR" w:eastAsia="de-DE"/>
              </w:rPr>
              <w:t>PowerPoin</w:t>
            </w:r>
            <w:r w:rsidR="00086B79" w:rsidRPr="00FB26C9">
              <w:rPr>
                <w:rFonts w:ascii="Verdana" w:hAnsi="Verdana"/>
                <w:sz w:val="18"/>
                <w:lang w:val="tr-TR" w:eastAsia="de-DE"/>
              </w:rPr>
              <w:t xml:space="preserve">t </w:t>
            </w:r>
            <w:r w:rsidR="000821F5" w:rsidRPr="00FB26C9">
              <w:rPr>
                <w:rFonts w:ascii="Verdana" w:hAnsi="Verdana"/>
                <w:sz w:val="18"/>
                <w:lang w:val="tr-TR" w:eastAsia="de-DE"/>
              </w:rPr>
              <w:t>veya</w:t>
            </w:r>
            <w:r w:rsidR="00086B79" w:rsidRPr="00FB26C9">
              <w:rPr>
                <w:rFonts w:ascii="Verdana" w:hAnsi="Verdana"/>
                <w:sz w:val="18"/>
                <w:lang w:val="tr-TR" w:eastAsia="de-DE"/>
              </w:rPr>
              <w:t xml:space="preserve"> diğer sunum yazılımları</w:t>
            </w:r>
          </w:p>
          <w:p w14:paraId="383AC13B" w14:textId="77777777" w:rsidR="00B5480A" w:rsidRPr="00FB26C9" w:rsidRDefault="00B5480A" w:rsidP="00FB26C9">
            <w:pPr>
              <w:pStyle w:val="bul1"/>
              <w:numPr>
                <w:ilvl w:val="0"/>
                <w:numId w:val="1"/>
              </w:numPr>
              <w:spacing w:before="120" w:after="120" w:line="260" w:lineRule="atLeast"/>
              <w:rPr>
                <w:lang w:val="tr-TR"/>
              </w:rPr>
            </w:pPr>
            <w:r w:rsidRPr="00FB26C9">
              <w:rPr>
                <w:lang w:val="tr-TR"/>
              </w:rPr>
              <w:t>Video konferans yazılımı</w:t>
            </w:r>
          </w:p>
          <w:p w14:paraId="4113BFF6" w14:textId="77777777" w:rsidR="00164D60" w:rsidRPr="00FB26C9" w:rsidRDefault="00B10BB3" w:rsidP="00FB26C9">
            <w:pPr>
              <w:numPr>
                <w:ilvl w:val="0"/>
                <w:numId w:val="1"/>
              </w:numPr>
              <w:spacing w:before="120" w:after="120" w:line="260" w:lineRule="atLeast"/>
              <w:jc w:val="both"/>
              <w:rPr>
                <w:rFonts w:ascii="Verdana" w:hAnsi="Verdana"/>
                <w:sz w:val="18"/>
                <w:lang w:val="tr-TR" w:eastAsia="de-DE"/>
              </w:rPr>
            </w:pPr>
            <w:r w:rsidRPr="00FB26C9">
              <w:rPr>
                <w:rFonts w:ascii="Verdana" w:hAnsi="Verdana"/>
                <w:sz w:val="18"/>
                <w:lang w:val="tr-TR" w:eastAsia="de-DE"/>
              </w:rPr>
              <w:t xml:space="preserve">Katılımcılar için Budapeşte Sözleşmesinin </w:t>
            </w:r>
            <w:r w:rsidR="000821F5" w:rsidRPr="00FB26C9">
              <w:rPr>
                <w:rFonts w:ascii="Verdana" w:hAnsi="Verdana"/>
                <w:sz w:val="18"/>
                <w:lang w:val="tr-TR" w:eastAsia="de-DE"/>
              </w:rPr>
              <w:t xml:space="preserve">bir </w:t>
            </w:r>
            <w:r w:rsidRPr="00FB26C9">
              <w:rPr>
                <w:rFonts w:ascii="Verdana" w:hAnsi="Verdana"/>
                <w:sz w:val="18"/>
                <w:lang w:val="tr-TR" w:eastAsia="de-DE"/>
              </w:rPr>
              <w:t>örneği</w:t>
            </w:r>
            <w:r w:rsidR="00164D60" w:rsidRPr="00FB26C9">
              <w:rPr>
                <w:rFonts w:ascii="Verdana" w:hAnsi="Verdana"/>
                <w:sz w:val="18"/>
                <w:lang w:val="tr-TR" w:eastAsia="de-DE"/>
              </w:rPr>
              <w:t xml:space="preserve"> </w:t>
            </w:r>
          </w:p>
        </w:tc>
      </w:tr>
      <w:tr w:rsidR="00164D60" w:rsidRPr="00FB26C9" w14:paraId="433D305E" w14:textId="77777777" w:rsidTr="00FB26C9">
        <w:trPr>
          <w:trHeight w:val="915"/>
        </w:trPr>
        <w:tc>
          <w:tcPr>
            <w:tcW w:w="9096" w:type="dxa"/>
            <w:gridSpan w:val="3"/>
            <w:tcBorders>
              <w:top w:val="single" w:sz="4" w:space="0" w:color="auto"/>
              <w:left w:val="single" w:sz="4" w:space="0" w:color="auto"/>
              <w:bottom w:val="single" w:sz="4" w:space="0" w:color="auto"/>
              <w:right w:val="single" w:sz="4" w:space="0" w:color="auto"/>
            </w:tcBorders>
            <w:vAlign w:val="center"/>
            <w:hideMark/>
          </w:tcPr>
          <w:p w14:paraId="0B5C2EB9" w14:textId="77777777" w:rsidR="00164D60" w:rsidRPr="00FB26C9" w:rsidRDefault="00B10BB3" w:rsidP="00FB26C9">
            <w:pPr>
              <w:spacing w:before="120" w:after="120" w:line="260" w:lineRule="atLeast"/>
              <w:rPr>
                <w:rFonts w:ascii="Verdana" w:hAnsi="Verdana"/>
                <w:b/>
                <w:lang w:val="tr-TR"/>
              </w:rPr>
            </w:pPr>
            <w:r w:rsidRPr="00FB26C9">
              <w:rPr>
                <w:rFonts w:ascii="Verdana" w:hAnsi="Verdana"/>
                <w:b/>
                <w:lang w:val="tr-TR"/>
              </w:rPr>
              <w:t>Oturumun Amacı</w:t>
            </w:r>
            <w:r w:rsidR="00164D60" w:rsidRPr="00FB26C9">
              <w:rPr>
                <w:rFonts w:ascii="Verdana" w:hAnsi="Verdana"/>
                <w:b/>
                <w:lang w:val="tr-TR"/>
              </w:rPr>
              <w:t xml:space="preserve">:  </w:t>
            </w:r>
          </w:p>
          <w:p w14:paraId="6A791C3D" w14:textId="77777777" w:rsidR="00164D60" w:rsidRPr="00FB26C9" w:rsidRDefault="00B10BB3" w:rsidP="00FB26C9">
            <w:pPr>
              <w:spacing w:before="120" w:after="120" w:line="260" w:lineRule="atLeast"/>
              <w:jc w:val="both"/>
              <w:rPr>
                <w:rFonts w:ascii="Verdana" w:hAnsi="Verdana"/>
                <w:i/>
                <w:color w:val="FF0000"/>
                <w:sz w:val="18"/>
                <w:szCs w:val="18"/>
                <w:lang w:val="tr-TR"/>
              </w:rPr>
            </w:pPr>
            <w:r w:rsidRPr="00FB26C9">
              <w:rPr>
                <w:rFonts w:ascii="Verdana" w:hAnsi="Verdana" w:cs="Arial"/>
                <w:iCs/>
                <w:sz w:val="18"/>
                <w:szCs w:val="18"/>
                <w:lang w:val="tr-TR"/>
              </w:rPr>
              <w:t xml:space="preserve">Bu oturumun amacı siber </w:t>
            </w:r>
            <w:r w:rsidR="00394B4E" w:rsidRPr="00FB26C9">
              <w:rPr>
                <w:rFonts w:ascii="Verdana" w:hAnsi="Verdana" w:cs="Arial"/>
                <w:iCs/>
                <w:sz w:val="18"/>
                <w:szCs w:val="18"/>
                <w:lang w:val="tr-TR"/>
              </w:rPr>
              <w:t xml:space="preserve">suçun </w:t>
            </w:r>
            <w:r w:rsidRPr="00FB26C9">
              <w:rPr>
                <w:rFonts w:ascii="Verdana" w:hAnsi="Verdana" w:cs="Arial"/>
                <w:iCs/>
                <w:sz w:val="18"/>
                <w:szCs w:val="18"/>
                <w:lang w:val="tr-TR"/>
              </w:rPr>
              <w:t xml:space="preserve">ne olduğu, </w:t>
            </w:r>
            <w:r w:rsidR="00066B87" w:rsidRPr="00FB26C9">
              <w:rPr>
                <w:rFonts w:ascii="Verdana" w:hAnsi="Verdana" w:cs="Arial"/>
                <w:iCs/>
                <w:sz w:val="18"/>
                <w:szCs w:val="18"/>
                <w:lang w:val="tr-TR"/>
              </w:rPr>
              <w:t xml:space="preserve">Budapeşte sözleşmesinin </w:t>
            </w:r>
            <w:r w:rsidR="00A8654C" w:rsidRPr="00FB26C9">
              <w:rPr>
                <w:rFonts w:ascii="Verdana" w:hAnsi="Verdana" w:cs="Arial"/>
                <w:iCs/>
                <w:sz w:val="18"/>
                <w:szCs w:val="18"/>
                <w:lang w:val="tr-TR"/>
              </w:rPr>
              <w:t>maddi ceza</w:t>
            </w:r>
            <w:r w:rsidR="00066B87" w:rsidRPr="00FB26C9">
              <w:rPr>
                <w:rFonts w:ascii="Verdana" w:hAnsi="Verdana" w:cs="Arial"/>
                <w:iCs/>
                <w:sz w:val="18"/>
                <w:szCs w:val="18"/>
                <w:lang w:val="tr-TR"/>
              </w:rPr>
              <w:t xml:space="preserve"> hukuk</w:t>
            </w:r>
            <w:r w:rsidR="00A8654C" w:rsidRPr="00FB26C9">
              <w:rPr>
                <w:rFonts w:ascii="Verdana" w:hAnsi="Verdana" w:cs="Arial"/>
                <w:iCs/>
                <w:sz w:val="18"/>
                <w:szCs w:val="18"/>
                <w:lang w:val="tr-TR"/>
              </w:rPr>
              <w:t>u</w:t>
            </w:r>
            <w:r w:rsidR="00066B87" w:rsidRPr="00FB26C9">
              <w:rPr>
                <w:rFonts w:ascii="Verdana" w:hAnsi="Verdana" w:cs="Arial"/>
                <w:iCs/>
                <w:sz w:val="18"/>
                <w:szCs w:val="18"/>
                <w:lang w:val="tr-TR"/>
              </w:rPr>
              <w:t xml:space="preserve"> ve</w:t>
            </w:r>
            <w:r w:rsidR="00C47155" w:rsidRPr="00FB26C9">
              <w:rPr>
                <w:rFonts w:ascii="Verdana" w:hAnsi="Verdana" w:cs="Arial"/>
                <w:iCs/>
                <w:sz w:val="18"/>
                <w:szCs w:val="18"/>
                <w:lang w:val="tr-TR"/>
              </w:rPr>
              <w:t xml:space="preserve"> usul hukuk</w:t>
            </w:r>
            <w:r w:rsidR="004007E2" w:rsidRPr="00FB26C9">
              <w:rPr>
                <w:rFonts w:ascii="Verdana" w:hAnsi="Verdana" w:cs="Arial"/>
                <w:iCs/>
                <w:sz w:val="18"/>
                <w:szCs w:val="18"/>
                <w:lang w:val="tr-TR"/>
              </w:rPr>
              <w:t xml:space="preserve"> hükümleri</w:t>
            </w:r>
            <w:r w:rsidR="00066B87" w:rsidRPr="00FB26C9">
              <w:rPr>
                <w:rFonts w:ascii="Verdana" w:hAnsi="Verdana" w:cs="Arial"/>
                <w:iCs/>
                <w:sz w:val="18"/>
                <w:szCs w:val="18"/>
                <w:lang w:val="tr-TR"/>
              </w:rPr>
              <w:t>, uluslararası işbirliğine olanak sağlayan çeşitli yasal çerçeveler</w:t>
            </w:r>
            <w:r w:rsidR="0040054A" w:rsidRPr="00FB26C9">
              <w:rPr>
                <w:rFonts w:ascii="Verdana" w:hAnsi="Verdana" w:cs="Arial"/>
                <w:iCs/>
                <w:sz w:val="18"/>
                <w:szCs w:val="18"/>
                <w:lang w:val="tr-TR"/>
              </w:rPr>
              <w:t xml:space="preserve"> hakkında bilgi</w:t>
            </w:r>
            <w:r w:rsidR="00394B4E" w:rsidRPr="00FB26C9">
              <w:rPr>
                <w:rFonts w:ascii="Verdana" w:hAnsi="Verdana" w:cs="Arial"/>
                <w:iCs/>
                <w:sz w:val="18"/>
                <w:szCs w:val="18"/>
                <w:lang w:val="tr-TR"/>
              </w:rPr>
              <w:t>leri hatırlatmak ve</w:t>
            </w:r>
            <w:r w:rsidR="00066B87" w:rsidRPr="00FB26C9">
              <w:rPr>
                <w:rFonts w:ascii="Verdana" w:hAnsi="Verdana" w:cs="Arial"/>
                <w:iCs/>
                <w:sz w:val="18"/>
                <w:szCs w:val="18"/>
                <w:lang w:val="tr-TR"/>
              </w:rPr>
              <w:t xml:space="preserve"> Budapeşte sözleşmesi ve bunun uluslararası işbirliği hükümlerine ve Bud</w:t>
            </w:r>
            <w:r w:rsidR="0040054A" w:rsidRPr="00FB26C9">
              <w:rPr>
                <w:rFonts w:ascii="Verdana" w:hAnsi="Verdana" w:cs="Arial"/>
                <w:iCs/>
                <w:sz w:val="18"/>
                <w:szCs w:val="18"/>
                <w:lang w:val="tr-TR"/>
              </w:rPr>
              <w:t>apeşte Sözleşmesine ek ikinci protokole</w:t>
            </w:r>
            <w:r w:rsidR="00066B87" w:rsidRPr="00FB26C9">
              <w:rPr>
                <w:rFonts w:ascii="Verdana" w:hAnsi="Verdana" w:cs="Arial"/>
                <w:iCs/>
                <w:sz w:val="18"/>
                <w:szCs w:val="18"/>
                <w:lang w:val="tr-TR"/>
              </w:rPr>
              <w:t xml:space="preserve"> ilişkin bir </w:t>
            </w:r>
            <w:r w:rsidR="00394B4E" w:rsidRPr="00FB26C9">
              <w:rPr>
                <w:rFonts w:ascii="Verdana" w:hAnsi="Verdana" w:cs="Arial"/>
                <w:iCs/>
                <w:sz w:val="18"/>
                <w:szCs w:val="18"/>
                <w:lang w:val="tr-TR"/>
              </w:rPr>
              <w:t xml:space="preserve">genel </w:t>
            </w:r>
            <w:r w:rsidR="00066B87" w:rsidRPr="00FB26C9">
              <w:rPr>
                <w:rFonts w:ascii="Verdana" w:hAnsi="Verdana" w:cs="Arial"/>
                <w:iCs/>
                <w:sz w:val="18"/>
                <w:szCs w:val="18"/>
                <w:lang w:val="tr-TR"/>
              </w:rPr>
              <w:t>değerlendirme</w:t>
            </w:r>
            <w:r w:rsidR="00394B4E" w:rsidRPr="00FB26C9">
              <w:rPr>
                <w:rFonts w:ascii="Verdana" w:hAnsi="Verdana" w:cs="Arial"/>
                <w:iCs/>
                <w:sz w:val="18"/>
                <w:szCs w:val="18"/>
                <w:lang w:val="tr-TR"/>
              </w:rPr>
              <w:t xml:space="preserve"> sunmaktır</w:t>
            </w:r>
            <w:r w:rsidR="00066B87" w:rsidRPr="00FB26C9">
              <w:rPr>
                <w:rFonts w:ascii="Verdana" w:hAnsi="Verdana" w:cs="Arial"/>
                <w:iCs/>
                <w:sz w:val="18"/>
                <w:szCs w:val="18"/>
                <w:lang w:val="tr-TR"/>
              </w:rPr>
              <w:t xml:space="preserve">.  </w:t>
            </w:r>
            <w:r w:rsidRPr="00FB26C9">
              <w:rPr>
                <w:rFonts w:ascii="Verdana" w:hAnsi="Verdana" w:cs="Arial"/>
                <w:iCs/>
                <w:sz w:val="18"/>
                <w:szCs w:val="18"/>
                <w:lang w:val="tr-TR"/>
              </w:rPr>
              <w:t xml:space="preserve"> </w:t>
            </w:r>
          </w:p>
        </w:tc>
      </w:tr>
      <w:tr w:rsidR="00164D60" w:rsidRPr="00FB26C9" w14:paraId="2A1F09DF" w14:textId="77777777" w:rsidTr="00FB26C9">
        <w:trPr>
          <w:trHeight w:val="700"/>
        </w:trPr>
        <w:tc>
          <w:tcPr>
            <w:tcW w:w="9096" w:type="dxa"/>
            <w:gridSpan w:val="3"/>
            <w:tcBorders>
              <w:top w:val="single" w:sz="4" w:space="0" w:color="auto"/>
              <w:left w:val="single" w:sz="4" w:space="0" w:color="auto"/>
              <w:bottom w:val="single" w:sz="4" w:space="0" w:color="auto"/>
              <w:right w:val="single" w:sz="4" w:space="0" w:color="auto"/>
            </w:tcBorders>
            <w:vAlign w:val="center"/>
            <w:hideMark/>
          </w:tcPr>
          <w:p w14:paraId="1D7568AE" w14:textId="77777777" w:rsidR="00164D60" w:rsidRPr="00FB26C9" w:rsidRDefault="0040054A" w:rsidP="00FB26C9">
            <w:pPr>
              <w:spacing w:before="120" w:after="120" w:line="260" w:lineRule="atLeast"/>
              <w:contextualSpacing/>
              <w:rPr>
                <w:rFonts w:ascii="Verdana" w:hAnsi="Verdana"/>
                <w:b/>
                <w:lang w:val="tr-TR"/>
              </w:rPr>
            </w:pPr>
            <w:r w:rsidRPr="00FB26C9">
              <w:rPr>
                <w:rFonts w:ascii="Verdana" w:hAnsi="Verdana"/>
                <w:b/>
                <w:lang w:val="tr-TR"/>
              </w:rPr>
              <w:t>Hedefler</w:t>
            </w:r>
            <w:r w:rsidR="00164D60" w:rsidRPr="00FB26C9">
              <w:rPr>
                <w:rFonts w:ascii="Verdana" w:hAnsi="Verdana"/>
                <w:b/>
                <w:lang w:val="tr-TR"/>
              </w:rPr>
              <w:t>:</w:t>
            </w:r>
          </w:p>
          <w:p w14:paraId="3C3DAF95" w14:textId="77777777" w:rsidR="00164D60" w:rsidRPr="00FB26C9" w:rsidRDefault="00394B4E" w:rsidP="00FB26C9">
            <w:pPr>
              <w:tabs>
                <w:tab w:val="left" w:pos="426"/>
                <w:tab w:val="left" w:pos="851"/>
              </w:tabs>
              <w:spacing w:before="120" w:after="120" w:line="260" w:lineRule="atLeast"/>
              <w:rPr>
                <w:rFonts w:ascii="Verdana" w:eastAsia="Times New Roman" w:hAnsi="Verdana"/>
                <w:sz w:val="18"/>
                <w:szCs w:val="18"/>
                <w:lang w:val="tr-TR"/>
              </w:rPr>
            </w:pPr>
            <w:r w:rsidRPr="00FB26C9">
              <w:rPr>
                <w:rFonts w:ascii="Verdana" w:eastAsia="Times New Roman" w:hAnsi="Verdana"/>
                <w:sz w:val="18"/>
                <w:szCs w:val="18"/>
                <w:lang w:val="tr-TR"/>
              </w:rPr>
              <w:t>Bu o</w:t>
            </w:r>
            <w:r w:rsidR="0040054A" w:rsidRPr="00FB26C9">
              <w:rPr>
                <w:rFonts w:ascii="Verdana" w:eastAsia="Times New Roman" w:hAnsi="Verdana"/>
                <w:sz w:val="18"/>
                <w:szCs w:val="18"/>
                <w:lang w:val="tr-TR"/>
              </w:rPr>
              <w:t>turum</w:t>
            </w:r>
            <w:r w:rsidRPr="00FB26C9">
              <w:rPr>
                <w:rFonts w:ascii="Verdana" w:eastAsia="Times New Roman" w:hAnsi="Verdana"/>
                <w:sz w:val="18"/>
                <w:szCs w:val="18"/>
                <w:lang w:val="tr-TR"/>
              </w:rPr>
              <w:t>un sonu itibariyle katılımcılar</w:t>
            </w:r>
            <w:r w:rsidR="0040054A" w:rsidRPr="00FB26C9">
              <w:rPr>
                <w:rFonts w:ascii="Verdana" w:eastAsia="Times New Roman" w:hAnsi="Verdana"/>
                <w:sz w:val="18"/>
                <w:szCs w:val="18"/>
                <w:lang w:val="tr-TR"/>
              </w:rPr>
              <w:t xml:space="preserve">: </w:t>
            </w:r>
          </w:p>
          <w:p w14:paraId="2585AED6" w14:textId="77777777" w:rsidR="00164D60" w:rsidRPr="00FB26C9" w:rsidRDefault="00214389" w:rsidP="00FB26C9">
            <w:pPr>
              <w:numPr>
                <w:ilvl w:val="0"/>
                <w:numId w:val="2"/>
              </w:numPr>
              <w:tabs>
                <w:tab w:val="left" w:pos="426"/>
                <w:tab w:val="left" w:pos="851"/>
              </w:tabs>
              <w:spacing w:before="120" w:after="120" w:line="260" w:lineRule="atLeast"/>
              <w:contextualSpacing/>
              <w:rPr>
                <w:rFonts w:ascii="Verdana" w:hAnsi="Verdana"/>
                <w:sz w:val="18"/>
                <w:szCs w:val="18"/>
                <w:lang w:val="tr-TR"/>
              </w:rPr>
            </w:pPr>
            <w:r w:rsidRPr="00FB26C9">
              <w:rPr>
                <w:rFonts w:ascii="Verdana" w:hAnsi="Verdana"/>
                <w:sz w:val="18"/>
                <w:szCs w:val="18"/>
                <w:lang w:val="tr-TR"/>
              </w:rPr>
              <w:t xml:space="preserve">Siber suçlar ve elektronik </w:t>
            </w:r>
            <w:r w:rsidR="00394B4E" w:rsidRPr="00FB26C9">
              <w:rPr>
                <w:rFonts w:ascii="Verdana" w:hAnsi="Verdana"/>
                <w:sz w:val="18"/>
                <w:szCs w:val="18"/>
                <w:lang w:val="tr-TR"/>
              </w:rPr>
              <w:t xml:space="preserve">delillere </w:t>
            </w:r>
            <w:r w:rsidR="009C223B" w:rsidRPr="00FB26C9">
              <w:rPr>
                <w:rFonts w:ascii="Verdana" w:hAnsi="Verdana"/>
                <w:sz w:val="18"/>
                <w:szCs w:val="18"/>
                <w:lang w:val="tr-TR"/>
              </w:rPr>
              <w:t xml:space="preserve">ilişkin </w:t>
            </w:r>
            <w:r w:rsidRPr="00FB26C9">
              <w:rPr>
                <w:rFonts w:ascii="Verdana" w:hAnsi="Verdana"/>
                <w:sz w:val="18"/>
                <w:szCs w:val="18"/>
                <w:lang w:val="tr-TR"/>
              </w:rPr>
              <w:t xml:space="preserve">kavramları ve Budapeşte Sözleşmesinin </w:t>
            </w:r>
            <w:r w:rsidR="00394B4E" w:rsidRPr="00FB26C9">
              <w:rPr>
                <w:rFonts w:ascii="Verdana" w:hAnsi="Verdana"/>
                <w:sz w:val="18"/>
                <w:szCs w:val="18"/>
                <w:lang w:val="tr-TR"/>
              </w:rPr>
              <w:t>ilgili</w:t>
            </w:r>
            <w:r w:rsidRPr="00FB26C9">
              <w:rPr>
                <w:rFonts w:ascii="Verdana" w:hAnsi="Verdana"/>
                <w:sz w:val="18"/>
                <w:szCs w:val="18"/>
                <w:lang w:val="tr-TR"/>
              </w:rPr>
              <w:t xml:space="preserve"> hükümlerini tanımlaya</w:t>
            </w:r>
            <w:r w:rsidR="00394B4E" w:rsidRPr="00FB26C9">
              <w:rPr>
                <w:rFonts w:ascii="Verdana" w:hAnsi="Verdana"/>
                <w:sz w:val="18"/>
                <w:szCs w:val="18"/>
                <w:lang w:val="tr-TR"/>
              </w:rPr>
              <w:t>cak</w:t>
            </w:r>
          </w:p>
          <w:p w14:paraId="14911B11" w14:textId="77777777" w:rsidR="00164D60" w:rsidRPr="00FB26C9" w:rsidRDefault="00394B4E" w:rsidP="00FB26C9">
            <w:pPr>
              <w:numPr>
                <w:ilvl w:val="0"/>
                <w:numId w:val="2"/>
              </w:numPr>
              <w:tabs>
                <w:tab w:val="left" w:pos="426"/>
                <w:tab w:val="left" w:pos="851"/>
              </w:tabs>
              <w:spacing w:before="120" w:after="120" w:line="260" w:lineRule="atLeast"/>
              <w:contextualSpacing/>
              <w:rPr>
                <w:rFonts w:ascii="Verdana" w:hAnsi="Verdana"/>
                <w:sz w:val="18"/>
                <w:szCs w:val="18"/>
                <w:lang w:val="tr-TR"/>
              </w:rPr>
            </w:pPr>
            <w:r w:rsidRPr="00FB26C9">
              <w:rPr>
                <w:rFonts w:ascii="Verdana" w:hAnsi="Verdana"/>
                <w:sz w:val="18"/>
                <w:szCs w:val="18"/>
                <w:lang w:val="tr-TR"/>
              </w:rPr>
              <w:t>Resmi uluslararası işbirliğine ilişkin f</w:t>
            </w:r>
            <w:r w:rsidR="00696798" w:rsidRPr="00FB26C9">
              <w:rPr>
                <w:rFonts w:ascii="Verdana" w:hAnsi="Verdana"/>
                <w:sz w:val="18"/>
                <w:szCs w:val="18"/>
                <w:lang w:val="tr-TR"/>
              </w:rPr>
              <w:t xml:space="preserve">arklı kanalları ve </w:t>
            </w:r>
            <w:r w:rsidRPr="00FB26C9">
              <w:rPr>
                <w:rFonts w:ascii="Verdana" w:hAnsi="Verdana"/>
                <w:sz w:val="18"/>
                <w:szCs w:val="18"/>
                <w:lang w:val="tr-TR"/>
              </w:rPr>
              <w:t xml:space="preserve">mekanizmaları </w:t>
            </w:r>
            <w:r w:rsidR="00696798" w:rsidRPr="00FB26C9">
              <w:rPr>
                <w:rFonts w:ascii="Verdana" w:hAnsi="Verdana"/>
                <w:sz w:val="18"/>
                <w:szCs w:val="18"/>
                <w:lang w:val="tr-TR"/>
              </w:rPr>
              <w:t>anlayacak</w:t>
            </w:r>
          </w:p>
          <w:p w14:paraId="1DC80E0E" w14:textId="77777777" w:rsidR="00164D60" w:rsidRPr="00FB26C9" w:rsidRDefault="007750FB" w:rsidP="00FB26C9">
            <w:pPr>
              <w:numPr>
                <w:ilvl w:val="0"/>
                <w:numId w:val="2"/>
              </w:numPr>
              <w:tabs>
                <w:tab w:val="left" w:pos="426"/>
                <w:tab w:val="left" w:pos="851"/>
              </w:tabs>
              <w:spacing w:before="120" w:after="120" w:line="260" w:lineRule="atLeast"/>
              <w:contextualSpacing/>
              <w:rPr>
                <w:rFonts w:ascii="Verdana" w:hAnsi="Verdana"/>
                <w:sz w:val="18"/>
                <w:szCs w:val="18"/>
                <w:lang w:val="tr-TR"/>
              </w:rPr>
            </w:pPr>
            <w:r w:rsidRPr="00FB26C9">
              <w:rPr>
                <w:rFonts w:ascii="Verdana" w:hAnsi="Verdana"/>
                <w:sz w:val="18"/>
                <w:szCs w:val="18"/>
                <w:lang w:val="tr-TR"/>
              </w:rPr>
              <w:t xml:space="preserve">Budapeşte Sözleşmesini siber suçlar ve elektronik </w:t>
            </w:r>
            <w:r w:rsidR="00394B4E" w:rsidRPr="00FB26C9">
              <w:rPr>
                <w:rFonts w:ascii="Verdana" w:hAnsi="Verdana"/>
                <w:sz w:val="18"/>
                <w:szCs w:val="18"/>
                <w:lang w:val="tr-TR"/>
              </w:rPr>
              <w:t xml:space="preserve">delil </w:t>
            </w:r>
            <w:r w:rsidRPr="00FB26C9">
              <w:rPr>
                <w:rFonts w:ascii="Verdana" w:hAnsi="Verdana"/>
                <w:sz w:val="18"/>
                <w:szCs w:val="18"/>
                <w:lang w:val="tr-TR"/>
              </w:rPr>
              <w:t xml:space="preserve">alanlarında işbirliği için önde gelen bir araç olarak ele </w:t>
            </w:r>
            <w:r w:rsidR="00394B4E" w:rsidRPr="00FB26C9">
              <w:rPr>
                <w:rFonts w:ascii="Verdana" w:hAnsi="Verdana"/>
                <w:sz w:val="18"/>
                <w:szCs w:val="18"/>
                <w:lang w:val="tr-TR"/>
              </w:rPr>
              <w:t>alacak</w:t>
            </w:r>
            <w:r w:rsidRPr="00FB26C9">
              <w:rPr>
                <w:rFonts w:ascii="Verdana" w:hAnsi="Verdana"/>
                <w:sz w:val="18"/>
                <w:szCs w:val="18"/>
                <w:lang w:val="tr-TR"/>
              </w:rPr>
              <w:t xml:space="preserve"> </w:t>
            </w:r>
          </w:p>
          <w:p w14:paraId="1ECFEF60" w14:textId="77777777" w:rsidR="00164D60" w:rsidRPr="00FB26C9" w:rsidRDefault="00A36B6F" w:rsidP="00FB26C9">
            <w:pPr>
              <w:numPr>
                <w:ilvl w:val="0"/>
                <w:numId w:val="2"/>
              </w:numPr>
              <w:tabs>
                <w:tab w:val="left" w:pos="426"/>
                <w:tab w:val="left" w:pos="851"/>
              </w:tabs>
              <w:spacing w:before="120" w:after="120" w:line="260" w:lineRule="atLeast"/>
              <w:contextualSpacing/>
              <w:rPr>
                <w:rFonts w:ascii="Verdana" w:hAnsi="Verdana"/>
                <w:sz w:val="18"/>
                <w:szCs w:val="18"/>
                <w:lang w:val="tr-TR"/>
              </w:rPr>
            </w:pPr>
            <w:r w:rsidRPr="00FB26C9">
              <w:rPr>
                <w:rFonts w:ascii="Verdana" w:hAnsi="Verdana"/>
                <w:sz w:val="18"/>
                <w:szCs w:val="18"/>
                <w:lang w:val="tr-TR"/>
              </w:rPr>
              <w:t>Uluslararası işbirliğin</w:t>
            </w:r>
            <w:r w:rsidR="00394B4E" w:rsidRPr="00FB26C9">
              <w:rPr>
                <w:rFonts w:ascii="Verdana" w:hAnsi="Verdana"/>
                <w:sz w:val="18"/>
                <w:szCs w:val="18"/>
                <w:lang w:val="tr-TR"/>
              </w:rPr>
              <w:t>e ilişkin</w:t>
            </w:r>
            <w:r w:rsidRPr="00FB26C9">
              <w:rPr>
                <w:rFonts w:ascii="Verdana" w:hAnsi="Verdana"/>
                <w:sz w:val="18"/>
                <w:szCs w:val="18"/>
                <w:lang w:val="tr-TR"/>
              </w:rPr>
              <w:t xml:space="preserve"> farklı kanal ve </w:t>
            </w:r>
            <w:r w:rsidR="00394B4E" w:rsidRPr="00FB26C9">
              <w:rPr>
                <w:rFonts w:ascii="Verdana" w:hAnsi="Verdana"/>
                <w:sz w:val="18"/>
                <w:szCs w:val="18"/>
                <w:lang w:val="tr-TR"/>
              </w:rPr>
              <w:t xml:space="preserve">mekanizmalar </w:t>
            </w:r>
            <w:r w:rsidRPr="00FB26C9">
              <w:rPr>
                <w:rFonts w:ascii="Verdana" w:hAnsi="Verdana"/>
                <w:sz w:val="18"/>
                <w:szCs w:val="18"/>
                <w:lang w:val="tr-TR"/>
              </w:rPr>
              <w:t xml:space="preserve">arasındaki benzerlikleri </w:t>
            </w:r>
            <w:r w:rsidR="00394B4E" w:rsidRPr="00FB26C9">
              <w:rPr>
                <w:rFonts w:ascii="Verdana" w:hAnsi="Verdana"/>
                <w:sz w:val="18"/>
                <w:szCs w:val="18"/>
                <w:lang w:val="tr-TR"/>
              </w:rPr>
              <w:t>tespit edecek</w:t>
            </w:r>
            <w:r w:rsidRPr="00FB26C9">
              <w:rPr>
                <w:rFonts w:ascii="Verdana" w:hAnsi="Verdana"/>
                <w:sz w:val="18"/>
                <w:szCs w:val="18"/>
                <w:lang w:val="tr-TR"/>
              </w:rPr>
              <w:t xml:space="preserve">. </w:t>
            </w:r>
          </w:p>
        </w:tc>
      </w:tr>
      <w:tr w:rsidR="00164D60" w:rsidRPr="00FB26C9" w14:paraId="78612551" w14:textId="77777777" w:rsidTr="00FB26C9">
        <w:trPr>
          <w:trHeight w:val="41"/>
        </w:trPr>
        <w:tc>
          <w:tcPr>
            <w:tcW w:w="9096" w:type="dxa"/>
            <w:gridSpan w:val="3"/>
            <w:tcBorders>
              <w:top w:val="single" w:sz="4" w:space="0" w:color="auto"/>
              <w:left w:val="single" w:sz="4" w:space="0" w:color="auto"/>
              <w:bottom w:val="single" w:sz="4" w:space="0" w:color="auto"/>
              <w:right w:val="single" w:sz="4" w:space="0" w:color="auto"/>
            </w:tcBorders>
            <w:vAlign w:val="center"/>
            <w:hideMark/>
          </w:tcPr>
          <w:p w14:paraId="03CA7B3E" w14:textId="77777777" w:rsidR="00164D60" w:rsidRPr="00FB26C9" w:rsidRDefault="000821F5" w:rsidP="00FB26C9">
            <w:pPr>
              <w:spacing w:before="120" w:after="120" w:line="260" w:lineRule="atLeast"/>
              <w:rPr>
                <w:rFonts w:ascii="Verdana" w:hAnsi="Verdana"/>
                <w:b/>
                <w:color w:val="000000"/>
                <w:lang w:val="tr-TR"/>
              </w:rPr>
            </w:pPr>
            <w:r w:rsidRPr="00FB26C9">
              <w:rPr>
                <w:rFonts w:ascii="Verdana" w:hAnsi="Verdana"/>
                <w:b/>
                <w:color w:val="000000"/>
                <w:lang w:val="tr-TR"/>
              </w:rPr>
              <w:t>Eğitici Rehberi</w:t>
            </w:r>
          </w:p>
          <w:p w14:paraId="09E6BB17" w14:textId="77777777" w:rsidR="00164D60" w:rsidRPr="00FB26C9" w:rsidRDefault="00CC4701" w:rsidP="00FB26C9">
            <w:pPr>
              <w:spacing w:before="120" w:after="120" w:line="260" w:lineRule="atLeast"/>
              <w:jc w:val="both"/>
              <w:rPr>
                <w:rFonts w:ascii="Verdana" w:hAnsi="Verdana"/>
                <w:sz w:val="18"/>
                <w:szCs w:val="18"/>
                <w:lang w:val="tr-TR"/>
              </w:rPr>
            </w:pPr>
            <w:r w:rsidRPr="00FB26C9">
              <w:rPr>
                <w:rFonts w:ascii="Verdana" w:hAnsi="Verdana"/>
                <w:color w:val="000000"/>
                <w:sz w:val="18"/>
                <w:szCs w:val="18"/>
                <w:lang w:val="tr-TR"/>
              </w:rPr>
              <w:t>Bu oturum, katılımcılara Budapeşte Sözleşmesi ve uluslararası işbirliği</w:t>
            </w:r>
            <w:r w:rsidR="00A8654C" w:rsidRPr="00FB26C9">
              <w:rPr>
                <w:rFonts w:ascii="Verdana" w:hAnsi="Verdana"/>
                <w:color w:val="000000"/>
                <w:sz w:val="18"/>
                <w:szCs w:val="18"/>
                <w:lang w:val="tr-TR"/>
              </w:rPr>
              <w:t>nin oluşturulmasını</w:t>
            </w:r>
            <w:r w:rsidRPr="00FB26C9">
              <w:rPr>
                <w:rFonts w:ascii="Verdana" w:hAnsi="Verdana"/>
                <w:color w:val="000000"/>
                <w:sz w:val="18"/>
                <w:szCs w:val="18"/>
                <w:lang w:val="tr-TR"/>
              </w:rPr>
              <w:t xml:space="preserve"> sağlayan uluslararası </w:t>
            </w:r>
            <w:r w:rsidR="00A8654C" w:rsidRPr="00FB26C9">
              <w:rPr>
                <w:rFonts w:ascii="Verdana" w:hAnsi="Verdana"/>
                <w:color w:val="000000"/>
                <w:sz w:val="18"/>
                <w:szCs w:val="18"/>
                <w:lang w:val="tr-TR"/>
              </w:rPr>
              <w:t xml:space="preserve">çerçeveler </w:t>
            </w:r>
            <w:r w:rsidRPr="00FB26C9">
              <w:rPr>
                <w:rFonts w:ascii="Verdana" w:hAnsi="Verdana"/>
                <w:color w:val="000000"/>
                <w:sz w:val="18"/>
                <w:szCs w:val="18"/>
                <w:lang w:val="tr-TR"/>
              </w:rPr>
              <w:t xml:space="preserve">hakkında temel </w:t>
            </w:r>
            <w:r w:rsidR="00A8654C" w:rsidRPr="00FB26C9">
              <w:rPr>
                <w:rFonts w:ascii="Verdana" w:hAnsi="Verdana"/>
                <w:color w:val="000000"/>
                <w:sz w:val="18"/>
                <w:szCs w:val="18"/>
                <w:lang w:val="tr-TR"/>
              </w:rPr>
              <w:t>bilgi</w:t>
            </w:r>
            <w:r w:rsidRPr="00FB26C9">
              <w:rPr>
                <w:rFonts w:ascii="Verdana" w:hAnsi="Verdana"/>
                <w:color w:val="000000"/>
                <w:sz w:val="18"/>
                <w:szCs w:val="18"/>
                <w:lang w:val="tr-TR"/>
              </w:rPr>
              <w:t xml:space="preserve"> vermeyi amaçl</w:t>
            </w:r>
            <w:r w:rsidR="00A8654C" w:rsidRPr="00FB26C9">
              <w:rPr>
                <w:rFonts w:ascii="Verdana" w:hAnsi="Verdana"/>
                <w:color w:val="000000"/>
                <w:sz w:val="18"/>
                <w:szCs w:val="18"/>
                <w:lang w:val="tr-TR"/>
              </w:rPr>
              <w:t>amaktadır</w:t>
            </w:r>
            <w:r w:rsidRPr="00FB26C9">
              <w:rPr>
                <w:rFonts w:ascii="Verdana" w:hAnsi="Verdana"/>
                <w:color w:val="000000"/>
                <w:sz w:val="18"/>
                <w:szCs w:val="18"/>
                <w:lang w:val="tr-TR"/>
              </w:rPr>
              <w:t xml:space="preserve">. </w:t>
            </w:r>
            <w:r w:rsidR="00A8654C" w:rsidRPr="00FB26C9">
              <w:rPr>
                <w:rFonts w:ascii="Verdana" w:hAnsi="Verdana"/>
                <w:color w:val="000000"/>
                <w:sz w:val="18"/>
                <w:szCs w:val="18"/>
                <w:lang w:val="tr-TR"/>
              </w:rPr>
              <w:t>O</w:t>
            </w:r>
            <w:r w:rsidR="00865C2D" w:rsidRPr="00FB26C9">
              <w:rPr>
                <w:rFonts w:ascii="Verdana" w:hAnsi="Verdana"/>
                <w:color w:val="000000"/>
                <w:sz w:val="18"/>
                <w:szCs w:val="18"/>
                <w:lang w:val="tr-TR"/>
              </w:rPr>
              <w:t>turum</w:t>
            </w:r>
            <w:r w:rsidR="00A8654C" w:rsidRPr="00FB26C9">
              <w:rPr>
                <w:rFonts w:ascii="Verdana" w:hAnsi="Verdana"/>
                <w:color w:val="000000"/>
                <w:sz w:val="18"/>
                <w:szCs w:val="18"/>
                <w:lang w:val="tr-TR"/>
              </w:rPr>
              <w:t xml:space="preserve"> giriş ve sonuç kısmına ek olarak</w:t>
            </w:r>
            <w:r w:rsidR="00865C2D" w:rsidRPr="00FB26C9">
              <w:rPr>
                <w:rFonts w:ascii="Verdana" w:hAnsi="Verdana"/>
                <w:color w:val="000000"/>
                <w:sz w:val="18"/>
                <w:szCs w:val="18"/>
                <w:lang w:val="tr-TR"/>
              </w:rPr>
              <w:t xml:space="preserve"> </w:t>
            </w:r>
            <w:r w:rsidR="00F849B9" w:rsidRPr="00FB26C9">
              <w:rPr>
                <w:rFonts w:ascii="Verdana" w:hAnsi="Verdana"/>
                <w:color w:val="000000"/>
                <w:sz w:val="18"/>
                <w:szCs w:val="18"/>
                <w:lang w:val="tr-TR"/>
              </w:rPr>
              <w:t xml:space="preserve">dört bölüme </w:t>
            </w:r>
            <w:r w:rsidR="00A8654C" w:rsidRPr="00FB26C9">
              <w:rPr>
                <w:rFonts w:ascii="Verdana" w:hAnsi="Verdana"/>
                <w:color w:val="000000"/>
                <w:sz w:val="18"/>
                <w:szCs w:val="18"/>
                <w:lang w:val="tr-TR"/>
              </w:rPr>
              <w:t>ayrılmıştır</w:t>
            </w:r>
            <w:r w:rsidR="00F849B9" w:rsidRPr="00FB26C9">
              <w:rPr>
                <w:rFonts w:ascii="Verdana" w:hAnsi="Verdana"/>
                <w:color w:val="000000"/>
                <w:sz w:val="18"/>
                <w:szCs w:val="18"/>
                <w:lang w:val="tr-TR"/>
              </w:rPr>
              <w:t xml:space="preserve">. </w:t>
            </w:r>
          </w:p>
          <w:p w14:paraId="73A4125B" w14:textId="77777777" w:rsidR="00164D60" w:rsidRPr="00FB26C9" w:rsidRDefault="00DB1B64" w:rsidP="00FB26C9">
            <w:pPr>
              <w:spacing w:before="120" w:after="120" w:line="260" w:lineRule="atLeast"/>
              <w:jc w:val="both"/>
              <w:rPr>
                <w:rFonts w:ascii="Verdana" w:hAnsi="Verdana"/>
                <w:sz w:val="18"/>
                <w:szCs w:val="18"/>
                <w:lang w:val="tr-TR"/>
              </w:rPr>
            </w:pPr>
            <w:r w:rsidRPr="00FB26C9">
              <w:rPr>
                <w:rFonts w:ascii="Verdana" w:hAnsi="Verdana"/>
                <w:sz w:val="18"/>
                <w:szCs w:val="18"/>
                <w:lang w:val="tr-TR"/>
              </w:rPr>
              <w:t>Bu oturum</w:t>
            </w:r>
            <w:r w:rsidR="00514448" w:rsidRPr="00FB26C9">
              <w:rPr>
                <w:rFonts w:ascii="Verdana" w:hAnsi="Verdana"/>
                <w:sz w:val="18"/>
                <w:szCs w:val="18"/>
                <w:lang w:val="tr-TR"/>
              </w:rPr>
              <w:t>un gerçekleştirilmesinden</w:t>
            </w:r>
            <w:r w:rsidRPr="00FB26C9">
              <w:rPr>
                <w:rFonts w:ascii="Verdana" w:hAnsi="Verdana"/>
                <w:sz w:val="18"/>
                <w:szCs w:val="18"/>
                <w:lang w:val="tr-TR"/>
              </w:rPr>
              <w:t xml:space="preserve"> önce </w:t>
            </w:r>
            <w:r w:rsidR="00CD360D" w:rsidRPr="00FB26C9">
              <w:rPr>
                <w:rFonts w:ascii="Verdana" w:hAnsi="Verdana"/>
                <w:sz w:val="18"/>
                <w:szCs w:val="18"/>
                <w:lang w:val="tr-TR"/>
              </w:rPr>
              <w:t>eğiti</w:t>
            </w:r>
            <w:r w:rsidR="00514448" w:rsidRPr="00FB26C9">
              <w:rPr>
                <w:rFonts w:ascii="Verdana" w:hAnsi="Verdana"/>
                <w:sz w:val="18"/>
                <w:szCs w:val="18"/>
                <w:lang w:val="tr-TR"/>
              </w:rPr>
              <w:t xml:space="preserve">cinin </w:t>
            </w:r>
            <w:r w:rsidR="00514448" w:rsidRPr="00FB26C9">
              <w:rPr>
                <w:rFonts w:ascii="Verdana" w:hAnsi="Verdana"/>
                <w:color w:val="0563C1"/>
                <w:sz w:val="18"/>
                <w:szCs w:val="18"/>
                <w:u w:val="single"/>
                <w:lang w:val="tr-TR"/>
              </w:rPr>
              <w:t xml:space="preserve">Siber Suçlar Sözleşmesi Açıklayıcı Raporunun </w:t>
            </w:r>
            <w:r w:rsidR="00C96BFA" w:rsidRPr="00FB26C9">
              <w:rPr>
                <w:rFonts w:ascii="Verdana" w:hAnsi="Verdana"/>
                <w:lang w:val="tr-TR"/>
              </w:rPr>
              <w:t xml:space="preserve"> </w:t>
            </w:r>
            <w:r w:rsidR="00355F29" w:rsidRPr="00FB26C9">
              <w:rPr>
                <w:rFonts w:ascii="Verdana" w:hAnsi="Verdana"/>
                <w:sz w:val="18"/>
                <w:szCs w:val="18"/>
                <w:lang w:val="tr-TR"/>
              </w:rPr>
              <w:t>22 ila 231</w:t>
            </w:r>
            <w:r w:rsidR="00514448" w:rsidRPr="00FB26C9">
              <w:rPr>
                <w:rFonts w:ascii="Verdana" w:hAnsi="Verdana"/>
                <w:sz w:val="18"/>
                <w:szCs w:val="18"/>
                <w:lang w:val="tr-TR"/>
              </w:rPr>
              <w:t>’</w:t>
            </w:r>
            <w:r w:rsidR="00355F29" w:rsidRPr="00FB26C9">
              <w:rPr>
                <w:rFonts w:ascii="Verdana" w:hAnsi="Verdana"/>
                <w:sz w:val="18"/>
                <w:szCs w:val="18"/>
                <w:lang w:val="tr-TR"/>
              </w:rPr>
              <w:t>inci paragraflarını gözden geçirmesi tavsiye edil</w:t>
            </w:r>
            <w:r w:rsidR="00514448" w:rsidRPr="00FB26C9">
              <w:rPr>
                <w:rFonts w:ascii="Verdana" w:hAnsi="Verdana"/>
                <w:sz w:val="18"/>
                <w:szCs w:val="18"/>
                <w:lang w:val="tr-TR"/>
              </w:rPr>
              <w:t>mektedir</w:t>
            </w:r>
            <w:r w:rsidR="00355F29" w:rsidRPr="00FB26C9">
              <w:rPr>
                <w:rFonts w:ascii="Verdana" w:hAnsi="Verdana"/>
                <w:sz w:val="18"/>
                <w:szCs w:val="18"/>
                <w:lang w:val="tr-TR"/>
              </w:rPr>
              <w:t>.</w:t>
            </w:r>
          </w:p>
        </w:tc>
      </w:tr>
      <w:tr w:rsidR="00164D60" w:rsidRPr="00FB26C9" w14:paraId="03639505" w14:textId="77777777" w:rsidTr="00FB26C9">
        <w:trPr>
          <w:trHeight w:val="518"/>
        </w:trPr>
        <w:tc>
          <w:tcPr>
            <w:tcW w:w="9096"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1E182CC" w14:textId="77777777" w:rsidR="00164D60" w:rsidRPr="00FB26C9" w:rsidRDefault="005E32D5" w:rsidP="00FB26C9">
            <w:pPr>
              <w:spacing w:before="120" w:after="120" w:line="260" w:lineRule="atLeast"/>
              <w:rPr>
                <w:rFonts w:ascii="Verdana" w:hAnsi="Verdana"/>
                <w:b/>
                <w:sz w:val="28"/>
                <w:szCs w:val="28"/>
                <w:lang w:val="tr-TR"/>
              </w:rPr>
            </w:pPr>
            <w:r w:rsidRPr="00FB26C9">
              <w:rPr>
                <w:rFonts w:ascii="Verdana" w:hAnsi="Verdana"/>
                <w:b/>
                <w:sz w:val="28"/>
                <w:szCs w:val="28"/>
                <w:lang w:val="tr-TR"/>
              </w:rPr>
              <w:t>Ders İçeriği</w:t>
            </w:r>
          </w:p>
        </w:tc>
      </w:tr>
      <w:tr w:rsidR="00164D60" w:rsidRPr="00FB26C9" w14:paraId="02AF8386" w14:textId="77777777" w:rsidTr="00FB26C9">
        <w:trPr>
          <w:trHeight w:val="448"/>
        </w:trPr>
        <w:tc>
          <w:tcPr>
            <w:tcW w:w="18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E588A2E" w14:textId="77777777" w:rsidR="00164D60" w:rsidRPr="00FB26C9" w:rsidRDefault="005E32D5" w:rsidP="00FB26C9">
            <w:pPr>
              <w:spacing w:before="120" w:after="120" w:line="260" w:lineRule="atLeast"/>
              <w:jc w:val="center"/>
              <w:rPr>
                <w:rFonts w:ascii="Verdana" w:hAnsi="Verdana"/>
                <w:b/>
                <w:lang w:val="tr-TR"/>
              </w:rPr>
            </w:pPr>
            <w:r w:rsidRPr="00FB26C9">
              <w:rPr>
                <w:rFonts w:ascii="Verdana" w:hAnsi="Verdana"/>
                <w:b/>
                <w:lang w:val="tr-TR"/>
              </w:rPr>
              <w:t>Slayt Numaraları</w:t>
            </w:r>
          </w:p>
        </w:tc>
        <w:tc>
          <w:tcPr>
            <w:tcW w:w="7272"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5B9C460" w14:textId="77777777" w:rsidR="00164D60" w:rsidRPr="00FB26C9" w:rsidRDefault="005E32D5" w:rsidP="00FB26C9">
            <w:pPr>
              <w:spacing w:before="120" w:after="120" w:line="260" w:lineRule="atLeast"/>
              <w:rPr>
                <w:rFonts w:ascii="Verdana" w:hAnsi="Verdana"/>
                <w:b/>
                <w:lang w:val="tr-TR"/>
              </w:rPr>
            </w:pPr>
            <w:r w:rsidRPr="00FB26C9">
              <w:rPr>
                <w:rFonts w:ascii="Verdana" w:hAnsi="Verdana"/>
                <w:b/>
                <w:lang w:val="tr-TR"/>
              </w:rPr>
              <w:t>İçerik</w:t>
            </w:r>
          </w:p>
        </w:tc>
      </w:tr>
      <w:tr w:rsidR="00164D60" w:rsidRPr="00FB26C9" w14:paraId="056E9705" w14:textId="77777777" w:rsidTr="00FB26C9">
        <w:trPr>
          <w:trHeight w:val="421"/>
        </w:trPr>
        <w:tc>
          <w:tcPr>
            <w:tcW w:w="1824" w:type="dxa"/>
            <w:tcBorders>
              <w:top w:val="single" w:sz="4" w:space="0" w:color="auto"/>
              <w:left w:val="single" w:sz="4" w:space="0" w:color="auto"/>
              <w:bottom w:val="single" w:sz="4" w:space="0" w:color="auto"/>
              <w:right w:val="single" w:sz="4" w:space="0" w:color="auto"/>
            </w:tcBorders>
            <w:vAlign w:val="center"/>
            <w:hideMark/>
          </w:tcPr>
          <w:p w14:paraId="22556DB2" w14:textId="77777777" w:rsidR="00164D60" w:rsidRPr="00FB26C9" w:rsidRDefault="005E32D5" w:rsidP="00FB26C9">
            <w:pPr>
              <w:spacing w:before="120" w:after="120" w:line="260" w:lineRule="atLeast"/>
              <w:jc w:val="center"/>
              <w:rPr>
                <w:rFonts w:ascii="Verdana" w:hAnsi="Verdana"/>
                <w:sz w:val="18"/>
                <w:szCs w:val="18"/>
                <w:lang w:val="tr-TR"/>
              </w:rPr>
            </w:pPr>
            <w:r w:rsidRPr="00FB26C9">
              <w:rPr>
                <w:rFonts w:ascii="Verdana" w:hAnsi="Verdana"/>
                <w:sz w:val="18"/>
                <w:szCs w:val="18"/>
                <w:lang w:val="tr-TR"/>
              </w:rPr>
              <w:t>1 -</w:t>
            </w:r>
            <w:r w:rsidR="00164D60" w:rsidRPr="00FB26C9">
              <w:rPr>
                <w:rFonts w:ascii="Verdana" w:hAnsi="Verdana"/>
                <w:sz w:val="18"/>
                <w:szCs w:val="18"/>
                <w:lang w:val="tr-TR"/>
              </w:rPr>
              <w:t xml:space="preserve"> 3</w:t>
            </w:r>
          </w:p>
          <w:p w14:paraId="425DFA1E" w14:textId="77777777" w:rsidR="00164D60" w:rsidRPr="00FB26C9" w:rsidRDefault="000821F5" w:rsidP="00FB26C9">
            <w:pPr>
              <w:spacing w:before="120" w:after="120" w:line="260" w:lineRule="atLeast"/>
              <w:jc w:val="center"/>
              <w:rPr>
                <w:rFonts w:ascii="Verdana" w:hAnsi="Verdana"/>
                <w:sz w:val="18"/>
                <w:szCs w:val="18"/>
                <w:lang w:val="tr-TR"/>
              </w:rPr>
            </w:pPr>
            <w:r w:rsidRPr="00FB26C9">
              <w:rPr>
                <w:rFonts w:ascii="Verdana" w:hAnsi="Verdana"/>
                <w:sz w:val="18"/>
                <w:szCs w:val="18"/>
                <w:lang w:val="tr-TR"/>
              </w:rPr>
              <w:lastRenderedPageBreak/>
              <w:t xml:space="preserve">Zorunlu </w:t>
            </w:r>
            <w:r w:rsidR="002F58A5" w:rsidRPr="00FB26C9">
              <w:rPr>
                <w:rFonts w:ascii="Verdana" w:hAnsi="Verdana"/>
                <w:sz w:val="18"/>
                <w:szCs w:val="18"/>
                <w:lang w:val="tr-TR"/>
              </w:rPr>
              <w:t>Slaytlar</w:t>
            </w:r>
          </w:p>
        </w:tc>
        <w:tc>
          <w:tcPr>
            <w:tcW w:w="7272" w:type="dxa"/>
            <w:gridSpan w:val="2"/>
            <w:tcBorders>
              <w:top w:val="single" w:sz="4" w:space="0" w:color="auto"/>
              <w:left w:val="single" w:sz="4" w:space="0" w:color="auto"/>
              <w:bottom w:val="single" w:sz="4" w:space="0" w:color="auto"/>
              <w:right w:val="single" w:sz="4" w:space="0" w:color="auto"/>
            </w:tcBorders>
            <w:vAlign w:val="center"/>
            <w:hideMark/>
          </w:tcPr>
          <w:p w14:paraId="2A512113" w14:textId="77777777" w:rsidR="00164D60" w:rsidRPr="00FB26C9" w:rsidRDefault="00320EB4" w:rsidP="00FB26C9">
            <w:pPr>
              <w:spacing w:before="120" w:after="120" w:line="260" w:lineRule="atLeast"/>
              <w:jc w:val="both"/>
              <w:rPr>
                <w:rFonts w:ascii="Verdana" w:hAnsi="Verdana"/>
                <w:color w:val="000000"/>
                <w:sz w:val="18"/>
                <w:szCs w:val="18"/>
                <w:lang w:val="tr-TR"/>
              </w:rPr>
            </w:pPr>
            <w:r w:rsidRPr="00FB26C9">
              <w:rPr>
                <w:rFonts w:ascii="Verdana" w:hAnsi="Verdana"/>
                <w:color w:val="000000"/>
                <w:sz w:val="18"/>
                <w:szCs w:val="18"/>
                <w:lang w:val="tr-TR"/>
              </w:rPr>
              <w:lastRenderedPageBreak/>
              <w:t xml:space="preserve">Açılış slaytları oturuma giriş niteliğindedir ve </w:t>
            </w:r>
            <w:r w:rsidR="00514448" w:rsidRPr="00FB26C9">
              <w:rPr>
                <w:rFonts w:ascii="Verdana" w:hAnsi="Verdana"/>
                <w:color w:val="000000"/>
                <w:sz w:val="18"/>
                <w:szCs w:val="18"/>
                <w:lang w:val="tr-TR"/>
              </w:rPr>
              <w:t xml:space="preserve">oturumun </w:t>
            </w:r>
            <w:r w:rsidRPr="00FB26C9">
              <w:rPr>
                <w:rFonts w:ascii="Verdana" w:hAnsi="Verdana"/>
                <w:color w:val="000000"/>
                <w:sz w:val="18"/>
                <w:szCs w:val="18"/>
                <w:lang w:val="tr-TR"/>
              </w:rPr>
              <w:t>gündemi</w:t>
            </w:r>
            <w:r w:rsidR="00514448" w:rsidRPr="00FB26C9">
              <w:rPr>
                <w:rFonts w:ascii="Verdana" w:hAnsi="Verdana"/>
                <w:color w:val="000000"/>
                <w:sz w:val="18"/>
                <w:szCs w:val="18"/>
                <w:lang w:val="tr-TR"/>
              </w:rPr>
              <w:t>ni ve</w:t>
            </w:r>
            <w:r w:rsidRPr="00FB26C9">
              <w:rPr>
                <w:rFonts w:ascii="Verdana" w:hAnsi="Verdana"/>
                <w:color w:val="000000"/>
                <w:sz w:val="18"/>
                <w:szCs w:val="18"/>
                <w:lang w:val="tr-TR"/>
              </w:rPr>
              <w:t xml:space="preserve"> </w:t>
            </w:r>
            <w:r w:rsidR="00AC3C10" w:rsidRPr="00FB26C9">
              <w:rPr>
                <w:rFonts w:ascii="Verdana" w:hAnsi="Verdana"/>
                <w:color w:val="000000"/>
                <w:sz w:val="18"/>
                <w:szCs w:val="18"/>
                <w:lang w:val="tr-TR"/>
              </w:rPr>
              <w:t>amaç ve</w:t>
            </w:r>
            <w:r w:rsidRPr="00FB26C9">
              <w:rPr>
                <w:rFonts w:ascii="Verdana" w:hAnsi="Verdana"/>
                <w:color w:val="000000"/>
                <w:sz w:val="18"/>
                <w:szCs w:val="18"/>
                <w:lang w:val="tr-TR"/>
              </w:rPr>
              <w:t xml:space="preserve"> hedeflerini içeri</w:t>
            </w:r>
            <w:r w:rsidR="00514448" w:rsidRPr="00FB26C9">
              <w:rPr>
                <w:rFonts w:ascii="Verdana" w:hAnsi="Verdana"/>
                <w:color w:val="000000"/>
                <w:sz w:val="18"/>
                <w:szCs w:val="18"/>
                <w:lang w:val="tr-TR"/>
              </w:rPr>
              <w:t>r</w:t>
            </w:r>
            <w:r w:rsidRPr="00FB26C9">
              <w:rPr>
                <w:rFonts w:ascii="Verdana" w:hAnsi="Verdana"/>
                <w:color w:val="000000"/>
                <w:sz w:val="18"/>
                <w:szCs w:val="18"/>
                <w:lang w:val="tr-TR"/>
              </w:rPr>
              <w:t xml:space="preserve">. </w:t>
            </w:r>
          </w:p>
        </w:tc>
      </w:tr>
      <w:tr w:rsidR="00164D60" w:rsidRPr="00FB26C9" w14:paraId="33D47AFE" w14:textId="77777777" w:rsidTr="00FB26C9">
        <w:trPr>
          <w:trHeight w:val="1339"/>
        </w:trPr>
        <w:tc>
          <w:tcPr>
            <w:tcW w:w="1824" w:type="dxa"/>
            <w:tcBorders>
              <w:top w:val="single" w:sz="4" w:space="0" w:color="auto"/>
              <w:left w:val="single" w:sz="4" w:space="0" w:color="auto"/>
              <w:bottom w:val="single" w:sz="4" w:space="0" w:color="auto"/>
              <w:right w:val="single" w:sz="4" w:space="0" w:color="auto"/>
            </w:tcBorders>
            <w:vAlign w:val="center"/>
            <w:hideMark/>
          </w:tcPr>
          <w:p w14:paraId="7EA4485F" w14:textId="77777777" w:rsidR="00164D60" w:rsidRPr="00FB26C9" w:rsidRDefault="00440CF2" w:rsidP="00FB26C9">
            <w:pPr>
              <w:spacing w:before="120" w:after="120" w:line="260" w:lineRule="atLeast"/>
              <w:jc w:val="center"/>
              <w:rPr>
                <w:rFonts w:ascii="Verdana" w:hAnsi="Verdana"/>
                <w:sz w:val="18"/>
                <w:szCs w:val="18"/>
                <w:lang w:val="tr-TR"/>
              </w:rPr>
            </w:pPr>
            <w:r w:rsidRPr="00FB26C9">
              <w:rPr>
                <w:rFonts w:ascii="Verdana" w:hAnsi="Verdana"/>
                <w:sz w:val="18"/>
                <w:szCs w:val="18"/>
                <w:lang w:val="tr-TR"/>
              </w:rPr>
              <w:lastRenderedPageBreak/>
              <w:t>4 -</w:t>
            </w:r>
            <w:r w:rsidR="00B5480A" w:rsidRPr="00FB26C9">
              <w:rPr>
                <w:rFonts w:ascii="Verdana" w:hAnsi="Verdana"/>
                <w:sz w:val="18"/>
                <w:szCs w:val="18"/>
                <w:lang w:val="tr-TR"/>
              </w:rPr>
              <w:t xml:space="preserve"> 8</w:t>
            </w:r>
          </w:p>
          <w:p w14:paraId="7F794F22" w14:textId="77777777" w:rsidR="00164D60" w:rsidRPr="00FB26C9" w:rsidRDefault="000821F5" w:rsidP="00FB26C9">
            <w:pPr>
              <w:spacing w:before="120" w:after="120" w:line="260" w:lineRule="atLeast"/>
              <w:jc w:val="center"/>
              <w:rPr>
                <w:rFonts w:ascii="Verdana" w:hAnsi="Verdana"/>
                <w:sz w:val="18"/>
                <w:szCs w:val="18"/>
                <w:lang w:val="tr-TR"/>
              </w:rPr>
            </w:pPr>
            <w:r w:rsidRPr="00FB26C9">
              <w:rPr>
                <w:rFonts w:ascii="Verdana" w:hAnsi="Verdana"/>
                <w:sz w:val="18"/>
                <w:szCs w:val="18"/>
                <w:lang w:val="tr-TR"/>
              </w:rPr>
              <w:t xml:space="preserve">Zorunlu </w:t>
            </w:r>
            <w:r w:rsidR="00440CF2" w:rsidRPr="00FB26C9">
              <w:rPr>
                <w:rFonts w:ascii="Verdana" w:hAnsi="Verdana"/>
                <w:sz w:val="18"/>
                <w:szCs w:val="18"/>
                <w:lang w:val="tr-TR"/>
              </w:rPr>
              <w:t>Slaytlar</w:t>
            </w:r>
          </w:p>
        </w:tc>
        <w:tc>
          <w:tcPr>
            <w:tcW w:w="7272" w:type="dxa"/>
            <w:gridSpan w:val="2"/>
            <w:tcBorders>
              <w:top w:val="single" w:sz="4" w:space="0" w:color="auto"/>
              <w:left w:val="single" w:sz="4" w:space="0" w:color="auto"/>
              <w:bottom w:val="single" w:sz="4" w:space="0" w:color="auto"/>
              <w:right w:val="single" w:sz="4" w:space="0" w:color="auto"/>
            </w:tcBorders>
            <w:vAlign w:val="center"/>
            <w:hideMark/>
          </w:tcPr>
          <w:p w14:paraId="6BDDB779" w14:textId="77777777" w:rsidR="00164D60" w:rsidRPr="00FB26C9" w:rsidRDefault="00EF4C0E" w:rsidP="00FB26C9">
            <w:pPr>
              <w:spacing w:before="120" w:after="120" w:line="260" w:lineRule="atLeast"/>
              <w:jc w:val="both"/>
              <w:rPr>
                <w:rFonts w:ascii="Verdana" w:eastAsia="Times New Roman" w:hAnsi="Verdana"/>
                <w:iCs/>
                <w:color w:val="000000"/>
                <w:sz w:val="18"/>
                <w:szCs w:val="18"/>
                <w:lang w:val="tr-TR"/>
              </w:rPr>
            </w:pPr>
            <w:r w:rsidRPr="00FB26C9">
              <w:rPr>
                <w:rFonts w:ascii="Verdana" w:eastAsia="Times New Roman" w:hAnsi="Verdana"/>
                <w:iCs/>
                <w:color w:val="000000"/>
                <w:sz w:val="18"/>
                <w:szCs w:val="18"/>
                <w:lang w:val="tr-TR"/>
              </w:rPr>
              <w:t>Bu slaytlar nelerin siber suç</w:t>
            </w:r>
            <w:r w:rsidR="00C64F1D" w:rsidRPr="00FB26C9">
              <w:rPr>
                <w:rFonts w:ascii="Verdana" w:eastAsia="Times New Roman" w:hAnsi="Verdana"/>
                <w:iCs/>
                <w:color w:val="000000"/>
                <w:sz w:val="18"/>
                <w:szCs w:val="18"/>
                <w:lang w:val="tr-TR"/>
              </w:rPr>
              <w:t xml:space="preserve"> teşkil ettiğine</w:t>
            </w:r>
            <w:r w:rsidRPr="00FB26C9">
              <w:rPr>
                <w:rFonts w:ascii="Verdana" w:eastAsia="Times New Roman" w:hAnsi="Verdana"/>
                <w:iCs/>
                <w:color w:val="000000"/>
                <w:sz w:val="18"/>
                <w:szCs w:val="18"/>
                <w:lang w:val="tr-TR"/>
              </w:rPr>
              <w:t xml:space="preserve"> dair bir hatırlatma sun</w:t>
            </w:r>
            <w:r w:rsidR="00C64F1D" w:rsidRPr="00FB26C9">
              <w:rPr>
                <w:rFonts w:ascii="Verdana" w:eastAsia="Times New Roman" w:hAnsi="Verdana"/>
                <w:iCs/>
                <w:color w:val="000000"/>
                <w:sz w:val="18"/>
                <w:szCs w:val="18"/>
                <w:lang w:val="tr-TR"/>
              </w:rPr>
              <w:t>maktadır</w:t>
            </w:r>
            <w:r w:rsidRPr="00FB26C9">
              <w:rPr>
                <w:rFonts w:ascii="Verdana" w:eastAsia="Times New Roman" w:hAnsi="Verdana"/>
                <w:iCs/>
                <w:color w:val="000000"/>
                <w:sz w:val="18"/>
                <w:szCs w:val="18"/>
                <w:lang w:val="tr-TR"/>
              </w:rPr>
              <w:t xml:space="preserve">. </w:t>
            </w:r>
            <w:r w:rsidR="007F2154" w:rsidRPr="00FB26C9">
              <w:rPr>
                <w:rFonts w:ascii="Verdana" w:eastAsia="Times New Roman" w:hAnsi="Verdana"/>
                <w:iCs/>
                <w:color w:val="000000"/>
                <w:sz w:val="18"/>
                <w:szCs w:val="18"/>
                <w:lang w:val="tr-TR"/>
              </w:rPr>
              <w:t xml:space="preserve">Bu slaytlarla eğiticinin iletmesi gerektiği ana mesaj, her şeyin bir siber suç olmadığıdır. </w:t>
            </w:r>
            <w:r w:rsidR="00210413" w:rsidRPr="00FB26C9">
              <w:rPr>
                <w:rFonts w:ascii="Verdana" w:eastAsia="Times New Roman" w:hAnsi="Verdana"/>
                <w:iCs/>
                <w:color w:val="000000"/>
                <w:sz w:val="18"/>
                <w:szCs w:val="18"/>
                <w:lang w:val="tr-TR"/>
              </w:rPr>
              <w:t xml:space="preserve">Eğitici çeşitli geleneksel suçları örnek olarak gösterebilir (mesela cinayet, hırsızlık gibi) ve katılımcılara bir bilgisayar sisteminin ya da bilgisayar verisinin bir suçun işlenmesine </w:t>
            </w:r>
            <w:r w:rsidR="00C64F1D" w:rsidRPr="00FB26C9">
              <w:rPr>
                <w:rFonts w:ascii="Verdana" w:eastAsia="Times New Roman" w:hAnsi="Verdana"/>
                <w:iCs/>
                <w:color w:val="000000"/>
                <w:sz w:val="18"/>
                <w:szCs w:val="18"/>
                <w:lang w:val="tr-TR"/>
              </w:rPr>
              <w:t>dâhil</w:t>
            </w:r>
            <w:r w:rsidR="00210413" w:rsidRPr="00FB26C9">
              <w:rPr>
                <w:rFonts w:ascii="Verdana" w:eastAsia="Times New Roman" w:hAnsi="Verdana"/>
                <w:iCs/>
                <w:color w:val="000000"/>
                <w:sz w:val="18"/>
                <w:szCs w:val="18"/>
                <w:lang w:val="tr-TR"/>
              </w:rPr>
              <w:t xml:space="preserve"> olmasının</w:t>
            </w:r>
            <w:r w:rsidR="00C64F1D" w:rsidRPr="00FB26C9">
              <w:rPr>
                <w:rFonts w:ascii="Verdana" w:eastAsia="Times New Roman" w:hAnsi="Verdana"/>
                <w:iCs/>
                <w:color w:val="000000"/>
                <w:sz w:val="18"/>
                <w:szCs w:val="18"/>
                <w:lang w:val="tr-TR"/>
              </w:rPr>
              <w:t xml:space="preserve"> o suçu bir siber</w:t>
            </w:r>
            <w:r w:rsidR="00210413" w:rsidRPr="00FB26C9">
              <w:rPr>
                <w:rFonts w:ascii="Verdana" w:eastAsia="Times New Roman" w:hAnsi="Verdana"/>
                <w:iCs/>
                <w:color w:val="000000"/>
                <w:sz w:val="18"/>
                <w:szCs w:val="18"/>
                <w:lang w:val="tr-TR"/>
              </w:rPr>
              <w:t xml:space="preserve"> suç</w:t>
            </w:r>
            <w:r w:rsidR="00C64F1D" w:rsidRPr="00FB26C9">
              <w:rPr>
                <w:rFonts w:ascii="Verdana" w:eastAsia="Times New Roman" w:hAnsi="Verdana"/>
                <w:iCs/>
                <w:color w:val="000000"/>
                <w:sz w:val="18"/>
                <w:szCs w:val="18"/>
                <w:lang w:val="tr-TR"/>
              </w:rPr>
              <w:t>a dönüştürüp dönüştürmeyeceğini</w:t>
            </w:r>
            <w:r w:rsidR="00210413" w:rsidRPr="00FB26C9">
              <w:rPr>
                <w:rFonts w:ascii="Verdana" w:eastAsia="Times New Roman" w:hAnsi="Verdana"/>
                <w:iCs/>
                <w:color w:val="000000"/>
                <w:sz w:val="18"/>
                <w:szCs w:val="18"/>
                <w:lang w:val="tr-TR"/>
              </w:rPr>
              <w:t xml:space="preserve">  sorabilir.  </w:t>
            </w:r>
          </w:p>
        </w:tc>
      </w:tr>
      <w:tr w:rsidR="00164D60" w:rsidRPr="00FB26C9" w14:paraId="24800DED" w14:textId="77777777" w:rsidTr="00FB26C9">
        <w:trPr>
          <w:trHeight w:val="563"/>
        </w:trPr>
        <w:tc>
          <w:tcPr>
            <w:tcW w:w="1824" w:type="dxa"/>
            <w:tcBorders>
              <w:top w:val="single" w:sz="4" w:space="0" w:color="auto"/>
              <w:left w:val="single" w:sz="4" w:space="0" w:color="auto"/>
              <w:bottom w:val="single" w:sz="4" w:space="0" w:color="auto"/>
              <w:right w:val="single" w:sz="4" w:space="0" w:color="auto"/>
            </w:tcBorders>
            <w:vAlign w:val="center"/>
            <w:hideMark/>
          </w:tcPr>
          <w:p w14:paraId="797F3A9C" w14:textId="77777777" w:rsidR="00164D60" w:rsidRPr="00FB26C9" w:rsidRDefault="00B5480A" w:rsidP="00FB26C9">
            <w:pPr>
              <w:spacing w:before="120" w:after="120" w:line="260" w:lineRule="atLeast"/>
              <w:jc w:val="center"/>
              <w:rPr>
                <w:rFonts w:ascii="Verdana" w:hAnsi="Verdana"/>
                <w:sz w:val="18"/>
                <w:szCs w:val="18"/>
                <w:lang w:val="tr-TR"/>
              </w:rPr>
            </w:pPr>
            <w:r w:rsidRPr="00FB26C9">
              <w:rPr>
                <w:rFonts w:ascii="Verdana" w:hAnsi="Verdana"/>
                <w:sz w:val="18"/>
                <w:szCs w:val="18"/>
                <w:lang w:val="tr-TR"/>
              </w:rPr>
              <w:t>9-15</w:t>
            </w:r>
          </w:p>
          <w:p w14:paraId="20F878CC" w14:textId="77777777" w:rsidR="00164D60" w:rsidRPr="00FB26C9" w:rsidRDefault="000821F5" w:rsidP="00FB26C9">
            <w:pPr>
              <w:spacing w:before="120" w:after="120" w:line="260" w:lineRule="atLeast"/>
              <w:jc w:val="center"/>
              <w:rPr>
                <w:rFonts w:ascii="Verdana" w:hAnsi="Verdana"/>
                <w:sz w:val="18"/>
                <w:szCs w:val="18"/>
                <w:lang w:val="tr-TR"/>
              </w:rPr>
            </w:pPr>
            <w:r w:rsidRPr="00FB26C9">
              <w:rPr>
                <w:rFonts w:ascii="Verdana" w:hAnsi="Verdana"/>
                <w:sz w:val="18"/>
                <w:szCs w:val="18"/>
                <w:lang w:val="tr-TR"/>
              </w:rPr>
              <w:t xml:space="preserve">Zorunlu </w:t>
            </w:r>
            <w:r w:rsidR="00591630" w:rsidRPr="00FB26C9">
              <w:rPr>
                <w:rFonts w:ascii="Verdana" w:hAnsi="Verdana"/>
                <w:sz w:val="18"/>
                <w:szCs w:val="18"/>
                <w:lang w:val="tr-TR"/>
              </w:rPr>
              <w:t>Slaytlar</w:t>
            </w:r>
          </w:p>
        </w:tc>
        <w:tc>
          <w:tcPr>
            <w:tcW w:w="7272" w:type="dxa"/>
            <w:gridSpan w:val="2"/>
            <w:tcBorders>
              <w:top w:val="single" w:sz="4" w:space="0" w:color="auto"/>
              <w:left w:val="single" w:sz="4" w:space="0" w:color="auto"/>
              <w:bottom w:val="single" w:sz="4" w:space="0" w:color="auto"/>
              <w:right w:val="single" w:sz="4" w:space="0" w:color="auto"/>
            </w:tcBorders>
            <w:vAlign w:val="center"/>
          </w:tcPr>
          <w:p w14:paraId="42968BDA" w14:textId="23459195" w:rsidR="00164D60" w:rsidRPr="00FB26C9" w:rsidRDefault="00B5480A" w:rsidP="00FB26C9">
            <w:pPr>
              <w:spacing w:before="120" w:after="120" w:line="260" w:lineRule="atLeast"/>
              <w:jc w:val="both"/>
              <w:rPr>
                <w:rFonts w:ascii="Verdana" w:hAnsi="Verdana"/>
                <w:sz w:val="18"/>
                <w:szCs w:val="18"/>
                <w:lang w:val="tr-TR"/>
              </w:rPr>
            </w:pPr>
            <w:r w:rsidRPr="00FB26C9">
              <w:rPr>
                <w:rFonts w:ascii="Verdana" w:hAnsi="Verdana"/>
                <w:sz w:val="18"/>
                <w:szCs w:val="18"/>
                <w:lang w:val="tr-TR"/>
              </w:rPr>
              <w:t xml:space="preserve">Bu slaytlar, Budapeşte Sözleşmesi’nin kapsamına dair bilgiler sunmaktadır. Bu slaytlar Budapeşte Sözleşmesi’nin “üç sütunu” (suç sayılan eylemler, usul araçları ve uluslararası işbirliği) hakkında bilgi vermektedir. Eğitici, ilk iki sütunun bu oturumun önceki bölümünde anlatıldığını, bununla birlikte bu dersle ilgili en önemli sütun olan uluslararası işbirliğinin, bir sonraki gün anlatılacağını belirtebilir. Bu bölüm, Budapeşte Sözleşmesi’nin uluslararası işbirliğine dair kurallarını özetleyen bir slayt ile tamamlanmaktadır.  </w:t>
            </w:r>
          </w:p>
        </w:tc>
      </w:tr>
      <w:tr w:rsidR="00164D60" w:rsidRPr="00FB26C9" w14:paraId="370645C1" w14:textId="77777777" w:rsidTr="00FB26C9">
        <w:trPr>
          <w:trHeight w:val="563"/>
        </w:trPr>
        <w:tc>
          <w:tcPr>
            <w:tcW w:w="1824" w:type="dxa"/>
            <w:tcBorders>
              <w:top w:val="single" w:sz="4" w:space="0" w:color="auto"/>
              <w:left w:val="single" w:sz="4" w:space="0" w:color="auto"/>
              <w:bottom w:val="single" w:sz="4" w:space="0" w:color="auto"/>
              <w:right w:val="single" w:sz="4" w:space="0" w:color="auto"/>
            </w:tcBorders>
            <w:vAlign w:val="center"/>
            <w:hideMark/>
          </w:tcPr>
          <w:p w14:paraId="5FA30DDE" w14:textId="77777777" w:rsidR="00164D60" w:rsidRPr="00FB26C9" w:rsidRDefault="00B5480A" w:rsidP="00FB26C9">
            <w:pPr>
              <w:spacing w:before="120" w:after="120" w:line="260" w:lineRule="atLeast"/>
              <w:jc w:val="center"/>
              <w:rPr>
                <w:rFonts w:ascii="Verdana" w:hAnsi="Verdana"/>
                <w:sz w:val="18"/>
                <w:szCs w:val="18"/>
                <w:lang w:val="tr-TR"/>
              </w:rPr>
            </w:pPr>
            <w:r w:rsidRPr="00FB26C9">
              <w:rPr>
                <w:rFonts w:ascii="Verdana" w:hAnsi="Verdana"/>
                <w:sz w:val="18"/>
                <w:szCs w:val="18"/>
                <w:lang w:val="tr-TR"/>
              </w:rPr>
              <w:t>16</w:t>
            </w:r>
            <w:r w:rsidR="00A1615A" w:rsidRPr="00FB26C9">
              <w:rPr>
                <w:rFonts w:ascii="Verdana" w:hAnsi="Verdana"/>
                <w:sz w:val="18"/>
                <w:szCs w:val="18"/>
                <w:lang w:val="tr-TR"/>
              </w:rPr>
              <w:t xml:space="preserve"> -</w:t>
            </w:r>
            <w:r w:rsidR="00164D60" w:rsidRPr="00FB26C9">
              <w:rPr>
                <w:rFonts w:ascii="Verdana" w:hAnsi="Verdana"/>
                <w:sz w:val="18"/>
                <w:szCs w:val="18"/>
                <w:lang w:val="tr-TR"/>
              </w:rPr>
              <w:t xml:space="preserve"> </w:t>
            </w:r>
            <w:r w:rsidRPr="00FB26C9">
              <w:rPr>
                <w:rFonts w:ascii="Verdana" w:hAnsi="Verdana"/>
                <w:sz w:val="18"/>
                <w:szCs w:val="18"/>
                <w:lang w:val="tr-TR"/>
              </w:rPr>
              <w:t>29</w:t>
            </w:r>
          </w:p>
          <w:p w14:paraId="0D57F683" w14:textId="77777777" w:rsidR="00164D60" w:rsidRPr="00FB26C9" w:rsidRDefault="000821F5" w:rsidP="00FB26C9">
            <w:pPr>
              <w:spacing w:before="120" w:after="120" w:line="260" w:lineRule="atLeast"/>
              <w:jc w:val="center"/>
              <w:rPr>
                <w:rFonts w:ascii="Verdana" w:hAnsi="Verdana"/>
                <w:sz w:val="18"/>
                <w:szCs w:val="18"/>
                <w:lang w:val="tr-TR"/>
              </w:rPr>
            </w:pPr>
            <w:r w:rsidRPr="00FB26C9">
              <w:rPr>
                <w:rFonts w:ascii="Verdana" w:hAnsi="Verdana"/>
                <w:sz w:val="18"/>
                <w:szCs w:val="18"/>
                <w:lang w:val="tr-TR"/>
              </w:rPr>
              <w:t xml:space="preserve">Zorunlu </w:t>
            </w:r>
            <w:r w:rsidR="00A8398D" w:rsidRPr="00FB26C9">
              <w:rPr>
                <w:rFonts w:ascii="Verdana" w:hAnsi="Verdana"/>
                <w:sz w:val="18"/>
                <w:szCs w:val="18"/>
                <w:lang w:val="tr-TR"/>
              </w:rPr>
              <w:t>Slaytlar</w:t>
            </w:r>
          </w:p>
        </w:tc>
        <w:tc>
          <w:tcPr>
            <w:tcW w:w="7272" w:type="dxa"/>
            <w:gridSpan w:val="2"/>
            <w:tcBorders>
              <w:top w:val="single" w:sz="4" w:space="0" w:color="auto"/>
              <w:left w:val="single" w:sz="4" w:space="0" w:color="auto"/>
              <w:bottom w:val="single" w:sz="4" w:space="0" w:color="auto"/>
              <w:right w:val="single" w:sz="4" w:space="0" w:color="auto"/>
            </w:tcBorders>
            <w:vAlign w:val="center"/>
            <w:hideMark/>
          </w:tcPr>
          <w:p w14:paraId="0298B28C" w14:textId="77777777" w:rsidR="00164D60" w:rsidRPr="00FB26C9" w:rsidRDefault="00605D1D" w:rsidP="00FB26C9">
            <w:pPr>
              <w:spacing w:before="120" w:after="120" w:line="260" w:lineRule="atLeast"/>
              <w:jc w:val="both"/>
              <w:rPr>
                <w:rFonts w:ascii="Verdana" w:hAnsi="Verdana"/>
                <w:sz w:val="18"/>
                <w:szCs w:val="18"/>
                <w:lang w:val="tr-TR"/>
              </w:rPr>
            </w:pPr>
            <w:r w:rsidRPr="00FB26C9">
              <w:rPr>
                <w:rFonts w:ascii="Verdana" w:hAnsi="Verdana"/>
                <w:sz w:val="18"/>
                <w:szCs w:val="18"/>
                <w:lang w:val="tr-TR"/>
              </w:rPr>
              <w:t>Bu slaytlar</w:t>
            </w:r>
            <w:r w:rsidR="00A1615A" w:rsidRPr="00FB26C9">
              <w:rPr>
                <w:rFonts w:ascii="Verdana" w:hAnsi="Verdana"/>
                <w:sz w:val="18"/>
                <w:szCs w:val="18"/>
                <w:lang w:val="tr-TR"/>
              </w:rPr>
              <w:t>,</w:t>
            </w:r>
            <w:r w:rsidRPr="00FB26C9">
              <w:rPr>
                <w:rFonts w:ascii="Verdana" w:hAnsi="Verdana"/>
                <w:sz w:val="18"/>
                <w:szCs w:val="18"/>
                <w:lang w:val="tr-TR"/>
              </w:rPr>
              <w:t xml:space="preserve"> </w:t>
            </w:r>
            <w:r w:rsidR="00B161A1" w:rsidRPr="00FB26C9">
              <w:rPr>
                <w:rFonts w:ascii="Verdana" w:hAnsi="Verdana"/>
                <w:sz w:val="18"/>
                <w:szCs w:val="18"/>
                <w:lang w:val="tr-TR"/>
              </w:rPr>
              <w:t xml:space="preserve">resmi </w:t>
            </w:r>
            <w:r w:rsidR="00985DBE" w:rsidRPr="00FB26C9">
              <w:rPr>
                <w:rFonts w:ascii="Verdana" w:hAnsi="Verdana"/>
                <w:sz w:val="18"/>
                <w:szCs w:val="18"/>
                <w:lang w:val="tr-TR"/>
              </w:rPr>
              <w:t>uluslararası</w:t>
            </w:r>
            <w:r w:rsidRPr="00FB26C9">
              <w:rPr>
                <w:rFonts w:ascii="Verdana" w:hAnsi="Verdana"/>
                <w:sz w:val="18"/>
                <w:szCs w:val="18"/>
                <w:lang w:val="tr-TR"/>
              </w:rPr>
              <w:t xml:space="preserve"> </w:t>
            </w:r>
            <w:r w:rsidR="00985DBE" w:rsidRPr="00FB26C9">
              <w:rPr>
                <w:rFonts w:ascii="Verdana" w:hAnsi="Verdana"/>
                <w:sz w:val="18"/>
                <w:szCs w:val="18"/>
                <w:lang w:val="tr-TR"/>
              </w:rPr>
              <w:t xml:space="preserve">işbirliğine ilişkin </w:t>
            </w:r>
            <w:r w:rsidR="004F4F82" w:rsidRPr="00FB26C9">
              <w:rPr>
                <w:rFonts w:ascii="Verdana" w:hAnsi="Verdana"/>
                <w:sz w:val="18"/>
                <w:szCs w:val="18"/>
                <w:lang w:val="tr-TR"/>
              </w:rPr>
              <w:t xml:space="preserve">uluslararası </w:t>
            </w:r>
            <w:r w:rsidR="00A1615A" w:rsidRPr="00FB26C9">
              <w:rPr>
                <w:rFonts w:ascii="Verdana" w:hAnsi="Verdana"/>
                <w:sz w:val="18"/>
                <w:szCs w:val="18"/>
                <w:lang w:val="tr-TR"/>
              </w:rPr>
              <w:t>ortam</w:t>
            </w:r>
            <w:r w:rsidR="00B161A1" w:rsidRPr="00FB26C9">
              <w:rPr>
                <w:rFonts w:ascii="Verdana" w:hAnsi="Verdana"/>
                <w:sz w:val="18"/>
                <w:szCs w:val="18"/>
                <w:lang w:val="tr-TR"/>
              </w:rPr>
              <w:t xml:space="preserve">a dair </w:t>
            </w:r>
            <w:r w:rsidR="00A1615A" w:rsidRPr="00FB26C9">
              <w:rPr>
                <w:rFonts w:ascii="Verdana" w:hAnsi="Verdana"/>
                <w:sz w:val="18"/>
                <w:szCs w:val="18"/>
                <w:lang w:val="tr-TR"/>
              </w:rPr>
              <w:t>bir değerlendirme sun</w:t>
            </w:r>
            <w:r w:rsidR="00B161A1" w:rsidRPr="00FB26C9">
              <w:rPr>
                <w:rFonts w:ascii="Verdana" w:hAnsi="Verdana"/>
                <w:sz w:val="18"/>
                <w:szCs w:val="18"/>
                <w:lang w:val="tr-TR"/>
              </w:rPr>
              <w:t>maktadır</w:t>
            </w:r>
            <w:r w:rsidR="00A1615A" w:rsidRPr="00FB26C9">
              <w:rPr>
                <w:rFonts w:ascii="Verdana" w:hAnsi="Verdana"/>
                <w:sz w:val="18"/>
                <w:szCs w:val="18"/>
                <w:lang w:val="tr-TR"/>
              </w:rPr>
              <w:t>. Slaytlar</w:t>
            </w:r>
            <w:r w:rsidR="00B161A1" w:rsidRPr="00FB26C9">
              <w:rPr>
                <w:rFonts w:ascii="Verdana" w:hAnsi="Verdana"/>
                <w:sz w:val="18"/>
                <w:szCs w:val="18"/>
                <w:lang w:val="tr-TR"/>
              </w:rPr>
              <w:t>da</w:t>
            </w:r>
            <w:r w:rsidR="00A1615A" w:rsidRPr="00FB26C9">
              <w:rPr>
                <w:rFonts w:ascii="Verdana" w:hAnsi="Verdana"/>
                <w:sz w:val="18"/>
                <w:szCs w:val="18"/>
                <w:lang w:val="tr-TR"/>
              </w:rPr>
              <w:t xml:space="preserve"> </w:t>
            </w:r>
            <w:r w:rsidR="001101DE" w:rsidRPr="00FB26C9">
              <w:rPr>
                <w:rFonts w:ascii="Verdana" w:hAnsi="Verdana"/>
                <w:sz w:val="18"/>
                <w:szCs w:val="18"/>
                <w:lang w:val="tr-TR"/>
              </w:rPr>
              <w:t xml:space="preserve">diğer </w:t>
            </w:r>
            <w:r w:rsidR="00B161A1" w:rsidRPr="00FB26C9">
              <w:rPr>
                <w:rFonts w:ascii="Verdana" w:hAnsi="Verdana"/>
                <w:sz w:val="18"/>
                <w:szCs w:val="18"/>
                <w:lang w:val="tr-TR"/>
              </w:rPr>
              <w:t>bölgesel araçlardan</w:t>
            </w:r>
            <w:r w:rsidR="001101DE" w:rsidRPr="00FB26C9">
              <w:rPr>
                <w:rFonts w:ascii="Verdana" w:hAnsi="Verdana"/>
                <w:sz w:val="18"/>
                <w:szCs w:val="18"/>
                <w:lang w:val="tr-TR"/>
              </w:rPr>
              <w:t xml:space="preserve"> önce </w:t>
            </w:r>
            <w:r w:rsidR="00A1615A" w:rsidRPr="00FB26C9">
              <w:rPr>
                <w:rFonts w:ascii="Verdana" w:hAnsi="Verdana"/>
                <w:sz w:val="18"/>
                <w:szCs w:val="18"/>
                <w:lang w:val="tr-TR"/>
              </w:rPr>
              <w:t>Birleşmiş Milletler Uyuşturucu ve Suç Ofisi</w:t>
            </w:r>
            <w:r w:rsidR="00243632" w:rsidRPr="00FB26C9">
              <w:rPr>
                <w:rFonts w:ascii="Verdana" w:hAnsi="Verdana"/>
                <w:sz w:val="18"/>
                <w:szCs w:val="18"/>
                <w:lang w:val="tr-TR"/>
              </w:rPr>
              <w:t xml:space="preserve"> </w:t>
            </w:r>
            <w:r w:rsidR="001101DE" w:rsidRPr="00FB26C9">
              <w:rPr>
                <w:rFonts w:ascii="Verdana" w:hAnsi="Verdana"/>
                <w:sz w:val="18"/>
                <w:szCs w:val="18"/>
                <w:lang w:val="tr-TR"/>
              </w:rPr>
              <w:t>(</w:t>
            </w:r>
            <w:r w:rsidR="00243632" w:rsidRPr="00FB26C9">
              <w:rPr>
                <w:rFonts w:ascii="Verdana" w:hAnsi="Verdana"/>
                <w:sz w:val="18"/>
                <w:szCs w:val="18"/>
                <w:lang w:val="tr-TR"/>
              </w:rPr>
              <w:t>UNODC</w:t>
            </w:r>
            <w:r w:rsidR="001101DE" w:rsidRPr="00FB26C9">
              <w:rPr>
                <w:rFonts w:ascii="Verdana" w:hAnsi="Verdana"/>
                <w:sz w:val="18"/>
                <w:szCs w:val="18"/>
                <w:lang w:val="tr-TR"/>
              </w:rPr>
              <w:t xml:space="preserve">) sözleşmeleri </w:t>
            </w:r>
            <w:r w:rsidR="005B5B3F" w:rsidRPr="00FB26C9">
              <w:rPr>
                <w:rFonts w:ascii="Verdana" w:hAnsi="Verdana"/>
                <w:sz w:val="18"/>
                <w:szCs w:val="18"/>
                <w:lang w:val="tr-TR"/>
              </w:rPr>
              <w:t>(BM Ulusaşırı Organize Suçla</w:t>
            </w:r>
            <w:r w:rsidR="00B161A1" w:rsidRPr="00FB26C9">
              <w:rPr>
                <w:rFonts w:ascii="Verdana" w:hAnsi="Verdana"/>
                <w:sz w:val="18"/>
                <w:szCs w:val="18"/>
                <w:lang w:val="tr-TR"/>
              </w:rPr>
              <w:t>rı Önleme</w:t>
            </w:r>
            <w:r w:rsidR="005B5B3F" w:rsidRPr="00FB26C9">
              <w:rPr>
                <w:rFonts w:ascii="Verdana" w:hAnsi="Verdana"/>
                <w:sz w:val="18"/>
                <w:szCs w:val="18"/>
                <w:lang w:val="tr-TR"/>
              </w:rPr>
              <w:t xml:space="preserve"> Sözleşmesi UNTOC ve BM Yolsuzlu</w:t>
            </w:r>
            <w:r w:rsidR="00B161A1" w:rsidRPr="00FB26C9">
              <w:rPr>
                <w:rFonts w:ascii="Verdana" w:hAnsi="Verdana"/>
                <w:sz w:val="18"/>
                <w:szCs w:val="18"/>
                <w:lang w:val="tr-TR"/>
              </w:rPr>
              <w:t>kla Mücadele</w:t>
            </w:r>
            <w:r w:rsidR="005B5B3F" w:rsidRPr="00FB26C9">
              <w:rPr>
                <w:rFonts w:ascii="Verdana" w:hAnsi="Verdana"/>
                <w:sz w:val="18"/>
                <w:szCs w:val="18"/>
                <w:lang w:val="tr-TR"/>
              </w:rPr>
              <w:t xml:space="preserve"> </w:t>
            </w:r>
            <w:r w:rsidR="00B161A1" w:rsidRPr="00FB26C9">
              <w:rPr>
                <w:rFonts w:ascii="Verdana" w:hAnsi="Verdana"/>
                <w:sz w:val="18"/>
                <w:szCs w:val="18"/>
                <w:lang w:val="tr-TR"/>
              </w:rPr>
              <w:t>Sözleşmesi</w:t>
            </w:r>
            <w:r w:rsidR="005B5B3F" w:rsidRPr="00FB26C9">
              <w:rPr>
                <w:rFonts w:ascii="Verdana" w:hAnsi="Verdana"/>
                <w:sz w:val="18"/>
                <w:szCs w:val="18"/>
                <w:lang w:val="tr-TR"/>
              </w:rPr>
              <w:t xml:space="preserve"> UNCAC)</w:t>
            </w:r>
            <w:r w:rsidR="00B161A1" w:rsidRPr="00FB26C9">
              <w:rPr>
                <w:rFonts w:ascii="Verdana" w:hAnsi="Verdana"/>
                <w:sz w:val="18"/>
                <w:szCs w:val="18"/>
                <w:lang w:val="tr-TR"/>
              </w:rPr>
              <w:t xml:space="preserve"> ve</w:t>
            </w:r>
            <w:r w:rsidR="005B5B3F" w:rsidRPr="00FB26C9">
              <w:rPr>
                <w:rFonts w:ascii="Verdana" w:hAnsi="Verdana"/>
                <w:sz w:val="18"/>
                <w:szCs w:val="18"/>
                <w:lang w:val="tr-TR"/>
              </w:rPr>
              <w:t xml:space="preserve"> Avrupa Konseyi Sözleşmeleri (Budapeşte Sözleşmesi</w:t>
            </w:r>
            <w:r w:rsidR="006B15C1" w:rsidRPr="00FB26C9">
              <w:rPr>
                <w:rFonts w:ascii="Verdana" w:hAnsi="Verdana"/>
                <w:sz w:val="18"/>
                <w:szCs w:val="18"/>
                <w:lang w:val="tr-TR"/>
              </w:rPr>
              <w:t>,</w:t>
            </w:r>
            <w:r w:rsidR="005B5B3F" w:rsidRPr="00FB26C9">
              <w:rPr>
                <w:rFonts w:ascii="Verdana" w:hAnsi="Verdana"/>
                <w:sz w:val="18"/>
                <w:szCs w:val="18"/>
                <w:lang w:val="tr-TR"/>
              </w:rPr>
              <w:t xml:space="preserve"> </w:t>
            </w:r>
            <w:r w:rsidR="00B161A1" w:rsidRPr="00FB26C9">
              <w:rPr>
                <w:rFonts w:ascii="Verdana" w:hAnsi="Verdana"/>
                <w:sz w:val="18"/>
                <w:szCs w:val="18"/>
                <w:lang w:val="tr-TR"/>
              </w:rPr>
              <w:t>Cezai İşlerde K</w:t>
            </w:r>
            <w:r w:rsidR="006B15C1" w:rsidRPr="00FB26C9">
              <w:rPr>
                <w:rFonts w:ascii="Verdana" w:hAnsi="Verdana"/>
                <w:sz w:val="18"/>
                <w:szCs w:val="18"/>
                <w:lang w:val="tr-TR"/>
              </w:rPr>
              <w:t xml:space="preserve">arşılıklı Adli Yardım </w:t>
            </w:r>
            <w:r w:rsidR="00B161A1" w:rsidRPr="00FB26C9">
              <w:rPr>
                <w:rFonts w:ascii="Verdana" w:hAnsi="Verdana"/>
                <w:sz w:val="18"/>
                <w:szCs w:val="18"/>
                <w:lang w:val="tr-TR"/>
              </w:rPr>
              <w:t>Avrupa Sözleşmesi</w:t>
            </w:r>
            <w:r w:rsidR="006B15C1" w:rsidRPr="00FB26C9">
              <w:rPr>
                <w:rFonts w:ascii="Verdana" w:hAnsi="Verdana"/>
                <w:sz w:val="18"/>
                <w:szCs w:val="18"/>
                <w:lang w:val="tr-TR"/>
              </w:rPr>
              <w:t>)</w:t>
            </w:r>
            <w:r w:rsidR="00A1615A" w:rsidRPr="00FB26C9">
              <w:rPr>
                <w:rFonts w:ascii="Verdana" w:hAnsi="Verdana"/>
                <w:sz w:val="18"/>
                <w:szCs w:val="18"/>
                <w:lang w:val="tr-TR"/>
              </w:rPr>
              <w:t xml:space="preserve"> </w:t>
            </w:r>
            <w:r w:rsidR="006B15C1" w:rsidRPr="00FB26C9">
              <w:rPr>
                <w:rFonts w:ascii="Verdana" w:hAnsi="Verdana"/>
                <w:sz w:val="18"/>
                <w:szCs w:val="18"/>
                <w:lang w:val="tr-TR"/>
              </w:rPr>
              <w:t xml:space="preserve">ele </w:t>
            </w:r>
            <w:r w:rsidR="00B161A1" w:rsidRPr="00FB26C9">
              <w:rPr>
                <w:rFonts w:ascii="Verdana" w:hAnsi="Verdana"/>
                <w:sz w:val="18"/>
                <w:szCs w:val="18"/>
                <w:lang w:val="tr-TR"/>
              </w:rPr>
              <w:t>alınmaktadır</w:t>
            </w:r>
            <w:r w:rsidR="006B15C1" w:rsidRPr="00FB26C9">
              <w:rPr>
                <w:rFonts w:ascii="Verdana" w:hAnsi="Verdana"/>
                <w:sz w:val="18"/>
                <w:szCs w:val="18"/>
                <w:lang w:val="tr-TR"/>
              </w:rPr>
              <w:t>.</w:t>
            </w:r>
            <w:r w:rsidR="00A1615A" w:rsidRPr="00FB26C9">
              <w:rPr>
                <w:rFonts w:ascii="Verdana" w:hAnsi="Verdana"/>
                <w:sz w:val="18"/>
                <w:szCs w:val="18"/>
                <w:lang w:val="tr-TR"/>
              </w:rPr>
              <w:t xml:space="preserve"> </w:t>
            </w:r>
            <w:r w:rsidR="006B15C1" w:rsidRPr="00FB26C9">
              <w:rPr>
                <w:rFonts w:ascii="Verdana" w:hAnsi="Verdana"/>
                <w:sz w:val="18"/>
                <w:szCs w:val="18"/>
                <w:lang w:val="tr-TR"/>
              </w:rPr>
              <w:t xml:space="preserve">Bu bölüm bir anketle </w:t>
            </w:r>
            <w:r w:rsidR="00B161A1" w:rsidRPr="00FB26C9">
              <w:rPr>
                <w:rFonts w:ascii="Verdana" w:hAnsi="Verdana"/>
                <w:sz w:val="18"/>
                <w:szCs w:val="18"/>
                <w:lang w:val="tr-TR"/>
              </w:rPr>
              <w:t>sorusuyla sona er</w:t>
            </w:r>
            <w:r w:rsidR="00751BE8" w:rsidRPr="00FB26C9">
              <w:rPr>
                <w:rFonts w:ascii="Verdana" w:hAnsi="Verdana"/>
                <w:sz w:val="18"/>
                <w:szCs w:val="18"/>
                <w:lang w:val="tr-TR"/>
              </w:rPr>
              <w:t>mektedir</w:t>
            </w:r>
            <w:r w:rsidR="006B15C1" w:rsidRPr="00FB26C9">
              <w:rPr>
                <w:rFonts w:ascii="Verdana" w:hAnsi="Verdana"/>
                <w:sz w:val="18"/>
                <w:szCs w:val="18"/>
                <w:lang w:val="tr-TR"/>
              </w:rPr>
              <w:t xml:space="preserve">. </w:t>
            </w:r>
          </w:p>
        </w:tc>
      </w:tr>
      <w:tr w:rsidR="00164D60" w:rsidRPr="00FB26C9" w14:paraId="326D5FE8" w14:textId="77777777" w:rsidTr="00FB26C9">
        <w:trPr>
          <w:trHeight w:val="634"/>
        </w:trPr>
        <w:tc>
          <w:tcPr>
            <w:tcW w:w="1824" w:type="dxa"/>
            <w:tcBorders>
              <w:top w:val="single" w:sz="4" w:space="0" w:color="auto"/>
              <w:left w:val="single" w:sz="4" w:space="0" w:color="auto"/>
              <w:bottom w:val="single" w:sz="4" w:space="0" w:color="auto"/>
              <w:right w:val="single" w:sz="4" w:space="0" w:color="auto"/>
            </w:tcBorders>
            <w:vAlign w:val="center"/>
            <w:hideMark/>
          </w:tcPr>
          <w:p w14:paraId="06AECCFE" w14:textId="77777777" w:rsidR="00164D60" w:rsidRPr="00FB26C9" w:rsidRDefault="00B5480A" w:rsidP="00FB26C9">
            <w:pPr>
              <w:spacing w:before="120" w:after="120" w:line="260" w:lineRule="atLeast"/>
              <w:jc w:val="center"/>
              <w:rPr>
                <w:rFonts w:ascii="Verdana" w:hAnsi="Verdana"/>
                <w:sz w:val="18"/>
                <w:szCs w:val="18"/>
                <w:lang w:val="tr-TR"/>
              </w:rPr>
            </w:pPr>
            <w:r w:rsidRPr="00FB26C9">
              <w:rPr>
                <w:rFonts w:ascii="Verdana" w:hAnsi="Verdana"/>
                <w:sz w:val="18"/>
                <w:szCs w:val="18"/>
                <w:lang w:val="tr-TR"/>
              </w:rPr>
              <w:t>30-32</w:t>
            </w:r>
          </w:p>
          <w:p w14:paraId="7AFAE883" w14:textId="77777777" w:rsidR="00164D60" w:rsidRPr="00FB26C9" w:rsidRDefault="00A1615A" w:rsidP="00FB26C9">
            <w:pPr>
              <w:spacing w:before="120" w:after="120" w:line="260" w:lineRule="atLeast"/>
              <w:jc w:val="center"/>
              <w:rPr>
                <w:rFonts w:ascii="Verdana" w:hAnsi="Verdana"/>
                <w:sz w:val="18"/>
                <w:szCs w:val="18"/>
                <w:lang w:val="tr-TR"/>
              </w:rPr>
            </w:pPr>
            <w:r w:rsidRPr="00FB26C9">
              <w:rPr>
                <w:rFonts w:ascii="Verdana" w:hAnsi="Verdana"/>
                <w:sz w:val="18"/>
                <w:szCs w:val="18"/>
                <w:lang w:val="tr-TR"/>
              </w:rPr>
              <w:t>Önemli Slaytlar</w:t>
            </w:r>
          </w:p>
        </w:tc>
        <w:tc>
          <w:tcPr>
            <w:tcW w:w="7272" w:type="dxa"/>
            <w:gridSpan w:val="2"/>
            <w:tcBorders>
              <w:top w:val="single" w:sz="4" w:space="0" w:color="auto"/>
              <w:left w:val="single" w:sz="4" w:space="0" w:color="auto"/>
              <w:bottom w:val="single" w:sz="4" w:space="0" w:color="auto"/>
              <w:right w:val="single" w:sz="4" w:space="0" w:color="auto"/>
            </w:tcBorders>
            <w:vAlign w:val="center"/>
            <w:hideMark/>
          </w:tcPr>
          <w:p w14:paraId="06B6EB4B" w14:textId="77777777" w:rsidR="00164D60" w:rsidRPr="00FB26C9" w:rsidRDefault="005A2D53" w:rsidP="00FB26C9">
            <w:pPr>
              <w:spacing w:before="120" w:after="120" w:line="260" w:lineRule="atLeast"/>
              <w:jc w:val="both"/>
              <w:rPr>
                <w:rFonts w:ascii="Verdana" w:hAnsi="Verdana"/>
                <w:sz w:val="18"/>
                <w:szCs w:val="18"/>
                <w:lang w:val="tr-TR"/>
              </w:rPr>
            </w:pPr>
            <w:r w:rsidRPr="00FB26C9">
              <w:rPr>
                <w:rFonts w:ascii="Verdana" w:hAnsi="Verdana"/>
                <w:sz w:val="18"/>
                <w:szCs w:val="18"/>
                <w:lang w:val="tr-TR"/>
              </w:rPr>
              <w:t>Eğit</w:t>
            </w:r>
            <w:r w:rsidR="00284757" w:rsidRPr="00FB26C9">
              <w:rPr>
                <w:rFonts w:ascii="Verdana" w:hAnsi="Verdana"/>
                <w:sz w:val="18"/>
                <w:szCs w:val="18"/>
                <w:lang w:val="tr-TR"/>
              </w:rPr>
              <w:t>i</w:t>
            </w:r>
            <w:r w:rsidRPr="00FB26C9">
              <w:rPr>
                <w:rFonts w:ascii="Verdana" w:hAnsi="Verdana"/>
                <w:sz w:val="18"/>
                <w:szCs w:val="18"/>
                <w:lang w:val="tr-TR"/>
              </w:rPr>
              <w:t xml:space="preserve">ci, </w:t>
            </w:r>
            <w:r w:rsidR="00284757" w:rsidRPr="00FB26C9">
              <w:rPr>
                <w:rFonts w:ascii="Verdana" w:hAnsi="Verdana"/>
                <w:sz w:val="18"/>
                <w:szCs w:val="18"/>
                <w:lang w:val="tr-TR"/>
              </w:rPr>
              <w:t xml:space="preserve">öğrenme hedeflerini katılımcılarla birlikte tekrar gözden geçirmeli </w:t>
            </w:r>
            <w:r w:rsidRPr="00FB26C9">
              <w:rPr>
                <w:rFonts w:ascii="Verdana" w:hAnsi="Verdana"/>
                <w:sz w:val="18"/>
                <w:szCs w:val="18"/>
                <w:lang w:val="tr-TR"/>
              </w:rPr>
              <w:t>ve</w:t>
            </w:r>
            <w:r w:rsidR="00284757" w:rsidRPr="00FB26C9">
              <w:rPr>
                <w:rFonts w:ascii="Verdana" w:hAnsi="Verdana"/>
                <w:sz w:val="18"/>
                <w:szCs w:val="18"/>
                <w:lang w:val="tr-TR"/>
              </w:rPr>
              <w:t xml:space="preserve"> katılımcılara</w:t>
            </w:r>
            <w:r w:rsidRPr="00FB26C9">
              <w:rPr>
                <w:rFonts w:ascii="Verdana" w:hAnsi="Verdana"/>
                <w:sz w:val="18"/>
                <w:szCs w:val="18"/>
                <w:lang w:val="tr-TR"/>
              </w:rPr>
              <w:t xml:space="preserve"> </w:t>
            </w:r>
            <w:r w:rsidR="00284757" w:rsidRPr="00FB26C9">
              <w:rPr>
                <w:rFonts w:ascii="Verdana" w:hAnsi="Verdana"/>
                <w:sz w:val="18"/>
                <w:szCs w:val="18"/>
                <w:lang w:val="tr-TR"/>
              </w:rPr>
              <w:t>bu modülde sunulan konulara</w:t>
            </w:r>
            <w:r w:rsidRPr="00FB26C9">
              <w:rPr>
                <w:rFonts w:ascii="Verdana" w:hAnsi="Verdana"/>
                <w:sz w:val="18"/>
                <w:szCs w:val="18"/>
                <w:lang w:val="tr-TR"/>
              </w:rPr>
              <w:t xml:space="preserve"> ilişkin soru sormaları için </w:t>
            </w:r>
            <w:r w:rsidR="00284757" w:rsidRPr="00FB26C9">
              <w:rPr>
                <w:rFonts w:ascii="Verdana" w:hAnsi="Verdana"/>
                <w:sz w:val="18"/>
                <w:szCs w:val="18"/>
                <w:lang w:val="tr-TR"/>
              </w:rPr>
              <w:t>fırsat vermelidir</w:t>
            </w:r>
            <w:r w:rsidRPr="00FB26C9">
              <w:rPr>
                <w:rFonts w:ascii="Verdana" w:hAnsi="Verdana"/>
                <w:sz w:val="18"/>
                <w:szCs w:val="18"/>
                <w:lang w:val="tr-TR"/>
              </w:rPr>
              <w:t xml:space="preserve">. </w:t>
            </w:r>
          </w:p>
        </w:tc>
      </w:tr>
      <w:tr w:rsidR="00164D60" w:rsidRPr="00FB26C9" w14:paraId="6276FE02" w14:textId="77777777" w:rsidTr="00FB26C9">
        <w:trPr>
          <w:trHeight w:val="634"/>
        </w:trPr>
        <w:tc>
          <w:tcPr>
            <w:tcW w:w="9096" w:type="dxa"/>
            <w:gridSpan w:val="3"/>
            <w:tcBorders>
              <w:top w:val="single" w:sz="4" w:space="0" w:color="auto"/>
              <w:left w:val="single" w:sz="4" w:space="0" w:color="auto"/>
              <w:bottom w:val="single" w:sz="4" w:space="0" w:color="auto"/>
              <w:right w:val="single" w:sz="4" w:space="0" w:color="auto"/>
            </w:tcBorders>
            <w:vAlign w:val="center"/>
            <w:hideMark/>
          </w:tcPr>
          <w:p w14:paraId="290521F2" w14:textId="77777777" w:rsidR="00164D60" w:rsidRPr="00FB26C9" w:rsidRDefault="00B268D0" w:rsidP="00FB26C9">
            <w:pPr>
              <w:spacing w:before="120" w:after="120" w:line="260" w:lineRule="atLeast"/>
              <w:rPr>
                <w:rFonts w:ascii="Verdana" w:hAnsi="Verdana"/>
                <w:b/>
                <w:lang w:val="tr-TR"/>
              </w:rPr>
            </w:pPr>
            <w:r w:rsidRPr="00FB26C9">
              <w:rPr>
                <w:rFonts w:ascii="Verdana" w:hAnsi="Verdana"/>
                <w:b/>
                <w:lang w:val="tr-TR"/>
              </w:rPr>
              <w:t xml:space="preserve">Uygulamalı </w:t>
            </w:r>
            <w:r w:rsidR="000821F5" w:rsidRPr="00FB26C9">
              <w:rPr>
                <w:rFonts w:ascii="Verdana" w:hAnsi="Verdana"/>
                <w:b/>
                <w:lang w:val="tr-TR"/>
              </w:rPr>
              <w:t>Egzersizler</w:t>
            </w:r>
          </w:p>
          <w:p w14:paraId="44F41283" w14:textId="77777777" w:rsidR="00164D60" w:rsidRPr="00FB26C9" w:rsidRDefault="00B268D0" w:rsidP="00FB26C9">
            <w:pPr>
              <w:spacing w:before="120" w:after="120" w:line="260" w:lineRule="atLeast"/>
              <w:rPr>
                <w:rFonts w:ascii="Verdana" w:hAnsi="Verdana"/>
                <w:sz w:val="18"/>
                <w:szCs w:val="18"/>
                <w:lang w:val="tr-TR"/>
              </w:rPr>
            </w:pPr>
            <w:r w:rsidRPr="00FB26C9">
              <w:rPr>
                <w:rFonts w:ascii="Verdana" w:hAnsi="Verdana"/>
                <w:color w:val="000000"/>
                <w:sz w:val="18"/>
                <w:szCs w:val="18"/>
                <w:lang w:val="tr-TR"/>
              </w:rPr>
              <w:t xml:space="preserve">Bu </w:t>
            </w:r>
            <w:r w:rsidR="000821F5" w:rsidRPr="00FB26C9">
              <w:rPr>
                <w:rFonts w:ascii="Verdana" w:hAnsi="Verdana"/>
                <w:color w:val="000000"/>
                <w:sz w:val="18"/>
                <w:szCs w:val="18"/>
                <w:lang w:val="tr-TR"/>
              </w:rPr>
              <w:t xml:space="preserve">ders </w:t>
            </w:r>
            <w:r w:rsidRPr="00FB26C9">
              <w:rPr>
                <w:rFonts w:ascii="Verdana" w:hAnsi="Verdana"/>
                <w:color w:val="000000"/>
                <w:sz w:val="18"/>
                <w:szCs w:val="18"/>
                <w:lang w:val="tr-TR"/>
              </w:rPr>
              <w:t xml:space="preserve">için uygulamalı </w:t>
            </w:r>
            <w:r w:rsidR="000821F5" w:rsidRPr="00FB26C9">
              <w:rPr>
                <w:rFonts w:ascii="Verdana" w:hAnsi="Verdana"/>
                <w:color w:val="000000"/>
                <w:sz w:val="18"/>
                <w:szCs w:val="18"/>
                <w:lang w:val="tr-TR"/>
              </w:rPr>
              <w:t xml:space="preserve">egzersiz </w:t>
            </w:r>
            <w:r w:rsidRPr="00FB26C9">
              <w:rPr>
                <w:rFonts w:ascii="Verdana" w:hAnsi="Verdana"/>
                <w:color w:val="000000"/>
                <w:sz w:val="18"/>
                <w:szCs w:val="18"/>
                <w:lang w:val="tr-TR"/>
              </w:rPr>
              <w:t>öngörülm</w:t>
            </w:r>
            <w:r w:rsidR="000821F5" w:rsidRPr="00FB26C9">
              <w:rPr>
                <w:rFonts w:ascii="Verdana" w:hAnsi="Verdana"/>
                <w:color w:val="000000"/>
                <w:sz w:val="18"/>
                <w:szCs w:val="18"/>
                <w:lang w:val="tr-TR"/>
              </w:rPr>
              <w:t>emektedir</w:t>
            </w:r>
            <w:r w:rsidRPr="00FB26C9">
              <w:rPr>
                <w:rFonts w:ascii="Verdana" w:hAnsi="Verdana"/>
                <w:color w:val="000000"/>
                <w:sz w:val="18"/>
                <w:szCs w:val="18"/>
                <w:lang w:val="tr-TR"/>
              </w:rPr>
              <w:t xml:space="preserve">. </w:t>
            </w:r>
          </w:p>
        </w:tc>
      </w:tr>
      <w:tr w:rsidR="00164D60" w:rsidRPr="00FB26C9" w14:paraId="19E542AD" w14:textId="77777777" w:rsidTr="00FB26C9">
        <w:trPr>
          <w:trHeight w:val="102"/>
        </w:trPr>
        <w:tc>
          <w:tcPr>
            <w:tcW w:w="9096" w:type="dxa"/>
            <w:gridSpan w:val="3"/>
            <w:tcBorders>
              <w:top w:val="single" w:sz="4" w:space="0" w:color="auto"/>
              <w:left w:val="single" w:sz="4" w:space="0" w:color="auto"/>
              <w:bottom w:val="single" w:sz="4" w:space="0" w:color="auto"/>
              <w:right w:val="single" w:sz="4" w:space="0" w:color="auto"/>
            </w:tcBorders>
            <w:vAlign w:val="center"/>
            <w:hideMark/>
          </w:tcPr>
          <w:p w14:paraId="09FB8B71" w14:textId="77777777" w:rsidR="00164D60" w:rsidRPr="00FB26C9" w:rsidRDefault="00B268D0" w:rsidP="00FB26C9">
            <w:pPr>
              <w:spacing w:before="120" w:after="120" w:line="260" w:lineRule="atLeast"/>
              <w:rPr>
                <w:rFonts w:ascii="Verdana" w:hAnsi="Verdana"/>
                <w:b/>
                <w:lang w:val="tr-TR"/>
              </w:rPr>
            </w:pPr>
            <w:r w:rsidRPr="00FB26C9">
              <w:rPr>
                <w:rFonts w:ascii="Verdana" w:hAnsi="Verdana"/>
                <w:b/>
                <w:lang w:val="tr-TR"/>
              </w:rPr>
              <w:t>Değerlendirme/Bilgi Kontrolü</w:t>
            </w:r>
          </w:p>
          <w:p w14:paraId="12211312" w14:textId="77777777" w:rsidR="00164D60" w:rsidRPr="00FB26C9" w:rsidRDefault="00B268D0" w:rsidP="00FB26C9">
            <w:pPr>
              <w:spacing w:before="120" w:after="120" w:line="260" w:lineRule="atLeast"/>
              <w:rPr>
                <w:rFonts w:ascii="Verdana" w:hAnsi="Verdana"/>
                <w:sz w:val="18"/>
                <w:szCs w:val="18"/>
                <w:lang w:val="tr-TR"/>
              </w:rPr>
            </w:pPr>
            <w:r w:rsidRPr="00FB26C9">
              <w:rPr>
                <w:rFonts w:ascii="Verdana" w:hAnsi="Verdana"/>
                <w:color w:val="000000"/>
                <w:sz w:val="18"/>
                <w:szCs w:val="18"/>
                <w:lang w:val="tr-TR"/>
              </w:rPr>
              <w:t xml:space="preserve">Bu oturum için bilgi kontrolü </w:t>
            </w:r>
            <w:r w:rsidR="000821F5" w:rsidRPr="00FB26C9">
              <w:rPr>
                <w:rFonts w:ascii="Verdana" w:hAnsi="Verdana"/>
                <w:color w:val="000000"/>
                <w:sz w:val="18"/>
                <w:szCs w:val="18"/>
                <w:lang w:val="tr-TR"/>
              </w:rPr>
              <w:t>veya</w:t>
            </w:r>
            <w:r w:rsidRPr="00FB26C9">
              <w:rPr>
                <w:rFonts w:ascii="Verdana" w:hAnsi="Verdana"/>
                <w:color w:val="000000"/>
                <w:sz w:val="18"/>
                <w:szCs w:val="18"/>
                <w:lang w:val="tr-TR"/>
              </w:rPr>
              <w:t xml:space="preserve"> değerlendirme istenme</w:t>
            </w:r>
            <w:r w:rsidR="000821F5" w:rsidRPr="00FB26C9">
              <w:rPr>
                <w:rFonts w:ascii="Verdana" w:hAnsi="Verdana"/>
                <w:color w:val="000000"/>
                <w:sz w:val="18"/>
                <w:szCs w:val="18"/>
                <w:lang w:val="tr-TR"/>
              </w:rPr>
              <w:t>miştir</w:t>
            </w:r>
            <w:r w:rsidRPr="00FB26C9">
              <w:rPr>
                <w:rFonts w:ascii="Verdana" w:hAnsi="Verdana"/>
                <w:color w:val="000000"/>
                <w:sz w:val="18"/>
                <w:szCs w:val="18"/>
                <w:lang w:val="tr-TR"/>
              </w:rPr>
              <w:t>.</w:t>
            </w:r>
          </w:p>
        </w:tc>
      </w:tr>
      <w:tr w:rsidR="00164D60" w:rsidRPr="00FB26C9" w14:paraId="7650B20A" w14:textId="77777777" w:rsidTr="00FB26C9">
        <w:trPr>
          <w:trHeight w:hRule="exact" w:val="10"/>
        </w:trPr>
        <w:tc>
          <w:tcPr>
            <w:tcW w:w="1824" w:type="dxa"/>
            <w:tcBorders>
              <w:top w:val="nil"/>
              <w:left w:val="nil"/>
              <w:bottom w:val="nil"/>
              <w:right w:val="nil"/>
            </w:tcBorders>
            <w:vAlign w:val="center"/>
            <w:hideMark/>
          </w:tcPr>
          <w:p w14:paraId="0B3BB5FA" w14:textId="77777777" w:rsidR="00164D60" w:rsidRPr="00FB26C9" w:rsidRDefault="00164D60" w:rsidP="00FB26C9">
            <w:pPr>
              <w:spacing w:before="120" w:after="120" w:line="260" w:lineRule="atLeast"/>
              <w:rPr>
                <w:rFonts w:ascii="Verdana" w:hAnsi="Verdana"/>
                <w:lang w:val="tr-TR"/>
              </w:rPr>
            </w:pPr>
          </w:p>
        </w:tc>
        <w:tc>
          <w:tcPr>
            <w:tcW w:w="5088" w:type="dxa"/>
            <w:tcBorders>
              <w:top w:val="nil"/>
              <w:left w:val="nil"/>
              <w:bottom w:val="nil"/>
              <w:right w:val="nil"/>
            </w:tcBorders>
            <w:vAlign w:val="center"/>
            <w:hideMark/>
          </w:tcPr>
          <w:p w14:paraId="0CC0E41B" w14:textId="77777777" w:rsidR="00164D60" w:rsidRPr="00FB26C9" w:rsidRDefault="00164D60" w:rsidP="00FB26C9">
            <w:pPr>
              <w:spacing w:before="120" w:after="120" w:line="260" w:lineRule="atLeast"/>
              <w:rPr>
                <w:rFonts w:ascii="Verdana" w:hAnsi="Verdana"/>
                <w:lang w:val="tr-TR"/>
              </w:rPr>
            </w:pPr>
          </w:p>
        </w:tc>
        <w:tc>
          <w:tcPr>
            <w:tcW w:w="2183" w:type="dxa"/>
            <w:tcBorders>
              <w:top w:val="nil"/>
              <w:left w:val="nil"/>
              <w:bottom w:val="nil"/>
              <w:right w:val="nil"/>
            </w:tcBorders>
            <w:vAlign w:val="center"/>
            <w:hideMark/>
          </w:tcPr>
          <w:p w14:paraId="5EFBA0B2" w14:textId="77777777" w:rsidR="00164D60" w:rsidRPr="00FB26C9" w:rsidRDefault="00164D60" w:rsidP="00FB26C9">
            <w:pPr>
              <w:spacing w:before="120" w:after="120" w:line="260" w:lineRule="atLeast"/>
              <w:rPr>
                <w:rFonts w:ascii="Verdana" w:hAnsi="Verdana"/>
                <w:lang w:val="tr-TR"/>
              </w:rPr>
            </w:pPr>
          </w:p>
        </w:tc>
      </w:tr>
    </w:tbl>
    <w:p w14:paraId="10CB209F" w14:textId="77777777" w:rsidR="00164D60" w:rsidRPr="00FB26C9" w:rsidRDefault="00164D60" w:rsidP="00FB26C9">
      <w:pPr>
        <w:spacing w:before="120" w:after="120" w:line="260" w:lineRule="atLeast"/>
        <w:rPr>
          <w:rFonts w:ascii="Verdana" w:eastAsia="Calibri" w:hAnsi="Verdana" w:cs="Times New Roman"/>
          <w:sz w:val="24"/>
          <w:szCs w:val="24"/>
        </w:rPr>
      </w:pPr>
    </w:p>
    <w:p w14:paraId="5BAF3852" w14:textId="77777777" w:rsidR="0008125B" w:rsidRPr="00FB26C9" w:rsidRDefault="0008125B" w:rsidP="00FB26C9">
      <w:pPr>
        <w:spacing w:before="120" w:after="120" w:line="260" w:lineRule="atLeast"/>
        <w:rPr>
          <w:rFonts w:ascii="Verdana" w:hAnsi="Verdana"/>
        </w:rPr>
      </w:pPr>
    </w:p>
    <w:sectPr w:rsidR="0008125B" w:rsidRPr="00FB26C9" w:rsidSect="009E33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8E26929"/>
    <w:multiLevelType w:val="hybridMultilevel"/>
    <w:tmpl w:val="3D1011DA"/>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F4797"/>
    <w:rsid w:val="0002371C"/>
    <w:rsid w:val="00066B87"/>
    <w:rsid w:val="00077E83"/>
    <w:rsid w:val="0008125B"/>
    <w:rsid w:val="000821F5"/>
    <w:rsid w:val="00086B79"/>
    <w:rsid w:val="00093CE1"/>
    <w:rsid w:val="000A1276"/>
    <w:rsid w:val="000B0F8C"/>
    <w:rsid w:val="001101DE"/>
    <w:rsid w:val="001444EE"/>
    <w:rsid w:val="00164D60"/>
    <w:rsid w:val="00174C5B"/>
    <w:rsid w:val="00210413"/>
    <w:rsid w:val="00214389"/>
    <w:rsid w:val="00243632"/>
    <w:rsid w:val="00245E34"/>
    <w:rsid w:val="00284757"/>
    <w:rsid w:val="002C2927"/>
    <w:rsid w:val="002F58A5"/>
    <w:rsid w:val="00320EB4"/>
    <w:rsid w:val="003535DF"/>
    <w:rsid w:val="00355F29"/>
    <w:rsid w:val="00365BF2"/>
    <w:rsid w:val="00394B4E"/>
    <w:rsid w:val="0040054A"/>
    <w:rsid w:val="004007E2"/>
    <w:rsid w:val="004217CF"/>
    <w:rsid w:val="00440CF2"/>
    <w:rsid w:val="00464E45"/>
    <w:rsid w:val="004F4F82"/>
    <w:rsid w:val="00514448"/>
    <w:rsid w:val="00520A32"/>
    <w:rsid w:val="00526BE3"/>
    <w:rsid w:val="00575350"/>
    <w:rsid w:val="00587C3B"/>
    <w:rsid w:val="00591630"/>
    <w:rsid w:val="005A2D53"/>
    <w:rsid w:val="005B5B3F"/>
    <w:rsid w:val="005E32D5"/>
    <w:rsid w:val="0060498A"/>
    <w:rsid w:val="00605D1D"/>
    <w:rsid w:val="00606D8A"/>
    <w:rsid w:val="00626F21"/>
    <w:rsid w:val="00631513"/>
    <w:rsid w:val="006323CA"/>
    <w:rsid w:val="00696798"/>
    <w:rsid w:val="006B15C1"/>
    <w:rsid w:val="00751BE8"/>
    <w:rsid w:val="007750FB"/>
    <w:rsid w:val="007D222C"/>
    <w:rsid w:val="007F2154"/>
    <w:rsid w:val="007F4797"/>
    <w:rsid w:val="00806723"/>
    <w:rsid w:val="00822D2A"/>
    <w:rsid w:val="00827E60"/>
    <w:rsid w:val="0083164E"/>
    <w:rsid w:val="00865C2D"/>
    <w:rsid w:val="00985DBE"/>
    <w:rsid w:val="009C223B"/>
    <w:rsid w:val="009E33DF"/>
    <w:rsid w:val="00A1615A"/>
    <w:rsid w:val="00A30053"/>
    <w:rsid w:val="00A36B6F"/>
    <w:rsid w:val="00A8398D"/>
    <w:rsid w:val="00A8654C"/>
    <w:rsid w:val="00A87913"/>
    <w:rsid w:val="00AC3C10"/>
    <w:rsid w:val="00B10BB3"/>
    <w:rsid w:val="00B161A1"/>
    <w:rsid w:val="00B268D0"/>
    <w:rsid w:val="00B3322A"/>
    <w:rsid w:val="00B5480A"/>
    <w:rsid w:val="00B64F60"/>
    <w:rsid w:val="00B9059B"/>
    <w:rsid w:val="00BA10FC"/>
    <w:rsid w:val="00BD4353"/>
    <w:rsid w:val="00C0653E"/>
    <w:rsid w:val="00C47155"/>
    <w:rsid w:val="00C64F1D"/>
    <w:rsid w:val="00C95319"/>
    <w:rsid w:val="00C96BFA"/>
    <w:rsid w:val="00CC4701"/>
    <w:rsid w:val="00CD360D"/>
    <w:rsid w:val="00CF460F"/>
    <w:rsid w:val="00D06955"/>
    <w:rsid w:val="00DB1B64"/>
    <w:rsid w:val="00DF419B"/>
    <w:rsid w:val="00E028E6"/>
    <w:rsid w:val="00E15630"/>
    <w:rsid w:val="00E2285E"/>
    <w:rsid w:val="00E27312"/>
    <w:rsid w:val="00E91458"/>
    <w:rsid w:val="00EB10EF"/>
    <w:rsid w:val="00EB5BF0"/>
    <w:rsid w:val="00EF4C0E"/>
    <w:rsid w:val="00F2276A"/>
    <w:rsid w:val="00F849B9"/>
    <w:rsid w:val="00FB26C9"/>
    <w:rsid w:val="00FE4F65"/>
    <w:rsid w:val="00FE7F0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BB3D7"/>
  <w15:docId w15:val="{F1B03AD6-4501-4551-A710-7B2D3CE6E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33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64D60"/>
    <w:pPr>
      <w:spacing w:after="0" w:line="240" w:lineRule="auto"/>
    </w:pPr>
    <w:rPr>
      <w:rFonts w:ascii="Calibri" w:eastAsia="Calibri" w:hAnsi="Calibri" w:cs="Times New Roman"/>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821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21F5"/>
    <w:rPr>
      <w:rFonts w:ascii="Segoe UI" w:hAnsi="Segoe UI" w:cs="Segoe UI"/>
      <w:sz w:val="18"/>
      <w:szCs w:val="18"/>
    </w:rPr>
  </w:style>
  <w:style w:type="paragraph" w:customStyle="1" w:styleId="bul1">
    <w:name w:val="bul1"/>
    <w:basedOn w:val="Normal"/>
    <w:link w:val="bul1Char"/>
    <w:qFormat/>
    <w:rsid w:val="00B5480A"/>
    <w:pPr>
      <w:numPr>
        <w:numId w:val="3"/>
      </w:numPr>
      <w:spacing w:after="0" w:line="280" w:lineRule="atLeast"/>
      <w:ind w:left="851" w:hanging="851"/>
      <w:jc w:val="both"/>
    </w:pPr>
    <w:rPr>
      <w:rFonts w:ascii="Verdana" w:eastAsia="Calibri" w:hAnsi="Verdana" w:cs="Times New Roman"/>
      <w:sz w:val="18"/>
      <w:szCs w:val="24"/>
      <w:lang w:val="de-DE" w:eastAsia="de-DE"/>
    </w:rPr>
  </w:style>
  <w:style w:type="character" w:customStyle="1" w:styleId="bul1Char">
    <w:name w:val="bul1 Char"/>
    <w:link w:val="bul1"/>
    <w:locked/>
    <w:rsid w:val="00B5480A"/>
    <w:rPr>
      <w:rFonts w:ascii="Verdana" w:eastAsia="Calibri" w:hAnsi="Verdana" w:cs="Times New Roman"/>
      <w:sz w:val="18"/>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064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871C9-E353-416F-8FCB-58754C78D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576</Words>
  <Characters>3284</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CEAUSU Diana</cp:lastModifiedBy>
  <cp:revision>11</cp:revision>
  <dcterms:created xsi:type="dcterms:W3CDTF">2021-04-08T11:10:00Z</dcterms:created>
  <dcterms:modified xsi:type="dcterms:W3CDTF">2021-05-04T11:49:00Z</dcterms:modified>
</cp:coreProperties>
</file>