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2" w:rsidRPr="00C32B4A" w:rsidRDefault="006D0DAA" w:rsidP="002032B2">
      <w:pPr>
        <w:pStyle w:val="TKMAINTITLE"/>
      </w:pPr>
      <w:r>
        <w:t>53 - Scho</w:t>
      </w:r>
      <w:r w:rsidR="00CE24AB">
        <w:t>ol</w:t>
      </w:r>
      <w:bookmarkStart w:id="0" w:name="_GoBack"/>
      <w:bookmarkEnd w:id="0"/>
      <w:r>
        <w:t xml:space="preserve"> en </w:t>
      </w:r>
      <w:r w:rsidR="00260F8E">
        <w:t>volwassenenonderwijs</w:t>
      </w:r>
    </w:p>
    <w:p w:rsidR="002032B2" w:rsidRPr="00C32B4A" w:rsidRDefault="002032B2" w:rsidP="004E5F9A">
      <w:pPr>
        <w:pStyle w:val="TKAIM"/>
        <w:tabs>
          <w:tab w:val="clear" w:pos="709"/>
          <w:tab w:val="left" w:pos="851"/>
        </w:tabs>
        <w:ind w:left="1843" w:hanging="1843"/>
      </w:pPr>
      <w:r>
        <w:t>Doelstellingen:</w:t>
      </w:r>
      <w:r>
        <w:tab/>
        <w:t xml:space="preserve"> - woordenschat en uitdrukkingen over scholen</w:t>
      </w:r>
      <w:r w:rsidR="0057645C">
        <w:t xml:space="preserve"> introduceren</w:t>
      </w:r>
      <w:r>
        <w:t>,</w:t>
      </w:r>
      <w:r>
        <w:br/>
        <w:t xml:space="preserve"> - vluchtelingen informeren over de schoolfaciliteiten in het gastland</w:t>
      </w:r>
      <w:proofErr w:type="gramStart"/>
      <w:r>
        <w:t>,</w:t>
      </w:r>
      <w:r>
        <w:br/>
      </w:r>
      <w:proofErr w:type="gramEnd"/>
      <w:r>
        <w:t xml:space="preserve"> - vluchtelingen in staat stellen om te communiceren over bepaalde schoolfaciliteiten.</w:t>
      </w:r>
    </w:p>
    <w:p w:rsidR="002032B2" w:rsidRPr="00C32B4A" w:rsidRDefault="002032B2" w:rsidP="002032B2">
      <w:pPr>
        <w:pStyle w:val="TKTITRE1"/>
      </w:pPr>
      <w:r>
        <w:t>Communicatieve situaties</w:t>
      </w:r>
    </w:p>
    <w:p w:rsidR="002032B2" w:rsidRPr="00C32B4A" w:rsidRDefault="004E5F9A" w:rsidP="008B434D">
      <w:pPr>
        <w:pStyle w:val="TKTEXTE"/>
      </w:pPr>
      <w:r>
        <w:t>C</w:t>
      </w:r>
      <w:r w:rsidR="002032B2">
        <w:t>ommuniceren met de administratieve medewerkers en de leerkrachten op school (eventueel met hulp van een tussenpersoon).</w:t>
      </w:r>
    </w:p>
    <w:p w:rsidR="002032B2" w:rsidRPr="002032B2" w:rsidRDefault="000A5139" w:rsidP="002032B2">
      <w:pPr>
        <w:pStyle w:val="TKTITRE1"/>
      </w:pPr>
      <w:r>
        <w:t>Materiaal</w:t>
      </w:r>
    </w:p>
    <w:p w:rsidR="002032B2" w:rsidRDefault="004E5F9A" w:rsidP="008B434D">
      <w:pPr>
        <w:pStyle w:val="TKTEXTE"/>
      </w:pPr>
      <w:r>
        <w:t>A</w:t>
      </w:r>
      <w:r w:rsidR="002032B2">
        <w:t>fbeeldingen van mensen en plaatsen die verband houden met de school.</w:t>
      </w:r>
    </w:p>
    <w:p w:rsidR="002032B2" w:rsidRPr="002032B2" w:rsidRDefault="002032B2" w:rsidP="00F56D00">
      <w:pPr>
        <w:pStyle w:val="TKTITRE1"/>
      </w:pPr>
      <w:r>
        <w:t>Taalactiviteiten</w:t>
      </w:r>
    </w:p>
    <w:p w:rsidR="002032B2" w:rsidRPr="000A5139" w:rsidRDefault="002032B2" w:rsidP="006D0DF9">
      <w:pPr>
        <w:pStyle w:val="TKNbrsLevel1"/>
      </w:pPr>
      <w:r>
        <w:t>Gebruik de afbeeldingen (hieronder) om:</w:t>
      </w:r>
    </w:p>
    <w:p w:rsidR="002032B2" w:rsidRPr="005C0CBC" w:rsidRDefault="0057645C" w:rsidP="005C0CBC">
      <w:pPr>
        <w:pStyle w:val="TKBulletLevel2"/>
      </w:pPr>
      <w:r>
        <w:t>n</w:t>
      </w:r>
      <w:r w:rsidR="002032B2">
        <w:t xml:space="preserve">a te gaan wat vluchtelingen weten over scholen, de aangeboden diensten en </w:t>
      </w:r>
      <w:proofErr w:type="gramStart"/>
      <w:r w:rsidR="002032B2">
        <w:t>jobs</w:t>
      </w:r>
      <w:proofErr w:type="gramEnd"/>
      <w:r w:rsidR="002032B2">
        <w:t xml:space="preserve"> in onderwijsinstellingen in het gastland</w:t>
      </w:r>
      <w:r>
        <w:t>,</w:t>
      </w:r>
    </w:p>
    <w:p w:rsidR="002032B2" w:rsidRPr="005C0CBC" w:rsidRDefault="002032B2" w:rsidP="005C0CBC">
      <w:pPr>
        <w:pStyle w:val="TKBulletLevel2"/>
      </w:pPr>
      <w:r>
        <w:t>vragen</w:t>
      </w:r>
      <w:r w:rsidR="0057645C">
        <w:t xml:space="preserve"> te stellen</w:t>
      </w:r>
      <w:r>
        <w:t xml:space="preserve"> om na te gaan of het onderwijssysteem in de thuislanden van de vluchtelingen </w:t>
      </w:r>
      <w:r w:rsidR="008576AB">
        <w:t>lijkt op of verschilt van</w:t>
      </w:r>
      <w:r>
        <w:t xml:space="preserve"> dat van het gastland</w:t>
      </w:r>
      <w:r w:rsidR="008576AB">
        <w:t>. B</w:t>
      </w:r>
      <w:r>
        <w:t>v.</w:t>
      </w:r>
      <w:r w:rsidR="008576AB">
        <w:t>:</w:t>
      </w:r>
      <w:r>
        <w:t xml:space="preserve"> </w:t>
      </w:r>
      <w:r w:rsidR="008576AB">
        <w:t>v</w:t>
      </w:r>
      <w:r>
        <w:t>anaf welke leeftijd gaan de kinderen er naar school? Welke soorten scholen zijn er in jouw land?</w:t>
      </w:r>
      <w:r w:rsidR="008576AB">
        <w:t>,</w:t>
      </w:r>
    </w:p>
    <w:p w:rsidR="002032B2" w:rsidRPr="005C0CBC" w:rsidRDefault="002032B2" w:rsidP="005C0CBC">
      <w:pPr>
        <w:pStyle w:val="TKBulletLevel2"/>
      </w:pPr>
      <w:r>
        <w:t xml:space="preserve">vluchtelingen afbeeldingen </w:t>
      </w:r>
      <w:r w:rsidR="008576AB">
        <w:t xml:space="preserve">te tonen </w:t>
      </w:r>
      <w:r>
        <w:t xml:space="preserve">van bepaalde plaatsen in een school (bv. secretariaat, klaslokaal, gang, speelplaats, refter) </w:t>
      </w:r>
      <w:r w:rsidR="0057645C">
        <w:t>en</w:t>
      </w:r>
      <w:r>
        <w:t xml:space="preserve"> woordenschat</w:t>
      </w:r>
      <w:r w:rsidR="0057645C">
        <w:t xml:space="preserve"> te activeren of te introduceren</w:t>
      </w:r>
      <w:r>
        <w:t>.</w:t>
      </w:r>
    </w:p>
    <w:p w:rsidR="002032B2" w:rsidRPr="000A5139" w:rsidRDefault="002032B2" w:rsidP="006D0DF9">
      <w:pPr>
        <w:pStyle w:val="TKNbrsLevel1"/>
      </w:pPr>
      <w:proofErr w:type="gramStart"/>
      <w:r>
        <w:t>Laat</w:t>
      </w:r>
      <w:proofErr w:type="gramEnd"/>
      <w:r>
        <w:t xml:space="preserve"> vluchtelingen de nieuwe woorden op kaartjes schrijven (secretaresse, directeur, lera</w:t>
      </w:r>
      <w:r w:rsidR="00260F8E">
        <w:t>ren</w:t>
      </w:r>
      <w:r>
        <w:t xml:space="preserve">, </w:t>
      </w:r>
      <w:r w:rsidR="008576AB">
        <w:t>schoonmaakpersoneel</w:t>
      </w:r>
      <w:r>
        <w:t>, schoolruimtes zoals de refter, klaslokalen, speelplaats). Laat hen daarna deze afbeeldingen beschrijven.</w:t>
      </w:r>
    </w:p>
    <w:p w:rsidR="002032B2" w:rsidRPr="000A5139" w:rsidRDefault="002032B2" w:rsidP="006D0DF9">
      <w:pPr>
        <w:pStyle w:val="TKNbrsLevel1"/>
      </w:pPr>
      <w:r>
        <w:t>Geef de volgende dialoog tussen een ouder en een personeelslid van de school als voorbeeld:</w:t>
      </w:r>
    </w:p>
    <w:p w:rsidR="002032B2" w:rsidRPr="005C0CBC" w:rsidRDefault="008B434D" w:rsidP="005C0CBC">
      <w:pPr>
        <w:pStyle w:val="TKBulletLevel2"/>
      </w:pPr>
      <w:r>
        <w:t xml:space="preserve">A. </w:t>
      </w:r>
      <w:proofErr w:type="spellStart"/>
      <w:r>
        <w:rPr>
          <w:i/>
          <w:iCs/>
        </w:rPr>
        <w:t>Goeiemorgen</w:t>
      </w:r>
      <w:proofErr w:type="spellEnd"/>
      <w:r>
        <w:rPr>
          <w:i/>
          <w:iCs/>
        </w:rPr>
        <w:t>. Kan ik u helpen?</w:t>
      </w:r>
    </w:p>
    <w:p w:rsidR="002032B2" w:rsidRPr="005C0CBC" w:rsidRDefault="002032B2" w:rsidP="005C0CBC">
      <w:pPr>
        <w:pStyle w:val="TKBulletLevel2"/>
      </w:pPr>
      <w:r>
        <w:t xml:space="preserve">B. </w:t>
      </w:r>
      <w:r>
        <w:rPr>
          <w:i/>
          <w:iCs/>
        </w:rPr>
        <w:t>Ik zou mijn dochter willen inschrijven in de lagere school. Kunt u mij zeggen waar het secretariaat is?</w:t>
      </w:r>
    </w:p>
    <w:p w:rsidR="002032B2" w:rsidRPr="005C0CBC" w:rsidRDefault="002032B2" w:rsidP="005C0CBC">
      <w:pPr>
        <w:pStyle w:val="TKBulletLevel2"/>
      </w:pPr>
      <w:r>
        <w:t xml:space="preserve">A. </w:t>
      </w:r>
      <w:r>
        <w:rPr>
          <w:i/>
          <w:iCs/>
        </w:rPr>
        <w:t>Ja hoor, rechtdoor in deze gang de tweede deur rechts.</w:t>
      </w:r>
    </w:p>
    <w:p w:rsidR="002032B2" w:rsidRPr="005C0CBC" w:rsidRDefault="002032B2" w:rsidP="005C0CBC">
      <w:pPr>
        <w:pStyle w:val="TKBulletLevel2"/>
      </w:pPr>
      <w:r>
        <w:t xml:space="preserve">B. </w:t>
      </w:r>
      <w:r>
        <w:rPr>
          <w:i/>
          <w:iCs/>
        </w:rPr>
        <w:t>Excuseer, kunt u wat trager spreken?</w:t>
      </w:r>
    </w:p>
    <w:p w:rsidR="002032B2" w:rsidRPr="005C0CBC" w:rsidRDefault="002032B2" w:rsidP="005C0CBC">
      <w:pPr>
        <w:pStyle w:val="TKBulletLevel2"/>
      </w:pPr>
      <w:r>
        <w:t xml:space="preserve">A </w:t>
      </w:r>
      <w:r>
        <w:rPr>
          <w:i/>
          <w:iCs/>
        </w:rPr>
        <w:t xml:space="preserve">Zeker, sorry. Het secretariaat </w:t>
      </w:r>
      <w:r w:rsidR="008576AB">
        <w:rPr>
          <w:i/>
          <w:iCs/>
        </w:rPr>
        <w:t xml:space="preserve">is </w:t>
      </w:r>
      <w:r>
        <w:rPr>
          <w:i/>
          <w:iCs/>
        </w:rPr>
        <w:t>rechtdoor in deze gang, tweede deur rechts.</w:t>
      </w:r>
    </w:p>
    <w:p w:rsidR="002032B2" w:rsidRPr="006D0DF9" w:rsidRDefault="002032B2" w:rsidP="006D0DF9">
      <w:pPr>
        <w:pStyle w:val="TKTEXTE"/>
        <w:ind w:left="567"/>
      </w:pPr>
      <w:r>
        <w:t xml:space="preserve">Controleer </w:t>
      </w:r>
      <w:r w:rsidR="008576AB">
        <w:t xml:space="preserve">of de vluchtelingen het begrepen hebben </w:t>
      </w:r>
      <w:r>
        <w:t>en focus op sleuteluitdrukkingen om:</w:t>
      </w:r>
    </w:p>
    <w:p w:rsidR="002032B2" w:rsidRPr="005C0CBC" w:rsidRDefault="002032B2" w:rsidP="005C0CBC">
      <w:pPr>
        <w:pStyle w:val="TKBulletLevel2"/>
      </w:pPr>
      <w:r>
        <w:t>iemand te vragen om trager te spreken,</w:t>
      </w:r>
    </w:p>
    <w:p w:rsidR="002032B2" w:rsidRPr="005C0CBC" w:rsidRDefault="002032B2" w:rsidP="005C0CBC">
      <w:pPr>
        <w:pStyle w:val="TKBulletLevel2"/>
      </w:pPr>
      <w:r>
        <w:t>zich te excuseren,</w:t>
      </w:r>
    </w:p>
    <w:p w:rsidR="002032B2" w:rsidRPr="005C0CBC" w:rsidRDefault="002032B2" w:rsidP="005C0CBC">
      <w:pPr>
        <w:pStyle w:val="TKBulletLevel2"/>
      </w:pPr>
      <w:r>
        <w:t>richtingen aan te geven.</w:t>
      </w:r>
    </w:p>
    <w:p w:rsidR="008B434D" w:rsidRPr="005C0CBC" w:rsidRDefault="002032B2" w:rsidP="005C0CBC">
      <w:pPr>
        <w:pStyle w:val="TKTEXTE"/>
      </w:pPr>
      <w:r>
        <w:lastRenderedPageBreak/>
        <w:t>Organiseer daarna een rollenspel waarin de vluchtelingen zich inleven in een situatie waarin ze voor het eerst naar een school gaan om hun kind in te schrijven.</w:t>
      </w:r>
    </w:p>
    <w:p w:rsidR="002032B2" w:rsidRPr="00C32B4A" w:rsidRDefault="0057645C" w:rsidP="008B434D">
      <w:pPr>
        <w:pStyle w:val="TKTITRE1"/>
      </w:pPr>
      <w:r>
        <w:t>Aanbevolen</w:t>
      </w:r>
      <w:r w:rsidR="002032B2">
        <w:t xml:space="preserve"> volgende stap:</w:t>
      </w:r>
    </w:p>
    <w:p w:rsidR="002032B2" w:rsidRPr="00C32B4A" w:rsidRDefault="002032B2" w:rsidP="008B434D">
      <w:pPr>
        <w:pStyle w:val="TKTEXTE"/>
      </w:pPr>
      <w:r>
        <w:t>Organiseer</w:t>
      </w:r>
      <w:r w:rsidR="008576AB">
        <w:t xml:space="preserve"> </w:t>
      </w:r>
      <w:proofErr w:type="gramStart"/>
      <w:r>
        <w:t>indien mogelijk</w:t>
      </w:r>
      <w:proofErr w:type="gramEnd"/>
      <w:r w:rsidR="008576AB">
        <w:t xml:space="preserve"> </w:t>
      </w:r>
      <w:r>
        <w:t>een bezoek met de vluchtelingen aan een school of een centrum voor volwassenenonderwijs.</w:t>
      </w:r>
    </w:p>
    <w:p w:rsidR="002032B2" w:rsidRPr="00C32B4A" w:rsidRDefault="00CC05AC" w:rsidP="008B434D">
      <w:pPr>
        <w:pStyle w:val="TKTEXTE"/>
      </w:pPr>
      <w:r>
        <w:t>Tijdens ee</w:t>
      </w:r>
      <w:r w:rsidRPr="00CC05AC">
        <w:t xml:space="preserve">n bezoek aan een centrum voor volwassenenonderwijs </w:t>
      </w:r>
      <w:r>
        <w:t xml:space="preserve">kunnen vluchtelingen </w:t>
      </w:r>
      <w:r w:rsidR="002032B2">
        <w:t xml:space="preserve">informatie inwinnen over gratis cursussen (bv. taallessen). </w:t>
      </w:r>
      <w:r w:rsidR="008576AB">
        <w:t xml:space="preserve">Zo </w:t>
      </w:r>
      <w:r w:rsidR="002032B2">
        <w:t xml:space="preserve">ontdekken </w:t>
      </w:r>
      <w:r>
        <w:t xml:space="preserve">ze </w:t>
      </w:r>
      <w:r w:rsidR="002032B2">
        <w:t>de mogelijkheden om hun leerproces voort te zetten in het gastland.</w:t>
      </w:r>
    </w:p>
    <w:p w:rsidR="002032B2" w:rsidRPr="00C32B4A" w:rsidRDefault="00CC05AC" w:rsidP="008B434D">
      <w:pPr>
        <w:pStyle w:val="TKTEXTE"/>
      </w:pPr>
      <w:r>
        <w:t>K</w:t>
      </w:r>
      <w:r w:rsidRPr="00CC05AC">
        <w:t xml:space="preserve">ennismaken met een school </w:t>
      </w:r>
      <w:r>
        <w:t>biedt v</w:t>
      </w:r>
      <w:r w:rsidR="002032B2">
        <w:t>luchtelingen, voor</w:t>
      </w:r>
      <w:r w:rsidR="008576AB">
        <w:t>al</w:t>
      </w:r>
      <w:r w:rsidR="002032B2">
        <w:t xml:space="preserve"> </w:t>
      </w:r>
      <w:r>
        <w:t xml:space="preserve">dan </w:t>
      </w:r>
      <w:r w:rsidR="002032B2">
        <w:t>ouders van schoolgaande kinderen</w:t>
      </w:r>
      <w:r>
        <w:t xml:space="preserve">, </w:t>
      </w:r>
      <w:r w:rsidR="002032B2">
        <w:t xml:space="preserve">de kans om te </w:t>
      </w:r>
      <w:r w:rsidR="008576AB">
        <w:t>begrijpen</w:t>
      </w:r>
      <w:r w:rsidR="002032B2">
        <w:t xml:space="preserve"> hoe scholen in het gastland functioneren en zich te informeren over de inschrijving van hun kinderen.</w:t>
      </w:r>
    </w:p>
    <w:p w:rsidR="002032B2" w:rsidRPr="00C32B4A" w:rsidRDefault="002032B2" w:rsidP="008B434D">
      <w:pPr>
        <w:pStyle w:val="TKTITRE1"/>
      </w:pPr>
      <w:r>
        <w:t xml:space="preserve">Ideeën voor laaggeletterde </w:t>
      </w:r>
      <w:proofErr w:type="spellStart"/>
      <w:r>
        <w:t>taalverwervers</w:t>
      </w:r>
      <w:proofErr w:type="spellEnd"/>
    </w:p>
    <w:p w:rsidR="002032B2" w:rsidRPr="00C32B4A" w:rsidRDefault="002032B2" w:rsidP="008B434D">
      <w:pPr>
        <w:pStyle w:val="TKTEXTE"/>
      </w:pPr>
      <w:r>
        <w:t xml:space="preserve">Vraag laaggeletterde vluchtelingen om op een uurrooster van een school op te zoeken hoe laat </w:t>
      </w:r>
      <w:r w:rsidR="00D866EE">
        <w:t xml:space="preserve">bepaalde </w:t>
      </w:r>
      <w:r>
        <w:t>lessen van de kinderen beginnen en eindigen. Help hen hierbij waar nodig.</w:t>
      </w:r>
    </w:p>
    <w:p w:rsidR="002032B2" w:rsidRPr="00C32B4A" w:rsidRDefault="002032B2" w:rsidP="008B434D">
      <w:pPr>
        <w:pStyle w:val="TKTEXTE"/>
      </w:pPr>
      <w:proofErr w:type="gramStart"/>
      <w:r>
        <w:t>Laat</w:t>
      </w:r>
      <w:proofErr w:type="gramEnd"/>
      <w:r>
        <w:t xml:space="preserve"> vluchtelingen met schoolgaande kinderen noteren hoe laat de school van hun kinderen </w:t>
      </w:r>
      <w:r w:rsidR="008576AB">
        <w:t xml:space="preserve">elke dag </w:t>
      </w:r>
      <w:r>
        <w:t>begint en eindigt.</w:t>
      </w:r>
    </w:p>
    <w:p w:rsidR="00503E91" w:rsidRDefault="002032B2" w:rsidP="008B434D">
      <w:pPr>
        <w:pStyle w:val="TKTITRE1"/>
      </w:pPr>
      <w:r>
        <w:t>Voorbeeldmateriaal</w:t>
      </w:r>
    </w:p>
    <w:p w:rsidR="006D0DF9" w:rsidRDefault="006D0DF9" w:rsidP="006D0DF9">
      <w:pPr>
        <w:pStyle w:val="TKTITRE1"/>
        <w:jc w:val="center"/>
      </w:pPr>
      <w:r>
        <w:rPr>
          <w:noProof/>
          <w:lang w:val="fr-FR" w:eastAsia="fr-FR"/>
        </w:rPr>
        <w:drawing>
          <wp:inline distT="0" distB="0" distL="0" distR="0">
            <wp:extent cx="2932787" cy="1733550"/>
            <wp:effectExtent l="0" t="0" r="0" b="0"/>
            <wp:docPr id="7" name="Immagine 1" descr="Risultati immagini per insegn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insegna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69" cy="1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2505075" cy="1733550"/>
            <wp:effectExtent l="19050" t="0" r="9525" b="0"/>
            <wp:docPr id="11" name="Immagine 7" descr="Risultati immagini per segreteria scola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segreteria scolast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F9" w:rsidRPr="008B434D" w:rsidRDefault="006D0DF9" w:rsidP="006D0DF9">
      <w:pPr>
        <w:pStyle w:val="TKTITRE1"/>
        <w:jc w:val="center"/>
      </w:pPr>
      <w:r>
        <w:rPr>
          <w:noProof/>
          <w:lang w:val="fr-FR" w:eastAsia="fr-FR"/>
        </w:rPr>
        <w:drawing>
          <wp:inline distT="0" distB="0" distL="0" distR="0">
            <wp:extent cx="3680564" cy="2457450"/>
            <wp:effectExtent l="0" t="0" r="0" b="0"/>
            <wp:docPr id="8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828" cy="246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1695450" cy="2505075"/>
            <wp:effectExtent l="19050" t="0" r="0" b="0"/>
            <wp:docPr id="10" name="Immagine 7" descr="Risultati immagini per collaboratore scola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collaboratore scolast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DF9" w:rsidRPr="008B434D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CE" w:rsidRDefault="004A0FCE" w:rsidP="00C523EA">
      <w:r>
        <w:separator/>
      </w:r>
    </w:p>
  </w:endnote>
  <w:endnote w:type="continuationSeparator" w:id="0">
    <w:p w:rsidR="004A0FCE" w:rsidRDefault="004A0FCE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Taalbeleidsprogramma</w:t>
          </w:r>
        </w:p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Straatsburg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6D0DAA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b/>
              <w:sz w:val="18"/>
              <w:szCs w:val="18"/>
            </w:rPr>
            <w:t>Tool 53</w:t>
          </w:r>
        </w:p>
      </w:tc>
      <w:tc>
        <w:tcPr>
          <w:tcW w:w="1667" w:type="pct"/>
          <w:vAlign w:val="bottom"/>
        </w:tcPr>
        <w:p w:rsidR="00186952" w:rsidRDefault="00FA791F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7D441B">
            <w:rPr>
              <w:rFonts w:eastAsia="Calibri" w:cs="Cambria"/>
              <w:noProof/>
              <w:sz w:val="18"/>
              <w:szCs w:val="18"/>
            </w:rPr>
            <w:t>2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  <w:szCs w:val="18"/>
            </w:rPr>
            <w:t>/</w:t>
          </w: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7D441B">
            <w:rPr>
              <w:rFonts w:eastAsia="Calibri" w:cs="Cambria"/>
              <w:noProof/>
              <w:sz w:val="18"/>
              <w:szCs w:val="18"/>
            </w:rPr>
            <w:t>2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fr-F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CE" w:rsidRDefault="004A0FCE" w:rsidP="00C523EA">
      <w:r>
        <w:separator/>
      </w:r>
    </w:p>
  </w:footnote>
  <w:footnote w:type="continuationSeparator" w:id="0">
    <w:p w:rsidR="004A0FCE" w:rsidRDefault="004A0FCE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9F51E0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val="fr-FR"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Theme="minorHAnsi"/>
              <w:b/>
            </w:rPr>
          </w:pPr>
          <w:r>
            <w:rPr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Theme="minorHAnsi"/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186952" w:rsidRPr="00010EAF" w:rsidRDefault="00FA791F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486140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</w:tcPr>
        <w:p w:rsidR="00F02662" w:rsidRDefault="00F02662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hAnsiTheme="minorHAnsi"/>
              <w:sz w:val="20"/>
              <w:szCs w:val="20"/>
            </w:rPr>
          </w:pPr>
          <w:r w:rsidRPr="00F02662">
            <w:rPr>
              <w:rFonts w:asciiTheme="minorHAnsi" w:hAnsiTheme="minorHAnsi"/>
              <w:sz w:val="20"/>
              <w:szCs w:val="20"/>
            </w:rPr>
            <w:t>Taalintegratie van volwassen migranten(LIAM)</w:t>
          </w:r>
        </w:p>
        <w:p w:rsidR="00186952" w:rsidRPr="00010EAF" w:rsidRDefault="007D441B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Pr="00132170">
              <w:rPr>
                <w:rStyle w:val="Lienhypertexte"/>
                <w:rFonts w:asciiTheme="minorHAnsi" w:hAnsi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4E5F9A" w:rsidRDefault="00186952" w:rsidP="00FB70A6">
    <w:pPr>
      <w:pStyle w:val="En-tte"/>
      <w:rPr>
        <w:sz w:val="10"/>
        <w:szCs w:val="10"/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EE02F82"/>
    <w:multiLevelType w:val="hybridMultilevel"/>
    <w:tmpl w:val="8F645854"/>
    <w:lvl w:ilvl="0" w:tplc="FA785D3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2"/>
  </w:num>
  <w:num w:numId="11">
    <w:abstractNumId w:val="2"/>
  </w:num>
  <w:num w:numId="12">
    <w:abstractNumId w:val="7"/>
  </w:num>
  <w:num w:numId="1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182D"/>
    <w:rsid w:val="00004C66"/>
    <w:rsid w:val="00013516"/>
    <w:rsid w:val="000338F0"/>
    <w:rsid w:val="00037B0E"/>
    <w:rsid w:val="000618A7"/>
    <w:rsid w:val="000937FA"/>
    <w:rsid w:val="000A080D"/>
    <w:rsid w:val="000A5139"/>
    <w:rsid w:val="000C5F40"/>
    <w:rsid w:val="000E14FA"/>
    <w:rsid w:val="000E706C"/>
    <w:rsid w:val="000F42D6"/>
    <w:rsid w:val="00110B4B"/>
    <w:rsid w:val="00113442"/>
    <w:rsid w:val="00126A5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300A"/>
    <w:rsid w:val="002032B2"/>
    <w:rsid w:val="00214CD0"/>
    <w:rsid w:val="00233192"/>
    <w:rsid w:val="00254DC5"/>
    <w:rsid w:val="00260F8E"/>
    <w:rsid w:val="0026293F"/>
    <w:rsid w:val="002860CD"/>
    <w:rsid w:val="002A0CEF"/>
    <w:rsid w:val="002A3476"/>
    <w:rsid w:val="002F2562"/>
    <w:rsid w:val="00303A5A"/>
    <w:rsid w:val="00327BBC"/>
    <w:rsid w:val="0033137E"/>
    <w:rsid w:val="003315EA"/>
    <w:rsid w:val="0035492A"/>
    <w:rsid w:val="003575BD"/>
    <w:rsid w:val="00373B9F"/>
    <w:rsid w:val="0038409C"/>
    <w:rsid w:val="003847AD"/>
    <w:rsid w:val="003B3CBE"/>
    <w:rsid w:val="003C050D"/>
    <w:rsid w:val="003C32F5"/>
    <w:rsid w:val="003E358D"/>
    <w:rsid w:val="003F121D"/>
    <w:rsid w:val="00460BCC"/>
    <w:rsid w:val="00470AA9"/>
    <w:rsid w:val="00486140"/>
    <w:rsid w:val="0049006B"/>
    <w:rsid w:val="004A0FCE"/>
    <w:rsid w:val="004A5B9A"/>
    <w:rsid w:val="004B5DD8"/>
    <w:rsid w:val="004C1652"/>
    <w:rsid w:val="004E00BE"/>
    <w:rsid w:val="004E1B39"/>
    <w:rsid w:val="004E32A8"/>
    <w:rsid w:val="004E5F9A"/>
    <w:rsid w:val="004F2E30"/>
    <w:rsid w:val="00503E91"/>
    <w:rsid w:val="005054E5"/>
    <w:rsid w:val="00526886"/>
    <w:rsid w:val="005713EB"/>
    <w:rsid w:val="0057645C"/>
    <w:rsid w:val="005C0CBC"/>
    <w:rsid w:val="005C2E50"/>
    <w:rsid w:val="005E4CA5"/>
    <w:rsid w:val="00617D74"/>
    <w:rsid w:val="00634900"/>
    <w:rsid w:val="0064154F"/>
    <w:rsid w:val="006455D0"/>
    <w:rsid w:val="00651E90"/>
    <w:rsid w:val="00655B1E"/>
    <w:rsid w:val="00655CCE"/>
    <w:rsid w:val="006A1A21"/>
    <w:rsid w:val="006C0689"/>
    <w:rsid w:val="006C08C3"/>
    <w:rsid w:val="006C7764"/>
    <w:rsid w:val="006D0DAA"/>
    <w:rsid w:val="006D0DF9"/>
    <w:rsid w:val="006D234F"/>
    <w:rsid w:val="00705BF1"/>
    <w:rsid w:val="00734E55"/>
    <w:rsid w:val="0074542C"/>
    <w:rsid w:val="007458E1"/>
    <w:rsid w:val="00773ACD"/>
    <w:rsid w:val="007B4D14"/>
    <w:rsid w:val="007D441B"/>
    <w:rsid w:val="007F5F10"/>
    <w:rsid w:val="00804AE5"/>
    <w:rsid w:val="00805257"/>
    <w:rsid w:val="008067EC"/>
    <w:rsid w:val="0083366C"/>
    <w:rsid w:val="00844534"/>
    <w:rsid w:val="008469DE"/>
    <w:rsid w:val="008506D5"/>
    <w:rsid w:val="008576AB"/>
    <w:rsid w:val="00885FE9"/>
    <w:rsid w:val="00890A8D"/>
    <w:rsid w:val="00892B00"/>
    <w:rsid w:val="008B434D"/>
    <w:rsid w:val="008B45A3"/>
    <w:rsid w:val="008C53DF"/>
    <w:rsid w:val="008E6FB9"/>
    <w:rsid w:val="008F0189"/>
    <w:rsid w:val="008F1473"/>
    <w:rsid w:val="008F24DC"/>
    <w:rsid w:val="009025F0"/>
    <w:rsid w:val="0093428B"/>
    <w:rsid w:val="0094551C"/>
    <w:rsid w:val="00953DC1"/>
    <w:rsid w:val="00970C63"/>
    <w:rsid w:val="0097497F"/>
    <w:rsid w:val="00975BAD"/>
    <w:rsid w:val="0098629F"/>
    <w:rsid w:val="009A5131"/>
    <w:rsid w:val="009B7F95"/>
    <w:rsid w:val="009F51E0"/>
    <w:rsid w:val="00A03292"/>
    <w:rsid w:val="00A1258A"/>
    <w:rsid w:val="00A5196F"/>
    <w:rsid w:val="00A6623D"/>
    <w:rsid w:val="00A67362"/>
    <w:rsid w:val="00A7554F"/>
    <w:rsid w:val="00A802F2"/>
    <w:rsid w:val="00A81C9B"/>
    <w:rsid w:val="00AA1E37"/>
    <w:rsid w:val="00AB255A"/>
    <w:rsid w:val="00AE657E"/>
    <w:rsid w:val="00AF4A1E"/>
    <w:rsid w:val="00AF56A8"/>
    <w:rsid w:val="00B33421"/>
    <w:rsid w:val="00B35EFB"/>
    <w:rsid w:val="00B73A35"/>
    <w:rsid w:val="00B84825"/>
    <w:rsid w:val="00B87D33"/>
    <w:rsid w:val="00B94E15"/>
    <w:rsid w:val="00BA3C32"/>
    <w:rsid w:val="00BB182D"/>
    <w:rsid w:val="00BD2F15"/>
    <w:rsid w:val="00BE6428"/>
    <w:rsid w:val="00BF2B09"/>
    <w:rsid w:val="00BF693D"/>
    <w:rsid w:val="00C24B3F"/>
    <w:rsid w:val="00C32B4A"/>
    <w:rsid w:val="00C523EA"/>
    <w:rsid w:val="00C622D7"/>
    <w:rsid w:val="00C7477C"/>
    <w:rsid w:val="00C8086F"/>
    <w:rsid w:val="00CC05AC"/>
    <w:rsid w:val="00CC0991"/>
    <w:rsid w:val="00CE24AB"/>
    <w:rsid w:val="00CF0B90"/>
    <w:rsid w:val="00CF36D3"/>
    <w:rsid w:val="00D00DA4"/>
    <w:rsid w:val="00D07616"/>
    <w:rsid w:val="00D2211A"/>
    <w:rsid w:val="00D57D70"/>
    <w:rsid w:val="00D81172"/>
    <w:rsid w:val="00D8328F"/>
    <w:rsid w:val="00D866EE"/>
    <w:rsid w:val="00DA5A92"/>
    <w:rsid w:val="00DD0635"/>
    <w:rsid w:val="00DD35DF"/>
    <w:rsid w:val="00DD53DC"/>
    <w:rsid w:val="00DE5B7D"/>
    <w:rsid w:val="00DF5B76"/>
    <w:rsid w:val="00DF60EB"/>
    <w:rsid w:val="00E076C3"/>
    <w:rsid w:val="00E53152"/>
    <w:rsid w:val="00E7144A"/>
    <w:rsid w:val="00ED4CB7"/>
    <w:rsid w:val="00EF08B8"/>
    <w:rsid w:val="00F02662"/>
    <w:rsid w:val="00F260E9"/>
    <w:rsid w:val="00F5126A"/>
    <w:rsid w:val="00F56D00"/>
    <w:rsid w:val="00FA791F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/>
    </w:rPr>
  </w:style>
  <w:style w:type="paragraph" w:customStyle="1" w:styleId="TKTITRE1">
    <w:name w:val="TK TITRE1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TKTITRE3">
    <w:name w:val="TK TITRE 3"/>
    <w:qFormat/>
    <w:rsid w:val="000E14FA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DF5B76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TKAIM">
    <w:name w:val="TK AIM"/>
    <w:qFormat/>
    <w:rsid w:val="000E14FA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0E14FA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</w:rPr>
  </w:style>
  <w:style w:type="paragraph" w:customStyle="1" w:styleId="TKTEXTE">
    <w:name w:val="TK TEXTE"/>
    <w:qFormat/>
    <w:rsid w:val="008B434D"/>
    <w:pPr>
      <w:spacing w:before="120" w:after="12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BulletLevel1">
    <w:name w:val="TK Bullet Level1"/>
    <w:next w:val="Normal"/>
    <w:qFormat/>
    <w:rsid w:val="000E14FA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0E14FA"/>
    <w:pPr>
      <w:ind w:left="1135"/>
    </w:pPr>
  </w:style>
  <w:style w:type="paragraph" w:customStyle="1" w:styleId="TKNbrsLevel2">
    <w:name w:val="TK Nbrs Level2"/>
    <w:qFormat/>
    <w:rsid w:val="000E14FA"/>
    <w:pPr>
      <w:numPr>
        <w:numId w:val="12"/>
      </w:numPr>
      <w:spacing w:before="60" w:after="6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TKNbrsLevel1">
    <w:name w:val="TK_Nbrs Level1"/>
    <w:qFormat/>
    <w:rsid w:val="000E14FA"/>
    <w:pPr>
      <w:numPr>
        <w:numId w:val="13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0E14FA"/>
    <w:pPr>
      <w:spacing w:before="120" w:after="120" w:line="240" w:lineRule="auto"/>
    </w:pPr>
    <w:rPr>
      <w:rFonts w:ascii="Calibri" w:eastAsia="Times New Roman" w:hAnsi="Calibri" w:cs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1CEF-FB72-4900-9997-2D483A26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utilisateur</cp:lastModifiedBy>
  <cp:revision>2</cp:revision>
  <cp:lastPrinted>2017-03-21T17:05:00Z</cp:lastPrinted>
  <dcterms:created xsi:type="dcterms:W3CDTF">2017-10-27T09:28:00Z</dcterms:created>
  <dcterms:modified xsi:type="dcterms:W3CDTF">2017-10-27T09:28:00Z</dcterms:modified>
</cp:coreProperties>
</file>