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8" w:rsidRPr="00D13597" w:rsidRDefault="00DC3068" w:rsidP="00B80303">
      <w:pPr>
        <w:pStyle w:val="TKMAINTITLE"/>
      </w:pPr>
      <w:r>
        <w:t>52 - Gebruikmaken van post en bank</w:t>
      </w:r>
    </w:p>
    <w:p w:rsidR="00DC3068" w:rsidRPr="00D13597" w:rsidRDefault="00DC3068" w:rsidP="001561AA">
      <w:pPr>
        <w:pStyle w:val="TKAIM"/>
        <w:tabs>
          <w:tab w:val="clear" w:pos="709"/>
          <w:tab w:val="left" w:pos="1134"/>
        </w:tabs>
        <w:ind w:left="1985" w:hanging="1985"/>
      </w:pPr>
      <w:r>
        <w:t>Doelstellingen:</w:t>
      </w:r>
      <w:r>
        <w:tab/>
        <w:t>- vluchtelingen informatie geven over post- en bankdiensten,</w:t>
      </w:r>
      <w:r>
        <w:br/>
        <w:t>- vluchtelingen leren omgaan met post- en bankdiensten.</w:t>
      </w:r>
    </w:p>
    <w:p w:rsidR="00DC3068" w:rsidRPr="00D6366B" w:rsidRDefault="00DC3068" w:rsidP="00D6366B">
      <w:pPr>
        <w:pStyle w:val="TKTITRE1"/>
      </w:pPr>
      <w:r>
        <w:t>Communicatieve situaties</w:t>
      </w:r>
    </w:p>
    <w:p w:rsidR="00DC3068" w:rsidRPr="00D6366B" w:rsidRDefault="00DC3068" w:rsidP="0016195A">
      <w:pPr>
        <w:pStyle w:val="TKBulletLevel1"/>
      </w:pPr>
      <w:r>
        <w:t>opschriften begrijpen in het kader van post- en bankdiensten,</w:t>
      </w:r>
    </w:p>
    <w:p w:rsidR="00DC3068" w:rsidRPr="00D6366B" w:rsidRDefault="00DC3068" w:rsidP="0016195A">
      <w:pPr>
        <w:pStyle w:val="TKBulletLevel1"/>
      </w:pPr>
      <w:r>
        <w:t>eenvoudige informatie begrijpen over post- en bankdiensten,</w:t>
      </w:r>
    </w:p>
    <w:p w:rsidR="00DC3068" w:rsidRPr="00D6366B" w:rsidRDefault="00DC3068" w:rsidP="0016195A">
      <w:pPr>
        <w:pStyle w:val="TKBulletLevel1"/>
      </w:pPr>
      <w:r>
        <w:t>een geldautomaat gebruiken.</w:t>
      </w:r>
    </w:p>
    <w:p w:rsidR="00DC3068" w:rsidRPr="00D6366B" w:rsidRDefault="00DC3068" w:rsidP="00D6366B">
      <w:pPr>
        <w:pStyle w:val="TKTITRE1"/>
      </w:pPr>
      <w:r>
        <w:t>Materiaal</w:t>
      </w:r>
    </w:p>
    <w:p w:rsidR="00DC3068" w:rsidRPr="00D6366B" w:rsidRDefault="00DC3068" w:rsidP="0016195A">
      <w:pPr>
        <w:pStyle w:val="TKBulletLevel1"/>
      </w:pPr>
      <w:r>
        <w:t xml:space="preserve">afbeeldingen </w:t>
      </w:r>
      <w:r w:rsidR="00181E45">
        <w:t xml:space="preserve">over </w:t>
      </w:r>
      <w:r>
        <w:t>post- en bankdiensten,</w:t>
      </w:r>
    </w:p>
    <w:p w:rsidR="00DC3068" w:rsidRPr="00D6366B" w:rsidRDefault="00DC3068" w:rsidP="0016195A">
      <w:pPr>
        <w:pStyle w:val="TKBulletLevel1"/>
      </w:pPr>
      <w:r>
        <w:t xml:space="preserve">folder of informatiefiche over </w:t>
      </w:r>
      <w:r w:rsidR="00181E45">
        <w:t xml:space="preserve">de </w:t>
      </w:r>
      <w:r>
        <w:t xml:space="preserve">bank of </w:t>
      </w:r>
      <w:r w:rsidR="00181E45">
        <w:t xml:space="preserve">het </w:t>
      </w:r>
      <w:r>
        <w:t>postkantoor.</w:t>
      </w:r>
    </w:p>
    <w:p w:rsidR="00DC3068" w:rsidRPr="00D6366B" w:rsidRDefault="00DC3068" w:rsidP="00D6366B">
      <w:pPr>
        <w:pStyle w:val="TKTITRE1"/>
      </w:pPr>
      <w:r>
        <w:t>Taalactiviteiten</w:t>
      </w:r>
    </w:p>
    <w:p w:rsidR="00DC3068" w:rsidRPr="00D6366B" w:rsidRDefault="00DC3068" w:rsidP="00D6366B">
      <w:pPr>
        <w:pStyle w:val="TKTITRE3"/>
      </w:pPr>
      <w:r>
        <w:t>Activiteit 1</w:t>
      </w:r>
    </w:p>
    <w:p w:rsidR="00DC3068" w:rsidRPr="00D6366B" w:rsidRDefault="00DC3068" w:rsidP="003A09B8">
      <w:pPr>
        <w:pStyle w:val="TKTEXTE"/>
      </w:pPr>
      <w:r>
        <w:t>Gebruik de foto’s om:</w:t>
      </w:r>
    </w:p>
    <w:p w:rsidR="00DC3068" w:rsidRPr="00C62EB5" w:rsidRDefault="00181E45" w:rsidP="003A09B8">
      <w:pPr>
        <w:pStyle w:val="TKBulletLevel1"/>
        <w:rPr>
          <w:i/>
        </w:rPr>
      </w:pPr>
      <w:r>
        <w:t>b</w:t>
      </w:r>
      <w:r w:rsidR="00DC3068">
        <w:t>asisinformatie en -</w:t>
      </w:r>
      <w:bookmarkStart w:id="0" w:name="_GoBack"/>
      <w:bookmarkEnd w:id="0"/>
      <w:r w:rsidR="00DC3068">
        <w:t xml:space="preserve">woordenschat te introduceren over post- en bankdiensten via vragen als </w:t>
      </w:r>
      <w:r w:rsidR="00DC3068">
        <w:rPr>
          <w:i/>
        </w:rPr>
        <w:t>Waar kun je een brief naar een ander land sturen? Waar kun je geld wisselen?</w:t>
      </w:r>
    </w:p>
    <w:p w:rsidR="00DC3068" w:rsidRPr="00D6366B" w:rsidRDefault="00DC3068" w:rsidP="003A09B8">
      <w:pPr>
        <w:pStyle w:val="TKBulletLevel1"/>
      </w:pPr>
      <w:r>
        <w:t xml:space="preserve">vluchtelingen eventueel iets </w:t>
      </w:r>
      <w:r w:rsidR="00181E45">
        <w:t xml:space="preserve">te laten </w:t>
      </w:r>
      <w:r>
        <w:t>vertellen over de</w:t>
      </w:r>
      <w:r w:rsidR="00181E45">
        <w:t xml:space="preserve">ze </w:t>
      </w:r>
      <w:r>
        <w:t>diensten in hun eigen land.</w:t>
      </w:r>
    </w:p>
    <w:p w:rsidR="00DC3068" w:rsidRPr="00D6366B" w:rsidRDefault="00DC3068" w:rsidP="00D6366B">
      <w:pPr>
        <w:pStyle w:val="TKTITRE3"/>
      </w:pPr>
      <w:r>
        <w:t>Activiteit 2</w:t>
      </w:r>
    </w:p>
    <w:p w:rsidR="00DC3068" w:rsidRPr="00D6366B" w:rsidRDefault="00DC3068" w:rsidP="003A09B8">
      <w:pPr>
        <w:pStyle w:val="TKTEXTE"/>
      </w:pPr>
      <w:r>
        <w:t>Gebruik de afbeeldingen om relevante opschriften toe te lichten. Laat vluchtelingen:</w:t>
      </w:r>
    </w:p>
    <w:p w:rsidR="00DC3068" w:rsidRPr="00D6366B" w:rsidRDefault="00DC3068" w:rsidP="003A09B8">
      <w:pPr>
        <w:pStyle w:val="TKBulletLevel1"/>
      </w:pPr>
      <w:r>
        <w:t>sleutelwoorden en -uitdrukkingen op kaartjes schrijven</w:t>
      </w:r>
      <w:r w:rsidR="00181E45">
        <w:t xml:space="preserve"> en</w:t>
      </w:r>
      <w:r>
        <w:t xml:space="preserve"> </w:t>
      </w:r>
      <w:r w:rsidR="00181E45">
        <w:t xml:space="preserve">dezelfde </w:t>
      </w:r>
      <w:r>
        <w:t>opschriften voorlezen op andere afbeeldingen (bv. een afbeelding van een straat met dezelfde opschriften)</w:t>
      </w:r>
      <w:r w:rsidR="00181E45">
        <w:t>,</w:t>
      </w:r>
    </w:p>
    <w:p w:rsidR="00DC3068" w:rsidRPr="00D6366B" w:rsidRDefault="00DC3068" w:rsidP="003A09B8">
      <w:pPr>
        <w:pStyle w:val="TKBulletLevel1"/>
      </w:pPr>
      <w:r>
        <w:t>de passende woorden zoeken bij de afbeeldingen en opschriften</w:t>
      </w:r>
      <w:r w:rsidR="00181E45">
        <w:t xml:space="preserve"> om te controleren of ze het begrepen hebben</w:t>
      </w:r>
      <w:r>
        <w:t>.</w:t>
      </w:r>
    </w:p>
    <w:p w:rsidR="00DC3068" w:rsidRPr="00D6366B" w:rsidRDefault="00DC3068" w:rsidP="00D6366B">
      <w:pPr>
        <w:pStyle w:val="TKTITRE3"/>
      </w:pPr>
      <w:r>
        <w:t>Activiteit 3</w:t>
      </w:r>
    </w:p>
    <w:p w:rsidR="00DC3068" w:rsidRPr="00D6366B" w:rsidRDefault="00DC3068" w:rsidP="003A09B8">
      <w:pPr>
        <w:pStyle w:val="TKTEXTE"/>
      </w:pPr>
      <w:r>
        <w:t>Deel een geïllustreerde folder uit met informatie over de locatie en de openingsuren van het dichtstbijzijnde post- of bankkantoor.</w:t>
      </w:r>
    </w:p>
    <w:p w:rsidR="00DC3068" w:rsidRPr="00C62EB5" w:rsidRDefault="00DC3068" w:rsidP="003A09B8">
      <w:pPr>
        <w:pStyle w:val="TKBulletLevel1"/>
        <w:rPr>
          <w:i/>
        </w:rPr>
      </w:pPr>
      <w:r>
        <w:t xml:space="preserve">Controleer het begrip van de vluchtelingen </w:t>
      </w:r>
      <w:r w:rsidR="00181E45">
        <w:t xml:space="preserve">met </w:t>
      </w:r>
      <w:r>
        <w:t xml:space="preserve">vragen als: </w:t>
      </w:r>
      <w:r>
        <w:rPr>
          <w:i/>
        </w:rPr>
        <w:t xml:space="preserve">Waar is de bank? Is de bank open op zaterdag? Wanneer is het postkantoor open? Hoe laat sluit de bank? </w:t>
      </w:r>
      <w:r>
        <w:t>De vluchtelingen kunnen hier de tijdsaanduidingen en dagen van de week inoefenen (bv.</w:t>
      </w:r>
      <w:r>
        <w:rPr>
          <w:i/>
        </w:rPr>
        <w:t xml:space="preserve"> De bank is open van 9 u tot 16.30 u, van maandag tot vrijdag).</w:t>
      </w:r>
    </w:p>
    <w:p w:rsidR="00DC3068" w:rsidRPr="00D6366B" w:rsidRDefault="00DC3068" w:rsidP="003A09B8">
      <w:pPr>
        <w:pStyle w:val="TKBulletLevel1"/>
      </w:pPr>
      <w:r>
        <w:t xml:space="preserve">Laat hen daarna in duo’s werken en informatie uitwisselen over de informatiefolders. </w:t>
      </w:r>
    </w:p>
    <w:p w:rsidR="00DC3068" w:rsidRPr="00D6366B" w:rsidRDefault="00DC3068" w:rsidP="003A09B8">
      <w:pPr>
        <w:pStyle w:val="TKBulletLevel1"/>
      </w:pPr>
      <w:r>
        <w:t>Laat vluchtelingen hun informatie delen met de groep.</w:t>
      </w:r>
    </w:p>
    <w:p w:rsidR="00DC3068" w:rsidRDefault="00DC3068">
      <w:pPr>
        <w:rPr>
          <w:rFonts w:cs="Calibri"/>
          <w:i/>
          <w:iCs/>
          <w:noProof/>
          <w:szCs w:val="24"/>
          <w:u w:val="single"/>
        </w:rPr>
      </w:pPr>
    </w:p>
    <w:p w:rsidR="00DC3068" w:rsidRPr="00D6366B" w:rsidRDefault="00614AAA" w:rsidP="00D6366B">
      <w:pPr>
        <w:pStyle w:val="TKTITRE3"/>
      </w:pPr>
      <w:r>
        <w:br w:type="page"/>
      </w:r>
      <w:r>
        <w:lastRenderedPageBreak/>
        <w:t>Activiteit 4</w:t>
      </w:r>
    </w:p>
    <w:p w:rsidR="00DC3068" w:rsidRDefault="00181E45" w:rsidP="003A09B8">
      <w:pPr>
        <w:pStyle w:val="TKTEXTE"/>
      </w:pPr>
      <w:r>
        <w:t>Laat v</w:t>
      </w:r>
      <w:r w:rsidR="00DC3068">
        <w:t>luchtelingen zich voor</w:t>
      </w:r>
      <w:r>
        <w:t>stellen</w:t>
      </w:r>
      <w:r w:rsidR="00DC3068">
        <w:t xml:space="preserve"> dat ze bij een bank staan</w:t>
      </w:r>
      <w:r>
        <w:t>, of beter nog: organiseer een</w:t>
      </w:r>
      <w:r w:rsidRPr="00181E45">
        <w:t xml:space="preserve"> </w:t>
      </w:r>
      <w:r>
        <w:t xml:space="preserve">bezoek aan een bank, een postkantoor of een wisselkantoor. </w:t>
      </w:r>
      <w:r w:rsidR="00DC3068">
        <w:t>Wanneer deze uitstap niet haalbaar is, kun je:</w:t>
      </w:r>
    </w:p>
    <w:p w:rsidR="00DC3068" w:rsidRPr="00C62EB5" w:rsidRDefault="00DC3068" w:rsidP="00614AAA">
      <w:pPr>
        <w:pStyle w:val="TKBulletLevel1"/>
        <w:ind w:left="567" w:hanging="283"/>
        <w:rPr>
          <w:i/>
        </w:rPr>
      </w:pPr>
      <w:r>
        <w:t xml:space="preserve">afbeeldingen tonen van een bankautomaat en de vraag stellen: </w:t>
      </w:r>
      <w:r>
        <w:rPr>
          <w:i/>
        </w:rPr>
        <w:t>Hoe werk je met een bankautomaat?</w:t>
      </w:r>
    </w:p>
    <w:p w:rsidR="00DC3068" w:rsidRPr="00D6366B" w:rsidRDefault="00DC3068" w:rsidP="00614AAA">
      <w:pPr>
        <w:pStyle w:val="TKBulletLevel1"/>
        <w:ind w:left="567" w:hanging="283"/>
      </w:pPr>
      <w:r>
        <w:t xml:space="preserve">printscreens </w:t>
      </w:r>
      <w:r w:rsidR="00181E45">
        <w:t xml:space="preserve">tonen </w:t>
      </w:r>
      <w:r>
        <w:t>van de instructies op een bankautomaat</w:t>
      </w:r>
      <w:r w:rsidR="00181E45">
        <w:t xml:space="preserve"> indien mogelijk,</w:t>
      </w:r>
      <w:r>
        <w:t xml:space="preserve"> en de stappen toe</w:t>
      </w:r>
      <w:r w:rsidR="00181E45">
        <w:t xml:space="preserve">lichten </w:t>
      </w:r>
      <w:r>
        <w:t>om geld op te nemen met een bankkaart. Laat vluchtelingen de procedure in eenvoudige bewoordingen uitleggen, bv.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Steek je kaart in de kaartlezer.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 xml:space="preserve">Maak je keuze: geldopname, </w:t>
      </w:r>
      <w:r w:rsidR="00181E45">
        <w:rPr>
          <w:i/>
        </w:rPr>
        <w:t>stand van je rekening opvragen</w:t>
      </w:r>
      <w:r>
        <w:rPr>
          <w:i/>
        </w:rPr>
        <w:t xml:space="preserve"> enz.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Voer je pincode in en kies het gewenste bedrag dat je wil opnemen enz.</w:t>
      </w:r>
    </w:p>
    <w:p w:rsidR="00DC3068" w:rsidRPr="00764A23" w:rsidRDefault="00DC3068" w:rsidP="003A09B8">
      <w:pPr>
        <w:pStyle w:val="TKNbrsLevel1"/>
        <w:rPr>
          <w:i/>
        </w:rPr>
      </w:pPr>
      <w:r>
        <w:rPr>
          <w:i/>
        </w:rPr>
        <w:t>Neem je kaart terug. Haal de biljetten uit de automaat.</w:t>
      </w:r>
    </w:p>
    <w:p w:rsidR="00DC3068" w:rsidRPr="00D6366B" w:rsidRDefault="00DC3068" w:rsidP="003A09B8">
      <w:pPr>
        <w:pStyle w:val="TKTITRE3"/>
      </w:pPr>
      <w:r>
        <w:t>Activiteit 5</w:t>
      </w:r>
    </w:p>
    <w:p w:rsidR="00DC3068" w:rsidRPr="00D6366B" w:rsidRDefault="00DC3068" w:rsidP="003A09B8">
      <w:pPr>
        <w:pStyle w:val="TKTEXTE"/>
      </w:pPr>
      <w:r>
        <w:t xml:space="preserve">De vluchtelingen oefenen </w:t>
      </w:r>
      <w:r w:rsidR="00181E45">
        <w:t>taal</w:t>
      </w:r>
      <w:r>
        <w:t xml:space="preserve"> in die ze kunnen gebruiken in een postkantoor: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Kan ik u helpen?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Ik zou deze brief naar Irak willen versturen.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Oké, leg hem maar op de weegschaal. – Dat is dan € 3,50.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In orde. Alstublieft. Waar mag ik hem posten?</w:t>
      </w:r>
    </w:p>
    <w:p w:rsidR="00DC3068" w:rsidRPr="003A09B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Steek hem in de bus voor het buitenland.</w:t>
      </w:r>
    </w:p>
    <w:p w:rsidR="00DC3068" w:rsidRDefault="00DC3068" w:rsidP="00AD6FE9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Oké. Bedankt. Daag.</w:t>
      </w:r>
    </w:p>
    <w:p w:rsidR="00DC3068" w:rsidRPr="00614AAA" w:rsidRDefault="00DC3068" w:rsidP="00614AAA">
      <w:pPr>
        <w:pStyle w:val="TKTITRE3"/>
      </w:pPr>
      <w:r>
        <w:t>Activiteit 6</w:t>
      </w:r>
    </w:p>
    <w:p w:rsidR="00DC3068" w:rsidRDefault="00DC3068" w:rsidP="00C45E85">
      <w:r>
        <w:t>Vluchtelingen oefenen taal in die ze nodig hebben om een buitenlandse geldtransfer uit te voeren.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Goeiedag. Ik zou een bedrag willen overmaken naar ****** (plaatsnaam).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Oké, dan moet u eerst dit formulier invullen. 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Hoe lang duurt het eer het geld in ****** (plaatsnaam) is?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Dat gebeurt vrijwel onmiddellijk.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Hoe betaal ik aan u?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Dat kan cash of met een bankkaart.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Hoe zal mijn vriend het geld kunnen opnemen?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B.</w:t>
      </w:r>
      <w:r>
        <w:rPr>
          <w:i/>
        </w:rPr>
        <w:t xml:space="preserve"> Aan de hand van dit registratienummer zal je vriend het geld kunnen opnemen in een van onze kantoren.</w:t>
      </w:r>
    </w:p>
    <w:p w:rsidR="00DC3068" w:rsidRPr="00AD6FE9" w:rsidRDefault="00DC3068" w:rsidP="00614AAA">
      <w:pPr>
        <w:pStyle w:val="TKBulletLevel1"/>
        <w:numPr>
          <w:ilvl w:val="0"/>
          <w:numId w:val="0"/>
        </w:numPr>
        <w:ind w:left="284"/>
        <w:rPr>
          <w:i/>
        </w:rPr>
      </w:pPr>
      <w:r>
        <w:t>A.</w:t>
      </w:r>
      <w:r>
        <w:rPr>
          <w:i/>
        </w:rPr>
        <w:t xml:space="preserve"> In orde. Bedankt.</w:t>
      </w:r>
    </w:p>
    <w:p w:rsidR="00DC3068" w:rsidRPr="00D6366B" w:rsidRDefault="00DC3068" w:rsidP="00B170A5">
      <w:pPr>
        <w:pStyle w:val="TKTITRE1"/>
      </w:pPr>
      <w:r>
        <w:t>Ideeën voor laaggeletterde taalverwervers</w:t>
      </w:r>
    </w:p>
    <w:p w:rsidR="00DC3068" w:rsidRPr="00D6366B" w:rsidRDefault="00DC3068" w:rsidP="00614AAA">
      <w:pPr>
        <w:pStyle w:val="TKBulletLevel1"/>
        <w:ind w:left="567" w:hanging="283"/>
      </w:pPr>
      <w:r>
        <w:t xml:space="preserve">Laat laaggeletterde vluchtelingen </w:t>
      </w:r>
      <w:r w:rsidR="00181E45">
        <w:t xml:space="preserve">enkele </w:t>
      </w:r>
      <w:r>
        <w:t>woorden die bij deze activiteit werden gebruikt, noteren op kaartjes.</w:t>
      </w:r>
    </w:p>
    <w:p w:rsidR="00DC3068" w:rsidRPr="00D6366B" w:rsidRDefault="00DC3068" w:rsidP="00614AAA">
      <w:pPr>
        <w:pStyle w:val="TKBulletLevel1"/>
        <w:ind w:left="567" w:hanging="283"/>
      </w:pPr>
      <w:r>
        <w:t>Laat hen naar keuze makkelijke woorden overschrijven uit de folder of afbeeldingen.</w:t>
      </w:r>
    </w:p>
    <w:p w:rsidR="00DC3068" w:rsidRPr="00D6366B" w:rsidRDefault="00DC3068" w:rsidP="00614AAA">
      <w:pPr>
        <w:pStyle w:val="TKBulletLevel1"/>
        <w:ind w:left="567" w:hanging="283"/>
      </w:pPr>
      <w:r>
        <w:t>Laat hen borden en opschriften lezen die je aantreft in post- en bankkantoren.</w:t>
      </w:r>
    </w:p>
    <w:p w:rsidR="00DC3068" w:rsidRPr="00D6366B" w:rsidRDefault="001561AA" w:rsidP="00B170A5">
      <w:pPr>
        <w:pStyle w:val="TKTITRE1"/>
      </w:pPr>
      <w:r>
        <w:br w:type="page"/>
      </w:r>
      <w:r w:rsidR="00DC3068">
        <w:lastRenderedPageBreak/>
        <w:t>Voorbeeldmateriaal</w:t>
      </w:r>
    </w:p>
    <w:p w:rsidR="00DC3068" w:rsidRPr="00D6366B" w:rsidRDefault="00DC3068" w:rsidP="00B170A5">
      <w:pPr>
        <w:pStyle w:val="TKTEXTE"/>
      </w:pPr>
      <w:r>
        <w:t xml:space="preserve">afbeeldingen begrijpen </w:t>
      </w:r>
      <w:r w:rsidR="00181E45">
        <w:t>over</w:t>
      </w:r>
      <w:r>
        <w:t xml:space="preserve"> post- en bankdiensten</w:t>
      </w:r>
    </w:p>
    <w:tbl>
      <w:tblPr>
        <w:tblW w:w="5000" w:type="pct"/>
        <w:tblLook w:val="00A0"/>
      </w:tblPr>
      <w:tblGrid>
        <w:gridCol w:w="5341"/>
        <w:gridCol w:w="5341"/>
      </w:tblGrid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828925" cy="1800225"/>
                  <wp:effectExtent l="19050" t="0" r="952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743200" cy="1800225"/>
                  <wp:effectExtent l="19050" t="0" r="0" b="0"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800225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800225"/>
                  <wp:effectExtent l="1905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686050" cy="1800225"/>
                  <wp:effectExtent l="1905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4526E6" w:rsidP="00CE4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fr-FR" w:eastAsia="fr-FR" w:bidi="ar-SA"/>
              </w:rPr>
              <w:drawing>
                <wp:inline distT="0" distB="0" distL="0" distR="0">
                  <wp:extent cx="2771775" cy="1809750"/>
                  <wp:effectExtent l="19050" t="0" r="95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068" w:rsidRPr="00886BC3" w:rsidRDefault="00DC3068" w:rsidP="00D6366B">
      <w:pPr>
        <w:rPr>
          <w:noProof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60" w:rsidRDefault="00012360" w:rsidP="00C523EA">
      <w:r>
        <w:separator/>
      </w:r>
    </w:p>
  </w:endnote>
  <w:endnote w:type="continuationSeparator" w:id="0">
    <w:p w:rsidR="00012360" w:rsidRDefault="00012360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DC306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</w:rPr>
          </w:pPr>
          <w:r>
            <w:rPr>
              <w:sz w:val="18"/>
            </w:rPr>
            <w:t>Taalbeleidsprogramma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</w:rPr>
          </w:pPr>
          <w:r>
            <w:rPr>
              <w:sz w:val="18"/>
            </w:rPr>
            <w:t>Straatsburg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</w:rPr>
          </w:pPr>
        </w:p>
        <w:p w:rsidR="00DC3068" w:rsidRPr="000954B8" w:rsidRDefault="00DC3068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</w:rPr>
          </w:pPr>
          <w:r>
            <w:rPr>
              <w:b/>
              <w:sz w:val="18"/>
            </w:rPr>
            <w:t>Tool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C3068" w:rsidRPr="005A600F" w:rsidRDefault="00AF144C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</w:rPr>
          </w:pPr>
          <w:r w:rsidRPr="005A600F">
            <w:rPr>
              <w:rFonts w:cs="Cambria"/>
              <w:sz w:val="18"/>
              <w:szCs w:val="18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</w:rPr>
            <w:instrText>PAGE</w:instrText>
          </w:r>
          <w:r w:rsidRPr="005A600F">
            <w:rPr>
              <w:rFonts w:cs="Cambria"/>
              <w:sz w:val="18"/>
              <w:szCs w:val="18"/>
            </w:rPr>
            <w:fldChar w:fldCharType="separate"/>
          </w:r>
          <w:r w:rsidR="004526E6">
            <w:rPr>
              <w:rFonts w:cs="Cambria"/>
              <w:noProof/>
              <w:sz w:val="18"/>
              <w:szCs w:val="18"/>
            </w:rPr>
            <w:t>3</w:t>
          </w:r>
          <w:r w:rsidRPr="005A600F">
            <w:rPr>
              <w:rFonts w:cs="Cambria"/>
              <w:sz w:val="18"/>
              <w:szCs w:val="18"/>
            </w:rPr>
            <w:fldChar w:fldCharType="end"/>
          </w:r>
          <w:r w:rsidR="00DC3068">
            <w:rPr>
              <w:sz w:val="18"/>
            </w:rPr>
            <w:t>/</w:t>
          </w:r>
          <w:r w:rsidRPr="005A600F">
            <w:rPr>
              <w:rFonts w:cs="Cambria"/>
              <w:sz w:val="18"/>
              <w:szCs w:val="18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</w:rPr>
            <w:instrText>NUMPAGES</w:instrText>
          </w:r>
          <w:r w:rsidRPr="005A600F">
            <w:rPr>
              <w:rFonts w:cs="Cambria"/>
              <w:sz w:val="18"/>
              <w:szCs w:val="18"/>
            </w:rPr>
            <w:fldChar w:fldCharType="separate"/>
          </w:r>
          <w:r w:rsidR="004526E6">
            <w:rPr>
              <w:rFonts w:cs="Cambria"/>
              <w:noProof/>
              <w:sz w:val="18"/>
              <w:szCs w:val="18"/>
            </w:rPr>
            <w:t>3</w:t>
          </w:r>
          <w:r w:rsidRPr="005A600F">
            <w:rPr>
              <w:rFonts w:cs="Cambria"/>
              <w:sz w:val="18"/>
              <w:szCs w:val="18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4526E6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</w:rPr>
          </w:pPr>
          <w:r>
            <w:rPr>
              <w:rFonts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38200" cy="666750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3068" w:rsidRPr="002860CD" w:rsidRDefault="00DC306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60" w:rsidRDefault="00012360" w:rsidP="00C523EA">
      <w:r>
        <w:separator/>
      </w:r>
    </w:p>
  </w:footnote>
  <w:footnote w:type="continuationSeparator" w:id="0">
    <w:p w:rsidR="00012360" w:rsidRDefault="00012360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DC3068" w:rsidRPr="00614AAA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C3068" w:rsidRPr="00CB5C65" w:rsidRDefault="004526E6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71550" cy="704850"/>
                <wp:effectExtent l="1905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DC3068" w:rsidRPr="00472385" w:rsidRDefault="00DC3068" w:rsidP="00186952">
          <w:pPr>
            <w:jc w:val="center"/>
            <w:rPr>
              <w:b/>
            </w:rPr>
          </w:pPr>
          <w:r>
            <w:rPr>
              <w:b/>
            </w:rPr>
            <w:t>Taalondersteuning voor volwassen vluchtelingen</w:t>
          </w:r>
        </w:p>
        <w:p w:rsidR="00DC3068" w:rsidRPr="00472385" w:rsidRDefault="00DC3068" w:rsidP="00186952">
          <w:pPr>
            <w:jc w:val="center"/>
            <w:rPr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DC3068" w:rsidRPr="00010EAF" w:rsidRDefault="00AF144C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E57F9A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4526E6" w:rsidRDefault="004526E6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</w:rPr>
          </w:pPr>
          <w:r w:rsidRPr="004526E6">
            <w:rPr>
              <w:sz w:val="20"/>
            </w:rPr>
            <w:t>Taalintegratie van volwassen migranten(LIAM)</w:t>
          </w:r>
        </w:p>
        <w:p w:rsidR="00DC3068" w:rsidRPr="00010EAF" w:rsidRDefault="00AF144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E57F9A">
              <w:rPr>
                <w:rStyle w:val="Lienhypertexte"/>
                <w:sz w:val="20"/>
              </w:rPr>
              <w:t>www.coe.int/lang-migrants</w:t>
            </w:r>
          </w:hyperlink>
        </w:p>
      </w:tc>
    </w:tr>
  </w:tbl>
  <w:p w:rsidR="00DC3068" w:rsidRPr="00186952" w:rsidRDefault="00DC3068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3750"/>
    <w:rsid w:val="00004C66"/>
    <w:rsid w:val="00010EAF"/>
    <w:rsid w:val="00012360"/>
    <w:rsid w:val="0001311E"/>
    <w:rsid w:val="00013516"/>
    <w:rsid w:val="000338F0"/>
    <w:rsid w:val="00037B0E"/>
    <w:rsid w:val="000537B7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54B1F"/>
    <w:rsid w:val="001561AA"/>
    <w:rsid w:val="0016195A"/>
    <w:rsid w:val="00172C07"/>
    <w:rsid w:val="001741D1"/>
    <w:rsid w:val="0017676C"/>
    <w:rsid w:val="00181E45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25C85"/>
    <w:rsid w:val="00230C28"/>
    <w:rsid w:val="00233192"/>
    <w:rsid w:val="00246E8E"/>
    <w:rsid w:val="00254DC5"/>
    <w:rsid w:val="0026293F"/>
    <w:rsid w:val="0028388F"/>
    <w:rsid w:val="002860CD"/>
    <w:rsid w:val="0029174C"/>
    <w:rsid w:val="00296D86"/>
    <w:rsid w:val="002A0CEF"/>
    <w:rsid w:val="002A3476"/>
    <w:rsid w:val="002A5874"/>
    <w:rsid w:val="002B366B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526E6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3ACD"/>
    <w:rsid w:val="007B3F92"/>
    <w:rsid w:val="007B4D14"/>
    <w:rsid w:val="007F0F75"/>
    <w:rsid w:val="007F5F10"/>
    <w:rsid w:val="00802726"/>
    <w:rsid w:val="0080462C"/>
    <w:rsid w:val="00805257"/>
    <w:rsid w:val="008067EC"/>
    <w:rsid w:val="0083366C"/>
    <w:rsid w:val="0083398B"/>
    <w:rsid w:val="00844534"/>
    <w:rsid w:val="008469DE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F144C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45E85"/>
    <w:rsid w:val="00C523EA"/>
    <w:rsid w:val="00C622D7"/>
    <w:rsid w:val="00C62EB5"/>
    <w:rsid w:val="00C7477C"/>
    <w:rsid w:val="00C8086F"/>
    <w:rsid w:val="00CB5C65"/>
    <w:rsid w:val="00CC0991"/>
    <w:rsid w:val="00CC6B8F"/>
    <w:rsid w:val="00CC7828"/>
    <w:rsid w:val="00CE2244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5A92"/>
    <w:rsid w:val="00DB3E04"/>
    <w:rsid w:val="00DC3068"/>
    <w:rsid w:val="00DC410A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57F9A"/>
    <w:rsid w:val="00E74E5B"/>
    <w:rsid w:val="00E826A8"/>
    <w:rsid w:val="00E90A39"/>
    <w:rsid w:val="00EA589F"/>
    <w:rsid w:val="00EC3C97"/>
    <w:rsid w:val="00EC6747"/>
    <w:rsid w:val="00ED00D4"/>
    <w:rsid w:val="00ED4CB7"/>
    <w:rsid w:val="00F260E9"/>
    <w:rsid w:val="00F41208"/>
    <w:rsid w:val="00F5126A"/>
    <w:rsid w:val="00F61A2C"/>
    <w:rsid w:val="00FB0515"/>
    <w:rsid w:val="00FB70A6"/>
    <w:rsid w:val="00FC40D5"/>
    <w:rsid w:val="00FC4F80"/>
    <w:rsid w:val="00FE2BF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nl-BE" w:eastAsia="nl-BE" w:bidi="nl-BE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nl-BE" w:eastAsia="nl-BE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nl-B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nl-B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nl-B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nl-BE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nl-B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nl-BE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nl-BE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nl-BE" w:eastAsia="nl-BE" w:bidi="nl-BE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nl-BE" w:eastAsia="nl-BE" w:bidi="nl-BE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nl-BE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nl-BE" w:eastAsia="nl-BE" w:bidi="nl-B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nl-BE" w:eastAsia="nl-BE" w:bidi="nl-BE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nl-BE" w:eastAsia="nl-BE" w:bidi="nl-BE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nl-BE" w:eastAsia="nl-BE" w:bidi="nl-BE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nl-BE" w:eastAsia="nl-BE" w:bidi="nl-BE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nl-BE" w:eastAsia="nl-BE" w:bidi="nl-BE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nl-BE" w:eastAsia="nl-BE" w:bidi="nl-BE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nl-BE" w:eastAsia="nl-BE" w:bidi="nl-BE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nl-BE" w:eastAsia="nl-BE" w:bidi="nl-BE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52 - Using postal and banking services</vt:lpstr>
      <vt:lpstr>52 - Using postal and banking services</vt:lpstr>
    </vt:vector>
  </TitlesOfParts>
  <Company>Council of Europe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utilisateur</cp:lastModifiedBy>
  <cp:revision>2</cp:revision>
  <cp:lastPrinted>2017-03-21T17:43:00Z</cp:lastPrinted>
  <dcterms:created xsi:type="dcterms:W3CDTF">2017-10-27T09:27:00Z</dcterms:created>
  <dcterms:modified xsi:type="dcterms:W3CDTF">2017-10-27T09:27:00Z</dcterms:modified>
</cp:coreProperties>
</file>