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D13597" w:rsidRDefault="00D13597" w:rsidP="00B80303">
      <w:pPr>
        <w:pStyle w:val="TKMAINTITLE"/>
      </w:pPr>
      <w:r>
        <w:t>45 - Shoppen: kleren kopen</w:t>
      </w:r>
    </w:p>
    <w:p w:rsidR="00D13597" w:rsidRPr="00D13597" w:rsidRDefault="006A409B" w:rsidP="00B80303">
      <w:pPr>
        <w:pStyle w:val="TKAIM"/>
      </w:pPr>
      <w:proofErr w:type="gramStart"/>
      <w:r>
        <w:t xml:space="preserve">Doelstellingen:  </w:t>
      </w:r>
      <w:proofErr w:type="gramEnd"/>
      <w:r w:rsidR="00B80303">
        <w:t>- Woordenschat en sleuteluitdrukkingen aanleren rond kleding.</w:t>
      </w:r>
      <w:r w:rsidR="00B80303">
        <w:br/>
      </w:r>
      <w:r>
        <w:t xml:space="preserve">                  </w:t>
      </w:r>
      <w:r w:rsidR="00B80303">
        <w:t>- Vluchtelingen leren spreken over kleren.</w:t>
      </w:r>
    </w:p>
    <w:p w:rsidR="00A061CE" w:rsidRDefault="00D13597" w:rsidP="00A061CE">
      <w:pPr>
        <w:pStyle w:val="TKTITRE1"/>
      </w:pPr>
      <w:r>
        <w:t>Communicatieve situaties</w:t>
      </w:r>
    </w:p>
    <w:p w:rsidR="00D13597" w:rsidRPr="00D13597" w:rsidRDefault="00D13597" w:rsidP="003853D1">
      <w:pPr>
        <w:pStyle w:val="TKBulletLevel1"/>
      </w:pPr>
      <w:r>
        <w:t>een behoefte uitdrukken en het antwoord begrijpen,</w:t>
      </w:r>
    </w:p>
    <w:p w:rsidR="00D13597" w:rsidRPr="00B80303" w:rsidRDefault="00D13597" w:rsidP="003853D1">
      <w:pPr>
        <w:pStyle w:val="TKBulletLevel1"/>
      </w:pPr>
      <w:r>
        <w:t>over kleren spreken.</w:t>
      </w:r>
    </w:p>
    <w:p w:rsidR="00D13597" w:rsidRPr="00B80303" w:rsidRDefault="00D13597" w:rsidP="00A061CE">
      <w:pPr>
        <w:pStyle w:val="TKTITRE1"/>
      </w:pPr>
      <w:r>
        <w:t>Materiaal</w:t>
      </w:r>
    </w:p>
    <w:p w:rsidR="003853D1" w:rsidRPr="00D13597" w:rsidRDefault="003853D1" w:rsidP="0054564B">
      <w:pPr>
        <w:pStyle w:val="TKBulletLevel1"/>
      </w:pPr>
      <w:r>
        <w:t>afbeeldingen van kleren,</w:t>
      </w:r>
    </w:p>
    <w:p w:rsidR="003853D1" w:rsidRPr="00D13597" w:rsidRDefault="003853D1" w:rsidP="0054564B">
      <w:pPr>
        <w:pStyle w:val="TKBulletLevel1"/>
      </w:pPr>
      <w:r>
        <w:t>foto’s van het gastland in verschillende seizoenen.</w:t>
      </w:r>
    </w:p>
    <w:p w:rsidR="00A061CE" w:rsidRDefault="00D13597" w:rsidP="00A061CE">
      <w:pPr>
        <w:pStyle w:val="TKTITRE1"/>
      </w:pPr>
      <w:r>
        <w:t>Taalactiviteiten</w:t>
      </w:r>
    </w:p>
    <w:p w:rsidR="0054564B" w:rsidRDefault="0054564B" w:rsidP="0054564B">
      <w:pPr>
        <w:pStyle w:val="TKTITRE3"/>
      </w:pPr>
      <w:r>
        <w:t>Activiteit 1</w:t>
      </w:r>
    </w:p>
    <w:p w:rsidR="00D13597" w:rsidRPr="00D13597" w:rsidRDefault="00D13597" w:rsidP="0054564B">
      <w:pPr>
        <w:pStyle w:val="TKTEXTE"/>
      </w:pPr>
      <w:r>
        <w:t>Gebruik de afbeeldingen van kleren om te spreken over:</w:t>
      </w:r>
    </w:p>
    <w:p w:rsidR="00D13597" w:rsidRPr="00D13597" w:rsidRDefault="00D13597" w:rsidP="0054564B">
      <w:pPr>
        <w:pStyle w:val="TKBulletLevel1"/>
      </w:pPr>
      <w:r>
        <w:t>kleren in hun thuisland (traditionele kleding, alledaagse kleding enz.),</w:t>
      </w:r>
    </w:p>
    <w:p w:rsidR="00D13597" w:rsidRPr="00D13597" w:rsidRDefault="00D13597" w:rsidP="0054564B">
      <w:pPr>
        <w:pStyle w:val="TKBulletLevel1"/>
      </w:pPr>
      <w:r>
        <w:t>overeenkomsten en verschillen in de manier waarop mensen zich kleden in het gastland en in hun thuisland.</w:t>
      </w:r>
    </w:p>
    <w:p w:rsidR="0054564B" w:rsidRDefault="0054564B" w:rsidP="0054564B">
      <w:pPr>
        <w:pStyle w:val="TKTITRE3"/>
      </w:pPr>
      <w:r>
        <w:t>Activiteit 2</w:t>
      </w:r>
    </w:p>
    <w:p w:rsidR="00D13597" w:rsidRPr="00D13597" w:rsidRDefault="00D13597" w:rsidP="0054564B">
      <w:pPr>
        <w:pStyle w:val="TKTEXTE"/>
      </w:pPr>
      <w:r>
        <w:t>Gebruik de afbeeldingen of –</w:t>
      </w:r>
      <w:r w:rsidR="006A409B">
        <w:t xml:space="preserve"> </w:t>
      </w:r>
      <w:r>
        <w:t xml:space="preserve">beter </w:t>
      </w:r>
      <w:r w:rsidR="006A409B">
        <w:t xml:space="preserve">nog </w:t>
      </w:r>
      <w:r>
        <w:t>– echte kleren:</w:t>
      </w:r>
    </w:p>
    <w:p w:rsidR="00D13597" w:rsidRPr="00D13597" w:rsidRDefault="00D13597" w:rsidP="0054564B">
      <w:pPr>
        <w:pStyle w:val="TKBulletLevel1"/>
      </w:pPr>
      <w:r>
        <w:t>om de basiswoordenschat aan te brengen rond kleren,</w:t>
      </w:r>
    </w:p>
    <w:p w:rsidR="00D13597" w:rsidRPr="00D13597" w:rsidRDefault="00D13597" w:rsidP="0054564B">
      <w:pPr>
        <w:pStyle w:val="TKBulletLevel1"/>
      </w:pPr>
      <w:r>
        <w:t>laat de vluchtelingen deze woorden op kaartjes noteren,</w:t>
      </w:r>
    </w:p>
    <w:p w:rsidR="00D13597" w:rsidRDefault="00D13597" w:rsidP="0054564B">
      <w:pPr>
        <w:pStyle w:val="TKBulletLevel1"/>
      </w:pPr>
      <w:r>
        <w:t>laat hen de passende woorden bij de afbeeldingen of kledingstukken zoeken om na te gaan of ze de woordenschat onder de knie hebben.</w:t>
      </w:r>
    </w:p>
    <w:p w:rsidR="0054564B" w:rsidRPr="0054564B" w:rsidRDefault="0054564B" w:rsidP="0054564B">
      <w:pPr>
        <w:pStyle w:val="TKTITRE3"/>
      </w:pPr>
      <w:r>
        <w:t>Activiteit 3</w:t>
      </w:r>
    </w:p>
    <w:p w:rsidR="00D13597" w:rsidRPr="007B3F92" w:rsidRDefault="00D13597" w:rsidP="0054564B">
      <w:pPr>
        <w:pStyle w:val="TKTEXTE"/>
        <w:rPr>
          <w:i/>
        </w:rPr>
      </w:pPr>
      <w:r>
        <w:t xml:space="preserve">Toon de vluchtelingen </w:t>
      </w:r>
      <w:r w:rsidR="006A409B">
        <w:t xml:space="preserve">de </w:t>
      </w:r>
      <w:r>
        <w:t xml:space="preserve">afbeeldingen van de seizoenen (gebruik indien mogelijk afbeeldingen van de dichtstbijzijnde stad/gemeente/dorp) en check hun kennis van de vier seizoenen aan de hand van vragen als </w:t>
      </w:r>
      <w:r>
        <w:rPr>
          <w:i/>
        </w:rPr>
        <w:t>Welk seizoen zie je op deze foto? Hoe weet je dat?</w:t>
      </w:r>
    </w:p>
    <w:p w:rsidR="00D13597" w:rsidRPr="00D13597" w:rsidRDefault="00D13597" w:rsidP="0054564B">
      <w:pPr>
        <w:pStyle w:val="TKBulletLevel1"/>
      </w:pPr>
      <w:r>
        <w:t>Laat hen deze foto’s nadien meer in detail beschrijven.</w:t>
      </w:r>
    </w:p>
    <w:p w:rsidR="00D13597" w:rsidRPr="00D13597" w:rsidRDefault="00D13597" w:rsidP="0054564B">
      <w:pPr>
        <w:pStyle w:val="TKBulletLevel1"/>
      </w:pPr>
      <w:r>
        <w:t>Laat de vluchtelingen daarna vertellen over de vier seizoenen in hun thuisland (temperatuur, regen en aangepaste kleren).</w:t>
      </w:r>
    </w:p>
    <w:p w:rsidR="00D13597" w:rsidRPr="00D13597" w:rsidRDefault="0054564B" w:rsidP="0054564B">
      <w:pPr>
        <w:pStyle w:val="TKTITRE3"/>
      </w:pPr>
      <w:r>
        <w:t>Activiteit 4</w:t>
      </w:r>
    </w:p>
    <w:p w:rsidR="00D13597" w:rsidRPr="00D13597" w:rsidRDefault="00D13597" w:rsidP="0054564B">
      <w:pPr>
        <w:pStyle w:val="TKTEXTE"/>
      </w:pPr>
      <w:r>
        <w:t xml:space="preserve">Gebruik de twee fotoreeksen samen. Leg de afbeeldingen van de vier seizoenen open. Laat de vluchtelingen de verschillende kledingstukken </w:t>
      </w:r>
      <w:r w:rsidR="00D237B3">
        <w:t xml:space="preserve">dan </w:t>
      </w:r>
      <w:r>
        <w:t>bij het passende seizoen leggen. Deze activiteit is geschikt voor laaggeletterde vluchtelingen.</w:t>
      </w:r>
    </w:p>
    <w:p w:rsidR="00D13597" w:rsidRDefault="00D13597" w:rsidP="0054564B">
      <w:pPr>
        <w:pStyle w:val="TKTEXTE"/>
        <w:rPr>
          <w:i/>
        </w:rPr>
      </w:pPr>
      <w:r>
        <w:lastRenderedPageBreak/>
        <w:t>Bij deze activiteit motiveren de deelnemers hun keuze op een zeer eenvoudige wijze, bv.</w:t>
      </w:r>
      <w:r>
        <w:rPr>
          <w:i/>
        </w:rPr>
        <w:t xml:space="preserve"> Dit is een warme jas. </w:t>
      </w:r>
      <w:r w:rsidR="00D237B3">
        <w:rPr>
          <w:i/>
        </w:rPr>
        <w:t>Hij is g</w:t>
      </w:r>
      <w:r>
        <w:rPr>
          <w:i/>
        </w:rPr>
        <w:t>oed voor de winter.</w:t>
      </w:r>
    </w:p>
    <w:p w:rsidR="0054564B" w:rsidRPr="007B3F92" w:rsidRDefault="0054564B" w:rsidP="0054564B">
      <w:pPr>
        <w:pStyle w:val="TKTITRE3"/>
      </w:pPr>
      <w:r>
        <w:t>Activiteit 5</w:t>
      </w:r>
    </w:p>
    <w:p w:rsidR="00D13597" w:rsidRDefault="00D237B3" w:rsidP="0054564B">
      <w:pPr>
        <w:pStyle w:val="TKTEXTE"/>
      </w:pPr>
      <w:r>
        <w:t xml:space="preserve">Introduceer </w:t>
      </w:r>
      <w:r w:rsidR="00D13597">
        <w:t>een dialoog</w:t>
      </w:r>
      <w:r>
        <w:t xml:space="preserve"> zoals deze</w:t>
      </w:r>
      <w:r w:rsidR="00D13597">
        <w:t>:</w:t>
      </w:r>
    </w:p>
    <w:p w:rsidR="00D13597" w:rsidRPr="0054564B" w:rsidRDefault="00DF5E24" w:rsidP="0054564B">
      <w:pPr>
        <w:pStyle w:val="TKBulletLevel1"/>
        <w:rPr>
          <w:i/>
          <w:iCs/>
        </w:rPr>
      </w:pPr>
      <w:r>
        <w:t>A.</w:t>
      </w:r>
      <w:r>
        <w:rPr>
          <w:i/>
          <w:iCs/>
        </w:rPr>
        <w:t xml:space="preserve"> Goeiemorgen.</w:t>
      </w:r>
    </w:p>
    <w:p w:rsidR="00D13597" w:rsidRPr="0054564B" w:rsidRDefault="006F7750" w:rsidP="0054564B">
      <w:pPr>
        <w:pStyle w:val="TKBulletLevel1"/>
        <w:rPr>
          <w:i/>
          <w:iCs/>
        </w:rPr>
      </w:pPr>
      <w:r>
        <w:t>B.</w:t>
      </w:r>
      <w:r>
        <w:rPr>
          <w:i/>
          <w:iCs/>
        </w:rPr>
        <w:t xml:space="preserve"> Goeiemorgen, kan ik u helpen?</w:t>
      </w:r>
    </w:p>
    <w:p w:rsidR="00D13597" w:rsidRPr="0054564B" w:rsidRDefault="006F7750" w:rsidP="0054564B">
      <w:pPr>
        <w:pStyle w:val="TKBulletLevel1"/>
        <w:rPr>
          <w:i/>
          <w:iCs/>
        </w:rPr>
      </w:pPr>
      <w:r>
        <w:t>A</w:t>
      </w:r>
      <w:r>
        <w:rPr>
          <w:i/>
          <w:iCs/>
        </w:rPr>
        <w:t>. Het is heel koud. Ik heb een winterjas nodig.</w:t>
      </w:r>
    </w:p>
    <w:p w:rsidR="00D13597" w:rsidRPr="0054564B" w:rsidRDefault="006F7750" w:rsidP="0054564B">
      <w:pPr>
        <w:pStyle w:val="TKBulletLevel1"/>
        <w:rPr>
          <w:i/>
          <w:iCs/>
        </w:rPr>
      </w:pPr>
      <w:r>
        <w:t>B.</w:t>
      </w:r>
      <w:r>
        <w:rPr>
          <w:i/>
          <w:iCs/>
        </w:rPr>
        <w:t xml:space="preserve"> Welke maat hebt u?</w:t>
      </w:r>
    </w:p>
    <w:p w:rsidR="00D13597" w:rsidRPr="0054564B" w:rsidRDefault="006F7750" w:rsidP="0054564B">
      <w:pPr>
        <w:pStyle w:val="TKBulletLevel1"/>
        <w:rPr>
          <w:i/>
          <w:iCs/>
        </w:rPr>
      </w:pPr>
      <w:r>
        <w:t>A.</w:t>
      </w:r>
      <w:r>
        <w:rPr>
          <w:i/>
          <w:iCs/>
        </w:rPr>
        <w:t xml:space="preserve"> Een medium.</w:t>
      </w:r>
    </w:p>
    <w:p w:rsidR="00D13597" w:rsidRPr="0054564B" w:rsidRDefault="006F7750" w:rsidP="0054564B">
      <w:pPr>
        <w:pStyle w:val="TKBulletLevel1"/>
        <w:rPr>
          <w:i/>
          <w:iCs/>
        </w:rPr>
      </w:pPr>
      <w:r>
        <w:t>B</w:t>
      </w:r>
      <w:r>
        <w:rPr>
          <w:i/>
          <w:iCs/>
        </w:rPr>
        <w:t>. Oké, kom maar mee. De jassen hangen hier.</w:t>
      </w:r>
    </w:p>
    <w:p w:rsidR="00D13597" w:rsidRPr="0054564B" w:rsidRDefault="006F7750" w:rsidP="0054564B">
      <w:pPr>
        <w:pStyle w:val="TKBulletLevel1"/>
        <w:rPr>
          <w:i/>
          <w:iCs/>
        </w:rPr>
      </w:pPr>
      <w:r>
        <w:t>A.</w:t>
      </w:r>
      <w:r>
        <w:rPr>
          <w:i/>
          <w:iCs/>
        </w:rPr>
        <w:t xml:space="preserve"> Mag ik deze passen?</w:t>
      </w:r>
    </w:p>
    <w:p w:rsidR="00D13597" w:rsidRPr="0054564B" w:rsidRDefault="00D13597" w:rsidP="0054564B">
      <w:pPr>
        <w:pStyle w:val="TKBulletLevel1"/>
        <w:rPr>
          <w:i/>
          <w:iCs/>
        </w:rPr>
      </w:pPr>
      <w:r>
        <w:t>B</w:t>
      </w:r>
      <w:r>
        <w:rPr>
          <w:i/>
          <w:iCs/>
        </w:rPr>
        <w:t xml:space="preserve">. Ja hoor, </w:t>
      </w:r>
      <w:r w:rsidR="00D237B3">
        <w:rPr>
          <w:i/>
          <w:iCs/>
        </w:rPr>
        <w:t>het</w:t>
      </w:r>
      <w:r>
        <w:rPr>
          <w:i/>
          <w:iCs/>
        </w:rPr>
        <w:t xml:space="preserve"> pashokje</w:t>
      </w:r>
      <w:r w:rsidR="00D237B3">
        <w:rPr>
          <w:i/>
          <w:iCs/>
        </w:rPr>
        <w:t xml:space="preserve"> is </w:t>
      </w:r>
      <w:r>
        <w:rPr>
          <w:i/>
          <w:iCs/>
        </w:rPr>
        <w:t>daar.</w:t>
      </w:r>
    </w:p>
    <w:p w:rsidR="00D13597" w:rsidRPr="00D13597" w:rsidRDefault="00D13597" w:rsidP="001C2C9B">
      <w:pPr>
        <w:pStyle w:val="TKTEXTE"/>
      </w:pPr>
      <w:r>
        <w:t>Controleer vooral het begrip van:</w:t>
      </w:r>
    </w:p>
    <w:p w:rsidR="00D13597" w:rsidRPr="00D13597" w:rsidRDefault="001C2C9B" w:rsidP="001C2C9B">
      <w:pPr>
        <w:pStyle w:val="TKBulletLevel1"/>
      </w:pPr>
      <w:r>
        <w:tab/>
        <w:t>de sleuteluitdrukking '</w:t>
      </w:r>
      <w:r>
        <w:rPr>
          <w:i/>
        </w:rPr>
        <w:t>Ik heb .</w:t>
      </w:r>
      <w:proofErr w:type="gramStart"/>
      <w:r>
        <w:rPr>
          <w:i/>
        </w:rPr>
        <w:t>..</w:t>
      </w:r>
      <w:proofErr w:type="gramEnd"/>
      <w:r>
        <w:rPr>
          <w:i/>
        </w:rPr>
        <w:t xml:space="preserve"> nodig',</w:t>
      </w:r>
    </w:p>
    <w:p w:rsidR="00D13597" w:rsidRPr="00D13597" w:rsidRDefault="00D13597" w:rsidP="001C2C9B">
      <w:pPr>
        <w:pStyle w:val="TKBulletLevel1"/>
      </w:pPr>
      <w:r>
        <w:t xml:space="preserve">het woord </w:t>
      </w:r>
      <w:r>
        <w:rPr>
          <w:i/>
        </w:rPr>
        <w:t>maat</w:t>
      </w:r>
      <w:r>
        <w:t xml:space="preserve"> (noteer de verschillende maten op het bord: small, medium, large enz.).</w:t>
      </w:r>
    </w:p>
    <w:p w:rsidR="00D13597" w:rsidRPr="00D13597" w:rsidRDefault="00D13597" w:rsidP="001C2C9B">
      <w:pPr>
        <w:pStyle w:val="TKTEXTE"/>
      </w:pPr>
      <w:r>
        <w:t xml:space="preserve">Daarna spelen de vluchtelingen een rollenspel waarbij ze de voorbeelddialoog aanpassen en uitbreiden. </w:t>
      </w:r>
      <w:r w:rsidR="00D237B3">
        <w:t xml:space="preserve">Geef </w:t>
      </w:r>
      <w:r>
        <w:t>voldoende voorbereidingstijd</w:t>
      </w:r>
      <w:r w:rsidR="00D237B3">
        <w:t>. H</w:t>
      </w:r>
      <w:r>
        <w:t xml:space="preserve">erhaal de activiteit aan de hand van de verschillende afbeeldingen van de seizoenen </w:t>
      </w:r>
      <w:r w:rsidR="00D237B3">
        <w:t>als</w:t>
      </w:r>
      <w:r>
        <w:t xml:space="preserve"> context v</w:t>
      </w:r>
      <w:r w:rsidR="00D237B3">
        <w:t>oor</w:t>
      </w:r>
      <w:r>
        <w:t xml:space="preserve"> het rollenspel.</w:t>
      </w:r>
    </w:p>
    <w:p w:rsidR="00D13597" w:rsidRPr="00D13597" w:rsidRDefault="00D13597" w:rsidP="00A061CE">
      <w:pPr>
        <w:pStyle w:val="TKTITRE1"/>
      </w:pPr>
      <w:r>
        <w:t>Ideeën voor laaggeletterde</w:t>
      </w:r>
      <w:r w:rsidR="00D237B3">
        <w:t xml:space="preserve"> deelnemers</w:t>
      </w:r>
    </w:p>
    <w:p w:rsidR="00D13597" w:rsidRPr="00D13597" w:rsidRDefault="00D13597" w:rsidP="0054564B">
      <w:pPr>
        <w:pStyle w:val="TKTEXTE"/>
      </w:pPr>
      <w:r>
        <w:t>Laat laaggeletterde vluchtelingen de naam van kledingstukken noteren of overschrijven.</w:t>
      </w:r>
    </w:p>
    <w:p w:rsidR="0054564B" w:rsidRDefault="0054564B">
      <w:pPr>
        <w:rPr>
          <w:rFonts w:cs="Calibri"/>
          <w:b/>
          <w:bCs/>
          <w:sz w:val="32"/>
          <w:szCs w:val="32"/>
        </w:rPr>
      </w:pPr>
      <w:r>
        <w:br w:type="page"/>
      </w:r>
    </w:p>
    <w:p w:rsidR="00D13597" w:rsidRDefault="00D13597" w:rsidP="00A061CE">
      <w:pPr>
        <w:pStyle w:val="TKTITRE1"/>
      </w:pPr>
      <w:r>
        <w:lastRenderedPageBreak/>
        <w:t>Voorbeeldmateriaal</w:t>
      </w:r>
    </w:p>
    <w:p w:rsidR="00BF685F" w:rsidRDefault="00D237B3" w:rsidP="00BF685F">
      <w:pPr>
        <w:pStyle w:val="TKBulletLevel1"/>
      </w:pPr>
      <w:r>
        <w:t>A</w:t>
      </w:r>
      <w:r w:rsidR="00BF685F">
        <w:t>fbeeldingen van kleren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104"/>
        <w:gridCol w:w="4903"/>
      </w:tblGrid>
      <w:tr w:rsidR="00BC3D7A" w:rsidRPr="004D4C46" w:rsidTr="0095670F">
        <w:trPr>
          <w:trHeight w:val="3209"/>
        </w:trPr>
        <w:tc>
          <w:tcPr>
            <w:tcW w:w="316" w:type="pct"/>
            <w:vMerge w:val="restart"/>
            <w:vAlign w:val="center"/>
          </w:tcPr>
          <w:p w:rsidR="00BC3D7A" w:rsidRPr="0054564B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389" w:type="pct"/>
            <w:vAlign w:val="center"/>
          </w:tcPr>
          <w:p w:rsidR="00BC3D7A" w:rsidRPr="004D4C46" w:rsidRDefault="00BC3D7A" w:rsidP="0054564B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052084" cy="1643493"/>
                  <wp:effectExtent l="0" t="0" r="0" b="0"/>
                  <wp:docPr id="24" name="Image 10" descr="C:\Users\utilisateur\AppData\Local\Microsoft\Windows\INetCache\Content.Word\35_wo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5_wo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70" cy="164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Pr="004D4C46" w:rsidRDefault="00BC3D7A" w:rsidP="0054564B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094614" cy="1595896"/>
                  <wp:effectExtent l="0" t="0" r="0" b="0"/>
                  <wp:docPr id="25" name="Image 13" descr="C:\Users\utilisateur\AppData\Local\Microsoft\Windows\INetCache\Content.Word\35_sh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5_sho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25" cy="159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7A" w:rsidRPr="004D4C46" w:rsidTr="0054564B">
        <w:trPr>
          <w:trHeight w:val="3402"/>
        </w:trPr>
        <w:tc>
          <w:tcPr>
            <w:tcW w:w="316" w:type="pct"/>
            <w:vMerge/>
            <w:vAlign w:val="center"/>
          </w:tcPr>
          <w:p w:rsidR="00BC3D7A" w:rsidRPr="0054564B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389" w:type="pct"/>
            <w:vAlign w:val="center"/>
          </w:tcPr>
          <w:p w:rsidR="00BC3D7A" w:rsidRDefault="00BC3D7A" w:rsidP="0054564B">
            <w:pPr>
              <w:pStyle w:val="TKTextetableau"/>
              <w:jc w:val="center"/>
              <w:rPr>
                <w:noProof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63457" cy="1800000"/>
                  <wp:effectExtent l="0" t="0" r="0" b="0"/>
                  <wp:docPr id="26" name="Image 4" descr="C:\Users\utilisateur\AppData\Local\Microsoft\Windows\INetCache\Content.Word\35_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5_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45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Default="00BC3D7A" w:rsidP="0054564B">
            <w:pPr>
              <w:pStyle w:val="TKTextetableau"/>
              <w:jc w:val="center"/>
              <w:rPr>
                <w:noProof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287500" cy="1800000"/>
                  <wp:effectExtent l="0" t="0" r="0" b="0"/>
                  <wp:docPr id="27" name="Image 1" descr="C:\Users\utilisateur\AppData\Local\Microsoft\Windows\INetCache\Content.Word\35_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5_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85F" w:rsidRPr="00D13597" w:rsidRDefault="00D237B3" w:rsidP="00BF685F">
      <w:pPr>
        <w:pStyle w:val="TKBulletLevel1"/>
      </w:pPr>
      <w:r>
        <w:t>F</w:t>
      </w:r>
      <w:r w:rsidR="00BF685F">
        <w:t>oto’s van het gastland in verschillende seizoenen</w:t>
      </w:r>
      <w:bookmarkStart w:id="0" w:name="_GoBack"/>
      <w:bookmarkEnd w:id="0"/>
    </w:p>
    <w:p w:rsidR="00BF685F" w:rsidRDefault="00BF685F" w:rsidP="0054564B">
      <w:pPr>
        <w:pStyle w:val="TKTextetableau"/>
        <w:jc w:val="center"/>
        <w:rPr>
          <w:noProof/>
        </w:rPr>
      </w:pPr>
      <w:r>
        <w:t>*</w:t>
      </w:r>
      <w:r>
        <w:rPr>
          <w:noProof/>
          <w:lang w:val="fr-FR" w:eastAsia="fr-FR"/>
        </w:rPr>
        <w:drawing>
          <wp:inline distT="0" distB="0" distL="0" distR="0">
            <wp:extent cx="4876138" cy="3240000"/>
            <wp:effectExtent l="0" t="0" r="0" b="0"/>
            <wp:docPr id="28" name="Image 7" descr="C:\Users\utilisateur\AppData\Local\Microsoft\Windows\INetCache\Content.Word\35_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INetCache\Content.Word\35_seas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3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B4" w:rsidRPr="00D13597" w:rsidRDefault="00BA25B4" w:rsidP="00D951B8"/>
    <w:sectPr w:rsidR="00BA25B4" w:rsidRPr="00D13597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B1" w:rsidRDefault="009C17B1" w:rsidP="00C523EA">
      <w:r>
        <w:separator/>
      </w:r>
    </w:p>
  </w:endnote>
  <w:endnote w:type="continuationSeparator" w:id="0">
    <w:p w:rsidR="009C17B1" w:rsidRDefault="009C17B1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Taalbeleidsprogramma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sz w:val="18"/>
              <w:szCs w:val="18"/>
            </w:rPr>
            <w:t>Straatsburg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5E654F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Tool 45</w:t>
          </w:r>
        </w:p>
      </w:tc>
      <w:tc>
        <w:tcPr>
          <w:tcW w:w="1667" w:type="pct"/>
          <w:vAlign w:val="bottom"/>
        </w:tcPr>
        <w:p w:rsidR="00186952" w:rsidRPr="005A600F" w:rsidRDefault="009C74FF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741B16">
            <w:rPr>
              <w:rFonts w:eastAsia="Calibri" w:cs="Cambria"/>
              <w:noProof/>
              <w:sz w:val="18"/>
              <w:szCs w:val="18"/>
            </w:rPr>
            <w:t>3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  <w:szCs w:val="18"/>
            </w:rPr>
            <w:t>/</w:t>
          </w: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741B16">
            <w:rPr>
              <w:rFonts w:eastAsia="Calibri" w:cs="Cambria"/>
              <w:noProof/>
              <w:sz w:val="18"/>
              <w:szCs w:val="18"/>
            </w:rPr>
            <w:t>3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B1" w:rsidRDefault="009C17B1" w:rsidP="00C523EA">
      <w:r>
        <w:separator/>
      </w:r>
    </w:p>
  </w:footnote>
  <w:footnote w:type="continuationSeparator" w:id="0">
    <w:p w:rsidR="009C17B1" w:rsidRDefault="009C17B1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95670F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fr-FR"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</w:rPr>
          </w:pPr>
          <w:r>
            <w:rPr>
              <w:b/>
            </w:rPr>
            <w:t>Taalondersteuning voor volwassen vluchtelingen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</w:rPr>
          </w:pPr>
          <w:r>
            <w:rPr>
              <w:b/>
              <w:i/>
            </w:rPr>
            <w:t>Toolkit van de Raad van Europa</w:t>
          </w:r>
        </w:p>
        <w:p w:rsidR="00186952" w:rsidRPr="00010EAF" w:rsidRDefault="009C74FF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DB4707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</w:tcPr>
        <w:p w:rsidR="00741B16" w:rsidRDefault="00741B16" w:rsidP="00186952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741B16">
            <w:rPr>
              <w:sz w:val="20"/>
              <w:szCs w:val="20"/>
            </w:rPr>
            <w:t>Taalintegratie van volwassen migranten(LIAM)</w:t>
          </w:r>
        </w:p>
        <w:p w:rsidR="00186952" w:rsidRPr="00010EAF" w:rsidRDefault="009C74FF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</w:rPr>
          </w:pPr>
          <w:hyperlink r:id="rId3" w:history="1">
            <w:r w:rsidR="00DB4707">
              <w:rPr>
                <w:rStyle w:val="Lienhypertexte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741B16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46E8E"/>
    <w:rsid w:val="00254DC5"/>
    <w:rsid w:val="0026293F"/>
    <w:rsid w:val="002860CD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3894"/>
    <w:rsid w:val="00470AA9"/>
    <w:rsid w:val="0049006B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A409B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0FB2"/>
    <w:rsid w:val="00741B16"/>
    <w:rsid w:val="0074542C"/>
    <w:rsid w:val="007458E1"/>
    <w:rsid w:val="00745FAE"/>
    <w:rsid w:val="00767D0E"/>
    <w:rsid w:val="00773ACD"/>
    <w:rsid w:val="007B3F92"/>
    <w:rsid w:val="007B4D14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5670F"/>
    <w:rsid w:val="00964D0B"/>
    <w:rsid w:val="00970C63"/>
    <w:rsid w:val="0097497F"/>
    <w:rsid w:val="00976860"/>
    <w:rsid w:val="009774A5"/>
    <w:rsid w:val="00980E75"/>
    <w:rsid w:val="009A431F"/>
    <w:rsid w:val="009A4759"/>
    <w:rsid w:val="009A5131"/>
    <w:rsid w:val="009B7F95"/>
    <w:rsid w:val="009C17B1"/>
    <w:rsid w:val="009C66FA"/>
    <w:rsid w:val="009C6D0D"/>
    <w:rsid w:val="009C6F9F"/>
    <w:rsid w:val="009C74F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3E71"/>
    <w:rsid w:val="00BE6428"/>
    <w:rsid w:val="00BF2B09"/>
    <w:rsid w:val="00BF685F"/>
    <w:rsid w:val="00BF693D"/>
    <w:rsid w:val="00C24B3F"/>
    <w:rsid w:val="00C24C86"/>
    <w:rsid w:val="00C523EA"/>
    <w:rsid w:val="00C622D7"/>
    <w:rsid w:val="00C7477C"/>
    <w:rsid w:val="00C8086F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237B3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B4707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74E5B"/>
    <w:rsid w:val="00E826A8"/>
    <w:rsid w:val="00E90A39"/>
    <w:rsid w:val="00EA589F"/>
    <w:rsid w:val="00EC3C97"/>
    <w:rsid w:val="00EC6747"/>
    <w:rsid w:val="00ED4CB7"/>
    <w:rsid w:val="00F260E9"/>
    <w:rsid w:val="00F41208"/>
    <w:rsid w:val="00F5126A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nl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nl-BE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D5BE-8BF4-469C-A936-B846B27E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415</Words>
  <Characters>2286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2696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2017-10-27T09:11:00Z</dcterms:created>
  <dcterms:modified xsi:type="dcterms:W3CDTF">2017-10-27T09:11:00Z</dcterms:modified>
</cp:coreProperties>
</file>