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E" w:rsidRPr="00F44EA4" w:rsidRDefault="00DD1A6B" w:rsidP="00DD1A6B">
      <w:pPr>
        <w:jc w:val="right"/>
      </w:pPr>
      <w:r>
        <w:rPr>
          <w:noProof/>
        </w:rPr>
        <w:drawing>
          <wp:inline distT="0" distB="0" distL="0" distR="0" wp14:anchorId="447D7A15" wp14:editId="1CC160E8">
            <wp:extent cx="2733675" cy="878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R Logo_UK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FEA" w:rsidRPr="00901F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7F6ED" wp14:editId="2498B5B8">
                <wp:simplePos x="0" y="0"/>
                <wp:positionH relativeFrom="column">
                  <wp:posOffset>4499454</wp:posOffset>
                </wp:positionH>
                <wp:positionV relativeFrom="paragraph">
                  <wp:posOffset>115570</wp:posOffset>
                </wp:positionV>
                <wp:extent cx="152400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4D" w:rsidRPr="00512FEA" w:rsidRDefault="00392C4D" w:rsidP="00392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.3pt;margin-top:9.1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pL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DEdqfvdAJO9x24mQGOgWVXqe7uZPFVIyHXNRU7dqOU7GtGS8gutDf9ydUR&#10;R1uQbf9BlhCG7o10QEOlWts6aAYCdGDp8cyMTaWwIWcRCQIwFWC7DMgS1jYETU63O6XNOyZbZBcp&#10;VsC8Q6eHO21G15OLDSZkzpsGzmnSiBcHgDmeQGy4am02C0fmUxzEm+VmSTwSzTceCbLMu8nXxJvn&#10;4WKWXWbrdRb+sHFDktS8LJmwYU7CCsmfEXeU+CiJs7S0bHhp4WxKWu2260ahAwVh5+47NmTi5r9M&#10;w/ULanlVUgitvY1iL58vFx7JycyLF8HSC8L4Np4HJCZZ/rKkOy7Yv5eE+hTHs2g2ium3tQHrlviR&#10;wUltNGm5gdHR8DbFIIejE02sBDeidNQayptxPWmFTf+5FUD3iWgnWKvRUa1m2A6AYlW8leUjSFdJ&#10;UBaIEOYdLGqpvmPUw+xIsf62p4ph1LwXIP84JMQOG7chs0UEGzW1bKcWKgqASrHBaFyuzTig9p3i&#10;uxoijQ9OyBt4MhV3an7O6vjQYD64oo6zzA6g6d55PU/c1U8AAAD//wMAUEsDBBQABgAIAAAAIQAq&#10;jyOp3QAAAAkBAAAPAAAAZHJzL2Rvd25yZXYueG1sTI9NT8MwDIbvSPsPkSdxY8mqUbqu6YRAXEGM&#10;D2m3rPHaao1TNdla/j3eCY72++j142I7uU5ccAitJw3LhQKBVHnbUq3h8+PlLgMRoiFrOk+o4QcD&#10;bMvZTWFy60d6x8su1oJLKORGQxNjn0sZqgadCQvfI3F29IMzkcehlnYwI5e7TiZKpdKZlvhCY3p8&#10;arA67c5Ow9frcf+9Um/1s7vvRz8pSW4ttb6dT48bEBGn+AfDVZ/VoWSngz+TDaLT8KCylFEOsgQE&#10;A+vVdXHQkKYJyLKQ/z8ofwEAAP//AwBQSwECLQAUAAYACAAAACEAtoM4kv4AAADhAQAAEwAAAAAA&#10;AAAAAAAAAAAAAAAAW0NvbnRlbnRfVHlwZXNdLnhtbFBLAQItABQABgAIAAAAIQA4/SH/1gAAAJQB&#10;AAALAAAAAAAAAAAAAAAAAC8BAABfcmVscy8ucmVsc1BLAQItABQABgAIAAAAIQCF/ypLtgIAALkF&#10;AAAOAAAAAAAAAAAAAAAAAC4CAABkcnMvZTJvRG9jLnhtbFBLAQItABQABgAIAAAAIQAqjyOp3QAA&#10;AAkBAAAPAAAAAAAAAAAAAAAAABAFAABkcnMvZG93bnJldi54bWxQSwUGAAAAAAQABADzAAAAGgYA&#10;AAAA&#10;" filled="f" stroked="f">
                <v:textbox>
                  <w:txbxContent>
                    <w:p w:rsidR="00392C4D" w:rsidRPr="00512FEA" w:rsidRDefault="00392C4D" w:rsidP="00392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1AE" w:rsidRPr="005D2F79" w:rsidRDefault="006B3193" w:rsidP="005301AE">
      <w:pPr>
        <w:jc w:val="center"/>
        <w:rPr>
          <w:b/>
          <w:color w:val="000000" w:themeColor="text1"/>
          <w:sz w:val="24"/>
          <w:lang w:val="uk-UA"/>
        </w:rPr>
      </w:pPr>
      <w:r w:rsidRPr="003F634E">
        <w:rPr>
          <w:b/>
          <w:color w:val="000000" w:themeColor="text1"/>
          <w:sz w:val="24"/>
          <w:lang w:val="uk-UA"/>
        </w:rPr>
        <w:t>СПЕЦИФІКАЦІЯ ОЧІКУВАНИХ ПОСЛУГ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51"/>
        <w:gridCol w:w="7896"/>
      </w:tblGrid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Тендер №</w:t>
            </w:r>
          </w:p>
        </w:tc>
        <w:tc>
          <w:tcPr>
            <w:tcW w:w="7896" w:type="dxa"/>
          </w:tcPr>
          <w:p w:rsidR="005301AE" w:rsidRPr="00901F96" w:rsidRDefault="00F44EA4" w:rsidP="005A480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84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23</w:t>
            </w:r>
            <w:r w:rsidR="00533E69" w:rsidRPr="005A480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533E69" w:rsidRPr="005D2F7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2017/</w:t>
            </w:r>
            <w:r w:rsidR="005D2F79" w:rsidRPr="005D2F7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01</w:t>
            </w:r>
            <w:r w:rsidR="00533E69" w:rsidRPr="005A480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від </w:t>
            </w:r>
            <w:r w:rsidR="00DB64F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DB64F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/08</w:t>
            </w:r>
            <w:r w:rsidR="001A3B47" w:rsidRPr="005A480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r w:rsidR="005301AE" w:rsidRPr="005A480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2017 р.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301AE" w:rsidRPr="0003182E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7896" w:type="dxa"/>
          </w:tcPr>
          <w:p w:rsidR="00F44EA4" w:rsidRPr="00F44EA4" w:rsidRDefault="00643B10" w:rsidP="006226A4">
            <w:pPr>
              <w:pStyle w:val="NoSpacing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164045">
              <w:rPr>
                <w:rFonts w:cs="Calibri"/>
                <w:color w:val="000000" w:themeColor="text1"/>
                <w:sz w:val="24"/>
                <w:szCs w:val="24"/>
              </w:rPr>
              <w:t xml:space="preserve">Організація </w:t>
            </w:r>
            <w:r w:rsidR="00F44EA4" w:rsidRPr="00164045">
              <w:rPr>
                <w:rFonts w:cs="Calibri"/>
                <w:color w:val="000000" w:themeColor="text1"/>
                <w:sz w:val="24"/>
                <w:szCs w:val="24"/>
              </w:rPr>
              <w:t>31 каскадного тренінг</w:t>
            </w:r>
            <w:r w:rsidR="006226A4" w:rsidRPr="00164045">
              <w:rPr>
                <w:rFonts w:cs="Calibri"/>
                <w:color w:val="000000" w:themeColor="text1"/>
                <w:sz w:val="24"/>
                <w:szCs w:val="24"/>
              </w:rPr>
              <w:t>у</w:t>
            </w:r>
            <w:r w:rsidR="00F44EA4" w:rsidRPr="00164045">
              <w:rPr>
                <w:rFonts w:cs="Calibri"/>
                <w:color w:val="000000" w:themeColor="text1"/>
                <w:sz w:val="24"/>
                <w:szCs w:val="24"/>
              </w:rPr>
              <w:t xml:space="preserve"> для надавачів первинної правової допомоги з кримінально-процесуальних питань</w:t>
            </w:r>
            <w:r w:rsidR="00F44EA4" w:rsidRPr="00F44EA4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01AE" w:rsidRPr="0003182E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Детальний опис послуг</w:t>
            </w:r>
          </w:p>
        </w:tc>
        <w:tc>
          <w:tcPr>
            <w:tcW w:w="7896" w:type="dxa"/>
          </w:tcPr>
          <w:p w:rsidR="005301AE" w:rsidRDefault="006B59C2" w:rsidP="0088779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Проект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Ради Європи </w:t>
            </w:r>
            <w:r w:rsidR="00644DDB" w:rsidRPr="00644D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«Подальша підтримка реформи кримінальної юстиції в Україні», фінансований урядом Данії</w:t>
            </w:r>
            <w:r w:rsidR="00644D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(далі – Проект)</w:t>
            </w:r>
            <w:r w:rsidR="00644DDB" w:rsidRPr="00644D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планує п</w:t>
            </w:r>
            <w:r w:rsidR="00DD1A6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ідтримку </w:t>
            </w:r>
            <w:r w:rsidR="00644D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31 одноденного тренінгу</w:t>
            </w:r>
            <w:r w:rsidR="00644DDB" w:rsidRPr="00644D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для надавачів первинної правової допомоги з кримінально-процесуальних питань </w:t>
            </w:r>
            <w:r w:rsidR="00644D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 31 </w:t>
            </w:r>
            <w:r w:rsidR="0088779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місті в рі</w:t>
            </w:r>
            <w:r w:rsidR="006226A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зних регіонах України протягом вересня-ж</w:t>
            </w:r>
            <w:r w:rsidR="0088779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овтня 2017</w:t>
            </w:r>
            <w:r w:rsidR="0066294B" w:rsidRPr="0066294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6294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р</w:t>
            </w:r>
            <w:r w:rsidR="0088779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806C6" w:rsidRDefault="000806C6" w:rsidP="0088779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9A12AE" w:rsidRPr="00901F96" w:rsidRDefault="00834933" w:rsidP="009A12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Максимальна к</w:t>
            </w:r>
            <w:r w:rsidR="009A12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ількість учасників: </w:t>
            </w:r>
            <w:r w:rsidR="00E3243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61</w:t>
            </w:r>
            <w:r w:rsidR="009A12AE" w:rsidRPr="005D2F7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r w:rsidR="009A12AE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осіб</w:t>
            </w:r>
          </w:p>
          <w:p w:rsidR="009A12AE" w:rsidRPr="00901F96" w:rsidRDefault="009A12AE" w:rsidP="009A12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Тривалість :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31 одноденний тренінг</w:t>
            </w:r>
          </w:p>
          <w:p w:rsidR="009A12AE" w:rsidRDefault="009A12AE" w:rsidP="0088779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0806C6" w:rsidRDefault="000806C6" w:rsidP="0088779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Як зазначено нижче, </w:t>
            </w:r>
            <w:r w:rsidR="00D760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послуги розподілені між трьома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лотами за географічним принципом.</w:t>
            </w:r>
          </w:p>
          <w:p w:rsidR="000806C6" w:rsidRPr="00230D37" w:rsidRDefault="000806C6" w:rsidP="0088779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 тендеру запрошуються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подати заявки на участь у тендері на од</w:t>
            </w:r>
            <w:r w:rsidR="006226A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</w:t>
            </w:r>
            <w:r w:rsidR="00DD1A6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дв</w:t>
            </w:r>
            <w:r w:rsidR="006226A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або  </w:t>
            </w:r>
            <w:r w:rsidR="00230D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</w:t>
            </w:r>
            <w:r w:rsidR="006226A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</w:t>
            </w:r>
            <w:r w:rsidR="00230D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226A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лоти </w:t>
            </w:r>
            <w:r w:rsidR="00230D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(всі міста, які входять до відповідного лота, мають бути охоплені).</w:t>
            </w:r>
          </w:p>
          <w:p w:rsidR="0088779B" w:rsidRDefault="0088779B" w:rsidP="0088779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shd w:val="clear" w:color="auto" w:fill="1F497D" w:themeFill="text2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 послуг має запропонувати пакет послуг з організації</w:t>
            </w:r>
            <w:r w:rsidR="00DD1A6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проведення </w:t>
            </w:r>
            <w:r w:rsidR="00DD1A6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що включає </w:t>
            </w:r>
            <w:r w:rsidR="00F04AE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так</w:t>
            </w:r>
            <w:r w:rsidR="00F04AE2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е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9A12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a.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Оренда конференц</w:t>
            </w:r>
            <w:r w:rsidR="00F04AE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зали та/або необхідного обладнання</w:t>
            </w:r>
          </w:p>
          <w:p w:rsidR="00D34219" w:rsidRDefault="00D34219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A12AE" w:rsidRDefault="009A12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A12A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Оренда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конференц</w:t>
            </w:r>
            <w:r w:rsidR="00F04AE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зали </w:t>
            </w:r>
            <w:r w:rsidR="0061205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F73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 обладнанням (див. нижче)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 тих 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містах</w:t>
            </w:r>
            <w:r w:rsidR="00F04AE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де місце</w:t>
            </w:r>
            <w:r w:rsidR="00B05D2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проведення </w:t>
            </w:r>
            <w:r w:rsidR="001A739D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тренінгу</w:t>
            </w:r>
            <w:r w:rsidR="00B05D2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не </w:t>
            </w:r>
            <w:r w:rsidR="00DD1A6B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забезпечене</w:t>
            </w:r>
            <w:r w:rsidR="006B3193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(всі деталі наведені в Т</w:t>
            </w:r>
            <w:r w:rsidR="00B05D27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аблиці</w:t>
            </w:r>
            <w:r w:rsidR="006B3193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зведених даних тренінгів</w:t>
            </w:r>
            <w:r w:rsidR="00B05D27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нижче</w:t>
            </w:r>
            <w:r w:rsidR="006B3193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далі - </w:t>
            </w:r>
            <w:r w:rsidR="00F814C3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</w:t>
            </w:r>
            <w:r w:rsidR="006B3193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аблиц</w:t>
            </w:r>
            <w:r w:rsidR="0003182E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</w:t>
            </w:r>
            <w:r w:rsidR="00B05D27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). </w:t>
            </w:r>
            <w:r w:rsidR="00F04AE2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</w:t>
            </w:r>
            <w:r w:rsidR="00B05D27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тих містах, де місце</w:t>
            </w:r>
            <w:r w:rsidR="002B5B3F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проведення </w:t>
            </w:r>
            <w:r w:rsidR="001A739D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тренінгу</w:t>
            </w:r>
            <w:r w:rsidR="00B05D27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D1A6B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забезпечене</w:t>
            </w:r>
            <w:r w:rsidR="00B05D27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але </w:t>
            </w:r>
            <w:r w:rsidR="002B5B3F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вистачає</w:t>
            </w:r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обладнання (проектор, екран, комп’ютер чи </w:t>
            </w:r>
            <w:proofErr w:type="spellStart"/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фліпчарт</w:t>
            </w:r>
            <w:proofErr w:type="spellEnd"/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), відповідне обладнання має бути надане Постачальни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ком</w:t>
            </w:r>
            <w:r w:rsidR="00DD1A6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Потреби для кожного </w:t>
            </w:r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 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місць </w:t>
            </w:r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вказані в таблиці нижче.</w:t>
            </w:r>
          </w:p>
          <w:p w:rsidR="002B5B3F" w:rsidRDefault="00674FF2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Місце проведення</w:t>
            </w:r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тренінгів </w:t>
            </w:r>
            <w:r w:rsidR="001A739D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на дату заходу </w:t>
            </w:r>
            <w:r w:rsidR="00E8617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повинно </w:t>
            </w:r>
            <w:r w:rsidR="002B5B3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мати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674FF2" w:rsidRDefault="00674FF2" w:rsidP="00674FF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674FF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4FF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1 зал</w:t>
            </w:r>
            <w:r w:rsidR="00E8617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</w:t>
            </w:r>
            <w:r w:rsidRPr="00674FF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зі столами та стільцями у відповідності до кількості учасників, яка зазначена в таблиці нижче,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C21D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включаючи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1-2 тренерів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достатн</w:t>
            </w:r>
            <w:r w:rsidR="000441C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ім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місц</w:t>
            </w:r>
            <w:r w:rsidR="000441C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ем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для вільного пересування учасників між столами, хороши</w:t>
            </w:r>
            <w:r w:rsidR="000441C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 з’єднанням </w:t>
            </w:r>
            <w:proofErr w:type="spellStart"/>
            <w:r w:rsidR="00934CA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ай</w:t>
            </w:r>
            <w:proofErr w:type="spellEnd"/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 w:rsidR="00934CA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ай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кондиціювання</w:t>
            </w:r>
            <w:r w:rsidR="000441C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74FF2" w:rsidRDefault="00674FF2" w:rsidP="00674FF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 екран, проектор та комп’ютер;</w:t>
            </w:r>
          </w:p>
          <w:p w:rsidR="00674FF2" w:rsidRDefault="00674FF2" w:rsidP="00674FF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фліпчарт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 папером та маркерами для кожного з тренінгів.</w:t>
            </w:r>
          </w:p>
          <w:p w:rsidR="005D2F79" w:rsidRPr="00D76037" w:rsidRDefault="005D2F79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A54CCE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б. </w:t>
            </w:r>
            <w:r w:rsidR="00A54CCE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Готель для проживання учасників</w:t>
            </w:r>
          </w:p>
          <w:p w:rsidR="00D34219" w:rsidRDefault="00D34219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54CCE" w:rsidRPr="00285E37" w:rsidRDefault="00D76037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Готель 3</w:t>
            </w:r>
            <w:r w:rsidR="006A4AD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-4* в пішохідній доступності до місця проведення тренінгу або розташований в центрі міста з хорошим транспортним сполученням.</w:t>
            </w:r>
            <w:r w:rsidR="00DC33A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Одномісні стандартні номери з окремим ванними кімнатами, хорошою сантехнікою, кондиціонером, </w:t>
            </w:r>
            <w:proofErr w:type="spellStart"/>
            <w:r w:rsidR="00DC33A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вай</w:t>
            </w:r>
            <w:proofErr w:type="spellEnd"/>
            <w:r w:rsidR="00934CA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 w:rsidR="00DC33A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фай та телевізором, з одним сніданком та однією вечерею у розрахунку на 1 ніч проживання (для тих учасників, кому потрібне проживання).</w:t>
            </w:r>
          </w:p>
          <w:p w:rsidR="00A54CCE" w:rsidRPr="00DC33A5" w:rsidRDefault="00A54CC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DC33A5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в. 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Харчування. </w:t>
            </w:r>
          </w:p>
          <w:p w:rsidR="00D34219" w:rsidRDefault="00D34219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C33A5" w:rsidRDefault="00DC33A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</w:t>
            </w:r>
            <w:r w:rsidR="000E525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має забезпечити 2 кава-паузи під час </w:t>
            </w:r>
            <w:r w:rsidR="00934CA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кожного</w:t>
            </w:r>
            <w:r w:rsidR="00934CA7"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тренінгу</w:t>
            </w:r>
            <w:r w:rsid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у відповідності до дат </w:t>
            </w:r>
            <w:r w:rsidR="008B1896"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кількості учасників, які зазначені в таблиці нижче: </w:t>
            </w:r>
            <w:r w:rsid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стандартна кава пауза (кава/чай, випічка або печиво).</w:t>
            </w:r>
          </w:p>
          <w:p w:rsidR="008B1896" w:rsidRDefault="008B1896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8B1896" w:rsidRDefault="008B1896" w:rsidP="008B1896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</w:t>
            </w:r>
            <w:r w:rsidR="000E525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має забезпечити 1</w:t>
            </w: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обід</w:t>
            </w: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під час </w:t>
            </w:r>
            <w:r w:rsidR="00934CA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кожного</w:t>
            </w:r>
            <w:r w:rsidR="00934CA7"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у відповідності до дат</w:t>
            </w:r>
            <w:r w:rsidRPr="008B18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кількості учасників, які зазначені в таблиці нижче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або на місці проведення тренінгу, або </w:t>
            </w:r>
            <w:r w:rsidR="000E525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 пішохідній доступності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від</w:t>
            </w:r>
            <w:r w:rsidR="000E525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місця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проведення заходу: </w:t>
            </w:r>
            <w:r w:rsidR="00D760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 1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салат, </w:t>
            </w:r>
            <w:r w:rsidR="00D760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основна страва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1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безалкогольний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напій на особу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B1896" w:rsidRDefault="008B1896" w:rsidP="008B1896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8B1896" w:rsidRDefault="008B1896" w:rsidP="008B1896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</w:t>
            </w:r>
            <w:r w:rsidR="000E525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повинен забезпечити мінеральну воду (</w:t>
            </w:r>
            <w:r w:rsidR="001E6583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без газу, 0,5л п</w:t>
            </w:r>
            <w:r w:rsidR="001E658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ластик)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у розрахунку 2 пляшки на одну особу/один день, яка має бути розміщена на столах разом з</w:t>
            </w:r>
            <w:r w:rsidR="00E5332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стаканчиками в конференц</w:t>
            </w:r>
            <w:r w:rsidR="00934CA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залі.</w:t>
            </w:r>
          </w:p>
          <w:p w:rsidR="008B1896" w:rsidRPr="00901F96" w:rsidRDefault="008B1896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1E6583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="003A5E7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50A4E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Компенсація</w:t>
            </w:r>
            <w:r w:rsidR="00C50A4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витрат на проїзд учасників.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A17EC2" w:rsidRDefault="005301AE" w:rsidP="00A17EC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Сума </w:t>
            </w:r>
            <w:r w:rsidR="00C50A4E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компенсації 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витрат на проїзд учасникам </w:t>
            </w:r>
            <w:r w:rsidR="00D26113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тренінгу 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виплачується 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готівкою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A5E75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протягом заходу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відповід</w:t>
            </w:r>
            <w:r w:rsidR="00D760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но до фактично понесених витрат 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(за оригіналами </w:t>
            </w:r>
            <w:r w:rsidR="00164045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автобусних/залізничних </w:t>
            </w:r>
            <w:r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квитків,</w:t>
            </w:r>
            <w:r w:rsidR="00714C83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що надаватимуться учасниками);</w:t>
            </w:r>
            <w:r w:rsidR="001E6583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відшкодуванню підлягають квитки на 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автобуси</w:t>
            </w:r>
            <w:r w:rsidR="00164045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квитки на</w:t>
            </w:r>
            <w:r w:rsidR="00164045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потяги у вагонах купе та </w:t>
            </w:r>
            <w:r w:rsidR="001E6583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потяги «</w:t>
            </w:r>
            <w:proofErr w:type="spellStart"/>
            <w:r w:rsidR="001E6583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</w:t>
            </w:r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нтерсіті</w:t>
            </w:r>
            <w:proofErr w:type="spellEnd"/>
            <w:r w:rsid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» у вагонах 2-го класу</w:t>
            </w:r>
            <w:r w:rsidR="001E6583" w:rsidRPr="001640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чеки на пальне відповідно до розрахунку 10 літрів на 100 км максимум.</w:t>
            </w:r>
            <w:r w:rsidR="001E6583" w:rsidRPr="00A17EC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Середня сума до повернення за квиток в </w:t>
            </w:r>
            <w:r w:rsidR="00D342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обох напрямках становить </w:t>
            </w:r>
            <w:r w:rsidR="00D34219" w:rsidRPr="00D3421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500 </w:t>
            </w:r>
            <w:r w:rsidR="00D34219" w:rsidRPr="009A230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гривень</w:t>
            </w:r>
            <w:r w:rsidR="00B149AD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на особу</w:t>
            </w:r>
            <w:r w:rsidR="001E6583" w:rsidRPr="00A17EC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F4B91" w:rsidRPr="00973194" w:rsidRDefault="005F4B91" w:rsidP="005F4B91">
            <w:pPr>
              <w:pStyle w:val="ListParagraph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5C7F69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Важливо.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Комісія за компенсацію </w:t>
            </w:r>
            <w:r w:rsidR="004779B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витрат на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проїзд учасникам в готівці (якщо є) має не перевищувати 20% та </w:t>
            </w:r>
            <w:r w:rsidR="004A2F3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має бути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внесена окремим рядком в</w:t>
            </w:r>
            <w:r w:rsidR="000E525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комерційних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пропозиціях. Якщо ці витрати не були враховані Постачальником послуг в поданих на участь в тендері пропозиціях та були фактично понесені, </w:t>
            </w:r>
            <w:r w:rsidR="00A17EC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жодні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претен</w:t>
            </w:r>
            <w:r w:rsidR="003A5E7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ії щодо компенсації цих витрат на стадії фінальних розрахунків </w:t>
            </w:r>
            <w:r w:rsidR="00A17EC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будуть прийняті Проектом.</w:t>
            </w:r>
          </w:p>
          <w:p w:rsidR="00367719" w:rsidRPr="005C7F69" w:rsidRDefault="00367719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3A5E75" w:rsidRDefault="004C696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ґ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Супровід під час </w:t>
            </w:r>
            <w:r w:rsidR="004A2F31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заходів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D34219" w:rsidRDefault="00D34219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A17EC2" w:rsidRPr="00F44EA4" w:rsidRDefault="00A17EC2" w:rsidP="00A17EC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 послуг  має забезпечити доставку</w:t>
            </w:r>
            <w:r w:rsidR="003677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67719" w:rsidRPr="004228C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всіх</w:t>
            </w:r>
            <w:r w:rsidR="003677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матеріалів П</w:t>
            </w:r>
            <w:r w:rsidR="00E5332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роекту з О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фісу Ради Європи в Україні (ад</w:t>
            </w:r>
            <w:r w:rsidR="003677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реса: вул. </w:t>
            </w:r>
            <w:proofErr w:type="spellStart"/>
            <w:r w:rsidR="003677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Іллінська</w:t>
            </w:r>
            <w:proofErr w:type="spellEnd"/>
            <w:r w:rsidR="003677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8, м. Київ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) до місц</w:t>
            </w:r>
            <w:r w:rsidR="00E5332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 проведення заходу та назад в О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фіс. </w:t>
            </w:r>
          </w:p>
          <w:p w:rsidR="00A17EC2" w:rsidRPr="00D34219" w:rsidRDefault="00A17EC2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D34219" w:rsidRDefault="003A5E75" w:rsidP="00D34219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має забезпечити присутність </w:t>
            </w:r>
            <w:r w:rsidR="005857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1-2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42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менеджерів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компанії під час </w:t>
            </w:r>
            <w:r w:rsidR="0032004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кожного заходу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D34219" w:rsidRPr="00E80C6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 послуг має надати особу для  інформування учасників щодо деталей заходу.</w:t>
            </w:r>
            <w:r w:rsidR="00D3421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53326" w:rsidRDefault="00E53326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D34219" w:rsidRDefault="00D76037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Р</w:t>
            </w:r>
            <w:r w:rsidR="000743A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еєстрація </w:t>
            </w:r>
            <w:r w:rsidR="007C555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учасників </w:t>
            </w:r>
            <w:r w:rsidR="000743A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має проводитись </w:t>
            </w:r>
            <w:r w:rsidR="00BB1E7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на кожному тренінгу</w:t>
            </w:r>
            <w:r w:rsidR="000743A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D76037" w:rsidRDefault="00D76037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Менеджери</w:t>
            </w:r>
            <w:r w:rsidR="00BB040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 w:rsidR="00BB040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представники Постачальника послуг, що супроводжуватимуть захід,  мають бути належним чином вдягнуті (діловий стиль) та бути постійно присутніми на місці </w:t>
            </w:r>
            <w:r w:rsidR="004C696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32004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усього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заходу. Менеджери відповідають за реєстрацію учасників, роздавання </w:t>
            </w:r>
            <w:r w:rsidR="005857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матеріалів</w:t>
            </w:r>
            <w:r w:rsidR="0032004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2004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компенсацію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B00B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витрат на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проїзд </w:t>
            </w:r>
            <w:r w:rsidR="004B00B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учасників,</w:t>
            </w:r>
            <w:r w:rsidR="004B00B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технічн</w:t>
            </w:r>
            <w:r w:rsidR="004B00B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організаційн</w:t>
            </w:r>
            <w:r w:rsidR="004B00B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контроль під час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тренінгів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="00524AE4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викону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524AE4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857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інші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завдання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пов’язані з логістичною підтримкою заходів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Якщо тренінги організовані не в приміщеннях системи безоплатної правової допомоги, повинні бути встановлені помітні в</w:t>
            </w:r>
            <w:r w:rsidR="00524AE4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казівники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до зали, де проходитиме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а також </w:t>
            </w:r>
            <w:r w:rsidR="00524AE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обладнане чітко відмічене </w:t>
            </w:r>
            <w:r w:rsidR="00D5201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місце реєстрації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9A2308" w:rsidRPr="00901F96" w:rsidRDefault="009A2308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представники Постачальника послуг мають обов’язково прибути на місце проведення </w:t>
            </w:r>
            <w:r w:rsidR="00284C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заздалегідь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до початку </w:t>
            </w:r>
            <w:r w:rsidR="00284C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заход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</w:t>
            </w:r>
            <w:r w:rsidR="00D760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для перевірки всіх замовлених послуг.</w:t>
            </w:r>
            <w:r w:rsidR="005857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Представники Постачальника послуг залишаються на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місці до офіційного завершення тренінгу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складають </w:t>
            </w:r>
            <w:r w:rsidR="00284C4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та пакують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усі матеріали, які п</w:t>
            </w:r>
            <w:r w:rsidR="00E5332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отрібно буде повернути назад в О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фіс Ради Європи в м. Києві.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26429A" w:rsidRPr="00901F96" w:rsidRDefault="0026429A" w:rsidP="0026429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Повний перелік очікуваних послуг зазначений у ДОДАТКУ ІІ </w:t>
            </w:r>
            <w:proofErr w:type="spellStart"/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Provisional</w:t>
            </w:r>
            <w:proofErr w:type="spellEnd"/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budget</w:t>
            </w:r>
            <w:proofErr w:type="spellEnd"/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template</w:t>
            </w:r>
            <w:proofErr w:type="spellEnd"/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до Тендера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8423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/2017/</w:t>
            </w:r>
            <w:r w:rsidR="005C7F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01</w:t>
            </w:r>
            <w:r w:rsidRPr="0069015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від </w:t>
            </w:r>
            <w:r w:rsidR="00AE196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1</w:t>
            </w:r>
            <w:r w:rsidR="00AE1961" w:rsidRPr="00AE196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4</w:t>
            </w:r>
            <w:r w:rsidR="005C7F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.08.</w:t>
            </w:r>
            <w:r w:rsidRPr="0069015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2017 р.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0F6285" w:rsidRDefault="000F628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0F6285" w:rsidRDefault="000F628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</w:t>
            </w:r>
            <w:r w:rsidR="0032004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послуг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повинен 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заповнити таблицю</w:t>
            </w:r>
            <w:r w:rsidR="006515A5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 w:rsidR="006515A5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комерційну пропозицію 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для кожно</w:t>
            </w:r>
            <w:r w:rsidR="00524AE4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го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24AE4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місця 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проведення тренінгу відповідно до лоту (</w:t>
            </w:r>
            <w:r w:rsidR="006515A5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лот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ів), на які він надсилає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заявку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 Точні потреби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для кожно</w:t>
            </w:r>
            <w:r w:rsidR="00480FB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го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 </w:t>
            </w:r>
            <w:r w:rsidR="00480FB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місць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зазначені в таблиці нижче</w:t>
            </w:r>
            <w:r w:rsidR="00480FB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Якщо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певн</w:t>
            </w:r>
            <w:r w:rsidR="00480FB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80FB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послуга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потрібн</w:t>
            </w:r>
            <w:r w:rsidR="00480FB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</w:t>
            </w:r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у відповідному місці проведення тренінгу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«0» (нуль)</w:t>
            </w:r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2004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зазначений </w:t>
            </w:r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відповідній </w:t>
            </w:r>
            <w:proofErr w:type="spellStart"/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ячеї</w:t>
            </w:r>
            <w:proofErr w:type="spellEnd"/>
            <w:r w:rsidR="00A7585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шаблону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F6285" w:rsidRPr="00F44EA4" w:rsidRDefault="000F628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D34219" w:rsidRDefault="00EB5C3B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д</w:t>
            </w:r>
            <w:r w:rsidR="00565517" w:rsidRPr="00F44EA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565517" w:rsidRPr="00ED3EB8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Друк</w:t>
            </w:r>
            <w:r w:rsidR="00565517" w:rsidRPr="00F44EA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r w:rsidR="00565517" w:rsidRPr="00F44EA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публікації</w:t>
            </w:r>
          </w:p>
          <w:p w:rsidR="009A2308" w:rsidRPr="00F44EA4" w:rsidRDefault="009A2308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65517" w:rsidRPr="00285E37" w:rsidRDefault="00285E37" w:rsidP="00285E3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</w:t>
            </w:r>
            <w:r w:rsidR="00DE626B" w:rsidRPr="00285E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рук ч/б формату А</w:t>
            </w:r>
            <w:proofErr w:type="gramStart"/>
            <w:r w:rsidR="00DE626B" w:rsidRPr="00285E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4</w:t>
            </w:r>
            <w:proofErr w:type="gramEnd"/>
            <w:r w:rsidR="00DE626B" w:rsidRPr="00285E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8171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максимум </w:t>
            </w:r>
            <w:r w:rsidR="00DE626B" w:rsidRPr="00285E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30</w:t>
            </w:r>
            <w:r w:rsidR="00565517" w:rsidRPr="00285E37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сторінок на особу</w:t>
            </w:r>
            <w:r w:rsidR="00A8171C" w:rsidRPr="00A8171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135B0" w:rsidRPr="00E135B0" w:rsidRDefault="00ED3EB8" w:rsidP="007C555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виготовлення</w:t>
            </w:r>
            <w:r w:rsidR="00565517"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E626B"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кольорових наклейок </w:t>
            </w:r>
            <w:r w:rsidR="00565517"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 лого</w:t>
            </w:r>
            <w:r w:rsidR="00DE626B"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типом для подальшого їх наклеєння </w:t>
            </w:r>
            <w:r w:rsidR="0026429A"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на блокноти</w:t>
            </w:r>
            <w:r w:rsidR="00A8171C" w:rsidRPr="009F69F8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Style w:val="TableGrid2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1"/>
        <w:gridCol w:w="1134"/>
        <w:gridCol w:w="142"/>
        <w:gridCol w:w="1134"/>
        <w:gridCol w:w="1134"/>
        <w:gridCol w:w="1559"/>
      </w:tblGrid>
      <w:tr w:rsidR="00A8171C" w:rsidRPr="00A8171C" w:rsidTr="00D739FE">
        <w:tc>
          <w:tcPr>
            <w:tcW w:w="9747" w:type="dxa"/>
            <w:gridSpan w:val="8"/>
            <w:vAlign w:val="center"/>
          </w:tcPr>
          <w:p w:rsidR="00A8171C" w:rsidRPr="009A2308" w:rsidRDefault="009A2308" w:rsidP="005C7F69">
            <w:pPr>
              <w:jc w:val="center"/>
              <w:rPr>
                <w:rFonts w:asciiTheme="minorHAnsi" w:hAnsiTheme="minorHAnsi"/>
                <w:b/>
                <w:sz w:val="24"/>
                <w:szCs w:val="20"/>
                <w:lang w:val="uk-UA"/>
              </w:rPr>
            </w:pPr>
            <w:r w:rsidRPr="009A2308">
              <w:rPr>
                <w:rFonts w:asciiTheme="minorHAnsi" w:hAnsiTheme="minorHAnsi"/>
                <w:b/>
                <w:sz w:val="24"/>
                <w:szCs w:val="20"/>
                <w:lang w:val="uk-UA"/>
              </w:rPr>
              <w:lastRenderedPageBreak/>
              <w:t xml:space="preserve">Таблиця зведених даних </w:t>
            </w:r>
            <w:r w:rsidR="00A8171C" w:rsidRPr="009A2308">
              <w:rPr>
                <w:rFonts w:asciiTheme="minorHAnsi" w:hAnsiTheme="minorHAnsi"/>
                <w:b/>
                <w:sz w:val="24"/>
                <w:szCs w:val="20"/>
                <w:lang w:val="uk-UA"/>
              </w:rPr>
              <w:t>тренінгів</w:t>
            </w:r>
          </w:p>
          <w:p w:rsidR="006927CE" w:rsidRPr="00A8171C" w:rsidRDefault="006927CE" w:rsidP="00285E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76529" w:rsidTr="00B45C64">
        <w:tc>
          <w:tcPr>
            <w:tcW w:w="2376" w:type="dxa"/>
            <w:vAlign w:val="center"/>
          </w:tcPr>
          <w:p w:rsidR="00776529" w:rsidRPr="00F67452" w:rsidRDefault="00776529" w:rsidP="00285E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2268" w:type="dxa"/>
            <w:gridSpan w:val="2"/>
            <w:vAlign w:val="center"/>
          </w:tcPr>
          <w:p w:rsidR="00776529" w:rsidRPr="00F67452" w:rsidRDefault="00776529" w:rsidP="00285E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276" w:type="dxa"/>
            <w:gridSpan w:val="2"/>
            <w:vAlign w:val="center"/>
          </w:tcPr>
          <w:p w:rsidR="00285E37" w:rsidRPr="00F67452" w:rsidRDefault="00285E37" w:rsidP="00285E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Необхідне обладнання</w:t>
            </w:r>
          </w:p>
          <w:p w:rsidR="00776529" w:rsidRPr="00F67452" w:rsidRDefault="00776529" w:rsidP="00285E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6529" w:rsidRPr="00F67452" w:rsidRDefault="00776529" w:rsidP="00285E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Максимальна кількість учасників</w:t>
            </w:r>
          </w:p>
        </w:tc>
        <w:tc>
          <w:tcPr>
            <w:tcW w:w="1134" w:type="dxa"/>
            <w:vAlign w:val="center"/>
          </w:tcPr>
          <w:p w:rsidR="00776529" w:rsidRPr="00F67452" w:rsidRDefault="00776529" w:rsidP="00F6745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Максимальна кількість</w:t>
            </w:r>
            <w:r w:rsidRPr="00F6745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A75855" w:rsidRPr="00ED3EB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ноч</w:t>
            </w:r>
            <w:r w:rsidR="0075551A" w:rsidRPr="00ED3EB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і</w:t>
            </w:r>
            <w:r w:rsidR="00A75855" w:rsidRPr="00ED3EB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вель</w:t>
            </w:r>
            <w:r w:rsidR="00A75855" w:rsidRPr="00F6745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в </w:t>
            </w:r>
            <w:r w:rsidRPr="00ED3EB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готелі</w:t>
            </w:r>
            <w:r w:rsidR="00392C4D" w:rsidRPr="00F6745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6529" w:rsidRPr="00F67452" w:rsidRDefault="00776529" w:rsidP="00A8171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A8171C" w:rsidRPr="0003182E" w:rsidTr="00BF04F4">
        <w:trPr>
          <w:trHeight w:val="435"/>
        </w:trPr>
        <w:tc>
          <w:tcPr>
            <w:tcW w:w="9747" w:type="dxa"/>
            <w:gridSpan w:val="8"/>
            <w:vAlign w:val="center"/>
          </w:tcPr>
          <w:p w:rsidR="006927CE" w:rsidRDefault="006927CE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</w:p>
          <w:p w:rsidR="00A8171C" w:rsidRDefault="00A8171C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Лот 1 </w:t>
            </w:r>
          </w:p>
          <w:p w:rsidR="00A8171C" w:rsidRDefault="00A8171C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Організація 11 тренінгів на Заході України</w:t>
            </w:r>
          </w:p>
          <w:p w:rsidR="006927CE" w:rsidRPr="00A8171C" w:rsidRDefault="006927CE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</w:p>
        </w:tc>
      </w:tr>
      <w:tr w:rsidR="001605C2" w:rsidRPr="00D32738" w:rsidTr="00B45C64">
        <w:trPr>
          <w:trHeight w:val="435"/>
        </w:trPr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1.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Житомир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3556" w:rsidRPr="00F67452" w:rsidRDefault="00E53556" w:rsidP="005C7F69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*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МЦ</w:t>
            </w:r>
            <w:r w:rsidR="001726B4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в</w:t>
            </w:r>
            <w:r w:rsidR="001605C2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ул. Гагаріна 47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5C2" w:rsidRPr="00F67452" w:rsidRDefault="001605C2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30EE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E5355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18/09/2017</w:t>
            </w:r>
          </w:p>
        </w:tc>
      </w:tr>
      <w:tr w:rsidR="001605C2" w:rsidRPr="00D32738" w:rsidTr="00B45C64"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2. Хмельницький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МЦ</w:t>
            </w:r>
            <w:r w:rsidR="001726B4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вул.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Соборна 75,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5C2" w:rsidRPr="00F67452" w:rsidRDefault="001605C2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1605C2" w:rsidRPr="00F67452" w:rsidRDefault="001605C2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30EE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21/09/2017</w:t>
            </w:r>
          </w:p>
        </w:tc>
      </w:tr>
      <w:tr w:rsidR="001605C2" w:rsidRPr="004F07DE" w:rsidTr="00B45C64"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3. Тернопіль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5C64" w:rsidRPr="00D76037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F0687B" w:rsidRPr="00F67452" w:rsidRDefault="00B45C64" w:rsidP="00F0687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*</w:t>
            </w:r>
            <w:r w:rsidR="001605C2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1726B4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="001605C2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 вул.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Шпитальна,</w:t>
            </w: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="001605C2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7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5C2" w:rsidRPr="00F67452" w:rsidRDefault="00E5355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23/09/201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1605C2" w:rsidRPr="00B45C64" w:rsidTr="00B45C64"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4.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Львів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МЦ</w:t>
            </w:r>
            <w:r w:rsidR="001726B4">
              <w:rPr>
                <w:rFonts w:asciiTheme="minorHAnsi" w:hAnsiTheme="minorHAnsi"/>
                <w:sz w:val="20"/>
                <w:szCs w:val="20"/>
                <w:lang w:val="ru-RU"/>
              </w:rPr>
              <w:t>,</w:t>
            </w: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вул</w:t>
            </w:r>
            <w:proofErr w:type="spellEnd"/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. В. </w:t>
            </w: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Винниченка</w:t>
            </w:r>
            <w:proofErr w:type="spellEnd"/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30, 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3556" w:rsidRPr="00F67452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1605C2" w:rsidRPr="00F67452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  <w:r w:rsidR="00630EE6">
              <w:rPr>
                <w:rFonts w:asciiTheme="minorHAnsi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26/09/2017</w:t>
            </w:r>
          </w:p>
        </w:tc>
      </w:tr>
      <w:tr w:rsidR="001605C2" w:rsidRPr="00B45C64" w:rsidTr="00B45C64"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5. Рівне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5C64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1726B4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="00B45C64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вул. Кавказька, </w:t>
            </w:r>
            <w:r w:rsidR="00B45C64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7,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5C2" w:rsidRPr="00F67452" w:rsidRDefault="00E5355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29/09/2017</w:t>
            </w:r>
          </w:p>
        </w:tc>
      </w:tr>
      <w:tr w:rsidR="001605C2" w:rsidRPr="00ED6E10" w:rsidTr="00B45C64"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6.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1605C2" w:rsidP="00B45C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МЦ</w:t>
            </w:r>
            <w:r w:rsidR="001726B4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вул.І.Франка,31А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3556" w:rsidRPr="00F67452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1605C2" w:rsidRPr="00F67452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30EE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30/09/2017</w:t>
            </w:r>
          </w:p>
        </w:tc>
      </w:tr>
      <w:tr w:rsidR="001605C2" w:rsidRPr="004F07DE" w:rsidTr="00B45C64">
        <w:tc>
          <w:tcPr>
            <w:tcW w:w="2376" w:type="dxa"/>
            <w:shd w:val="clear" w:color="auto" w:fill="auto"/>
            <w:vAlign w:val="center"/>
          </w:tcPr>
          <w:p w:rsidR="00B45C64" w:rsidRPr="00F67452" w:rsidRDefault="00B45C64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Мукачево</w:t>
            </w:r>
          </w:p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1605C2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30/09/2017</w:t>
            </w:r>
          </w:p>
        </w:tc>
      </w:tr>
      <w:tr w:rsidR="001605C2" w:rsidRPr="00ED6E10" w:rsidTr="00B45C64">
        <w:tc>
          <w:tcPr>
            <w:tcW w:w="2376" w:type="dxa"/>
            <w:shd w:val="clear" w:color="auto" w:fill="auto"/>
            <w:vAlign w:val="center"/>
          </w:tcPr>
          <w:p w:rsidR="00B45C64" w:rsidRPr="00F67452" w:rsidRDefault="00B45C64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8. Луцьк</w:t>
            </w:r>
          </w:p>
          <w:p w:rsidR="00B45C64" w:rsidRPr="00F67452" w:rsidRDefault="00B45C64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1605C2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B45C64" w:rsidP="003943C3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2/10/2017</w:t>
            </w:r>
          </w:p>
        </w:tc>
      </w:tr>
      <w:tr w:rsidR="001605C2" w:rsidRPr="00D32738" w:rsidTr="006927CE">
        <w:tc>
          <w:tcPr>
            <w:tcW w:w="2376" w:type="dxa"/>
            <w:shd w:val="clear" w:color="auto" w:fill="auto"/>
            <w:vAlign w:val="center"/>
          </w:tcPr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Івано-Франківськ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6927CE" w:rsidP="006927CE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Івано-Франківський університет права, в</w:t>
            </w:r>
            <w:r w:rsidR="001605C2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ул. Євгена Коновальця, 35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5C2" w:rsidRPr="00F67452" w:rsidRDefault="00E5355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927CE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4/10/2017</w:t>
            </w:r>
          </w:p>
        </w:tc>
      </w:tr>
      <w:tr w:rsidR="001605C2" w:rsidRPr="00ED6E10" w:rsidTr="00F67452">
        <w:tc>
          <w:tcPr>
            <w:tcW w:w="2376" w:type="dxa"/>
            <w:shd w:val="clear" w:color="auto" w:fill="auto"/>
            <w:vAlign w:val="center"/>
          </w:tcPr>
          <w:p w:rsidR="006927CE" w:rsidRPr="00F67452" w:rsidRDefault="006927CE" w:rsidP="000F7B3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Чернівці</w:t>
            </w:r>
          </w:p>
          <w:p w:rsidR="006927CE" w:rsidRPr="00F67452" w:rsidRDefault="006927CE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CB45A7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Аксеніна</w:t>
            </w:r>
            <w:proofErr w:type="spellEnd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5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5C2" w:rsidRPr="00F67452" w:rsidRDefault="001605C2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1605C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927CE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6/10/2017</w:t>
            </w:r>
          </w:p>
        </w:tc>
      </w:tr>
      <w:tr w:rsidR="001605C2" w:rsidRPr="00290660" w:rsidTr="00F67452">
        <w:tc>
          <w:tcPr>
            <w:tcW w:w="2376" w:type="dxa"/>
            <w:shd w:val="clear" w:color="auto" w:fill="auto"/>
            <w:vAlign w:val="center"/>
          </w:tcPr>
          <w:p w:rsidR="006927CE" w:rsidRPr="00F67452" w:rsidRDefault="006927CE" w:rsidP="000F7B3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1605C2" w:rsidRPr="00F67452" w:rsidRDefault="001605C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11.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Вінниця</w:t>
            </w:r>
          </w:p>
          <w:p w:rsidR="006927CE" w:rsidRDefault="006927CE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67452" w:rsidRPr="00F67452" w:rsidRDefault="00F67452" w:rsidP="000F7B3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1605C2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30EE6" w:rsidP="00830E2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5C2" w:rsidRPr="00F67452" w:rsidRDefault="006927CE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5C2" w:rsidRPr="00F67452" w:rsidRDefault="001605C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14/10/2017</w:t>
            </w:r>
          </w:p>
        </w:tc>
      </w:tr>
      <w:tr w:rsidR="00A8171C" w:rsidRPr="0003182E" w:rsidTr="001C3A41">
        <w:tc>
          <w:tcPr>
            <w:tcW w:w="9747" w:type="dxa"/>
            <w:gridSpan w:val="8"/>
            <w:vAlign w:val="center"/>
          </w:tcPr>
          <w:p w:rsidR="005C7F69" w:rsidRPr="00ED3EB8" w:rsidRDefault="005C7F69" w:rsidP="005C7F69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*МЦ - </w:t>
            </w: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місцевий</w:t>
            </w:r>
            <w:proofErr w:type="spellEnd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центр з </w:t>
            </w: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надання</w:t>
            </w:r>
            <w:proofErr w:type="spellEnd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безоплатної</w:t>
            </w:r>
            <w:proofErr w:type="spellEnd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вторинної</w:t>
            </w:r>
            <w:proofErr w:type="spellEnd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правової</w:t>
            </w:r>
            <w:proofErr w:type="spellEnd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допомоги</w:t>
            </w:r>
            <w:proofErr w:type="spellEnd"/>
          </w:p>
          <w:p w:rsidR="005C7F69" w:rsidRDefault="00DB64F9" w:rsidP="005C7F69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*РЦ  - р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uk-UA"/>
              </w:rPr>
              <w:t>егіональний</w:t>
            </w:r>
            <w:proofErr w:type="spellEnd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центр з </w:t>
            </w:r>
            <w:proofErr w:type="spellStart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надання</w:t>
            </w:r>
            <w:proofErr w:type="spellEnd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безоплатної</w:t>
            </w:r>
            <w:proofErr w:type="spellEnd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вторинної</w:t>
            </w:r>
            <w:proofErr w:type="spellEnd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правової</w:t>
            </w:r>
            <w:proofErr w:type="spellEnd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7F69" w:rsidRPr="00ED3EB8">
              <w:rPr>
                <w:rFonts w:asciiTheme="minorHAnsi" w:hAnsiTheme="minorHAnsi"/>
                <w:sz w:val="20"/>
                <w:szCs w:val="20"/>
                <w:lang w:val="ru-RU"/>
              </w:rPr>
              <w:t>допомоги</w:t>
            </w:r>
            <w:proofErr w:type="spellEnd"/>
          </w:p>
          <w:p w:rsidR="00E135B0" w:rsidRPr="005C7F69" w:rsidRDefault="00E135B0" w:rsidP="00A8171C">
            <w:pPr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  <w:p w:rsidR="00F67452" w:rsidRDefault="00A8171C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Лот 2</w:t>
            </w:r>
          </w:p>
          <w:p w:rsidR="00E135B0" w:rsidRPr="006C35D8" w:rsidRDefault="00A8171C" w:rsidP="00E135B0">
            <w:pPr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Організація 12 тренінгів в Центрі та </w:t>
            </w:r>
            <w:r w:rsidR="00A26469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Півдні України</w:t>
            </w:r>
          </w:p>
        </w:tc>
      </w:tr>
      <w:tr w:rsidR="005C7F69" w:rsidRPr="00290660" w:rsidTr="006927CE">
        <w:tc>
          <w:tcPr>
            <w:tcW w:w="2376" w:type="dxa"/>
            <w:shd w:val="clear" w:color="auto" w:fill="auto"/>
            <w:vAlign w:val="center"/>
          </w:tcPr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lastRenderedPageBreak/>
              <w:t>Місто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Необхідне обладнання</w:t>
            </w:r>
          </w:p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Максимальна кількість учасників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Максимальна кількість</w:t>
            </w:r>
            <w:r w:rsidRPr="00F6745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Pr="00ED3EB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ночівель</w:t>
            </w:r>
            <w:r w:rsidRPr="00F6745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в </w:t>
            </w:r>
            <w:r w:rsidRPr="00ED3EB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готелі</w:t>
            </w:r>
            <w:r w:rsidRPr="00F67452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F69" w:rsidRPr="00F67452" w:rsidRDefault="005C7F69" w:rsidP="0003304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A8171C" w:rsidRPr="00290660" w:rsidTr="006927CE">
        <w:tc>
          <w:tcPr>
            <w:tcW w:w="2376" w:type="dxa"/>
            <w:shd w:val="clear" w:color="auto" w:fill="auto"/>
            <w:vAlign w:val="center"/>
          </w:tcPr>
          <w:p w:rsidR="006927CE" w:rsidRPr="00F67452" w:rsidRDefault="006927CE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12. Миколаїв</w:t>
            </w:r>
          </w:p>
          <w:p w:rsidR="006927CE" w:rsidRPr="00F67452" w:rsidRDefault="006927CE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A8171C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6927CE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15/09/2017</w:t>
            </w:r>
          </w:p>
        </w:tc>
      </w:tr>
      <w:tr w:rsidR="00A8171C" w:rsidRPr="004F07DE" w:rsidTr="006927CE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13.</w:t>
            </w:r>
            <w:r w:rsidR="006927CE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Кропивницький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F20EAC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="006927CE"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Дворцова</w:t>
            </w:r>
            <w:proofErr w:type="spellEnd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="006927CE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32/29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6927CE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16/09/2017</w:t>
            </w:r>
          </w:p>
        </w:tc>
      </w:tr>
      <w:tr w:rsidR="00A8171C" w:rsidRPr="00ED6E10" w:rsidTr="006927CE">
        <w:tc>
          <w:tcPr>
            <w:tcW w:w="2376" w:type="dxa"/>
            <w:shd w:val="clear" w:color="auto" w:fill="auto"/>
            <w:vAlign w:val="center"/>
          </w:tcPr>
          <w:p w:rsidR="006927CE" w:rsidRPr="00F67452" w:rsidRDefault="006927CE" w:rsidP="006927CE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14.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Первомайськ</w:t>
            </w:r>
          </w:p>
          <w:p w:rsidR="006927CE" w:rsidRPr="00F67452" w:rsidRDefault="006927CE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A8171C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6927CE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23/09/2017</w:t>
            </w:r>
          </w:p>
        </w:tc>
      </w:tr>
      <w:tr w:rsidR="00A8171C" w:rsidRPr="00C212DD" w:rsidTr="00C212DD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15.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Суми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C212DD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Конгрес-центр Сумського </w:t>
            </w:r>
            <w:r w:rsidR="00A8171C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державного університету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="00A8171C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вул. </w:t>
            </w:r>
            <w:r w:rsidR="00A8171C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Покровська, 9/1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3556" w:rsidRPr="00F67452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екран, проектор, комп’ютер,</w:t>
            </w:r>
          </w:p>
          <w:p w:rsidR="00A8171C" w:rsidRPr="00F67452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630EE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18/09/2017</w:t>
            </w:r>
          </w:p>
        </w:tc>
      </w:tr>
      <w:tr w:rsidR="00A8171C" w:rsidRPr="004F07DE" w:rsidTr="00C212DD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16. Чернігів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35B0" w:rsidRPr="005C7F69" w:rsidRDefault="00A8171C" w:rsidP="00E135B0">
            <w:pPr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1E5FD0">
              <w:rPr>
                <w:rFonts w:asciiTheme="minorHAnsi" w:hAnsiTheme="minorHAnsi"/>
                <w:sz w:val="20"/>
                <w:szCs w:val="20"/>
                <w:lang w:val="uk-UA"/>
              </w:rPr>
              <w:t>Чернігівський центр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установ, організацій проспект Миру, 43,</w:t>
            </w:r>
            <w:r w:rsidR="00E53556" w:rsidRPr="001E5FD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171C" w:rsidRPr="00F67452" w:rsidRDefault="003F7748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630EE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20/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>09/2017</w:t>
            </w:r>
          </w:p>
        </w:tc>
      </w:tr>
      <w:tr w:rsidR="00A8171C" w:rsidRPr="00C212DD" w:rsidTr="00C212DD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17.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Полтава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C212DD" w:rsidP="00ED3EB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1E5FD0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A8171C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вул.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A8171C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Європейська 37/40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630EE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23/09/2017</w:t>
            </w:r>
          </w:p>
        </w:tc>
      </w:tr>
      <w:tr w:rsidR="00A8171C" w:rsidRPr="00C212DD" w:rsidTr="00C212DD">
        <w:tc>
          <w:tcPr>
            <w:tcW w:w="2376" w:type="dxa"/>
            <w:shd w:val="clear" w:color="auto" w:fill="auto"/>
            <w:vAlign w:val="center"/>
          </w:tcPr>
          <w:p w:rsidR="00C212DD" w:rsidRPr="00F67452" w:rsidRDefault="00C212DD" w:rsidP="006927CE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C212DD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18.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A8171C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28/09/2017</w:t>
            </w:r>
          </w:p>
        </w:tc>
      </w:tr>
      <w:tr w:rsidR="00A8171C" w:rsidRPr="004F07DE" w:rsidTr="00C212DD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19. Одеса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35B0" w:rsidRPr="00E135B0" w:rsidRDefault="00C212DD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Одеська</w:t>
            </w:r>
            <w:proofErr w:type="spellEnd"/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міжрегіональна</w:t>
            </w:r>
            <w:proofErr w:type="spellEnd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ресурсно-</w:t>
            </w:r>
            <w:proofErr w:type="spellStart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комунікаційна</w:t>
            </w:r>
            <w:proofErr w:type="spellEnd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платформа, м. Одеса, </w:t>
            </w:r>
            <w:proofErr w:type="spellStart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вул</w:t>
            </w:r>
            <w:proofErr w:type="spellEnd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. Велика </w:t>
            </w:r>
            <w:proofErr w:type="spellStart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Арнаутська</w:t>
            </w:r>
            <w:proofErr w:type="spellEnd"/>
            <w:r w:rsidR="00A8171C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, 61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ru-RU"/>
              </w:rPr>
              <w:t>,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171C" w:rsidRPr="00F67452" w:rsidRDefault="003F7748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F67452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  <w:r w:rsidR="00630EE6">
              <w:rPr>
                <w:rFonts w:asciiTheme="minorHAnsi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ru-RU"/>
              </w:rPr>
              <w:t>3/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>10/2017</w:t>
            </w:r>
          </w:p>
        </w:tc>
      </w:tr>
      <w:tr w:rsidR="00A8171C" w:rsidRPr="004F07DE" w:rsidTr="006C35D8">
        <w:tc>
          <w:tcPr>
            <w:tcW w:w="2376" w:type="dxa"/>
            <w:shd w:val="clear" w:color="auto" w:fill="auto"/>
            <w:vAlign w:val="center"/>
          </w:tcPr>
          <w:p w:rsidR="00E135B0" w:rsidRPr="00F67452" w:rsidRDefault="00A8171C" w:rsidP="006C35D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20.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Біла Церква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РЦ, вул. Гайок 4а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630EE6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E53326" w:rsidRDefault="00E5332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3F634E"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5/10/2017</w:t>
            </w:r>
          </w:p>
        </w:tc>
      </w:tr>
      <w:tr w:rsidR="00A8171C" w:rsidRPr="004F07DE" w:rsidTr="00C212DD">
        <w:tc>
          <w:tcPr>
            <w:tcW w:w="2376" w:type="dxa"/>
            <w:shd w:val="clear" w:color="auto" w:fill="auto"/>
            <w:vAlign w:val="center"/>
          </w:tcPr>
          <w:p w:rsidR="00C212DD" w:rsidRPr="00F67452" w:rsidRDefault="00C212DD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8171C" w:rsidRPr="00F67452" w:rsidRDefault="00A8171C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21.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Умань</w:t>
            </w:r>
          </w:p>
          <w:p w:rsidR="00C212DD" w:rsidRPr="00F67452" w:rsidRDefault="00C212DD" w:rsidP="006927CE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C212DD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A8171C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630EE6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17/10/2017</w:t>
            </w:r>
          </w:p>
        </w:tc>
      </w:tr>
      <w:tr w:rsidR="00A8171C" w:rsidRPr="004F07DE" w:rsidTr="00C212DD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22.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Лубни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Зал засідань Лубенської міської ради</w:t>
            </w:r>
            <w:r w:rsidR="001726B4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вул. Я. Мудрого 33</w:t>
            </w:r>
            <w:r w:rsidR="00E53556" w:rsidRPr="00F67452">
              <w:rPr>
                <w:rFonts w:asciiTheme="minorHAnsi" w:hAnsiTheme="minorHAnsi"/>
                <w:sz w:val="20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171C" w:rsidRPr="00F67452" w:rsidRDefault="003F7748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630EE6" w:rsidRDefault="00630EE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E53326" w:rsidRDefault="00E5332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3F634E"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21/10/2017</w:t>
            </w:r>
          </w:p>
        </w:tc>
      </w:tr>
      <w:tr w:rsidR="00A8171C" w:rsidRPr="004F07DE" w:rsidTr="00C212DD">
        <w:tc>
          <w:tcPr>
            <w:tcW w:w="2376" w:type="dxa"/>
            <w:shd w:val="clear" w:color="auto" w:fill="auto"/>
            <w:vAlign w:val="center"/>
          </w:tcPr>
          <w:p w:rsidR="00A8171C" w:rsidRPr="00F67452" w:rsidRDefault="00A8171C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 xml:space="preserve">23.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Черкаси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71C" w:rsidRPr="00F67452" w:rsidRDefault="00A8171C" w:rsidP="001726B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C35D8">
              <w:rPr>
                <w:rFonts w:asciiTheme="minorHAnsi" w:hAnsiTheme="minorHAnsi"/>
                <w:sz w:val="18"/>
                <w:szCs w:val="20"/>
                <w:lang w:val="uk-UA"/>
              </w:rPr>
              <w:t>Служба у справах дітей Черкаської міської ради</w:t>
            </w:r>
            <w:r w:rsidR="001726B4" w:rsidRPr="006C35D8">
              <w:rPr>
                <w:rFonts w:asciiTheme="minorHAnsi" w:hAnsiTheme="minorHAnsi"/>
                <w:sz w:val="18"/>
                <w:szCs w:val="20"/>
                <w:lang w:val="uk-UA"/>
              </w:rPr>
              <w:t>,</w:t>
            </w:r>
            <w:r w:rsidRPr="006C35D8">
              <w:rPr>
                <w:rFonts w:asciiTheme="minorHAnsi" w:hAnsiTheme="minorHAnsi"/>
                <w:sz w:val="18"/>
                <w:szCs w:val="20"/>
                <w:lang w:val="uk-UA"/>
              </w:rPr>
              <w:t xml:space="preserve"> </w:t>
            </w:r>
            <w:r w:rsidR="001726B4" w:rsidRPr="006C35D8">
              <w:rPr>
                <w:rFonts w:asciiTheme="minorHAnsi" w:hAnsiTheme="minorHAnsi"/>
                <w:sz w:val="18"/>
                <w:szCs w:val="20"/>
                <w:lang w:val="uk-UA"/>
              </w:rPr>
              <w:t>в</w:t>
            </w:r>
            <w:r w:rsidRPr="006C35D8">
              <w:rPr>
                <w:rFonts w:asciiTheme="minorHAnsi" w:hAnsiTheme="minorHAnsi"/>
                <w:sz w:val="18"/>
                <w:szCs w:val="20"/>
                <w:lang w:val="uk-UA"/>
              </w:rPr>
              <w:t>ул. Благовісна, 170</w:t>
            </w:r>
            <w:r w:rsidR="00E53556" w:rsidRPr="006C35D8">
              <w:rPr>
                <w:rFonts w:asciiTheme="minorHAnsi" w:hAnsiTheme="minorHAnsi"/>
                <w:sz w:val="18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A8171C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171C" w:rsidRPr="00630EE6" w:rsidRDefault="00A8171C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71C" w:rsidRPr="00F67452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71C" w:rsidRPr="00F67452" w:rsidRDefault="00A8171C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452">
              <w:rPr>
                <w:rFonts w:asciiTheme="minorHAnsi" w:hAnsiTheme="minorHAnsi"/>
                <w:sz w:val="20"/>
                <w:szCs w:val="20"/>
              </w:rPr>
              <w:t>23/10/2017</w:t>
            </w:r>
          </w:p>
        </w:tc>
      </w:tr>
      <w:tr w:rsidR="00A8171C" w:rsidRPr="0003182E" w:rsidTr="0066102E">
        <w:tc>
          <w:tcPr>
            <w:tcW w:w="9747" w:type="dxa"/>
            <w:gridSpan w:val="8"/>
            <w:vAlign w:val="center"/>
          </w:tcPr>
          <w:p w:rsidR="00E135B0" w:rsidRDefault="00E135B0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</w:p>
          <w:p w:rsidR="00ED3EB8" w:rsidRDefault="00A8171C" w:rsidP="00A8171C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Лот 3 </w:t>
            </w:r>
          </w:p>
          <w:p w:rsidR="00E135B0" w:rsidRPr="006C35D8" w:rsidRDefault="00A8171C" w:rsidP="00E135B0">
            <w:pPr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Організація 8 тренінгів на Сході України</w:t>
            </w:r>
          </w:p>
        </w:tc>
      </w:tr>
      <w:tr w:rsidR="005C7F69" w:rsidRPr="00C212DD" w:rsidTr="00C212DD">
        <w:tc>
          <w:tcPr>
            <w:tcW w:w="2376" w:type="dxa"/>
            <w:shd w:val="clear" w:color="auto" w:fill="auto"/>
            <w:vAlign w:val="center"/>
          </w:tcPr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Місто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Місце проведення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Необхідне обладнання</w:t>
            </w:r>
          </w:p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Максимальна кількість учасників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Максимальна кількість</w:t>
            </w:r>
            <w:r w:rsidRPr="00D222B4">
              <w:rPr>
                <w:rFonts w:asciiTheme="minorHAnsi" w:hAnsiTheme="minorHAnsi"/>
                <w:b/>
                <w:sz w:val="18"/>
                <w:szCs w:val="20"/>
                <w:lang w:val="ru-RU"/>
              </w:rPr>
              <w:t xml:space="preserve"> </w:t>
            </w: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ночівель</w:t>
            </w:r>
            <w:r w:rsidRPr="00D222B4">
              <w:rPr>
                <w:rFonts w:asciiTheme="minorHAnsi" w:hAnsiTheme="minorHAnsi"/>
                <w:b/>
                <w:sz w:val="18"/>
                <w:szCs w:val="20"/>
                <w:lang w:val="ru-RU"/>
              </w:rPr>
              <w:t xml:space="preserve"> в </w:t>
            </w: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>готелі</w:t>
            </w:r>
            <w:r w:rsidRPr="00D222B4">
              <w:rPr>
                <w:rFonts w:asciiTheme="minorHAnsi" w:hAnsiTheme="minorHAnsi"/>
                <w:b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F69" w:rsidRPr="00D222B4" w:rsidRDefault="005C7F69" w:rsidP="0003304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b/>
                <w:sz w:val="18"/>
                <w:szCs w:val="20"/>
                <w:lang w:val="uk-UA"/>
              </w:rPr>
              <w:t xml:space="preserve">Дата </w:t>
            </w:r>
          </w:p>
        </w:tc>
      </w:tr>
      <w:tr w:rsidR="00CC3572" w:rsidRPr="00C212DD" w:rsidTr="00C212DD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C212DD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 xml:space="preserve">24.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Маріуполь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572" w:rsidRPr="00ED3EB8" w:rsidRDefault="00C212DD" w:rsidP="00ED3EB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F365D5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вул. Зелінського 27а,</w:t>
            </w:r>
            <w:r w:rsidR="00E53556" w:rsidRPr="00ED3EB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3572" w:rsidRPr="00ED3EB8" w:rsidRDefault="003F7748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ED3EB8" w:rsidRDefault="00630EE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15/09/2017</w:t>
            </w:r>
          </w:p>
        </w:tc>
      </w:tr>
      <w:tr w:rsidR="00CC3572" w:rsidRPr="004F07DE" w:rsidTr="00C212DD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C212DD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25.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Мелітополь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572" w:rsidRPr="00ED3EB8" w:rsidRDefault="00C212DD" w:rsidP="00ED3EB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МЦ</w:t>
            </w:r>
            <w:r w:rsidR="00F365D5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вул. Вакуленчука, 99,</w:t>
            </w:r>
            <w:r w:rsidR="00E53556" w:rsidRPr="00ED3EB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3556" w:rsidRPr="00ED3EB8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ED3EB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ED3E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CC3572" w:rsidRPr="00ED3EB8" w:rsidRDefault="00E53556" w:rsidP="00E53556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630EE6" w:rsidRDefault="00CC357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C212DD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16/09/2017</w:t>
            </w:r>
          </w:p>
        </w:tc>
      </w:tr>
      <w:tr w:rsidR="00CC3572" w:rsidRPr="004F07DE" w:rsidTr="00F67452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C212DD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 xml:space="preserve">26.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Запоріжжя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572" w:rsidRPr="00ED3EB8" w:rsidRDefault="00CC3572" w:rsidP="00ED3E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РЦ</w:t>
            </w:r>
            <w:r w:rsidR="00F365D5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="00C212DD" w:rsidRPr="00ED3EB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проспект Соборний 77, </w:t>
            </w:r>
            <w:r w:rsidR="00E53556"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630EE6" w:rsidRDefault="00CC357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18/09/2017</w:t>
            </w:r>
          </w:p>
        </w:tc>
      </w:tr>
      <w:tr w:rsidR="00CC3572" w:rsidRPr="004F07DE" w:rsidTr="00F67452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C212DD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 xml:space="preserve">27.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Дніпро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452" w:rsidRPr="00D222B4" w:rsidRDefault="00F67452" w:rsidP="00ED3EB8">
            <w:pPr>
              <w:rPr>
                <w:rFonts w:asciiTheme="minorHAnsi" w:hAnsiTheme="minorHAnsi"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sz w:val="18"/>
                <w:szCs w:val="20"/>
                <w:lang w:val="uk-UA"/>
              </w:rPr>
              <w:t>Головне територіальне</w:t>
            </w:r>
          </w:p>
          <w:p w:rsidR="00F67452" w:rsidRPr="00D222B4" w:rsidRDefault="00F67452" w:rsidP="00ED3EB8">
            <w:pPr>
              <w:rPr>
                <w:rFonts w:asciiTheme="minorHAnsi" w:hAnsiTheme="minorHAnsi"/>
                <w:sz w:val="18"/>
                <w:szCs w:val="20"/>
                <w:lang w:val="uk-UA"/>
              </w:rPr>
            </w:pPr>
            <w:r w:rsidRPr="00D222B4">
              <w:rPr>
                <w:rFonts w:asciiTheme="minorHAnsi" w:hAnsiTheme="minorHAnsi"/>
                <w:sz w:val="18"/>
                <w:szCs w:val="20"/>
                <w:lang w:val="uk-UA"/>
              </w:rPr>
              <w:t>управління юстиції</w:t>
            </w:r>
          </w:p>
          <w:p w:rsidR="00CC3572" w:rsidRPr="00ED3EB8" w:rsidRDefault="00F67452" w:rsidP="00ED3EB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222B4">
              <w:rPr>
                <w:rFonts w:asciiTheme="minorHAnsi" w:hAnsiTheme="minorHAnsi"/>
                <w:sz w:val="18"/>
                <w:szCs w:val="20"/>
                <w:lang w:val="uk-UA"/>
              </w:rPr>
              <w:t>у Дніпропетровській області, проспект Яворницького 21а,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3572" w:rsidRPr="00ED3EB8" w:rsidRDefault="003F7748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630EE6" w:rsidRDefault="00CC357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2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18/09/2017</w:t>
            </w:r>
          </w:p>
        </w:tc>
      </w:tr>
      <w:tr w:rsidR="00CC3572" w:rsidRPr="00F551E3" w:rsidTr="00F67452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F67452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 xml:space="preserve">28. 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Кривий Ріг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6745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CC3572" w:rsidRPr="00ED3EB8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ED3EB8" w:rsidRDefault="00CC357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20/09/2017</w:t>
            </w:r>
          </w:p>
        </w:tc>
      </w:tr>
      <w:tr w:rsidR="00CC3572" w:rsidRPr="00F551E3" w:rsidTr="00F67452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F67452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</w:rPr>
              <w:t>29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. Сєвєродонецьк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6745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CC3572" w:rsidRPr="00ED3EB8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ED3EB8" w:rsidRDefault="00CC357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20/09/2017</w:t>
            </w:r>
          </w:p>
        </w:tc>
      </w:tr>
      <w:tr w:rsidR="00CC3572" w:rsidRPr="00F551E3" w:rsidTr="00F67452"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F67452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  <w:r w:rsidRPr="00ED3EB8">
              <w:rPr>
                <w:rFonts w:asciiTheme="minorHAnsi" w:hAnsiTheme="minorHAnsi"/>
                <w:sz w:val="20"/>
                <w:szCs w:val="20"/>
              </w:rPr>
              <w:t>0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. Краматорськ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6745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6469" w:rsidRPr="00F67452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екран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проектор,</w:t>
            </w:r>
            <w:r w:rsidRPr="00F67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комп’ютер,</w:t>
            </w:r>
          </w:p>
          <w:p w:rsidR="00CC3572" w:rsidRPr="00ED3EB8" w:rsidRDefault="00A26469" w:rsidP="00A26469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proofErr w:type="spellStart"/>
            <w:r w:rsidRPr="00F67452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ED3EB8" w:rsidRDefault="00CC3572" w:rsidP="00630EE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  <w:r w:rsidR="00630EE6">
              <w:rPr>
                <w:rFonts w:asciiTheme="minorHAnsi" w:hAnsi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22/09/2017</w:t>
            </w:r>
          </w:p>
        </w:tc>
      </w:tr>
      <w:tr w:rsidR="00CC3572" w:rsidRPr="004F07DE" w:rsidTr="00F67452">
        <w:trPr>
          <w:trHeight w:val="602"/>
        </w:trPr>
        <w:tc>
          <w:tcPr>
            <w:tcW w:w="2376" w:type="dxa"/>
            <w:shd w:val="clear" w:color="auto" w:fill="auto"/>
            <w:vAlign w:val="center"/>
          </w:tcPr>
          <w:p w:rsidR="00CC3572" w:rsidRPr="00ED3EB8" w:rsidRDefault="00CC3572" w:rsidP="00F67452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3</w:t>
            </w:r>
            <w:r w:rsidRPr="00ED3EB8">
              <w:rPr>
                <w:rFonts w:asciiTheme="minorHAnsi" w:hAnsiTheme="minorHAnsi"/>
                <w:sz w:val="20"/>
                <w:szCs w:val="20"/>
              </w:rPr>
              <w:t>1</w:t>
            </w:r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. Харків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452" w:rsidRPr="006C35D8" w:rsidRDefault="00F67452" w:rsidP="00F67452">
            <w:pPr>
              <w:rPr>
                <w:rFonts w:asciiTheme="minorHAnsi" w:hAnsiTheme="minorHAnsi"/>
                <w:sz w:val="18"/>
                <w:szCs w:val="20"/>
                <w:lang w:val="uk-UA"/>
              </w:rPr>
            </w:pPr>
            <w:r w:rsidRPr="006C35D8">
              <w:rPr>
                <w:rFonts w:asciiTheme="minorHAnsi" w:hAnsiTheme="minorHAnsi"/>
                <w:sz w:val="18"/>
                <w:szCs w:val="20"/>
                <w:lang w:val="uk-UA"/>
              </w:rPr>
              <w:t>Головне територіальне</w:t>
            </w:r>
          </w:p>
          <w:p w:rsidR="00F67452" w:rsidRPr="006C35D8" w:rsidRDefault="00F67452" w:rsidP="00F67452">
            <w:pPr>
              <w:rPr>
                <w:rFonts w:asciiTheme="minorHAnsi" w:hAnsiTheme="minorHAnsi"/>
                <w:sz w:val="18"/>
                <w:szCs w:val="20"/>
                <w:lang w:val="uk-UA"/>
              </w:rPr>
            </w:pPr>
            <w:r w:rsidRPr="006C35D8">
              <w:rPr>
                <w:rFonts w:asciiTheme="minorHAnsi" w:hAnsiTheme="minorHAnsi"/>
                <w:sz w:val="18"/>
                <w:szCs w:val="20"/>
                <w:lang w:val="uk-UA"/>
              </w:rPr>
              <w:t>управління юстиції</w:t>
            </w:r>
          </w:p>
          <w:p w:rsidR="00CC3572" w:rsidRPr="00ED3EB8" w:rsidRDefault="00F67452" w:rsidP="00F67452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6C35D8">
              <w:rPr>
                <w:rFonts w:asciiTheme="minorHAnsi" w:hAnsiTheme="minorHAnsi"/>
                <w:sz w:val="18"/>
                <w:szCs w:val="20"/>
                <w:lang w:val="uk-UA"/>
              </w:rPr>
              <w:t xml:space="preserve">у Харківській області, </w:t>
            </w:r>
            <w:r w:rsidR="00CC3572" w:rsidRPr="006C35D8">
              <w:rPr>
                <w:rFonts w:asciiTheme="minorHAnsi" w:hAnsiTheme="minorHAnsi"/>
                <w:sz w:val="18"/>
                <w:szCs w:val="20"/>
                <w:lang w:val="uk-UA"/>
              </w:rPr>
              <w:t>вул. Я. Мудрого, 16</w:t>
            </w:r>
            <w:r w:rsidR="00E53556" w:rsidRPr="006C35D8">
              <w:rPr>
                <w:rFonts w:asciiTheme="minorHAnsi" w:hAnsiTheme="minorHAnsi"/>
                <w:sz w:val="18"/>
                <w:szCs w:val="20"/>
                <w:lang w:val="uk-UA"/>
              </w:rPr>
              <w:t>, надано безкоштовно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3572" w:rsidRPr="00ED3EB8" w:rsidRDefault="003F7748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ED3EB8">
              <w:rPr>
                <w:rFonts w:asciiTheme="minorHAnsi" w:hAnsiTheme="minorHAnsi"/>
                <w:sz w:val="20"/>
                <w:szCs w:val="20"/>
                <w:lang w:val="uk-UA"/>
              </w:rPr>
              <w:t>фліпчарт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3572" w:rsidRPr="00ED3EB8" w:rsidRDefault="00630EE6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572" w:rsidRPr="00ED3EB8" w:rsidRDefault="00F67452" w:rsidP="00285E3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572" w:rsidRPr="00ED3EB8" w:rsidRDefault="00CC3572" w:rsidP="00285E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EB8">
              <w:rPr>
                <w:rFonts w:asciiTheme="minorHAnsi" w:hAnsiTheme="minorHAnsi"/>
                <w:sz w:val="20"/>
                <w:szCs w:val="20"/>
                <w:lang w:val="ru-RU"/>
              </w:rPr>
              <w:t>25</w:t>
            </w:r>
            <w:r w:rsidRPr="00ED3EB8">
              <w:rPr>
                <w:rFonts w:asciiTheme="minorHAnsi" w:hAnsiTheme="minorHAnsi"/>
                <w:sz w:val="20"/>
                <w:szCs w:val="20"/>
              </w:rPr>
              <w:t>/09/2017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51"/>
        <w:gridCol w:w="7896"/>
      </w:tblGrid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1226B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Оплата</w:t>
            </w:r>
          </w:p>
        </w:tc>
        <w:tc>
          <w:tcPr>
            <w:tcW w:w="7896" w:type="dxa"/>
          </w:tcPr>
          <w:p w:rsidR="00D369B1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 виконання Постачальником послуг усіх зобов’язань за </w:t>
            </w:r>
            <w:r w:rsidR="007F7E2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договором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Рада Європи зобов’язується сплатити </w:t>
            </w:r>
            <w:r w:rsidR="005C7F6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Постачальнику послуг суму в є</w:t>
            </w:r>
            <w:r w:rsid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вро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або гривнях </w:t>
            </w:r>
            <w:r w:rsidR="007F7E2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таким</w:t>
            </w:r>
            <w:r w:rsidR="007F7E2F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чином: </w:t>
            </w:r>
          </w:p>
          <w:p w:rsidR="00D11263" w:rsidRPr="00D369B1" w:rsidRDefault="00D11263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5301AE" w:rsidP="005301A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Авансовий платіж в розмірі не більше </w:t>
            </w:r>
            <w:r w:rsidR="0026429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4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0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% від загальної вартості послуг, зазначених в контракті;</w:t>
            </w:r>
          </w:p>
          <w:p w:rsidR="00D11263" w:rsidRPr="00901F96" w:rsidRDefault="00D11263" w:rsidP="00D11263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5301AE" w:rsidP="005301A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Залишок в сумі фактично понесених витрат на проведення заходу буде сплачено протягом 60 календарних днів з дати отримання послуг за </w:t>
            </w:r>
            <w:r w:rsidR="007F7E2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договором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(що зазначені у Додатку ІІ) та їх прийняття Радою Європи та надання відповідного рахунку. </w:t>
            </w:r>
          </w:p>
          <w:p w:rsidR="00D11263" w:rsidRPr="009A2308" w:rsidRDefault="00D11263" w:rsidP="00D11263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03182E" w:rsidTr="00533E69">
        <w:tc>
          <w:tcPr>
            <w:tcW w:w="1851" w:type="dxa"/>
          </w:tcPr>
          <w:p w:rsidR="005301AE" w:rsidRPr="00901F96" w:rsidRDefault="007F7E2F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ритерії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виключення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 Постачальників послуг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96" w:type="dxa"/>
          </w:tcPr>
          <w:p w:rsidR="005301AE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Учасники тендеру мають відповідати </w:t>
            </w:r>
            <w:r w:rsidR="007F7E2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таким</w:t>
            </w:r>
            <w:r w:rsidR="007F7E2F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критеріям:</w:t>
            </w:r>
          </w:p>
          <w:p w:rsidR="00D11263" w:rsidRPr="00901F96" w:rsidRDefault="00D11263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D369B1" w:rsidRDefault="00310E36" w:rsidP="00D369B1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е 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б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ул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 засудженими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рішенням суду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яке набрало остаточної сили,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 одним або кількома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 таких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звинувачен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ь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: участь в 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злочинній організації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корупці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шахрайств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відмиванн</w:t>
            </w:r>
            <w:r w:rsidR="003F40C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я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грошей, </w:t>
            </w:r>
          </w:p>
          <w:p w:rsidR="00D11263" w:rsidRDefault="00D11263" w:rsidP="00D11263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310E36" w:rsidP="00D369B1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</w:t>
            </w:r>
            <w:r w:rsidR="005301AE"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е </w:t>
            </w:r>
            <w:r w:rsidR="003F40C5"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перебува</w:t>
            </w:r>
            <w:r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3F40C5"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01AE"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 стані банкрутства, ліквідації, закінчення діяльності, неплатоспроможності або заборгованості перед кредиторами та у будь-якій іншій ситуації, що є наслідком </w:t>
            </w:r>
            <w:r w:rsidR="003F40C5"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подібних процедур, або під подібною процедурою</w:t>
            </w:r>
            <w:r w:rsidR="005301AE" w:rsidRP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11263" w:rsidRPr="00D369B1" w:rsidRDefault="00D11263" w:rsidP="00D11263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D11263" w:rsidRDefault="005301AE" w:rsidP="00D11263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отримували рішення суду</w:t>
            </w:r>
            <w:r w:rsidR="00310E3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яке набрало чинності,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 порушення, які впливають на професійну репутацію та спроможність та вважається серйозним професійним порушенням;</w:t>
            </w:r>
          </w:p>
          <w:p w:rsidR="00D11263" w:rsidRPr="00D11263" w:rsidRDefault="00D11263" w:rsidP="00D11263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F72E42" w:rsidRDefault="005301AE" w:rsidP="00D369B1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сумлінно виконують усі зобов’язання щодо усіх сплат</w:t>
            </w:r>
            <w:r w:rsidR="001C044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внесків на соціальне забезпечення,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податків, відрахувань у відповідності до законодавства країни, в якій </w:t>
            </w:r>
            <w:r w:rsidR="00F72E4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 тендеру зареєстрований;</w:t>
            </w:r>
          </w:p>
          <w:p w:rsidR="00D11263" w:rsidRPr="00D369B1" w:rsidRDefault="00D11263" w:rsidP="00D11263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F955E0" w:rsidRDefault="00F955E0" w:rsidP="00547B45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6C35D8">
              <w:rPr>
                <w:sz w:val="24"/>
                <w:lang w:val="uk-UA"/>
              </w:rPr>
              <w:t xml:space="preserve">Підписуючи форму заявки, всі </w:t>
            </w:r>
            <w:r w:rsidR="00F4050C" w:rsidRPr="006C35D8">
              <w:rPr>
                <w:sz w:val="24"/>
                <w:lang w:val="uk-UA"/>
              </w:rPr>
              <w:t>учасники тендеру</w:t>
            </w:r>
            <w:r w:rsidRPr="006C35D8">
              <w:rPr>
                <w:sz w:val="24"/>
                <w:lang w:val="uk-UA"/>
              </w:rPr>
              <w:t xml:space="preserve"> заявляють, під власну відповідальність, що вони не </w:t>
            </w:r>
            <w:r w:rsidR="00F5514C" w:rsidRPr="006C35D8">
              <w:rPr>
                <w:sz w:val="24"/>
                <w:lang w:val="uk-UA"/>
              </w:rPr>
              <w:t>перебувають</w:t>
            </w:r>
            <w:r w:rsidRPr="006C35D8">
              <w:rPr>
                <w:sz w:val="24"/>
                <w:lang w:val="uk-UA"/>
              </w:rPr>
              <w:t xml:space="preserve"> в якійсь із вищезгаданих ситуаці</w:t>
            </w:r>
            <w:r w:rsidR="00920C19" w:rsidRPr="006C35D8">
              <w:rPr>
                <w:sz w:val="24"/>
                <w:lang w:val="uk-UA"/>
              </w:rPr>
              <w:t>й</w:t>
            </w:r>
            <w:r w:rsidRPr="006C35D8">
              <w:rPr>
                <w:sz w:val="24"/>
                <w:lang w:val="uk-UA"/>
              </w:rPr>
              <w:t>. У зв’язку з цим Рада Європи залишає за собою право вимагати додаткові документи у обраних претендентів.</w:t>
            </w:r>
          </w:p>
        </w:tc>
      </w:tr>
      <w:tr w:rsidR="005301AE" w:rsidRPr="0003182E" w:rsidTr="00533E69">
        <w:tc>
          <w:tcPr>
            <w:tcW w:w="1851" w:type="dxa"/>
          </w:tcPr>
          <w:p w:rsidR="005301AE" w:rsidRPr="00901F96" w:rsidRDefault="009610F4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Вимоги до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Постачальників послуг</w:t>
            </w:r>
          </w:p>
        </w:tc>
        <w:tc>
          <w:tcPr>
            <w:tcW w:w="7896" w:type="dxa"/>
          </w:tcPr>
          <w:p w:rsidR="00ED3EB8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Учасники тендеру </w:t>
            </w:r>
            <w:r w:rsidR="00D369B1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повинні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D11263" w:rsidRPr="00901F96" w:rsidRDefault="00D11263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ED3EB8" w:rsidRPr="00D11263" w:rsidRDefault="005301AE" w:rsidP="006D0E8B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Мати підтверджений досві</w:t>
            </w:r>
            <w:r w:rsidR="009610F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д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 організації проведення </w:t>
            </w:r>
            <w:r w:rsidR="006D0E8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подібних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заходів та надання високоякісних послуг </w:t>
            </w:r>
            <w:r w:rsidR="006C5B8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="009610F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проведення</w:t>
            </w:r>
            <w:r w:rsidR="004A7E00" w:rsidRPr="004A7E0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C5B8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заходів</w:t>
            </w:r>
            <w:r w:rsidR="009610F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послуг логістичної підтримки</w:t>
            </w:r>
            <w:r w:rsidR="00B95DE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(не менше </w:t>
            </w:r>
            <w:r w:rsidR="0047667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ніж </w:t>
            </w:r>
            <w:r w:rsidR="00B95DE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1 р</w:t>
            </w:r>
            <w:r w:rsidR="0047667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</w:t>
            </w:r>
            <w:r w:rsidR="00B95DE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к)</w:t>
            </w:r>
            <w:r w:rsidR="006C5B89" w:rsidRPr="006C5B8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11263" w:rsidRPr="00D369B1" w:rsidRDefault="00D11263" w:rsidP="00D11263">
            <w:pPr>
              <w:ind w:left="360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ED3EB8" w:rsidRPr="00D11263" w:rsidRDefault="007B46A9" w:rsidP="00ED3EB8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DF6DB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Бути зареєстрованими</w:t>
            </w:r>
            <w:r w:rsidR="006C5B89" w:rsidRPr="00DF6DB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 якості юридичної особи (фізичні особи - підприємці не мають права брати участь у даному тендері)</w:t>
            </w:r>
            <w:r w:rsidR="001C04A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11263" w:rsidRPr="00D11263" w:rsidRDefault="00D11263" w:rsidP="005C7F69">
            <w:p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03182E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Критерії оцінки пропозицій від Постачальників послуг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96" w:type="dxa"/>
          </w:tcPr>
          <w:p w:rsidR="0075551A" w:rsidRDefault="001345D8" w:rsidP="004D51BD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адані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учасниками тендеру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пропозиції будуть оцін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ені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таки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ми 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критеріями:</w:t>
            </w:r>
          </w:p>
          <w:p w:rsidR="00E135B0" w:rsidRDefault="00E135B0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E135B0" w:rsidRPr="00E135B0" w:rsidRDefault="001345D8" w:rsidP="00E135B0">
            <w:pPr>
              <w:pStyle w:val="ListParagraph"/>
              <w:numPr>
                <w:ilvl w:val="0"/>
                <w:numId w:val="13"/>
              </w:numPr>
              <w:ind w:left="0" w:firstLine="245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Ціна </w:t>
            </w:r>
            <w:r w:rsidR="007D5EC0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запропонованих послуг</w:t>
            </w:r>
            <w:r w:rsidR="007D5EC0" w:rsidRPr="0045794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007D5EC0" w:rsidRPr="00B10F5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50%</w:t>
            </w:r>
          </w:p>
          <w:p w:rsidR="00E135B0" w:rsidRPr="00E135B0" w:rsidRDefault="00E135B0" w:rsidP="00E135B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7D5EC0" w:rsidRPr="00901F96" w:rsidRDefault="007D5EC0" w:rsidP="009A46C0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3F634E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Постачальники послуг мають надати </w:t>
            </w:r>
            <w:r w:rsidR="00A5030A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«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all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inclusive</w:t>
            </w:r>
            <w:r w:rsidR="00A5030A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»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пропозиції з цінами, 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що вже включають усі додаткові витрати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та прибуток компанії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(комісійні, будь-які 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податки</w:t>
            </w:r>
            <w:r w:rsidR="00744838"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 тощо</w:t>
            </w:r>
            <w:r w:rsidRPr="003F634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не мають бути вказані окремими рядками в пропозиціях).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7D5EC0" w:rsidRDefault="007D5EC0" w:rsidP="007D5EC0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 випадку, якщо Постачальник послуг є платником ПДВ, </w:t>
            </w:r>
            <w:r w:rsidR="005038C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="004D51BD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цінових пропозиціях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ПДВ має бути вказаний окремим рядком </w:t>
            </w:r>
            <w:r w:rsidR="00E9037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таким</w:t>
            </w:r>
            <w:r w:rsidR="00E9037C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чином:</w:t>
            </w:r>
          </w:p>
          <w:p w:rsidR="00744838" w:rsidRPr="00901F96" w:rsidRDefault="00744838" w:rsidP="007D5EC0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744838" w:rsidRPr="003F634E" w:rsidRDefault="00744838" w:rsidP="00744838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F634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Загальна ціна, включаючи ПДВ …XXX</w:t>
            </w:r>
          </w:p>
          <w:p w:rsidR="00744838" w:rsidRPr="003F634E" w:rsidRDefault="00744838" w:rsidP="00744838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3F634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ПДВ 20% ……………………………………….XXX</w:t>
            </w:r>
          </w:p>
          <w:p w:rsidR="007D5EC0" w:rsidRPr="00744838" w:rsidRDefault="007D5EC0" w:rsidP="00744838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3F634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Загальна ціна без ПДВ ………………..XXX</w:t>
            </w:r>
          </w:p>
          <w:p w:rsidR="0075551A" w:rsidRDefault="0075551A" w:rsidP="0075551A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5551A" w:rsidRDefault="009A46C0" w:rsidP="00E135B0">
            <w:pPr>
              <w:ind w:left="417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2.  Якість запропонованих послуг, включаючи </w:t>
            </w:r>
            <w:r w:rsid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приміщення та обладнання  для проведення заходів,  розташування місця проживання (неподалік від</w:t>
            </w:r>
            <w:r w:rsidR="00C21038" w:rsidRP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місця проведення або, якщо це неможливо, </w:t>
            </w:r>
            <w:r w:rsid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від</w:t>
            </w:r>
            <w:r w:rsidR="00C21038" w:rsidRP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центру міста з хорошим </w:t>
            </w:r>
            <w:r w:rsid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сполученням </w:t>
            </w:r>
            <w:r w:rsidR="00C21038" w:rsidRP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громадськ</w:t>
            </w:r>
            <w:r w:rsidR="00622B9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им</w:t>
            </w:r>
            <w:r w:rsidR="00C21038" w:rsidRP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транспорт</w:t>
            </w:r>
            <w:r w:rsidR="00622B92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ом</w:t>
            </w:r>
            <w:r w:rsid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до місця проведення тренінгів), умови проживання, </w:t>
            </w:r>
            <w:r w:rsidR="007D1C6E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практичні </w:t>
            </w:r>
            <w:r w:rsidR="00C21038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умови організації харчування та відповідні меню,</w:t>
            </w:r>
            <w:r w:rsidR="00C61E2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конференц</w:t>
            </w:r>
            <w:r w:rsidR="0098230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</w:t>
            </w:r>
            <w:r w:rsidR="00C61E2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послуги: </w:t>
            </w:r>
            <w:r w:rsidR="00C61E24" w:rsidRPr="00C61E2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35 %</w:t>
            </w:r>
          </w:p>
          <w:p w:rsidR="00C61E24" w:rsidRPr="0075551A" w:rsidRDefault="00C61E24" w:rsidP="0075551A">
            <w:pPr>
              <w:ind w:left="417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DF6DB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3</w:t>
            </w:r>
            <w:r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  <w:r w:rsidR="00B9629D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B64F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E5B41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Підтверджений</w:t>
            </w:r>
            <w:r w:rsidR="004E5B41" w:rsidRPr="00DB64F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E5B41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досвід</w:t>
            </w:r>
            <w:r w:rsidR="005C7F69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 наданні под</w:t>
            </w:r>
            <w:r w:rsidR="00D369B1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ібних послуг, а саме організації</w:t>
            </w:r>
            <w:r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заходів у відповідних </w:t>
            </w:r>
            <w:r w:rsidR="004E5B41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частинах </w:t>
            </w:r>
            <w:r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України</w:t>
            </w:r>
            <w:r w:rsidR="00EE7469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; ресурси для надання таких послуг (людські та інші)</w:t>
            </w:r>
            <w:r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:</w:t>
            </w:r>
            <w:r w:rsidR="00DF6DB4" w:rsidRPr="00DB64F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64F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  <w:r w:rsidRPr="00DF6DB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%</w:t>
            </w:r>
          </w:p>
          <w:p w:rsidR="006C5B89" w:rsidRPr="006C5B89" w:rsidRDefault="006C5B89" w:rsidP="00B9629D">
            <w:p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Тендер опубліковано</w:t>
            </w:r>
          </w:p>
        </w:tc>
        <w:tc>
          <w:tcPr>
            <w:tcW w:w="7896" w:type="dxa"/>
          </w:tcPr>
          <w:p w:rsidR="005301AE" w:rsidRPr="00B9629D" w:rsidRDefault="00DB64F9" w:rsidP="00B9629D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  <w:r w:rsidR="00690153" w:rsidRPr="005C7F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9629D" w:rsidRPr="005C7F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серпня</w:t>
            </w:r>
            <w:r w:rsidR="00943A64" w:rsidRPr="005C7F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01AE" w:rsidRPr="005C7F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2017 р.  </w:t>
            </w: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Результати буде повідомлено </w:t>
            </w:r>
          </w:p>
        </w:tc>
        <w:tc>
          <w:tcPr>
            <w:tcW w:w="7896" w:type="dxa"/>
          </w:tcPr>
          <w:p w:rsidR="005301AE" w:rsidRPr="00B9629D" w:rsidRDefault="005C7F69" w:rsidP="00B9629D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690153" w:rsidRPr="005C7F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вересня</w:t>
            </w:r>
            <w:r w:rsidR="005301AE" w:rsidRPr="005C7F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2017 р.   </w:t>
            </w:r>
          </w:p>
        </w:tc>
      </w:tr>
      <w:tr w:rsidR="005301AE" w:rsidRPr="006F0F43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Документи для подання для участі в тендері</w:t>
            </w:r>
          </w:p>
        </w:tc>
        <w:tc>
          <w:tcPr>
            <w:tcW w:w="7896" w:type="dxa"/>
          </w:tcPr>
          <w:p w:rsidR="005301AE" w:rsidRPr="00690153" w:rsidRDefault="005301AE" w:rsidP="005301AE">
            <w:pPr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>Усі пропозиції мають бути надіслані електронною поштою на</w:t>
            </w:r>
            <w:r w:rsidR="00F64FF4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 xml:space="preserve"> адресу</w:t>
            </w:r>
            <w:r w:rsidRPr="00901F96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901F96">
                <w:rPr>
                  <w:rFonts w:cs="Arial"/>
                  <w:color w:val="0000FF" w:themeColor="hyperlink"/>
                  <w:sz w:val="24"/>
                  <w:szCs w:val="24"/>
                  <w:u w:val="single"/>
                  <w:lang w:val="uk-UA"/>
                </w:rPr>
                <w:t>kyiv@coe.int</w:t>
              </w:r>
            </w:hyperlink>
            <w:r w:rsidRPr="00901F96">
              <w:rPr>
                <w:rFonts w:cs="Arial"/>
                <w:sz w:val="24"/>
                <w:szCs w:val="24"/>
                <w:lang w:val="uk-UA"/>
              </w:rPr>
              <w:t xml:space="preserve">; в темі листа </w:t>
            </w:r>
            <w:r w:rsidRPr="00690153">
              <w:rPr>
                <w:rFonts w:cs="Arial"/>
                <w:sz w:val="24"/>
                <w:szCs w:val="24"/>
                <w:lang w:val="uk-UA"/>
              </w:rPr>
              <w:t xml:space="preserve">обов’язково вказати </w:t>
            </w:r>
            <w:r w:rsidRPr="00816929">
              <w:rPr>
                <w:rFonts w:cs="Arial"/>
                <w:b/>
                <w:sz w:val="24"/>
                <w:szCs w:val="24"/>
                <w:lang w:val="uk-UA"/>
              </w:rPr>
              <w:t xml:space="preserve">TENDER </w:t>
            </w:r>
            <w:r w:rsidR="00B9629D" w:rsidRPr="00816929">
              <w:rPr>
                <w:rFonts w:cs="Arial"/>
                <w:b/>
                <w:sz w:val="24"/>
                <w:szCs w:val="24"/>
                <w:lang w:val="uk-UA"/>
              </w:rPr>
              <w:t>8423</w:t>
            </w:r>
            <w:r w:rsidR="00943A64" w:rsidRPr="00816929">
              <w:rPr>
                <w:rFonts w:cs="Arial"/>
                <w:b/>
                <w:sz w:val="24"/>
                <w:szCs w:val="24"/>
                <w:lang w:val="uk-UA"/>
              </w:rPr>
              <w:t>/2017/</w:t>
            </w:r>
            <w:r w:rsidR="005C7F69" w:rsidRPr="00816929">
              <w:rPr>
                <w:rFonts w:cs="Arial"/>
                <w:b/>
                <w:sz w:val="24"/>
                <w:szCs w:val="24"/>
                <w:lang w:val="ru-RU"/>
              </w:rPr>
              <w:t>01</w:t>
            </w:r>
            <w:r w:rsidR="00943A64" w:rsidRPr="00816929">
              <w:rPr>
                <w:rFonts w:cs="Arial"/>
                <w:b/>
                <w:sz w:val="24"/>
                <w:szCs w:val="24"/>
                <w:lang w:val="uk-UA"/>
              </w:rPr>
              <w:t xml:space="preserve"> </w:t>
            </w:r>
            <w:r w:rsidRPr="00816929">
              <w:rPr>
                <w:rFonts w:cs="Arial"/>
                <w:sz w:val="24"/>
                <w:szCs w:val="24"/>
                <w:lang w:val="uk-UA"/>
              </w:rPr>
              <w:t xml:space="preserve"> </w:t>
            </w:r>
            <w:r w:rsidRPr="00690153">
              <w:rPr>
                <w:rFonts w:cs="Arial"/>
                <w:sz w:val="24"/>
                <w:szCs w:val="24"/>
                <w:lang w:val="uk-UA"/>
              </w:rPr>
              <w:t>до</w:t>
            </w:r>
            <w:r w:rsidRPr="00690153">
              <w:rPr>
                <w:rFonts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="005C7F69" w:rsidRPr="005C7F69">
              <w:rPr>
                <w:rFonts w:cs="Arial"/>
                <w:b/>
                <w:sz w:val="24"/>
                <w:szCs w:val="24"/>
                <w:lang w:val="ru-RU"/>
              </w:rPr>
              <w:t>28</w:t>
            </w:r>
            <w:r w:rsidR="005C7F69" w:rsidRPr="005C7F69">
              <w:rPr>
                <w:rFonts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B9629D" w:rsidRPr="005C7F69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серпня</w:t>
            </w:r>
            <w:r w:rsidR="005C7F69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 2017 р. до </w:t>
            </w:r>
            <w:r w:rsidR="005C7F69" w:rsidRPr="005C7F69">
              <w:rPr>
                <w:rFonts w:cs="Arial"/>
                <w:b/>
                <w:color w:val="000000" w:themeColor="text1"/>
                <w:sz w:val="24"/>
                <w:szCs w:val="24"/>
                <w:lang w:val="ru-RU"/>
              </w:rPr>
              <w:t>12</w:t>
            </w:r>
            <w:r w:rsidR="005C7F69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5C7F69" w:rsidRPr="005C7F69">
              <w:rPr>
                <w:rFonts w:cs="Arial"/>
                <w:b/>
                <w:color w:val="000000" w:themeColor="text1"/>
                <w:sz w:val="24"/>
                <w:szCs w:val="24"/>
                <w:lang w:val="ru-RU"/>
              </w:rPr>
              <w:t>00</w:t>
            </w:r>
            <w:r w:rsidRPr="00690153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 за </w:t>
            </w:r>
            <w:r w:rsidR="001A47A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Pr="00690153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иївським часом. Цей строк є обов’язковим для дотримання усіма учасниками.</w:t>
            </w:r>
          </w:p>
          <w:p w:rsidR="005301AE" w:rsidRPr="00690153" w:rsidRDefault="005301AE" w:rsidP="005301AE">
            <w:pPr>
              <w:jc w:val="both"/>
              <w:rPr>
                <w:rFonts w:cs="Arial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1A47AB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</w:t>
            </w:r>
            <w:r w:rsidRPr="0069015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ож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9015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 учасник тендеру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має надіслати такі</w:t>
            </w:r>
            <w:r w:rsidR="005301AE" w:rsidRPr="0069015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документи: </w:t>
            </w:r>
          </w:p>
          <w:p w:rsidR="0075551A" w:rsidRPr="00690153" w:rsidRDefault="0075551A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3F634E" w:rsidRDefault="005301AE" w:rsidP="005301AE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APPENDIX I </w:t>
            </w:r>
            <w:proofErr w:type="spellStart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Tender</w:t>
            </w:r>
            <w:proofErr w:type="spellEnd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Application</w:t>
            </w:r>
            <w:proofErr w:type="spellEnd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Form</w:t>
            </w:r>
            <w:proofErr w:type="spellEnd"/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9629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8423</w:t>
            </w:r>
            <w:r w:rsidR="00943A64"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/201</w:t>
            </w:r>
            <w:r w:rsidR="00B9629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7</w:t>
            </w:r>
            <w:r w:rsidR="00943A64"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/</w:t>
            </w:r>
            <w:r w:rsidR="005C7F69" w:rsidRPr="005C7F69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01</w:t>
            </w:r>
            <w:r w:rsidR="005F4B91"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(форма</w:t>
            </w:r>
            <w:r w:rsidR="003B3E79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заяв</w:t>
            </w:r>
            <w:r w:rsidR="00547B45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к</w:t>
            </w:r>
            <w:r w:rsidR="003B3E79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и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, яка має бути повністю запов</w:t>
            </w:r>
            <w:r w:rsidR="005174B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н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ена</w:t>
            </w:r>
            <w:r w:rsidR="0012761A" w:rsidRPr="0012761A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F0172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та підписана</w:t>
            </w:r>
            <w:r w:rsidR="000F449A" w:rsidRPr="003F634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, в форматі </w:t>
            </w:r>
            <w:r w:rsidR="000F449A" w:rsidRPr="003F634E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PDF</w:t>
            </w:r>
            <w:r w:rsidRPr="003F634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); </w:t>
            </w:r>
          </w:p>
          <w:p w:rsidR="00ED3EB8" w:rsidRDefault="00ED3EB8" w:rsidP="00ED3EB8">
            <w:pPr>
              <w:ind w:left="720"/>
              <w:contextualSpacing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ED3EB8" w:rsidRPr="00690153" w:rsidRDefault="00ED3EB8" w:rsidP="00ED3EB8">
            <w:pPr>
              <w:ind w:left="720"/>
              <w:contextualSpacing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5301AE" w:rsidP="00690153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APPENDIX II </w:t>
            </w:r>
            <w:proofErr w:type="spellStart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Provisional</w:t>
            </w:r>
            <w:proofErr w:type="spellEnd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budget</w:t>
            </w:r>
            <w:proofErr w:type="spellEnd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153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template</w:t>
            </w:r>
            <w:proofErr w:type="spellEnd"/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(Комерційна пропозиція).</w:t>
            </w:r>
            <w:r w:rsidR="006A1D82" w:rsidRPr="006F0F4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D82" w:rsidRPr="00762F2E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Одна таблиця для кожного місця проведення тренінгу</w:t>
            </w:r>
            <w:r w:rsidR="006F0F4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, заповнена </w:t>
            </w:r>
            <w:r w:rsidR="00E135B0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за всіма необхідними послугами </w:t>
            </w:r>
            <w:r w:rsidR="006F0F4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у відповідності до потреб кожної з локацій, що зазначені в таблиці вище.</w:t>
            </w:r>
            <w:r w:rsidR="006A1D82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Комерційна пропозиція має бути надана в двох форматах: в PDF </w:t>
            </w:r>
            <w:r w:rsidRPr="00B9629D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в форматі </w:t>
            </w:r>
            <w:proofErr w:type="spellStart"/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ел</w:t>
            </w:r>
            <w:proofErr w:type="spellEnd"/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. таблички Excel. Кожен документ, що подається в форматі PDF 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має бути на фірмовому бланку учасника тендеру, містити підпис, печатку, дату подання та ім’я та прізвище відповідальної особи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. Наданий розрахунок має ві</w:t>
            </w:r>
            <w:r w:rsidR="00D222B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дображати вартість послуг в є</w:t>
            </w:r>
            <w:r w:rsidR="00E135B0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вро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та гривнях з розрахунку курсу обміну валют Ради Європи, а саме:  1</w:t>
            </w:r>
            <w:r w:rsidR="00D76037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35B0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Євро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= </w:t>
            </w:r>
            <w:r w:rsidR="00D222B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30,59</w:t>
            </w:r>
            <w:r w:rsidR="00690153"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9629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Грн станом на </w:t>
            </w:r>
            <w:r w:rsidR="00D222B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10</w:t>
            </w:r>
            <w:r w:rsidR="00B9629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9629D" w:rsidRPr="00D222B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серпня</w:t>
            </w:r>
            <w:r w:rsidR="00690153"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2017 р.</w:t>
            </w:r>
            <w:r w:rsidR="006F0F43" w:rsidRPr="0069015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Комерційна пропозиція в форматі Excel</w:t>
            </w:r>
            <w:r w:rsidR="006F0F43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повинна містити розрахунки у відповідності до заданих формул.</w:t>
            </w:r>
          </w:p>
          <w:p w:rsidR="00B9629D" w:rsidRDefault="00B9629D" w:rsidP="00B9629D">
            <w:pPr>
              <w:ind w:left="720"/>
              <w:contextualSpacing/>
              <w:jc w:val="both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B9629D" w:rsidRPr="00690153" w:rsidRDefault="00B9629D" w:rsidP="00B9629D">
            <w:pPr>
              <w:ind w:left="720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75551A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Прохання не видаляти та не додавати жодних</w:t>
            </w:r>
            <w:r w:rsidR="00A34D4D" w:rsidRPr="0075551A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ліній бюджету в таблиці. Якщо ви хочете додати будь-яку послугу, яка не була включена до таблиці бюджету, попередньо проконсультуйтеся.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Default="005301AE" w:rsidP="003A349D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Якщо у Вас виникнуть будь-які питання, будь ласка, звертайтеся </w:t>
            </w:r>
            <w:r w:rsidR="00943A64" w:rsidRP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до асистент</w:t>
            </w:r>
            <w:r w:rsidR="006A1D82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ки</w:t>
            </w:r>
            <w:r w:rsidR="001C618E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43A64" w:rsidRP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проекту, </w:t>
            </w:r>
            <w:r w:rsid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Чечет</w:t>
            </w:r>
            <w:proofErr w:type="spellEnd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Вікторії за </w:t>
            </w:r>
            <w:proofErr w:type="spellStart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943A64" w:rsidRP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+38 044 425 02</w:t>
            </w:r>
            <w:r w:rsidR="00C62057" w:rsidRPr="00F44EA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62</w:t>
            </w:r>
            <w:r w:rsidR="00C62057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внут</w:t>
            </w:r>
            <w:proofErr w:type="spellEnd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117)</w:t>
            </w:r>
            <w:r w:rsidR="00C62057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="00ED3EB8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за </w:t>
            </w:r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електронною </w:t>
            </w:r>
            <w:proofErr w:type="spellStart"/>
            <w:r w:rsidR="00A34D4D" w:rsidRPr="0069779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="00A34D4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697791" w:rsidRPr="007F4A70">
                <w:rPr>
                  <w:rStyle w:val="Hyperlink"/>
                  <w:rFonts w:ascii="Calibri" w:hAnsi="Calibri" w:cs="Calibri"/>
                  <w:i/>
                  <w:sz w:val="24"/>
                  <w:szCs w:val="24"/>
                </w:rPr>
                <w:t>Viktoriia</w:t>
              </w:r>
              <w:r w:rsidR="00697791" w:rsidRPr="007F4A70">
                <w:rPr>
                  <w:rStyle w:val="Hyperlink"/>
                  <w:rFonts w:ascii="Calibri" w:hAnsi="Calibri" w:cs="Calibri"/>
                  <w:i/>
                  <w:sz w:val="24"/>
                  <w:szCs w:val="24"/>
                  <w:lang w:val="ru-RU"/>
                </w:rPr>
                <w:t>.</w:t>
              </w:r>
              <w:r w:rsidR="00697791" w:rsidRPr="007F4A70">
                <w:rPr>
                  <w:rStyle w:val="Hyperlink"/>
                  <w:rFonts w:ascii="Calibri" w:hAnsi="Calibri" w:cs="Calibri"/>
                  <w:i/>
                  <w:sz w:val="24"/>
                  <w:szCs w:val="24"/>
                </w:rPr>
                <w:t>chechet</w:t>
              </w:r>
              <w:r w:rsidR="00697791" w:rsidRPr="007F4A70">
                <w:rPr>
                  <w:rStyle w:val="Hyperlink"/>
                  <w:rFonts w:ascii="Calibri" w:hAnsi="Calibri" w:cs="Calibri"/>
                  <w:i/>
                  <w:sz w:val="24"/>
                  <w:szCs w:val="24"/>
                  <w:lang w:val="ru-RU"/>
                </w:rPr>
                <w:t>@</w:t>
              </w:r>
              <w:r w:rsidR="00697791" w:rsidRPr="007F4A70">
                <w:rPr>
                  <w:rStyle w:val="Hyperlink"/>
                  <w:rFonts w:ascii="Calibri" w:hAnsi="Calibri" w:cs="Calibri"/>
                  <w:i/>
                  <w:sz w:val="24"/>
                  <w:szCs w:val="24"/>
                  <w:lang w:val="uk-UA"/>
                </w:rPr>
                <w:t>coe.int</w:t>
              </w:r>
            </w:hyperlink>
            <w:r w:rsidR="00697791" w:rsidRPr="006A1D82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62057" w:rsidRPr="00C62057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2761A" w:rsidRPr="0012761A" w:rsidRDefault="0012761A" w:rsidP="003A349D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301AE" w:rsidRPr="00A34D4D" w:rsidRDefault="005301AE" w:rsidP="005301AE">
      <w:pPr>
        <w:ind w:firstLine="720"/>
        <w:rPr>
          <w:lang w:val="ru-RU"/>
        </w:rPr>
      </w:pPr>
    </w:p>
    <w:sectPr w:rsidR="005301AE" w:rsidRPr="00A34D4D" w:rsidSect="000E525F">
      <w:footerReference w:type="default" r:id="rId12"/>
      <w:footerReference w:type="first" r:id="rId13"/>
      <w:pgSz w:w="12240" w:h="15840"/>
      <w:pgMar w:top="1135" w:right="1892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4D" w:rsidRDefault="00392C4D" w:rsidP="00C23B34">
      <w:pPr>
        <w:spacing w:after="0" w:line="240" w:lineRule="auto"/>
      </w:pPr>
      <w:r>
        <w:separator/>
      </w:r>
    </w:p>
  </w:endnote>
  <w:endnote w:type="continuationSeparator" w:id="0">
    <w:p w:rsidR="00392C4D" w:rsidRDefault="00392C4D" w:rsidP="00C2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25F" w:rsidRDefault="000E5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525F" w:rsidRDefault="000E5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04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39D" w:rsidRDefault="001A7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39D" w:rsidRDefault="001A7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4D" w:rsidRDefault="00392C4D" w:rsidP="00C23B34">
      <w:pPr>
        <w:spacing w:after="0" w:line="240" w:lineRule="auto"/>
      </w:pPr>
      <w:r>
        <w:separator/>
      </w:r>
    </w:p>
  </w:footnote>
  <w:footnote w:type="continuationSeparator" w:id="0">
    <w:p w:rsidR="00392C4D" w:rsidRDefault="00392C4D" w:rsidP="00C2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25A"/>
    <w:multiLevelType w:val="hybridMultilevel"/>
    <w:tmpl w:val="89B0C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278"/>
    <w:multiLevelType w:val="hybridMultilevel"/>
    <w:tmpl w:val="7818D4E6"/>
    <w:lvl w:ilvl="0" w:tplc="FFDC28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4BA"/>
    <w:multiLevelType w:val="hybridMultilevel"/>
    <w:tmpl w:val="070CB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A3C10"/>
    <w:multiLevelType w:val="hybridMultilevel"/>
    <w:tmpl w:val="C6D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3FE2"/>
    <w:multiLevelType w:val="hybridMultilevel"/>
    <w:tmpl w:val="2F9E4338"/>
    <w:lvl w:ilvl="0" w:tplc="4560E8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5FF9"/>
    <w:multiLevelType w:val="hybridMultilevel"/>
    <w:tmpl w:val="931AC1D4"/>
    <w:lvl w:ilvl="0" w:tplc="9412E7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0F20"/>
    <w:multiLevelType w:val="hybridMultilevel"/>
    <w:tmpl w:val="9AD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1064F"/>
    <w:multiLevelType w:val="hybridMultilevel"/>
    <w:tmpl w:val="141E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1509"/>
    <w:multiLevelType w:val="hybridMultilevel"/>
    <w:tmpl w:val="7A7EC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5358B"/>
    <w:multiLevelType w:val="hybridMultilevel"/>
    <w:tmpl w:val="888A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34"/>
    <w:rsid w:val="0003182E"/>
    <w:rsid w:val="00041E9C"/>
    <w:rsid w:val="000441C9"/>
    <w:rsid w:val="0007336A"/>
    <w:rsid w:val="000743AE"/>
    <w:rsid w:val="000806C6"/>
    <w:rsid w:val="00081CB8"/>
    <w:rsid w:val="000C3C2B"/>
    <w:rsid w:val="000E525F"/>
    <w:rsid w:val="000F449A"/>
    <w:rsid w:val="000F6285"/>
    <w:rsid w:val="000F7B37"/>
    <w:rsid w:val="001226B0"/>
    <w:rsid w:val="0012761A"/>
    <w:rsid w:val="001345D8"/>
    <w:rsid w:val="00151328"/>
    <w:rsid w:val="001605C2"/>
    <w:rsid w:val="00164045"/>
    <w:rsid w:val="001726B4"/>
    <w:rsid w:val="001A3B47"/>
    <w:rsid w:val="001A47AB"/>
    <w:rsid w:val="001A739D"/>
    <w:rsid w:val="001C044F"/>
    <w:rsid w:val="001C04A9"/>
    <w:rsid w:val="001C21C0"/>
    <w:rsid w:val="001C618E"/>
    <w:rsid w:val="001E5FD0"/>
    <w:rsid w:val="001E6583"/>
    <w:rsid w:val="00230D37"/>
    <w:rsid w:val="0026429A"/>
    <w:rsid w:val="00277BC2"/>
    <w:rsid w:val="00284C45"/>
    <w:rsid w:val="00285E37"/>
    <w:rsid w:val="0029090A"/>
    <w:rsid w:val="002A531E"/>
    <w:rsid w:val="002B5B3F"/>
    <w:rsid w:val="002F25C9"/>
    <w:rsid w:val="00310E36"/>
    <w:rsid w:val="0032004A"/>
    <w:rsid w:val="00321BFF"/>
    <w:rsid w:val="0035575D"/>
    <w:rsid w:val="0035750E"/>
    <w:rsid w:val="00367719"/>
    <w:rsid w:val="00392C4D"/>
    <w:rsid w:val="003943C3"/>
    <w:rsid w:val="003A03A8"/>
    <w:rsid w:val="003A349D"/>
    <w:rsid w:val="003A5E75"/>
    <w:rsid w:val="003B3E79"/>
    <w:rsid w:val="003C2CF2"/>
    <w:rsid w:val="003D3FB4"/>
    <w:rsid w:val="003F0172"/>
    <w:rsid w:val="003F40C5"/>
    <w:rsid w:val="003F634E"/>
    <w:rsid w:val="003F7748"/>
    <w:rsid w:val="004228CE"/>
    <w:rsid w:val="00476672"/>
    <w:rsid w:val="004779BB"/>
    <w:rsid w:val="00480FB2"/>
    <w:rsid w:val="00493F44"/>
    <w:rsid w:val="004A2F31"/>
    <w:rsid w:val="004A7E00"/>
    <w:rsid w:val="004B00BE"/>
    <w:rsid w:val="004C6965"/>
    <w:rsid w:val="004D51BD"/>
    <w:rsid w:val="004E5B41"/>
    <w:rsid w:val="0050167E"/>
    <w:rsid w:val="005038CC"/>
    <w:rsid w:val="00512FEA"/>
    <w:rsid w:val="005174BE"/>
    <w:rsid w:val="00524AE4"/>
    <w:rsid w:val="005301AE"/>
    <w:rsid w:val="00532354"/>
    <w:rsid w:val="00533E69"/>
    <w:rsid w:val="00547B45"/>
    <w:rsid w:val="00562FC3"/>
    <w:rsid w:val="00563078"/>
    <w:rsid w:val="00565517"/>
    <w:rsid w:val="00585769"/>
    <w:rsid w:val="00592916"/>
    <w:rsid w:val="005A4805"/>
    <w:rsid w:val="005C7F69"/>
    <w:rsid w:val="005D2F79"/>
    <w:rsid w:val="005D34D5"/>
    <w:rsid w:val="005F4B91"/>
    <w:rsid w:val="00612052"/>
    <w:rsid w:val="006226A4"/>
    <w:rsid w:val="00622B92"/>
    <w:rsid w:val="00630EE6"/>
    <w:rsid w:val="00643B10"/>
    <w:rsid w:val="00644DDB"/>
    <w:rsid w:val="006515A5"/>
    <w:rsid w:val="0066294B"/>
    <w:rsid w:val="00674FF2"/>
    <w:rsid w:val="00690153"/>
    <w:rsid w:val="006927CE"/>
    <w:rsid w:val="00697791"/>
    <w:rsid w:val="006A1D82"/>
    <w:rsid w:val="006A4ADB"/>
    <w:rsid w:val="006B12E7"/>
    <w:rsid w:val="006B3193"/>
    <w:rsid w:val="006B59C2"/>
    <w:rsid w:val="006C35D8"/>
    <w:rsid w:val="006C5B89"/>
    <w:rsid w:val="006D0E8B"/>
    <w:rsid w:val="006E67F5"/>
    <w:rsid w:val="006F0F43"/>
    <w:rsid w:val="00714C83"/>
    <w:rsid w:val="00735F3E"/>
    <w:rsid w:val="00744838"/>
    <w:rsid w:val="0075551A"/>
    <w:rsid w:val="00755740"/>
    <w:rsid w:val="00762F2E"/>
    <w:rsid w:val="00763192"/>
    <w:rsid w:val="00776529"/>
    <w:rsid w:val="007B46A9"/>
    <w:rsid w:val="007C5556"/>
    <w:rsid w:val="007D1C6E"/>
    <w:rsid w:val="007D5EC0"/>
    <w:rsid w:val="007F7E2F"/>
    <w:rsid w:val="00813E6E"/>
    <w:rsid w:val="00816929"/>
    <w:rsid w:val="00834933"/>
    <w:rsid w:val="0088779B"/>
    <w:rsid w:val="008B1896"/>
    <w:rsid w:val="008E52D8"/>
    <w:rsid w:val="008F7386"/>
    <w:rsid w:val="00901F96"/>
    <w:rsid w:val="00902AB1"/>
    <w:rsid w:val="00920C19"/>
    <w:rsid w:val="00931820"/>
    <w:rsid w:val="00934CA7"/>
    <w:rsid w:val="00943A64"/>
    <w:rsid w:val="009610F4"/>
    <w:rsid w:val="00973194"/>
    <w:rsid w:val="00982304"/>
    <w:rsid w:val="009A12AE"/>
    <w:rsid w:val="009A2308"/>
    <w:rsid w:val="009A46C0"/>
    <w:rsid w:val="009F69F8"/>
    <w:rsid w:val="009F6EAB"/>
    <w:rsid w:val="009F7306"/>
    <w:rsid w:val="00A108B4"/>
    <w:rsid w:val="00A17EC2"/>
    <w:rsid w:val="00A26469"/>
    <w:rsid w:val="00A34D4D"/>
    <w:rsid w:val="00A5030A"/>
    <w:rsid w:val="00A54CCE"/>
    <w:rsid w:val="00A75855"/>
    <w:rsid w:val="00A8171C"/>
    <w:rsid w:val="00A90DD7"/>
    <w:rsid w:val="00AE1961"/>
    <w:rsid w:val="00AF662D"/>
    <w:rsid w:val="00B05D27"/>
    <w:rsid w:val="00B149AD"/>
    <w:rsid w:val="00B45C64"/>
    <w:rsid w:val="00B95DE5"/>
    <w:rsid w:val="00B9629D"/>
    <w:rsid w:val="00BA7855"/>
    <w:rsid w:val="00BB0402"/>
    <w:rsid w:val="00BB1E7A"/>
    <w:rsid w:val="00C21038"/>
    <w:rsid w:val="00C212DD"/>
    <w:rsid w:val="00C23B34"/>
    <w:rsid w:val="00C50A4E"/>
    <w:rsid w:val="00C61E24"/>
    <w:rsid w:val="00C62057"/>
    <w:rsid w:val="00C9094A"/>
    <w:rsid w:val="00CB45A7"/>
    <w:rsid w:val="00CC3572"/>
    <w:rsid w:val="00CF0591"/>
    <w:rsid w:val="00D11263"/>
    <w:rsid w:val="00D222B4"/>
    <w:rsid w:val="00D252F2"/>
    <w:rsid w:val="00D26113"/>
    <w:rsid w:val="00D34219"/>
    <w:rsid w:val="00D369B1"/>
    <w:rsid w:val="00D47294"/>
    <w:rsid w:val="00D52012"/>
    <w:rsid w:val="00D76037"/>
    <w:rsid w:val="00DB64F9"/>
    <w:rsid w:val="00DC0F57"/>
    <w:rsid w:val="00DC33A5"/>
    <w:rsid w:val="00DD1A6B"/>
    <w:rsid w:val="00DD1C49"/>
    <w:rsid w:val="00DE626B"/>
    <w:rsid w:val="00DF6DB4"/>
    <w:rsid w:val="00E1226A"/>
    <w:rsid w:val="00E135B0"/>
    <w:rsid w:val="00E32432"/>
    <w:rsid w:val="00E53326"/>
    <w:rsid w:val="00E53556"/>
    <w:rsid w:val="00E66E34"/>
    <w:rsid w:val="00E80C6F"/>
    <w:rsid w:val="00E8617B"/>
    <w:rsid w:val="00E9037C"/>
    <w:rsid w:val="00E9096B"/>
    <w:rsid w:val="00EB5C3B"/>
    <w:rsid w:val="00ED3EB8"/>
    <w:rsid w:val="00ED578B"/>
    <w:rsid w:val="00EE7469"/>
    <w:rsid w:val="00F04AE2"/>
    <w:rsid w:val="00F0687B"/>
    <w:rsid w:val="00F20EAC"/>
    <w:rsid w:val="00F365D5"/>
    <w:rsid w:val="00F4050C"/>
    <w:rsid w:val="00F44EA4"/>
    <w:rsid w:val="00F5514C"/>
    <w:rsid w:val="00F639C6"/>
    <w:rsid w:val="00F64FF4"/>
    <w:rsid w:val="00F67452"/>
    <w:rsid w:val="00F72E42"/>
    <w:rsid w:val="00F814C3"/>
    <w:rsid w:val="00F86692"/>
    <w:rsid w:val="00F955E0"/>
    <w:rsid w:val="00F95E7F"/>
    <w:rsid w:val="00FC21D8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34"/>
  </w:style>
  <w:style w:type="paragraph" w:styleId="Footer">
    <w:name w:val="footer"/>
    <w:basedOn w:val="Normal"/>
    <w:link w:val="FooterChar"/>
    <w:uiPriority w:val="99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34"/>
  </w:style>
  <w:style w:type="character" w:customStyle="1" w:styleId="Heading1Char">
    <w:name w:val="Heading 1 Char"/>
    <w:basedOn w:val="DefaultParagraphFont"/>
    <w:link w:val="Heading1"/>
    <w:uiPriority w:val="9"/>
    <w:rsid w:val="00C2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7336A"/>
    <w:rPr>
      <w:rFonts w:eastAsiaTheme="minorEastAsia"/>
      <w:lang w:eastAsia="ja-JP"/>
    </w:rPr>
  </w:style>
  <w:style w:type="character" w:styleId="Hyperlink">
    <w:name w:val="Hyperlink"/>
    <w:rsid w:val="0007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294"/>
    <w:pPr>
      <w:ind w:left="720"/>
      <w:contextualSpacing/>
    </w:pPr>
  </w:style>
  <w:style w:type="table" w:styleId="TableGrid">
    <w:name w:val="Table Grid"/>
    <w:basedOn w:val="TableNormal"/>
    <w:uiPriority w:val="59"/>
    <w:rsid w:val="0053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43B10"/>
    <w:pPr>
      <w:spacing w:after="0" w:line="240" w:lineRule="auto"/>
    </w:pPr>
    <w:rPr>
      <w:rFonts w:ascii="Calibri" w:hAnsi="Calibri" w:cs="Times New Roman"/>
      <w:lang w:val="uk-UA" w:eastAsia="uk-UA"/>
    </w:rPr>
  </w:style>
  <w:style w:type="table" w:customStyle="1" w:styleId="TableGrid1">
    <w:name w:val="Table Grid1"/>
    <w:basedOn w:val="TableNormal"/>
    <w:next w:val="TableGrid"/>
    <w:rsid w:val="006977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9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91"/>
    <w:rPr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77652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20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20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34"/>
  </w:style>
  <w:style w:type="paragraph" w:styleId="Footer">
    <w:name w:val="footer"/>
    <w:basedOn w:val="Normal"/>
    <w:link w:val="FooterChar"/>
    <w:uiPriority w:val="99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34"/>
  </w:style>
  <w:style w:type="character" w:customStyle="1" w:styleId="Heading1Char">
    <w:name w:val="Heading 1 Char"/>
    <w:basedOn w:val="DefaultParagraphFont"/>
    <w:link w:val="Heading1"/>
    <w:uiPriority w:val="9"/>
    <w:rsid w:val="00C2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7336A"/>
    <w:rPr>
      <w:rFonts w:eastAsiaTheme="minorEastAsia"/>
      <w:lang w:eastAsia="ja-JP"/>
    </w:rPr>
  </w:style>
  <w:style w:type="character" w:styleId="Hyperlink">
    <w:name w:val="Hyperlink"/>
    <w:rsid w:val="0007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294"/>
    <w:pPr>
      <w:ind w:left="720"/>
      <w:contextualSpacing/>
    </w:pPr>
  </w:style>
  <w:style w:type="table" w:styleId="TableGrid">
    <w:name w:val="Table Grid"/>
    <w:basedOn w:val="TableNormal"/>
    <w:uiPriority w:val="59"/>
    <w:rsid w:val="0053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43B10"/>
    <w:pPr>
      <w:spacing w:after="0" w:line="240" w:lineRule="auto"/>
    </w:pPr>
    <w:rPr>
      <w:rFonts w:ascii="Calibri" w:hAnsi="Calibri" w:cs="Times New Roman"/>
      <w:lang w:val="uk-UA" w:eastAsia="uk-UA"/>
    </w:rPr>
  </w:style>
  <w:style w:type="table" w:customStyle="1" w:styleId="TableGrid1">
    <w:name w:val="Table Grid1"/>
    <w:basedOn w:val="TableNormal"/>
    <w:next w:val="TableGrid"/>
    <w:rsid w:val="006977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9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91"/>
    <w:rPr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77652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20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2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iia.chechet@coe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yiv@coe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46BF-E283-434B-8808-85EA8AAA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ОФІС РАДИ ЄВРОПИ В УКРАЇНІ                                                              ПРОЕКТ «ПОСИЛЕННЯ ЗАХИСТУ ПРАВ ЛЮДИНИ                     ВНУТРІШНЬО ПЕРЕМЕНИХ ОСІБ В УКРАЇНІ»</vt:lpstr>
    </vt:vector>
  </TitlesOfParts>
  <Company>Council of Europe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ОФІС РАДИ ЄВРОПИ В УКРАЇНІ                                                              ПРОЕКТ «ПОСИЛЕННЯ ЗАХИСТУ ПРАВ ЛЮДИНИ                     ВНУТРІШНЬО ПЕРЕМЕНИХ ОСІБ В УКРАЇНІ»</dc:title>
  <dc:creator>SVAVOLYA Iryna</dc:creator>
  <cp:lastModifiedBy>CHECHET Viktoriia</cp:lastModifiedBy>
  <cp:revision>47</cp:revision>
  <cp:lastPrinted>2017-08-14T07:58:00Z</cp:lastPrinted>
  <dcterms:created xsi:type="dcterms:W3CDTF">2017-08-11T13:48:00Z</dcterms:created>
  <dcterms:modified xsi:type="dcterms:W3CDTF">2017-08-14T13:13:00Z</dcterms:modified>
</cp:coreProperties>
</file>