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40F43" w:rsidRPr="00F7129C" w:rsidTr="00B40F43">
        <w:tc>
          <w:tcPr>
            <w:tcW w:w="2235" w:type="dxa"/>
          </w:tcPr>
          <w:p w:rsidR="00B40F43" w:rsidRPr="003E765E" w:rsidRDefault="00B40F43" w:rsidP="00B40F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5E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29CF2580" wp14:editId="0ADE5E98">
                  <wp:extent cx="882650" cy="704850"/>
                  <wp:effectExtent l="0" t="0" r="0" b="0"/>
                  <wp:docPr id="1" name="Picture 1" descr="https://encrypted-tbn3.gstatic.com/images?q=tbn:ANd9GcSwaqi3C4tH63VXaCAPak4J4_LuKtbhXeYabrWtk_psBb1UIv3V2zLOF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waqi3C4tH63VXaCAPak4J4_LuKtbhXeYabrWtk_psBb1UIv3V2zLOF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B40F43" w:rsidRPr="003E765E" w:rsidRDefault="00B40F43" w:rsidP="00B40F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43" w:rsidRPr="00F7129C" w:rsidRDefault="00F7129C" w:rsidP="00F7129C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Strengthening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establishing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broadcasting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r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bookmarkEnd w:id="0"/>
          </w:p>
        </w:tc>
      </w:tr>
    </w:tbl>
    <w:p w:rsidR="00C06495" w:rsidRPr="00630C6A" w:rsidRDefault="00F7129C" w:rsidP="0097644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Competitive selection of the service provider </w:t>
      </w:r>
      <w:r w:rsidR="00630C6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tender</w:t>
      </w:r>
      <w:r w:rsidR="00630C6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767"/>
      </w:tblGrid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F7129C" w:rsidRDefault="00F7129C" w:rsidP="001D2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the Project</w:t>
            </w:r>
          </w:p>
        </w:tc>
        <w:tc>
          <w:tcPr>
            <w:tcW w:w="7767" w:type="dxa"/>
            <w:shd w:val="clear" w:color="auto" w:fill="auto"/>
          </w:tcPr>
          <w:p w:rsidR="00BE2930" w:rsidRPr="00F7129C" w:rsidRDefault="00F7129C" w:rsidP="00BE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Council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Europe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Project “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Strengthening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freedom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media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and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establishing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a Public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broadcasting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system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in</w:t>
            </w:r>
            <w:proofErr w:type="spellEnd"/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Ukraine”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implemented within Council of Europe Action plan for Ukraine 2015-2017 (hereinafter – the “Project”)</w:t>
            </w:r>
          </w:p>
        </w:tc>
      </w:tr>
      <w:tr w:rsidR="00B40F43" w:rsidRPr="00F7129C" w:rsidTr="000E5E15">
        <w:tc>
          <w:tcPr>
            <w:tcW w:w="2978" w:type="dxa"/>
            <w:shd w:val="clear" w:color="auto" w:fill="auto"/>
          </w:tcPr>
          <w:p w:rsidR="00B40F43" w:rsidRPr="00F7129C" w:rsidRDefault="00F7129C" w:rsidP="00FF2A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activity</w:t>
            </w:r>
          </w:p>
        </w:tc>
        <w:tc>
          <w:tcPr>
            <w:tcW w:w="7767" w:type="dxa"/>
            <w:shd w:val="clear" w:color="auto" w:fill="auto"/>
          </w:tcPr>
          <w:p w:rsidR="00BE2930" w:rsidRPr="00010596" w:rsidRDefault="00F7129C" w:rsidP="00F71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Sociological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survey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broadcaster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hereinafter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“Survey”</w:t>
            </w:r>
            <w:r w:rsidRPr="00F71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). </w:t>
            </w:r>
          </w:p>
        </w:tc>
      </w:tr>
      <w:tr w:rsidR="00B40F43" w:rsidRPr="00F7129C" w:rsidTr="000E5E15">
        <w:tc>
          <w:tcPr>
            <w:tcW w:w="2978" w:type="dxa"/>
            <w:shd w:val="clear" w:color="auto" w:fill="auto"/>
          </w:tcPr>
          <w:p w:rsidR="00B40F43" w:rsidRPr="00F7129C" w:rsidRDefault="00F7129C" w:rsidP="001D2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Responsible administrator</w:t>
            </w:r>
          </w:p>
        </w:tc>
        <w:tc>
          <w:tcPr>
            <w:tcW w:w="7767" w:type="dxa"/>
            <w:shd w:val="clear" w:color="auto" w:fill="auto"/>
          </w:tcPr>
          <w:p w:rsidR="00B40F43" w:rsidRPr="00F7129C" w:rsidRDefault="00F7129C" w:rsidP="00F7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Tetiana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Shamrai</w:t>
            </w:r>
            <w:proofErr w:type="spellEnd"/>
            <w:r w:rsidR="00B40F43" w:rsidRPr="00F712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 officer</w:t>
            </w:r>
          </w:p>
        </w:tc>
      </w:tr>
      <w:tr w:rsidR="00FF2AC1" w:rsidRPr="00866DCC" w:rsidTr="000E5E15">
        <w:tc>
          <w:tcPr>
            <w:tcW w:w="2978" w:type="dxa"/>
            <w:shd w:val="clear" w:color="auto" w:fill="auto"/>
          </w:tcPr>
          <w:p w:rsidR="00FF2AC1" w:rsidRPr="006E77F0" w:rsidRDefault="006E77F0" w:rsidP="0046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 information on the reform of the Public broadcasting in Ukraine</w:t>
            </w:r>
          </w:p>
        </w:tc>
        <w:tc>
          <w:tcPr>
            <w:tcW w:w="7767" w:type="dxa"/>
            <w:shd w:val="clear" w:color="auto" w:fill="auto"/>
          </w:tcPr>
          <w:p w:rsidR="006E77F0" w:rsidRPr="00AC492D" w:rsidRDefault="006E77F0" w:rsidP="006677FF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January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2017, the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first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stage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Public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Broadcasting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reform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resulted in the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registration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Public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Joint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Stock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National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Public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Television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and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Radio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Ukraine"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UA:PBC</w:t>
            </w:r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which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Ukraine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been approaching </w:t>
            </w:r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for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three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years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from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adoption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Law of Ukraine "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Public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Television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and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Radio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Broadcasting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Ukraine"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April</w:t>
            </w:r>
            <w:proofErr w:type="spellEnd"/>
            <w:r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2014.</w:t>
            </w:r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During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first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stage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reform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a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large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package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</w:t>
            </w:r>
            <w:r w:rsidR="00D012A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amendments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this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law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was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adopted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well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changes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state-owned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Ukrtelefilm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2016. </w:t>
            </w:r>
            <w:r w:rsidR="00D012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Start"/>
            <w:r w:rsidR="00D0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ore</w:t>
            </w:r>
            <w:proofErr w:type="spellEnd"/>
            <w:r w:rsidR="00D0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than</w:t>
            </w:r>
            <w:proofErr w:type="spellEnd"/>
            <w:r w:rsidR="00D0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="00D01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year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C492D">
              <w:rPr>
                <w:rFonts w:ascii="Times New Roman" w:hAnsi="Times New Roman" w:cs="Times New Roman"/>
                <w:sz w:val="20"/>
                <w:szCs w:val="20"/>
              </w:rPr>
              <w:t xml:space="preserve">more than 30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regional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and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local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state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TV and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radio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companies</w:t>
            </w:r>
            <w:proofErr w:type="spellEnd"/>
            <w:r w:rsidR="00AC492D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="00043ED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AC492D">
              <w:rPr>
                <w:rFonts w:ascii="Times New Roman" w:hAnsi="Times New Roman" w:cs="Times New Roman"/>
                <w:sz w:val="20"/>
                <w:szCs w:val="20"/>
              </w:rPr>
              <w:t xml:space="preserve"> been merging into</w:t>
            </w:r>
            <w:r w:rsidR="00D012A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AC492D">
              <w:rPr>
                <w:rFonts w:ascii="Times New Roman" w:hAnsi="Times New Roman" w:cs="Times New Roman"/>
                <w:sz w:val="20"/>
                <w:szCs w:val="20"/>
              </w:rPr>
              <w:t xml:space="preserve">single structural unit -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National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Television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Ukraine</w:t>
            </w:r>
            <w:r w:rsidR="00AC492D">
              <w:rPr>
                <w:rFonts w:ascii="Times New Roman" w:hAnsi="Times New Roman" w:cs="Times New Roman"/>
                <w:sz w:val="20"/>
                <w:szCs w:val="20"/>
              </w:rPr>
              <w:t xml:space="preserve"> which has be</w:t>
            </w:r>
            <w:r w:rsidR="00D012AF">
              <w:rPr>
                <w:rFonts w:ascii="Times New Roman" w:hAnsi="Times New Roman" w:cs="Times New Roman"/>
                <w:sz w:val="20"/>
                <w:szCs w:val="20"/>
              </w:rPr>
              <w:t>en transformed into the Public J</w:t>
            </w:r>
            <w:r w:rsidR="00AC492D">
              <w:rPr>
                <w:rFonts w:ascii="Times New Roman" w:hAnsi="Times New Roman" w:cs="Times New Roman"/>
                <w:sz w:val="20"/>
                <w:szCs w:val="20"/>
              </w:rPr>
              <w:t>oint-Stock Company “National Public Television and Radio Broadcasting Company of Ukraine” (UA:PBC)</w:t>
            </w:r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which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now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known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Ukrainian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Public </w:t>
            </w:r>
            <w:proofErr w:type="spellStart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Broadcaster</w:t>
            </w:r>
            <w:proofErr w:type="spellEnd"/>
            <w:r w:rsidR="00AC492D" w:rsidRPr="00AC4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D3DEE" w:rsidRDefault="00D012AF" w:rsidP="00043EDD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From the </w:t>
            </w:r>
            <w:proofErr w:type="spellStart"/>
            <w:r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moment</w:t>
            </w:r>
            <w:proofErr w:type="spellEnd"/>
            <w:r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registration</w:t>
            </w:r>
            <w:proofErr w:type="spellEnd"/>
            <w:r w:rsidR="00043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Supervisory Board of the UA:PBC</w:t>
            </w:r>
            <w:r w:rsidR="002B315F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has entered into their authority. The members of the </w:t>
            </w:r>
            <w:r w:rsidR="002B315F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Supervisory Board of the UA</w:t>
            </w:r>
            <w:proofErr w:type="gramStart"/>
            <w:r w:rsidR="002B315F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:PBC</w:t>
            </w:r>
            <w:proofErr w:type="gramEnd"/>
            <w:r w:rsidR="002B315F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has selected the Chair, Deputy Chair and Secretary among themselves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315F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approved a number of the 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Provisions and 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announced a competition for the 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Head of the Management 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board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The head and members of the Management Board of the UA</w:t>
            </w:r>
            <w:proofErr w:type="gramStart"/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:PBC</w:t>
            </w:r>
            <w:proofErr w:type="gramEnd"/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were selected in April 2017. S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ince May the team has actively begun to reform the structure 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inherited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from the state broadcasting</w:t>
            </w:r>
            <w:r w:rsidR="00043EDD" w:rsidRPr="00043E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043EDD" w:rsidRPr="00043EDD" w:rsidRDefault="00043EDD" w:rsidP="00043EDD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EE" w:rsidRDefault="00866DCC" w:rsidP="002B21F5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upcoming years the UA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:PBC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be reorganized, repositioned</w:t>
            </w:r>
            <w:r w:rsidR="00043EDD">
              <w:rPr>
                <w:rFonts w:ascii="Times New Roman" w:hAnsi="Times New Roman" w:cs="Times New Roman"/>
                <w:sz w:val="20"/>
                <w:szCs w:val="20"/>
              </w:rPr>
              <w:t xml:space="preserve">.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of content creation will be changed. </w:t>
            </w:r>
          </w:p>
          <w:p w:rsidR="00043EDD" w:rsidRDefault="00043EDD" w:rsidP="00866DCC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1DD" w:rsidRPr="003B71DD" w:rsidRDefault="00866DCC" w:rsidP="00866DCC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providing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gramStart"/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proofErr w:type="gramEnd"/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fully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fledged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broadcasting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standards.</w:t>
            </w:r>
            <w:r w:rsidRPr="00866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40F43" w:rsidRPr="00FF2AC1" w:rsidTr="000E5E15">
        <w:tc>
          <w:tcPr>
            <w:tcW w:w="2978" w:type="dxa"/>
            <w:shd w:val="clear" w:color="auto" w:fill="auto"/>
          </w:tcPr>
          <w:p w:rsidR="00B40F43" w:rsidRPr="00021327" w:rsidRDefault="00021327" w:rsidP="001D2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Terms of reference</w:t>
            </w:r>
          </w:p>
        </w:tc>
        <w:tc>
          <w:tcPr>
            <w:tcW w:w="7767" w:type="dxa"/>
            <w:shd w:val="clear" w:color="auto" w:fill="auto"/>
          </w:tcPr>
          <w:p w:rsidR="00466EAE" w:rsidRPr="00FE6DCB" w:rsidRDefault="00FE6DCB" w:rsidP="00FE6DCB">
            <w:pPr>
              <w:shd w:val="clear" w:color="auto" w:fill="D9D9D9" w:themeFill="background1" w:themeFillShade="D9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7129C">
              <w:rPr>
                <w:rFonts w:ascii="Times New Roman" w:hAnsi="Times New Roman" w:cs="Times New Roman"/>
                <w:b/>
                <w:sz w:val="20"/>
                <w:szCs w:val="20"/>
              </w:rPr>
              <w:t>Aim</w:t>
            </w:r>
            <w:r w:rsidR="00374DA9"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373FE" w:rsidRDefault="00021327" w:rsidP="004373FE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define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positions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="00584B31" w:rsidRPr="00584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visibility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trust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77F0">
              <w:rPr>
                <w:rFonts w:ascii="Times New Roman" w:hAnsi="Times New Roman" w:cs="Times New Roman"/>
                <w:sz w:val="20"/>
                <w:szCs w:val="20"/>
              </w:rPr>
              <w:t>satisfaction</w:t>
            </w:r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E77F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6E77F0" w:rsidRPr="006E7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D4D9A" w:rsidRPr="004373FE" w:rsidRDefault="00021327" w:rsidP="004373FE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portrait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actual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viewers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listeners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6677FF"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B21F5" w:rsidRPr="00043EDD" w:rsidRDefault="00021327" w:rsidP="00043EDD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viewers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listeners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gramStart"/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proofErr w:type="gramEnd"/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="00043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D53" w:rsidRPr="00FE6DCB" w:rsidRDefault="00FE6DCB" w:rsidP="00FE6DCB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based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which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preliminary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questionnaire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should</w:t>
            </w:r>
            <w:r w:rsidR="00021327" w:rsidRPr="00021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21327">
              <w:rPr>
                <w:rFonts w:ascii="Times New Roman" w:hAnsi="Times New Roman" w:cs="Times New Roman"/>
                <w:b/>
                <w:sz w:val="20"/>
                <w:szCs w:val="20"/>
              </w:rPr>
              <w:t>be</w:t>
            </w:r>
            <w:r w:rsidR="00584B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84B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designed</w:t>
            </w:r>
            <w:proofErr w:type="spellEnd"/>
            <w:r w:rsidR="00584B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C178D9">
              <w:rPr>
                <w:rFonts w:ascii="Times New Roman" w:hAnsi="Times New Roman" w:cs="Times New Roman"/>
                <w:b/>
                <w:sz w:val="20"/>
                <w:szCs w:val="20"/>
              </w:rPr>
              <w:t>Blocks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1 -2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).</w:t>
            </w:r>
          </w:p>
          <w:p w:rsidR="00713D53" w:rsidRPr="00713D53" w:rsidRDefault="00021327" w:rsidP="00B23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Block</w:t>
            </w:r>
            <w:r w:rsidR="00B235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</w:p>
          <w:p w:rsidR="00021327" w:rsidRDefault="002F2869" w:rsidP="000213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1327" w:rsidRPr="0002132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0213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3D53" w:rsidRPr="00021327" w:rsidRDefault="00021327" w:rsidP="000213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Trust</w:t>
            </w: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the UA:PBC</w:t>
            </w:r>
            <w:r w:rsidR="00713D53" w:rsidRPr="0002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Pr="00021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2132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3D53" w:rsidRPr="002F2869" w:rsidRDefault="005D5088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PBC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End"/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D5088" w:rsidRPr="002F2869" w:rsidRDefault="005D5088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UA:PBC visibility (national, regional levels)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9A" w:rsidRPr="002F2869" w:rsidRDefault="005D5088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Information needs for the potential audience </w:t>
            </w:r>
            <w:r w:rsidR="000B69C3"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of the UA:PBC and level of their satisfaction </w:t>
            </w:r>
            <w:r w:rsidR="002F2869"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with the UA:PBC; </w:t>
            </w:r>
          </w:p>
          <w:p w:rsidR="001D4D9A" w:rsidRPr="002F2869" w:rsidRDefault="000B69C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Quality assessment of the UA:PBC (objectivity, non/manipulation, balance positive/negative) 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Information requests to the UA:PBC; </w:t>
            </w:r>
          </w:p>
          <w:p w:rsidR="001D4D9A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Being in demand and existence of the feedbacks from the UA:PBC; 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Portrait of the target audience of the Public Broadcaster (in the context of channels, TV programs, including the regional dimension)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sources 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 xml:space="preserve">do people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receive information (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national level, regional level)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Are they i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nterested in life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of a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village,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city, district, region, country?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What problems are considered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to be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the most important (the level of the city,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district, region, 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country)?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What is p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ublic television and radio?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they ready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to pay for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programs that are crea</w:t>
            </w:r>
            <w:r w:rsidR="00584B31">
              <w:rPr>
                <w:rFonts w:ascii="Times New Roman" w:hAnsi="Times New Roman" w:cs="Times New Roman"/>
                <w:sz w:val="20"/>
                <w:szCs w:val="20"/>
              </w:rPr>
              <w:t>ted in the public interest?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How much</w:t>
            </w: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F2869" w:rsidRPr="002F2869" w:rsidRDefault="002F2869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869">
              <w:rPr>
                <w:rFonts w:ascii="Times New Roman" w:hAnsi="Times New Roman" w:cs="Times New Roman"/>
                <w:sz w:val="20"/>
                <w:szCs w:val="20"/>
              </w:rPr>
              <w:t xml:space="preserve"> Demography, social status, income, education.</w:t>
            </w:r>
          </w:p>
          <w:p w:rsidR="00713D53" w:rsidRPr="00713D53" w:rsidRDefault="00EE2023" w:rsidP="00B23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Block</w:t>
            </w:r>
            <w:r w:rsidR="00B235A8" w:rsidRPr="00713D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13D53" w:rsidRPr="00713D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 </w:t>
            </w:r>
          </w:p>
          <w:p w:rsidR="00713D53" w:rsidRDefault="00EE411C" w:rsidP="002C1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E2023">
              <w:rPr>
                <w:rFonts w:ascii="Times New Roman" w:hAnsi="Times New Roman" w:cs="Times New Roman"/>
                <w:sz w:val="20"/>
                <w:szCs w:val="20"/>
              </w:rPr>
              <w:t>alues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78D9" w:rsidRDefault="00C178D9" w:rsidP="002C1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they </w:t>
            </w:r>
            <w:r w:rsidR="00AD03FE" w:rsidRPr="00AD03FE">
              <w:rPr>
                <w:rFonts w:ascii="Times New Roman" w:hAnsi="Times New Roman" w:cs="Times New Roman"/>
                <w:sz w:val="20"/>
                <w:szCs w:val="20"/>
              </w:rPr>
              <w:t xml:space="preserve">interested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D03FE" w:rsidRPr="00AD03FE">
              <w:rPr>
                <w:rFonts w:ascii="Times New Roman" w:hAnsi="Times New Roman" w:cs="Times New Roman"/>
                <w:sz w:val="20"/>
                <w:szCs w:val="20"/>
              </w:rPr>
              <w:t>information on the actions of the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 xml:space="preserve"> authorities (different levels);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kind of information?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they feel themselves secure (internally, externally)?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="00AD03FE" w:rsidRPr="00AD03FE">
              <w:rPr>
                <w:rFonts w:ascii="Times New Roman" w:hAnsi="Times New Roman" w:cs="Times New Roman"/>
                <w:sz w:val="20"/>
                <w:szCs w:val="20"/>
              </w:rPr>
              <w:t xml:space="preserve"> rhythm of life (when they wake up, go to work, watch TV, listen to the radio, use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Internet, relax, meet friends)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your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 xml:space="preserve"> interests?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use gadgets while watching TV/listening to the radio?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type of content do you consume on gadgets while watching TV/listening to the radio?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genres do you like (for programming)?</w:t>
            </w:r>
          </w:p>
          <w:p w:rsidR="00C178D9" w:rsidRDefault="00C178D9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3F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biggest </w:t>
            </w:r>
            <w:r w:rsidRPr="00AD03FE">
              <w:rPr>
                <w:rFonts w:ascii="Times New Roman" w:hAnsi="Times New Roman" w:cs="Times New Roman"/>
                <w:sz w:val="20"/>
                <w:szCs w:val="20"/>
              </w:rPr>
              <w:t>purchase for the last 3 years.</w:t>
            </w:r>
          </w:p>
          <w:p w:rsidR="00AD03FE" w:rsidRPr="002C1DC8" w:rsidRDefault="00AD03FE" w:rsidP="00C178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>How do</w:t>
            </w:r>
            <w:r w:rsidRPr="00AD0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8D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="00EE411C">
              <w:rPr>
                <w:rFonts w:ascii="Times New Roman" w:hAnsi="Times New Roman" w:cs="Times New Roman"/>
                <w:sz w:val="20"/>
                <w:szCs w:val="20"/>
              </w:rPr>
              <w:t xml:space="preserve"> spend spare money?</w:t>
            </w:r>
          </w:p>
          <w:p w:rsidR="00B567F6" w:rsidRPr="00EE411C" w:rsidRDefault="00B567F6" w:rsidP="00B567F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9A" w:rsidRPr="001D4D9A" w:rsidRDefault="001D4D9A" w:rsidP="001D4D9A">
            <w:pPr>
              <w:keepNext/>
              <w:outlineLvl w:val="1"/>
              <w:rPr>
                <w:bCs/>
                <w:iCs/>
                <w:szCs w:val="24"/>
                <w:lang w:val="uk-UA"/>
              </w:rPr>
            </w:pPr>
            <w:r w:rsidRPr="001D4D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3.</w:t>
            </w:r>
            <w:r w:rsidR="00E11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Target</w:t>
            </w:r>
            <w:r w:rsidR="00E118EE" w:rsidRPr="00E11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11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audience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E118EE">
              <w:rPr>
                <w:rFonts w:ascii="Times New Roman" w:hAnsi="Times New Roman" w:cs="Times New Roman"/>
                <w:sz w:val="20"/>
                <w:szCs w:val="20"/>
              </w:rPr>
              <w:t xml:space="preserve"> men and women 18+ of different social groups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74DA9" w:rsidRPr="00E118EE" w:rsidRDefault="001D4D9A" w:rsidP="001D4D9A">
            <w:pPr>
              <w:shd w:val="clear" w:color="auto" w:fill="D9D9D9" w:themeFill="background1" w:themeFillShade="D9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="00EE2023" w:rsidRPr="00E11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8EE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EE2023">
              <w:rPr>
                <w:rFonts w:ascii="Times New Roman" w:hAnsi="Times New Roman" w:cs="Times New Roman"/>
                <w:b/>
                <w:sz w:val="20"/>
                <w:szCs w:val="20"/>
              </w:rPr>
              <w:t>eography</w:t>
            </w:r>
            <w:r w:rsidR="00EE2023" w:rsidRPr="00E11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8EE">
              <w:rPr>
                <w:rFonts w:ascii="Times New Roman" w:hAnsi="Times New Roman" w:cs="Times New Roman"/>
                <w:b/>
                <w:sz w:val="20"/>
                <w:szCs w:val="20"/>
              </w:rPr>
              <w:t>of the survey</w:t>
            </w:r>
          </w:p>
          <w:p w:rsidR="00B741FF" w:rsidRDefault="00B741FF" w:rsidP="00B741F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930" w:rsidRPr="00B741FF" w:rsidRDefault="00E118EE" w:rsidP="00B741F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 of 24 regions of Ukraine including rural population excluding temporary occupied territories of Donet</w:t>
            </w:r>
            <w:r w:rsidR="00AD03FE">
              <w:rPr>
                <w:rFonts w:ascii="Times New Roman" w:hAnsi="Times New Roman" w:cs="Times New Roman"/>
                <w:sz w:val="20"/>
                <w:szCs w:val="20"/>
              </w:rPr>
              <w:t xml:space="preserve">sk and </w:t>
            </w:r>
            <w:proofErr w:type="spellStart"/>
            <w:r w:rsidR="00AD03FE">
              <w:rPr>
                <w:rFonts w:ascii="Times New Roman" w:hAnsi="Times New Roman" w:cs="Times New Roman"/>
                <w:sz w:val="20"/>
                <w:szCs w:val="20"/>
              </w:rPr>
              <w:t>Luhansk</w:t>
            </w:r>
            <w:proofErr w:type="spellEnd"/>
            <w:r w:rsidR="00AD03FE">
              <w:rPr>
                <w:rFonts w:ascii="Times New Roman" w:hAnsi="Times New Roman" w:cs="Times New Roman"/>
                <w:sz w:val="20"/>
                <w:szCs w:val="20"/>
              </w:rPr>
              <w:t xml:space="preserve"> regions and the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epublic of Crimea. At least 10 </w:t>
            </w:r>
            <w:r w:rsidR="00AD03FE">
              <w:rPr>
                <w:rFonts w:ascii="Times New Roman" w:hAnsi="Times New Roman" w:cs="Times New Roman"/>
                <w:sz w:val="20"/>
                <w:szCs w:val="20"/>
              </w:rPr>
              <w:t>inhabited localities of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region. </w:t>
            </w:r>
          </w:p>
          <w:p w:rsidR="001B0276" w:rsidRPr="001B0276" w:rsidRDefault="001B0276" w:rsidP="001B0276">
            <w:pPr>
              <w:pStyle w:val="ListParagraph"/>
              <w:spacing w:before="60" w:after="60"/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0577" w:rsidRPr="00374DA9" w:rsidRDefault="00FE6DCB" w:rsidP="00B20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5.</w:t>
            </w:r>
            <w:r w:rsidR="00B74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Requirements for the format of the presentation of the results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(</w:t>
            </w:r>
            <w:r w:rsidR="00B741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reporting documents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):</w:t>
            </w:r>
          </w:p>
          <w:p w:rsidR="00FE6DCB" w:rsidRDefault="00B741FF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</w:t>
            </w:r>
            <w:r w:rsidR="00AD03FE">
              <w:rPr>
                <w:rFonts w:ascii="Times New Roman" w:hAnsi="Times New Roman" w:cs="Times New Roman"/>
                <w:sz w:val="20"/>
                <w:szCs w:val="20"/>
              </w:rPr>
              <w:t>tools</w:t>
            </w:r>
            <w:r w:rsidR="00FE6DCB"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E6DCB" w:rsidRDefault="00B741FF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11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EE">
              <w:rPr>
                <w:rFonts w:ascii="Times New Roman" w:hAnsi="Times New Roman" w:cs="Times New Roman"/>
                <w:sz w:val="20"/>
                <w:szCs w:val="20"/>
              </w:rPr>
              <w:t xml:space="preserve">package in the agreed with the Project format; </w:t>
            </w:r>
          </w:p>
          <w:p w:rsidR="00B741FF" w:rsidRPr="00B741FF" w:rsidRDefault="00B741FF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 xml:space="preserve">tables of one-dimensional distributions; </w:t>
            </w:r>
          </w:p>
          <w:p w:rsidR="00B20577" w:rsidRPr="00E118EE" w:rsidRDefault="00B741FF" w:rsidP="00E118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analytical</w:t>
            </w:r>
            <w:proofErr w:type="gramEnd"/>
            <w:r w:rsidR="00EE411C">
              <w:rPr>
                <w:rFonts w:ascii="Times New Roman" w:hAnsi="Times New Roman" w:cs="Times New Roman"/>
                <w:sz w:val="20"/>
                <w:szCs w:val="20"/>
              </w:rPr>
              <w:t xml:space="preserve"> (narrative)</w:t>
            </w:r>
            <w:r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  <w:r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Ukrainian</w:t>
            </w:r>
            <w:r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1F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="00FE6DCB" w:rsidRPr="00B741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118EE">
              <w:rPr>
                <w:rFonts w:ascii="Arial" w:hAnsi="Arial" w:cs="Arial"/>
                <w:color w:val="222222"/>
                <w:lang w:val="en"/>
              </w:rPr>
              <w:br/>
            </w:r>
          </w:p>
          <w:p w:rsidR="00B20577" w:rsidRPr="00374DA9" w:rsidRDefault="00FE6DCB" w:rsidP="00B20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6.</w:t>
            </w:r>
            <w:r w:rsidR="00F7129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Survey implementation timeline</w:t>
            </w:r>
            <w:r w:rsidR="00B20577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: </w:t>
            </w:r>
          </w:p>
          <w:p w:rsidR="00B741FF" w:rsidRDefault="00F7129C" w:rsidP="00AD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Submitted proposals should foresee their implementation period starting from the date of contract signature until 15 December 2017. Reporting documents </w:t>
            </w:r>
            <w:r w:rsidR="00EE2023">
              <w:rPr>
                <w:rFonts w:ascii="Times New Roman" w:hAnsi="Times New Roman" w:cs="Times New Roman"/>
                <w:sz w:val="20"/>
                <w:szCs w:val="20"/>
              </w:rPr>
              <w:t>should be submitted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18 December 2017. </w:t>
            </w:r>
          </w:p>
          <w:p w:rsidR="00EE411C" w:rsidRPr="00AD03FE" w:rsidRDefault="00EE411C" w:rsidP="00AD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1DD" w:rsidRPr="00C349A3" w:rsidTr="000E5E15">
        <w:tc>
          <w:tcPr>
            <w:tcW w:w="2978" w:type="dxa"/>
            <w:shd w:val="clear" w:color="auto" w:fill="auto"/>
          </w:tcPr>
          <w:p w:rsidR="003B71DD" w:rsidRPr="003B71DD" w:rsidRDefault="00F908F5" w:rsidP="003B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Titles</w:t>
            </w:r>
            <w:r w:rsidRPr="00F90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F90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F90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channels of </w:t>
            </w:r>
            <w:r w:rsidR="00512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UA:PBC (Public broadcaster) for the survey </w:t>
            </w:r>
          </w:p>
          <w:p w:rsidR="003B71DD" w:rsidRPr="00010596" w:rsidRDefault="003B71DD" w:rsidP="001D29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3B71DD" w:rsidRPr="003B71DD" w:rsidRDefault="00E77E49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Vinnytsia</w:t>
            </w:r>
            <w:proofErr w:type="spellEnd"/>
            <w:r w:rsidRPr="00E77E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regional</w:t>
            </w:r>
            <w:r w:rsidRPr="00E77E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direction</w:t>
            </w:r>
            <w:r w:rsidRPr="00E77E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AD03FE"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Vintera</w:t>
            </w:r>
            <w:proofErr w:type="spellEnd"/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  <w:p w:rsidR="003B71DD" w:rsidRPr="003B71DD" w:rsidRDefault="003B71DD" w:rsidP="003B71D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Volyn</w:t>
            </w:r>
            <w:proofErr w:type="spellEnd"/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</w:t>
            </w:r>
            <w:hyperlink r:id="rId7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  <w:lang w:val="uk-UA"/>
                </w:rPr>
                <w:t>www.voltv.com.ua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Dnipropetrovsk</w:t>
            </w:r>
            <w:proofErr w:type="spellEnd"/>
            <w:r w:rsidR="00E77E49" w:rsidRPr="00E77E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regional</w:t>
            </w:r>
            <w:r w:rsidR="00E77E49" w:rsidRPr="00E77E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direction</w:t>
            </w: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</w:t>
            </w:r>
          </w:p>
          <w:p w:rsidR="003B71DD" w:rsidRPr="003B71DD" w:rsidRDefault="00E77E49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channel 51</w:t>
            </w: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  <w:r w:rsidR="003B71DD"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3B71DD" w:rsidRPr="003B71D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http://www.51.dp.ua/</w:t>
              </w:r>
            </w:hyperlink>
            <w:r w:rsidR="003B71DD"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Donetsk regional direction</w:t>
            </w: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77E49" w:rsidRPr="00C349A3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Channel</w:t>
            </w:r>
            <w:r w:rsidRPr="00C349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E77E49" w:rsidRPr="00C349A3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DoTB</w:t>
            </w:r>
            <w:proofErr w:type="spellEnd"/>
            <w:r w:rsidRPr="00C349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</w:t>
            </w:r>
            <w:hyperlink r:id="rId9" w:history="1">
              <w:r w:rsidRPr="00C349A3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https://www.dotb.dn.ua/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>Zhytomyr</w:t>
            </w:r>
            <w:proofErr w:type="spellEnd"/>
            <w:r w:rsidR="00E77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</w:t>
            </w:r>
            <w:hyperlink r:id="rId10" w:history="1">
              <w:r w:rsidRPr="00C349A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http://tvradiozt.com.ua/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Zakarpatia</w:t>
            </w:r>
            <w:proofErr w:type="spellEnd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Tysa</w:t>
            </w:r>
            <w:proofErr w:type="spellEnd"/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1» </w:t>
            </w:r>
            <w:hyperlink r:id="rId11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www.tisa1.tv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Zaporizhia</w:t>
            </w:r>
            <w:proofErr w:type="spellEnd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2" w:history="1">
              <w:r w:rsidRPr="00C349A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http://www.zodtrk.zp.ua/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Ivano-Frankivsk</w:t>
            </w:r>
            <w:proofErr w:type="spellEnd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E77E4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Karpaty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3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www.odtrk.if.ua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Kyiv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Central channel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4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www.kdrtrk.inet.ua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Kirovograd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Channel 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Kirovograd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5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www.KODTRK.tv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Khyvyi</w:t>
            </w:r>
            <w:proofErr w:type="spellEnd"/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rig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regional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Kryvorizhia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- </w:t>
            </w:r>
            <w:r w:rsidR="00C349A3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is not oblast channel </w:t>
            </w:r>
            <w:hyperlink r:id="rId16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www.kdtro.com.ua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Krym</w:t>
            </w:r>
            <w:proofErr w:type="spellEnd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</w:p>
          <w:p w:rsidR="003B71DD" w:rsidRPr="003B71DD" w:rsidRDefault="00C349A3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logo</w:t>
            </w:r>
            <w:proofErr w:type="gramEnd"/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«UA: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Crimea</w:t>
            </w:r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is broadcasted on satellite </w:t>
            </w:r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«UA: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Pershyi</w:t>
            </w:r>
            <w:proofErr w:type="spellEnd"/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».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Luhansk</w:t>
            </w:r>
            <w:proofErr w:type="spellEnd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channel 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LOT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7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www.lot.lg.ua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Lviv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TVRC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r w:rsidR="00C349A3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Lviv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18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www.lodtrk.org.ua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Mykolaiv</w:t>
            </w:r>
            <w:proofErr w:type="spellEnd"/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C349A3" w:rsidRPr="00C349A3">
              <w:rPr>
                <w:rFonts w:ascii="Times New Roman" w:hAnsi="Times New Roman" w:cs="Times New Roman"/>
                <w:sz w:val="20"/>
                <w:szCs w:val="20"/>
              </w:rPr>
              <w:t>Channel</w:t>
            </w:r>
            <w:r w:rsidR="00C349A3" w:rsidRPr="00C3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C349A3" w:rsidRPr="00C349A3">
              <w:rPr>
                <w:rFonts w:ascii="Times New Roman" w:hAnsi="Times New Roman" w:cs="Times New Roman"/>
                <w:sz w:val="20"/>
                <w:szCs w:val="20"/>
              </w:rPr>
              <w:t>Mykolaiv</w:t>
            </w:r>
            <w:proofErr w:type="spellEnd"/>
            <w:r w:rsidRPr="00C3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hyperlink r:id="rId19" w:history="1">
              <w:r w:rsidRPr="00C349A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http://www.trk.mksat.net/htm/tm_prog.htm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Novgorod</w:t>
            </w:r>
            <w:r w:rsidR="00B741FF" w:rsidRP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-</w:t>
            </w:r>
            <w:proofErr w:type="spellStart"/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Siverska</w:t>
            </w:r>
            <w:proofErr w:type="spellEnd"/>
            <w:r w:rsidR="00B741FF" w:rsidRP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regional</w:t>
            </w:r>
            <w:r w:rsidR="00B741FF" w:rsidRP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direction</w:t>
            </w:r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Siverska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- </w:t>
            </w:r>
            <w:r w:rsidR="00B741F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is not oblast channel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.</w:t>
            </w:r>
          </w:p>
          <w:p w:rsidR="003B71DD" w:rsidRPr="003B71DD" w:rsidRDefault="005D5088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3B71DD"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www.trksiver.com.ua</w:t>
              </w:r>
            </w:hyperlink>
          </w:p>
          <w:p w:rsidR="003B71DD" w:rsidRPr="008D2D34" w:rsidRDefault="003B71DD" w:rsidP="008D2D3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Odesa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1" w:history="1">
              <w:r w:rsidRPr="008D2D34">
                <w:rPr>
                  <w:rStyle w:val="Hyperlink"/>
                  <w:rFonts w:ascii="Times New Roman" w:hAnsi="Times New Roman" w:cs="Times New Roman"/>
                  <w:kern w:val="2"/>
                  <w:sz w:val="20"/>
                  <w:szCs w:val="20"/>
                  <w:lang w:val="uk-UA"/>
                </w:rPr>
                <w:t>http://oodtrk.od.ua/</w:t>
              </w:r>
            </w:hyperlink>
          </w:p>
          <w:p w:rsidR="008D2D34" w:rsidRPr="008D2D34" w:rsidRDefault="003B71DD" w:rsidP="008D2D3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kern w:val="2"/>
                <w:sz w:val="20"/>
                <w:szCs w:val="20"/>
                <w:u w:val="none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Poltava regional direction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Ltava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2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www.ltava.poltava.ua</w:t>
              </w:r>
            </w:hyperlink>
          </w:p>
          <w:p w:rsidR="008D2D34" w:rsidRPr="008D2D34" w:rsidRDefault="003B71DD" w:rsidP="008D2D3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kern w:val="2"/>
                <w:sz w:val="20"/>
                <w:szCs w:val="20"/>
                <w:u w:val="none"/>
                <w:lang w:val="uk-UA"/>
              </w:rPr>
            </w:pPr>
            <w:r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Rivne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3" w:history="1">
              <w:r w:rsidRPr="008D2D34">
                <w:rPr>
                  <w:rStyle w:val="Hyperlink"/>
                  <w:rFonts w:ascii="Times New Roman" w:hAnsi="Times New Roman" w:cs="Times New Roman"/>
                  <w:kern w:val="2"/>
                  <w:sz w:val="20"/>
                  <w:szCs w:val="20"/>
                  <w:lang w:val="uk-UA"/>
                </w:rPr>
                <w:t>http://rtb.rv.ua/company/tele/</w:t>
              </w:r>
            </w:hyperlink>
          </w:p>
          <w:p w:rsidR="003B71DD" w:rsidRPr="008D2D34" w:rsidRDefault="003B71DD" w:rsidP="008D2D3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B741F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Seb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astopol regional direction</w:t>
            </w:r>
            <w:r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– </w:t>
            </w:r>
            <w:r w:rsid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does not work</w:t>
            </w:r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Sumy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«UA:</w:t>
            </w:r>
            <w:r w:rsidR="008D2D34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Sumy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4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www.tv.sumy.ua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Tepnopil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8D2D34" w:rsidRPr="00C349A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Channel </w:t>
            </w:r>
            <w:r w:rsidRPr="00C349A3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ТТБ </w:t>
            </w:r>
            <w:hyperlink r:id="rId25" w:history="1">
              <w:r w:rsidRPr="00C349A3">
                <w:rPr>
                  <w:rStyle w:val="Hyperlink"/>
                  <w:rFonts w:ascii="Times New Roman" w:hAnsi="Times New Roman" w:cs="Times New Roman"/>
                  <w:kern w:val="2"/>
                  <w:sz w:val="20"/>
                  <w:szCs w:val="20"/>
                  <w:lang w:val="uk-UA"/>
                </w:rPr>
                <w:t>http://todtrk.te.ua/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Kharkiv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8D2D34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Channel</w:t>
            </w:r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ОТБ </w:t>
            </w:r>
            <w:hyperlink r:id="rId26" w:history="1">
              <w:r w:rsidRPr="00C349A3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www.otb.com.ua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Kherson regional direction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Skifia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7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www.skifiya.ua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Khmelnytskyi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Podillia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Centre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8" w:history="1">
              <w:r w:rsidRPr="003B71DD">
                <w:rPr>
                  <w:rStyle w:val="Hyperlink"/>
                  <w:rFonts w:ascii="Times New Roman" w:hAnsi="Times New Roman" w:cs="Times New Roman"/>
                  <w:bCs/>
                  <w:kern w:val="2"/>
                  <w:sz w:val="20"/>
                  <w:szCs w:val="20"/>
                  <w:lang w:val="uk-UA"/>
                </w:rPr>
                <w:t>http://www.odtrk.km.ua/</w:t>
              </w:r>
            </w:hyperlink>
          </w:p>
          <w:p w:rsidR="003B71DD" w:rsidRPr="008D2D34" w:rsidRDefault="003B71DD" w:rsidP="008D2D3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Chekasy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8D2D34"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Channel</w:t>
            </w:r>
            <w:r w:rsidR="008D2D34"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8D2D34"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Ros</w:t>
            </w:r>
            <w:proofErr w:type="spellEnd"/>
            <w:r w:rsidRP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29" w:history="1">
              <w:r w:rsidRPr="008D2D34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www.tvros.org.ua</w:t>
              </w:r>
            </w:hyperlink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 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Chernivtsi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  <w:r w:rsid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="008D2D34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Channel  </w:t>
            </w:r>
            <w:r w:rsidR="008D2D34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Bukovyna</w:t>
            </w:r>
            <w:proofErr w:type="spellEnd"/>
            <w:r w:rsidRPr="00C349A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hyperlink r:id="rId30" w:history="1">
              <w:r w:rsidRPr="00C349A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https://bukovyna.tv/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Chernihiv</w:t>
            </w:r>
            <w:proofErr w:type="spellEnd"/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regional direction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», </w:t>
            </w:r>
            <w:r w:rsidR="008D2D34">
              <w:rPr>
                <w:rFonts w:ascii="Times New Roman" w:hAnsi="Times New Roman" w:cs="Times New Roman"/>
                <w:sz w:val="20"/>
                <w:szCs w:val="20"/>
              </w:rPr>
              <w:t>Channel</w:t>
            </w:r>
            <w:r w:rsidR="008D2D34" w:rsidRPr="008D2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D2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8D2D34">
              <w:rPr>
                <w:rFonts w:ascii="Times New Roman" w:hAnsi="Times New Roman" w:cs="Times New Roman"/>
                <w:sz w:val="20"/>
                <w:szCs w:val="20"/>
              </w:rPr>
              <w:t>Siver</w:t>
            </w:r>
            <w:proofErr w:type="spellEnd"/>
            <w:r w:rsidR="008D2D34" w:rsidRPr="008D2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D2D34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hyperlink r:id="rId31" w:history="1">
              <w:r w:rsidRPr="003B71D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http://chodtrk.com.ua/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«</w:t>
            </w:r>
            <w:r w:rsidR="008D2D34" w:rsidRP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fr-FR"/>
              </w:rPr>
              <w:t>Central direction</w:t>
            </w:r>
            <w:r w:rsidR="008D2D34"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D2D34" w:rsidRP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fr-FR"/>
              </w:rPr>
              <w:t>channel</w:t>
            </w:r>
            <w:proofErr w:type="spellEnd"/>
            <w:r w:rsid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r w:rsidR="008D2D34" w:rsidRP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fr-FR"/>
              </w:rPr>
              <w:t>Culture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»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hyperlink r:id="rId32" w:history="1">
              <w:r w:rsidRPr="003B71D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http://cultureua.com/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«</w:t>
            </w:r>
            <w:r w:rsid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Central direction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r w:rsidR="008D2D3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Ukrainian radio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»: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УР1 – </w:t>
            </w:r>
            <w:r w:rsidR="008D2D3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First radio channel</w:t>
            </w:r>
          </w:p>
          <w:p w:rsidR="003B71DD" w:rsidRPr="003B71DD" w:rsidRDefault="008D2D34" w:rsidP="003B71DD">
            <w:pPr>
              <w:pStyle w:val="ListParagraph"/>
              <w:widowControl w:val="0"/>
              <w:numPr>
                <w:ilvl w:val="0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Radio Channel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Culture</w:t>
            </w:r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</w:p>
          <w:p w:rsidR="00C349A3" w:rsidRPr="00C349A3" w:rsidRDefault="008D2D34" w:rsidP="00C349A3">
            <w:pPr>
              <w:pStyle w:val="ListParagraph"/>
              <w:widowControl w:val="0"/>
              <w:numPr>
                <w:ilvl w:val="0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Radio Channel</w:t>
            </w:r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Promin</w:t>
            </w:r>
            <w:proofErr w:type="spellEnd"/>
            <w:r w:rsidR="003B71DD"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</w:t>
            </w:r>
          </w:p>
          <w:p w:rsidR="003B71DD" w:rsidRPr="00C349A3" w:rsidRDefault="003B71DD" w:rsidP="00C349A3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49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«UA:</w:t>
            </w:r>
            <w:proofErr w:type="spellStart"/>
            <w:r w:rsidR="008D2D34" w:rsidRPr="00C349A3">
              <w:rPr>
                <w:rFonts w:ascii="Times New Roman" w:hAnsi="Times New Roman" w:cs="Times New Roman"/>
                <w:b/>
                <w:sz w:val="20"/>
                <w:szCs w:val="20"/>
              </w:rPr>
              <w:t>Pershyi</w:t>
            </w:r>
            <w:proofErr w:type="spellEnd"/>
            <w:r w:rsidRPr="00C349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C3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33" w:history="1">
              <w:r w:rsidRPr="00C349A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http://1tv.com.ua/</w:t>
              </w:r>
            </w:hyperlink>
          </w:p>
        </w:tc>
      </w:tr>
      <w:tr w:rsidR="00283150" w:rsidRPr="00004E5B" w:rsidTr="00697AA9">
        <w:trPr>
          <w:trHeight w:val="1049"/>
        </w:trPr>
        <w:tc>
          <w:tcPr>
            <w:tcW w:w="2978" w:type="dxa"/>
            <w:shd w:val="clear" w:color="auto" w:fill="auto"/>
          </w:tcPr>
          <w:p w:rsidR="00283150" w:rsidRPr="005123D5" w:rsidRDefault="005123D5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Exclusion criteria</w:t>
            </w:r>
          </w:p>
        </w:tc>
        <w:tc>
          <w:tcPr>
            <w:tcW w:w="7767" w:type="dxa"/>
            <w:shd w:val="clear" w:color="auto" w:fill="auto"/>
          </w:tcPr>
          <w:p w:rsidR="00E759E9" w:rsidRPr="00E759E9" w:rsidRDefault="00E759E9" w:rsidP="00E75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Tender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excluded from the tender in case they</w:t>
            </w:r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759E9" w:rsidRPr="00E759E9" w:rsidRDefault="00E759E9" w:rsidP="00E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Have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been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sentenced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by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final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judgment on one or more of the following charges: participation in a criminal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organisation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corruption, fraud, money laundering;</w:t>
            </w:r>
          </w:p>
          <w:p w:rsidR="00E759E9" w:rsidRPr="00E759E9" w:rsidRDefault="00E759E9" w:rsidP="00E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Are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situation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bankruptcy, liquidation, termination of activity, insolvency or arrangement with creditors or any like situation arising from a procedure of the same kind, or is not subject to a procedure of the same kind;</w:t>
            </w:r>
          </w:p>
          <w:p w:rsidR="00E759E9" w:rsidRPr="00E759E9" w:rsidRDefault="00E759E9" w:rsidP="00E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Have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received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judgment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res judicata force, finding an offence that affects its professional integrity or constitutes a serious professional misconduct;</w:t>
            </w:r>
          </w:p>
          <w:p w:rsidR="00E759E9" w:rsidRPr="00E759E9" w:rsidRDefault="00E759E9" w:rsidP="00E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comply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its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obligations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regards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payment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social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security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contributions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taxes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and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dues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according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statutory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provisions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country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where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it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established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759E9" w:rsidRPr="00E759E9" w:rsidRDefault="00E759E9" w:rsidP="00E759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ave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conflict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</w:t>
            </w:r>
            <w:proofErr w:type="spellStart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interests</w:t>
            </w:r>
            <w:proofErr w:type="spellEnd"/>
            <w:r w:rsidRPr="00E75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83150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51074" w:rsidRPr="00E77E49" w:rsidTr="00697AA9">
        <w:trPr>
          <w:trHeight w:val="1049"/>
        </w:trPr>
        <w:tc>
          <w:tcPr>
            <w:tcW w:w="2978" w:type="dxa"/>
            <w:shd w:val="clear" w:color="auto" w:fill="auto"/>
          </w:tcPr>
          <w:p w:rsidR="00951074" w:rsidRPr="005123D5" w:rsidRDefault="005123D5" w:rsidP="004C4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Eligibility criteria</w:t>
            </w:r>
          </w:p>
        </w:tc>
        <w:tc>
          <w:tcPr>
            <w:tcW w:w="7767" w:type="dxa"/>
            <w:shd w:val="clear" w:color="auto" w:fill="auto"/>
          </w:tcPr>
          <w:p w:rsidR="00E759E9" w:rsidRPr="00E77E49" w:rsidRDefault="00E77E49" w:rsidP="00E77E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eligible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9E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applicants</w:t>
            </w:r>
            <w:proofErr w:type="spellEnd"/>
            <w:r w:rsidR="00E759E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59E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must</w:t>
            </w:r>
            <w:proofErr w:type="spellEnd"/>
            <w:r w:rsidR="00E759E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759E9" w:rsidRPr="00E77E49" w:rsidRDefault="00E759E9" w:rsidP="00E77E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legally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registered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as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sociological company under the current domestic legislation (on the basis of the copy of the registration documents);</w:t>
            </w:r>
          </w:p>
          <w:p w:rsidR="00E759E9" w:rsidRPr="00E77E49" w:rsidRDefault="00E759E9" w:rsidP="00E77E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have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at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least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two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year</w:t>
            </w:r>
            <w:proofErr w:type="spellEnd"/>
            <w:r w:rsidR="00EE41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experience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carrying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sociological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surveys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the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basis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copy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registration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documents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BF1188" w:rsidRPr="00E77E49" w:rsidRDefault="00E759E9" w:rsidP="00E77E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respect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of the </w:t>
            </w:r>
            <w:proofErr w:type="spellStart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tender</w:t>
            </w:r>
            <w:proofErr w:type="spellEnd"/>
            <w:r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deadline (application forms submitted after the deadline will not be co</w:t>
            </w:r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nsidered and are </w:t>
            </w:r>
            <w:proofErr w:type="spellStart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deemed</w:t>
            </w:r>
            <w:proofErr w:type="spellEnd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</w:t>
            </w:r>
            <w:proofErr w:type="spellEnd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</w:t>
            </w:r>
            <w:proofErr w:type="spellEnd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ineligible</w:t>
            </w:r>
            <w:proofErr w:type="spellEnd"/>
            <w:r w:rsidR="00E77E49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  <w:r w:rsidR="001D298F" w:rsidRPr="00E77E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51074" w:rsidRPr="00010596" w:rsidTr="000E5E15">
        <w:tc>
          <w:tcPr>
            <w:tcW w:w="2978" w:type="dxa"/>
            <w:shd w:val="clear" w:color="auto" w:fill="auto"/>
          </w:tcPr>
          <w:p w:rsidR="00951074" w:rsidRPr="00010596" w:rsidRDefault="00CC4641" w:rsidP="00CC46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Documents which should be submitted in order to participate in tender </w:t>
            </w:r>
          </w:p>
        </w:tc>
        <w:tc>
          <w:tcPr>
            <w:tcW w:w="7767" w:type="dxa"/>
            <w:shd w:val="clear" w:color="auto" w:fill="auto"/>
          </w:tcPr>
          <w:p w:rsidR="006252AC" w:rsidRPr="00010596" w:rsidRDefault="006252AC" w:rsidP="006252A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4FD6" w:rsidRPr="004C4FD6" w:rsidRDefault="00CC4641" w:rsidP="001D298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Pr="00CC4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CC4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2B00" w:rsidRPr="001D29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8428/2017/0</w:t>
            </w:r>
            <w:r w:rsidR="00697AA9"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BB2B00"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BB2B00"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containing stamp and signature of the responsible person. Use of the Council of Europe exchange rate is mandatory.</w:t>
            </w:r>
          </w:p>
          <w:p w:rsidR="00BB2B00" w:rsidRDefault="00BB2B00" w:rsidP="004C4FD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bookmarkStart w:id="1" w:name="_MON_1569055678"/>
            <w:bookmarkEnd w:id="1"/>
            <w:r w:rsidR="00846ADB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5pt;height:50.25pt" o:ole="">
                  <v:imagedata r:id="rId34" o:title=""/>
                </v:shape>
                <o:OLEObject Type="Embed" ProgID="Word.Document.12" ShapeID="_x0000_i1028" DrawAspect="Icon" ObjectID="_1569165859" r:id="rId35">
                  <o:FieldCodes>\s</o:FieldCodes>
                </o:OLEObject>
              </w:object>
            </w:r>
          </w:p>
          <w:p w:rsidR="001D298F" w:rsidRDefault="001D298F" w:rsidP="001D29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98F" w:rsidRPr="0040156E" w:rsidRDefault="00CC4641" w:rsidP="004015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the registration documents</w:t>
            </w:r>
          </w:p>
        </w:tc>
      </w:tr>
      <w:tr w:rsidR="00087563" w:rsidRPr="00CC4641" w:rsidTr="0040156E">
        <w:trPr>
          <w:trHeight w:val="550"/>
        </w:trPr>
        <w:tc>
          <w:tcPr>
            <w:tcW w:w="2978" w:type="dxa"/>
            <w:shd w:val="clear" w:color="auto" w:fill="auto"/>
          </w:tcPr>
          <w:p w:rsidR="00087563" w:rsidRPr="00CC4641" w:rsidRDefault="00CC4641" w:rsidP="00246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deadline for documents submission</w:t>
            </w:r>
          </w:p>
        </w:tc>
        <w:tc>
          <w:tcPr>
            <w:tcW w:w="7767" w:type="dxa"/>
            <w:shd w:val="clear" w:color="auto" w:fill="auto"/>
          </w:tcPr>
          <w:p w:rsidR="00087563" w:rsidRPr="00CC4641" w:rsidRDefault="00B5602E" w:rsidP="00CC4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697A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CC4641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  <w:r w:rsidR="00F40267" w:rsidRPr="00F402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2017 </w:t>
            </w:r>
            <w:r w:rsidR="00990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 </w:t>
            </w:r>
            <w:r w:rsidR="009901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13.00 </w:t>
            </w:r>
            <w:r w:rsidR="00CC4641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8086F" w:rsidRPr="00CC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 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Iryna</w:t>
            </w:r>
            <w:r w:rsidR="00857DED" w:rsidRPr="00CC46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ostapa</w:t>
            </w:r>
            <w:r w:rsidR="00857DED" w:rsidRPr="00CC4641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coe</w:t>
            </w:r>
            <w:r w:rsidR="00857DED" w:rsidRPr="00CC46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</w:tr>
      <w:tr w:rsidR="00B567F6" w:rsidRPr="0099016C" w:rsidTr="0040156E">
        <w:trPr>
          <w:trHeight w:val="550"/>
        </w:trPr>
        <w:tc>
          <w:tcPr>
            <w:tcW w:w="2978" w:type="dxa"/>
            <w:shd w:val="clear" w:color="auto" w:fill="auto"/>
          </w:tcPr>
          <w:p w:rsidR="00B567F6" w:rsidRPr="00010596" w:rsidRDefault="0099016C" w:rsidP="0099016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Award</w:t>
            </w:r>
            <w:r w:rsidRPr="009901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  <w:r w:rsidRPr="009901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67" w:type="dxa"/>
            <w:shd w:val="clear" w:color="auto" w:fill="auto"/>
          </w:tcPr>
          <w:p w:rsidR="00B567F6" w:rsidRPr="0099016C" w:rsidRDefault="0099016C" w:rsidP="005D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Submitted proposals (application forms) will be assessed according to the following criteria: </w:t>
            </w:r>
          </w:p>
          <w:p w:rsidR="00B567F6" w:rsidRPr="00083D79" w:rsidRDefault="0099016C" w:rsidP="005D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sample and geography </w:t>
            </w:r>
            <w:r w:rsidR="00B567F6"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B567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B567F6"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%;</w:t>
            </w:r>
          </w:p>
          <w:p w:rsidR="00B567F6" w:rsidRDefault="0099016C" w:rsidP="005D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Price proposal</w:t>
            </w:r>
            <w:r w:rsidR="00B567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40 %;</w:t>
            </w:r>
          </w:p>
          <w:p w:rsidR="00B567F6" w:rsidRPr="00F908F5" w:rsidRDefault="0099016C" w:rsidP="005D50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proposed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coverage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mentioned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8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  <w:r w:rsidR="00F908F5" w:rsidRPr="00F9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7F6" w:rsidRPr="00F908F5">
              <w:rPr>
                <w:rFonts w:ascii="Times New Roman" w:hAnsi="Times New Roman" w:cs="Times New Roman"/>
                <w:sz w:val="20"/>
                <w:szCs w:val="20"/>
              </w:rPr>
              <w:t>- 20%;</w:t>
            </w:r>
          </w:p>
          <w:p w:rsidR="00B567F6" w:rsidRPr="0040156E" w:rsidRDefault="0099016C" w:rsidP="0099016C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Previous working experience with TV and radio channels </w:t>
            </w:r>
            <w:r w:rsidR="00B567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7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10%.</w:t>
            </w:r>
          </w:p>
        </w:tc>
      </w:tr>
      <w:tr w:rsidR="00246CCB" w:rsidRPr="00A1486C" w:rsidTr="000E5E15">
        <w:tc>
          <w:tcPr>
            <w:tcW w:w="2978" w:type="dxa"/>
            <w:shd w:val="clear" w:color="auto" w:fill="auto"/>
          </w:tcPr>
          <w:p w:rsidR="00246CCB" w:rsidRPr="00CC4641" w:rsidRDefault="00CC4641" w:rsidP="00246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Payment</w:t>
            </w:r>
          </w:p>
        </w:tc>
        <w:tc>
          <w:tcPr>
            <w:tcW w:w="7767" w:type="dxa"/>
            <w:shd w:val="clear" w:color="auto" w:fill="auto"/>
          </w:tcPr>
          <w:p w:rsidR="00CA2CD9" w:rsidRDefault="00CA2CD9" w:rsidP="00CA2CD9">
            <w:pPr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>The payments for the services to be paid by the Council shall be made as follows:</w:t>
            </w:r>
          </w:p>
          <w:p w:rsidR="00CA2CD9" w:rsidRDefault="00CA2CD9" w:rsidP="00CA2CD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 xml:space="preserve">50% advance payment upon signature of the Contract; </w:t>
            </w:r>
          </w:p>
          <w:p w:rsidR="006864E6" w:rsidRPr="0099016C" w:rsidRDefault="00CA2CD9" w:rsidP="0099016C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gramEnd"/>
            <w:r w:rsidRPr="00CA2CD9">
              <w:rPr>
                <w:rFonts w:ascii="Times New Roman" w:hAnsi="Times New Roman" w:cs="Times New Roman"/>
                <w:sz w:val="20"/>
                <w:szCs w:val="20"/>
              </w:rPr>
              <w:t xml:space="preserve"> balance payment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actual expenditures </w:t>
            </w: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 xml:space="preserve">shall be made within 60 calendar days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 xml:space="preserve">submission of the deliverable(s) </w:t>
            </w:r>
            <w:r w:rsidR="0099016C">
              <w:rPr>
                <w:rFonts w:ascii="Times New Roman" w:hAnsi="Times New Roman" w:cs="Times New Roman"/>
                <w:sz w:val="20"/>
                <w:szCs w:val="20"/>
              </w:rPr>
              <w:t xml:space="preserve">according to the contract </w:t>
            </w: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>and its/their acceptance by the Council</w:t>
            </w:r>
            <w:r w:rsidR="0099016C">
              <w:rPr>
                <w:rFonts w:ascii="Times New Roman" w:hAnsi="Times New Roman" w:cs="Times New Roman"/>
                <w:sz w:val="20"/>
                <w:szCs w:val="20"/>
              </w:rPr>
              <w:t xml:space="preserve"> including submission of the respective invoice</w:t>
            </w:r>
            <w:r w:rsidRPr="00CA2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F43" w:rsidRPr="00283150" w:rsidTr="000E5E15">
        <w:tc>
          <w:tcPr>
            <w:tcW w:w="2978" w:type="dxa"/>
            <w:shd w:val="clear" w:color="auto" w:fill="auto"/>
          </w:tcPr>
          <w:p w:rsidR="00B40F43" w:rsidRPr="00CC4641" w:rsidRDefault="00CC4641" w:rsidP="00625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Tender is published</w:t>
            </w:r>
          </w:p>
        </w:tc>
        <w:tc>
          <w:tcPr>
            <w:tcW w:w="7767" w:type="dxa"/>
            <w:shd w:val="clear" w:color="auto" w:fill="auto"/>
          </w:tcPr>
          <w:p w:rsidR="003F68FF" w:rsidRPr="00CC4641" w:rsidRDefault="00B567F6" w:rsidP="00CC464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CC4641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  <w:r w:rsidR="00CC4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 </w:t>
            </w:r>
          </w:p>
        </w:tc>
      </w:tr>
      <w:tr w:rsidR="00B567F6" w:rsidRPr="00283150" w:rsidTr="000E5E15">
        <w:tc>
          <w:tcPr>
            <w:tcW w:w="2978" w:type="dxa"/>
            <w:shd w:val="clear" w:color="auto" w:fill="auto"/>
          </w:tcPr>
          <w:p w:rsidR="00B567F6" w:rsidRPr="00CC4641" w:rsidRDefault="00CC4641" w:rsidP="00CC4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Results will be announced</w:t>
            </w:r>
          </w:p>
        </w:tc>
        <w:tc>
          <w:tcPr>
            <w:tcW w:w="7767" w:type="dxa"/>
            <w:shd w:val="clear" w:color="auto" w:fill="auto"/>
          </w:tcPr>
          <w:p w:rsidR="00B567F6" w:rsidRPr="00CC4641" w:rsidRDefault="00CC4641" w:rsidP="00B567F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Until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 </w:t>
            </w:r>
          </w:p>
        </w:tc>
      </w:tr>
      <w:tr w:rsidR="00951074" w:rsidRPr="00CC4641" w:rsidTr="0095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CC4641" w:rsidRDefault="00CC4641" w:rsidP="00CC4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Council of Europe contact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CC4641" w:rsidRDefault="00CC4641" w:rsidP="00CC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case you have questions related to the tender, please contact Iryna Ostapa at mobile 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 xml:space="preserve">+380 </w:t>
            </w:r>
            <w:r w:rsidR="00F40267" w:rsidRPr="00CC4641">
              <w:rPr>
                <w:rFonts w:ascii="Times New Roman" w:hAnsi="Times New Roman" w:cs="Times New Roman"/>
                <w:sz w:val="20"/>
                <w:szCs w:val="20"/>
              </w:rPr>
              <w:t>93 7627757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Iryna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ostapa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  <w:r w:rsidR="00951074" w:rsidRPr="00CC4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1074" w:rsidRPr="00F40267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</w:tr>
    </w:tbl>
    <w:p w:rsidR="00FC6F7E" w:rsidRPr="00CC4641" w:rsidRDefault="00FC6F7E" w:rsidP="008C772D">
      <w:pPr>
        <w:rPr>
          <w:rFonts w:ascii="Times New Roman" w:hAnsi="Times New Roman" w:cs="Times New Roman"/>
          <w:sz w:val="24"/>
          <w:szCs w:val="24"/>
        </w:rPr>
      </w:pPr>
    </w:p>
    <w:sectPr w:rsidR="00FC6F7E" w:rsidRPr="00CC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503"/>
    <w:multiLevelType w:val="hybridMultilevel"/>
    <w:tmpl w:val="A42C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4C1"/>
    <w:multiLevelType w:val="hybridMultilevel"/>
    <w:tmpl w:val="C2E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8FD"/>
    <w:multiLevelType w:val="hybridMultilevel"/>
    <w:tmpl w:val="8FA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79D0"/>
    <w:multiLevelType w:val="hybridMultilevel"/>
    <w:tmpl w:val="CA6C3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3CC"/>
    <w:multiLevelType w:val="hybridMultilevel"/>
    <w:tmpl w:val="3B70A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24496"/>
    <w:multiLevelType w:val="hybridMultilevel"/>
    <w:tmpl w:val="14C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7ED"/>
    <w:multiLevelType w:val="hybridMultilevel"/>
    <w:tmpl w:val="59186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5FCC"/>
    <w:multiLevelType w:val="hybridMultilevel"/>
    <w:tmpl w:val="285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23D8"/>
    <w:multiLevelType w:val="hybridMultilevel"/>
    <w:tmpl w:val="94E8E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54EF4"/>
    <w:multiLevelType w:val="hybridMultilevel"/>
    <w:tmpl w:val="4C98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C10"/>
    <w:multiLevelType w:val="hybridMultilevel"/>
    <w:tmpl w:val="B7E667AE"/>
    <w:lvl w:ilvl="0" w:tplc="EDCEA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75E5"/>
    <w:multiLevelType w:val="hybridMultilevel"/>
    <w:tmpl w:val="EA6CBAFA"/>
    <w:lvl w:ilvl="0" w:tplc="A52C0AD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35E5FFB"/>
    <w:multiLevelType w:val="hybridMultilevel"/>
    <w:tmpl w:val="FCE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022EB"/>
    <w:multiLevelType w:val="hybridMultilevel"/>
    <w:tmpl w:val="0C32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8C7F29"/>
    <w:multiLevelType w:val="hybridMultilevel"/>
    <w:tmpl w:val="160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1304"/>
    <w:multiLevelType w:val="hybridMultilevel"/>
    <w:tmpl w:val="6576E5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34AC0"/>
    <w:multiLevelType w:val="hybridMultilevel"/>
    <w:tmpl w:val="D714C368"/>
    <w:lvl w:ilvl="0" w:tplc="8E20D826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365BE"/>
    <w:multiLevelType w:val="hybridMultilevel"/>
    <w:tmpl w:val="F81846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A1F56C6"/>
    <w:multiLevelType w:val="hybridMultilevel"/>
    <w:tmpl w:val="3FC48E32"/>
    <w:lvl w:ilvl="0" w:tplc="D5442630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8F64D2"/>
    <w:multiLevelType w:val="hybridMultilevel"/>
    <w:tmpl w:val="D81E8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44890"/>
    <w:multiLevelType w:val="hybridMultilevel"/>
    <w:tmpl w:val="1F10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7D764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45F43"/>
    <w:multiLevelType w:val="hybridMultilevel"/>
    <w:tmpl w:val="C78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54D6B"/>
    <w:multiLevelType w:val="hybridMultilevel"/>
    <w:tmpl w:val="B7B8A4C0"/>
    <w:lvl w:ilvl="0" w:tplc="39ACF1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26777"/>
    <w:multiLevelType w:val="hybridMultilevel"/>
    <w:tmpl w:val="96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07AED"/>
    <w:multiLevelType w:val="hybridMultilevel"/>
    <w:tmpl w:val="160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36307"/>
    <w:multiLevelType w:val="hybridMultilevel"/>
    <w:tmpl w:val="A2C4A1DC"/>
    <w:lvl w:ilvl="0" w:tplc="5C58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47" w:hanging="180"/>
      </w:pPr>
      <w:rPr>
        <w:rFonts w:ascii="Symbol" w:hAnsi="Symbol" w:hint="default"/>
      </w:rPr>
    </w:lvl>
    <w:lvl w:ilvl="3" w:tplc="1C8EEE3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E2924"/>
    <w:multiLevelType w:val="hybridMultilevel"/>
    <w:tmpl w:val="F242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13A86"/>
    <w:multiLevelType w:val="hybridMultilevel"/>
    <w:tmpl w:val="E5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706C2"/>
    <w:multiLevelType w:val="hybridMultilevel"/>
    <w:tmpl w:val="D62E4A3C"/>
    <w:lvl w:ilvl="0" w:tplc="0409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2">
    <w:nsid w:val="7FDB437D"/>
    <w:multiLevelType w:val="hybridMultilevel"/>
    <w:tmpl w:val="915A96DA"/>
    <w:lvl w:ilvl="0" w:tplc="B330C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26"/>
  </w:num>
  <w:num w:numId="5">
    <w:abstractNumId w:val="12"/>
  </w:num>
  <w:num w:numId="6">
    <w:abstractNumId w:val="4"/>
  </w:num>
  <w:num w:numId="7">
    <w:abstractNumId w:val="19"/>
  </w:num>
  <w:num w:numId="8">
    <w:abstractNumId w:val="2"/>
  </w:num>
  <w:num w:numId="9">
    <w:abstractNumId w:val="29"/>
  </w:num>
  <w:num w:numId="10">
    <w:abstractNumId w:val="30"/>
  </w:num>
  <w:num w:numId="11">
    <w:abstractNumId w:val="8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16"/>
  </w:num>
  <w:num w:numId="21">
    <w:abstractNumId w:val="13"/>
  </w:num>
  <w:num w:numId="22">
    <w:abstractNumId w:val="6"/>
  </w:num>
  <w:num w:numId="23">
    <w:abstractNumId w:val="21"/>
  </w:num>
  <w:num w:numId="24">
    <w:abstractNumId w:val="22"/>
  </w:num>
  <w:num w:numId="25">
    <w:abstractNumId w:val="31"/>
  </w:num>
  <w:num w:numId="26">
    <w:abstractNumId w:val="1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D"/>
    <w:rsid w:val="0000003F"/>
    <w:rsid w:val="00004E5B"/>
    <w:rsid w:val="00010596"/>
    <w:rsid w:val="00021327"/>
    <w:rsid w:val="00043EDD"/>
    <w:rsid w:val="00083D79"/>
    <w:rsid w:val="00087563"/>
    <w:rsid w:val="000B3999"/>
    <w:rsid w:val="000B69C3"/>
    <w:rsid w:val="000E5361"/>
    <w:rsid w:val="000E5E15"/>
    <w:rsid w:val="000F3CF6"/>
    <w:rsid w:val="00154BF4"/>
    <w:rsid w:val="00191739"/>
    <w:rsid w:val="001A67EE"/>
    <w:rsid w:val="001A7D04"/>
    <w:rsid w:val="001B0276"/>
    <w:rsid w:val="001D298F"/>
    <w:rsid w:val="001D4D9A"/>
    <w:rsid w:val="001E56F8"/>
    <w:rsid w:val="001F4904"/>
    <w:rsid w:val="00205B04"/>
    <w:rsid w:val="00246CCB"/>
    <w:rsid w:val="00283150"/>
    <w:rsid w:val="002B21F5"/>
    <w:rsid w:val="002B315F"/>
    <w:rsid w:val="002C1DC8"/>
    <w:rsid w:val="002D00E7"/>
    <w:rsid w:val="002D3DEE"/>
    <w:rsid w:val="002D79F1"/>
    <w:rsid w:val="002F2869"/>
    <w:rsid w:val="002F72CB"/>
    <w:rsid w:val="00316C77"/>
    <w:rsid w:val="00320AEF"/>
    <w:rsid w:val="003224A2"/>
    <w:rsid w:val="0034216A"/>
    <w:rsid w:val="00353B19"/>
    <w:rsid w:val="00374DA9"/>
    <w:rsid w:val="003B2656"/>
    <w:rsid w:val="003B71DD"/>
    <w:rsid w:val="003E765E"/>
    <w:rsid w:val="003F27E1"/>
    <w:rsid w:val="003F68FF"/>
    <w:rsid w:val="0040156E"/>
    <w:rsid w:val="004373FE"/>
    <w:rsid w:val="004400E6"/>
    <w:rsid w:val="00466EAE"/>
    <w:rsid w:val="004969F3"/>
    <w:rsid w:val="004C1546"/>
    <w:rsid w:val="004C4FD6"/>
    <w:rsid w:val="004E34C9"/>
    <w:rsid w:val="004F14EC"/>
    <w:rsid w:val="004F6C18"/>
    <w:rsid w:val="005123D5"/>
    <w:rsid w:val="00513855"/>
    <w:rsid w:val="00536D30"/>
    <w:rsid w:val="00552C0A"/>
    <w:rsid w:val="00567036"/>
    <w:rsid w:val="00584B31"/>
    <w:rsid w:val="00586258"/>
    <w:rsid w:val="005A2916"/>
    <w:rsid w:val="005A46DD"/>
    <w:rsid w:val="005D42D4"/>
    <w:rsid w:val="005D5088"/>
    <w:rsid w:val="005F074A"/>
    <w:rsid w:val="00625000"/>
    <w:rsid w:val="006252AC"/>
    <w:rsid w:val="00630C6A"/>
    <w:rsid w:val="006677FF"/>
    <w:rsid w:val="00670292"/>
    <w:rsid w:val="006864E6"/>
    <w:rsid w:val="00697AA9"/>
    <w:rsid w:val="006B4AA8"/>
    <w:rsid w:val="006B7DCF"/>
    <w:rsid w:val="006D20C1"/>
    <w:rsid w:val="006E5076"/>
    <w:rsid w:val="006E77F0"/>
    <w:rsid w:val="00705CE7"/>
    <w:rsid w:val="00713D53"/>
    <w:rsid w:val="00735F78"/>
    <w:rsid w:val="007517B9"/>
    <w:rsid w:val="007555ED"/>
    <w:rsid w:val="007A3FFA"/>
    <w:rsid w:val="007C524A"/>
    <w:rsid w:val="00846ADB"/>
    <w:rsid w:val="00857DED"/>
    <w:rsid w:val="00866DCC"/>
    <w:rsid w:val="00877650"/>
    <w:rsid w:val="00885C59"/>
    <w:rsid w:val="008A0433"/>
    <w:rsid w:val="008B7453"/>
    <w:rsid w:val="008C772D"/>
    <w:rsid w:val="008D2D34"/>
    <w:rsid w:val="008E1AF4"/>
    <w:rsid w:val="00916CEA"/>
    <w:rsid w:val="00937DF7"/>
    <w:rsid w:val="00951074"/>
    <w:rsid w:val="009755A7"/>
    <w:rsid w:val="00976443"/>
    <w:rsid w:val="0098086F"/>
    <w:rsid w:val="00987942"/>
    <w:rsid w:val="0099016C"/>
    <w:rsid w:val="00A07AD8"/>
    <w:rsid w:val="00A1486C"/>
    <w:rsid w:val="00A64E78"/>
    <w:rsid w:val="00AC492D"/>
    <w:rsid w:val="00AD03FE"/>
    <w:rsid w:val="00AD2FF1"/>
    <w:rsid w:val="00AF6177"/>
    <w:rsid w:val="00B0289E"/>
    <w:rsid w:val="00B20577"/>
    <w:rsid w:val="00B235A8"/>
    <w:rsid w:val="00B40F43"/>
    <w:rsid w:val="00B5602E"/>
    <w:rsid w:val="00B567F6"/>
    <w:rsid w:val="00B61357"/>
    <w:rsid w:val="00B62801"/>
    <w:rsid w:val="00B741FF"/>
    <w:rsid w:val="00BB2B00"/>
    <w:rsid w:val="00BC6FBE"/>
    <w:rsid w:val="00BE2930"/>
    <w:rsid w:val="00BE60ED"/>
    <w:rsid w:val="00BF1188"/>
    <w:rsid w:val="00C06495"/>
    <w:rsid w:val="00C178D9"/>
    <w:rsid w:val="00C349A3"/>
    <w:rsid w:val="00C50D4B"/>
    <w:rsid w:val="00C561AD"/>
    <w:rsid w:val="00C71CF8"/>
    <w:rsid w:val="00CA2CD9"/>
    <w:rsid w:val="00CC4641"/>
    <w:rsid w:val="00CE711C"/>
    <w:rsid w:val="00CF244D"/>
    <w:rsid w:val="00D012AF"/>
    <w:rsid w:val="00D13F72"/>
    <w:rsid w:val="00D235FF"/>
    <w:rsid w:val="00DC16AA"/>
    <w:rsid w:val="00E118EE"/>
    <w:rsid w:val="00E348E5"/>
    <w:rsid w:val="00E439B0"/>
    <w:rsid w:val="00E759E9"/>
    <w:rsid w:val="00E77E49"/>
    <w:rsid w:val="00EB1FD4"/>
    <w:rsid w:val="00EE2023"/>
    <w:rsid w:val="00EE411C"/>
    <w:rsid w:val="00F174E9"/>
    <w:rsid w:val="00F21B8D"/>
    <w:rsid w:val="00F30116"/>
    <w:rsid w:val="00F3107F"/>
    <w:rsid w:val="00F40267"/>
    <w:rsid w:val="00F40986"/>
    <w:rsid w:val="00F4420C"/>
    <w:rsid w:val="00F7129C"/>
    <w:rsid w:val="00F908F5"/>
    <w:rsid w:val="00FA3066"/>
    <w:rsid w:val="00FC2973"/>
    <w:rsid w:val="00FC6F7E"/>
    <w:rsid w:val="00FE6DC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43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390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.dp.ua/" TargetMode="External"/><Relationship Id="rId13" Type="http://schemas.openxmlformats.org/officeDocument/2006/relationships/hyperlink" Target="http://www.odtrk.if.ua/" TargetMode="External"/><Relationship Id="rId18" Type="http://schemas.openxmlformats.org/officeDocument/2006/relationships/hyperlink" Target="http://www.lodtrk.org.ua/" TargetMode="External"/><Relationship Id="rId26" Type="http://schemas.openxmlformats.org/officeDocument/2006/relationships/hyperlink" Target="http://www.otb.com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odtrk.od.ua/" TargetMode="External"/><Relationship Id="rId34" Type="http://schemas.openxmlformats.org/officeDocument/2006/relationships/image" Target="media/image2.emf"/><Relationship Id="rId7" Type="http://schemas.openxmlformats.org/officeDocument/2006/relationships/hyperlink" Target="http://www.voltv.com.ua/" TargetMode="External"/><Relationship Id="rId12" Type="http://schemas.openxmlformats.org/officeDocument/2006/relationships/hyperlink" Target="http://www.zodtrk.zp.ua/" TargetMode="External"/><Relationship Id="rId17" Type="http://schemas.openxmlformats.org/officeDocument/2006/relationships/hyperlink" Target="http://www.lot.lg.ua/" TargetMode="External"/><Relationship Id="rId25" Type="http://schemas.openxmlformats.org/officeDocument/2006/relationships/hyperlink" Target="http://todtrk.te.ua/" TargetMode="External"/><Relationship Id="rId33" Type="http://schemas.openxmlformats.org/officeDocument/2006/relationships/hyperlink" Target="http://1tv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tro.com.ua/" TargetMode="External"/><Relationship Id="rId20" Type="http://schemas.openxmlformats.org/officeDocument/2006/relationships/hyperlink" Target="http://www.trksiver.com.ua/" TargetMode="External"/><Relationship Id="rId29" Type="http://schemas.openxmlformats.org/officeDocument/2006/relationships/hyperlink" Target="http://www.tvros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isa1.tv/" TargetMode="External"/><Relationship Id="rId24" Type="http://schemas.openxmlformats.org/officeDocument/2006/relationships/hyperlink" Target="http://www.tv.sumy.ua/" TargetMode="External"/><Relationship Id="rId32" Type="http://schemas.openxmlformats.org/officeDocument/2006/relationships/hyperlink" Target="http://cultureua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dtrk.tv/" TargetMode="External"/><Relationship Id="rId23" Type="http://schemas.openxmlformats.org/officeDocument/2006/relationships/hyperlink" Target="http://rtb.rv.ua/company/tele/" TargetMode="External"/><Relationship Id="rId28" Type="http://schemas.openxmlformats.org/officeDocument/2006/relationships/hyperlink" Target="http://www.odtrk.km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vradiozt.com.ua/" TargetMode="External"/><Relationship Id="rId19" Type="http://schemas.openxmlformats.org/officeDocument/2006/relationships/hyperlink" Target="http://www.trk.mksat.net/htm/tm_prog.htm" TargetMode="External"/><Relationship Id="rId31" Type="http://schemas.openxmlformats.org/officeDocument/2006/relationships/hyperlink" Target="http://chodtrk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tb.dn.ua/" TargetMode="External"/><Relationship Id="rId14" Type="http://schemas.openxmlformats.org/officeDocument/2006/relationships/hyperlink" Target="http://www.kdrtrk.inet.ua/" TargetMode="External"/><Relationship Id="rId22" Type="http://schemas.openxmlformats.org/officeDocument/2006/relationships/hyperlink" Target="http://www.ltava.poltava.ua/" TargetMode="External"/><Relationship Id="rId27" Type="http://schemas.openxmlformats.org/officeDocument/2006/relationships/hyperlink" Target="http://www.skifiya.ua/" TargetMode="External"/><Relationship Id="rId30" Type="http://schemas.openxmlformats.org/officeDocument/2006/relationships/hyperlink" Target="https://bukovyna.tv/" TargetMode="External"/><Relationship Id="rId35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SHAMRAI Tetiana</dc:creator>
  <cp:lastModifiedBy>OSTAPA Iryna</cp:lastModifiedBy>
  <cp:revision>10</cp:revision>
  <cp:lastPrinted>2017-10-09T09:26:00Z</cp:lastPrinted>
  <dcterms:created xsi:type="dcterms:W3CDTF">2017-10-06T11:54:00Z</dcterms:created>
  <dcterms:modified xsi:type="dcterms:W3CDTF">2017-10-10T15:37:00Z</dcterms:modified>
</cp:coreProperties>
</file>