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85" w:rsidRPr="009B34EC" w:rsidRDefault="00406722" w:rsidP="00AC29BB">
      <w:pPr>
        <w:pStyle w:val="TKMAINTITLE"/>
        <w:rPr>
          <w:lang w:val="it-IT"/>
        </w:rPr>
      </w:pPr>
      <w:r w:rsidRPr="009B34EC">
        <w:rPr>
          <w:lang w:val="it-IT"/>
        </w:rPr>
        <w:t>4</w:t>
      </w:r>
      <w:r w:rsidR="00AC29BB" w:rsidRPr="009B34EC">
        <w:rPr>
          <w:lang w:val="it-IT"/>
        </w:rPr>
        <w:t xml:space="preserve"> </w:t>
      </w:r>
      <w:r w:rsidR="009B34EC" w:rsidRPr="009B34EC">
        <w:rPr>
          <w:lang w:val="it-IT"/>
        </w:rPr>
        <w:t>–</w:t>
      </w:r>
      <w:r w:rsidR="00AC29BB" w:rsidRPr="009B34EC">
        <w:rPr>
          <w:lang w:val="it-IT"/>
        </w:rPr>
        <w:t xml:space="preserve"> </w:t>
      </w:r>
      <w:r w:rsidR="000B4B8F">
        <w:rPr>
          <w:lang w:val="it-IT"/>
        </w:rPr>
        <w:t>Affrontare</w:t>
      </w:r>
      <w:r w:rsidR="009B34EC" w:rsidRPr="009B34EC">
        <w:rPr>
          <w:lang w:val="it-IT"/>
        </w:rPr>
        <w:t xml:space="preserve"> in modo appr</w:t>
      </w:r>
      <w:r w:rsidR="009B34EC">
        <w:rPr>
          <w:lang w:val="it-IT"/>
        </w:rPr>
        <w:t>o</w:t>
      </w:r>
      <w:r w:rsidR="009B34EC" w:rsidRPr="009B34EC">
        <w:rPr>
          <w:lang w:val="it-IT"/>
        </w:rPr>
        <w:t>priato le differenze culturali e gestire la comunicazione interculturale</w:t>
      </w:r>
    </w:p>
    <w:p w:rsidR="00472385" w:rsidRPr="009B34EC" w:rsidRDefault="009B34EC" w:rsidP="009B34EC">
      <w:pPr>
        <w:pStyle w:val="TKAIM"/>
        <w:ind w:left="1416" w:hanging="1416"/>
        <w:rPr>
          <w:lang w:val="it-IT"/>
        </w:rPr>
      </w:pPr>
      <w:r w:rsidRPr="009B34EC">
        <w:rPr>
          <w:lang w:val="it-IT"/>
        </w:rPr>
        <w:t>Obiettivo</w:t>
      </w:r>
      <w:r w:rsidR="00472385" w:rsidRPr="009B34EC">
        <w:rPr>
          <w:lang w:val="it-IT"/>
        </w:rPr>
        <w:t>:</w:t>
      </w:r>
      <w:r w:rsidR="00AC29BB" w:rsidRPr="009B34EC">
        <w:rPr>
          <w:lang w:val="it-IT"/>
        </w:rPr>
        <w:tab/>
      </w:r>
      <w:r>
        <w:rPr>
          <w:lang w:val="it-IT"/>
        </w:rPr>
        <w:t xml:space="preserve">fornire </w:t>
      </w:r>
      <w:r w:rsidR="00373C1E">
        <w:rPr>
          <w:lang w:val="it-IT"/>
        </w:rPr>
        <w:t xml:space="preserve">alcuni </w:t>
      </w:r>
      <w:r>
        <w:rPr>
          <w:lang w:val="it-IT"/>
        </w:rPr>
        <w:t>suggerimenti su come gestire la comunicazione interculturale</w:t>
      </w:r>
      <w:r w:rsidR="00373C1E">
        <w:rPr>
          <w:lang w:val="it-IT"/>
        </w:rPr>
        <w:t xml:space="preserve">, affrontando </w:t>
      </w:r>
      <w:r w:rsidR="00373C1E" w:rsidRPr="009B34EC">
        <w:rPr>
          <w:lang w:val="it-IT"/>
        </w:rPr>
        <w:t>questioni fondamentali derivanti dall</w:t>
      </w:r>
      <w:r w:rsidR="00373C1E">
        <w:rPr>
          <w:lang w:val="it-IT"/>
        </w:rPr>
        <w:t>e</w:t>
      </w:r>
      <w:r w:rsidR="00373C1E" w:rsidRPr="009B34EC">
        <w:rPr>
          <w:lang w:val="it-IT"/>
        </w:rPr>
        <w:t xml:space="preserve"> </w:t>
      </w:r>
      <w:r w:rsidR="00373C1E">
        <w:rPr>
          <w:lang w:val="it-IT"/>
        </w:rPr>
        <w:t>differenze culturali</w:t>
      </w:r>
      <w:r w:rsidR="00392E44" w:rsidRPr="009B34EC">
        <w:rPr>
          <w:lang w:val="it-IT"/>
        </w:rPr>
        <w:t>.</w:t>
      </w:r>
    </w:p>
    <w:p w:rsidR="009B34EC" w:rsidRPr="00F21E56" w:rsidRDefault="00373C1E" w:rsidP="00690644">
      <w:pPr>
        <w:spacing w:before="120" w:after="120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C</w:t>
      </w:r>
      <w:r w:rsidR="009B34EC" w:rsidRPr="00F21E56">
        <w:rPr>
          <w:b/>
          <w:sz w:val="32"/>
          <w:szCs w:val="32"/>
          <w:lang w:val="it-IT"/>
        </w:rPr>
        <w:t>osa è la cultura?</w:t>
      </w:r>
    </w:p>
    <w:p w:rsidR="009B34EC" w:rsidRPr="00EA14C8" w:rsidRDefault="009B34EC" w:rsidP="009B34EC">
      <w:pPr>
        <w:rPr>
          <w:szCs w:val="24"/>
          <w:lang w:val="it-IT"/>
        </w:rPr>
      </w:pPr>
      <w:r w:rsidRPr="009D402D">
        <w:rPr>
          <w:szCs w:val="24"/>
          <w:lang w:val="it-IT"/>
        </w:rPr>
        <w:t>Per “cultura” intendiamo un</w:t>
      </w:r>
      <w:r w:rsidR="00F21E56" w:rsidRPr="009D402D">
        <w:rPr>
          <w:szCs w:val="24"/>
          <w:lang w:val="it-IT"/>
        </w:rPr>
        <w:t>a serie di attitudini, credenze</w:t>
      </w:r>
      <w:r w:rsidRPr="009D402D">
        <w:rPr>
          <w:szCs w:val="24"/>
          <w:lang w:val="it-IT"/>
        </w:rPr>
        <w:t xml:space="preserve">, opinioni, valori che contribuiscono a </w:t>
      </w:r>
      <w:r w:rsidR="00F21E56" w:rsidRPr="009D402D">
        <w:rPr>
          <w:szCs w:val="24"/>
          <w:lang w:val="it-IT"/>
        </w:rPr>
        <w:t>modellare</w:t>
      </w:r>
      <w:r w:rsidR="007E5B92" w:rsidRPr="009D402D">
        <w:rPr>
          <w:szCs w:val="24"/>
          <w:lang w:val="it-IT"/>
        </w:rPr>
        <w:t xml:space="preserve"> </w:t>
      </w:r>
      <w:r w:rsidR="00F21E56" w:rsidRPr="009D402D">
        <w:rPr>
          <w:szCs w:val="24"/>
          <w:lang w:val="it-IT"/>
        </w:rPr>
        <w:t>il comportamento</w:t>
      </w:r>
      <w:r w:rsidR="000B4B8F" w:rsidRPr="009D402D">
        <w:rPr>
          <w:szCs w:val="24"/>
          <w:lang w:val="it-IT"/>
        </w:rPr>
        <w:t xml:space="preserve"> </w:t>
      </w:r>
      <w:r w:rsidRPr="009D402D">
        <w:rPr>
          <w:szCs w:val="24"/>
          <w:lang w:val="it-IT"/>
        </w:rPr>
        <w:t xml:space="preserve">e a </w:t>
      </w:r>
      <w:r w:rsidR="00F21E56" w:rsidRPr="009D402D">
        <w:rPr>
          <w:szCs w:val="24"/>
          <w:lang w:val="it-IT"/>
        </w:rPr>
        <w:t>creare</w:t>
      </w:r>
      <w:r w:rsidR="007E5B92" w:rsidRPr="009D402D">
        <w:rPr>
          <w:szCs w:val="24"/>
          <w:lang w:val="it-IT"/>
        </w:rPr>
        <w:t xml:space="preserve"> </w:t>
      </w:r>
      <w:r w:rsidR="00EA14C8">
        <w:rPr>
          <w:szCs w:val="24"/>
          <w:lang w:val="it-IT"/>
        </w:rPr>
        <w:t>artefatti</w:t>
      </w:r>
      <w:r w:rsidR="00FD038C" w:rsidRPr="009D402D">
        <w:rPr>
          <w:szCs w:val="24"/>
          <w:lang w:val="it-IT"/>
        </w:rPr>
        <w:t xml:space="preserve"> </w:t>
      </w:r>
      <w:r w:rsidRPr="009D402D">
        <w:rPr>
          <w:szCs w:val="24"/>
          <w:lang w:val="it-IT"/>
        </w:rPr>
        <w:t>caratteristic</w:t>
      </w:r>
      <w:r w:rsidR="00CC2E62" w:rsidRPr="009D402D">
        <w:rPr>
          <w:szCs w:val="24"/>
          <w:lang w:val="it-IT"/>
        </w:rPr>
        <w:t>i</w:t>
      </w:r>
      <w:r w:rsidRPr="009D402D">
        <w:rPr>
          <w:szCs w:val="24"/>
          <w:lang w:val="it-IT"/>
        </w:rPr>
        <w:t>.</w:t>
      </w:r>
      <w:r w:rsidR="00690644">
        <w:rPr>
          <w:szCs w:val="24"/>
          <w:lang w:val="it-IT"/>
        </w:rPr>
        <w:t xml:space="preserve"> </w:t>
      </w:r>
      <w:r w:rsidRPr="00457358">
        <w:rPr>
          <w:szCs w:val="24"/>
          <w:lang w:val="it-IT"/>
        </w:rPr>
        <w:t>Secondo questa definizione, alcuni aspetti della cultura sono visibili (</w:t>
      </w:r>
      <w:r w:rsidR="00F21E56">
        <w:rPr>
          <w:szCs w:val="24"/>
          <w:lang w:val="it-IT"/>
        </w:rPr>
        <w:t xml:space="preserve">il </w:t>
      </w:r>
      <w:r w:rsidRPr="00457358">
        <w:rPr>
          <w:szCs w:val="24"/>
          <w:lang w:val="it-IT"/>
        </w:rPr>
        <w:t xml:space="preserve">comportamento, </w:t>
      </w:r>
      <w:r w:rsidR="00EA14C8">
        <w:rPr>
          <w:szCs w:val="24"/>
          <w:lang w:val="it-IT"/>
        </w:rPr>
        <w:t>i risultati</w:t>
      </w:r>
      <w:r w:rsidR="00F21E56">
        <w:rPr>
          <w:szCs w:val="24"/>
          <w:lang w:val="it-IT"/>
        </w:rPr>
        <w:t xml:space="preserve"> del lavoro umano</w:t>
      </w:r>
      <w:r w:rsidRPr="00457358">
        <w:rPr>
          <w:szCs w:val="24"/>
          <w:lang w:val="it-IT"/>
        </w:rPr>
        <w:t>) altri</w:t>
      </w:r>
      <w:r w:rsidR="00457358">
        <w:rPr>
          <w:szCs w:val="24"/>
          <w:lang w:val="it-IT"/>
        </w:rPr>
        <w:t>,</w:t>
      </w:r>
      <w:r w:rsidRPr="00457358">
        <w:rPr>
          <w:szCs w:val="24"/>
          <w:lang w:val="it-IT"/>
        </w:rPr>
        <w:t xml:space="preserve"> invece</w:t>
      </w:r>
      <w:r w:rsidR="00457358">
        <w:rPr>
          <w:szCs w:val="24"/>
          <w:lang w:val="it-IT"/>
        </w:rPr>
        <w:t>,</w:t>
      </w:r>
      <w:r w:rsidRPr="00457358">
        <w:rPr>
          <w:szCs w:val="24"/>
          <w:lang w:val="it-IT"/>
        </w:rPr>
        <w:t xml:space="preserve"> non lo sono (</w:t>
      </w:r>
      <w:r w:rsidR="00F21E56">
        <w:rPr>
          <w:szCs w:val="24"/>
          <w:lang w:val="it-IT"/>
        </w:rPr>
        <w:t xml:space="preserve">le </w:t>
      </w:r>
      <w:r w:rsidRPr="00457358">
        <w:rPr>
          <w:szCs w:val="24"/>
          <w:lang w:val="it-IT"/>
        </w:rPr>
        <w:t xml:space="preserve">attitudini, </w:t>
      </w:r>
      <w:r w:rsidR="00F21E56">
        <w:rPr>
          <w:szCs w:val="24"/>
          <w:lang w:val="it-IT"/>
        </w:rPr>
        <w:t xml:space="preserve">le </w:t>
      </w:r>
      <w:r w:rsidRPr="00457358">
        <w:rPr>
          <w:szCs w:val="24"/>
          <w:lang w:val="it-IT"/>
        </w:rPr>
        <w:t xml:space="preserve">credenze, </w:t>
      </w:r>
      <w:r w:rsidR="00F21E56">
        <w:rPr>
          <w:szCs w:val="24"/>
          <w:lang w:val="it-IT"/>
        </w:rPr>
        <w:t xml:space="preserve">i </w:t>
      </w:r>
      <w:r w:rsidRPr="00457358">
        <w:rPr>
          <w:szCs w:val="24"/>
          <w:lang w:val="it-IT"/>
        </w:rPr>
        <w:t xml:space="preserve">valori). Quando </w:t>
      </w:r>
      <w:r w:rsidR="00AD244A">
        <w:rPr>
          <w:szCs w:val="24"/>
          <w:lang w:val="it-IT"/>
        </w:rPr>
        <w:t>consideriamo le manifestazioni</w:t>
      </w:r>
      <w:r w:rsidRPr="00457358">
        <w:rPr>
          <w:szCs w:val="24"/>
          <w:lang w:val="it-IT"/>
        </w:rPr>
        <w:t xml:space="preserve"> esteriori della cultura, </w:t>
      </w:r>
      <w:r w:rsidR="00AD244A">
        <w:rPr>
          <w:szCs w:val="24"/>
          <w:lang w:val="it-IT"/>
        </w:rPr>
        <w:t>specialmente</w:t>
      </w:r>
      <w:r w:rsidR="00F64C4B" w:rsidRPr="00457358">
        <w:rPr>
          <w:szCs w:val="24"/>
          <w:lang w:val="it-IT"/>
        </w:rPr>
        <w:t xml:space="preserve"> </w:t>
      </w:r>
      <w:r w:rsidR="00AD244A">
        <w:rPr>
          <w:szCs w:val="24"/>
          <w:lang w:val="it-IT"/>
        </w:rPr>
        <w:t>del</w:t>
      </w:r>
      <w:r w:rsidR="00457358">
        <w:rPr>
          <w:szCs w:val="24"/>
          <w:lang w:val="it-IT"/>
        </w:rPr>
        <w:t>l’</w:t>
      </w:r>
      <w:r w:rsidRPr="00457358">
        <w:rPr>
          <w:szCs w:val="24"/>
          <w:lang w:val="it-IT"/>
        </w:rPr>
        <w:t>“alta cultura”</w:t>
      </w:r>
      <w:r w:rsidR="00AD244A">
        <w:rPr>
          <w:szCs w:val="24"/>
          <w:lang w:val="it-IT"/>
        </w:rPr>
        <w:t>-</w:t>
      </w:r>
      <w:r w:rsidR="00E0517E">
        <w:rPr>
          <w:szCs w:val="24"/>
          <w:lang w:val="it-IT"/>
        </w:rPr>
        <w:t xml:space="preserve"> </w:t>
      </w:r>
      <w:r w:rsidRPr="00457358">
        <w:rPr>
          <w:szCs w:val="24"/>
          <w:lang w:val="it-IT"/>
        </w:rPr>
        <w:t xml:space="preserve">letteratura, </w:t>
      </w:r>
      <w:r w:rsidR="00AD244A">
        <w:rPr>
          <w:szCs w:val="24"/>
          <w:lang w:val="it-IT"/>
        </w:rPr>
        <w:t>pittura</w:t>
      </w:r>
      <w:r w:rsidRPr="00457358">
        <w:rPr>
          <w:szCs w:val="24"/>
          <w:lang w:val="it-IT"/>
        </w:rPr>
        <w:t xml:space="preserve">, </w:t>
      </w:r>
      <w:r w:rsidR="00EA14C8">
        <w:rPr>
          <w:szCs w:val="24"/>
          <w:lang w:val="it-IT"/>
        </w:rPr>
        <w:t>scultura,</w:t>
      </w:r>
      <w:r w:rsidRPr="00457358">
        <w:rPr>
          <w:szCs w:val="24"/>
          <w:lang w:val="it-IT"/>
        </w:rPr>
        <w:t xml:space="preserve"> musica</w:t>
      </w:r>
      <w:r w:rsidR="00AD244A">
        <w:rPr>
          <w:szCs w:val="24"/>
          <w:lang w:val="it-IT"/>
        </w:rPr>
        <w:t xml:space="preserve"> - </w:t>
      </w:r>
      <w:r w:rsidRPr="00457358">
        <w:rPr>
          <w:szCs w:val="24"/>
          <w:lang w:val="it-IT"/>
        </w:rPr>
        <w:t>ten</w:t>
      </w:r>
      <w:r w:rsidR="00EA14C8">
        <w:rPr>
          <w:szCs w:val="24"/>
          <w:lang w:val="it-IT"/>
        </w:rPr>
        <w:t>diamo ad associare le culture a</w:t>
      </w:r>
      <w:r w:rsidRPr="00457358">
        <w:rPr>
          <w:szCs w:val="24"/>
          <w:lang w:val="it-IT"/>
        </w:rPr>
        <w:t xml:space="preserve"> </w:t>
      </w:r>
      <w:r w:rsidR="00373C1E">
        <w:rPr>
          <w:szCs w:val="24"/>
          <w:lang w:val="it-IT"/>
        </w:rPr>
        <w:t>diversi</w:t>
      </w:r>
      <w:r w:rsidR="00F21E56">
        <w:rPr>
          <w:szCs w:val="24"/>
          <w:lang w:val="it-IT"/>
        </w:rPr>
        <w:t xml:space="preserve"> </w:t>
      </w:r>
      <w:r w:rsidR="00EA14C8">
        <w:rPr>
          <w:szCs w:val="24"/>
          <w:lang w:val="it-IT"/>
        </w:rPr>
        <w:t>P</w:t>
      </w:r>
      <w:r w:rsidRPr="00457358">
        <w:rPr>
          <w:szCs w:val="24"/>
          <w:lang w:val="it-IT"/>
        </w:rPr>
        <w:t>aesi e nazioni. La realtà, tuttavia, è molto più complessa: esistono</w:t>
      </w:r>
      <w:r w:rsidR="00CF3C35">
        <w:rPr>
          <w:szCs w:val="24"/>
          <w:lang w:val="it-IT"/>
        </w:rPr>
        <w:t xml:space="preserve"> infatti</w:t>
      </w:r>
      <w:r w:rsidR="00CC2E62">
        <w:rPr>
          <w:szCs w:val="24"/>
          <w:lang w:val="it-IT"/>
        </w:rPr>
        <w:t xml:space="preserve"> </w:t>
      </w:r>
      <w:r w:rsidRPr="00457358">
        <w:rPr>
          <w:szCs w:val="24"/>
          <w:lang w:val="it-IT"/>
        </w:rPr>
        <w:t>differ</w:t>
      </w:r>
      <w:r w:rsidR="00AD244A">
        <w:rPr>
          <w:szCs w:val="24"/>
          <w:lang w:val="it-IT"/>
        </w:rPr>
        <w:t>enze culturali non solo tra le</w:t>
      </w:r>
      <w:r w:rsidR="000F3660">
        <w:rPr>
          <w:szCs w:val="24"/>
          <w:lang w:val="it-IT"/>
        </w:rPr>
        <w:t xml:space="preserve"> </w:t>
      </w:r>
      <w:r w:rsidR="00CF3C35">
        <w:rPr>
          <w:szCs w:val="24"/>
          <w:lang w:val="it-IT"/>
        </w:rPr>
        <w:t xml:space="preserve">più importanti regioni geografiche del mondo e </w:t>
      </w:r>
      <w:r w:rsidR="00EA14C8">
        <w:rPr>
          <w:szCs w:val="24"/>
          <w:lang w:val="it-IT"/>
        </w:rPr>
        <w:t xml:space="preserve">tra </w:t>
      </w:r>
      <w:r w:rsidR="00CF3C35">
        <w:rPr>
          <w:szCs w:val="24"/>
          <w:lang w:val="it-IT"/>
        </w:rPr>
        <w:t>le principali religioni e</w:t>
      </w:r>
      <w:r w:rsidR="000F3660">
        <w:rPr>
          <w:szCs w:val="24"/>
          <w:lang w:val="it-IT"/>
        </w:rPr>
        <w:t xml:space="preserve"> nazioni</w:t>
      </w:r>
      <w:r w:rsidRPr="00457358">
        <w:rPr>
          <w:szCs w:val="24"/>
          <w:lang w:val="it-IT"/>
        </w:rPr>
        <w:t xml:space="preserve">, ma anche tra </w:t>
      </w:r>
      <w:r w:rsidR="000F3660">
        <w:rPr>
          <w:szCs w:val="24"/>
          <w:lang w:val="it-IT"/>
        </w:rPr>
        <w:t>specifici</w:t>
      </w:r>
      <w:r w:rsidRPr="00457358">
        <w:rPr>
          <w:szCs w:val="24"/>
          <w:lang w:val="it-IT"/>
        </w:rPr>
        <w:t xml:space="preserve"> sottogruppi etnici, religiosi, linguistici o regionali all’interno dei singoli </w:t>
      </w:r>
      <w:r w:rsidR="00EA14C8">
        <w:rPr>
          <w:szCs w:val="24"/>
          <w:lang w:val="it-IT"/>
        </w:rPr>
        <w:t>Stati</w:t>
      </w:r>
      <w:r w:rsidRPr="00457358">
        <w:rPr>
          <w:szCs w:val="24"/>
          <w:lang w:val="it-IT"/>
        </w:rPr>
        <w:t xml:space="preserve">. Pertanto, </w:t>
      </w:r>
      <w:r w:rsidR="00CF3C35">
        <w:rPr>
          <w:szCs w:val="24"/>
          <w:lang w:val="it-IT"/>
        </w:rPr>
        <w:t xml:space="preserve">anche se si </w:t>
      </w:r>
      <w:r w:rsidRPr="00457358">
        <w:rPr>
          <w:szCs w:val="24"/>
          <w:lang w:val="it-IT"/>
        </w:rPr>
        <w:t>conosce</w:t>
      </w:r>
      <w:r w:rsidR="00CF3C35">
        <w:rPr>
          <w:szCs w:val="24"/>
          <w:lang w:val="it-IT"/>
        </w:rPr>
        <w:t xml:space="preserve"> </w:t>
      </w:r>
      <w:r w:rsidR="00EA14C8">
        <w:rPr>
          <w:szCs w:val="24"/>
          <w:lang w:val="it-IT"/>
        </w:rPr>
        <w:t>il P</w:t>
      </w:r>
      <w:r w:rsidRPr="00457358">
        <w:rPr>
          <w:szCs w:val="24"/>
          <w:lang w:val="it-IT"/>
        </w:rPr>
        <w:t xml:space="preserve">aese, la regione o </w:t>
      </w:r>
      <w:r w:rsidR="000F3660">
        <w:rPr>
          <w:szCs w:val="24"/>
          <w:lang w:val="it-IT"/>
        </w:rPr>
        <w:t>lo specifico</w:t>
      </w:r>
      <w:r w:rsidRPr="00457358">
        <w:rPr>
          <w:szCs w:val="24"/>
          <w:lang w:val="it-IT"/>
        </w:rPr>
        <w:t xml:space="preserve"> </w:t>
      </w:r>
      <w:r w:rsidR="00373C1E">
        <w:rPr>
          <w:szCs w:val="24"/>
          <w:lang w:val="it-IT"/>
        </w:rPr>
        <w:t xml:space="preserve">sottogruppo </w:t>
      </w:r>
      <w:r w:rsidRPr="00457358">
        <w:rPr>
          <w:szCs w:val="24"/>
          <w:lang w:val="it-IT"/>
        </w:rPr>
        <w:t>al quale appartiene una persona, non è possibile prevedere quale sarà il suo comportamento in una</w:t>
      </w:r>
      <w:r w:rsidR="000F3660">
        <w:rPr>
          <w:szCs w:val="24"/>
          <w:lang w:val="it-IT"/>
        </w:rPr>
        <w:t xml:space="preserve"> determinata</w:t>
      </w:r>
      <w:r w:rsidRPr="00457358">
        <w:rPr>
          <w:szCs w:val="24"/>
          <w:lang w:val="it-IT"/>
        </w:rPr>
        <w:t xml:space="preserve"> situazione</w:t>
      </w:r>
      <w:r w:rsidR="000F3660">
        <w:rPr>
          <w:szCs w:val="24"/>
          <w:lang w:val="it-IT"/>
        </w:rPr>
        <w:t xml:space="preserve">. </w:t>
      </w:r>
      <w:r w:rsidR="00CF3C35">
        <w:rPr>
          <w:szCs w:val="24"/>
          <w:lang w:val="it-IT"/>
        </w:rPr>
        <w:t xml:space="preserve">Per queste ragioni </w:t>
      </w:r>
      <w:r w:rsidRPr="00457358">
        <w:rPr>
          <w:szCs w:val="24"/>
          <w:lang w:val="it-IT"/>
        </w:rPr>
        <w:t xml:space="preserve">è meglio </w:t>
      </w:r>
      <w:r w:rsidR="000B4B8F">
        <w:rPr>
          <w:szCs w:val="24"/>
          <w:lang w:val="it-IT"/>
        </w:rPr>
        <w:t>solitamente</w:t>
      </w:r>
      <w:r w:rsidR="000B4B8F" w:rsidRPr="00457358">
        <w:rPr>
          <w:szCs w:val="24"/>
          <w:lang w:val="it-IT"/>
        </w:rPr>
        <w:t xml:space="preserve"> </w:t>
      </w:r>
      <w:r w:rsidR="00E0517E">
        <w:rPr>
          <w:szCs w:val="24"/>
          <w:lang w:val="it-IT"/>
        </w:rPr>
        <w:t>evitare di parlare</w:t>
      </w:r>
      <w:r w:rsidRPr="00457358">
        <w:rPr>
          <w:szCs w:val="24"/>
          <w:lang w:val="it-IT"/>
        </w:rPr>
        <w:t xml:space="preserve"> di scambi o conflitti tra culture</w:t>
      </w:r>
      <w:r w:rsidR="00CC2E62">
        <w:rPr>
          <w:szCs w:val="24"/>
          <w:lang w:val="it-IT"/>
        </w:rPr>
        <w:t>;</w:t>
      </w:r>
      <w:r w:rsidRPr="00457358">
        <w:rPr>
          <w:szCs w:val="24"/>
          <w:lang w:val="it-IT"/>
        </w:rPr>
        <w:t xml:space="preserve"> </w:t>
      </w:r>
      <w:r w:rsidR="00CC2E62">
        <w:rPr>
          <w:szCs w:val="24"/>
          <w:lang w:val="it-IT"/>
        </w:rPr>
        <w:t>sarà</w:t>
      </w:r>
      <w:r w:rsidRPr="00457358">
        <w:rPr>
          <w:szCs w:val="24"/>
          <w:lang w:val="it-IT"/>
        </w:rPr>
        <w:t xml:space="preserve"> meglio piuttosto </w:t>
      </w:r>
      <w:r w:rsidR="00CF3C35">
        <w:rPr>
          <w:szCs w:val="24"/>
          <w:lang w:val="it-IT"/>
        </w:rPr>
        <w:t>insistere sul concetto di</w:t>
      </w:r>
      <w:r w:rsidRPr="00457358">
        <w:rPr>
          <w:szCs w:val="24"/>
          <w:lang w:val="it-IT"/>
        </w:rPr>
        <w:t xml:space="preserve"> </w:t>
      </w:r>
      <w:r w:rsidR="00CF3C35">
        <w:rPr>
          <w:szCs w:val="24"/>
          <w:lang w:val="it-IT"/>
        </w:rPr>
        <w:t>“</w:t>
      </w:r>
      <w:r w:rsidRPr="00457358">
        <w:rPr>
          <w:szCs w:val="24"/>
          <w:lang w:val="it-IT"/>
        </w:rPr>
        <w:t>background culturale</w:t>
      </w:r>
      <w:r w:rsidR="00CF3C35">
        <w:rPr>
          <w:szCs w:val="24"/>
          <w:lang w:val="it-IT"/>
        </w:rPr>
        <w:t>”</w:t>
      </w:r>
      <w:r w:rsidRPr="00457358">
        <w:rPr>
          <w:szCs w:val="24"/>
          <w:lang w:val="it-IT"/>
        </w:rPr>
        <w:t xml:space="preserve"> degli individui</w:t>
      </w:r>
      <w:r w:rsidRPr="00CF3C35">
        <w:rPr>
          <w:szCs w:val="24"/>
          <w:lang w:val="it-IT"/>
        </w:rPr>
        <w:t xml:space="preserve">, </w:t>
      </w:r>
      <w:r w:rsidR="000B4B8F" w:rsidRPr="00CF3C35">
        <w:rPr>
          <w:szCs w:val="24"/>
          <w:lang w:val="it-IT"/>
        </w:rPr>
        <w:t>d</w:t>
      </w:r>
      <w:r w:rsidR="00FD038C" w:rsidRPr="00CF3C35">
        <w:rPr>
          <w:szCs w:val="24"/>
          <w:lang w:val="it-IT"/>
        </w:rPr>
        <w:t>i</w:t>
      </w:r>
      <w:r w:rsidR="000B4B8F" w:rsidRPr="00CF3C35">
        <w:rPr>
          <w:szCs w:val="24"/>
          <w:lang w:val="it-IT"/>
        </w:rPr>
        <w:t xml:space="preserve"> appartenenze</w:t>
      </w:r>
      <w:r w:rsidRPr="00CF3C35">
        <w:rPr>
          <w:szCs w:val="24"/>
          <w:lang w:val="it-IT"/>
        </w:rPr>
        <w:t xml:space="preserve"> cultural</w:t>
      </w:r>
      <w:r w:rsidR="00CC2E62" w:rsidRPr="00CF3C35">
        <w:rPr>
          <w:szCs w:val="24"/>
          <w:lang w:val="it-IT"/>
        </w:rPr>
        <w:t>i</w:t>
      </w:r>
      <w:r w:rsidRPr="00CF3C35">
        <w:rPr>
          <w:szCs w:val="24"/>
          <w:lang w:val="it-IT"/>
        </w:rPr>
        <w:t xml:space="preserve"> e di incontri interculturali tra</w:t>
      </w:r>
      <w:r w:rsidR="00CC2E62" w:rsidRPr="00CF3C35">
        <w:rPr>
          <w:szCs w:val="24"/>
          <w:lang w:val="it-IT"/>
        </w:rPr>
        <w:t xml:space="preserve"> le persone che si considerano, </w:t>
      </w:r>
      <w:r w:rsidRPr="00CF3C35">
        <w:rPr>
          <w:szCs w:val="24"/>
          <w:lang w:val="it-IT"/>
        </w:rPr>
        <w:t>o sono considerate dagli altri</w:t>
      </w:r>
      <w:r w:rsidR="00CC2E62" w:rsidRPr="00CF3C35">
        <w:rPr>
          <w:szCs w:val="24"/>
          <w:lang w:val="it-IT"/>
        </w:rPr>
        <w:t>,</w:t>
      </w:r>
      <w:r w:rsidRPr="00CF3C35">
        <w:rPr>
          <w:szCs w:val="24"/>
          <w:lang w:val="it-IT"/>
        </w:rPr>
        <w:t xml:space="preserve"> culturalmente diverse l’una dall’altra</w:t>
      </w:r>
      <w:r w:rsidRPr="00EA14C8">
        <w:rPr>
          <w:szCs w:val="24"/>
          <w:lang w:val="it-IT"/>
        </w:rPr>
        <w:t>.</w:t>
      </w:r>
    </w:p>
    <w:p w:rsidR="004B3C82" w:rsidRPr="004B3C82" w:rsidRDefault="004B3C82" w:rsidP="00690644">
      <w:pPr>
        <w:spacing w:before="120" w:after="120"/>
        <w:rPr>
          <w:b/>
          <w:sz w:val="32"/>
          <w:szCs w:val="32"/>
          <w:lang w:val="it-IT"/>
        </w:rPr>
      </w:pPr>
      <w:r w:rsidRPr="004B3C82">
        <w:rPr>
          <w:b/>
          <w:sz w:val="32"/>
          <w:szCs w:val="32"/>
          <w:lang w:val="it-IT"/>
        </w:rPr>
        <w:t xml:space="preserve">Comunicare in un contesto interculturale </w:t>
      </w:r>
    </w:p>
    <w:p w:rsidR="004B3C82" w:rsidRPr="004B3C82" w:rsidRDefault="004B3C82" w:rsidP="00690644">
      <w:pPr>
        <w:spacing w:before="120" w:after="120"/>
        <w:rPr>
          <w:szCs w:val="24"/>
          <w:lang w:val="it-IT"/>
        </w:rPr>
      </w:pPr>
      <w:r w:rsidRPr="004B3C82">
        <w:rPr>
          <w:szCs w:val="24"/>
          <w:lang w:val="it-IT"/>
        </w:rPr>
        <w:t xml:space="preserve">La comunicazione è efficace nella misura in cui i partecipanti riescono a capirsi l’un l’altro. Noi </w:t>
      </w:r>
      <w:r w:rsidR="007117CB">
        <w:rPr>
          <w:szCs w:val="24"/>
          <w:lang w:val="it-IT"/>
        </w:rPr>
        <w:t xml:space="preserve">tutti </w:t>
      </w:r>
      <w:r w:rsidRPr="004B3C82">
        <w:rPr>
          <w:szCs w:val="24"/>
          <w:lang w:val="it-IT"/>
        </w:rPr>
        <w:t xml:space="preserve">abbiamo una tendenza naturale a interpretare i messaggi che riceviamo in base alle nostre credenze e opinioni personali. </w:t>
      </w:r>
      <w:r w:rsidR="000B4B8F">
        <w:rPr>
          <w:szCs w:val="24"/>
          <w:lang w:val="it-IT"/>
        </w:rPr>
        <w:t>Tuttavia</w:t>
      </w:r>
      <w:r w:rsidR="00EA14C8">
        <w:rPr>
          <w:szCs w:val="24"/>
          <w:lang w:val="it-IT"/>
        </w:rPr>
        <w:t>,</w:t>
      </w:r>
      <w:r w:rsidRPr="004B3C82">
        <w:rPr>
          <w:szCs w:val="24"/>
          <w:lang w:val="it-IT"/>
        </w:rPr>
        <w:t xml:space="preserve"> quando la comunicazione avviene con persone il cui background culturale è diverso dal nost</w:t>
      </w:r>
      <w:r w:rsidR="00373C1E">
        <w:rPr>
          <w:szCs w:val="24"/>
          <w:lang w:val="it-IT"/>
        </w:rPr>
        <w:t>ro, dobbiamo essere consapevoli</w:t>
      </w:r>
      <w:r>
        <w:rPr>
          <w:szCs w:val="24"/>
          <w:lang w:val="it-IT"/>
        </w:rPr>
        <w:t xml:space="preserve"> che</w:t>
      </w:r>
      <w:r w:rsidR="00D10BB3">
        <w:rPr>
          <w:szCs w:val="24"/>
          <w:lang w:val="it-IT"/>
        </w:rPr>
        <w:t xml:space="preserve"> </w:t>
      </w:r>
      <w:r w:rsidR="005E3EE4">
        <w:rPr>
          <w:szCs w:val="24"/>
          <w:lang w:val="it-IT"/>
        </w:rPr>
        <w:t>vi</w:t>
      </w:r>
      <w:r w:rsidR="00D10BB3">
        <w:rPr>
          <w:szCs w:val="24"/>
          <w:lang w:val="it-IT"/>
        </w:rPr>
        <w:t xml:space="preserve"> pos</w:t>
      </w:r>
      <w:r w:rsidR="005E3EE4">
        <w:rPr>
          <w:szCs w:val="24"/>
          <w:lang w:val="it-IT"/>
        </w:rPr>
        <w:t xml:space="preserve">sano essere dei fraintendimenti, </w:t>
      </w:r>
      <w:r w:rsidR="00D10BB3">
        <w:rPr>
          <w:szCs w:val="24"/>
          <w:lang w:val="it-IT"/>
        </w:rPr>
        <w:t>sia da parte nostra che da parte loro.</w:t>
      </w:r>
      <w:r w:rsidR="005E3EE4">
        <w:rPr>
          <w:szCs w:val="24"/>
          <w:lang w:val="it-IT"/>
        </w:rPr>
        <w:t xml:space="preserve"> </w:t>
      </w:r>
      <w:r w:rsidRPr="004B3C82">
        <w:rPr>
          <w:szCs w:val="24"/>
          <w:lang w:val="it-IT"/>
        </w:rPr>
        <w:t xml:space="preserve">Ciò non è sempre facile, dal momento che può non risultare scontato </w:t>
      </w:r>
      <w:r w:rsidR="005E3EE4">
        <w:rPr>
          <w:szCs w:val="24"/>
          <w:lang w:val="it-IT"/>
        </w:rPr>
        <w:t>il fatto che</w:t>
      </w:r>
      <w:r w:rsidRPr="004B3C82">
        <w:rPr>
          <w:szCs w:val="24"/>
          <w:lang w:val="it-IT"/>
        </w:rPr>
        <w:t xml:space="preserve"> vi siano delle differenze tra il messaggio che riceviamo e l’interpretazione che </w:t>
      </w:r>
      <w:r w:rsidR="005E3EE4">
        <w:rPr>
          <w:szCs w:val="24"/>
          <w:lang w:val="it-IT"/>
        </w:rPr>
        <w:t xml:space="preserve">noi </w:t>
      </w:r>
      <w:r w:rsidRPr="004B3C82">
        <w:rPr>
          <w:szCs w:val="24"/>
          <w:lang w:val="it-IT"/>
        </w:rPr>
        <w:t>diamo d</w:t>
      </w:r>
      <w:r w:rsidR="005E3EE4">
        <w:rPr>
          <w:szCs w:val="24"/>
          <w:lang w:val="it-IT"/>
        </w:rPr>
        <w:t>i esso</w:t>
      </w:r>
      <w:r w:rsidRPr="004B3C82">
        <w:rPr>
          <w:szCs w:val="24"/>
          <w:lang w:val="it-IT"/>
        </w:rPr>
        <w:t>. La capacità di riconoscere e correggere</w:t>
      </w:r>
      <w:r w:rsidR="005E3EE4">
        <w:rPr>
          <w:szCs w:val="24"/>
          <w:lang w:val="it-IT"/>
        </w:rPr>
        <w:t xml:space="preserve">, </w:t>
      </w:r>
      <w:r w:rsidR="005E3EE4" w:rsidRPr="004B3C82">
        <w:rPr>
          <w:szCs w:val="24"/>
          <w:lang w:val="it-IT"/>
        </w:rPr>
        <w:t>in un contesto interculturale</w:t>
      </w:r>
      <w:r w:rsidR="005E3EE4">
        <w:rPr>
          <w:szCs w:val="24"/>
          <w:lang w:val="it-IT"/>
        </w:rPr>
        <w:t xml:space="preserve">, </w:t>
      </w:r>
      <w:r w:rsidRPr="004B3C82">
        <w:rPr>
          <w:szCs w:val="24"/>
          <w:lang w:val="it-IT"/>
        </w:rPr>
        <w:t>interpretazioni errate</w:t>
      </w:r>
      <w:r w:rsidR="00373C1E">
        <w:rPr>
          <w:szCs w:val="24"/>
          <w:lang w:val="it-IT"/>
        </w:rPr>
        <w:t xml:space="preserve"> o fuorvianti, </w:t>
      </w:r>
      <w:r w:rsidR="00EA14C8">
        <w:rPr>
          <w:szCs w:val="24"/>
          <w:lang w:val="it-IT"/>
        </w:rPr>
        <w:t>costituisce</w:t>
      </w:r>
      <w:r w:rsidR="00690644">
        <w:rPr>
          <w:szCs w:val="24"/>
          <w:lang w:val="it-IT"/>
        </w:rPr>
        <w:t xml:space="preserve"> </w:t>
      </w:r>
      <w:r w:rsidR="005E3EE4">
        <w:rPr>
          <w:szCs w:val="24"/>
          <w:lang w:val="it-IT"/>
        </w:rPr>
        <w:t>un’importante competenza interculturale.</w:t>
      </w:r>
    </w:p>
    <w:p w:rsidR="00690644" w:rsidRPr="00690644" w:rsidRDefault="00690644" w:rsidP="00690644">
      <w:pPr>
        <w:pStyle w:val="TKTEXTE"/>
        <w:rPr>
          <w:lang w:val="it-IT"/>
        </w:rPr>
      </w:pPr>
      <w:r w:rsidRPr="00690644">
        <w:rPr>
          <w:b/>
          <w:sz w:val="32"/>
          <w:szCs w:val="32"/>
          <w:lang w:val="it-IT"/>
        </w:rPr>
        <w:t>Gestire la comunicazione interculturale</w:t>
      </w:r>
      <w:r w:rsidRPr="00690644">
        <w:rPr>
          <w:lang w:val="it-IT"/>
        </w:rPr>
        <w:t xml:space="preserve"> </w:t>
      </w:r>
    </w:p>
    <w:p w:rsidR="00690644" w:rsidRPr="00690644" w:rsidRDefault="00690644" w:rsidP="00EA14C8">
      <w:pPr>
        <w:spacing w:before="60" w:after="60"/>
        <w:rPr>
          <w:szCs w:val="24"/>
          <w:lang w:val="it-IT"/>
        </w:rPr>
      </w:pPr>
      <w:r w:rsidRPr="00690644">
        <w:rPr>
          <w:szCs w:val="24"/>
          <w:lang w:val="it-IT"/>
        </w:rPr>
        <w:t>Un modo per evitare il fraintendi</w:t>
      </w:r>
      <w:r w:rsidR="00EA14C8">
        <w:rPr>
          <w:szCs w:val="24"/>
          <w:lang w:val="it-IT"/>
        </w:rPr>
        <w:t xml:space="preserve">mento interculturale è </w:t>
      </w:r>
      <w:r w:rsidRPr="00690644">
        <w:rPr>
          <w:szCs w:val="24"/>
          <w:lang w:val="it-IT"/>
        </w:rPr>
        <w:t xml:space="preserve">rendere la comunicazione quanto più esplicita possibile, spiegando e fornendo dettagli riguardo alle questioni che possono sembrare scontate in un contesto mono-culturale e verificando </w:t>
      </w:r>
      <w:r>
        <w:rPr>
          <w:szCs w:val="24"/>
          <w:lang w:val="it-IT"/>
        </w:rPr>
        <w:t xml:space="preserve">ripetutamente </w:t>
      </w:r>
      <w:r w:rsidRPr="00690644">
        <w:rPr>
          <w:szCs w:val="24"/>
          <w:lang w:val="it-IT"/>
        </w:rPr>
        <w:t>che le pe</w:t>
      </w:r>
      <w:r w:rsidR="00373C1E">
        <w:rPr>
          <w:szCs w:val="24"/>
          <w:lang w:val="it-IT"/>
        </w:rPr>
        <w:t>rsone con cui stiamo interagendo</w:t>
      </w:r>
      <w:r w:rsidRPr="00690644">
        <w:rPr>
          <w:szCs w:val="24"/>
          <w:lang w:val="it-IT"/>
        </w:rPr>
        <w:t xml:space="preserve"> hanno compreso ciò che intendiamo dire.</w:t>
      </w:r>
      <w:r>
        <w:rPr>
          <w:szCs w:val="24"/>
          <w:lang w:val="it-IT"/>
        </w:rPr>
        <w:t xml:space="preserve"> </w:t>
      </w:r>
      <w:r w:rsidRPr="00690644">
        <w:rPr>
          <w:szCs w:val="24"/>
          <w:lang w:val="it-IT"/>
        </w:rPr>
        <w:t>L’esperienza insegna che</w:t>
      </w:r>
      <w:r>
        <w:rPr>
          <w:szCs w:val="24"/>
          <w:lang w:val="it-IT"/>
        </w:rPr>
        <w:t xml:space="preserve"> </w:t>
      </w:r>
      <w:r w:rsidRPr="00690644">
        <w:rPr>
          <w:szCs w:val="24"/>
          <w:lang w:val="it-IT"/>
        </w:rPr>
        <w:t xml:space="preserve">così </w:t>
      </w:r>
      <w:r>
        <w:rPr>
          <w:szCs w:val="24"/>
          <w:lang w:val="it-IT"/>
        </w:rPr>
        <w:t>facendo</w:t>
      </w:r>
      <w:r w:rsidRPr="00690644">
        <w:rPr>
          <w:szCs w:val="24"/>
          <w:lang w:val="it-IT"/>
        </w:rPr>
        <w:t>, non solo miglioriamo la qualità e l’efficacia della comunicazione</w:t>
      </w:r>
      <w:r>
        <w:rPr>
          <w:szCs w:val="24"/>
          <w:lang w:val="it-IT"/>
        </w:rPr>
        <w:t>,</w:t>
      </w:r>
      <w:r w:rsidRPr="00690644">
        <w:rPr>
          <w:szCs w:val="24"/>
          <w:lang w:val="it-IT"/>
        </w:rPr>
        <w:t xml:space="preserve"> ma </w:t>
      </w:r>
      <w:r w:rsidRPr="00EB7803">
        <w:rPr>
          <w:szCs w:val="24"/>
          <w:lang w:val="it-IT"/>
        </w:rPr>
        <w:t>promuoviamo lo sviluppo di relazioni positive, imparando</w:t>
      </w:r>
      <w:r w:rsidRPr="00690644">
        <w:rPr>
          <w:szCs w:val="24"/>
          <w:lang w:val="it-IT"/>
        </w:rPr>
        <w:t xml:space="preserve"> nuove cose su noi stessi </w:t>
      </w:r>
      <w:r>
        <w:rPr>
          <w:szCs w:val="24"/>
          <w:lang w:val="it-IT"/>
        </w:rPr>
        <w:t>e</w:t>
      </w:r>
      <w:r w:rsidR="00373C1E">
        <w:rPr>
          <w:szCs w:val="24"/>
          <w:lang w:val="it-IT"/>
        </w:rPr>
        <w:t xml:space="preserve"> sulle persone con</w:t>
      </w:r>
      <w:r w:rsidRPr="00690644">
        <w:rPr>
          <w:szCs w:val="24"/>
          <w:lang w:val="it-IT"/>
        </w:rPr>
        <w:t xml:space="preserve"> un diverso background culturale.</w:t>
      </w:r>
    </w:p>
    <w:p w:rsidR="00690644" w:rsidRPr="00690644" w:rsidRDefault="00690644" w:rsidP="00EA14C8">
      <w:pPr>
        <w:spacing w:before="60" w:after="60"/>
        <w:rPr>
          <w:szCs w:val="24"/>
          <w:lang w:val="it-IT"/>
        </w:rPr>
      </w:pPr>
      <w:r w:rsidRPr="00690644">
        <w:rPr>
          <w:szCs w:val="24"/>
          <w:lang w:val="it-IT"/>
        </w:rPr>
        <w:t>Se</w:t>
      </w:r>
      <w:r w:rsidR="0053467A">
        <w:rPr>
          <w:szCs w:val="24"/>
          <w:lang w:val="it-IT"/>
        </w:rPr>
        <w:t xml:space="preserve"> </w:t>
      </w:r>
      <w:r w:rsidRPr="00690644">
        <w:rPr>
          <w:szCs w:val="24"/>
          <w:lang w:val="it-IT"/>
        </w:rPr>
        <w:t>adotter</w:t>
      </w:r>
      <w:r w:rsidR="0053467A">
        <w:rPr>
          <w:szCs w:val="24"/>
          <w:lang w:val="it-IT"/>
        </w:rPr>
        <w:t>ai</w:t>
      </w:r>
      <w:r w:rsidRPr="00690644">
        <w:rPr>
          <w:szCs w:val="24"/>
          <w:lang w:val="it-IT"/>
        </w:rPr>
        <w:t xml:space="preserve"> questo approccio alla comunicazione interculturale </w:t>
      </w:r>
      <w:r w:rsidR="0053467A">
        <w:rPr>
          <w:szCs w:val="24"/>
          <w:lang w:val="it-IT"/>
        </w:rPr>
        <w:t xml:space="preserve">durante le attività di supporto linguistico, </w:t>
      </w:r>
      <w:r w:rsidRPr="00690644">
        <w:rPr>
          <w:szCs w:val="24"/>
          <w:lang w:val="it-IT"/>
        </w:rPr>
        <w:t xml:space="preserve">il rischio di fraintendimenti con e </w:t>
      </w:r>
      <w:r w:rsidR="0053467A">
        <w:rPr>
          <w:szCs w:val="24"/>
          <w:lang w:val="it-IT"/>
        </w:rPr>
        <w:t>t</w:t>
      </w:r>
      <w:r w:rsidRPr="00690644">
        <w:rPr>
          <w:szCs w:val="24"/>
          <w:lang w:val="it-IT"/>
        </w:rPr>
        <w:t xml:space="preserve">ra i rifugiati all’interno del </w:t>
      </w:r>
      <w:r w:rsidR="00E0517E">
        <w:rPr>
          <w:szCs w:val="24"/>
          <w:lang w:val="it-IT"/>
        </w:rPr>
        <w:t>“</w:t>
      </w:r>
      <w:r w:rsidR="0053467A">
        <w:rPr>
          <w:szCs w:val="24"/>
          <w:lang w:val="it-IT"/>
        </w:rPr>
        <w:t>tuo</w:t>
      </w:r>
      <w:r w:rsidR="00E0517E">
        <w:rPr>
          <w:szCs w:val="24"/>
          <w:lang w:val="it-IT"/>
        </w:rPr>
        <w:t>”</w:t>
      </w:r>
      <w:r w:rsidRPr="00690644">
        <w:rPr>
          <w:szCs w:val="24"/>
          <w:lang w:val="it-IT"/>
        </w:rPr>
        <w:t xml:space="preserve"> gruppo</w:t>
      </w:r>
      <w:r w:rsidR="0053467A">
        <w:rPr>
          <w:szCs w:val="24"/>
          <w:lang w:val="it-IT"/>
        </w:rPr>
        <w:t xml:space="preserve"> si </w:t>
      </w:r>
      <w:r w:rsidR="0053467A" w:rsidRPr="00690644">
        <w:rPr>
          <w:szCs w:val="24"/>
          <w:lang w:val="it-IT"/>
        </w:rPr>
        <w:t>ridurr</w:t>
      </w:r>
      <w:r w:rsidR="0053467A">
        <w:rPr>
          <w:szCs w:val="24"/>
          <w:lang w:val="it-IT"/>
        </w:rPr>
        <w:t>à</w:t>
      </w:r>
      <w:r w:rsidRPr="00690644">
        <w:rPr>
          <w:szCs w:val="24"/>
          <w:lang w:val="it-IT"/>
        </w:rPr>
        <w:t xml:space="preserve"> </w:t>
      </w:r>
      <w:r w:rsidRPr="00EB7803">
        <w:rPr>
          <w:szCs w:val="24"/>
          <w:lang w:val="it-IT"/>
        </w:rPr>
        <w:t>e aumenter</w:t>
      </w:r>
      <w:r w:rsidR="0053467A" w:rsidRPr="00EB7803">
        <w:rPr>
          <w:szCs w:val="24"/>
          <w:lang w:val="it-IT"/>
        </w:rPr>
        <w:t>à di conseguenza</w:t>
      </w:r>
      <w:r w:rsidRPr="00EB7803">
        <w:rPr>
          <w:szCs w:val="24"/>
          <w:lang w:val="it-IT"/>
        </w:rPr>
        <w:t xml:space="preserve"> la probabilità che essi </w:t>
      </w:r>
      <w:r w:rsidR="00C13DAE" w:rsidRPr="00EB7803">
        <w:rPr>
          <w:szCs w:val="24"/>
          <w:lang w:val="it-IT"/>
        </w:rPr>
        <w:t>cons</w:t>
      </w:r>
      <w:r w:rsidR="007117CB" w:rsidRPr="00EB7803">
        <w:rPr>
          <w:szCs w:val="24"/>
          <w:lang w:val="it-IT"/>
        </w:rPr>
        <w:t>i</w:t>
      </w:r>
      <w:r w:rsidR="00C13DAE" w:rsidRPr="00EB7803">
        <w:rPr>
          <w:szCs w:val="24"/>
          <w:lang w:val="it-IT"/>
        </w:rPr>
        <w:t>derino</w:t>
      </w:r>
      <w:r w:rsidRPr="00EB7803">
        <w:rPr>
          <w:szCs w:val="24"/>
          <w:lang w:val="it-IT"/>
        </w:rPr>
        <w:t xml:space="preserve"> la diversità culturale </w:t>
      </w:r>
      <w:r w:rsidR="00E0517E">
        <w:rPr>
          <w:szCs w:val="24"/>
          <w:lang w:val="it-IT"/>
        </w:rPr>
        <w:t xml:space="preserve">come </w:t>
      </w:r>
      <w:r w:rsidRPr="00EB7803">
        <w:rPr>
          <w:szCs w:val="24"/>
          <w:lang w:val="it-IT"/>
        </w:rPr>
        <w:t>una risorsa.</w:t>
      </w:r>
      <w:r w:rsidRPr="00690644">
        <w:rPr>
          <w:szCs w:val="24"/>
          <w:lang w:val="it-IT"/>
        </w:rPr>
        <w:t xml:space="preserve"> </w:t>
      </w:r>
    </w:p>
    <w:p w:rsidR="00472385" w:rsidRPr="0053467A" w:rsidRDefault="0053467A" w:rsidP="003A0A5D">
      <w:pPr>
        <w:pStyle w:val="TKTITRE1"/>
        <w:rPr>
          <w:lang w:val="it-IT"/>
        </w:rPr>
      </w:pPr>
      <w:r>
        <w:rPr>
          <w:lang w:val="it-IT"/>
        </w:rPr>
        <w:lastRenderedPageBreak/>
        <w:t>Non tutte le differenze sono culturali</w:t>
      </w:r>
    </w:p>
    <w:p w:rsidR="0053467A" w:rsidRPr="0053467A" w:rsidRDefault="0053467A" w:rsidP="0053467A">
      <w:pPr>
        <w:rPr>
          <w:szCs w:val="24"/>
          <w:lang w:val="it-IT"/>
        </w:rPr>
      </w:pPr>
      <w:r w:rsidRPr="0053467A">
        <w:rPr>
          <w:szCs w:val="24"/>
          <w:lang w:val="it-IT"/>
        </w:rPr>
        <w:t>Allo stesso tempo</w:t>
      </w:r>
      <w:r>
        <w:rPr>
          <w:szCs w:val="24"/>
          <w:lang w:val="it-IT"/>
        </w:rPr>
        <w:t>, però,</w:t>
      </w:r>
      <w:r w:rsidRPr="0053467A">
        <w:rPr>
          <w:szCs w:val="24"/>
          <w:lang w:val="it-IT"/>
        </w:rPr>
        <w:t xml:space="preserve"> è importante </w:t>
      </w:r>
      <w:r>
        <w:rPr>
          <w:szCs w:val="24"/>
          <w:lang w:val="it-IT"/>
        </w:rPr>
        <w:t>riconoscere</w:t>
      </w:r>
      <w:r w:rsidRPr="0053467A">
        <w:rPr>
          <w:szCs w:val="24"/>
          <w:lang w:val="it-IT"/>
        </w:rPr>
        <w:t xml:space="preserve"> che non tutte le differenze tra </w:t>
      </w:r>
      <w:r w:rsidRPr="00EB7803">
        <w:rPr>
          <w:szCs w:val="24"/>
          <w:lang w:val="it-IT"/>
        </w:rPr>
        <w:t>le persone devono essere ricondotte a questioni di carattere culturale.</w:t>
      </w:r>
      <w:r w:rsidRPr="0053467A">
        <w:rPr>
          <w:szCs w:val="24"/>
          <w:lang w:val="it-IT"/>
        </w:rPr>
        <w:t xml:space="preserve"> </w:t>
      </w:r>
      <w:r w:rsidR="00C50BFC">
        <w:rPr>
          <w:szCs w:val="24"/>
          <w:lang w:val="it-IT"/>
        </w:rPr>
        <w:t>Anche se un gruppo di rifugiati</w:t>
      </w:r>
      <w:r w:rsidRPr="0053467A">
        <w:rPr>
          <w:szCs w:val="24"/>
          <w:lang w:val="it-IT"/>
        </w:rPr>
        <w:t xml:space="preserve"> condivid</w:t>
      </w:r>
      <w:r w:rsidR="00EA14C8">
        <w:rPr>
          <w:szCs w:val="24"/>
          <w:lang w:val="it-IT"/>
        </w:rPr>
        <w:t>e lo stesso background</w:t>
      </w:r>
      <w:r w:rsidRPr="0053467A">
        <w:rPr>
          <w:szCs w:val="24"/>
          <w:lang w:val="it-IT"/>
        </w:rPr>
        <w:t xml:space="preserve">, </w:t>
      </w:r>
      <w:r w:rsidR="000B4B8F">
        <w:rPr>
          <w:szCs w:val="24"/>
          <w:lang w:val="it-IT"/>
        </w:rPr>
        <w:t xml:space="preserve">i singoli individui </w:t>
      </w:r>
      <w:r w:rsidR="00373C1E">
        <w:rPr>
          <w:szCs w:val="24"/>
          <w:lang w:val="it-IT"/>
        </w:rPr>
        <w:t>avranno</w:t>
      </w:r>
      <w:r w:rsidR="00C50BFC">
        <w:rPr>
          <w:szCs w:val="24"/>
          <w:lang w:val="it-IT"/>
        </w:rPr>
        <w:t xml:space="preserve"> opinioni</w:t>
      </w:r>
      <w:r w:rsidR="00156B67">
        <w:rPr>
          <w:szCs w:val="24"/>
          <w:lang w:val="it-IT"/>
        </w:rPr>
        <w:t xml:space="preserve">, </w:t>
      </w:r>
      <w:r w:rsidRPr="00156B67">
        <w:rPr>
          <w:szCs w:val="24"/>
          <w:lang w:val="it-IT"/>
        </w:rPr>
        <w:t>priorità,</w:t>
      </w:r>
      <w:r w:rsidR="00C50BFC">
        <w:rPr>
          <w:szCs w:val="24"/>
          <w:lang w:val="it-IT"/>
        </w:rPr>
        <w:t xml:space="preserve"> aspettative</w:t>
      </w:r>
      <w:r w:rsidR="00156B67">
        <w:rPr>
          <w:szCs w:val="24"/>
          <w:lang w:val="it-IT"/>
        </w:rPr>
        <w:t>,</w:t>
      </w:r>
      <w:r w:rsidR="00C53342">
        <w:rPr>
          <w:szCs w:val="24"/>
          <w:lang w:val="it-IT"/>
        </w:rPr>
        <w:t xml:space="preserve"> </w:t>
      </w:r>
      <w:r w:rsidRPr="0053467A">
        <w:rPr>
          <w:szCs w:val="24"/>
          <w:lang w:val="it-IT"/>
        </w:rPr>
        <w:t>preferenze</w:t>
      </w:r>
      <w:r w:rsidR="00156B67">
        <w:rPr>
          <w:szCs w:val="24"/>
          <w:lang w:val="it-IT"/>
        </w:rPr>
        <w:t>,</w:t>
      </w:r>
      <w:r w:rsidRPr="0053467A">
        <w:rPr>
          <w:szCs w:val="24"/>
          <w:lang w:val="it-IT"/>
        </w:rPr>
        <w:t xml:space="preserve"> atteggiamenti nei confronti degli altri</w:t>
      </w:r>
      <w:r w:rsidR="00C50BFC">
        <w:rPr>
          <w:szCs w:val="24"/>
          <w:lang w:val="it-IT"/>
        </w:rPr>
        <w:t xml:space="preserve"> e </w:t>
      </w:r>
      <w:r w:rsidR="000B4B8F">
        <w:rPr>
          <w:szCs w:val="24"/>
          <w:lang w:val="it-IT"/>
        </w:rPr>
        <w:t xml:space="preserve">comportamenti </w:t>
      </w:r>
      <w:r w:rsidR="00EB7803">
        <w:rPr>
          <w:szCs w:val="24"/>
          <w:lang w:val="it-IT"/>
        </w:rPr>
        <w:t xml:space="preserve">molto </w:t>
      </w:r>
      <w:r w:rsidRPr="0053467A">
        <w:rPr>
          <w:szCs w:val="24"/>
          <w:lang w:val="it-IT"/>
        </w:rPr>
        <w:t>differenti. Tali diversità sono dovute al fatto che ciascun rifugiato è un individuo</w:t>
      </w:r>
      <w:r w:rsidR="00373C1E">
        <w:rPr>
          <w:szCs w:val="24"/>
          <w:lang w:val="it-IT"/>
        </w:rPr>
        <w:t>,</w:t>
      </w:r>
      <w:r w:rsidRPr="0053467A">
        <w:rPr>
          <w:szCs w:val="24"/>
          <w:lang w:val="it-IT"/>
        </w:rPr>
        <w:t xml:space="preserve"> con caratteristiche personali e con una </w:t>
      </w:r>
      <w:r w:rsidR="00156B67">
        <w:rPr>
          <w:szCs w:val="24"/>
          <w:lang w:val="it-IT"/>
        </w:rPr>
        <w:t>propria storia.</w:t>
      </w:r>
    </w:p>
    <w:p w:rsidR="00472385" w:rsidRPr="00156B67" w:rsidRDefault="004630E2" w:rsidP="0050253D">
      <w:pPr>
        <w:pStyle w:val="TKTITRE2"/>
        <w:rPr>
          <w:lang w:val="it-IT"/>
        </w:rPr>
      </w:pPr>
      <w:r>
        <w:rPr>
          <w:lang w:val="it-IT"/>
        </w:rPr>
        <w:t>Rifletti sulle</w:t>
      </w:r>
      <w:r w:rsidR="00156B67" w:rsidRPr="008C4B37">
        <w:rPr>
          <w:lang w:val="it-IT"/>
        </w:rPr>
        <w:t xml:space="preserve"> due </w:t>
      </w:r>
      <w:r>
        <w:rPr>
          <w:lang w:val="it-IT"/>
        </w:rPr>
        <w:t xml:space="preserve">seguenti </w:t>
      </w:r>
      <w:r w:rsidR="00156B67" w:rsidRPr="008C4B37">
        <w:rPr>
          <w:lang w:val="it-IT"/>
        </w:rPr>
        <w:t xml:space="preserve">descrizioni </w:t>
      </w:r>
      <w:r w:rsidR="00EA14C8">
        <w:rPr>
          <w:lang w:val="it-IT"/>
        </w:rPr>
        <w:t>relative a</w:t>
      </w:r>
      <w:r w:rsidR="00E0517E">
        <w:rPr>
          <w:lang w:val="it-IT"/>
        </w:rPr>
        <w:t xml:space="preserve"> gruppi di rifugiati</w:t>
      </w:r>
    </w:p>
    <w:p w:rsidR="0055626F" w:rsidRPr="0055626F" w:rsidRDefault="0055626F" w:rsidP="0055626F">
      <w:pPr>
        <w:pStyle w:val="TKNbrsLevel1"/>
        <w:rPr>
          <w:lang w:val="it-IT"/>
        </w:rPr>
      </w:pPr>
      <w:r w:rsidRPr="0055626F">
        <w:rPr>
          <w:lang w:val="it-IT"/>
        </w:rPr>
        <w:t xml:space="preserve">Il gruppo si divide in </w:t>
      </w:r>
      <w:r>
        <w:rPr>
          <w:lang w:val="it-IT"/>
        </w:rPr>
        <w:t xml:space="preserve">due: gli uomini da una parte e le donne dall’altra. Nessun </w:t>
      </w:r>
      <w:r w:rsidRPr="0055626F">
        <w:rPr>
          <w:lang w:val="it-IT"/>
        </w:rPr>
        <w:t>membr</w:t>
      </w:r>
      <w:r>
        <w:rPr>
          <w:lang w:val="it-IT"/>
        </w:rPr>
        <w:t>o</w:t>
      </w:r>
      <w:r w:rsidRPr="0055626F">
        <w:rPr>
          <w:lang w:val="it-IT"/>
        </w:rPr>
        <w:t xml:space="preserve"> del gruppo </w:t>
      </w:r>
      <w:r>
        <w:rPr>
          <w:lang w:val="it-IT"/>
        </w:rPr>
        <w:t xml:space="preserve">risponde </w:t>
      </w:r>
      <w:r w:rsidRPr="0055626F">
        <w:rPr>
          <w:lang w:val="it-IT"/>
        </w:rPr>
        <w:t xml:space="preserve">alle </w:t>
      </w:r>
      <w:r w:rsidRPr="00D90503">
        <w:rPr>
          <w:lang w:val="it-IT"/>
        </w:rPr>
        <w:t>tue domande fino</w:t>
      </w:r>
      <w:r w:rsidRPr="0055626F">
        <w:rPr>
          <w:lang w:val="it-IT"/>
        </w:rPr>
        <w:t xml:space="preserve"> a che la persona più anziana non abbia parlato o dato la parola a qualcun altro. </w:t>
      </w:r>
      <w:r>
        <w:rPr>
          <w:lang w:val="it-IT"/>
        </w:rPr>
        <w:t>Tutti a</w:t>
      </w:r>
      <w:r w:rsidRPr="0055626F">
        <w:rPr>
          <w:lang w:val="it-IT"/>
        </w:rPr>
        <w:t xml:space="preserve">ttendono pazientemente di ricevere informazioni e istruzioni su ciò che devono fare e non rivolgono domande. Solo due giovani uomini sembrano pronti a </w:t>
      </w:r>
      <w:r w:rsidR="009B7305">
        <w:rPr>
          <w:lang w:val="it-IT"/>
        </w:rPr>
        <w:t>essere coinvolti</w:t>
      </w:r>
      <w:r w:rsidRPr="0055626F">
        <w:rPr>
          <w:lang w:val="it-IT"/>
        </w:rPr>
        <w:t xml:space="preserve"> in maniera più attiva al processo di apprendimento, ma si trattengono dopo aver notato il comportamento del resto del gruppo.</w:t>
      </w:r>
    </w:p>
    <w:p w:rsidR="0055626F" w:rsidRPr="0055626F" w:rsidRDefault="0055626F" w:rsidP="0055626F">
      <w:pPr>
        <w:pStyle w:val="TKNbrsLevel1"/>
        <w:rPr>
          <w:lang w:val="it-IT"/>
        </w:rPr>
      </w:pPr>
      <w:r w:rsidRPr="0055626F">
        <w:rPr>
          <w:lang w:val="it-IT"/>
        </w:rPr>
        <w:t>Donne e uomini interagiscono liberamente tra di loro. Quasi tutti i membri del gruppo partecipano attivamente e rivolgono domande ogni qual volta vi sia la necessità di un chiarimento o di ricevere informazioni</w:t>
      </w:r>
      <w:r>
        <w:rPr>
          <w:lang w:val="it-IT"/>
        </w:rPr>
        <w:t xml:space="preserve"> riguardo a qualcosa</w:t>
      </w:r>
      <w:r w:rsidR="00EA14C8">
        <w:rPr>
          <w:lang w:val="it-IT"/>
        </w:rPr>
        <w:t>. Alcuni partecipanti</w:t>
      </w:r>
      <w:r>
        <w:rPr>
          <w:lang w:val="it-IT"/>
        </w:rPr>
        <w:t>,</w:t>
      </w:r>
      <w:r w:rsidRPr="0055626F">
        <w:rPr>
          <w:lang w:val="it-IT"/>
        </w:rPr>
        <w:t xml:space="preserve"> però</w:t>
      </w:r>
      <w:r>
        <w:rPr>
          <w:lang w:val="it-IT"/>
        </w:rPr>
        <w:t>,</w:t>
      </w:r>
      <w:r w:rsidRPr="0055626F">
        <w:rPr>
          <w:lang w:val="it-IT"/>
        </w:rPr>
        <w:t xml:space="preserve"> rimangono passivi, evitano il contatto oculare, non rispondono alle domande e mantengono per lo più un profilo basso. </w:t>
      </w:r>
    </w:p>
    <w:p w:rsidR="0055626F" w:rsidRPr="0055626F" w:rsidRDefault="0055626F" w:rsidP="007F4DD8">
      <w:pPr>
        <w:pStyle w:val="TKNbrsLevel1"/>
        <w:numPr>
          <w:ilvl w:val="0"/>
          <w:numId w:val="0"/>
        </w:numPr>
        <w:rPr>
          <w:lang w:val="it-IT"/>
        </w:rPr>
      </w:pPr>
      <w:r w:rsidRPr="0055626F">
        <w:rPr>
          <w:lang w:val="it-IT"/>
        </w:rPr>
        <w:t>In entrambi i gruppi</w:t>
      </w:r>
      <w:r w:rsidR="009B7305">
        <w:rPr>
          <w:lang w:val="it-IT"/>
        </w:rPr>
        <w:t>,</w:t>
      </w:r>
      <w:r w:rsidRPr="0055626F">
        <w:rPr>
          <w:lang w:val="it-IT"/>
        </w:rPr>
        <w:t xml:space="preserve"> alcuni </w:t>
      </w:r>
      <w:r>
        <w:rPr>
          <w:lang w:val="it-IT"/>
        </w:rPr>
        <w:t xml:space="preserve">probabilmente </w:t>
      </w:r>
      <w:r w:rsidRPr="0055626F">
        <w:rPr>
          <w:lang w:val="it-IT"/>
        </w:rPr>
        <w:t>trov</w:t>
      </w:r>
      <w:r>
        <w:rPr>
          <w:lang w:val="it-IT"/>
        </w:rPr>
        <w:t>a</w:t>
      </w:r>
      <w:r w:rsidRPr="0055626F">
        <w:rPr>
          <w:lang w:val="it-IT"/>
        </w:rPr>
        <w:t>no la situazione normale e si sent</w:t>
      </w:r>
      <w:r>
        <w:rPr>
          <w:lang w:val="it-IT"/>
        </w:rPr>
        <w:t>o</w:t>
      </w:r>
      <w:r w:rsidRPr="0055626F">
        <w:rPr>
          <w:lang w:val="it-IT"/>
        </w:rPr>
        <w:t>no a proprio agio, altri</w:t>
      </w:r>
      <w:r>
        <w:rPr>
          <w:lang w:val="it-IT"/>
        </w:rPr>
        <w:t>, invece,</w:t>
      </w:r>
      <w:r w:rsidRPr="0055626F">
        <w:rPr>
          <w:lang w:val="it-IT"/>
        </w:rPr>
        <w:t xml:space="preserve"> </w:t>
      </w:r>
      <w:r w:rsidR="009B7305">
        <w:rPr>
          <w:lang w:val="it-IT"/>
        </w:rPr>
        <w:t>sono sorpresi e provano</w:t>
      </w:r>
      <w:r w:rsidRPr="0055626F">
        <w:rPr>
          <w:lang w:val="it-IT"/>
        </w:rPr>
        <w:t xml:space="preserve"> perfino </w:t>
      </w:r>
      <w:r w:rsidR="009B7305">
        <w:rPr>
          <w:lang w:val="it-IT"/>
        </w:rPr>
        <w:t xml:space="preserve">un senso </w:t>
      </w:r>
      <w:r w:rsidRPr="0055626F">
        <w:rPr>
          <w:lang w:val="it-IT"/>
        </w:rPr>
        <w:t xml:space="preserve">di frustrazione. I comportamenti descritti possono essere </w:t>
      </w:r>
      <w:r w:rsidR="009B7305">
        <w:rPr>
          <w:lang w:val="it-IT"/>
        </w:rPr>
        <w:t>provocati</w:t>
      </w:r>
      <w:r w:rsidRPr="0055626F">
        <w:rPr>
          <w:lang w:val="it-IT"/>
        </w:rPr>
        <w:t xml:space="preserve"> da una serie di fattori:</w:t>
      </w:r>
    </w:p>
    <w:p w:rsidR="000808C7" w:rsidRDefault="00943743" w:rsidP="000808C7">
      <w:pPr>
        <w:pStyle w:val="Paragraphedeliste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è</w:t>
      </w:r>
      <w:r w:rsidR="000808C7">
        <w:rPr>
          <w:sz w:val="24"/>
          <w:szCs w:val="24"/>
        </w:rPr>
        <w:t xml:space="preserve"> probabile che alcuni membri del gruppo si comportino nello stesso modo in cui si sarebbero compo</w:t>
      </w:r>
      <w:r w:rsidR="00373C1E">
        <w:rPr>
          <w:sz w:val="24"/>
          <w:szCs w:val="24"/>
        </w:rPr>
        <w:t>rtati nei loro Paesi</w:t>
      </w:r>
      <w:r>
        <w:rPr>
          <w:sz w:val="24"/>
          <w:szCs w:val="24"/>
        </w:rPr>
        <w:t xml:space="preserve"> di origine;</w:t>
      </w:r>
    </w:p>
    <w:p w:rsidR="000808C7" w:rsidRDefault="00943743" w:rsidP="00E0517E">
      <w:pPr>
        <w:pStyle w:val="Paragraphedeliste"/>
        <w:numPr>
          <w:ilvl w:val="0"/>
          <w:numId w:val="13"/>
        </w:numPr>
        <w:spacing w:before="60" w:after="6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è</w:t>
      </w:r>
      <w:r w:rsidR="000808C7">
        <w:rPr>
          <w:sz w:val="24"/>
          <w:szCs w:val="24"/>
        </w:rPr>
        <w:t xml:space="preserve"> probabile che alcuni, avendo riconosciuto l’importanza della solidarietà </w:t>
      </w:r>
      <w:r w:rsidR="002204AC">
        <w:rPr>
          <w:sz w:val="24"/>
          <w:szCs w:val="24"/>
        </w:rPr>
        <w:t xml:space="preserve">all’interno </w:t>
      </w:r>
      <w:r w:rsidR="000808C7">
        <w:rPr>
          <w:sz w:val="24"/>
          <w:szCs w:val="24"/>
        </w:rPr>
        <w:t xml:space="preserve">del gruppo, si comportino secondo quelle che, a loro avviso, sono le aspettative del gruppo, vale a dire in un modo diverso da quello in </w:t>
      </w:r>
      <w:r w:rsidR="00373C1E">
        <w:rPr>
          <w:sz w:val="24"/>
          <w:szCs w:val="24"/>
        </w:rPr>
        <w:t>cui si sarebbero comportati nei loro Paesi</w:t>
      </w:r>
      <w:r>
        <w:rPr>
          <w:sz w:val="24"/>
          <w:szCs w:val="24"/>
        </w:rPr>
        <w:t>;</w:t>
      </w:r>
    </w:p>
    <w:p w:rsidR="000808C7" w:rsidRPr="00943743" w:rsidRDefault="00943743" w:rsidP="00E0517E">
      <w:pPr>
        <w:pStyle w:val="Paragraphedeliste"/>
        <w:numPr>
          <w:ilvl w:val="0"/>
          <w:numId w:val="13"/>
        </w:numPr>
        <w:spacing w:before="60" w:after="60" w:line="24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è</w:t>
      </w:r>
      <w:r w:rsidR="000808C7" w:rsidRPr="008C4B37">
        <w:rPr>
          <w:sz w:val="24"/>
          <w:szCs w:val="24"/>
        </w:rPr>
        <w:t xml:space="preserve"> probabile che alcuni si comportino secondo </w:t>
      </w:r>
      <w:r w:rsidR="0016770E" w:rsidRPr="008C4B37">
        <w:rPr>
          <w:sz w:val="24"/>
          <w:szCs w:val="24"/>
        </w:rPr>
        <w:t>la propria visione del mondo</w:t>
      </w:r>
      <w:r w:rsidR="000808C7" w:rsidRPr="008C4B37">
        <w:rPr>
          <w:sz w:val="24"/>
          <w:szCs w:val="24"/>
        </w:rPr>
        <w:t>, un</w:t>
      </w:r>
      <w:r w:rsidR="00E761F2" w:rsidRPr="008C4B37">
        <w:rPr>
          <w:sz w:val="24"/>
          <w:szCs w:val="24"/>
        </w:rPr>
        <w:t>a visione</w:t>
      </w:r>
      <w:r w:rsidR="000808C7" w:rsidRPr="008C4B37">
        <w:rPr>
          <w:sz w:val="24"/>
          <w:szCs w:val="24"/>
        </w:rPr>
        <w:t xml:space="preserve"> che hanno sviluppat</w:t>
      </w:r>
      <w:r w:rsidR="00373C1E">
        <w:rPr>
          <w:sz w:val="24"/>
          <w:szCs w:val="24"/>
        </w:rPr>
        <w:t>o dopo aver lasciato i loro Paesi</w:t>
      </w:r>
      <w:r w:rsidR="000808C7" w:rsidRPr="008C4B37">
        <w:rPr>
          <w:sz w:val="24"/>
          <w:szCs w:val="24"/>
        </w:rPr>
        <w:t>.</w:t>
      </w:r>
    </w:p>
    <w:p w:rsidR="000808C7" w:rsidRPr="0016770E" w:rsidRDefault="000808C7" w:rsidP="00943743">
      <w:pPr>
        <w:spacing w:before="120" w:after="120"/>
        <w:rPr>
          <w:rFonts w:cs="Calibri"/>
          <w:szCs w:val="24"/>
          <w:lang w:val="it-IT"/>
        </w:rPr>
      </w:pPr>
      <w:r w:rsidRPr="0016770E">
        <w:rPr>
          <w:rFonts w:cs="Calibri"/>
          <w:szCs w:val="24"/>
          <w:lang w:val="it-IT"/>
        </w:rPr>
        <w:t xml:space="preserve">Questa </w:t>
      </w:r>
      <w:r w:rsidR="0016770E" w:rsidRPr="0016770E">
        <w:rPr>
          <w:rFonts w:cs="Calibri"/>
          <w:szCs w:val="24"/>
          <w:lang w:val="it-IT"/>
        </w:rPr>
        <w:t>diversità</w:t>
      </w:r>
      <w:r w:rsidR="00E0517E">
        <w:rPr>
          <w:rFonts w:cs="Calibri"/>
          <w:szCs w:val="24"/>
          <w:lang w:val="it-IT"/>
        </w:rPr>
        <w:t xml:space="preserve"> di comportamenti</w:t>
      </w:r>
      <w:r w:rsidRPr="0016770E">
        <w:rPr>
          <w:rFonts w:cs="Calibri"/>
          <w:szCs w:val="24"/>
          <w:lang w:val="it-IT"/>
        </w:rPr>
        <w:t xml:space="preserve"> dà conferma del fatto che</w:t>
      </w:r>
      <w:r w:rsidR="0016770E">
        <w:rPr>
          <w:rFonts w:cs="Calibri"/>
          <w:szCs w:val="24"/>
          <w:lang w:val="it-IT"/>
        </w:rPr>
        <w:t>,</w:t>
      </w:r>
      <w:r w:rsidRPr="0016770E">
        <w:rPr>
          <w:rFonts w:cs="Calibri"/>
          <w:szCs w:val="24"/>
          <w:lang w:val="it-IT"/>
        </w:rPr>
        <w:t xml:space="preserve"> benché le pratiche culturali rivestano un ruolo importante, non dovremmo cercare di spiegare ogni cosa attraverso la cultura. Dovremmo inoltre evitare di </w:t>
      </w:r>
      <w:r w:rsidRPr="008C4B37">
        <w:rPr>
          <w:rFonts w:cs="Calibri"/>
          <w:szCs w:val="24"/>
          <w:lang w:val="it-IT"/>
        </w:rPr>
        <w:t xml:space="preserve">etichettare </w:t>
      </w:r>
      <w:r w:rsidR="0016770E" w:rsidRPr="008C4B37">
        <w:rPr>
          <w:rFonts w:cs="Calibri"/>
          <w:szCs w:val="24"/>
          <w:lang w:val="it-IT"/>
        </w:rPr>
        <w:t xml:space="preserve">e generalizzare </w:t>
      </w:r>
      <w:r w:rsidR="00373C1E">
        <w:rPr>
          <w:rFonts w:cs="Calibri"/>
          <w:szCs w:val="24"/>
          <w:lang w:val="it-IT"/>
        </w:rPr>
        <w:t xml:space="preserve">determinati </w:t>
      </w:r>
      <w:r w:rsidRPr="008C4B37">
        <w:rPr>
          <w:rFonts w:cs="Calibri"/>
          <w:szCs w:val="24"/>
          <w:lang w:val="it-IT"/>
        </w:rPr>
        <w:t>atteggiamenti.</w:t>
      </w:r>
    </w:p>
    <w:p w:rsidR="00472385" w:rsidRPr="00E761F2" w:rsidRDefault="00472385" w:rsidP="003A0A5D">
      <w:pPr>
        <w:pStyle w:val="TKTITRE1"/>
        <w:rPr>
          <w:lang w:val="it-IT"/>
        </w:rPr>
      </w:pPr>
      <w:r w:rsidRPr="00E761F2">
        <w:rPr>
          <w:lang w:val="it-IT"/>
        </w:rPr>
        <w:t>Crea</w:t>
      </w:r>
      <w:r w:rsidR="00E761F2" w:rsidRPr="00E761F2">
        <w:rPr>
          <w:lang w:val="it-IT"/>
        </w:rPr>
        <w:t xml:space="preserve">re uno spazio interculturale </w:t>
      </w:r>
      <w:r w:rsidR="00E761F2">
        <w:rPr>
          <w:lang w:val="it-IT"/>
        </w:rPr>
        <w:t>per il supporto linguistico</w:t>
      </w:r>
    </w:p>
    <w:p w:rsidR="00E761F2" w:rsidRPr="00E761F2" w:rsidRDefault="00E761F2" w:rsidP="00E761F2">
      <w:pPr>
        <w:rPr>
          <w:szCs w:val="24"/>
          <w:lang w:val="it-IT"/>
        </w:rPr>
      </w:pPr>
      <w:r w:rsidRPr="00E761F2">
        <w:rPr>
          <w:szCs w:val="24"/>
          <w:lang w:val="it-IT"/>
        </w:rPr>
        <w:t xml:space="preserve">Un buon modo per minimizzare i rischi di conflitti interculturali e di incomprensioni </w:t>
      </w:r>
      <w:r w:rsidRPr="008C4B37">
        <w:rPr>
          <w:szCs w:val="24"/>
          <w:lang w:val="it-IT"/>
        </w:rPr>
        <w:t xml:space="preserve">durante </w:t>
      </w:r>
      <w:r w:rsidR="002204AC" w:rsidRPr="008C4B37">
        <w:rPr>
          <w:szCs w:val="24"/>
          <w:lang w:val="it-IT"/>
        </w:rPr>
        <w:t>le attività</w:t>
      </w:r>
      <w:r w:rsidR="002204AC">
        <w:rPr>
          <w:szCs w:val="24"/>
          <w:lang w:val="it-IT"/>
        </w:rPr>
        <w:t xml:space="preserve"> di supporto linguistico</w:t>
      </w:r>
      <w:r w:rsidRPr="00E761F2">
        <w:rPr>
          <w:szCs w:val="24"/>
          <w:lang w:val="it-IT"/>
        </w:rPr>
        <w:t xml:space="preserve"> è quello di incoraggiare il gruppo a creare una </w:t>
      </w:r>
      <w:r w:rsidRPr="008C4B37">
        <w:rPr>
          <w:szCs w:val="24"/>
          <w:lang w:val="it-IT"/>
        </w:rPr>
        <w:t>sua “propria cultura”,</w:t>
      </w:r>
      <w:r w:rsidRPr="00E761F2">
        <w:rPr>
          <w:szCs w:val="24"/>
          <w:lang w:val="it-IT"/>
        </w:rPr>
        <w:t xml:space="preserve"> con regole stabilite e significati condivisi. Ciò</w:t>
      </w:r>
      <w:r w:rsidR="0061283D">
        <w:rPr>
          <w:szCs w:val="24"/>
          <w:lang w:val="it-IT"/>
        </w:rPr>
        <w:t xml:space="preserve"> </w:t>
      </w:r>
      <w:r w:rsidR="008C4B37">
        <w:rPr>
          <w:szCs w:val="24"/>
          <w:lang w:val="it-IT"/>
        </w:rPr>
        <w:t>significa</w:t>
      </w:r>
      <w:r w:rsidRPr="00E761F2">
        <w:rPr>
          <w:szCs w:val="24"/>
          <w:lang w:val="it-IT"/>
        </w:rPr>
        <w:t xml:space="preserve"> chiarire che il gruppo </w:t>
      </w:r>
      <w:r w:rsidR="0061283D">
        <w:rPr>
          <w:szCs w:val="24"/>
          <w:lang w:val="it-IT"/>
        </w:rPr>
        <w:t xml:space="preserve">è </w:t>
      </w:r>
      <w:r w:rsidRPr="00E761F2">
        <w:rPr>
          <w:szCs w:val="24"/>
          <w:lang w:val="it-IT"/>
        </w:rPr>
        <w:t>uno spa</w:t>
      </w:r>
      <w:r w:rsidR="00943743">
        <w:rPr>
          <w:szCs w:val="24"/>
          <w:lang w:val="it-IT"/>
        </w:rPr>
        <w:t>zio sicuro in cui</w:t>
      </w:r>
      <w:r w:rsidRPr="00E761F2">
        <w:rPr>
          <w:szCs w:val="24"/>
          <w:lang w:val="it-IT"/>
        </w:rPr>
        <w:t xml:space="preserve"> è permesso </w:t>
      </w:r>
      <w:r w:rsidR="00943743">
        <w:rPr>
          <w:szCs w:val="24"/>
          <w:lang w:val="it-IT"/>
        </w:rPr>
        <w:t xml:space="preserve">ai partecipanti </w:t>
      </w:r>
      <w:r w:rsidR="00373C1E">
        <w:rPr>
          <w:szCs w:val="24"/>
          <w:lang w:val="it-IT"/>
        </w:rPr>
        <w:t>di esprimere sé</w:t>
      </w:r>
      <w:r w:rsidRPr="00E761F2">
        <w:rPr>
          <w:szCs w:val="24"/>
          <w:lang w:val="it-IT"/>
        </w:rPr>
        <w:t xml:space="preserve"> stessi, i propri bisogni, le proprie opinioni</w:t>
      </w:r>
      <w:r w:rsidR="00943743">
        <w:rPr>
          <w:szCs w:val="24"/>
          <w:lang w:val="it-IT"/>
        </w:rPr>
        <w:t>;</w:t>
      </w:r>
      <w:r w:rsidRPr="00E761F2">
        <w:rPr>
          <w:szCs w:val="24"/>
          <w:lang w:val="it-IT"/>
        </w:rPr>
        <w:t xml:space="preserve"> </w:t>
      </w:r>
      <w:r w:rsidR="0061283D">
        <w:rPr>
          <w:szCs w:val="24"/>
          <w:lang w:val="it-IT"/>
        </w:rPr>
        <w:t xml:space="preserve">uno spazio </w:t>
      </w:r>
      <w:r w:rsidR="002204AC">
        <w:rPr>
          <w:szCs w:val="24"/>
          <w:lang w:val="it-IT"/>
        </w:rPr>
        <w:t>in</w:t>
      </w:r>
      <w:r w:rsidR="00C13DAE">
        <w:rPr>
          <w:szCs w:val="24"/>
          <w:lang w:val="it-IT"/>
        </w:rPr>
        <w:t xml:space="preserve"> cui </w:t>
      </w:r>
      <w:r w:rsidR="0061283D">
        <w:rPr>
          <w:szCs w:val="24"/>
          <w:lang w:val="it-IT"/>
        </w:rPr>
        <w:t xml:space="preserve">tutti </w:t>
      </w:r>
      <w:r w:rsidRPr="00E761F2">
        <w:rPr>
          <w:szCs w:val="24"/>
          <w:lang w:val="it-IT"/>
        </w:rPr>
        <w:t>accettano di mostra</w:t>
      </w:r>
      <w:r w:rsidR="00471F1A">
        <w:rPr>
          <w:szCs w:val="24"/>
          <w:lang w:val="it-IT"/>
        </w:rPr>
        <w:t>rsi</w:t>
      </w:r>
      <w:r w:rsidRPr="00E761F2">
        <w:rPr>
          <w:szCs w:val="24"/>
          <w:lang w:val="it-IT"/>
        </w:rPr>
        <w:t xml:space="preserve"> apert</w:t>
      </w:r>
      <w:r w:rsidR="00471F1A">
        <w:rPr>
          <w:szCs w:val="24"/>
          <w:lang w:val="it-IT"/>
        </w:rPr>
        <w:t>i</w:t>
      </w:r>
      <w:r w:rsidRPr="00E761F2">
        <w:rPr>
          <w:szCs w:val="24"/>
          <w:lang w:val="it-IT"/>
        </w:rPr>
        <w:t>, rispetto</w:t>
      </w:r>
      <w:r w:rsidR="00471F1A">
        <w:rPr>
          <w:szCs w:val="24"/>
          <w:lang w:val="it-IT"/>
        </w:rPr>
        <w:t>si</w:t>
      </w:r>
      <w:r w:rsidRPr="00E761F2">
        <w:rPr>
          <w:szCs w:val="24"/>
          <w:lang w:val="it-IT"/>
        </w:rPr>
        <w:t xml:space="preserve"> e solida</w:t>
      </w:r>
      <w:r w:rsidR="00471F1A">
        <w:rPr>
          <w:szCs w:val="24"/>
          <w:lang w:val="it-IT"/>
        </w:rPr>
        <w:t>li</w:t>
      </w:r>
      <w:r w:rsidRPr="00E761F2">
        <w:rPr>
          <w:szCs w:val="24"/>
          <w:lang w:val="it-IT"/>
        </w:rPr>
        <w:t xml:space="preserve"> </w:t>
      </w:r>
      <w:r w:rsidR="00471F1A">
        <w:rPr>
          <w:szCs w:val="24"/>
          <w:lang w:val="it-IT"/>
        </w:rPr>
        <w:t xml:space="preserve">l’uno </w:t>
      </w:r>
      <w:r w:rsidR="0061283D">
        <w:rPr>
          <w:szCs w:val="24"/>
          <w:lang w:val="it-IT"/>
        </w:rPr>
        <w:t>verso</w:t>
      </w:r>
      <w:r w:rsidR="00471F1A">
        <w:rPr>
          <w:szCs w:val="24"/>
          <w:lang w:val="it-IT"/>
        </w:rPr>
        <w:t xml:space="preserve"> l’altro</w:t>
      </w:r>
      <w:r w:rsidRPr="00E761F2">
        <w:rPr>
          <w:szCs w:val="24"/>
          <w:lang w:val="it-IT"/>
        </w:rPr>
        <w:t>. In alcuni casi</w:t>
      </w:r>
      <w:r w:rsidR="008C4B37">
        <w:rPr>
          <w:szCs w:val="24"/>
          <w:lang w:val="it-IT"/>
        </w:rPr>
        <w:t xml:space="preserve">, </w:t>
      </w:r>
      <w:r w:rsidR="005E3B7E">
        <w:rPr>
          <w:szCs w:val="24"/>
          <w:lang w:val="it-IT"/>
        </w:rPr>
        <w:t>tuttavia</w:t>
      </w:r>
      <w:r w:rsidR="008C4B37">
        <w:rPr>
          <w:szCs w:val="24"/>
          <w:lang w:val="it-IT"/>
        </w:rPr>
        <w:t>, sarà</w:t>
      </w:r>
      <w:r w:rsidR="005E3B7E">
        <w:rPr>
          <w:szCs w:val="24"/>
          <w:lang w:val="it-IT"/>
        </w:rPr>
        <w:t xml:space="preserve"> </w:t>
      </w:r>
      <w:r w:rsidRPr="00E761F2">
        <w:rPr>
          <w:szCs w:val="24"/>
          <w:lang w:val="it-IT"/>
        </w:rPr>
        <w:t>necessario incoraggiare</w:t>
      </w:r>
      <w:r w:rsidR="00234242">
        <w:rPr>
          <w:szCs w:val="24"/>
          <w:lang w:val="it-IT"/>
        </w:rPr>
        <w:t>,</w:t>
      </w:r>
      <w:r w:rsidRPr="00E761F2">
        <w:rPr>
          <w:szCs w:val="24"/>
          <w:lang w:val="it-IT"/>
        </w:rPr>
        <w:t xml:space="preserve"> </w:t>
      </w:r>
      <w:r w:rsidR="008C4B37">
        <w:rPr>
          <w:szCs w:val="24"/>
          <w:lang w:val="it-IT"/>
        </w:rPr>
        <w:t>con il dovuto garbo</w:t>
      </w:r>
      <w:r w:rsidR="00234242">
        <w:rPr>
          <w:szCs w:val="24"/>
          <w:lang w:val="it-IT"/>
        </w:rPr>
        <w:t>,</w:t>
      </w:r>
      <w:r w:rsidR="00471F1A">
        <w:rPr>
          <w:szCs w:val="24"/>
          <w:lang w:val="it-IT"/>
        </w:rPr>
        <w:t xml:space="preserve"> </w:t>
      </w:r>
      <w:r w:rsidRPr="00E761F2">
        <w:rPr>
          <w:szCs w:val="24"/>
          <w:lang w:val="it-IT"/>
        </w:rPr>
        <w:t xml:space="preserve">i membri del gruppo </w:t>
      </w:r>
      <w:r w:rsidR="00234242">
        <w:rPr>
          <w:szCs w:val="24"/>
          <w:lang w:val="it-IT"/>
        </w:rPr>
        <w:t>a</w:t>
      </w:r>
      <w:r w:rsidR="007F4DD8">
        <w:rPr>
          <w:szCs w:val="24"/>
          <w:lang w:val="it-IT"/>
        </w:rPr>
        <w:t>d</w:t>
      </w:r>
      <w:r w:rsidR="00234242">
        <w:rPr>
          <w:szCs w:val="24"/>
          <w:lang w:val="it-IT"/>
        </w:rPr>
        <w:t xml:space="preserve"> </w:t>
      </w:r>
      <w:r w:rsidR="00714F61">
        <w:rPr>
          <w:szCs w:val="24"/>
          <w:lang w:val="it-IT"/>
        </w:rPr>
        <w:t>adottare</w:t>
      </w:r>
      <w:r w:rsidR="007F4DD8">
        <w:rPr>
          <w:szCs w:val="24"/>
          <w:lang w:val="it-IT"/>
        </w:rPr>
        <w:t xml:space="preserve"> comportamenti </w:t>
      </w:r>
      <w:r w:rsidR="00234242">
        <w:rPr>
          <w:szCs w:val="24"/>
          <w:lang w:val="it-IT"/>
        </w:rPr>
        <w:t>molto different</w:t>
      </w:r>
      <w:r w:rsidR="007F4DD8">
        <w:rPr>
          <w:szCs w:val="24"/>
          <w:lang w:val="it-IT"/>
        </w:rPr>
        <w:t>i</w:t>
      </w:r>
      <w:r w:rsidR="00234242">
        <w:rPr>
          <w:szCs w:val="24"/>
          <w:lang w:val="it-IT"/>
        </w:rPr>
        <w:t xml:space="preserve"> </w:t>
      </w:r>
      <w:r w:rsidR="0061283D">
        <w:rPr>
          <w:szCs w:val="24"/>
          <w:lang w:val="it-IT"/>
        </w:rPr>
        <w:t>da</w:t>
      </w:r>
      <w:r w:rsidR="007F4DD8">
        <w:rPr>
          <w:szCs w:val="24"/>
          <w:lang w:val="it-IT"/>
        </w:rPr>
        <w:t xml:space="preserve"> </w:t>
      </w:r>
      <w:r w:rsidR="00234242">
        <w:rPr>
          <w:szCs w:val="24"/>
          <w:lang w:val="it-IT"/>
        </w:rPr>
        <w:t>quell</w:t>
      </w:r>
      <w:r w:rsidR="007F4DD8">
        <w:rPr>
          <w:szCs w:val="24"/>
          <w:lang w:val="it-IT"/>
        </w:rPr>
        <w:t>i</w:t>
      </w:r>
      <w:r w:rsidR="00234242">
        <w:rPr>
          <w:szCs w:val="24"/>
          <w:lang w:val="it-IT"/>
        </w:rPr>
        <w:t xml:space="preserve"> </w:t>
      </w:r>
      <w:r w:rsidR="007F4DD8">
        <w:rPr>
          <w:szCs w:val="24"/>
          <w:lang w:val="it-IT"/>
        </w:rPr>
        <w:t xml:space="preserve">che </w:t>
      </w:r>
      <w:r w:rsidR="00714F61">
        <w:rPr>
          <w:szCs w:val="24"/>
          <w:lang w:val="it-IT"/>
        </w:rPr>
        <w:t>assumerebbero</w:t>
      </w:r>
      <w:r w:rsidR="00234242">
        <w:rPr>
          <w:szCs w:val="24"/>
          <w:lang w:val="it-IT"/>
        </w:rPr>
        <w:t xml:space="preserve"> </w:t>
      </w:r>
      <w:r w:rsidR="00373C1E">
        <w:rPr>
          <w:szCs w:val="24"/>
          <w:lang w:val="it-IT"/>
        </w:rPr>
        <w:t>nei loro Paesi</w:t>
      </w:r>
      <w:r w:rsidR="00E0517E">
        <w:rPr>
          <w:szCs w:val="24"/>
          <w:lang w:val="it-IT"/>
        </w:rPr>
        <w:t>.</w:t>
      </w:r>
      <w:r w:rsidRPr="00E761F2">
        <w:rPr>
          <w:szCs w:val="24"/>
          <w:lang w:val="it-IT"/>
        </w:rPr>
        <w:t xml:space="preserve"> </w:t>
      </w:r>
    </w:p>
    <w:p w:rsidR="00943743" w:rsidRDefault="00943743" w:rsidP="007F4DD8">
      <w:pPr>
        <w:pStyle w:val="TKTITRE2"/>
        <w:rPr>
          <w:highlight w:val="yellow"/>
          <w:lang w:val="it-IT"/>
        </w:rPr>
      </w:pPr>
    </w:p>
    <w:p w:rsidR="007F4DD8" w:rsidRPr="00943743" w:rsidRDefault="00943743" w:rsidP="007F4DD8">
      <w:pPr>
        <w:pStyle w:val="TKTITRE2"/>
        <w:rPr>
          <w:lang w:val="it-IT"/>
        </w:rPr>
      </w:pPr>
      <w:r w:rsidRPr="00943743">
        <w:rPr>
          <w:lang w:val="it-IT"/>
        </w:rPr>
        <w:lastRenderedPageBreak/>
        <w:t>I concetti</w:t>
      </w:r>
      <w:r w:rsidR="00C01D42" w:rsidRPr="00943743">
        <w:rPr>
          <w:lang w:val="it-IT"/>
        </w:rPr>
        <w:t xml:space="preserve"> di “</w:t>
      </w:r>
      <w:r w:rsidR="007F4DD8" w:rsidRPr="00943743">
        <w:rPr>
          <w:lang w:val="it-IT"/>
        </w:rPr>
        <w:t>cortesia</w:t>
      </w:r>
      <w:r w:rsidR="00C01D42" w:rsidRPr="00943743">
        <w:rPr>
          <w:lang w:val="it-IT"/>
        </w:rPr>
        <w:t>”</w:t>
      </w:r>
      <w:r w:rsidR="007F4DD8" w:rsidRPr="00943743">
        <w:rPr>
          <w:lang w:val="it-IT"/>
        </w:rPr>
        <w:t xml:space="preserve"> </w:t>
      </w:r>
      <w:r w:rsidRPr="00943743">
        <w:rPr>
          <w:lang w:val="it-IT"/>
        </w:rPr>
        <w:t>ed “educazione”</w:t>
      </w:r>
    </w:p>
    <w:p w:rsidR="007F4DD8" w:rsidRPr="007F4DD8" w:rsidRDefault="007F4DD8" w:rsidP="007F4DD8">
      <w:pPr>
        <w:rPr>
          <w:szCs w:val="24"/>
          <w:lang w:val="it-IT"/>
        </w:rPr>
      </w:pPr>
      <w:r w:rsidRPr="00943743">
        <w:rPr>
          <w:szCs w:val="24"/>
          <w:lang w:val="it-IT"/>
        </w:rPr>
        <w:t>Il significato d</w:t>
      </w:r>
      <w:r w:rsidR="00943743" w:rsidRPr="00943743">
        <w:rPr>
          <w:szCs w:val="24"/>
          <w:lang w:val="it-IT"/>
        </w:rPr>
        <w:t>ei concetti</w:t>
      </w:r>
      <w:r w:rsidR="00C01D42" w:rsidRPr="00943743">
        <w:rPr>
          <w:szCs w:val="24"/>
          <w:lang w:val="it-IT"/>
        </w:rPr>
        <w:t xml:space="preserve"> di</w:t>
      </w:r>
      <w:r w:rsidRPr="00943743">
        <w:rPr>
          <w:szCs w:val="24"/>
          <w:lang w:val="it-IT"/>
        </w:rPr>
        <w:t xml:space="preserve"> </w:t>
      </w:r>
      <w:r w:rsidR="000A2C0E" w:rsidRPr="00943743">
        <w:rPr>
          <w:szCs w:val="24"/>
          <w:lang w:val="it-IT"/>
        </w:rPr>
        <w:t>“</w:t>
      </w:r>
      <w:r w:rsidRPr="00943743">
        <w:rPr>
          <w:szCs w:val="24"/>
          <w:lang w:val="it-IT"/>
        </w:rPr>
        <w:t>cortesia</w:t>
      </w:r>
      <w:r w:rsidR="000A2C0E" w:rsidRPr="00943743">
        <w:rPr>
          <w:szCs w:val="24"/>
          <w:lang w:val="it-IT"/>
        </w:rPr>
        <w:t>”</w:t>
      </w:r>
      <w:r w:rsidR="00943743" w:rsidRPr="00943743">
        <w:rPr>
          <w:szCs w:val="24"/>
          <w:lang w:val="it-IT"/>
        </w:rPr>
        <w:t xml:space="preserve"> e di “educazione”</w:t>
      </w:r>
      <w:r w:rsidR="00E0517E">
        <w:rPr>
          <w:szCs w:val="24"/>
          <w:lang w:val="it-IT"/>
        </w:rPr>
        <w:t xml:space="preserve"> può</w:t>
      </w:r>
      <w:r w:rsidRPr="00943743">
        <w:rPr>
          <w:szCs w:val="24"/>
          <w:lang w:val="it-IT"/>
        </w:rPr>
        <w:t xml:space="preserve"> variare notevolmente da un contesto culturale all’altro. Alcuni membri del </w:t>
      </w:r>
      <w:r w:rsidR="00E0517E">
        <w:rPr>
          <w:szCs w:val="24"/>
          <w:lang w:val="it-IT"/>
        </w:rPr>
        <w:t>“</w:t>
      </w:r>
      <w:r w:rsidRPr="00943743">
        <w:rPr>
          <w:szCs w:val="24"/>
          <w:lang w:val="it-IT"/>
        </w:rPr>
        <w:t>tuo</w:t>
      </w:r>
      <w:r w:rsidR="00E0517E">
        <w:rPr>
          <w:szCs w:val="24"/>
          <w:lang w:val="it-IT"/>
        </w:rPr>
        <w:t>”</w:t>
      </w:r>
      <w:r w:rsidRPr="00943743">
        <w:rPr>
          <w:szCs w:val="24"/>
          <w:lang w:val="it-IT"/>
        </w:rPr>
        <w:t xml:space="preserve"> gruppo possono infatti ritenere importante </w:t>
      </w:r>
      <w:r w:rsidR="000A2C0E" w:rsidRPr="00943743">
        <w:rPr>
          <w:szCs w:val="24"/>
          <w:lang w:val="it-IT"/>
        </w:rPr>
        <w:t xml:space="preserve">che ci si </w:t>
      </w:r>
      <w:r w:rsidRPr="00943743">
        <w:rPr>
          <w:szCs w:val="24"/>
          <w:lang w:val="it-IT"/>
        </w:rPr>
        <w:t>rivolg</w:t>
      </w:r>
      <w:r w:rsidR="000A2C0E" w:rsidRPr="00943743">
        <w:rPr>
          <w:szCs w:val="24"/>
          <w:lang w:val="it-IT"/>
        </w:rPr>
        <w:t>a</w:t>
      </w:r>
      <w:r w:rsidRPr="00943743">
        <w:rPr>
          <w:szCs w:val="24"/>
          <w:lang w:val="it-IT"/>
        </w:rPr>
        <w:t xml:space="preserve"> a un’altra persona chiamandola con il nome della famiglia di appartenenza o il nome completo, compresi i titoli </w:t>
      </w:r>
      <w:r w:rsidR="00783935" w:rsidRPr="00943743">
        <w:rPr>
          <w:szCs w:val="24"/>
          <w:lang w:val="it-IT"/>
        </w:rPr>
        <w:t xml:space="preserve">professionali </w:t>
      </w:r>
      <w:r w:rsidRPr="00943743">
        <w:rPr>
          <w:szCs w:val="24"/>
          <w:lang w:val="it-IT"/>
        </w:rPr>
        <w:t xml:space="preserve">quali </w:t>
      </w:r>
      <w:r w:rsidR="005E3B7E" w:rsidRPr="00943743">
        <w:rPr>
          <w:szCs w:val="24"/>
          <w:lang w:val="it-IT"/>
        </w:rPr>
        <w:t>“</w:t>
      </w:r>
      <w:r w:rsidRPr="00943743">
        <w:rPr>
          <w:szCs w:val="24"/>
          <w:lang w:val="it-IT"/>
        </w:rPr>
        <w:t>Professore</w:t>
      </w:r>
      <w:r w:rsidR="005E3B7E" w:rsidRPr="00943743">
        <w:rPr>
          <w:szCs w:val="24"/>
          <w:lang w:val="it-IT"/>
        </w:rPr>
        <w:t>”</w:t>
      </w:r>
      <w:r w:rsidRPr="00943743">
        <w:rPr>
          <w:szCs w:val="24"/>
          <w:lang w:val="it-IT"/>
        </w:rPr>
        <w:t xml:space="preserve"> o </w:t>
      </w:r>
      <w:r w:rsidR="005E3B7E" w:rsidRPr="00943743">
        <w:rPr>
          <w:szCs w:val="24"/>
          <w:lang w:val="it-IT"/>
        </w:rPr>
        <w:t>“</w:t>
      </w:r>
      <w:r w:rsidRPr="00943743">
        <w:rPr>
          <w:szCs w:val="24"/>
          <w:lang w:val="it-IT"/>
        </w:rPr>
        <w:t>Dottore</w:t>
      </w:r>
      <w:r w:rsidR="005E3B7E" w:rsidRPr="00943743">
        <w:rPr>
          <w:szCs w:val="24"/>
          <w:lang w:val="it-IT"/>
        </w:rPr>
        <w:t>”</w:t>
      </w:r>
      <w:r w:rsidR="00943743" w:rsidRPr="00943743">
        <w:rPr>
          <w:szCs w:val="24"/>
          <w:lang w:val="it-IT"/>
        </w:rPr>
        <w:t>;</w:t>
      </w:r>
      <w:r w:rsidR="000A2C0E" w:rsidRPr="00943743">
        <w:rPr>
          <w:szCs w:val="24"/>
          <w:lang w:val="it-IT"/>
        </w:rPr>
        <w:t xml:space="preserve"> al contrario di al</w:t>
      </w:r>
      <w:r w:rsidRPr="00943743">
        <w:rPr>
          <w:szCs w:val="24"/>
          <w:lang w:val="it-IT"/>
        </w:rPr>
        <w:t xml:space="preserve">tri </w:t>
      </w:r>
      <w:r w:rsidR="000A2C0E" w:rsidRPr="00943743">
        <w:rPr>
          <w:szCs w:val="24"/>
          <w:lang w:val="it-IT"/>
        </w:rPr>
        <w:t xml:space="preserve">che </w:t>
      </w:r>
      <w:r w:rsidRPr="00943743">
        <w:rPr>
          <w:szCs w:val="24"/>
          <w:lang w:val="it-IT"/>
        </w:rPr>
        <w:t>possono considerare questo aspett</w:t>
      </w:r>
      <w:r w:rsidR="00943743" w:rsidRPr="00943743">
        <w:rPr>
          <w:szCs w:val="24"/>
          <w:lang w:val="it-IT"/>
        </w:rPr>
        <w:t>o non rilevante e pensare che</w:t>
      </w:r>
      <w:r w:rsidRPr="00943743">
        <w:rPr>
          <w:szCs w:val="24"/>
          <w:lang w:val="it-IT"/>
        </w:rPr>
        <w:t xml:space="preserve"> cortesia </w:t>
      </w:r>
      <w:r w:rsidR="00943743" w:rsidRPr="00943743">
        <w:rPr>
          <w:szCs w:val="24"/>
          <w:lang w:val="it-IT"/>
        </w:rPr>
        <w:t xml:space="preserve">ed educazione </w:t>
      </w:r>
      <w:r w:rsidRPr="00943743">
        <w:rPr>
          <w:szCs w:val="24"/>
          <w:lang w:val="it-IT"/>
        </w:rPr>
        <w:t>si manifesti</w:t>
      </w:r>
      <w:r w:rsidR="00943743" w:rsidRPr="00943743">
        <w:rPr>
          <w:szCs w:val="24"/>
          <w:lang w:val="it-IT"/>
        </w:rPr>
        <w:t>no</w:t>
      </w:r>
      <w:r w:rsidRPr="00943743">
        <w:rPr>
          <w:szCs w:val="24"/>
          <w:lang w:val="it-IT"/>
        </w:rPr>
        <w:t xml:space="preserve"> attraverso </w:t>
      </w:r>
      <w:r w:rsidR="005B0DB0" w:rsidRPr="00943743">
        <w:rPr>
          <w:szCs w:val="24"/>
          <w:lang w:val="it-IT"/>
        </w:rPr>
        <w:t xml:space="preserve">alcuni </w:t>
      </w:r>
      <w:r w:rsidRPr="00943743">
        <w:rPr>
          <w:szCs w:val="24"/>
          <w:lang w:val="it-IT"/>
        </w:rPr>
        <w:t xml:space="preserve">atteggiamenti </w:t>
      </w:r>
      <w:r w:rsidR="00943743" w:rsidRPr="00943743">
        <w:rPr>
          <w:szCs w:val="24"/>
          <w:lang w:val="it-IT"/>
        </w:rPr>
        <w:t>o comportamenti</w:t>
      </w:r>
      <w:r w:rsidR="000A2C0E" w:rsidRPr="00943743">
        <w:rPr>
          <w:szCs w:val="24"/>
          <w:lang w:val="it-IT"/>
        </w:rPr>
        <w:t>, ad esempio</w:t>
      </w:r>
      <w:r w:rsidR="00E0517E">
        <w:rPr>
          <w:szCs w:val="24"/>
          <w:lang w:val="it-IT"/>
        </w:rPr>
        <w:t xml:space="preserve"> </w:t>
      </w:r>
      <w:r w:rsidRPr="00943743">
        <w:rPr>
          <w:szCs w:val="24"/>
          <w:lang w:val="it-IT"/>
        </w:rPr>
        <w:t>non interrompendo gli altri quando parlano, evitando di parlare troppo a lungo, esprimendo idee e opinioni p</w:t>
      </w:r>
      <w:r w:rsidR="00943743" w:rsidRPr="00943743">
        <w:rPr>
          <w:szCs w:val="24"/>
          <w:lang w:val="it-IT"/>
        </w:rPr>
        <w:t>iuttosto che verità assolute (“</w:t>
      </w:r>
      <w:r w:rsidR="00E0517E">
        <w:rPr>
          <w:i/>
          <w:szCs w:val="24"/>
          <w:lang w:val="it-IT"/>
        </w:rPr>
        <w:t>I</w:t>
      </w:r>
      <w:r w:rsidRPr="00943743">
        <w:rPr>
          <w:i/>
          <w:szCs w:val="24"/>
          <w:lang w:val="it-IT"/>
        </w:rPr>
        <w:t>o penso che</w:t>
      </w:r>
      <w:r w:rsidRPr="00943743">
        <w:rPr>
          <w:szCs w:val="24"/>
          <w:lang w:val="it-IT"/>
        </w:rPr>
        <w:t>...”,</w:t>
      </w:r>
      <w:r w:rsidR="00C13DAE" w:rsidRPr="00943743">
        <w:rPr>
          <w:szCs w:val="24"/>
          <w:lang w:val="it-IT"/>
        </w:rPr>
        <w:t xml:space="preserve"> al posto di “</w:t>
      </w:r>
      <w:r w:rsidR="00E0517E">
        <w:rPr>
          <w:i/>
          <w:szCs w:val="24"/>
          <w:lang w:val="it-IT"/>
        </w:rPr>
        <w:t>L</w:t>
      </w:r>
      <w:r w:rsidR="00C13DAE" w:rsidRPr="00943743">
        <w:rPr>
          <w:i/>
          <w:szCs w:val="24"/>
          <w:lang w:val="it-IT"/>
        </w:rPr>
        <w:t>a verità è</w:t>
      </w:r>
      <w:r w:rsidR="00C13DAE" w:rsidRPr="00943743">
        <w:rPr>
          <w:szCs w:val="24"/>
          <w:lang w:val="it-IT"/>
        </w:rPr>
        <w:t xml:space="preserve"> ...”)</w:t>
      </w:r>
      <w:r w:rsidRPr="00943743">
        <w:rPr>
          <w:szCs w:val="24"/>
          <w:lang w:val="it-IT"/>
        </w:rPr>
        <w:t xml:space="preserve"> o semplicemente rispettando la puntualità. Alcune persone potrebbero </w:t>
      </w:r>
      <w:r w:rsidR="008962C9" w:rsidRPr="00943743">
        <w:rPr>
          <w:szCs w:val="24"/>
          <w:lang w:val="it-IT"/>
        </w:rPr>
        <w:t>giudicare</w:t>
      </w:r>
      <w:r w:rsidRPr="00943743">
        <w:rPr>
          <w:szCs w:val="24"/>
          <w:lang w:val="it-IT"/>
        </w:rPr>
        <w:t xml:space="preserve"> normale </w:t>
      </w:r>
      <w:r w:rsidR="005E3B7E" w:rsidRPr="00943743">
        <w:rPr>
          <w:szCs w:val="24"/>
          <w:lang w:val="it-IT"/>
        </w:rPr>
        <w:t xml:space="preserve">il fatto di </w:t>
      </w:r>
      <w:r w:rsidR="00943743" w:rsidRPr="00943743">
        <w:rPr>
          <w:szCs w:val="24"/>
          <w:lang w:val="it-IT"/>
        </w:rPr>
        <w:t>trattare i partecipanti</w:t>
      </w:r>
      <w:r w:rsidRPr="00943743">
        <w:rPr>
          <w:szCs w:val="24"/>
          <w:lang w:val="it-IT"/>
        </w:rPr>
        <w:t xml:space="preserve"> più </w:t>
      </w:r>
      <w:r w:rsidR="008962C9" w:rsidRPr="00943743">
        <w:rPr>
          <w:szCs w:val="24"/>
          <w:lang w:val="it-IT"/>
        </w:rPr>
        <w:t>anziani con rispetto;</w:t>
      </w:r>
      <w:r w:rsidRPr="00943743">
        <w:rPr>
          <w:szCs w:val="24"/>
          <w:lang w:val="it-IT"/>
        </w:rPr>
        <w:t xml:space="preserve"> altri</w:t>
      </w:r>
      <w:r w:rsidR="008962C9" w:rsidRPr="00943743">
        <w:rPr>
          <w:szCs w:val="24"/>
          <w:lang w:val="it-IT"/>
        </w:rPr>
        <w:t xml:space="preserve"> invece</w:t>
      </w:r>
      <w:r w:rsidRPr="00943743">
        <w:rPr>
          <w:szCs w:val="24"/>
          <w:lang w:val="it-IT"/>
        </w:rPr>
        <w:t xml:space="preserve"> lo </w:t>
      </w:r>
      <w:r w:rsidR="005E3B7E" w:rsidRPr="00943743">
        <w:rPr>
          <w:szCs w:val="24"/>
          <w:lang w:val="it-IT"/>
        </w:rPr>
        <w:t xml:space="preserve">potrebbero </w:t>
      </w:r>
      <w:r w:rsidRPr="00943743">
        <w:rPr>
          <w:szCs w:val="24"/>
          <w:lang w:val="it-IT"/>
        </w:rPr>
        <w:t>trov</w:t>
      </w:r>
      <w:r w:rsidR="005E3B7E" w:rsidRPr="00943743">
        <w:rPr>
          <w:szCs w:val="24"/>
          <w:lang w:val="it-IT"/>
        </w:rPr>
        <w:t>are</w:t>
      </w:r>
      <w:r w:rsidRPr="00943743">
        <w:rPr>
          <w:szCs w:val="24"/>
          <w:lang w:val="it-IT"/>
        </w:rPr>
        <w:t xml:space="preserve"> inaccettabile, </w:t>
      </w:r>
      <w:r w:rsidR="008962C9" w:rsidRPr="00943743">
        <w:rPr>
          <w:szCs w:val="24"/>
          <w:lang w:val="it-IT"/>
        </w:rPr>
        <w:t>ritenendo</w:t>
      </w:r>
      <w:r w:rsidRPr="00943743">
        <w:rPr>
          <w:szCs w:val="24"/>
          <w:lang w:val="it-IT"/>
        </w:rPr>
        <w:t xml:space="preserve"> che tutti i membri del gruppo </w:t>
      </w:r>
      <w:r w:rsidR="008962C9" w:rsidRPr="00943743">
        <w:rPr>
          <w:szCs w:val="24"/>
          <w:lang w:val="it-IT"/>
        </w:rPr>
        <w:t>vadano</w:t>
      </w:r>
      <w:r w:rsidRPr="00943743">
        <w:rPr>
          <w:szCs w:val="24"/>
          <w:lang w:val="it-IT"/>
        </w:rPr>
        <w:t xml:space="preserve"> trattati allo stesso modo. Nego</w:t>
      </w:r>
      <w:r w:rsidR="00943743" w:rsidRPr="00943743">
        <w:rPr>
          <w:szCs w:val="24"/>
          <w:lang w:val="it-IT"/>
        </w:rPr>
        <w:t>ziare una definizione comune dei</w:t>
      </w:r>
      <w:r w:rsidRPr="00943743">
        <w:rPr>
          <w:szCs w:val="24"/>
          <w:lang w:val="it-IT"/>
        </w:rPr>
        <w:t xml:space="preserve"> </w:t>
      </w:r>
      <w:r w:rsidR="00943743" w:rsidRPr="00943743">
        <w:rPr>
          <w:szCs w:val="24"/>
          <w:lang w:val="it-IT"/>
        </w:rPr>
        <w:t>concetti</w:t>
      </w:r>
      <w:r w:rsidRPr="00943743">
        <w:rPr>
          <w:szCs w:val="24"/>
          <w:lang w:val="it-IT"/>
        </w:rPr>
        <w:t xml:space="preserve"> di </w:t>
      </w:r>
      <w:r w:rsidR="008962C9" w:rsidRPr="00943743">
        <w:rPr>
          <w:szCs w:val="24"/>
          <w:lang w:val="it-IT"/>
        </w:rPr>
        <w:t>“</w:t>
      </w:r>
      <w:r w:rsidRPr="00943743">
        <w:rPr>
          <w:szCs w:val="24"/>
          <w:lang w:val="it-IT"/>
        </w:rPr>
        <w:t>cortesia</w:t>
      </w:r>
      <w:r w:rsidR="008962C9" w:rsidRPr="00943743">
        <w:rPr>
          <w:szCs w:val="24"/>
          <w:lang w:val="it-IT"/>
        </w:rPr>
        <w:t>”</w:t>
      </w:r>
      <w:r w:rsidR="00943743" w:rsidRPr="00943743">
        <w:rPr>
          <w:szCs w:val="24"/>
          <w:lang w:val="it-IT"/>
        </w:rPr>
        <w:t xml:space="preserve"> ed “educazione”</w:t>
      </w:r>
      <w:r w:rsidRPr="00943743">
        <w:rPr>
          <w:szCs w:val="24"/>
          <w:lang w:val="it-IT"/>
        </w:rPr>
        <w:t xml:space="preserve"> </w:t>
      </w:r>
      <w:r w:rsidR="005B0DB0" w:rsidRPr="00943743">
        <w:rPr>
          <w:szCs w:val="24"/>
          <w:lang w:val="it-IT"/>
        </w:rPr>
        <w:t xml:space="preserve">è </w:t>
      </w:r>
      <w:r w:rsidRPr="00943743">
        <w:rPr>
          <w:szCs w:val="24"/>
          <w:lang w:val="it-IT"/>
        </w:rPr>
        <w:t xml:space="preserve">importante </w:t>
      </w:r>
      <w:r w:rsidR="005B0DB0" w:rsidRPr="00943743">
        <w:rPr>
          <w:szCs w:val="24"/>
          <w:lang w:val="it-IT"/>
        </w:rPr>
        <w:t xml:space="preserve">per </w:t>
      </w:r>
      <w:r w:rsidR="008962C9" w:rsidRPr="00943743">
        <w:rPr>
          <w:szCs w:val="24"/>
          <w:lang w:val="it-IT"/>
        </w:rPr>
        <w:t>riuscire</w:t>
      </w:r>
      <w:r w:rsidR="005B0DB0" w:rsidRPr="00943743">
        <w:rPr>
          <w:szCs w:val="24"/>
          <w:lang w:val="it-IT"/>
        </w:rPr>
        <w:t xml:space="preserve"> a</w:t>
      </w:r>
      <w:r w:rsidRPr="00943743">
        <w:rPr>
          <w:szCs w:val="24"/>
          <w:lang w:val="it-IT"/>
        </w:rPr>
        <w:t xml:space="preserve"> costruire un’efficace cultura di gruppo.</w:t>
      </w:r>
      <w:r w:rsidRPr="007F4DD8">
        <w:rPr>
          <w:szCs w:val="24"/>
          <w:lang w:val="it-IT"/>
        </w:rPr>
        <w:t xml:space="preserve"> </w:t>
      </w:r>
    </w:p>
    <w:p w:rsidR="00472385" w:rsidRPr="005B0DB0" w:rsidRDefault="005B0DB0" w:rsidP="003A0A5D">
      <w:pPr>
        <w:pStyle w:val="TKTITRE2"/>
        <w:rPr>
          <w:lang w:val="it-IT"/>
        </w:rPr>
      </w:pPr>
      <w:r>
        <w:rPr>
          <w:lang w:val="it-IT"/>
        </w:rPr>
        <w:t>I nomi</w:t>
      </w:r>
    </w:p>
    <w:p w:rsidR="005B0DB0" w:rsidRPr="005B0DB0" w:rsidRDefault="005B0DB0" w:rsidP="005B0DB0">
      <w:pPr>
        <w:rPr>
          <w:szCs w:val="24"/>
          <w:lang w:val="it-IT"/>
        </w:rPr>
      </w:pPr>
      <w:r w:rsidRPr="005B0DB0">
        <w:rPr>
          <w:szCs w:val="24"/>
          <w:lang w:val="it-IT"/>
        </w:rPr>
        <w:t>I nomi possono essere causa di fraintendimento e frustrazione se la diversità delle tradizioni all’interno del gruppo non viene esplicitata. Ad esempio, in molti casi un</w:t>
      </w:r>
      <w:r w:rsidR="00943743">
        <w:rPr>
          <w:szCs w:val="24"/>
          <w:lang w:val="it-IT"/>
        </w:rPr>
        <w:t xml:space="preserve"> nome scritto in una lingua non </w:t>
      </w:r>
      <w:r w:rsidRPr="005B0DB0">
        <w:rPr>
          <w:szCs w:val="24"/>
          <w:lang w:val="it-IT"/>
        </w:rPr>
        <w:t xml:space="preserve">europea può essere trascritto in vari modi con le lettere dell’alfabeto latino. Alcuni possono preferire uno </w:t>
      </w:r>
      <w:r w:rsidRPr="008962C9">
        <w:rPr>
          <w:szCs w:val="24"/>
          <w:lang w:val="it-IT"/>
        </w:rPr>
        <w:t>spelling che favorisca una pronuncia</w:t>
      </w:r>
      <w:r w:rsidRPr="005B0DB0">
        <w:rPr>
          <w:szCs w:val="24"/>
          <w:lang w:val="it-IT"/>
        </w:rPr>
        <w:t xml:space="preserve"> simile a quella </w:t>
      </w:r>
      <w:r>
        <w:rPr>
          <w:szCs w:val="24"/>
          <w:lang w:val="it-IT"/>
        </w:rPr>
        <w:t>d</w:t>
      </w:r>
      <w:r w:rsidRPr="005B0DB0">
        <w:rPr>
          <w:szCs w:val="24"/>
          <w:lang w:val="it-IT"/>
        </w:rPr>
        <w:t xml:space="preserve">ella lingua di origine, mentre altri </w:t>
      </w:r>
      <w:r w:rsidR="00E0517E">
        <w:rPr>
          <w:szCs w:val="24"/>
          <w:lang w:val="it-IT"/>
        </w:rPr>
        <w:t>possono accettare</w:t>
      </w:r>
      <w:r>
        <w:rPr>
          <w:szCs w:val="24"/>
          <w:lang w:val="it-IT"/>
        </w:rPr>
        <w:t xml:space="preserve"> volentieri</w:t>
      </w:r>
      <w:r w:rsidRPr="005B0DB0">
        <w:rPr>
          <w:szCs w:val="24"/>
          <w:lang w:val="it-IT"/>
        </w:rPr>
        <w:t xml:space="preserve"> </w:t>
      </w:r>
      <w:r>
        <w:rPr>
          <w:szCs w:val="24"/>
          <w:lang w:val="it-IT"/>
        </w:rPr>
        <w:t>le</w:t>
      </w:r>
      <w:r w:rsidRPr="005B0DB0">
        <w:rPr>
          <w:szCs w:val="24"/>
          <w:lang w:val="it-IT"/>
        </w:rPr>
        <w:t xml:space="preserve"> variazioni. In Europa siamo abituati a utilizzare uno o due nomi e uno o due cognomi, preceduti da “Signor”, “Signora”</w:t>
      </w:r>
      <w:r w:rsidR="00E0517E">
        <w:rPr>
          <w:szCs w:val="24"/>
          <w:lang w:val="it-IT"/>
        </w:rPr>
        <w:t xml:space="preserve"> </w:t>
      </w:r>
      <w:r w:rsidRPr="005B0DB0">
        <w:rPr>
          <w:szCs w:val="24"/>
          <w:lang w:val="it-IT"/>
        </w:rPr>
        <w:t xml:space="preserve">o </w:t>
      </w:r>
      <w:r w:rsidRPr="008962C9">
        <w:rPr>
          <w:szCs w:val="24"/>
          <w:lang w:val="it-IT"/>
        </w:rPr>
        <w:t>“Signorina”</w:t>
      </w:r>
      <w:r w:rsidRPr="005B0DB0">
        <w:rPr>
          <w:szCs w:val="24"/>
          <w:lang w:val="it-IT"/>
        </w:rPr>
        <w:t xml:space="preserve"> come appellativi di cortesia e di rispetto.</w:t>
      </w:r>
    </w:p>
    <w:p w:rsidR="005B0DB0" w:rsidRPr="005B0DB0" w:rsidRDefault="005B0DB0" w:rsidP="005B0DB0">
      <w:pPr>
        <w:rPr>
          <w:szCs w:val="24"/>
          <w:lang w:val="it-IT"/>
        </w:rPr>
      </w:pPr>
      <w:r w:rsidRPr="005B0DB0">
        <w:rPr>
          <w:szCs w:val="24"/>
          <w:lang w:val="it-IT"/>
        </w:rPr>
        <w:t xml:space="preserve">Nel contesto culturale </w:t>
      </w:r>
      <w:r w:rsidR="008962C9">
        <w:rPr>
          <w:szCs w:val="24"/>
          <w:lang w:val="it-IT"/>
        </w:rPr>
        <w:t xml:space="preserve">dei membri </w:t>
      </w:r>
      <w:r w:rsidRPr="005B0DB0">
        <w:rPr>
          <w:szCs w:val="24"/>
          <w:lang w:val="it-IT"/>
        </w:rPr>
        <w:t xml:space="preserve">del </w:t>
      </w:r>
      <w:r w:rsidR="00373C1E">
        <w:rPr>
          <w:szCs w:val="24"/>
          <w:lang w:val="it-IT"/>
        </w:rPr>
        <w:t>“</w:t>
      </w:r>
      <w:r>
        <w:rPr>
          <w:szCs w:val="24"/>
          <w:lang w:val="it-IT"/>
        </w:rPr>
        <w:t>tuo</w:t>
      </w:r>
      <w:r w:rsidR="00373C1E">
        <w:rPr>
          <w:szCs w:val="24"/>
          <w:lang w:val="it-IT"/>
        </w:rPr>
        <w:t>”</w:t>
      </w:r>
      <w:r w:rsidRPr="005B0DB0">
        <w:rPr>
          <w:szCs w:val="24"/>
          <w:lang w:val="it-IT"/>
        </w:rPr>
        <w:t xml:space="preserve"> gruppo la situazione potrebbe essere differente. </w:t>
      </w:r>
      <w:r w:rsidRPr="00591C91">
        <w:rPr>
          <w:szCs w:val="24"/>
          <w:lang w:val="it-IT"/>
        </w:rPr>
        <w:t xml:space="preserve">È probabile che i loro nomi siano utilizzati </w:t>
      </w:r>
      <w:r w:rsidR="008962C9">
        <w:rPr>
          <w:szCs w:val="24"/>
          <w:lang w:val="it-IT"/>
        </w:rPr>
        <w:t>nel</w:t>
      </w:r>
      <w:r w:rsidRPr="00591C91">
        <w:rPr>
          <w:szCs w:val="24"/>
          <w:lang w:val="it-IT"/>
        </w:rPr>
        <w:t xml:space="preserve">lo stesso modo che in Europa, </w:t>
      </w:r>
      <w:r w:rsidR="00591C91">
        <w:rPr>
          <w:szCs w:val="24"/>
          <w:lang w:val="it-IT"/>
        </w:rPr>
        <w:t>ma che</w:t>
      </w:r>
      <w:r w:rsidRPr="00591C91">
        <w:rPr>
          <w:szCs w:val="24"/>
          <w:lang w:val="it-IT"/>
        </w:rPr>
        <w:t xml:space="preserve"> </w:t>
      </w:r>
      <w:r w:rsidR="008962C9">
        <w:rPr>
          <w:szCs w:val="24"/>
          <w:lang w:val="it-IT"/>
        </w:rPr>
        <w:t xml:space="preserve">usino </w:t>
      </w:r>
      <w:r w:rsidR="008962C9" w:rsidRPr="005B0DB0">
        <w:rPr>
          <w:szCs w:val="24"/>
          <w:lang w:val="it-IT"/>
        </w:rPr>
        <w:t>il nome preceduto da “Signor”, “Signora”</w:t>
      </w:r>
      <w:r w:rsidR="00E0517E">
        <w:rPr>
          <w:szCs w:val="24"/>
          <w:lang w:val="it-IT"/>
        </w:rPr>
        <w:t xml:space="preserve"> </w:t>
      </w:r>
      <w:r w:rsidR="008962C9" w:rsidRPr="005B0DB0">
        <w:rPr>
          <w:szCs w:val="24"/>
          <w:lang w:val="it-IT"/>
        </w:rPr>
        <w:t>o “Signorina”</w:t>
      </w:r>
      <w:r w:rsidR="00E0517E">
        <w:rPr>
          <w:szCs w:val="24"/>
          <w:lang w:val="it-IT"/>
        </w:rPr>
        <w:t xml:space="preserve"> </w:t>
      </w:r>
      <w:r w:rsidR="007117CB">
        <w:rPr>
          <w:szCs w:val="24"/>
          <w:lang w:val="it-IT"/>
        </w:rPr>
        <w:t>per rivolgersi</w:t>
      </w:r>
      <w:r w:rsidRPr="00591C91">
        <w:rPr>
          <w:szCs w:val="24"/>
          <w:lang w:val="it-IT"/>
        </w:rPr>
        <w:t xml:space="preserve"> formalmente</w:t>
      </w:r>
      <w:r w:rsidRPr="005B0DB0">
        <w:rPr>
          <w:szCs w:val="24"/>
          <w:lang w:val="it-IT"/>
        </w:rPr>
        <w:t xml:space="preserve"> a un’altra persona</w:t>
      </w:r>
      <w:r w:rsidR="009D402D">
        <w:rPr>
          <w:szCs w:val="24"/>
          <w:lang w:val="it-IT"/>
        </w:rPr>
        <w:t>. I</w:t>
      </w:r>
      <w:r w:rsidRPr="005B0DB0">
        <w:rPr>
          <w:szCs w:val="24"/>
          <w:lang w:val="it-IT"/>
        </w:rPr>
        <w:t xml:space="preserve"> nomi potrebbero </w:t>
      </w:r>
      <w:r w:rsidR="009D402D">
        <w:rPr>
          <w:szCs w:val="24"/>
          <w:lang w:val="it-IT"/>
        </w:rPr>
        <w:t xml:space="preserve">anche </w:t>
      </w:r>
      <w:r w:rsidR="00591C91">
        <w:rPr>
          <w:szCs w:val="24"/>
          <w:lang w:val="it-IT"/>
        </w:rPr>
        <w:t xml:space="preserve">essere composti da </w:t>
      </w:r>
      <w:r w:rsidRPr="005B0DB0">
        <w:rPr>
          <w:szCs w:val="24"/>
          <w:lang w:val="it-IT"/>
        </w:rPr>
        <w:t xml:space="preserve">elementi che non sono veri e propri nomi, ma aggettivi o parole che indicano relazioni. </w:t>
      </w:r>
    </w:p>
    <w:p w:rsidR="005B0DB0" w:rsidRPr="005B0DB0" w:rsidRDefault="005B0DB0" w:rsidP="005B0DB0">
      <w:pPr>
        <w:rPr>
          <w:szCs w:val="24"/>
          <w:lang w:val="it-IT"/>
        </w:rPr>
      </w:pPr>
      <w:r w:rsidRPr="005B0DB0">
        <w:rPr>
          <w:szCs w:val="24"/>
          <w:lang w:val="it-IT"/>
        </w:rPr>
        <w:t xml:space="preserve">In alcune culture ci si può rivolgere ad una persona in molteplici modi e non solo ricorrendo al nome indicato nei documenti; </w:t>
      </w:r>
      <w:r w:rsidR="00E0517E">
        <w:rPr>
          <w:szCs w:val="24"/>
          <w:lang w:val="it-IT"/>
        </w:rPr>
        <w:t>alcuni rifugiati</w:t>
      </w:r>
      <w:r w:rsidR="00373C1E">
        <w:rPr>
          <w:szCs w:val="24"/>
          <w:lang w:val="it-IT"/>
        </w:rPr>
        <w:t>,</w:t>
      </w:r>
      <w:r w:rsidR="00E0517E">
        <w:rPr>
          <w:szCs w:val="24"/>
          <w:lang w:val="it-IT"/>
        </w:rPr>
        <w:t xml:space="preserve"> inoltre</w:t>
      </w:r>
      <w:r w:rsidR="00373C1E">
        <w:rPr>
          <w:szCs w:val="24"/>
          <w:lang w:val="it-IT"/>
        </w:rPr>
        <w:t>,</w:t>
      </w:r>
      <w:r w:rsidR="00E0517E">
        <w:rPr>
          <w:szCs w:val="24"/>
          <w:lang w:val="it-IT"/>
        </w:rPr>
        <w:t xml:space="preserve"> potrebbero</w:t>
      </w:r>
      <w:r w:rsidRPr="005B0DB0">
        <w:rPr>
          <w:szCs w:val="24"/>
          <w:lang w:val="it-IT"/>
        </w:rPr>
        <w:t xml:space="preserve"> venire da regioni in cui non viene </w:t>
      </w:r>
      <w:r w:rsidR="00373C1E">
        <w:rPr>
          <w:szCs w:val="24"/>
          <w:lang w:val="it-IT"/>
        </w:rPr>
        <w:t xml:space="preserve">fatta alcuna distinzione tra nome e </w:t>
      </w:r>
      <w:r w:rsidRPr="005B0DB0">
        <w:rPr>
          <w:szCs w:val="24"/>
          <w:lang w:val="it-IT"/>
        </w:rPr>
        <w:t>cognome.</w:t>
      </w:r>
    </w:p>
    <w:p w:rsidR="0033678D" w:rsidRPr="00BE49AD" w:rsidRDefault="0033678D" w:rsidP="005B0DB0">
      <w:pPr>
        <w:rPr>
          <w:szCs w:val="24"/>
          <w:lang w:val="it-IT"/>
        </w:rPr>
      </w:pPr>
    </w:p>
    <w:p w:rsidR="005B0DB0" w:rsidRPr="003F6976" w:rsidRDefault="00EA14C8" w:rsidP="005B0DB0">
      <w:pPr>
        <w:rPr>
          <w:szCs w:val="24"/>
          <w:lang w:val="it-IT"/>
        </w:rPr>
      </w:pPr>
      <w:r w:rsidRPr="00BE49AD">
        <w:rPr>
          <w:szCs w:val="24"/>
          <w:lang w:val="it-IT"/>
        </w:rPr>
        <w:t>Vedi anche gli</w:t>
      </w:r>
      <w:r w:rsidR="00591C91" w:rsidRPr="00BE49AD">
        <w:rPr>
          <w:szCs w:val="24"/>
          <w:lang w:val="it-IT"/>
        </w:rPr>
        <w:t xml:space="preserve"> </w:t>
      </w:r>
      <w:r w:rsidR="009D402D" w:rsidRPr="00BE49AD">
        <w:rPr>
          <w:szCs w:val="24"/>
          <w:lang w:val="it-IT"/>
        </w:rPr>
        <w:t>s</w:t>
      </w:r>
      <w:r w:rsidRPr="00BE49AD">
        <w:rPr>
          <w:szCs w:val="24"/>
          <w:lang w:val="it-IT"/>
        </w:rPr>
        <w:t>trumenti</w:t>
      </w:r>
      <w:r w:rsidR="005B0DB0" w:rsidRPr="00BE49AD">
        <w:rPr>
          <w:szCs w:val="24"/>
          <w:lang w:val="it-IT"/>
        </w:rPr>
        <w:t xml:space="preserve"> 3 – </w:t>
      </w:r>
      <w:hyperlink r:id="rId8" w:history="1">
        <w:r w:rsidR="00326868" w:rsidRPr="003F6976">
          <w:rPr>
            <w:rStyle w:val="Lienhypertexte"/>
            <w:i/>
            <w:iCs/>
            <w:szCs w:val="24"/>
            <w:u w:val="none"/>
            <w:lang w:val="it-IT"/>
          </w:rPr>
          <w:t>Le q</w:t>
        </w:r>
        <w:r w:rsidR="005B0DB0" w:rsidRPr="003F6976">
          <w:rPr>
            <w:rStyle w:val="Lienhypertexte"/>
            <w:i/>
            <w:iCs/>
            <w:szCs w:val="24"/>
            <w:u w:val="none"/>
            <w:lang w:val="it-IT"/>
          </w:rPr>
          <w:t xml:space="preserve">uestioni </w:t>
        </w:r>
        <w:r w:rsidR="00591C91" w:rsidRPr="003F6976">
          <w:rPr>
            <w:rStyle w:val="Lienhypertexte"/>
            <w:i/>
            <w:iCs/>
            <w:szCs w:val="24"/>
            <w:u w:val="none"/>
            <w:lang w:val="it-IT"/>
          </w:rPr>
          <w:t xml:space="preserve">etiche e interculturali </w:t>
        </w:r>
        <w:r w:rsidRPr="003F6976">
          <w:rPr>
            <w:rStyle w:val="Lienhypertexte"/>
            <w:i/>
            <w:iCs/>
            <w:szCs w:val="24"/>
            <w:u w:val="none"/>
            <w:lang w:val="it-IT"/>
          </w:rPr>
          <w:t>da conoscere</w:t>
        </w:r>
        <w:r w:rsidR="00591C91" w:rsidRPr="003F6976">
          <w:rPr>
            <w:rStyle w:val="Lienhypertexte"/>
            <w:i/>
            <w:iCs/>
            <w:szCs w:val="24"/>
            <w:u w:val="none"/>
            <w:lang w:val="it-IT"/>
          </w:rPr>
          <w:t xml:space="preserve"> </w:t>
        </w:r>
        <w:r w:rsidR="005B0DB0" w:rsidRPr="003F6976">
          <w:rPr>
            <w:rStyle w:val="Lienhypertexte"/>
            <w:i/>
            <w:iCs/>
            <w:szCs w:val="24"/>
            <w:u w:val="none"/>
            <w:lang w:val="it-IT"/>
          </w:rPr>
          <w:t>quando si lavora con i rifugiati</w:t>
        </w:r>
      </w:hyperlink>
      <w:r w:rsidR="005B0DB0" w:rsidRPr="00916FE1">
        <w:rPr>
          <w:szCs w:val="24"/>
          <w:lang w:val="it-IT"/>
        </w:rPr>
        <w:t xml:space="preserve"> e 14 – </w:t>
      </w:r>
      <w:hyperlink r:id="rId9" w:history="1">
        <w:r w:rsidR="005B0DB0" w:rsidRPr="003F6976">
          <w:rPr>
            <w:rStyle w:val="Lienhypertexte"/>
            <w:i/>
            <w:iCs/>
            <w:szCs w:val="24"/>
            <w:u w:val="none"/>
            <w:lang w:val="it-IT"/>
          </w:rPr>
          <w:t>La diversità nei gruppi</w:t>
        </w:r>
        <w:r w:rsidR="0033678D" w:rsidRPr="003F6976">
          <w:rPr>
            <w:rStyle w:val="Lienhypertexte"/>
            <w:i/>
            <w:iCs/>
            <w:szCs w:val="24"/>
            <w:u w:val="none"/>
            <w:lang w:val="it-IT"/>
          </w:rPr>
          <w:t xml:space="preserve"> </w:t>
        </w:r>
        <w:r w:rsidR="005B0DB0" w:rsidRPr="003F6976">
          <w:rPr>
            <w:rStyle w:val="Lienhypertexte"/>
            <w:i/>
            <w:iCs/>
            <w:szCs w:val="24"/>
            <w:u w:val="none"/>
            <w:lang w:val="it-IT"/>
          </w:rPr>
          <w:t>di lavoro</w:t>
        </w:r>
      </w:hyperlink>
      <w:r w:rsidR="005B0DB0" w:rsidRPr="003F6976">
        <w:rPr>
          <w:szCs w:val="24"/>
          <w:lang w:val="it-IT"/>
        </w:rPr>
        <w:t xml:space="preserve">. </w:t>
      </w:r>
      <w:bookmarkStart w:id="0" w:name="_GoBack"/>
      <w:bookmarkEnd w:id="0"/>
    </w:p>
    <w:sectPr w:rsidR="005B0DB0" w:rsidRPr="003F6976" w:rsidSect="001E1ACB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F0D" w:rsidRDefault="00672F0D" w:rsidP="00C523EA">
      <w:r>
        <w:separator/>
      </w:r>
    </w:p>
  </w:endnote>
  <w:endnote w:type="continuationSeparator" w:id="0">
    <w:p w:rsidR="00672F0D" w:rsidRDefault="00672F0D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2860CD" w:rsidTr="001E1ACB">
      <w:tc>
        <w:tcPr>
          <w:tcW w:w="1667" w:type="pct"/>
          <w:vAlign w:val="bottom"/>
        </w:tcPr>
        <w:p w:rsidR="002860CD" w:rsidRPr="00E25D68" w:rsidRDefault="00E25D68" w:rsidP="001E1A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E25D68">
            <w:rPr>
              <w:rFonts w:eastAsia="Calibri" w:cs="Cambria"/>
              <w:sz w:val="18"/>
              <w:szCs w:val="18"/>
            </w:rPr>
            <w:t xml:space="preserve">Programma per le politiche linguistiche, Strasburgo </w:t>
          </w:r>
        </w:p>
        <w:p w:rsidR="002860CD" w:rsidRDefault="00E25D68" w:rsidP="001E1AC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E25D68"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r w:rsidR="00406722">
            <w:rPr>
              <w:rFonts w:eastAsia="Calibri" w:cs="Cambria"/>
              <w:b/>
              <w:sz w:val="18"/>
              <w:szCs w:val="18"/>
              <w:lang w:val="en-US"/>
            </w:rPr>
            <w:t xml:space="preserve"> 4</w:t>
          </w:r>
        </w:p>
      </w:tc>
      <w:tc>
        <w:tcPr>
          <w:tcW w:w="1667" w:type="pct"/>
          <w:vAlign w:val="bottom"/>
        </w:tcPr>
        <w:p w:rsidR="002860CD" w:rsidRDefault="001C30D6" w:rsidP="001E1ACB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F6976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2860CD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F6976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860CD" w:rsidP="001E1ACB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35200" cy="666000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2860CD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F0D" w:rsidRDefault="00672F0D" w:rsidP="00C523EA">
      <w:r>
        <w:separator/>
      </w:r>
    </w:p>
  </w:footnote>
  <w:footnote w:type="continuationSeparator" w:id="0">
    <w:p w:rsidR="00672F0D" w:rsidRDefault="00672F0D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79" w:type="pct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2228"/>
      <w:gridCol w:w="5722"/>
      <w:gridCol w:w="2732"/>
      <w:gridCol w:w="2732"/>
    </w:tblGrid>
    <w:tr w:rsidR="005B51F2" w:rsidRPr="00F9328A" w:rsidTr="005B51F2">
      <w:trPr>
        <w:trHeight w:val="1304"/>
      </w:trPr>
      <w:tc>
        <w:tcPr>
          <w:tcW w:w="2228" w:type="dxa"/>
        </w:tcPr>
        <w:p w:rsidR="005B51F2" w:rsidRPr="00CB5C65" w:rsidRDefault="005B51F2" w:rsidP="00A2404D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E25D68" w:rsidRDefault="00E25D68" w:rsidP="00A2404D">
          <w:pPr>
            <w:jc w:val="center"/>
            <w:rPr>
              <w:rFonts w:eastAsiaTheme="minorHAnsi"/>
              <w:b/>
              <w:lang w:val="en-GB"/>
            </w:rPr>
          </w:pPr>
          <w:r w:rsidRPr="00E25D68">
            <w:rPr>
              <w:rFonts w:eastAsiaTheme="minorHAnsi"/>
              <w:b/>
              <w:lang w:val="en-GB"/>
            </w:rPr>
            <w:t xml:space="preserve">Supporto linguistico per rifugiati adulti: </w:t>
          </w:r>
        </w:p>
        <w:p w:rsidR="00E25D68" w:rsidRPr="00E25D68" w:rsidRDefault="00E25D68" w:rsidP="00A2404D">
          <w:pPr>
            <w:jc w:val="center"/>
            <w:rPr>
              <w:rFonts w:eastAsiaTheme="minorHAnsi"/>
              <w:b/>
              <w:i/>
            </w:rPr>
          </w:pPr>
          <w:r w:rsidRPr="00E25D68">
            <w:rPr>
              <w:rFonts w:eastAsiaTheme="minorHAnsi"/>
              <w:b/>
              <w:i/>
            </w:rPr>
            <w:t xml:space="preserve">il toolkit del Consiglio d’Europa </w:t>
          </w:r>
        </w:p>
        <w:p w:rsidR="005B51F2" w:rsidRPr="00E25D68" w:rsidRDefault="00672F0D" w:rsidP="00A2404D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5B51F2" w:rsidRPr="00E25D68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E25D68" w:rsidRDefault="00E25D68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E25D68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 Linguistica dei Migranti Adulti (ILMA)</w:t>
          </w:r>
        </w:p>
        <w:p w:rsidR="005B51F2" w:rsidRPr="0073201E" w:rsidRDefault="00672F0D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5B51F2" w:rsidRPr="0073201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5B51F2" w:rsidRPr="004E687E" w:rsidRDefault="005B51F2" w:rsidP="00A2404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</w:t>
          </w: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ion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e Linguistica</w:t>
          </w:r>
        </w:p>
        <w:p w:rsidR="005B51F2" w:rsidRPr="004E687E" w:rsidRDefault="005B51F2" w:rsidP="005B51F2">
          <w:pPr>
            <w:tabs>
              <w:tab w:val="center" w:pos="4607"/>
              <w:tab w:val="right" w:pos="9214"/>
            </w:tabs>
            <w:jc w:val="center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AM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/ILMA</w:t>
          </w: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)</w:t>
          </w:r>
        </w:p>
        <w:p w:rsidR="005B51F2" w:rsidRPr="00010EAF" w:rsidRDefault="005B51F2" w:rsidP="00A2404D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</w:p>
      </w:tc>
    </w:tr>
  </w:tbl>
  <w:p w:rsidR="002860CD" w:rsidRPr="00A2404D" w:rsidRDefault="002860CD" w:rsidP="001E1ACB">
    <w:pPr>
      <w:pStyle w:val="En-tte"/>
      <w:tabs>
        <w:tab w:val="clear" w:pos="4536"/>
        <w:tab w:val="clear" w:pos="9072"/>
        <w:tab w:val="left" w:pos="3410"/>
      </w:tabs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73BA"/>
    <w:multiLevelType w:val="hybridMultilevel"/>
    <w:tmpl w:val="CB4014A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1424E"/>
    <w:multiLevelType w:val="hybridMultilevel"/>
    <w:tmpl w:val="F88A7F06"/>
    <w:lvl w:ilvl="0" w:tplc="C3F8835A">
      <w:start w:val="1"/>
      <w:numFmt w:val="decimal"/>
      <w:pStyle w:val="TKNbrsLevel2"/>
      <w:lvlText w:val="%1."/>
      <w:lvlJc w:val="left"/>
      <w:pPr>
        <w:ind w:left="121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0FA444E0"/>
    <w:multiLevelType w:val="hybridMultilevel"/>
    <w:tmpl w:val="08587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62F34"/>
    <w:multiLevelType w:val="hybridMultilevel"/>
    <w:tmpl w:val="497C7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B0134"/>
    <w:multiLevelType w:val="hybridMultilevel"/>
    <w:tmpl w:val="D20496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5364D09"/>
    <w:multiLevelType w:val="hybridMultilevel"/>
    <w:tmpl w:val="C330AE36"/>
    <w:lvl w:ilvl="0" w:tplc="D5A478C4">
      <w:start w:val="1"/>
      <w:numFmt w:val="decimal"/>
      <w:pStyle w:val="TKNbrsLevel1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C1774BC"/>
    <w:multiLevelType w:val="hybridMultilevel"/>
    <w:tmpl w:val="53DA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03B76"/>
    <w:rsid w:val="00013516"/>
    <w:rsid w:val="00027CA2"/>
    <w:rsid w:val="00032711"/>
    <w:rsid w:val="000338F0"/>
    <w:rsid w:val="00042664"/>
    <w:rsid w:val="000618A7"/>
    <w:rsid w:val="000808C7"/>
    <w:rsid w:val="000937FA"/>
    <w:rsid w:val="000A080D"/>
    <w:rsid w:val="000A2C0E"/>
    <w:rsid w:val="000B4B8F"/>
    <w:rsid w:val="000C5F40"/>
    <w:rsid w:val="000C7434"/>
    <w:rsid w:val="000E3807"/>
    <w:rsid w:val="000E706C"/>
    <w:rsid w:val="000F3660"/>
    <w:rsid w:val="000F42D6"/>
    <w:rsid w:val="00110B4B"/>
    <w:rsid w:val="00126218"/>
    <w:rsid w:val="00126A5E"/>
    <w:rsid w:val="00137650"/>
    <w:rsid w:val="001410D4"/>
    <w:rsid w:val="0014684A"/>
    <w:rsid w:val="00154B1F"/>
    <w:rsid w:val="00156B67"/>
    <w:rsid w:val="0016770E"/>
    <w:rsid w:val="00172C07"/>
    <w:rsid w:val="001741D1"/>
    <w:rsid w:val="0017676C"/>
    <w:rsid w:val="0018182D"/>
    <w:rsid w:val="001965B4"/>
    <w:rsid w:val="001A1B4C"/>
    <w:rsid w:val="001B0010"/>
    <w:rsid w:val="001B02A1"/>
    <w:rsid w:val="001B602D"/>
    <w:rsid w:val="001B71AD"/>
    <w:rsid w:val="001C1DAE"/>
    <w:rsid w:val="001C2120"/>
    <w:rsid w:val="001C30D6"/>
    <w:rsid w:val="001E1ACB"/>
    <w:rsid w:val="001E3865"/>
    <w:rsid w:val="0020300A"/>
    <w:rsid w:val="00214CD0"/>
    <w:rsid w:val="002204AC"/>
    <w:rsid w:val="00233192"/>
    <w:rsid w:val="00234242"/>
    <w:rsid w:val="0023451A"/>
    <w:rsid w:val="0026293F"/>
    <w:rsid w:val="002711B8"/>
    <w:rsid w:val="002860CD"/>
    <w:rsid w:val="00292907"/>
    <w:rsid w:val="002A0CEF"/>
    <w:rsid w:val="002A3476"/>
    <w:rsid w:val="002F2562"/>
    <w:rsid w:val="00303A5A"/>
    <w:rsid w:val="003137B0"/>
    <w:rsid w:val="00316B38"/>
    <w:rsid w:val="00326868"/>
    <w:rsid w:val="0033678D"/>
    <w:rsid w:val="003575BD"/>
    <w:rsid w:val="00364ECC"/>
    <w:rsid w:val="00373C1E"/>
    <w:rsid w:val="0038409C"/>
    <w:rsid w:val="00392E44"/>
    <w:rsid w:val="00394F6C"/>
    <w:rsid w:val="003A0A5D"/>
    <w:rsid w:val="003B5CE4"/>
    <w:rsid w:val="003C050D"/>
    <w:rsid w:val="003C32F5"/>
    <w:rsid w:val="003C62FE"/>
    <w:rsid w:val="003C6D98"/>
    <w:rsid w:val="003E358D"/>
    <w:rsid w:val="003F121D"/>
    <w:rsid w:val="003F6976"/>
    <w:rsid w:val="00406722"/>
    <w:rsid w:val="00415F3A"/>
    <w:rsid w:val="0042537B"/>
    <w:rsid w:val="00457358"/>
    <w:rsid w:val="00460BCC"/>
    <w:rsid w:val="004630E2"/>
    <w:rsid w:val="00470AA9"/>
    <w:rsid w:val="00471F1A"/>
    <w:rsid w:val="00472385"/>
    <w:rsid w:val="00473D0C"/>
    <w:rsid w:val="0049006B"/>
    <w:rsid w:val="004B3C82"/>
    <w:rsid w:val="004B5DD8"/>
    <w:rsid w:val="004C1652"/>
    <w:rsid w:val="004C5C09"/>
    <w:rsid w:val="004E32A8"/>
    <w:rsid w:val="004F2E30"/>
    <w:rsid w:val="0050253D"/>
    <w:rsid w:val="00503E91"/>
    <w:rsid w:val="00506DA0"/>
    <w:rsid w:val="00526886"/>
    <w:rsid w:val="0053467A"/>
    <w:rsid w:val="0055626F"/>
    <w:rsid w:val="005713EB"/>
    <w:rsid w:val="00591C91"/>
    <w:rsid w:val="005B0DB0"/>
    <w:rsid w:val="005B51F2"/>
    <w:rsid w:val="005C2E50"/>
    <w:rsid w:val="005E3B7E"/>
    <w:rsid w:val="005E3EE4"/>
    <w:rsid w:val="005E4CA5"/>
    <w:rsid w:val="0061283D"/>
    <w:rsid w:val="00617D74"/>
    <w:rsid w:val="006455D0"/>
    <w:rsid w:val="00651E90"/>
    <w:rsid w:val="00655B1E"/>
    <w:rsid w:val="00655CCE"/>
    <w:rsid w:val="00660AAA"/>
    <w:rsid w:val="0066678F"/>
    <w:rsid w:val="00672F0D"/>
    <w:rsid w:val="00683603"/>
    <w:rsid w:val="00684D9C"/>
    <w:rsid w:val="00690644"/>
    <w:rsid w:val="006A1A21"/>
    <w:rsid w:val="006C0689"/>
    <w:rsid w:val="006C08C3"/>
    <w:rsid w:val="006C7764"/>
    <w:rsid w:val="006D234F"/>
    <w:rsid w:val="006F2FD8"/>
    <w:rsid w:val="007117CB"/>
    <w:rsid w:val="00714F61"/>
    <w:rsid w:val="0073201E"/>
    <w:rsid w:val="00734E55"/>
    <w:rsid w:val="00735B26"/>
    <w:rsid w:val="0074542C"/>
    <w:rsid w:val="00783935"/>
    <w:rsid w:val="007B4D14"/>
    <w:rsid w:val="007D336C"/>
    <w:rsid w:val="007E5B92"/>
    <w:rsid w:val="007E6DA7"/>
    <w:rsid w:val="007F4DD8"/>
    <w:rsid w:val="007F6987"/>
    <w:rsid w:val="008067EC"/>
    <w:rsid w:val="0083366C"/>
    <w:rsid w:val="008469DE"/>
    <w:rsid w:val="008506D5"/>
    <w:rsid w:val="00861581"/>
    <w:rsid w:val="00892B00"/>
    <w:rsid w:val="008962C9"/>
    <w:rsid w:val="008B45A3"/>
    <w:rsid w:val="008C4B37"/>
    <w:rsid w:val="008C53DF"/>
    <w:rsid w:val="008D1458"/>
    <w:rsid w:val="008D36D6"/>
    <w:rsid w:val="008E6FB9"/>
    <w:rsid w:val="008F0189"/>
    <w:rsid w:val="008F24DC"/>
    <w:rsid w:val="009025F0"/>
    <w:rsid w:val="00916FE1"/>
    <w:rsid w:val="009204AB"/>
    <w:rsid w:val="00943743"/>
    <w:rsid w:val="0094551C"/>
    <w:rsid w:val="00953DC1"/>
    <w:rsid w:val="00962FFD"/>
    <w:rsid w:val="00970A92"/>
    <w:rsid w:val="009824F3"/>
    <w:rsid w:val="00983DBE"/>
    <w:rsid w:val="009A5131"/>
    <w:rsid w:val="009B34EC"/>
    <w:rsid w:val="009B7305"/>
    <w:rsid w:val="009D402D"/>
    <w:rsid w:val="009F61C1"/>
    <w:rsid w:val="00A03292"/>
    <w:rsid w:val="00A1258A"/>
    <w:rsid w:val="00A13499"/>
    <w:rsid w:val="00A2404D"/>
    <w:rsid w:val="00A67362"/>
    <w:rsid w:val="00A738AA"/>
    <w:rsid w:val="00A802F2"/>
    <w:rsid w:val="00AB111F"/>
    <w:rsid w:val="00AB255A"/>
    <w:rsid w:val="00AC18B8"/>
    <w:rsid w:val="00AC29BB"/>
    <w:rsid w:val="00AD244A"/>
    <w:rsid w:val="00AE0057"/>
    <w:rsid w:val="00AE1227"/>
    <w:rsid w:val="00AE657E"/>
    <w:rsid w:val="00AF4A1E"/>
    <w:rsid w:val="00AF56A8"/>
    <w:rsid w:val="00B35EFB"/>
    <w:rsid w:val="00B73A35"/>
    <w:rsid w:val="00B75BE8"/>
    <w:rsid w:val="00B763B5"/>
    <w:rsid w:val="00B87D33"/>
    <w:rsid w:val="00B94E15"/>
    <w:rsid w:val="00BA311A"/>
    <w:rsid w:val="00BA3C32"/>
    <w:rsid w:val="00BB182D"/>
    <w:rsid w:val="00BC3C97"/>
    <w:rsid w:val="00BD185F"/>
    <w:rsid w:val="00BD2F15"/>
    <w:rsid w:val="00BD3A40"/>
    <w:rsid w:val="00BE49AD"/>
    <w:rsid w:val="00BE6E05"/>
    <w:rsid w:val="00BF2B09"/>
    <w:rsid w:val="00BF595D"/>
    <w:rsid w:val="00BF71C7"/>
    <w:rsid w:val="00C01D42"/>
    <w:rsid w:val="00C13DAE"/>
    <w:rsid w:val="00C24B3F"/>
    <w:rsid w:val="00C3439D"/>
    <w:rsid w:val="00C50BFC"/>
    <w:rsid w:val="00C523EA"/>
    <w:rsid w:val="00C53342"/>
    <w:rsid w:val="00C622D7"/>
    <w:rsid w:val="00C7477C"/>
    <w:rsid w:val="00C8086F"/>
    <w:rsid w:val="00C850EF"/>
    <w:rsid w:val="00C917A0"/>
    <w:rsid w:val="00C9632F"/>
    <w:rsid w:val="00CC0991"/>
    <w:rsid w:val="00CC2E62"/>
    <w:rsid w:val="00CF0B90"/>
    <w:rsid w:val="00CF1CD5"/>
    <w:rsid w:val="00CF36D3"/>
    <w:rsid w:val="00CF3C35"/>
    <w:rsid w:val="00D00DA4"/>
    <w:rsid w:val="00D07616"/>
    <w:rsid w:val="00D10BB3"/>
    <w:rsid w:val="00D2211A"/>
    <w:rsid w:val="00D57D70"/>
    <w:rsid w:val="00D8328F"/>
    <w:rsid w:val="00D90503"/>
    <w:rsid w:val="00DA1597"/>
    <w:rsid w:val="00DA5A92"/>
    <w:rsid w:val="00DB5E22"/>
    <w:rsid w:val="00DD2CF1"/>
    <w:rsid w:val="00DD35DF"/>
    <w:rsid w:val="00DE5B7D"/>
    <w:rsid w:val="00DF60EB"/>
    <w:rsid w:val="00E0517E"/>
    <w:rsid w:val="00E06BAB"/>
    <w:rsid w:val="00E076C3"/>
    <w:rsid w:val="00E25D68"/>
    <w:rsid w:val="00E260DB"/>
    <w:rsid w:val="00E47749"/>
    <w:rsid w:val="00E6177A"/>
    <w:rsid w:val="00E761F2"/>
    <w:rsid w:val="00EA14C8"/>
    <w:rsid w:val="00EB7803"/>
    <w:rsid w:val="00ED3345"/>
    <w:rsid w:val="00ED4CB7"/>
    <w:rsid w:val="00ED730C"/>
    <w:rsid w:val="00F21E56"/>
    <w:rsid w:val="00F260E9"/>
    <w:rsid w:val="00F5126A"/>
    <w:rsid w:val="00F64C4B"/>
    <w:rsid w:val="00F9328A"/>
    <w:rsid w:val="00F9668F"/>
    <w:rsid w:val="00FB70A6"/>
    <w:rsid w:val="00FC4F80"/>
    <w:rsid w:val="00FD038C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A5D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basedOn w:val="TableauNormal"/>
    <w:uiPriority w:val="99"/>
    <w:rsid w:val="00BB182D"/>
    <w:pPr>
      <w:spacing w:after="0" w:line="240" w:lineRule="auto"/>
    </w:pPr>
    <w:rPr>
      <w:sz w:val="24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</w:style>
  <w:style w:type="table" w:customStyle="1" w:styleId="TableToolkit">
    <w:name w:val="Table_Toolkit"/>
    <w:basedOn w:val="TOOLKITTable"/>
    <w:uiPriority w:val="99"/>
    <w:rsid w:val="00F260E9"/>
    <w:tblPr/>
    <w:tcPr>
      <w:shd w:val="clear" w:color="auto" w:fill="auto"/>
    </w:tcPr>
  </w:style>
  <w:style w:type="paragraph" w:customStyle="1" w:styleId="TKTextetableau">
    <w:name w:val="TK Texte tableau"/>
    <w:qFormat/>
    <w:rsid w:val="00D00DA4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autoRedefine/>
    <w:qFormat/>
    <w:rsid w:val="003A0A5D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3A0A5D"/>
    <w:pPr>
      <w:spacing w:before="120" w:after="120"/>
      <w:jc w:val="center"/>
    </w:pPr>
    <w:rPr>
      <w:rFonts w:eastAsia="Calibri"/>
      <w:b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autoRedefine/>
    <w:qFormat/>
    <w:rsid w:val="00460BCC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1">
    <w:name w:val="TK Bullet Level1"/>
    <w:next w:val="Normal"/>
    <w:qFormat/>
    <w:rsid w:val="003A0A5D"/>
    <w:pPr>
      <w:numPr>
        <w:numId w:val="8"/>
      </w:numPr>
      <w:tabs>
        <w:tab w:val="left" w:pos="567"/>
      </w:tabs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BulletLevel2">
    <w:name w:val="TK Bullet Level2"/>
    <w:basedOn w:val="TKBulletLevel1"/>
    <w:qFormat/>
    <w:rsid w:val="003A0A5D"/>
  </w:style>
  <w:style w:type="paragraph" w:customStyle="1" w:styleId="TKNbrsLevel2">
    <w:name w:val="TK Nbrs Level2"/>
    <w:autoRedefine/>
    <w:qFormat/>
    <w:rsid w:val="003A0A5D"/>
    <w:pPr>
      <w:numPr>
        <w:numId w:val="9"/>
      </w:numPr>
      <w:spacing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TITRE2">
    <w:name w:val="TK TITRE 2"/>
    <w:next w:val="Normal"/>
    <w:autoRedefine/>
    <w:qFormat/>
    <w:rsid w:val="003A0A5D"/>
    <w:pPr>
      <w:spacing w:before="120" w:after="120" w:line="240" w:lineRule="auto"/>
    </w:pPr>
    <w:rPr>
      <w:rFonts w:ascii="Calibri" w:eastAsia="Times New Roman" w:hAnsi="Calibri" w:cs="Calibri"/>
      <w:b/>
      <w:sz w:val="28"/>
      <w:szCs w:val="26"/>
      <w:lang w:val="en-US"/>
    </w:rPr>
  </w:style>
  <w:style w:type="paragraph" w:customStyle="1" w:styleId="TKTITRE3">
    <w:name w:val="TK TITRE 3"/>
    <w:autoRedefine/>
    <w:qFormat/>
    <w:rsid w:val="003A0A5D"/>
    <w:pPr>
      <w:spacing w:before="120" w:after="120" w:line="240" w:lineRule="auto"/>
    </w:pPr>
    <w:rPr>
      <w:rFonts w:ascii="Calibri" w:eastAsia="Calibri" w:hAnsi="Calibri" w:cs="Times New Roman"/>
      <w:i/>
      <w:noProof/>
      <w:sz w:val="24"/>
      <w:szCs w:val="24"/>
      <w:u w:val="single"/>
      <w:lang w:val="en-US"/>
    </w:rPr>
  </w:style>
  <w:style w:type="paragraph" w:customStyle="1" w:styleId="TKTITRE1">
    <w:name w:val="TK TITRE1"/>
    <w:autoRedefine/>
    <w:qFormat/>
    <w:rsid w:val="003A0A5D"/>
    <w:pPr>
      <w:spacing w:before="120" w:after="120" w:line="240" w:lineRule="auto"/>
    </w:pPr>
    <w:rPr>
      <w:rFonts w:ascii="Calibri" w:eastAsia="Times New Roman" w:hAnsi="Calibri" w:cs="Calibri"/>
      <w:b/>
      <w:sz w:val="32"/>
      <w:szCs w:val="28"/>
      <w:lang w:val="en-US"/>
    </w:rPr>
  </w:style>
  <w:style w:type="paragraph" w:customStyle="1" w:styleId="TKNbrsLevel1">
    <w:name w:val="TK_Nbrs Level1"/>
    <w:autoRedefine/>
    <w:qFormat/>
    <w:rsid w:val="0050253D"/>
    <w:pPr>
      <w:numPr>
        <w:numId w:val="11"/>
      </w:numPr>
      <w:spacing w:line="240" w:lineRule="auto"/>
      <w:ind w:left="851" w:hanging="284"/>
    </w:pPr>
    <w:rPr>
      <w:rFonts w:ascii="Calibri" w:eastAsia="Calibri" w:hAnsi="Calibri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5562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3-le-questioni-etiche-e-interculturali-da-conoscere-quando-s/168076077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m.coe.int/strumento-14-la-diversita-nei-gruppi-di-lavoro-supporto-linguistico-pe/16807607b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CF2B5-83C4-430A-9522-72C2134D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1647</Words>
  <Characters>7941</Characters>
  <Application>Microsoft Office Word</Application>
  <DocSecurity>0</DocSecurity>
  <Lines>124</Lines>
  <Paragraphs>60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5</cp:revision>
  <cp:lastPrinted>2017-06-20T14:37:00Z</cp:lastPrinted>
  <dcterms:created xsi:type="dcterms:W3CDTF">2017-10-22T12:51:00Z</dcterms:created>
  <dcterms:modified xsi:type="dcterms:W3CDTF">2017-11-09T08:25:00Z</dcterms:modified>
</cp:coreProperties>
</file>