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77A6" w14:textId="77777777" w:rsidR="00EF30BF" w:rsidRPr="00EF30BF" w:rsidRDefault="00EF30BF" w:rsidP="00EF30BF">
      <w:pPr>
        <w:jc w:val="center"/>
      </w:pPr>
      <w:r>
        <w:rPr>
          <w:b/>
          <w:bCs/>
          <w:i/>
          <w:iCs/>
        </w:rPr>
        <w:t>Curso Judicial Especializado sobre Cooperación Internacional</w:t>
      </w:r>
    </w:p>
    <w:p w14:paraId="1152C3B2" w14:textId="01BD838D" w:rsidR="00EF30BF" w:rsidRPr="00EF30BF" w:rsidRDefault="00EF30BF" w:rsidP="00EF30BF">
      <w:pPr>
        <w:jc w:val="center"/>
      </w:pPr>
    </w:p>
    <w:p w14:paraId="2F2A3379" w14:textId="5E6C657A" w:rsidR="00EF30BF" w:rsidRPr="00EF30BF" w:rsidRDefault="00EF30BF" w:rsidP="00EF30BF">
      <w:pPr>
        <w:jc w:val="center"/>
      </w:pPr>
      <w:r>
        <w:rPr>
          <w:b/>
          <w:bCs/>
        </w:rPr>
        <w:t>Sesión 2.3</w:t>
      </w:r>
    </w:p>
    <w:p w14:paraId="01056675" w14:textId="1D31057F" w:rsidR="00EF30BF" w:rsidRDefault="00EF30BF" w:rsidP="00EF30BF">
      <w:pPr>
        <w:jc w:val="center"/>
        <w:rPr>
          <w:b/>
          <w:bCs/>
        </w:rPr>
      </w:pPr>
      <w:r>
        <w:rPr>
          <w:b/>
          <w:bCs/>
        </w:rPr>
        <w:t>Utilización de la obtención de pruebas electrónicas mediante mecanismos de cooperación internacional</w:t>
      </w:r>
    </w:p>
    <w:p w14:paraId="7CACA5A3" w14:textId="065B4984" w:rsidR="00EF30BF" w:rsidRDefault="00EF30BF" w:rsidP="00EF30BF">
      <w:pPr>
        <w:jc w:val="center"/>
        <w:rPr>
          <w:b/>
          <w:bCs/>
          <w:lang w:val="en-PH"/>
        </w:rPr>
      </w:pPr>
    </w:p>
    <w:p w14:paraId="7720049F" w14:textId="5670B8E3" w:rsidR="00EF30BF" w:rsidRDefault="00EF30BF" w:rsidP="00EF30BF">
      <w:pPr>
        <w:jc w:val="center"/>
        <w:rPr>
          <w:b/>
          <w:bCs/>
        </w:rPr>
      </w:pPr>
      <w:r>
        <w:rPr>
          <w:b/>
          <w:bCs/>
        </w:rPr>
        <w:t>Guía de preguntas sobre el estudio de casos de WolfJäger</w:t>
      </w:r>
    </w:p>
    <w:p w14:paraId="7CC9CC93" w14:textId="64BA240D" w:rsidR="00EF30BF" w:rsidRDefault="00EF30BF" w:rsidP="00EF30BF">
      <w:pPr>
        <w:jc w:val="center"/>
        <w:rPr>
          <w:b/>
          <w:bCs/>
          <w:lang w:val="en-GB"/>
        </w:rPr>
      </w:pPr>
    </w:p>
    <w:p w14:paraId="54060247" w14:textId="05924BCB" w:rsidR="00EF30BF" w:rsidRDefault="00EF30BF" w:rsidP="00EF30BF">
      <w:pPr>
        <w:jc w:val="center"/>
        <w:rPr>
          <w:b/>
          <w:bCs/>
          <w:lang w:val="en-GB"/>
        </w:rPr>
      </w:pPr>
    </w:p>
    <w:p w14:paraId="312435E7" w14:textId="21CEC977" w:rsidR="00D10509" w:rsidRDefault="00D10509" w:rsidP="00D10509">
      <w:pPr>
        <w:ind w:left="360"/>
        <w:jc w:val="both"/>
      </w:pPr>
      <w:r>
        <w:t xml:space="preserve">P: </w:t>
      </w:r>
      <w:r>
        <w:rPr>
          <w:i/>
        </w:rPr>
        <w:t>¿Cuáles son las principales vías de investigación?</w:t>
      </w:r>
    </w:p>
    <w:p w14:paraId="76FAD3DA" w14:textId="18241AAE" w:rsidR="00D10509" w:rsidRDefault="00D10509" w:rsidP="00D10509">
      <w:pPr>
        <w:ind w:left="360"/>
        <w:jc w:val="both"/>
      </w:pPr>
      <w:r>
        <w:t>R: Identificación de todas las víctimas o del mayor número posible de ellas, obtención de pruebas electrónicas de sus ordenadores —especialmente del tráfico de Internet—, obtención de sus registros de transacciones bancarias, planificación de la asistencia jurídica mutua.</w:t>
      </w:r>
    </w:p>
    <w:p w14:paraId="09E94635" w14:textId="55371161" w:rsidR="00D10509" w:rsidRDefault="00D10509" w:rsidP="00D10509">
      <w:pPr>
        <w:ind w:left="360"/>
        <w:jc w:val="both"/>
        <w:rPr>
          <w:lang w:val="en-GB"/>
        </w:rPr>
      </w:pPr>
    </w:p>
    <w:p w14:paraId="55349CBC" w14:textId="69D37B68" w:rsidR="00D10509" w:rsidRDefault="00D10509" w:rsidP="00D10509">
      <w:pPr>
        <w:ind w:left="360"/>
        <w:jc w:val="both"/>
      </w:pPr>
      <w:r>
        <w:t xml:space="preserve">P: </w:t>
      </w:r>
      <w:r>
        <w:rPr>
          <w:i/>
        </w:rPr>
        <w:t>¿Qué se debe investigar en primer lugar?</w:t>
      </w:r>
    </w:p>
    <w:p w14:paraId="2B464601" w14:textId="79E475A9" w:rsidR="00D10509" w:rsidRDefault="00D10509" w:rsidP="00D10509">
      <w:pPr>
        <w:ind w:left="360"/>
        <w:jc w:val="both"/>
      </w:pPr>
      <w:r>
        <w:t>R: Identificación de las direcciones IP de las personas que estafaron a las víctimas.</w:t>
      </w:r>
    </w:p>
    <w:p w14:paraId="713221C4" w14:textId="77777777" w:rsidR="00D10509" w:rsidRPr="00D10509" w:rsidRDefault="00D10509" w:rsidP="00D10509">
      <w:pPr>
        <w:ind w:left="360"/>
        <w:jc w:val="both"/>
        <w:rPr>
          <w:lang w:val="en-GB"/>
        </w:rPr>
      </w:pPr>
    </w:p>
    <w:p w14:paraId="5E6DC385" w14:textId="0389F37C" w:rsidR="00D10509" w:rsidRDefault="00D10509" w:rsidP="00D10509">
      <w:pPr>
        <w:ind w:left="360"/>
        <w:jc w:val="both"/>
      </w:pPr>
      <w:r>
        <w:t xml:space="preserve">P: </w:t>
      </w:r>
      <w:r>
        <w:rPr>
          <w:i/>
          <w:iCs/>
        </w:rPr>
        <w:t>¿Existe algún tipo de urgencia relacionada con alguna parte de la investigación?</w:t>
      </w:r>
    </w:p>
    <w:p w14:paraId="5E4E9092" w14:textId="1E78E8C4" w:rsidR="00D10509" w:rsidRDefault="00D10509" w:rsidP="00D10509">
      <w:pPr>
        <w:ind w:left="360"/>
        <w:jc w:val="both"/>
      </w:pPr>
      <w:r>
        <w:t>R: Sí, ya que no se sabe con certeza durante cuánto tiempo se van a conservar los datos/pruebas electrónicas.</w:t>
      </w:r>
    </w:p>
    <w:p w14:paraId="1F8677E7" w14:textId="04B2A473" w:rsidR="00D10509" w:rsidRDefault="00D10509" w:rsidP="00D10509">
      <w:pPr>
        <w:ind w:left="360"/>
        <w:jc w:val="both"/>
        <w:rPr>
          <w:lang w:val="en-GB"/>
        </w:rPr>
      </w:pPr>
    </w:p>
    <w:p w14:paraId="396F97E5" w14:textId="77777777" w:rsidR="00D10509" w:rsidRDefault="00D10509" w:rsidP="00D10509">
      <w:pPr>
        <w:ind w:left="360"/>
        <w:jc w:val="both"/>
      </w:pPr>
      <w:r>
        <w:t xml:space="preserve">P: </w:t>
      </w:r>
      <w:r>
        <w:rPr>
          <w:i/>
        </w:rPr>
        <w:t>¿Qué tipo de solicitudes enviará el fiscal/juez de instrucción?</w:t>
      </w:r>
    </w:p>
    <w:p w14:paraId="0FB4BEFC" w14:textId="092309DB" w:rsidR="00D10509" w:rsidRPr="00D10509" w:rsidRDefault="00D10509" w:rsidP="00D10509">
      <w:pPr>
        <w:ind w:left="360"/>
        <w:jc w:val="both"/>
        <w:rPr>
          <w:rFonts w:cstheme="minorHAnsi"/>
        </w:rPr>
      </w:pPr>
      <w:r>
        <w:t xml:space="preserve">R: </w:t>
      </w:r>
      <w:r>
        <w:rPr>
          <w:color w:val="161616"/>
        </w:rPr>
        <w:t>Artículo 29 - Conservación rápida de los datos informáticos almacenados, Artículo 31 - Asistencia mutua en relación con el acceso a datos informáticos almacenados</w:t>
      </w:r>
    </w:p>
    <w:p w14:paraId="04E68386" w14:textId="240F9261" w:rsidR="00D10509" w:rsidRPr="00D10509" w:rsidRDefault="00D10509" w:rsidP="00D10509">
      <w:pPr>
        <w:rPr>
          <w:rFonts w:ascii="Times New Roman" w:eastAsia="Times New Roman" w:hAnsi="Times New Roman" w:cs="Times New Roman"/>
        </w:rPr>
      </w:pPr>
    </w:p>
    <w:p w14:paraId="7D6637FC" w14:textId="7AB5D0CB" w:rsidR="00D10509" w:rsidRDefault="00D10509" w:rsidP="00D10509">
      <w:pPr>
        <w:ind w:left="360"/>
        <w:jc w:val="both"/>
      </w:pPr>
      <w:r>
        <w:t xml:space="preserve">P: </w:t>
      </w:r>
      <w:r>
        <w:rPr>
          <w:i/>
        </w:rPr>
        <w:t>¿A quién se enviarán las solicitudes?</w:t>
      </w:r>
    </w:p>
    <w:p w14:paraId="2C17E758" w14:textId="3E4053F0" w:rsidR="00D10509" w:rsidRDefault="00D10509" w:rsidP="00D10509">
      <w:pPr>
        <w:ind w:left="360"/>
        <w:jc w:val="both"/>
      </w:pPr>
      <w:r>
        <w:t>R: Bulgaria, República Checa, Serbia</w:t>
      </w:r>
    </w:p>
    <w:p w14:paraId="44E0F5A1" w14:textId="77777777" w:rsidR="00D10509" w:rsidRPr="00D10509" w:rsidRDefault="00D10509" w:rsidP="00D10509">
      <w:pPr>
        <w:ind w:left="360"/>
        <w:jc w:val="both"/>
      </w:pPr>
    </w:p>
    <w:p w14:paraId="557EBD53" w14:textId="10DF7B44" w:rsidR="00D10509" w:rsidRDefault="00D10509" w:rsidP="00D10509">
      <w:pPr>
        <w:ind w:left="360"/>
        <w:jc w:val="both"/>
      </w:pPr>
      <w:r>
        <w:t xml:space="preserve">P: </w:t>
      </w:r>
      <w:r>
        <w:rPr>
          <w:i/>
        </w:rPr>
        <w:t>¿Qué hechos y acciones se van a solicitar?</w:t>
      </w:r>
    </w:p>
    <w:p w14:paraId="26C05A7B" w14:textId="2D656C08" w:rsidR="00D10509" w:rsidRDefault="00D10509" w:rsidP="00D10509">
      <w:pPr>
        <w:ind w:left="360"/>
        <w:jc w:val="both"/>
      </w:pPr>
      <w:r>
        <w:t>R: Los proveedores de servicios de Internet que alojaron las direcciones IP de los autores, la identificación de los usuarios contratados de las direcciones IP, la identificación de los posibles sospechosos, la posibilidad de iniciar la investigación financiera, el registro y la confiscación de los locales y objetos, el interrogatorio de los sospechosos y las entrevistas a los testigos, la confiscación de los bienes ilícitos. Los delegados pueden añadir otros hechos y acciones</w:t>
      </w:r>
    </w:p>
    <w:p w14:paraId="17C71CB2" w14:textId="77777777" w:rsidR="00D10509" w:rsidRPr="00D10509" w:rsidRDefault="00D10509" w:rsidP="00D10509">
      <w:pPr>
        <w:ind w:left="360"/>
        <w:jc w:val="both"/>
      </w:pPr>
    </w:p>
    <w:p w14:paraId="7A31FFE0" w14:textId="2B4881C8" w:rsidR="00D10509" w:rsidRDefault="00D10509" w:rsidP="00D10509">
      <w:pPr>
        <w:ind w:left="360"/>
        <w:jc w:val="both"/>
      </w:pPr>
      <w:r>
        <w:t xml:space="preserve">P: </w:t>
      </w:r>
      <w:r>
        <w:rPr>
          <w:i/>
        </w:rPr>
        <w:t>¿Qué pruebas se solicitarán?</w:t>
      </w:r>
    </w:p>
    <w:p w14:paraId="17A79A38" w14:textId="1E4848F1" w:rsidR="00D10509" w:rsidRPr="00D10509" w:rsidRDefault="00D10509" w:rsidP="00D10509">
      <w:pPr>
        <w:ind w:left="360"/>
        <w:jc w:val="both"/>
      </w:pPr>
      <w:r>
        <w:t xml:space="preserve">R: Registros y contratos de IP de los PSI, copias/espejos/clones de los discos duros de los ordenadores utilizados por los "brókeres" y los "directivos", archivos de las actuaciones de registro y confiscación, informes periciales preliminares, análisis de las conexiones de la base de datos sobre la comunicación y el intercambio entre la víctima, el bróker y el directivo, análisis de la forma en que se manipularon las cuentas de inversión de las víctimas, archivos </w:t>
      </w:r>
      <w:r>
        <w:lastRenderedPageBreak/>
        <w:t>de los interrogatorios y entrevistas, registros bancarios y órdenes de transferencia, comprobación de la propiedad. Los delegados pueden sugerir otras pruebas.</w:t>
      </w:r>
    </w:p>
    <w:p w14:paraId="1BDA368C" w14:textId="77777777" w:rsidR="00D10509" w:rsidRDefault="00D10509" w:rsidP="00D10509">
      <w:pPr>
        <w:ind w:left="360"/>
        <w:jc w:val="both"/>
        <w:rPr>
          <w:lang w:val="en-GB"/>
        </w:rPr>
      </w:pPr>
    </w:p>
    <w:p w14:paraId="6B3235B3" w14:textId="3079139C" w:rsidR="00D10509" w:rsidRDefault="00D10509" w:rsidP="00D10509">
      <w:pPr>
        <w:ind w:left="360"/>
        <w:jc w:val="both"/>
      </w:pPr>
      <w:r>
        <w:t xml:space="preserve">P: </w:t>
      </w:r>
      <w:r>
        <w:rPr>
          <w:i/>
        </w:rPr>
        <w:t>¿Es necesario realizar alguna actividad de investigación especial?</w:t>
      </w:r>
    </w:p>
    <w:p w14:paraId="2FF202A4" w14:textId="03490BFF" w:rsidR="00D10509" w:rsidRDefault="00D10509" w:rsidP="00D10509">
      <w:pPr>
        <w:ind w:left="360"/>
        <w:jc w:val="both"/>
      </w:pPr>
      <w:r>
        <w:t>R: No, si no se constata la continuación de las acciones defraudatorias.</w:t>
      </w:r>
    </w:p>
    <w:p w14:paraId="245DF0FB" w14:textId="42F2A1A1" w:rsidR="00D10509" w:rsidRDefault="00D10509" w:rsidP="00D10509">
      <w:pPr>
        <w:ind w:left="360"/>
        <w:jc w:val="both"/>
        <w:rPr>
          <w:lang w:val="en-GB"/>
        </w:rPr>
      </w:pPr>
    </w:p>
    <w:p w14:paraId="663EA81E" w14:textId="4DB44E57" w:rsidR="00D10509" w:rsidRDefault="00D10509" w:rsidP="00D10509">
      <w:pPr>
        <w:ind w:left="360"/>
        <w:jc w:val="both"/>
      </w:pPr>
      <w:r>
        <w:t xml:space="preserve">P: </w:t>
      </w:r>
      <w:r>
        <w:rPr>
          <w:i/>
        </w:rPr>
        <w:t>¿Qué medidas se van a exigir a las fuerzas del orden/Fiscalía/juez de instrucción extranjeros?</w:t>
      </w:r>
    </w:p>
    <w:p w14:paraId="192E424A" w14:textId="005CA2AB" w:rsidR="00D10509" w:rsidRDefault="00D10509" w:rsidP="00D10509">
      <w:pPr>
        <w:ind w:left="360"/>
        <w:jc w:val="both"/>
      </w:pPr>
      <w:r>
        <w:t>R: Órdenes dirigidas a PSI, empresas, bancos y otras entidades que posean datos, preservación, registro y confiscación de los locales, detenciones, interrogatorios y entrevistas, posiblemente permiso para la presencia de las autoridades del país requirente durante la realización de algunas acciones, congelación de los activos, inicio de la investigación financiera, identificación de posibles pistas adicionales. Otras acciones.</w:t>
      </w:r>
    </w:p>
    <w:p w14:paraId="7CD91C6F" w14:textId="77777777" w:rsidR="00D10509" w:rsidRPr="00D10509" w:rsidRDefault="00D10509" w:rsidP="00D10509">
      <w:pPr>
        <w:ind w:left="360"/>
        <w:jc w:val="both"/>
      </w:pPr>
    </w:p>
    <w:p w14:paraId="0CC46C5B" w14:textId="0E742A40" w:rsidR="00D10509" w:rsidRDefault="00D10509" w:rsidP="00D10509">
      <w:pPr>
        <w:ind w:left="360"/>
        <w:jc w:val="both"/>
        <w:rPr>
          <w:i/>
          <w:iCs/>
        </w:rPr>
      </w:pPr>
      <w:r>
        <w:t xml:space="preserve">P: </w:t>
      </w:r>
      <w:r>
        <w:rPr>
          <w:i/>
          <w:iCs/>
        </w:rPr>
        <w:t>¿Cómo determinará la Fiscalía/juez de instrucción qué debe enviarse, cómo y a quién?</w:t>
      </w:r>
    </w:p>
    <w:p w14:paraId="19858C5B" w14:textId="789903B2" w:rsidR="00D10509" w:rsidRDefault="00D10509" w:rsidP="00D10509">
      <w:pPr>
        <w:ind w:left="360"/>
        <w:jc w:val="both"/>
      </w:pPr>
      <w:r>
        <w:t>R: La diversificación de las acciones parte de la identificación de las direcciones IP y sus usuarios en el momento de la perpetración. Los delegados deben explicar cómo lo harían de acuerdo con la Convención de Budapest y el conjunto local de normas.</w:t>
      </w:r>
    </w:p>
    <w:p w14:paraId="77FB8018" w14:textId="066E1182" w:rsidR="00D10509" w:rsidRDefault="00D10509" w:rsidP="00D10509">
      <w:pPr>
        <w:ind w:left="360"/>
        <w:jc w:val="both"/>
      </w:pPr>
    </w:p>
    <w:p w14:paraId="667D9049" w14:textId="54BB96A0" w:rsidR="00D10509" w:rsidRDefault="00D10509" w:rsidP="00D10509">
      <w:pPr>
        <w:ind w:left="360"/>
        <w:jc w:val="both"/>
        <w:rPr>
          <w:i/>
          <w:iCs/>
        </w:rPr>
      </w:pPr>
      <w:r>
        <w:t xml:space="preserve">P: </w:t>
      </w:r>
      <w:r>
        <w:rPr>
          <w:i/>
          <w:iCs/>
        </w:rPr>
        <w:t>¿Hay motivos para iniciar una investigación financiera?</w:t>
      </w:r>
    </w:p>
    <w:p w14:paraId="15992D62" w14:textId="1235F688" w:rsidR="00D10509" w:rsidRDefault="00D10509" w:rsidP="00D10509">
      <w:pPr>
        <w:ind w:left="360"/>
        <w:jc w:val="both"/>
      </w:pPr>
      <w:r>
        <w:t>R: Sí, ya que hay motivos para dudar razonablemente de que el dinero y los bienes procedan de la actividad delictiva. El país requirente informó de posibles daños por valor de millones de euros.</w:t>
      </w:r>
    </w:p>
    <w:p w14:paraId="3B3F708F" w14:textId="77777777" w:rsidR="00D10509" w:rsidRPr="00D10509" w:rsidRDefault="00D10509" w:rsidP="00D10509">
      <w:pPr>
        <w:ind w:left="360"/>
        <w:jc w:val="both"/>
      </w:pPr>
    </w:p>
    <w:p w14:paraId="7A152751" w14:textId="36F71682" w:rsidR="00D10509" w:rsidRDefault="00D10509" w:rsidP="00D10509">
      <w:pPr>
        <w:ind w:left="360"/>
        <w:jc w:val="both"/>
        <w:rPr>
          <w:i/>
          <w:iCs/>
        </w:rPr>
      </w:pPr>
      <w:r>
        <w:t xml:space="preserve">P: </w:t>
      </w:r>
      <w:r>
        <w:rPr>
          <w:i/>
          <w:iCs/>
        </w:rPr>
        <w:t>¿Qué otros pasos y/o medidas/acciones deberían emprenderse?</w:t>
      </w:r>
    </w:p>
    <w:p w14:paraId="402743EE" w14:textId="5C8B080E" w:rsidR="00D10509" w:rsidRPr="00D10509" w:rsidRDefault="00D10509" w:rsidP="00D10509">
      <w:pPr>
        <w:ind w:left="360"/>
        <w:jc w:val="both"/>
      </w:pPr>
      <w:r>
        <w:t>R: la respuesta depende de las respuestas anteriores</w:t>
      </w:r>
    </w:p>
    <w:p w14:paraId="3FBF15E0" w14:textId="77777777" w:rsidR="00D10509" w:rsidRDefault="00D10509" w:rsidP="00D10509">
      <w:pPr>
        <w:ind w:left="360"/>
        <w:jc w:val="both"/>
        <w:rPr>
          <w:i/>
          <w:iCs/>
          <w:lang w:val="en-GB"/>
        </w:rPr>
      </w:pPr>
    </w:p>
    <w:p w14:paraId="189256B9" w14:textId="4A48F34B" w:rsidR="00D10509" w:rsidRDefault="00D10509" w:rsidP="00D10509">
      <w:pPr>
        <w:ind w:left="360"/>
        <w:jc w:val="both"/>
        <w:rPr>
          <w:i/>
          <w:iCs/>
        </w:rPr>
      </w:pPr>
      <w:r>
        <w:t xml:space="preserve">P: </w:t>
      </w:r>
      <w:r>
        <w:rPr>
          <w:i/>
          <w:iCs/>
        </w:rPr>
        <w:t>¿Hay algo más que haría en su país?</w:t>
      </w:r>
    </w:p>
    <w:p w14:paraId="6BAA5CCF" w14:textId="612F9331" w:rsidR="00D10509" w:rsidRPr="00D10509" w:rsidRDefault="00D10509" w:rsidP="00D10509">
      <w:pPr>
        <w:ind w:left="360"/>
        <w:jc w:val="both"/>
      </w:pPr>
      <w:r>
        <w:t>R: Se debe invitar a los delegados a que participen activamente en las respuestas.</w:t>
      </w:r>
    </w:p>
    <w:p w14:paraId="712F832A" w14:textId="77777777" w:rsidR="00D10509" w:rsidRPr="00D10509" w:rsidRDefault="00D10509" w:rsidP="00D10509">
      <w:pPr>
        <w:ind w:left="360"/>
        <w:jc w:val="both"/>
      </w:pPr>
    </w:p>
    <w:p w14:paraId="3DC31617" w14:textId="3D71CF08" w:rsidR="005269F5" w:rsidRPr="00D10509" w:rsidRDefault="00453C19" w:rsidP="00D10509">
      <w:pPr>
        <w:jc w:val="both"/>
      </w:pPr>
    </w:p>
    <w:sectPr w:rsidR="005269F5" w:rsidRPr="00D10509"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5698"/>
    <w:multiLevelType w:val="hybridMultilevel"/>
    <w:tmpl w:val="98B02EA4"/>
    <w:lvl w:ilvl="0" w:tplc="C5747E7A">
      <w:start w:val="1"/>
      <w:numFmt w:val="bullet"/>
      <w:lvlText w:val="•"/>
      <w:lvlJc w:val="left"/>
      <w:pPr>
        <w:tabs>
          <w:tab w:val="num" w:pos="720"/>
        </w:tabs>
        <w:ind w:left="720" w:hanging="360"/>
      </w:pPr>
      <w:rPr>
        <w:rFonts w:ascii="Arial" w:hAnsi="Arial" w:hint="default"/>
      </w:rPr>
    </w:lvl>
    <w:lvl w:ilvl="1" w:tplc="B42211A6" w:tentative="1">
      <w:start w:val="1"/>
      <w:numFmt w:val="bullet"/>
      <w:lvlText w:val="•"/>
      <w:lvlJc w:val="left"/>
      <w:pPr>
        <w:tabs>
          <w:tab w:val="num" w:pos="1440"/>
        </w:tabs>
        <w:ind w:left="1440" w:hanging="360"/>
      </w:pPr>
      <w:rPr>
        <w:rFonts w:ascii="Arial" w:hAnsi="Arial" w:hint="default"/>
      </w:rPr>
    </w:lvl>
    <w:lvl w:ilvl="2" w:tplc="83CA7EC4" w:tentative="1">
      <w:start w:val="1"/>
      <w:numFmt w:val="bullet"/>
      <w:lvlText w:val="•"/>
      <w:lvlJc w:val="left"/>
      <w:pPr>
        <w:tabs>
          <w:tab w:val="num" w:pos="2160"/>
        </w:tabs>
        <w:ind w:left="2160" w:hanging="360"/>
      </w:pPr>
      <w:rPr>
        <w:rFonts w:ascii="Arial" w:hAnsi="Arial" w:hint="default"/>
      </w:rPr>
    </w:lvl>
    <w:lvl w:ilvl="3" w:tplc="C4C08B94" w:tentative="1">
      <w:start w:val="1"/>
      <w:numFmt w:val="bullet"/>
      <w:lvlText w:val="•"/>
      <w:lvlJc w:val="left"/>
      <w:pPr>
        <w:tabs>
          <w:tab w:val="num" w:pos="2880"/>
        </w:tabs>
        <w:ind w:left="2880" w:hanging="360"/>
      </w:pPr>
      <w:rPr>
        <w:rFonts w:ascii="Arial" w:hAnsi="Arial" w:hint="default"/>
      </w:rPr>
    </w:lvl>
    <w:lvl w:ilvl="4" w:tplc="15EEABFE" w:tentative="1">
      <w:start w:val="1"/>
      <w:numFmt w:val="bullet"/>
      <w:lvlText w:val="•"/>
      <w:lvlJc w:val="left"/>
      <w:pPr>
        <w:tabs>
          <w:tab w:val="num" w:pos="3600"/>
        </w:tabs>
        <w:ind w:left="3600" w:hanging="360"/>
      </w:pPr>
      <w:rPr>
        <w:rFonts w:ascii="Arial" w:hAnsi="Arial" w:hint="default"/>
      </w:rPr>
    </w:lvl>
    <w:lvl w:ilvl="5" w:tplc="BFBC349A" w:tentative="1">
      <w:start w:val="1"/>
      <w:numFmt w:val="bullet"/>
      <w:lvlText w:val="•"/>
      <w:lvlJc w:val="left"/>
      <w:pPr>
        <w:tabs>
          <w:tab w:val="num" w:pos="4320"/>
        </w:tabs>
        <w:ind w:left="4320" w:hanging="360"/>
      </w:pPr>
      <w:rPr>
        <w:rFonts w:ascii="Arial" w:hAnsi="Arial" w:hint="default"/>
      </w:rPr>
    </w:lvl>
    <w:lvl w:ilvl="6" w:tplc="5DF2A072" w:tentative="1">
      <w:start w:val="1"/>
      <w:numFmt w:val="bullet"/>
      <w:lvlText w:val="•"/>
      <w:lvlJc w:val="left"/>
      <w:pPr>
        <w:tabs>
          <w:tab w:val="num" w:pos="5040"/>
        </w:tabs>
        <w:ind w:left="5040" w:hanging="360"/>
      </w:pPr>
      <w:rPr>
        <w:rFonts w:ascii="Arial" w:hAnsi="Arial" w:hint="default"/>
      </w:rPr>
    </w:lvl>
    <w:lvl w:ilvl="7" w:tplc="E3189224" w:tentative="1">
      <w:start w:val="1"/>
      <w:numFmt w:val="bullet"/>
      <w:lvlText w:val="•"/>
      <w:lvlJc w:val="left"/>
      <w:pPr>
        <w:tabs>
          <w:tab w:val="num" w:pos="5760"/>
        </w:tabs>
        <w:ind w:left="5760" w:hanging="360"/>
      </w:pPr>
      <w:rPr>
        <w:rFonts w:ascii="Arial" w:hAnsi="Arial" w:hint="default"/>
      </w:rPr>
    </w:lvl>
    <w:lvl w:ilvl="8" w:tplc="D9DA10D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4A82CDC"/>
    <w:multiLevelType w:val="hybridMultilevel"/>
    <w:tmpl w:val="405218D8"/>
    <w:lvl w:ilvl="0" w:tplc="5E66D754">
      <w:start w:val="1"/>
      <w:numFmt w:val="bullet"/>
      <w:lvlText w:val="•"/>
      <w:lvlJc w:val="left"/>
      <w:pPr>
        <w:tabs>
          <w:tab w:val="num" w:pos="720"/>
        </w:tabs>
        <w:ind w:left="720" w:hanging="360"/>
      </w:pPr>
      <w:rPr>
        <w:rFonts w:ascii="Arial" w:hAnsi="Arial" w:hint="default"/>
      </w:rPr>
    </w:lvl>
    <w:lvl w:ilvl="1" w:tplc="5BAC5B00" w:tentative="1">
      <w:start w:val="1"/>
      <w:numFmt w:val="bullet"/>
      <w:lvlText w:val="•"/>
      <w:lvlJc w:val="left"/>
      <w:pPr>
        <w:tabs>
          <w:tab w:val="num" w:pos="1440"/>
        </w:tabs>
        <w:ind w:left="1440" w:hanging="360"/>
      </w:pPr>
      <w:rPr>
        <w:rFonts w:ascii="Arial" w:hAnsi="Arial" w:hint="default"/>
      </w:rPr>
    </w:lvl>
    <w:lvl w:ilvl="2" w:tplc="78361D02" w:tentative="1">
      <w:start w:val="1"/>
      <w:numFmt w:val="bullet"/>
      <w:lvlText w:val="•"/>
      <w:lvlJc w:val="left"/>
      <w:pPr>
        <w:tabs>
          <w:tab w:val="num" w:pos="2160"/>
        </w:tabs>
        <w:ind w:left="2160" w:hanging="360"/>
      </w:pPr>
      <w:rPr>
        <w:rFonts w:ascii="Arial" w:hAnsi="Arial" w:hint="default"/>
      </w:rPr>
    </w:lvl>
    <w:lvl w:ilvl="3" w:tplc="34B2F2D8" w:tentative="1">
      <w:start w:val="1"/>
      <w:numFmt w:val="bullet"/>
      <w:lvlText w:val="•"/>
      <w:lvlJc w:val="left"/>
      <w:pPr>
        <w:tabs>
          <w:tab w:val="num" w:pos="2880"/>
        </w:tabs>
        <w:ind w:left="2880" w:hanging="360"/>
      </w:pPr>
      <w:rPr>
        <w:rFonts w:ascii="Arial" w:hAnsi="Arial" w:hint="default"/>
      </w:rPr>
    </w:lvl>
    <w:lvl w:ilvl="4" w:tplc="E36C64C6" w:tentative="1">
      <w:start w:val="1"/>
      <w:numFmt w:val="bullet"/>
      <w:lvlText w:val="•"/>
      <w:lvlJc w:val="left"/>
      <w:pPr>
        <w:tabs>
          <w:tab w:val="num" w:pos="3600"/>
        </w:tabs>
        <w:ind w:left="3600" w:hanging="360"/>
      </w:pPr>
      <w:rPr>
        <w:rFonts w:ascii="Arial" w:hAnsi="Arial" w:hint="default"/>
      </w:rPr>
    </w:lvl>
    <w:lvl w:ilvl="5" w:tplc="7312D2C2" w:tentative="1">
      <w:start w:val="1"/>
      <w:numFmt w:val="bullet"/>
      <w:lvlText w:val="•"/>
      <w:lvlJc w:val="left"/>
      <w:pPr>
        <w:tabs>
          <w:tab w:val="num" w:pos="4320"/>
        </w:tabs>
        <w:ind w:left="4320" w:hanging="360"/>
      </w:pPr>
      <w:rPr>
        <w:rFonts w:ascii="Arial" w:hAnsi="Arial" w:hint="default"/>
      </w:rPr>
    </w:lvl>
    <w:lvl w:ilvl="6" w:tplc="E89A0192" w:tentative="1">
      <w:start w:val="1"/>
      <w:numFmt w:val="bullet"/>
      <w:lvlText w:val="•"/>
      <w:lvlJc w:val="left"/>
      <w:pPr>
        <w:tabs>
          <w:tab w:val="num" w:pos="5040"/>
        </w:tabs>
        <w:ind w:left="5040" w:hanging="360"/>
      </w:pPr>
      <w:rPr>
        <w:rFonts w:ascii="Arial" w:hAnsi="Arial" w:hint="default"/>
      </w:rPr>
    </w:lvl>
    <w:lvl w:ilvl="7" w:tplc="9454EB2E" w:tentative="1">
      <w:start w:val="1"/>
      <w:numFmt w:val="bullet"/>
      <w:lvlText w:val="•"/>
      <w:lvlJc w:val="left"/>
      <w:pPr>
        <w:tabs>
          <w:tab w:val="num" w:pos="5760"/>
        </w:tabs>
        <w:ind w:left="5760" w:hanging="360"/>
      </w:pPr>
      <w:rPr>
        <w:rFonts w:ascii="Arial" w:hAnsi="Arial" w:hint="default"/>
      </w:rPr>
    </w:lvl>
    <w:lvl w:ilvl="8" w:tplc="EAF4157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BF"/>
    <w:rsid w:val="0025115F"/>
    <w:rsid w:val="00453C19"/>
    <w:rsid w:val="00520C3D"/>
    <w:rsid w:val="005F60A2"/>
    <w:rsid w:val="00D10509"/>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30BF"/>
    <w:pPr>
      <w:ind w:left="720"/>
      <w:contextualSpacing/>
    </w:pPr>
    <w:rPr>
      <w:rFonts w:ascii="Times New Roman" w:eastAsia="Times New Roman" w:hAnsi="Times New Roman" w:cs="Times New Roman"/>
    </w:rPr>
  </w:style>
  <w:style w:type="character" w:styleId="Textoennegrita">
    <w:name w:val="Strong"/>
    <w:basedOn w:val="Fuentedeprrafopredeter"/>
    <w:uiPriority w:val="22"/>
    <w:qFormat/>
    <w:rsid w:val="00D1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476610048">
      <w:bodyDiv w:val="1"/>
      <w:marLeft w:val="0"/>
      <w:marRight w:val="0"/>
      <w:marTop w:val="0"/>
      <w:marBottom w:val="0"/>
      <w:divBdr>
        <w:top w:val="none" w:sz="0" w:space="0" w:color="auto"/>
        <w:left w:val="none" w:sz="0" w:space="0" w:color="auto"/>
        <w:bottom w:val="none" w:sz="0" w:space="0" w:color="auto"/>
        <w:right w:val="none" w:sz="0" w:space="0" w:color="auto"/>
      </w:divBdr>
      <w:divsChild>
        <w:div w:id="1122579923">
          <w:marLeft w:val="547"/>
          <w:marRight w:val="0"/>
          <w:marTop w:val="0"/>
          <w:marBottom w:val="0"/>
          <w:divBdr>
            <w:top w:val="none" w:sz="0" w:space="0" w:color="auto"/>
            <w:left w:val="none" w:sz="0" w:space="0" w:color="auto"/>
            <w:bottom w:val="none" w:sz="0" w:space="0" w:color="auto"/>
            <w:right w:val="none" w:sz="0" w:space="0" w:color="auto"/>
          </w:divBdr>
        </w:div>
        <w:div w:id="1098255534">
          <w:marLeft w:val="547"/>
          <w:marRight w:val="0"/>
          <w:marTop w:val="0"/>
          <w:marBottom w:val="0"/>
          <w:divBdr>
            <w:top w:val="none" w:sz="0" w:space="0" w:color="auto"/>
            <w:left w:val="none" w:sz="0" w:space="0" w:color="auto"/>
            <w:bottom w:val="none" w:sz="0" w:space="0" w:color="auto"/>
            <w:right w:val="none" w:sz="0" w:space="0" w:color="auto"/>
          </w:divBdr>
        </w:div>
        <w:div w:id="270281409">
          <w:marLeft w:val="547"/>
          <w:marRight w:val="0"/>
          <w:marTop w:val="0"/>
          <w:marBottom w:val="0"/>
          <w:divBdr>
            <w:top w:val="none" w:sz="0" w:space="0" w:color="auto"/>
            <w:left w:val="none" w:sz="0" w:space="0" w:color="auto"/>
            <w:bottom w:val="none" w:sz="0" w:space="0" w:color="auto"/>
            <w:right w:val="none" w:sz="0" w:space="0" w:color="auto"/>
          </w:divBdr>
        </w:div>
        <w:div w:id="1592201464">
          <w:marLeft w:val="547"/>
          <w:marRight w:val="0"/>
          <w:marTop w:val="0"/>
          <w:marBottom w:val="0"/>
          <w:divBdr>
            <w:top w:val="none" w:sz="0" w:space="0" w:color="auto"/>
            <w:left w:val="none" w:sz="0" w:space="0" w:color="auto"/>
            <w:bottom w:val="none" w:sz="0" w:space="0" w:color="auto"/>
            <w:right w:val="none" w:sz="0" w:space="0" w:color="auto"/>
          </w:divBdr>
        </w:div>
        <w:div w:id="1265697373">
          <w:marLeft w:val="547"/>
          <w:marRight w:val="0"/>
          <w:marTop w:val="0"/>
          <w:marBottom w:val="0"/>
          <w:divBdr>
            <w:top w:val="none" w:sz="0" w:space="0" w:color="auto"/>
            <w:left w:val="none" w:sz="0" w:space="0" w:color="auto"/>
            <w:bottom w:val="none" w:sz="0" w:space="0" w:color="auto"/>
            <w:right w:val="none" w:sz="0" w:space="0" w:color="auto"/>
          </w:divBdr>
        </w:div>
        <w:div w:id="1036392536">
          <w:marLeft w:val="547"/>
          <w:marRight w:val="0"/>
          <w:marTop w:val="0"/>
          <w:marBottom w:val="0"/>
          <w:divBdr>
            <w:top w:val="none" w:sz="0" w:space="0" w:color="auto"/>
            <w:left w:val="none" w:sz="0" w:space="0" w:color="auto"/>
            <w:bottom w:val="none" w:sz="0" w:space="0" w:color="auto"/>
            <w:right w:val="none" w:sz="0" w:space="0" w:color="auto"/>
          </w:divBdr>
        </w:div>
        <w:div w:id="1578858365">
          <w:marLeft w:val="547"/>
          <w:marRight w:val="0"/>
          <w:marTop w:val="0"/>
          <w:marBottom w:val="0"/>
          <w:divBdr>
            <w:top w:val="none" w:sz="0" w:space="0" w:color="auto"/>
            <w:left w:val="none" w:sz="0" w:space="0" w:color="auto"/>
            <w:bottom w:val="none" w:sz="0" w:space="0" w:color="auto"/>
            <w:right w:val="none" w:sz="0" w:space="0" w:color="auto"/>
          </w:divBdr>
        </w:div>
        <w:div w:id="1588466897">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25234534">
      <w:bodyDiv w:val="1"/>
      <w:marLeft w:val="0"/>
      <w:marRight w:val="0"/>
      <w:marTop w:val="0"/>
      <w:marBottom w:val="0"/>
      <w:divBdr>
        <w:top w:val="none" w:sz="0" w:space="0" w:color="auto"/>
        <w:left w:val="none" w:sz="0" w:space="0" w:color="auto"/>
        <w:bottom w:val="none" w:sz="0" w:space="0" w:color="auto"/>
        <w:right w:val="none" w:sz="0" w:space="0" w:color="auto"/>
      </w:divBdr>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17833730">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864706008">
      <w:bodyDiv w:val="1"/>
      <w:marLeft w:val="0"/>
      <w:marRight w:val="0"/>
      <w:marTop w:val="0"/>
      <w:marBottom w:val="0"/>
      <w:divBdr>
        <w:top w:val="none" w:sz="0" w:space="0" w:color="auto"/>
        <w:left w:val="none" w:sz="0" w:space="0" w:color="auto"/>
        <w:bottom w:val="none" w:sz="0" w:space="0" w:color="auto"/>
        <w:right w:val="none" w:sz="0" w:space="0" w:color="auto"/>
      </w:divBdr>
      <w:divsChild>
        <w:div w:id="143621358">
          <w:marLeft w:val="547"/>
          <w:marRight w:val="0"/>
          <w:marTop w:val="0"/>
          <w:marBottom w:val="0"/>
          <w:divBdr>
            <w:top w:val="none" w:sz="0" w:space="0" w:color="auto"/>
            <w:left w:val="none" w:sz="0" w:space="0" w:color="auto"/>
            <w:bottom w:val="none" w:sz="0" w:space="0" w:color="auto"/>
            <w:right w:val="none" w:sz="0" w:space="0" w:color="auto"/>
          </w:divBdr>
        </w:div>
        <w:div w:id="564072516">
          <w:marLeft w:val="547"/>
          <w:marRight w:val="0"/>
          <w:marTop w:val="0"/>
          <w:marBottom w:val="0"/>
          <w:divBdr>
            <w:top w:val="none" w:sz="0" w:space="0" w:color="auto"/>
            <w:left w:val="none" w:sz="0" w:space="0" w:color="auto"/>
            <w:bottom w:val="none" w:sz="0" w:space="0" w:color="auto"/>
            <w:right w:val="none" w:sz="0" w:space="0" w:color="auto"/>
          </w:divBdr>
        </w:div>
        <w:div w:id="1292058274">
          <w:marLeft w:val="547"/>
          <w:marRight w:val="0"/>
          <w:marTop w:val="0"/>
          <w:marBottom w:val="0"/>
          <w:divBdr>
            <w:top w:val="none" w:sz="0" w:space="0" w:color="auto"/>
            <w:left w:val="none" w:sz="0" w:space="0" w:color="auto"/>
            <w:bottom w:val="none" w:sz="0" w:space="0" w:color="auto"/>
            <w:right w:val="none" w:sz="0" w:space="0" w:color="auto"/>
          </w:divBdr>
        </w:div>
        <w:div w:id="518661538">
          <w:marLeft w:val="547"/>
          <w:marRight w:val="0"/>
          <w:marTop w:val="0"/>
          <w:marBottom w:val="0"/>
          <w:divBdr>
            <w:top w:val="none" w:sz="0" w:space="0" w:color="auto"/>
            <w:left w:val="none" w:sz="0" w:space="0" w:color="auto"/>
            <w:bottom w:val="none" w:sz="0" w:space="0" w:color="auto"/>
            <w:right w:val="none" w:sz="0" w:space="0" w:color="auto"/>
          </w:divBdr>
        </w:div>
        <w:div w:id="635337352">
          <w:marLeft w:val="547"/>
          <w:marRight w:val="0"/>
          <w:marTop w:val="0"/>
          <w:marBottom w:val="0"/>
          <w:divBdr>
            <w:top w:val="none" w:sz="0" w:space="0" w:color="auto"/>
            <w:left w:val="none" w:sz="0" w:space="0" w:color="auto"/>
            <w:bottom w:val="none" w:sz="0" w:space="0" w:color="auto"/>
            <w:right w:val="none" w:sz="0" w:space="0" w:color="auto"/>
          </w:divBdr>
        </w:div>
      </w:divsChild>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600</Words>
  <Characters>3302</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Javier Torres</cp:lastModifiedBy>
  <cp:revision>3</cp:revision>
  <dcterms:created xsi:type="dcterms:W3CDTF">2020-09-19T15:35:00Z</dcterms:created>
  <dcterms:modified xsi:type="dcterms:W3CDTF">2021-05-29T03:52:00Z</dcterms:modified>
</cp:coreProperties>
</file>