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DD02D" w14:textId="1AB5700C" w:rsidR="00D82C18" w:rsidRPr="00773F6C" w:rsidRDefault="00B3608C" w:rsidP="00773F6C">
      <w:pPr>
        <w:rPr>
          <w:rFonts w:ascii="Verdana" w:hAnsi="Verdana"/>
          <w:b/>
          <w:bCs/>
        </w:rPr>
      </w:pPr>
      <w:r>
        <w:rPr>
          <w:rFonts w:ascii="Verdana" w:hAnsi="Verdana"/>
          <w:b/>
          <w:bCs/>
          <w:sz w:val="28"/>
          <w:szCs w:val="28"/>
        </w:rPr>
        <w:t>Lección 1.2 La cooperación internacional en una economía mundial (versión en línea)</w:t>
      </w:r>
    </w:p>
    <w:p w14:paraId="1D0E3DC5" w14:textId="77777777" w:rsidR="00C115FC" w:rsidRPr="00C115FC" w:rsidRDefault="00C115FC" w:rsidP="00C115FC">
      <w:pPr>
        <w:ind w:left="360"/>
        <w:rPr>
          <w:rFonts w:ascii="Verdana" w:hAnsi="Verdana"/>
        </w:rPr>
      </w:pPr>
    </w:p>
    <w:tbl>
      <w:tblPr>
        <w:tblStyle w:val="Tablaconcuadrcula"/>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36C2D5A7" w:rsidR="00D82C18" w:rsidRPr="00773F6C" w:rsidRDefault="00C115FC" w:rsidP="00BB0C1B">
            <w:pPr>
              <w:rPr>
                <w:rFonts w:ascii="Verdana" w:hAnsi="Verdana"/>
                <w:sz w:val="22"/>
                <w:szCs w:val="22"/>
              </w:rPr>
            </w:pPr>
            <w:r>
              <w:rPr>
                <w:rFonts w:ascii="Verdana" w:hAnsi="Verdana"/>
                <w:sz w:val="22"/>
                <w:szCs w:val="22"/>
              </w:rPr>
              <w:t>Lección 1.2.</w:t>
            </w:r>
            <w:r>
              <w:rPr>
                <w:rFonts w:ascii="Verdana" w:hAnsi="Verdana"/>
                <w:color w:val="000000" w:themeColor="text1"/>
                <w:sz w:val="28"/>
                <w:szCs w:val="28"/>
              </w:rPr>
              <w:t xml:space="preserve"> </w:t>
            </w:r>
            <w:r>
              <w:rPr>
                <w:rFonts w:ascii="Verdana" w:hAnsi="Verdana"/>
                <w:color w:val="000000" w:themeColor="text1"/>
                <w:sz w:val="22"/>
                <w:szCs w:val="22"/>
              </w:rPr>
              <w:t xml:space="preserve">Cooperación internacional en una economía mundial (versión en línea) </w:t>
            </w:r>
          </w:p>
        </w:tc>
        <w:tc>
          <w:tcPr>
            <w:tcW w:w="2165" w:type="dxa"/>
            <w:shd w:val="clear" w:color="auto" w:fill="DEEAF6" w:themeFill="accent5" w:themeFillTint="33"/>
            <w:vAlign w:val="center"/>
          </w:tcPr>
          <w:p w14:paraId="30B631DA" w14:textId="78CD94FC" w:rsidR="00D82C18" w:rsidRPr="00D82C18" w:rsidRDefault="00D82C18" w:rsidP="00C115FC">
            <w:pPr>
              <w:rPr>
                <w:rFonts w:ascii="Verdana" w:hAnsi="Verdana"/>
                <w:sz w:val="22"/>
                <w:szCs w:val="22"/>
              </w:rPr>
            </w:pPr>
            <w:r>
              <w:rPr>
                <w:rFonts w:ascii="Verdana" w:hAnsi="Verdana"/>
                <w:sz w:val="22"/>
                <w:szCs w:val="22"/>
              </w:rPr>
              <w:t xml:space="preserve">Duración: </w:t>
            </w:r>
            <w:r>
              <w:rPr>
                <w:rFonts w:ascii="Verdana" w:hAnsi="Verdana"/>
                <w:color w:val="000000" w:themeColor="text1"/>
                <w:sz w:val="22"/>
                <w:szCs w:val="22"/>
              </w:rPr>
              <w:t xml:space="preserve">40 minutos </w:t>
            </w:r>
          </w:p>
        </w:tc>
      </w:tr>
      <w:tr w:rsidR="00E7344B" w:rsidRPr="00D82C18" w14:paraId="7C1107AB" w14:textId="77777777" w:rsidTr="004D35F1">
        <w:trPr>
          <w:trHeight w:val="2096"/>
        </w:trPr>
        <w:tc>
          <w:tcPr>
            <w:tcW w:w="9010" w:type="dxa"/>
            <w:gridSpan w:val="3"/>
            <w:vAlign w:val="center"/>
          </w:tcPr>
          <w:p w14:paraId="0B1C3404" w14:textId="53612A3F" w:rsidR="00E7344B" w:rsidRPr="000F7896" w:rsidRDefault="00E7344B" w:rsidP="000F7896">
            <w:pPr>
              <w:spacing w:after="120" w:line="280" w:lineRule="exact"/>
              <w:rPr>
                <w:rFonts w:ascii="Verdana" w:hAnsi="Verdana"/>
                <w:b/>
                <w:sz w:val="22"/>
                <w:szCs w:val="22"/>
              </w:rPr>
            </w:pPr>
            <w:r>
              <w:rPr>
                <w:rFonts w:ascii="Verdana" w:hAnsi="Verdana"/>
                <w:b/>
                <w:sz w:val="22"/>
                <w:szCs w:val="22"/>
              </w:rPr>
              <w:t xml:space="preserve">Recursos necesarios: </w:t>
            </w:r>
          </w:p>
          <w:p w14:paraId="060400D8" w14:textId="345CB1E6" w:rsidR="000F7896" w:rsidRPr="00BB0C1B" w:rsidRDefault="000F7896" w:rsidP="000F7896">
            <w:pPr>
              <w:pStyle w:val="bul1"/>
              <w:numPr>
                <w:ilvl w:val="0"/>
                <w:numId w:val="6"/>
              </w:numPr>
              <w:spacing w:line="280" w:lineRule="exact"/>
              <w:rPr>
                <w:rFonts w:ascii="Symbol" w:hAnsi="Symbol"/>
              </w:rPr>
            </w:pPr>
            <w:r>
              <w:t xml:space="preserve">PC/portátil cargado con versiones de software compatibles con los materiales preparados </w:t>
            </w:r>
          </w:p>
          <w:p w14:paraId="62A10C2C" w14:textId="0A510064" w:rsidR="000F7896" w:rsidRPr="00BB0C1B" w:rsidRDefault="000F7896" w:rsidP="000F7896">
            <w:pPr>
              <w:pStyle w:val="bul1"/>
              <w:numPr>
                <w:ilvl w:val="0"/>
                <w:numId w:val="6"/>
              </w:numPr>
              <w:spacing w:line="280" w:lineRule="exact"/>
              <w:rPr>
                <w:rFonts w:ascii="Symbol" w:hAnsi="Symbol"/>
              </w:rPr>
            </w:pPr>
            <w:r>
              <w:t>Acceso a Internet</w:t>
            </w:r>
          </w:p>
          <w:p w14:paraId="77379EB8" w14:textId="77777777" w:rsidR="00BB0C1B" w:rsidRPr="000F7896" w:rsidRDefault="00BB0C1B" w:rsidP="00BB0C1B">
            <w:pPr>
              <w:pStyle w:val="bul1"/>
              <w:numPr>
                <w:ilvl w:val="0"/>
                <w:numId w:val="6"/>
              </w:numPr>
              <w:spacing w:line="280" w:lineRule="exact"/>
              <w:rPr>
                <w:rFonts w:ascii="Symbol" w:hAnsi="Symbol"/>
              </w:rPr>
            </w:pPr>
            <w:r>
              <w:t>Acceso al software/plataforma de conferencias en línea</w:t>
            </w:r>
          </w:p>
          <w:p w14:paraId="06B5914C" w14:textId="6317A2D4" w:rsidR="00AC3C5A" w:rsidRPr="003406F3" w:rsidRDefault="00AC3C5A" w:rsidP="00AC3C5A">
            <w:pPr>
              <w:pStyle w:val="bul1"/>
              <w:numPr>
                <w:ilvl w:val="0"/>
                <w:numId w:val="6"/>
              </w:numPr>
              <w:spacing w:before="120" w:after="120" w:line="280" w:lineRule="exact"/>
              <w:contextualSpacing/>
              <w:rPr>
                <w:szCs w:val="18"/>
              </w:rPr>
            </w:pPr>
            <w:r>
              <w:t>Proyector y pantalla</w:t>
            </w:r>
          </w:p>
          <w:p w14:paraId="14CF9EF0" w14:textId="1CCE7A95" w:rsidR="000F7896" w:rsidRPr="000F7896" w:rsidRDefault="00AC3C5A" w:rsidP="00AC3C5A">
            <w:pPr>
              <w:pStyle w:val="bul1"/>
              <w:numPr>
                <w:ilvl w:val="0"/>
                <w:numId w:val="6"/>
              </w:numPr>
              <w:spacing w:after="120" w:line="280" w:lineRule="exact"/>
            </w:pPr>
            <w:r>
              <w:t>Papel y bolígrafos para estudiantes</w:t>
            </w:r>
          </w:p>
        </w:tc>
      </w:tr>
      <w:tr w:rsidR="00E7344B" w:rsidRPr="00D82C18" w14:paraId="635F2EFD" w14:textId="77777777" w:rsidTr="00F77B0E">
        <w:trPr>
          <w:trHeight w:val="1961"/>
        </w:trPr>
        <w:tc>
          <w:tcPr>
            <w:tcW w:w="9010" w:type="dxa"/>
            <w:gridSpan w:val="3"/>
            <w:vAlign w:val="center"/>
          </w:tcPr>
          <w:p w14:paraId="34602AF3" w14:textId="4B0D3631" w:rsidR="00A03CF0" w:rsidRDefault="00006BD9" w:rsidP="00F62A15">
            <w:pPr>
              <w:spacing w:before="120" w:after="120" w:line="280" w:lineRule="exact"/>
              <w:rPr>
                <w:rFonts w:ascii="Verdana" w:hAnsi="Verdana"/>
                <w:b/>
                <w:sz w:val="22"/>
                <w:szCs w:val="22"/>
              </w:rPr>
            </w:pPr>
            <w:r>
              <w:rPr>
                <w:rFonts w:ascii="Verdana" w:hAnsi="Verdana"/>
                <w:b/>
                <w:sz w:val="22"/>
                <w:szCs w:val="22"/>
              </w:rPr>
              <w:t>Propósito</w:t>
            </w:r>
            <w:r w:rsidR="00A03CF0">
              <w:rPr>
                <w:rFonts w:ascii="Verdana" w:hAnsi="Verdana"/>
                <w:b/>
                <w:sz w:val="22"/>
                <w:szCs w:val="22"/>
              </w:rPr>
              <w:t xml:space="preserve"> de la sesión:  </w:t>
            </w:r>
          </w:p>
          <w:p w14:paraId="038FBA90" w14:textId="5218ABAF" w:rsidR="004D35F1" w:rsidRPr="004D35F1" w:rsidRDefault="004D35F1" w:rsidP="00211962">
            <w:pPr>
              <w:widowControl w:val="0"/>
              <w:spacing w:line="280" w:lineRule="atLeast"/>
              <w:jc w:val="both"/>
              <w:rPr>
                <w:rFonts w:ascii="Verdana" w:hAnsi="Verdana" w:cs="Arial"/>
                <w:sz w:val="18"/>
                <w:szCs w:val="18"/>
              </w:rPr>
            </w:pPr>
            <w:r>
              <w:rPr>
                <w:rFonts w:ascii="Verdana" w:hAnsi="Verdana"/>
                <w:iCs/>
                <w:sz w:val="18"/>
                <w:szCs w:val="18"/>
              </w:rPr>
              <w:t xml:space="preserve">Esta sesión está concebida como una introducción general al tema y un recordatorio de algunas informaciones del curso de introducción. </w:t>
            </w:r>
            <w:r>
              <w:rPr>
                <w:rFonts w:ascii="Verdana" w:hAnsi="Verdana"/>
                <w:sz w:val="18"/>
                <w:szCs w:val="18"/>
              </w:rPr>
              <w:t xml:space="preserve">Durante esta sesión se ofrecerá una visión general de la necesidad de establecer una cooperación internacional y se proporcionará a los delegados una introducción general a los temas. Se debatirá sobre los desafíos que se plantean a la hora de obtener pruebas electrónicas en una economía mundial, centrándose en el Convenio de Budapest y en la necesidad de conocer las herramientas disponibles para la cooperación internacional. </w:t>
            </w:r>
          </w:p>
          <w:p w14:paraId="3FE58655" w14:textId="04E941D8" w:rsidR="00A03CF0" w:rsidRPr="004D35F1" w:rsidRDefault="00A03CF0" w:rsidP="00CB3026">
            <w:pPr>
              <w:spacing w:before="120" w:after="120" w:line="280" w:lineRule="exact"/>
              <w:jc w:val="both"/>
              <w:rPr>
                <w:rFonts w:ascii="Verdana" w:eastAsia="Times New Roman" w:hAnsi="Verdana" w:cs="Times New Roman"/>
                <w:sz w:val="18"/>
                <w:szCs w:val="18"/>
              </w:rPr>
            </w:pPr>
          </w:p>
        </w:tc>
      </w:tr>
      <w:tr w:rsidR="00A03CF0" w:rsidRPr="00D82C18" w14:paraId="1B5A80A7" w14:textId="77777777" w:rsidTr="00F1574D">
        <w:trPr>
          <w:trHeight w:val="5894"/>
        </w:trPr>
        <w:tc>
          <w:tcPr>
            <w:tcW w:w="9010" w:type="dxa"/>
            <w:gridSpan w:val="3"/>
            <w:vAlign w:val="center"/>
          </w:tcPr>
          <w:p w14:paraId="559A7E05" w14:textId="77777777" w:rsidR="00A03CF0" w:rsidRPr="00271010" w:rsidRDefault="00271010" w:rsidP="00F62A15">
            <w:pPr>
              <w:spacing w:before="120" w:after="120" w:line="280" w:lineRule="exact"/>
              <w:contextualSpacing/>
              <w:rPr>
                <w:rFonts w:ascii="Verdana" w:hAnsi="Verdana"/>
                <w:b/>
                <w:sz w:val="22"/>
                <w:szCs w:val="22"/>
              </w:rPr>
            </w:pPr>
            <w:r>
              <w:rPr>
                <w:rFonts w:ascii="Verdana" w:hAnsi="Verdana"/>
                <w:b/>
                <w:sz w:val="22"/>
                <w:szCs w:val="22"/>
              </w:rPr>
              <w:t>Objetivos:</w:t>
            </w:r>
          </w:p>
          <w:p w14:paraId="7552C5F6" w14:textId="77777777" w:rsidR="000F7896" w:rsidRPr="005F4901" w:rsidRDefault="000F7896" w:rsidP="000F7896">
            <w:pPr>
              <w:tabs>
                <w:tab w:val="left" w:pos="426"/>
                <w:tab w:val="left" w:pos="851"/>
              </w:tabs>
              <w:rPr>
                <w:rFonts w:eastAsia="Times New Roman" w:cs="Times New Roman"/>
              </w:rPr>
            </w:pPr>
            <w:r>
              <w:t>Al final de esta sesión los delegados podrán:</w:t>
            </w:r>
          </w:p>
          <w:p w14:paraId="4A08C8F5" w14:textId="77777777" w:rsidR="004D35F1" w:rsidRPr="004D35F1" w:rsidRDefault="004D35F1" w:rsidP="004D35F1">
            <w:pPr>
              <w:pStyle w:val="bul1"/>
            </w:pPr>
            <w:r>
              <w:t>Reconocer la dimensión mundial de Internet y la dimensión internacional de la ciberdelincuencia</w:t>
            </w:r>
          </w:p>
          <w:p w14:paraId="4E1237DE" w14:textId="77777777" w:rsidR="004D35F1" w:rsidRPr="004D35F1" w:rsidRDefault="004D35F1" w:rsidP="004D35F1">
            <w:pPr>
              <w:pStyle w:val="bul1"/>
            </w:pPr>
            <w:r>
              <w:t>Explicar la importancia de la cooperación internacional y reconocer los instrumentos disponibles para la cooperación internacional en el ámbito de la ciberdelincuencia</w:t>
            </w:r>
          </w:p>
          <w:p w14:paraId="2BF629D3" w14:textId="77E30AF7" w:rsidR="004D35F1" w:rsidRPr="004D35F1" w:rsidRDefault="004D35F1" w:rsidP="004D35F1">
            <w:pPr>
              <w:pStyle w:val="bul1"/>
            </w:pPr>
            <w:r>
              <w:t>Detectar la necesidad de disponer de canales muy rápidos y eficientes para la cooperación internacional y los instrumentos disponibles, las formas de utilizarlos, los plazos y la eficacia</w:t>
            </w:r>
          </w:p>
          <w:p w14:paraId="488A0845" w14:textId="77777777" w:rsidR="004D35F1" w:rsidRPr="004D35F1" w:rsidRDefault="004D35F1" w:rsidP="004D35F1">
            <w:pPr>
              <w:pStyle w:val="bul1"/>
            </w:pPr>
            <w:r>
              <w:t>Describir los esfuerzos de las organizaciones internacionales en relación con la aplicación de nuevas modalidades de cooperación internacional</w:t>
            </w:r>
          </w:p>
          <w:p w14:paraId="5C2896A5" w14:textId="1FC7AE00" w:rsidR="004D35F1" w:rsidRPr="004D35F1" w:rsidRDefault="004D35F1" w:rsidP="004D35F1">
            <w:pPr>
              <w:pStyle w:val="bul1"/>
            </w:pPr>
            <w:r>
              <w:t xml:space="preserve">Debatir el Convenio de Budapest sobre la Ciberdelincuencia - identificar sus principios generales </w:t>
            </w:r>
          </w:p>
          <w:p w14:paraId="0A823E5C" w14:textId="77777777" w:rsidR="00AC3C5A" w:rsidRDefault="00AC3C5A" w:rsidP="00AC3C5A">
            <w:pPr>
              <w:pStyle w:val="bul1"/>
              <w:numPr>
                <w:ilvl w:val="0"/>
                <w:numId w:val="0"/>
              </w:numPr>
              <w:rPr>
                <w:lang w:val="en-GB"/>
              </w:rPr>
            </w:pPr>
          </w:p>
          <w:p w14:paraId="0B3C4EDF" w14:textId="77777777" w:rsidR="00F77B0E" w:rsidRDefault="00F77B0E" w:rsidP="00AC3C5A">
            <w:pPr>
              <w:pStyle w:val="bul1"/>
              <w:numPr>
                <w:ilvl w:val="0"/>
                <w:numId w:val="0"/>
              </w:numPr>
              <w:rPr>
                <w:lang w:val="en-GB"/>
              </w:rPr>
            </w:pPr>
          </w:p>
          <w:p w14:paraId="5B49C7D8" w14:textId="77777777" w:rsidR="00F77B0E" w:rsidRDefault="00F77B0E" w:rsidP="00AC3C5A">
            <w:pPr>
              <w:pStyle w:val="bul1"/>
              <w:numPr>
                <w:ilvl w:val="0"/>
                <w:numId w:val="0"/>
              </w:numPr>
              <w:rPr>
                <w:lang w:val="en-GB"/>
              </w:rPr>
            </w:pPr>
          </w:p>
          <w:p w14:paraId="4E13065B" w14:textId="77777777" w:rsidR="00F77B0E" w:rsidRDefault="00F77B0E" w:rsidP="00AC3C5A">
            <w:pPr>
              <w:pStyle w:val="bul1"/>
              <w:numPr>
                <w:ilvl w:val="0"/>
                <w:numId w:val="0"/>
              </w:numPr>
              <w:rPr>
                <w:lang w:val="en-GB"/>
              </w:rPr>
            </w:pPr>
          </w:p>
          <w:p w14:paraId="335D9932" w14:textId="77777777" w:rsidR="00F77B0E" w:rsidRDefault="00F77B0E" w:rsidP="00AC3C5A">
            <w:pPr>
              <w:pStyle w:val="bul1"/>
              <w:numPr>
                <w:ilvl w:val="0"/>
                <w:numId w:val="0"/>
              </w:numPr>
              <w:rPr>
                <w:lang w:val="en-GB"/>
              </w:rPr>
            </w:pPr>
          </w:p>
          <w:p w14:paraId="09976C32" w14:textId="77777777" w:rsidR="00F77B0E" w:rsidRDefault="00F77B0E" w:rsidP="00AC3C5A">
            <w:pPr>
              <w:pStyle w:val="bul1"/>
              <w:numPr>
                <w:ilvl w:val="0"/>
                <w:numId w:val="0"/>
              </w:numPr>
              <w:rPr>
                <w:lang w:val="en-GB"/>
              </w:rPr>
            </w:pPr>
          </w:p>
          <w:p w14:paraId="5A85DA0A" w14:textId="77777777" w:rsidR="00F77B0E" w:rsidRDefault="00F77B0E" w:rsidP="00AC3C5A">
            <w:pPr>
              <w:pStyle w:val="bul1"/>
              <w:numPr>
                <w:ilvl w:val="0"/>
                <w:numId w:val="0"/>
              </w:numPr>
              <w:rPr>
                <w:lang w:val="en-GB"/>
              </w:rPr>
            </w:pPr>
          </w:p>
          <w:p w14:paraId="1B113895" w14:textId="77777777" w:rsidR="00F77B0E" w:rsidRDefault="00F77B0E" w:rsidP="00AC3C5A">
            <w:pPr>
              <w:pStyle w:val="bul1"/>
              <w:numPr>
                <w:ilvl w:val="0"/>
                <w:numId w:val="0"/>
              </w:numPr>
              <w:rPr>
                <w:lang w:val="en-GB"/>
              </w:rPr>
            </w:pPr>
          </w:p>
          <w:p w14:paraId="61ABEAC5" w14:textId="5C0A8806" w:rsidR="00F77B0E" w:rsidRPr="000F7896" w:rsidRDefault="00F77B0E" w:rsidP="00AC3C5A">
            <w:pPr>
              <w:pStyle w:val="bul1"/>
              <w:numPr>
                <w:ilvl w:val="0"/>
                <w:numId w:val="0"/>
              </w:numPr>
              <w:rPr>
                <w:lang w:val="en-GB"/>
              </w:rPr>
            </w:pPr>
          </w:p>
        </w:tc>
      </w:tr>
      <w:tr w:rsidR="005703B7" w:rsidRPr="00D82C18" w14:paraId="03110757" w14:textId="77777777" w:rsidTr="004D35F1">
        <w:trPr>
          <w:trHeight w:val="4310"/>
        </w:trPr>
        <w:tc>
          <w:tcPr>
            <w:tcW w:w="9010" w:type="dxa"/>
            <w:gridSpan w:val="3"/>
            <w:tcBorders>
              <w:bottom w:val="single" w:sz="4" w:space="0" w:color="auto"/>
            </w:tcBorders>
            <w:vAlign w:val="center"/>
          </w:tcPr>
          <w:p w14:paraId="7A064E85" w14:textId="39A6E0DE" w:rsidR="005703B7" w:rsidRDefault="00E95703" w:rsidP="00211962">
            <w:pPr>
              <w:spacing w:line="280" w:lineRule="atLeast"/>
              <w:rPr>
                <w:rFonts w:ascii="Verdana" w:hAnsi="Verdana"/>
                <w:b/>
                <w:color w:val="000000" w:themeColor="text1"/>
                <w:sz w:val="22"/>
                <w:szCs w:val="22"/>
              </w:rPr>
            </w:pPr>
            <w:r>
              <w:rPr>
                <w:rFonts w:ascii="Verdana" w:hAnsi="Verdana"/>
                <w:b/>
                <w:color w:val="000000" w:themeColor="text1"/>
                <w:sz w:val="22"/>
                <w:szCs w:val="22"/>
              </w:rPr>
              <w:lastRenderedPageBreak/>
              <w:t>Pautas para los formadores</w:t>
            </w:r>
          </w:p>
          <w:p w14:paraId="2A8158A8" w14:textId="4888101C" w:rsidR="00211962" w:rsidRDefault="004D35F1" w:rsidP="00211962">
            <w:pPr>
              <w:spacing w:line="280" w:lineRule="atLeast"/>
              <w:rPr>
                <w:rFonts w:ascii="Verdana" w:hAnsi="Verdana"/>
                <w:bCs/>
                <w:color w:val="000000" w:themeColor="text1"/>
                <w:sz w:val="18"/>
                <w:szCs w:val="18"/>
              </w:rPr>
            </w:pPr>
            <w:r>
              <w:rPr>
                <w:rFonts w:ascii="Verdana" w:hAnsi="Verdana"/>
                <w:bCs/>
                <w:color w:val="000000" w:themeColor="text1"/>
                <w:sz w:val="18"/>
                <w:szCs w:val="18"/>
              </w:rPr>
              <w:t>Durante la sesión se deben considerar los siguientes temas:</w:t>
            </w:r>
          </w:p>
          <w:p w14:paraId="26DEDE8F" w14:textId="77777777" w:rsidR="00211962" w:rsidRDefault="00211962" w:rsidP="00211962">
            <w:pPr>
              <w:spacing w:line="280" w:lineRule="atLeast"/>
              <w:rPr>
                <w:rFonts w:ascii="Verdana" w:hAnsi="Verdana"/>
                <w:bCs/>
                <w:color w:val="000000" w:themeColor="text1"/>
                <w:sz w:val="18"/>
                <w:szCs w:val="18"/>
              </w:rPr>
            </w:pPr>
          </w:p>
          <w:p w14:paraId="57F7E35A" w14:textId="77777777" w:rsidR="00211962" w:rsidRDefault="004D35F1" w:rsidP="00211962">
            <w:pPr>
              <w:pStyle w:val="Prrafodelista"/>
              <w:numPr>
                <w:ilvl w:val="0"/>
                <w:numId w:val="16"/>
              </w:numPr>
              <w:spacing w:line="280" w:lineRule="atLeast"/>
              <w:rPr>
                <w:rFonts w:ascii="Verdana" w:hAnsi="Verdana"/>
                <w:bCs/>
                <w:color w:val="000000" w:themeColor="text1"/>
                <w:sz w:val="18"/>
                <w:szCs w:val="18"/>
              </w:rPr>
            </w:pPr>
            <w:r>
              <w:rPr>
                <w:rFonts w:ascii="Verdana" w:hAnsi="Verdana"/>
                <w:sz w:val="18"/>
                <w:szCs w:val="18"/>
              </w:rPr>
              <w:t xml:space="preserve">Un debate sobre la ciberdelincuencia y las pruebas electrónicas en el que se analicen sus principales características </w:t>
            </w:r>
          </w:p>
          <w:p w14:paraId="0C341E32" w14:textId="77777777" w:rsidR="00211962" w:rsidRDefault="004D35F1" w:rsidP="00211962">
            <w:pPr>
              <w:pStyle w:val="Prrafodelista"/>
              <w:numPr>
                <w:ilvl w:val="0"/>
                <w:numId w:val="16"/>
              </w:numPr>
              <w:spacing w:line="280" w:lineRule="atLeast"/>
              <w:rPr>
                <w:rFonts w:ascii="Verdana" w:hAnsi="Verdana"/>
                <w:bCs/>
                <w:color w:val="000000" w:themeColor="text1"/>
                <w:sz w:val="18"/>
                <w:szCs w:val="18"/>
              </w:rPr>
            </w:pPr>
            <w:r>
              <w:rPr>
                <w:rFonts w:ascii="Verdana" w:hAnsi="Verdana"/>
                <w:sz w:val="18"/>
                <w:szCs w:val="18"/>
              </w:rPr>
              <w:t xml:space="preserve">Los desafíos que implica la obtención de pruebas electrónicas en una economía mundial - esto incluirá, entre otras cosas, la determinación del problema </w:t>
            </w:r>
          </w:p>
          <w:p w14:paraId="0C92E63E" w14:textId="258BEF06" w:rsidR="00211962" w:rsidRDefault="004D35F1" w:rsidP="00211962">
            <w:pPr>
              <w:pStyle w:val="Prrafodelista"/>
              <w:numPr>
                <w:ilvl w:val="0"/>
                <w:numId w:val="16"/>
              </w:numPr>
              <w:spacing w:line="280" w:lineRule="atLeast"/>
              <w:rPr>
                <w:rFonts w:ascii="Verdana" w:hAnsi="Verdana"/>
                <w:bCs/>
                <w:color w:val="000000" w:themeColor="text1"/>
                <w:sz w:val="18"/>
                <w:szCs w:val="18"/>
              </w:rPr>
            </w:pPr>
            <w:r>
              <w:rPr>
                <w:rFonts w:ascii="Verdana" w:hAnsi="Verdana"/>
                <w:sz w:val="18"/>
                <w:szCs w:val="18"/>
              </w:rPr>
              <w:t>La necesidad de cooperación internacional y de conocer las herramientas disponibles.  Esto implicará un breve debate sobre la cooperación oficial y no oficial (centrándose en el Convenio de Budapest)</w:t>
            </w:r>
          </w:p>
          <w:p w14:paraId="06CF6A17" w14:textId="77777777" w:rsidR="00211962" w:rsidRDefault="004D35F1" w:rsidP="00211962">
            <w:pPr>
              <w:pStyle w:val="Prrafodelista"/>
              <w:numPr>
                <w:ilvl w:val="0"/>
                <w:numId w:val="16"/>
              </w:numPr>
              <w:spacing w:line="280" w:lineRule="atLeast"/>
              <w:rPr>
                <w:rFonts w:ascii="Verdana" w:hAnsi="Verdana"/>
                <w:bCs/>
                <w:color w:val="000000" w:themeColor="text1"/>
                <w:sz w:val="18"/>
                <w:szCs w:val="18"/>
              </w:rPr>
            </w:pPr>
            <w:r>
              <w:rPr>
                <w:rFonts w:ascii="Verdana" w:hAnsi="Verdana"/>
                <w:sz w:val="18"/>
                <w:szCs w:val="18"/>
              </w:rPr>
              <w:t>Cooperación oficial (asistencia jurídica mutua en materia penal - intercambio de pruebas)</w:t>
            </w:r>
          </w:p>
          <w:p w14:paraId="6F0DEC5B" w14:textId="77777777" w:rsidR="00211962" w:rsidRDefault="004D35F1" w:rsidP="00211962">
            <w:pPr>
              <w:pStyle w:val="Prrafodelista"/>
              <w:numPr>
                <w:ilvl w:val="0"/>
                <w:numId w:val="16"/>
              </w:numPr>
              <w:spacing w:line="280" w:lineRule="atLeast"/>
              <w:rPr>
                <w:rFonts w:ascii="Verdana" w:hAnsi="Verdana"/>
                <w:bCs/>
                <w:color w:val="000000" w:themeColor="text1"/>
                <w:sz w:val="18"/>
                <w:szCs w:val="18"/>
              </w:rPr>
            </w:pPr>
            <w:r>
              <w:rPr>
                <w:rFonts w:ascii="Verdana" w:hAnsi="Verdana"/>
                <w:sz w:val="18"/>
                <w:szCs w:val="18"/>
              </w:rPr>
              <w:t>Cooperación cuasi no oficial (intercambio de información basado en algunas normas/estructura - por ejemplo, Interpol)</w:t>
            </w:r>
          </w:p>
          <w:p w14:paraId="2ED6E4D6" w14:textId="77777777" w:rsidR="00211962" w:rsidRDefault="004D35F1" w:rsidP="00211962">
            <w:pPr>
              <w:pStyle w:val="Prrafodelista"/>
              <w:numPr>
                <w:ilvl w:val="0"/>
                <w:numId w:val="16"/>
              </w:numPr>
              <w:spacing w:line="280" w:lineRule="atLeast"/>
              <w:rPr>
                <w:rFonts w:ascii="Verdana" w:hAnsi="Verdana"/>
                <w:bCs/>
                <w:color w:val="000000" w:themeColor="text1"/>
                <w:sz w:val="18"/>
                <w:szCs w:val="18"/>
              </w:rPr>
            </w:pPr>
            <w:r>
              <w:rPr>
                <w:rFonts w:ascii="Verdana" w:hAnsi="Verdana"/>
                <w:sz w:val="18"/>
                <w:szCs w:val="18"/>
              </w:rPr>
              <w:t xml:space="preserve">Cooperación no oficial (intercambio de información de manera informal - por ejemplo, cooperación de policía a policía) </w:t>
            </w:r>
          </w:p>
          <w:p w14:paraId="2EAE4571" w14:textId="77777777" w:rsidR="00006EAD" w:rsidRPr="00211962" w:rsidRDefault="004D35F1" w:rsidP="00211962">
            <w:pPr>
              <w:pStyle w:val="Prrafodelista"/>
              <w:numPr>
                <w:ilvl w:val="0"/>
                <w:numId w:val="16"/>
              </w:numPr>
              <w:spacing w:line="280" w:lineRule="atLeast"/>
              <w:rPr>
                <w:rFonts w:ascii="Verdana" w:hAnsi="Verdana"/>
                <w:bCs/>
                <w:color w:val="000000" w:themeColor="text1"/>
                <w:sz w:val="18"/>
                <w:szCs w:val="18"/>
              </w:rPr>
            </w:pPr>
            <w:r>
              <w:rPr>
                <w:rFonts w:ascii="Verdana" w:hAnsi="Verdana"/>
                <w:sz w:val="18"/>
                <w:szCs w:val="18"/>
              </w:rPr>
              <w:t>Cooperación con el sector privado (intercambio de información entre el sector privado y las fuerzas del orden)</w:t>
            </w:r>
          </w:p>
          <w:p w14:paraId="5EFF4BEF" w14:textId="0515C189" w:rsidR="00211962" w:rsidRPr="00211962" w:rsidRDefault="00211962" w:rsidP="00211962">
            <w:pPr>
              <w:spacing w:line="280" w:lineRule="atLeast"/>
              <w:rPr>
                <w:rFonts w:ascii="Verdana" w:hAnsi="Verdana"/>
                <w:bCs/>
                <w:color w:val="000000" w:themeColor="text1"/>
                <w:sz w:val="18"/>
                <w:szCs w:val="18"/>
              </w:rPr>
            </w:pP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Pr>
                <w:rFonts w:ascii="Verdana" w:hAnsi="Verdana"/>
                <w:b/>
                <w:sz w:val="28"/>
                <w:szCs w:val="28"/>
              </w:rPr>
              <w:t>Contenido de la lección</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Pr>
                <w:rFonts w:ascii="Verdana" w:hAnsi="Verdana"/>
                <w:b/>
                <w:sz w:val="22"/>
                <w:szCs w:val="22"/>
              </w:rPr>
              <w:t>Números de las diapositivas</w:t>
            </w:r>
          </w:p>
        </w:tc>
        <w:tc>
          <w:tcPr>
            <w:tcW w:w="748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Pr>
                <w:rFonts w:ascii="Verdana" w:hAnsi="Verdana"/>
                <w:b/>
                <w:sz w:val="22"/>
                <w:szCs w:val="22"/>
              </w:rPr>
              <w:t>Contenido</w:t>
            </w:r>
          </w:p>
        </w:tc>
      </w:tr>
      <w:tr w:rsidR="00F1574D" w:rsidRPr="00D82C18" w14:paraId="11A12D7E" w14:textId="77777777" w:rsidTr="002E5092">
        <w:trPr>
          <w:trHeight w:val="1043"/>
        </w:trPr>
        <w:tc>
          <w:tcPr>
            <w:tcW w:w="1525" w:type="dxa"/>
            <w:vAlign w:val="center"/>
          </w:tcPr>
          <w:p w14:paraId="67083237" w14:textId="6FEB8723" w:rsidR="00D82C18" w:rsidRDefault="003630ED" w:rsidP="00F1574D">
            <w:pPr>
              <w:spacing w:before="120" w:after="120" w:line="280" w:lineRule="exact"/>
              <w:jc w:val="center"/>
              <w:rPr>
                <w:rFonts w:ascii="Verdana" w:hAnsi="Verdana"/>
                <w:sz w:val="18"/>
                <w:szCs w:val="18"/>
              </w:rPr>
            </w:pPr>
            <w:r>
              <w:rPr>
                <w:rFonts w:ascii="Verdana" w:hAnsi="Verdana"/>
                <w:sz w:val="18"/>
                <w:szCs w:val="18"/>
              </w:rPr>
              <w:t>1 a 3</w:t>
            </w:r>
          </w:p>
          <w:p w14:paraId="5A89CF27" w14:textId="71EEF2DB" w:rsidR="00F1574D" w:rsidRPr="00F62A15" w:rsidRDefault="00F1574D" w:rsidP="00F1574D">
            <w:pPr>
              <w:spacing w:before="120" w:after="120" w:line="280" w:lineRule="exact"/>
              <w:jc w:val="center"/>
              <w:rPr>
                <w:rFonts w:ascii="Verdana" w:hAnsi="Verdana"/>
                <w:sz w:val="18"/>
                <w:szCs w:val="18"/>
              </w:rPr>
            </w:pPr>
          </w:p>
        </w:tc>
        <w:tc>
          <w:tcPr>
            <w:tcW w:w="7485" w:type="dxa"/>
            <w:gridSpan w:val="2"/>
            <w:vAlign w:val="center"/>
          </w:tcPr>
          <w:p w14:paraId="36345B59" w14:textId="109920F2" w:rsidR="00556D69" w:rsidRPr="00556D69" w:rsidRDefault="00556D69" w:rsidP="00CB3026">
            <w:pPr>
              <w:spacing w:before="120" w:after="120" w:line="280" w:lineRule="exact"/>
              <w:jc w:val="both"/>
              <w:rPr>
                <w:rFonts w:ascii="Verdana" w:hAnsi="Verdana"/>
                <w:color w:val="FF0000"/>
                <w:sz w:val="18"/>
                <w:szCs w:val="18"/>
              </w:rPr>
            </w:pPr>
            <w:r>
              <w:rPr>
                <w:rFonts w:ascii="Verdana" w:hAnsi="Verdana"/>
                <w:color w:val="000000" w:themeColor="text1"/>
                <w:sz w:val="18"/>
                <w:szCs w:val="18"/>
              </w:rPr>
              <w:t>Las diapositivas de apertura sirven de introducción a la sesión e incluyen el programa y los objetivos de la sesión junto con algunos subtemas de actualización de la formación introductoria.</w:t>
            </w:r>
          </w:p>
        </w:tc>
      </w:tr>
      <w:tr w:rsidR="00F1574D" w:rsidRPr="00D82C18" w14:paraId="15587DD6" w14:textId="77777777" w:rsidTr="00F1574D">
        <w:trPr>
          <w:trHeight w:val="1916"/>
        </w:trPr>
        <w:tc>
          <w:tcPr>
            <w:tcW w:w="1525" w:type="dxa"/>
            <w:vAlign w:val="center"/>
          </w:tcPr>
          <w:p w14:paraId="65C32028" w14:textId="07235113" w:rsidR="00F1574D" w:rsidRDefault="00F77B0E" w:rsidP="00BD7897">
            <w:pPr>
              <w:spacing w:before="120" w:after="120" w:line="280" w:lineRule="exact"/>
              <w:jc w:val="center"/>
              <w:rPr>
                <w:rFonts w:ascii="Verdana" w:hAnsi="Verdana"/>
                <w:sz w:val="18"/>
                <w:szCs w:val="18"/>
              </w:rPr>
            </w:pPr>
            <w:r>
              <w:rPr>
                <w:rFonts w:ascii="Verdana" w:hAnsi="Verdana"/>
                <w:sz w:val="18"/>
                <w:szCs w:val="18"/>
              </w:rPr>
              <w:t>4 a 15</w:t>
            </w:r>
          </w:p>
        </w:tc>
        <w:tc>
          <w:tcPr>
            <w:tcW w:w="7485" w:type="dxa"/>
            <w:gridSpan w:val="2"/>
            <w:vAlign w:val="center"/>
          </w:tcPr>
          <w:p w14:paraId="09B58FC0" w14:textId="45AEFC51" w:rsidR="00556D69" w:rsidRDefault="00FE45CA" w:rsidP="00556D69">
            <w:pPr>
              <w:pStyle w:val="Subttulo"/>
              <w:rPr>
                <w:rFonts w:ascii="Verdana" w:eastAsia="Times New Roman" w:hAnsi="Verdana"/>
              </w:rPr>
            </w:pPr>
            <w:r>
              <w:rPr>
                <w:rFonts w:ascii="Verdana" w:hAnsi="Verdana"/>
              </w:rPr>
              <w:t>Con estas diapositivas se refresca la memoria de los delegados sobre muchas organizaciones internacionales que están tratando de encontrar un enfoque adecuado al fenómeno de la ciberdelincuencia. Interpol, la Red puntos de contacto 24/7 de la UE, la Europol, Eurojust, la Red Judicial Europea sobre Ciberdelincuencia, la Red Judicial Europea, el Consejo de Europa, las Naciones Unidas, el G8, la Unión Africana y la Commonwealth son ejemplos que se presentan con material adicional detallado en las notas de cada diapositiva.</w:t>
            </w:r>
          </w:p>
        </w:tc>
      </w:tr>
      <w:tr w:rsidR="00F1574D" w:rsidRPr="00D82C18" w14:paraId="4F010995" w14:textId="77777777" w:rsidTr="006B6FDF">
        <w:trPr>
          <w:trHeight w:val="440"/>
        </w:trPr>
        <w:tc>
          <w:tcPr>
            <w:tcW w:w="1525" w:type="dxa"/>
            <w:vAlign w:val="center"/>
          </w:tcPr>
          <w:p w14:paraId="48504862" w14:textId="7411F422" w:rsidR="00556D69" w:rsidRDefault="00F77B0E" w:rsidP="00F1574D">
            <w:pPr>
              <w:spacing w:before="120" w:after="120" w:line="280" w:lineRule="exact"/>
              <w:jc w:val="center"/>
              <w:rPr>
                <w:rFonts w:ascii="Verdana" w:hAnsi="Verdana"/>
                <w:sz w:val="18"/>
                <w:szCs w:val="18"/>
              </w:rPr>
            </w:pPr>
            <w:r>
              <w:rPr>
                <w:rFonts w:ascii="Verdana" w:hAnsi="Verdana"/>
                <w:sz w:val="18"/>
                <w:szCs w:val="18"/>
              </w:rPr>
              <w:t>16 a 22</w:t>
            </w:r>
          </w:p>
        </w:tc>
        <w:tc>
          <w:tcPr>
            <w:tcW w:w="7485" w:type="dxa"/>
            <w:gridSpan w:val="2"/>
            <w:vAlign w:val="center"/>
          </w:tcPr>
          <w:p w14:paraId="4AF5B3D7" w14:textId="57B84A6B" w:rsidR="00450007" w:rsidRPr="0034224C" w:rsidRDefault="00BD7897" w:rsidP="0034224C">
            <w:pPr>
              <w:pStyle w:val="Subttulo"/>
              <w:spacing w:line="280" w:lineRule="exact"/>
              <w:rPr>
                <w:rFonts w:ascii="Verdana" w:eastAsia="Times New Roman" w:hAnsi="Verdana"/>
              </w:rPr>
            </w:pPr>
            <w:r>
              <w:rPr>
                <w:rFonts w:ascii="Verdana" w:hAnsi="Verdana"/>
              </w:rPr>
              <w:t xml:space="preserve">Con estas diapositivas se refresca la memoria de los delegados sobre las herramientas de cooperación internacional en sentido general, como los acuerdos y leyes en materia de asistencia jurídica mutua, así como los artículos sobre cooperación internacional del Convenio de Budapest y sus principios generales como ejemplos de dichas herramientas. </w:t>
            </w:r>
          </w:p>
        </w:tc>
      </w:tr>
      <w:tr w:rsidR="00F1574D" w:rsidRPr="00D82C18" w14:paraId="3C4A313A" w14:textId="77777777" w:rsidTr="00F1574D">
        <w:trPr>
          <w:trHeight w:val="890"/>
        </w:trPr>
        <w:tc>
          <w:tcPr>
            <w:tcW w:w="1525" w:type="dxa"/>
            <w:vAlign w:val="center"/>
          </w:tcPr>
          <w:p w14:paraId="00098EC4" w14:textId="5824238A" w:rsidR="00F1574D" w:rsidRPr="006B6FDF" w:rsidRDefault="006B6FDF" w:rsidP="006B6FDF">
            <w:pPr>
              <w:spacing w:before="120" w:after="120" w:line="280" w:lineRule="exact"/>
              <w:jc w:val="center"/>
              <w:rPr>
                <w:rFonts w:ascii="Verdana" w:hAnsi="Verdana"/>
                <w:sz w:val="18"/>
                <w:szCs w:val="18"/>
              </w:rPr>
            </w:pPr>
            <w:r>
              <w:rPr>
                <w:rFonts w:ascii="Verdana" w:hAnsi="Verdana"/>
                <w:sz w:val="18"/>
                <w:szCs w:val="18"/>
              </w:rPr>
              <w:t>23 a 35</w:t>
            </w:r>
          </w:p>
        </w:tc>
        <w:tc>
          <w:tcPr>
            <w:tcW w:w="7485" w:type="dxa"/>
            <w:gridSpan w:val="2"/>
            <w:vAlign w:val="center"/>
          </w:tcPr>
          <w:p w14:paraId="1D2E467E" w14:textId="77777777" w:rsidR="00AB07AA" w:rsidRDefault="003F6587" w:rsidP="006527C6">
            <w:pPr>
              <w:spacing w:after="120" w:line="280" w:lineRule="exact"/>
              <w:jc w:val="both"/>
              <w:rPr>
                <w:rFonts w:ascii="Verdana" w:hAnsi="Verdana"/>
                <w:sz w:val="18"/>
                <w:szCs w:val="18"/>
              </w:rPr>
            </w:pPr>
            <w:r>
              <w:rPr>
                <w:rFonts w:ascii="Verdana" w:hAnsi="Verdana"/>
                <w:sz w:val="18"/>
                <w:szCs w:val="18"/>
              </w:rPr>
              <w:t xml:space="preserve">En estas diapositivas se presentan algunas de las principales características definitorias de conceptos como "delito informático" y "delito en la red", junto con la clasificación de los delitos existentes basada en las disposiciones del Convenio de Budapest. </w:t>
            </w:r>
          </w:p>
          <w:p w14:paraId="0880E233" w14:textId="77777777" w:rsidR="00556D69" w:rsidRDefault="00CC2222" w:rsidP="006527C6">
            <w:pPr>
              <w:spacing w:after="120" w:line="280" w:lineRule="exact"/>
              <w:jc w:val="both"/>
              <w:rPr>
                <w:rFonts w:ascii="Verdana" w:hAnsi="Verdana"/>
                <w:sz w:val="18"/>
                <w:szCs w:val="18"/>
              </w:rPr>
            </w:pPr>
            <w:r>
              <w:rPr>
                <w:rFonts w:ascii="Verdana" w:hAnsi="Verdana"/>
                <w:sz w:val="18"/>
                <w:szCs w:val="18"/>
              </w:rPr>
              <w:t>Un experto debe explicar a los delegados que, debido al desarrollo de la tecnología, todos los delitos no se deben considerar como ciberdelitos, sino solo las formas que la ley define como tales o que dependen de las TIC para su perpetración.</w:t>
            </w:r>
          </w:p>
          <w:p w14:paraId="380B246B" w14:textId="77777777" w:rsidR="002E5092" w:rsidRDefault="002E5092" w:rsidP="002E5092">
            <w:pPr>
              <w:spacing w:after="120" w:line="280" w:lineRule="exact"/>
              <w:jc w:val="both"/>
              <w:rPr>
                <w:rFonts w:ascii="Verdana" w:hAnsi="Verdana"/>
                <w:sz w:val="18"/>
                <w:szCs w:val="18"/>
              </w:rPr>
            </w:pPr>
            <w:r>
              <w:rPr>
                <w:rFonts w:ascii="Verdana" w:hAnsi="Verdana"/>
                <w:sz w:val="18"/>
                <w:szCs w:val="18"/>
              </w:rPr>
              <w:t xml:space="preserve">En estas diapositivas se presenta una serie de desafíos significativamente más </w:t>
            </w:r>
            <w:r>
              <w:rPr>
                <w:rFonts w:ascii="Verdana" w:hAnsi="Verdana"/>
                <w:sz w:val="18"/>
                <w:szCs w:val="18"/>
              </w:rPr>
              <w:lastRenderedPageBreak/>
              <w:t>importantes en cuanto a la búsqueda, obtención, análisis y utilización de las pruebas electrónicas en el curso de los procedimientos penales. Se tratarán algunos aspectos importantes como el desafío de la rapidez, el tiempo, la atribución y el desafío de los sistemas jurídicos y las normas aplicadas.</w:t>
            </w:r>
          </w:p>
          <w:p w14:paraId="1E80EBA0" w14:textId="77777777" w:rsidR="002E5092" w:rsidRDefault="002E5092" w:rsidP="002E5092">
            <w:pPr>
              <w:spacing w:after="120" w:line="280" w:lineRule="exact"/>
              <w:jc w:val="both"/>
              <w:rPr>
                <w:rFonts w:ascii="Verdana" w:hAnsi="Verdana"/>
                <w:sz w:val="18"/>
                <w:szCs w:val="18"/>
              </w:rPr>
            </w:pPr>
            <w:r>
              <w:rPr>
                <w:rFonts w:ascii="Verdana" w:hAnsi="Verdana"/>
                <w:sz w:val="18"/>
                <w:szCs w:val="18"/>
              </w:rPr>
              <w:t>La rapidez es crucial para encontrar y obtener las pruebas electrónicas. Los distintos países tienen normas diferentes en materia de conservación y almacenamiento de las pruebas electrónicas. Algunos países cuentan con un régimen de conservación de datos, mientras que otros no. Sin embargo, cabe señalar que la obtención de pruebas electrónicas no es algo que pueda realizarse de forma indefinida. Por el contrario, debe entenderse que se debe actuar lo más rápidamente posible para asegurarlas.</w:t>
            </w:r>
          </w:p>
          <w:p w14:paraId="52DC08EE" w14:textId="77777777" w:rsidR="002E5092" w:rsidRPr="00AB07AA" w:rsidRDefault="002E5092" w:rsidP="002E5092">
            <w:pPr>
              <w:spacing w:after="120" w:line="280" w:lineRule="exact"/>
              <w:jc w:val="both"/>
              <w:rPr>
                <w:rFonts w:ascii="Verdana" w:hAnsi="Verdana"/>
                <w:sz w:val="18"/>
                <w:szCs w:val="18"/>
              </w:rPr>
            </w:pPr>
            <w:r>
              <w:rPr>
                <w:rFonts w:ascii="Verdana" w:hAnsi="Verdana"/>
                <w:sz w:val="18"/>
                <w:szCs w:val="18"/>
              </w:rPr>
              <w:t>Es posible que, en ocasiones, no se tenga en cuenta el hecho de que el tiempo constituye un elemento importante para la investigación de la ciberdelincuencia, así como la búsqueda y la obtención de pruebas electrónicas. Existen 24 zonas horarias en el mundo y la diferencia horaria máxima puede ser de hasta 12 horas. Teniendo en cuenta que un segundo puede marcar la diferencia entre uno y otro usuario de una dirección IP dinámica, es de vital importancia que se establezca correctamente la hora exacta de la comisión del delito.</w:t>
            </w:r>
          </w:p>
          <w:p w14:paraId="5E4F67F4" w14:textId="77777777" w:rsidR="002E5092" w:rsidRPr="00AB07AA" w:rsidRDefault="002E5092" w:rsidP="002E5092">
            <w:pPr>
              <w:spacing w:after="120" w:line="280" w:lineRule="exact"/>
              <w:jc w:val="both"/>
              <w:rPr>
                <w:rFonts w:ascii="Verdana" w:hAnsi="Verdana"/>
                <w:sz w:val="18"/>
                <w:szCs w:val="18"/>
              </w:rPr>
            </w:pPr>
            <w:r>
              <w:rPr>
                <w:rFonts w:ascii="Verdana" w:hAnsi="Verdana"/>
                <w:sz w:val="18"/>
                <w:szCs w:val="18"/>
              </w:rPr>
              <w:t>Las pruebas electrónicas proceden de una fuente. La fuente es un ordenador que ejecuta un programa informático que utiliza un ser humano. Debe existir una conexión entre ellos para identificar al verdadero sospechoso, que más tarde se convertirá en acusado. Lo más importante es que este proceso se lleve a cabo de acuerdo con las normas de procedimiento vigentes. De no ser así, todo el procedimiento corre el riesgo de ser anulado en una segunda o posterior instancia de apelación.</w:t>
            </w:r>
          </w:p>
          <w:p w14:paraId="09B693A1" w14:textId="02856ED5" w:rsidR="002E5092" w:rsidRPr="006527C6" w:rsidRDefault="002E5092" w:rsidP="006527C6">
            <w:pPr>
              <w:spacing w:after="120" w:line="280" w:lineRule="exact"/>
              <w:jc w:val="both"/>
              <w:rPr>
                <w:rFonts w:ascii="Verdana" w:hAnsi="Verdana"/>
                <w:sz w:val="18"/>
                <w:szCs w:val="18"/>
              </w:rPr>
            </w:pPr>
            <w:r>
              <w:rPr>
                <w:rFonts w:ascii="Verdana" w:hAnsi="Verdana"/>
                <w:sz w:val="18"/>
                <w:szCs w:val="18"/>
              </w:rPr>
              <w:t>En 2020, el mundo cuenta con 195 países y varios sistemas jurídicos diferentes. Los sistemas de justicia penal son complejos, y hoy en día pueden presentarse no solo en su formato clásico, como el derecho consuetudinario o el derecho civil, sino también en formato híbrido, combinando diferentes procedimientos de varios sistemas. En el ámbito de la cooperación internacional, este hecho se debería observar y examinar de manera adicional.</w:t>
            </w:r>
          </w:p>
        </w:tc>
      </w:tr>
      <w:tr w:rsidR="00F1574D" w:rsidRPr="00D82C18" w14:paraId="35503B3F" w14:textId="77777777" w:rsidTr="002E5092">
        <w:trPr>
          <w:trHeight w:val="620"/>
        </w:trPr>
        <w:tc>
          <w:tcPr>
            <w:tcW w:w="1525" w:type="dxa"/>
            <w:vAlign w:val="center"/>
          </w:tcPr>
          <w:p w14:paraId="5DE9D224" w14:textId="42969BB7" w:rsidR="00F1574D" w:rsidRPr="006527C6" w:rsidRDefault="00F77B0E" w:rsidP="00F77B0E">
            <w:pPr>
              <w:spacing w:before="120" w:after="120" w:line="280" w:lineRule="exact"/>
              <w:jc w:val="center"/>
              <w:rPr>
                <w:rFonts w:ascii="Verdana" w:hAnsi="Verdana"/>
                <w:sz w:val="18"/>
                <w:szCs w:val="18"/>
              </w:rPr>
            </w:pPr>
            <w:r>
              <w:rPr>
                <w:rFonts w:ascii="Verdana" w:hAnsi="Verdana"/>
                <w:sz w:val="18"/>
                <w:szCs w:val="18"/>
              </w:rPr>
              <w:lastRenderedPageBreak/>
              <w:t>36 a 41</w:t>
            </w:r>
          </w:p>
        </w:tc>
        <w:tc>
          <w:tcPr>
            <w:tcW w:w="7485" w:type="dxa"/>
            <w:gridSpan w:val="2"/>
            <w:vAlign w:val="center"/>
          </w:tcPr>
          <w:p w14:paraId="0251FCC7" w14:textId="77777777" w:rsidR="00556D69" w:rsidRPr="002E5092" w:rsidRDefault="006527C6" w:rsidP="002E5092">
            <w:pPr>
              <w:spacing w:after="120" w:line="280" w:lineRule="exact"/>
              <w:jc w:val="both"/>
              <w:rPr>
                <w:rFonts w:ascii="Verdana" w:hAnsi="Verdana"/>
                <w:sz w:val="18"/>
                <w:szCs w:val="18"/>
              </w:rPr>
            </w:pPr>
            <w:r>
              <w:rPr>
                <w:rFonts w:ascii="Verdana" w:hAnsi="Verdana"/>
                <w:sz w:val="18"/>
                <w:szCs w:val="18"/>
              </w:rPr>
              <w:t>Estas diapositivas cubren los aspectos de la cooperación en sus modalidades oficial, cuasi oficial, no oficial y del sector privado.</w:t>
            </w:r>
          </w:p>
          <w:p w14:paraId="3C5E1431" w14:textId="49769AB3" w:rsidR="00AB07AA" w:rsidRPr="00AB07AA" w:rsidRDefault="00AB07AA" w:rsidP="002E5092">
            <w:pPr>
              <w:spacing w:after="120" w:line="280" w:lineRule="exact"/>
              <w:jc w:val="both"/>
              <w:rPr>
                <w:rFonts w:ascii="Verdana" w:hAnsi="Verdana"/>
                <w:sz w:val="18"/>
                <w:szCs w:val="18"/>
              </w:rPr>
            </w:pPr>
            <w:r>
              <w:rPr>
                <w:rFonts w:ascii="Verdana" w:hAnsi="Verdana"/>
                <w:sz w:val="18"/>
                <w:szCs w:val="18"/>
              </w:rPr>
              <w:t xml:space="preserve">La cooperación oficial es la forma más presente de la cooperación internacional. Tiene sus aspectos positivos y negativos. Sin embargo, hoy en día parece que los aspectos negativos superan a los positivos y que constituyen más un problema que una solución. </w:t>
            </w:r>
          </w:p>
          <w:p w14:paraId="38FDF3C2" w14:textId="6619A30F" w:rsidR="00AB07AA" w:rsidRPr="002E5092" w:rsidRDefault="00AB07AA" w:rsidP="002E5092">
            <w:pPr>
              <w:spacing w:after="120" w:line="280" w:lineRule="exact"/>
              <w:jc w:val="both"/>
              <w:rPr>
                <w:rFonts w:ascii="Verdana" w:hAnsi="Verdana"/>
                <w:sz w:val="18"/>
                <w:szCs w:val="18"/>
              </w:rPr>
            </w:pPr>
            <w:r>
              <w:rPr>
                <w:rFonts w:ascii="Verdana" w:hAnsi="Verdana"/>
                <w:sz w:val="18"/>
                <w:szCs w:val="18"/>
              </w:rPr>
              <w:t>La cooperación cuasi oficial es bastante popular entre las autoridades con funciones coercitivas y la fiscalía, ya que utiliza canales de comunicación establecidos formalmente, pero sin la necesidad de que se deban obtener diferentes aprobaciones u órdenes por parte de diferentes autoridades competentes directas o conexas. Sin embargo, la cuestión de la admisibilidad de las pruebas puede ser un problema más adelante en los procedimientos.</w:t>
            </w:r>
          </w:p>
          <w:p w14:paraId="636251E7" w14:textId="00917515" w:rsidR="00AB07AA" w:rsidRPr="00AB07AA" w:rsidRDefault="00AB07AA" w:rsidP="002E5092">
            <w:pPr>
              <w:spacing w:after="120" w:line="280" w:lineRule="exact"/>
              <w:jc w:val="both"/>
              <w:rPr>
                <w:rFonts w:ascii="Verdana" w:hAnsi="Verdana"/>
                <w:sz w:val="18"/>
                <w:szCs w:val="18"/>
              </w:rPr>
            </w:pPr>
            <w:r>
              <w:rPr>
                <w:rFonts w:ascii="Verdana" w:hAnsi="Verdana"/>
                <w:sz w:val="18"/>
                <w:szCs w:val="18"/>
              </w:rPr>
              <w:t>La cooperación no oficial suele representar el inicio de todas las investigaciones en materia de ciberdelincuencia, tanto a nivel nacional como internacional. Sin embargo, plantea numerosos aspectos negativos que deben ser abordados.</w:t>
            </w:r>
          </w:p>
          <w:p w14:paraId="6AB472D0" w14:textId="3617C894" w:rsidR="00AB07AA" w:rsidRPr="002E5092" w:rsidRDefault="00AB07AA" w:rsidP="002E5092">
            <w:pPr>
              <w:spacing w:after="120" w:line="280" w:lineRule="exact"/>
              <w:jc w:val="both"/>
              <w:rPr>
                <w:rFonts w:ascii="Verdana" w:hAnsi="Verdana"/>
                <w:sz w:val="18"/>
                <w:szCs w:val="18"/>
              </w:rPr>
            </w:pPr>
            <w:r>
              <w:rPr>
                <w:rFonts w:ascii="Verdana" w:hAnsi="Verdana"/>
                <w:sz w:val="18"/>
                <w:szCs w:val="18"/>
              </w:rPr>
              <w:t xml:space="preserve">La cooperación público-privada en materia de ciberdelincuencia en lo que respecta a los aspectos internacionales del delito es un componente </w:t>
            </w:r>
            <w:r>
              <w:rPr>
                <w:rFonts w:ascii="Verdana" w:hAnsi="Verdana"/>
                <w:sz w:val="18"/>
                <w:szCs w:val="18"/>
              </w:rPr>
              <w:lastRenderedPageBreak/>
              <w:t xml:space="preserve">extremadamente importante de la investigación y de la fase principal del juicio. Los proveedores del sector privado de los servicios relacionados con las tecnologías de la información y la comunicación (TIC) son los principales poseedores de la información más útil para los investigadores de delitos, fiscales y jueces. </w:t>
            </w:r>
          </w:p>
          <w:p w14:paraId="6E2FA816" w14:textId="12D2A52F" w:rsidR="00AB07AA" w:rsidRPr="002E5092" w:rsidRDefault="00AB07AA" w:rsidP="002E5092">
            <w:pPr>
              <w:spacing w:after="120" w:line="280" w:lineRule="exact"/>
              <w:jc w:val="both"/>
              <w:rPr>
                <w:rFonts w:ascii="Verdana" w:hAnsi="Verdana"/>
                <w:sz w:val="18"/>
                <w:szCs w:val="18"/>
              </w:rPr>
            </w:pPr>
            <w:r>
              <w:rPr>
                <w:rFonts w:ascii="Verdana" w:hAnsi="Verdana"/>
                <w:sz w:val="18"/>
                <w:szCs w:val="18"/>
              </w:rPr>
              <w:t>La cooperación con ellos para encontrar la manera de agilizar la cooperación y hacerla más precisa y útil es de suma importancia si lo que desea es lograr rapidez en la detección y obtención de pruebas. Por lo tanto, dentro de los límites legales, se deben explorar y establecer todas las formas de dicha cooperación, no solo sobre la base de medidas y órdenes coercitivas, sino sobre los acuerdos voluntarios y formas similares de cooperación</w:t>
            </w:r>
          </w:p>
        </w:tc>
      </w:tr>
      <w:tr w:rsidR="00F1574D" w:rsidRPr="00D82C18" w14:paraId="0A65AD6F" w14:textId="77777777" w:rsidTr="00F1574D">
        <w:trPr>
          <w:trHeight w:val="1313"/>
        </w:trPr>
        <w:tc>
          <w:tcPr>
            <w:tcW w:w="1525" w:type="dxa"/>
            <w:vAlign w:val="center"/>
          </w:tcPr>
          <w:p w14:paraId="55312634" w14:textId="3642E666" w:rsidR="00F1574D" w:rsidRPr="006527C6" w:rsidRDefault="00F77B0E" w:rsidP="0071148F">
            <w:pPr>
              <w:spacing w:before="120" w:after="120" w:line="280" w:lineRule="exact"/>
              <w:jc w:val="center"/>
              <w:rPr>
                <w:rFonts w:ascii="Verdana" w:hAnsi="Verdana"/>
                <w:sz w:val="18"/>
                <w:szCs w:val="18"/>
              </w:rPr>
            </w:pPr>
            <w:r>
              <w:rPr>
                <w:rFonts w:ascii="Verdana" w:hAnsi="Verdana"/>
                <w:sz w:val="18"/>
                <w:szCs w:val="18"/>
              </w:rPr>
              <w:lastRenderedPageBreak/>
              <w:t>42 a 44</w:t>
            </w:r>
          </w:p>
        </w:tc>
        <w:tc>
          <w:tcPr>
            <w:tcW w:w="7485" w:type="dxa"/>
            <w:gridSpan w:val="2"/>
            <w:vAlign w:val="center"/>
          </w:tcPr>
          <w:p w14:paraId="59937E6B" w14:textId="07405121" w:rsidR="006527C6" w:rsidRDefault="007678A6" w:rsidP="006527C6">
            <w:pPr>
              <w:spacing w:after="120" w:line="280" w:lineRule="exact"/>
              <w:jc w:val="both"/>
              <w:rPr>
                <w:rFonts w:ascii="Verdana" w:hAnsi="Verdana"/>
                <w:sz w:val="18"/>
                <w:szCs w:val="18"/>
              </w:rPr>
            </w:pPr>
            <w:r>
              <w:rPr>
                <w:rFonts w:ascii="Verdana" w:hAnsi="Verdana"/>
                <w:sz w:val="18"/>
                <w:szCs w:val="18"/>
              </w:rPr>
              <w:t>Las últimas diapositivas permiten al formador revisar los objetivos de aprendizaje con la audiencia para que esta pueda estar segura de haberlos alcanzado. También constituye una oportunidad para que los delegados planteen cualquier cuestión que pueda quedar pendiente o cualquier tema que no hayan comprendido del todo.  Además, el formador puede aprovechar la sesión para comprobar los conocimientos aprendidos haciendo preguntas a los participantes.  Esto es importante porque no se realiza ninguna evaluación formal del curso.</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CB3026">
            <w:pPr>
              <w:spacing w:before="120" w:after="120" w:line="280" w:lineRule="exact"/>
              <w:rPr>
                <w:rFonts w:ascii="Verdana" w:hAnsi="Verdana"/>
                <w:b/>
                <w:sz w:val="22"/>
                <w:szCs w:val="22"/>
              </w:rPr>
            </w:pPr>
            <w:r>
              <w:rPr>
                <w:rFonts w:ascii="Verdana" w:hAnsi="Verdana"/>
                <w:b/>
                <w:sz w:val="22"/>
                <w:szCs w:val="22"/>
              </w:rPr>
              <w:t>Ejercicios prácticos</w:t>
            </w:r>
          </w:p>
          <w:p w14:paraId="04D65D89" w14:textId="0EFF7125" w:rsidR="00CB3026" w:rsidRPr="00CB3026" w:rsidRDefault="00CB3026" w:rsidP="00B3608C">
            <w:pPr>
              <w:spacing w:before="120" w:after="120" w:line="280" w:lineRule="exact"/>
              <w:rPr>
                <w:rFonts w:ascii="Verdana" w:hAnsi="Verdana"/>
                <w:sz w:val="18"/>
                <w:szCs w:val="18"/>
              </w:rPr>
            </w:pPr>
            <w:r>
              <w:rPr>
                <w:rFonts w:ascii="Verdana" w:hAnsi="Verdana"/>
                <w:color w:val="000000" w:themeColor="text1"/>
                <w:sz w:val="18"/>
                <w:szCs w:val="18"/>
              </w:rPr>
              <w:t>En esta lección no se contempla la realización de ejercicios prácticos.</w:t>
            </w:r>
          </w:p>
        </w:tc>
      </w:tr>
      <w:tr w:rsidR="00CB3026" w:rsidRPr="00D82C18" w14:paraId="603967A2" w14:textId="77777777" w:rsidTr="00F1574D">
        <w:tc>
          <w:tcPr>
            <w:tcW w:w="9010" w:type="dxa"/>
            <w:gridSpan w:val="3"/>
            <w:vAlign w:val="center"/>
          </w:tcPr>
          <w:p w14:paraId="57B48D1E" w14:textId="77777777" w:rsidR="00CB3026" w:rsidRDefault="00CB3026" w:rsidP="00CB3026">
            <w:pPr>
              <w:spacing w:before="120" w:after="120" w:line="280" w:lineRule="exact"/>
              <w:rPr>
                <w:rFonts w:ascii="Verdana" w:hAnsi="Verdana"/>
                <w:b/>
                <w:sz w:val="22"/>
                <w:szCs w:val="22"/>
              </w:rPr>
            </w:pPr>
            <w:r>
              <w:rPr>
                <w:rFonts w:ascii="Verdana" w:hAnsi="Verdana"/>
                <w:b/>
                <w:sz w:val="22"/>
                <w:szCs w:val="22"/>
              </w:rPr>
              <w:t>Evaluación/comprobación de conocimientos</w:t>
            </w:r>
          </w:p>
          <w:p w14:paraId="4496975B" w14:textId="1B3740FD" w:rsidR="00CB3026" w:rsidRPr="00CB3026" w:rsidRDefault="00CB3026" w:rsidP="00B3608C">
            <w:pPr>
              <w:spacing w:before="120" w:after="120" w:line="280" w:lineRule="exact"/>
              <w:rPr>
                <w:rFonts w:ascii="Verdana" w:hAnsi="Verdana"/>
                <w:sz w:val="18"/>
                <w:szCs w:val="18"/>
              </w:rPr>
            </w:pPr>
            <w:r>
              <w:rPr>
                <w:rFonts w:ascii="Verdana" w:hAnsi="Verdana"/>
                <w:color w:val="000000" w:themeColor="text1"/>
                <w:sz w:val="18"/>
                <w:szCs w:val="18"/>
              </w:rPr>
              <w:t>No se ha solicitado que se comprueben o evalúen los conocimientos impartidos en esta sesión.</w:t>
            </w:r>
          </w:p>
        </w:tc>
      </w:tr>
    </w:tbl>
    <w:p w14:paraId="15498912"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147F75E0"/>
    <w:multiLevelType w:val="hybridMultilevel"/>
    <w:tmpl w:val="BA6E84EA"/>
    <w:lvl w:ilvl="0" w:tplc="676AC70A">
      <w:start w:val="1"/>
      <w:numFmt w:val="bullet"/>
      <w:lvlText w:val=""/>
      <w:lvlJc w:val="left"/>
      <w:pPr>
        <w:tabs>
          <w:tab w:val="num" w:pos="720"/>
        </w:tabs>
        <w:ind w:left="720" w:hanging="360"/>
      </w:pPr>
      <w:rPr>
        <w:rFonts w:ascii="Wingdings" w:hAnsi="Wingdings" w:hint="default"/>
      </w:rPr>
    </w:lvl>
    <w:lvl w:ilvl="1" w:tplc="686A1774" w:tentative="1">
      <w:start w:val="1"/>
      <w:numFmt w:val="bullet"/>
      <w:lvlText w:val=""/>
      <w:lvlJc w:val="left"/>
      <w:pPr>
        <w:tabs>
          <w:tab w:val="num" w:pos="1440"/>
        </w:tabs>
        <w:ind w:left="1440" w:hanging="360"/>
      </w:pPr>
      <w:rPr>
        <w:rFonts w:ascii="Wingdings" w:hAnsi="Wingdings" w:hint="default"/>
      </w:rPr>
    </w:lvl>
    <w:lvl w:ilvl="2" w:tplc="322AF504" w:tentative="1">
      <w:start w:val="1"/>
      <w:numFmt w:val="bullet"/>
      <w:lvlText w:val=""/>
      <w:lvlJc w:val="left"/>
      <w:pPr>
        <w:tabs>
          <w:tab w:val="num" w:pos="2160"/>
        </w:tabs>
        <w:ind w:left="2160" w:hanging="360"/>
      </w:pPr>
      <w:rPr>
        <w:rFonts w:ascii="Wingdings" w:hAnsi="Wingdings" w:hint="default"/>
      </w:rPr>
    </w:lvl>
    <w:lvl w:ilvl="3" w:tplc="50402E64" w:tentative="1">
      <w:start w:val="1"/>
      <w:numFmt w:val="bullet"/>
      <w:lvlText w:val=""/>
      <w:lvlJc w:val="left"/>
      <w:pPr>
        <w:tabs>
          <w:tab w:val="num" w:pos="2880"/>
        </w:tabs>
        <w:ind w:left="2880" w:hanging="360"/>
      </w:pPr>
      <w:rPr>
        <w:rFonts w:ascii="Wingdings" w:hAnsi="Wingdings" w:hint="default"/>
      </w:rPr>
    </w:lvl>
    <w:lvl w:ilvl="4" w:tplc="36D4C720" w:tentative="1">
      <w:start w:val="1"/>
      <w:numFmt w:val="bullet"/>
      <w:lvlText w:val=""/>
      <w:lvlJc w:val="left"/>
      <w:pPr>
        <w:tabs>
          <w:tab w:val="num" w:pos="3600"/>
        </w:tabs>
        <w:ind w:left="3600" w:hanging="360"/>
      </w:pPr>
      <w:rPr>
        <w:rFonts w:ascii="Wingdings" w:hAnsi="Wingdings" w:hint="default"/>
      </w:rPr>
    </w:lvl>
    <w:lvl w:ilvl="5" w:tplc="B38211A6" w:tentative="1">
      <w:start w:val="1"/>
      <w:numFmt w:val="bullet"/>
      <w:lvlText w:val=""/>
      <w:lvlJc w:val="left"/>
      <w:pPr>
        <w:tabs>
          <w:tab w:val="num" w:pos="4320"/>
        </w:tabs>
        <w:ind w:left="4320" w:hanging="360"/>
      </w:pPr>
      <w:rPr>
        <w:rFonts w:ascii="Wingdings" w:hAnsi="Wingdings" w:hint="default"/>
      </w:rPr>
    </w:lvl>
    <w:lvl w:ilvl="6" w:tplc="593494BE" w:tentative="1">
      <w:start w:val="1"/>
      <w:numFmt w:val="bullet"/>
      <w:lvlText w:val=""/>
      <w:lvlJc w:val="left"/>
      <w:pPr>
        <w:tabs>
          <w:tab w:val="num" w:pos="5040"/>
        </w:tabs>
        <w:ind w:left="5040" w:hanging="360"/>
      </w:pPr>
      <w:rPr>
        <w:rFonts w:ascii="Wingdings" w:hAnsi="Wingdings" w:hint="default"/>
      </w:rPr>
    </w:lvl>
    <w:lvl w:ilvl="7" w:tplc="D6CCCD44" w:tentative="1">
      <w:start w:val="1"/>
      <w:numFmt w:val="bullet"/>
      <w:lvlText w:val=""/>
      <w:lvlJc w:val="left"/>
      <w:pPr>
        <w:tabs>
          <w:tab w:val="num" w:pos="5760"/>
        </w:tabs>
        <w:ind w:left="5760" w:hanging="360"/>
      </w:pPr>
      <w:rPr>
        <w:rFonts w:ascii="Wingdings" w:hAnsi="Wingdings" w:hint="default"/>
      </w:rPr>
    </w:lvl>
    <w:lvl w:ilvl="8" w:tplc="375ABE6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A0E10C7"/>
    <w:multiLevelType w:val="hybridMultilevel"/>
    <w:tmpl w:val="AADA1F4A"/>
    <w:lvl w:ilvl="0" w:tplc="BB206376">
      <w:start w:val="1"/>
      <w:numFmt w:val="bullet"/>
      <w:lvlText w:val=""/>
      <w:lvlJc w:val="left"/>
      <w:pPr>
        <w:tabs>
          <w:tab w:val="num" w:pos="720"/>
        </w:tabs>
        <w:ind w:left="720" w:hanging="360"/>
      </w:pPr>
      <w:rPr>
        <w:rFonts w:ascii="Wingdings" w:hAnsi="Wingdings" w:hint="default"/>
      </w:rPr>
    </w:lvl>
    <w:lvl w:ilvl="1" w:tplc="426E0954" w:tentative="1">
      <w:start w:val="1"/>
      <w:numFmt w:val="bullet"/>
      <w:lvlText w:val=""/>
      <w:lvlJc w:val="left"/>
      <w:pPr>
        <w:tabs>
          <w:tab w:val="num" w:pos="1440"/>
        </w:tabs>
        <w:ind w:left="1440" w:hanging="360"/>
      </w:pPr>
      <w:rPr>
        <w:rFonts w:ascii="Wingdings" w:hAnsi="Wingdings" w:hint="default"/>
      </w:rPr>
    </w:lvl>
    <w:lvl w:ilvl="2" w:tplc="183CF7EE" w:tentative="1">
      <w:start w:val="1"/>
      <w:numFmt w:val="bullet"/>
      <w:lvlText w:val=""/>
      <w:lvlJc w:val="left"/>
      <w:pPr>
        <w:tabs>
          <w:tab w:val="num" w:pos="2160"/>
        </w:tabs>
        <w:ind w:left="2160" w:hanging="360"/>
      </w:pPr>
      <w:rPr>
        <w:rFonts w:ascii="Wingdings" w:hAnsi="Wingdings" w:hint="default"/>
      </w:rPr>
    </w:lvl>
    <w:lvl w:ilvl="3" w:tplc="F5A0C534" w:tentative="1">
      <w:start w:val="1"/>
      <w:numFmt w:val="bullet"/>
      <w:lvlText w:val=""/>
      <w:lvlJc w:val="left"/>
      <w:pPr>
        <w:tabs>
          <w:tab w:val="num" w:pos="2880"/>
        </w:tabs>
        <w:ind w:left="2880" w:hanging="360"/>
      </w:pPr>
      <w:rPr>
        <w:rFonts w:ascii="Wingdings" w:hAnsi="Wingdings" w:hint="default"/>
      </w:rPr>
    </w:lvl>
    <w:lvl w:ilvl="4" w:tplc="05DAF99A" w:tentative="1">
      <w:start w:val="1"/>
      <w:numFmt w:val="bullet"/>
      <w:lvlText w:val=""/>
      <w:lvlJc w:val="left"/>
      <w:pPr>
        <w:tabs>
          <w:tab w:val="num" w:pos="3600"/>
        </w:tabs>
        <w:ind w:left="3600" w:hanging="360"/>
      </w:pPr>
      <w:rPr>
        <w:rFonts w:ascii="Wingdings" w:hAnsi="Wingdings" w:hint="default"/>
      </w:rPr>
    </w:lvl>
    <w:lvl w:ilvl="5" w:tplc="0BA070E2" w:tentative="1">
      <w:start w:val="1"/>
      <w:numFmt w:val="bullet"/>
      <w:lvlText w:val=""/>
      <w:lvlJc w:val="left"/>
      <w:pPr>
        <w:tabs>
          <w:tab w:val="num" w:pos="4320"/>
        </w:tabs>
        <w:ind w:left="4320" w:hanging="360"/>
      </w:pPr>
      <w:rPr>
        <w:rFonts w:ascii="Wingdings" w:hAnsi="Wingdings" w:hint="default"/>
      </w:rPr>
    </w:lvl>
    <w:lvl w:ilvl="6" w:tplc="259AED74" w:tentative="1">
      <w:start w:val="1"/>
      <w:numFmt w:val="bullet"/>
      <w:lvlText w:val=""/>
      <w:lvlJc w:val="left"/>
      <w:pPr>
        <w:tabs>
          <w:tab w:val="num" w:pos="5040"/>
        </w:tabs>
        <w:ind w:left="5040" w:hanging="360"/>
      </w:pPr>
      <w:rPr>
        <w:rFonts w:ascii="Wingdings" w:hAnsi="Wingdings" w:hint="default"/>
      </w:rPr>
    </w:lvl>
    <w:lvl w:ilvl="7" w:tplc="2D8A85B8" w:tentative="1">
      <w:start w:val="1"/>
      <w:numFmt w:val="bullet"/>
      <w:lvlText w:val=""/>
      <w:lvlJc w:val="left"/>
      <w:pPr>
        <w:tabs>
          <w:tab w:val="num" w:pos="5760"/>
        </w:tabs>
        <w:ind w:left="5760" w:hanging="360"/>
      </w:pPr>
      <w:rPr>
        <w:rFonts w:ascii="Wingdings" w:hAnsi="Wingdings" w:hint="default"/>
      </w:rPr>
    </w:lvl>
    <w:lvl w:ilvl="8" w:tplc="7B8290EE"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C910DB"/>
    <w:multiLevelType w:val="hybridMultilevel"/>
    <w:tmpl w:val="0F2A1A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5"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6" w15:restartNumberingAfterBreak="0">
    <w:nsid w:val="3F32221A"/>
    <w:multiLevelType w:val="hybridMultilevel"/>
    <w:tmpl w:val="F9F82C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BFD4895"/>
    <w:multiLevelType w:val="hybridMultilevel"/>
    <w:tmpl w:val="8F706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8722377"/>
    <w:multiLevelType w:val="hybridMultilevel"/>
    <w:tmpl w:val="85B03316"/>
    <w:lvl w:ilvl="0" w:tplc="44DE594E">
      <w:start w:val="1"/>
      <w:numFmt w:val="bullet"/>
      <w:lvlText w:val=""/>
      <w:lvlJc w:val="left"/>
      <w:pPr>
        <w:tabs>
          <w:tab w:val="num" w:pos="720"/>
        </w:tabs>
        <w:ind w:left="720" w:hanging="360"/>
      </w:pPr>
      <w:rPr>
        <w:rFonts w:ascii="Wingdings" w:hAnsi="Wingdings" w:hint="default"/>
      </w:rPr>
    </w:lvl>
    <w:lvl w:ilvl="1" w:tplc="A058BD68" w:tentative="1">
      <w:start w:val="1"/>
      <w:numFmt w:val="bullet"/>
      <w:lvlText w:val=""/>
      <w:lvlJc w:val="left"/>
      <w:pPr>
        <w:tabs>
          <w:tab w:val="num" w:pos="1440"/>
        </w:tabs>
        <w:ind w:left="1440" w:hanging="360"/>
      </w:pPr>
      <w:rPr>
        <w:rFonts w:ascii="Wingdings" w:hAnsi="Wingdings" w:hint="default"/>
      </w:rPr>
    </w:lvl>
    <w:lvl w:ilvl="2" w:tplc="E13C69C4" w:tentative="1">
      <w:start w:val="1"/>
      <w:numFmt w:val="bullet"/>
      <w:lvlText w:val=""/>
      <w:lvlJc w:val="left"/>
      <w:pPr>
        <w:tabs>
          <w:tab w:val="num" w:pos="2160"/>
        </w:tabs>
        <w:ind w:left="2160" w:hanging="360"/>
      </w:pPr>
      <w:rPr>
        <w:rFonts w:ascii="Wingdings" w:hAnsi="Wingdings" w:hint="default"/>
      </w:rPr>
    </w:lvl>
    <w:lvl w:ilvl="3" w:tplc="F8CEAFFC" w:tentative="1">
      <w:start w:val="1"/>
      <w:numFmt w:val="bullet"/>
      <w:lvlText w:val=""/>
      <w:lvlJc w:val="left"/>
      <w:pPr>
        <w:tabs>
          <w:tab w:val="num" w:pos="2880"/>
        </w:tabs>
        <w:ind w:left="2880" w:hanging="360"/>
      </w:pPr>
      <w:rPr>
        <w:rFonts w:ascii="Wingdings" w:hAnsi="Wingdings" w:hint="default"/>
      </w:rPr>
    </w:lvl>
    <w:lvl w:ilvl="4" w:tplc="E8E09AF6" w:tentative="1">
      <w:start w:val="1"/>
      <w:numFmt w:val="bullet"/>
      <w:lvlText w:val=""/>
      <w:lvlJc w:val="left"/>
      <w:pPr>
        <w:tabs>
          <w:tab w:val="num" w:pos="3600"/>
        </w:tabs>
        <w:ind w:left="3600" w:hanging="360"/>
      </w:pPr>
      <w:rPr>
        <w:rFonts w:ascii="Wingdings" w:hAnsi="Wingdings" w:hint="default"/>
      </w:rPr>
    </w:lvl>
    <w:lvl w:ilvl="5" w:tplc="59E2895A" w:tentative="1">
      <w:start w:val="1"/>
      <w:numFmt w:val="bullet"/>
      <w:lvlText w:val=""/>
      <w:lvlJc w:val="left"/>
      <w:pPr>
        <w:tabs>
          <w:tab w:val="num" w:pos="4320"/>
        </w:tabs>
        <w:ind w:left="4320" w:hanging="360"/>
      </w:pPr>
      <w:rPr>
        <w:rFonts w:ascii="Wingdings" w:hAnsi="Wingdings" w:hint="default"/>
      </w:rPr>
    </w:lvl>
    <w:lvl w:ilvl="6" w:tplc="C54A52E2" w:tentative="1">
      <w:start w:val="1"/>
      <w:numFmt w:val="bullet"/>
      <w:lvlText w:val=""/>
      <w:lvlJc w:val="left"/>
      <w:pPr>
        <w:tabs>
          <w:tab w:val="num" w:pos="5040"/>
        </w:tabs>
        <w:ind w:left="5040" w:hanging="360"/>
      </w:pPr>
      <w:rPr>
        <w:rFonts w:ascii="Wingdings" w:hAnsi="Wingdings" w:hint="default"/>
      </w:rPr>
    </w:lvl>
    <w:lvl w:ilvl="7" w:tplc="317CC210" w:tentative="1">
      <w:start w:val="1"/>
      <w:numFmt w:val="bullet"/>
      <w:lvlText w:val=""/>
      <w:lvlJc w:val="left"/>
      <w:pPr>
        <w:tabs>
          <w:tab w:val="num" w:pos="5760"/>
        </w:tabs>
        <w:ind w:left="5760" w:hanging="360"/>
      </w:pPr>
      <w:rPr>
        <w:rFonts w:ascii="Wingdings" w:hAnsi="Wingdings" w:hint="default"/>
      </w:rPr>
    </w:lvl>
    <w:lvl w:ilvl="8" w:tplc="8D94C97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AD53E50"/>
    <w:multiLevelType w:val="multilevel"/>
    <w:tmpl w:val="99E2FBE6"/>
    <w:lvl w:ilvl="0">
      <w:start w:val="1"/>
      <w:numFmt w:val="decimal"/>
      <w:pStyle w:val="Ttulo1"/>
      <w:lvlText w:val="%1"/>
      <w:lvlJc w:val="left"/>
      <w:pPr>
        <w:ind w:left="432" w:hanging="432"/>
      </w:pPr>
    </w:lvl>
    <w:lvl w:ilvl="1">
      <w:start w:val="1"/>
      <w:numFmt w:val="decimal"/>
      <w:pStyle w:val="Ttulo2"/>
      <w:lvlText w:val="%1.%2"/>
      <w:lvlJc w:val="left"/>
      <w:pPr>
        <w:ind w:left="576" w:hanging="576"/>
      </w:pPr>
      <w:rPr>
        <w:rFonts w:ascii="Verdana" w:hAnsi="Verdan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5"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9"/>
  </w:num>
  <w:num w:numId="4">
    <w:abstractNumId w:val="7"/>
  </w:num>
  <w:num w:numId="5">
    <w:abstractNumId w:val="8"/>
  </w:num>
  <w:num w:numId="6">
    <w:abstractNumId w:val="15"/>
  </w:num>
  <w:num w:numId="7">
    <w:abstractNumId w:val="3"/>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4"/>
  </w:num>
  <w:num w:numId="10">
    <w:abstractNumId w:val="1"/>
  </w:num>
  <w:num w:numId="11">
    <w:abstractNumId w:val="10"/>
  </w:num>
  <w:num w:numId="12">
    <w:abstractNumId w:val="13"/>
  </w:num>
  <w:num w:numId="13">
    <w:abstractNumId w:val="2"/>
  </w:num>
  <w:num w:numId="14">
    <w:abstractNumId w:val="4"/>
  </w:num>
  <w:num w:numId="15">
    <w:abstractNumId w:val="12"/>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006BD9"/>
    <w:rsid w:val="00006EAD"/>
    <w:rsid w:val="000741C2"/>
    <w:rsid w:val="000C40EE"/>
    <w:rsid w:val="000F7896"/>
    <w:rsid w:val="001D603D"/>
    <w:rsid w:val="00211962"/>
    <w:rsid w:val="00271010"/>
    <w:rsid w:val="002E3ECE"/>
    <w:rsid w:val="002E5092"/>
    <w:rsid w:val="002F3B54"/>
    <w:rsid w:val="0034224C"/>
    <w:rsid w:val="00342639"/>
    <w:rsid w:val="003453F7"/>
    <w:rsid w:val="003630ED"/>
    <w:rsid w:val="003A435F"/>
    <w:rsid w:val="003E548E"/>
    <w:rsid w:val="003F6587"/>
    <w:rsid w:val="00450007"/>
    <w:rsid w:val="00457DD3"/>
    <w:rsid w:val="004B7351"/>
    <w:rsid w:val="004D35F1"/>
    <w:rsid w:val="00556D69"/>
    <w:rsid w:val="005703B7"/>
    <w:rsid w:val="005A4E47"/>
    <w:rsid w:val="005D4432"/>
    <w:rsid w:val="006527C6"/>
    <w:rsid w:val="006B6FDF"/>
    <w:rsid w:val="0071148F"/>
    <w:rsid w:val="0075334E"/>
    <w:rsid w:val="007678A6"/>
    <w:rsid w:val="00773F6C"/>
    <w:rsid w:val="0080315D"/>
    <w:rsid w:val="00844FBF"/>
    <w:rsid w:val="008817F1"/>
    <w:rsid w:val="008A4C93"/>
    <w:rsid w:val="008E3FE7"/>
    <w:rsid w:val="00951791"/>
    <w:rsid w:val="009D1DB1"/>
    <w:rsid w:val="009F336B"/>
    <w:rsid w:val="00A03CF0"/>
    <w:rsid w:val="00A342ED"/>
    <w:rsid w:val="00A4110D"/>
    <w:rsid w:val="00A734A5"/>
    <w:rsid w:val="00A76996"/>
    <w:rsid w:val="00AA5742"/>
    <w:rsid w:val="00AB07AA"/>
    <w:rsid w:val="00AC3C5A"/>
    <w:rsid w:val="00B3608C"/>
    <w:rsid w:val="00BB0C1B"/>
    <w:rsid w:val="00BD7897"/>
    <w:rsid w:val="00C115FC"/>
    <w:rsid w:val="00C541A2"/>
    <w:rsid w:val="00CB02C4"/>
    <w:rsid w:val="00CB3026"/>
    <w:rsid w:val="00CC1F79"/>
    <w:rsid w:val="00CC2222"/>
    <w:rsid w:val="00D82C18"/>
    <w:rsid w:val="00E0790C"/>
    <w:rsid w:val="00E13BE7"/>
    <w:rsid w:val="00E7344B"/>
    <w:rsid w:val="00E95703"/>
    <w:rsid w:val="00F1574D"/>
    <w:rsid w:val="00F504D6"/>
    <w:rsid w:val="00F62A15"/>
    <w:rsid w:val="00F77B0E"/>
    <w:rsid w:val="00F955B5"/>
    <w:rsid w:val="00FB6DE5"/>
    <w:rsid w:val="00FE45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3B29B350-01AC-49EB-9C94-549F8938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next w:val="Normal"/>
    <w:link w:val="Ttulo1C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Ttulo2">
    <w:name w:val="heading 2"/>
    <w:basedOn w:val="Normal"/>
    <w:next w:val="Normal"/>
    <w:link w:val="Ttulo2C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Ttulo3">
    <w:name w:val="heading 3"/>
    <w:basedOn w:val="Normal"/>
    <w:next w:val="Normal"/>
    <w:link w:val="Ttulo3C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Ttulo4">
    <w:name w:val="heading 4"/>
    <w:basedOn w:val="Normal"/>
    <w:next w:val="Normal"/>
    <w:link w:val="Ttulo4C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Ttulo5">
    <w:name w:val="heading 5"/>
    <w:basedOn w:val="Normal"/>
    <w:next w:val="Normal"/>
    <w:link w:val="Ttulo5C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Ttulo6">
    <w:name w:val="heading 6"/>
    <w:basedOn w:val="Normal"/>
    <w:next w:val="Normal"/>
    <w:link w:val="Ttulo6C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Ttulo7">
    <w:name w:val="heading 7"/>
    <w:basedOn w:val="Normal"/>
    <w:next w:val="Normal"/>
    <w:link w:val="Ttulo7C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Ttulo8">
    <w:name w:val="heading 8"/>
    <w:basedOn w:val="Normal"/>
    <w:next w:val="Normal"/>
    <w:link w:val="Ttulo8C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val="es-ES" w:eastAsia="de-DE"/>
    </w:rPr>
  </w:style>
  <w:style w:type="character" w:styleId="Hipervnculo">
    <w:name w:val="Hyperlink"/>
    <w:basedOn w:val="Fuentedeprrafopredeter"/>
    <w:uiPriority w:val="99"/>
    <w:unhideWhenUsed/>
    <w:rsid w:val="005703B7"/>
    <w:rPr>
      <w:color w:val="0563C1" w:themeColor="hyperlink"/>
      <w:u w:val="single"/>
    </w:rPr>
  </w:style>
  <w:style w:type="paragraph" w:styleId="Subttulo">
    <w:name w:val="Subtitle"/>
    <w:basedOn w:val="Normal"/>
    <w:next w:val="Normal"/>
    <w:link w:val="SubttuloC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tuloCar">
    <w:name w:val="Subtítulo Car"/>
    <w:basedOn w:val="Fuentedeprrafopredeter"/>
    <w:link w:val="Subttulo"/>
    <w:uiPriority w:val="11"/>
    <w:rsid w:val="00CB3026"/>
    <w:rPr>
      <w:rFonts w:ascii="Verdana Bold" w:eastAsiaTheme="majorEastAsia" w:hAnsi="Verdana Bold" w:cstheme="majorBidi"/>
      <w:iCs/>
      <w:color w:val="000000" w:themeColor="text1"/>
      <w:sz w:val="18"/>
    </w:rPr>
  </w:style>
  <w:style w:type="character" w:customStyle="1" w:styleId="Ttulo1Car">
    <w:name w:val="Título 1 Car"/>
    <w:basedOn w:val="Fuentedeprrafopredeter"/>
    <w:link w:val="Ttulo1"/>
    <w:uiPriority w:val="9"/>
    <w:rsid w:val="003453F7"/>
    <w:rPr>
      <w:rFonts w:ascii="Verdana" w:eastAsiaTheme="majorEastAsia" w:hAnsi="Verdana" w:cstheme="majorBidi"/>
      <w:b/>
      <w:bCs/>
      <w:sz w:val="28"/>
      <w:szCs w:val="28"/>
    </w:rPr>
  </w:style>
  <w:style w:type="character" w:customStyle="1" w:styleId="Ttulo2Car">
    <w:name w:val="Título 2 Car"/>
    <w:basedOn w:val="Fuentedeprrafopredeter"/>
    <w:link w:val="Ttulo2"/>
    <w:uiPriority w:val="9"/>
    <w:rsid w:val="003453F7"/>
    <w:rPr>
      <w:rFonts w:ascii="Verdana" w:eastAsiaTheme="majorEastAsia" w:hAnsi="Verdana" w:cstheme="majorBidi"/>
      <w:b/>
      <w:bCs/>
      <w:sz w:val="20"/>
      <w:szCs w:val="26"/>
    </w:rPr>
  </w:style>
  <w:style w:type="character" w:customStyle="1" w:styleId="Ttulo3Car">
    <w:name w:val="Título 3 Car"/>
    <w:basedOn w:val="Fuentedeprrafopredeter"/>
    <w:link w:val="Ttulo3"/>
    <w:uiPriority w:val="9"/>
    <w:rsid w:val="003453F7"/>
    <w:rPr>
      <w:rFonts w:ascii="Verdana" w:eastAsiaTheme="majorEastAsia" w:hAnsi="Verdana" w:cstheme="majorBidi"/>
      <w:b/>
      <w:bCs/>
      <w:sz w:val="18"/>
      <w:szCs w:val="22"/>
    </w:rPr>
  </w:style>
  <w:style w:type="character" w:customStyle="1" w:styleId="Ttulo4Car">
    <w:name w:val="Título 4 Car"/>
    <w:basedOn w:val="Fuentedeprrafopredeter"/>
    <w:link w:val="Ttulo4"/>
    <w:uiPriority w:val="9"/>
    <w:rsid w:val="003453F7"/>
    <w:rPr>
      <w:rFonts w:ascii="Verdana" w:eastAsiaTheme="majorEastAsia" w:hAnsi="Verdana" w:cstheme="majorBidi"/>
      <w:b/>
      <w:bCs/>
      <w:iCs/>
      <w:sz w:val="18"/>
      <w:szCs w:val="22"/>
    </w:rPr>
  </w:style>
  <w:style w:type="character" w:customStyle="1" w:styleId="Ttulo5Car">
    <w:name w:val="Título 5 Car"/>
    <w:basedOn w:val="Fuentedeprrafopredeter"/>
    <w:link w:val="Ttulo5"/>
    <w:uiPriority w:val="9"/>
    <w:rsid w:val="003453F7"/>
    <w:rPr>
      <w:rFonts w:asciiTheme="majorHAnsi" w:eastAsiaTheme="majorEastAsia" w:hAnsiTheme="majorHAnsi" w:cstheme="majorBidi"/>
      <w:color w:val="1F3763" w:themeColor="accent1" w:themeShade="7F"/>
      <w:sz w:val="22"/>
      <w:szCs w:val="22"/>
    </w:rPr>
  </w:style>
  <w:style w:type="character" w:customStyle="1" w:styleId="Ttulo6Car">
    <w:name w:val="Título 6 Car"/>
    <w:basedOn w:val="Fuentedeprrafopredeter"/>
    <w:link w:val="Ttulo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Ttulo7Car">
    <w:name w:val="Título 7 Car"/>
    <w:basedOn w:val="Fuentedeprrafopredeter"/>
    <w:link w:val="Ttulo7"/>
    <w:uiPriority w:val="9"/>
    <w:rsid w:val="003453F7"/>
    <w:rPr>
      <w:rFonts w:asciiTheme="majorHAnsi" w:eastAsiaTheme="majorEastAsia" w:hAnsiTheme="majorHAnsi" w:cstheme="majorBidi"/>
      <w:i/>
      <w:iCs/>
      <w:color w:val="404040" w:themeColor="text1" w:themeTint="BF"/>
      <w:sz w:val="22"/>
      <w:szCs w:val="22"/>
    </w:rPr>
  </w:style>
  <w:style w:type="character" w:customStyle="1" w:styleId="Ttulo8Car">
    <w:name w:val="Título 8 Car"/>
    <w:basedOn w:val="Fuentedeprrafopredeter"/>
    <w:link w:val="Ttulo8"/>
    <w:uiPriority w:val="9"/>
    <w:rsid w:val="003453F7"/>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84146">
      <w:bodyDiv w:val="1"/>
      <w:marLeft w:val="0"/>
      <w:marRight w:val="0"/>
      <w:marTop w:val="0"/>
      <w:marBottom w:val="0"/>
      <w:divBdr>
        <w:top w:val="none" w:sz="0" w:space="0" w:color="auto"/>
        <w:left w:val="none" w:sz="0" w:space="0" w:color="auto"/>
        <w:bottom w:val="none" w:sz="0" w:space="0" w:color="auto"/>
        <w:right w:val="none" w:sz="0" w:space="0" w:color="auto"/>
      </w:divBdr>
      <w:divsChild>
        <w:div w:id="827131995">
          <w:marLeft w:val="547"/>
          <w:marRight w:val="0"/>
          <w:marTop w:val="0"/>
          <w:marBottom w:val="0"/>
          <w:divBdr>
            <w:top w:val="none" w:sz="0" w:space="0" w:color="auto"/>
            <w:left w:val="none" w:sz="0" w:space="0" w:color="auto"/>
            <w:bottom w:val="none" w:sz="0" w:space="0" w:color="auto"/>
            <w:right w:val="none" w:sz="0" w:space="0" w:color="auto"/>
          </w:divBdr>
        </w:div>
        <w:div w:id="499278551">
          <w:marLeft w:val="547"/>
          <w:marRight w:val="0"/>
          <w:marTop w:val="0"/>
          <w:marBottom w:val="0"/>
          <w:divBdr>
            <w:top w:val="none" w:sz="0" w:space="0" w:color="auto"/>
            <w:left w:val="none" w:sz="0" w:space="0" w:color="auto"/>
            <w:bottom w:val="none" w:sz="0" w:space="0" w:color="auto"/>
            <w:right w:val="none" w:sz="0" w:space="0" w:color="auto"/>
          </w:divBdr>
        </w:div>
      </w:divsChild>
    </w:div>
    <w:div w:id="168952922">
      <w:bodyDiv w:val="1"/>
      <w:marLeft w:val="0"/>
      <w:marRight w:val="0"/>
      <w:marTop w:val="0"/>
      <w:marBottom w:val="0"/>
      <w:divBdr>
        <w:top w:val="none" w:sz="0" w:space="0" w:color="auto"/>
        <w:left w:val="none" w:sz="0" w:space="0" w:color="auto"/>
        <w:bottom w:val="none" w:sz="0" w:space="0" w:color="auto"/>
        <w:right w:val="none" w:sz="0" w:space="0" w:color="auto"/>
      </w:divBdr>
    </w:div>
    <w:div w:id="493184222">
      <w:bodyDiv w:val="1"/>
      <w:marLeft w:val="0"/>
      <w:marRight w:val="0"/>
      <w:marTop w:val="0"/>
      <w:marBottom w:val="0"/>
      <w:divBdr>
        <w:top w:val="none" w:sz="0" w:space="0" w:color="auto"/>
        <w:left w:val="none" w:sz="0" w:space="0" w:color="auto"/>
        <w:bottom w:val="none" w:sz="0" w:space="0" w:color="auto"/>
        <w:right w:val="none" w:sz="0" w:space="0" w:color="auto"/>
      </w:divBdr>
      <w:divsChild>
        <w:div w:id="304310871">
          <w:marLeft w:val="547"/>
          <w:marRight w:val="0"/>
          <w:marTop w:val="0"/>
          <w:marBottom w:val="0"/>
          <w:divBdr>
            <w:top w:val="none" w:sz="0" w:space="0" w:color="auto"/>
            <w:left w:val="none" w:sz="0" w:space="0" w:color="auto"/>
            <w:bottom w:val="none" w:sz="0" w:space="0" w:color="auto"/>
            <w:right w:val="none" w:sz="0" w:space="0" w:color="auto"/>
          </w:divBdr>
        </w:div>
        <w:div w:id="83192551">
          <w:marLeft w:val="547"/>
          <w:marRight w:val="0"/>
          <w:marTop w:val="0"/>
          <w:marBottom w:val="0"/>
          <w:divBdr>
            <w:top w:val="none" w:sz="0" w:space="0" w:color="auto"/>
            <w:left w:val="none" w:sz="0" w:space="0" w:color="auto"/>
            <w:bottom w:val="none" w:sz="0" w:space="0" w:color="auto"/>
            <w:right w:val="none" w:sz="0" w:space="0" w:color="auto"/>
          </w:divBdr>
        </w:div>
        <w:div w:id="791367416">
          <w:marLeft w:val="547"/>
          <w:marRight w:val="0"/>
          <w:marTop w:val="0"/>
          <w:marBottom w:val="0"/>
          <w:divBdr>
            <w:top w:val="none" w:sz="0" w:space="0" w:color="auto"/>
            <w:left w:val="none" w:sz="0" w:space="0" w:color="auto"/>
            <w:bottom w:val="none" w:sz="0" w:space="0" w:color="auto"/>
            <w:right w:val="none" w:sz="0" w:space="0" w:color="auto"/>
          </w:divBdr>
        </w:div>
      </w:divsChild>
    </w:div>
    <w:div w:id="552892125">
      <w:bodyDiv w:val="1"/>
      <w:marLeft w:val="0"/>
      <w:marRight w:val="0"/>
      <w:marTop w:val="0"/>
      <w:marBottom w:val="0"/>
      <w:divBdr>
        <w:top w:val="none" w:sz="0" w:space="0" w:color="auto"/>
        <w:left w:val="none" w:sz="0" w:space="0" w:color="auto"/>
        <w:bottom w:val="none" w:sz="0" w:space="0" w:color="auto"/>
        <w:right w:val="none" w:sz="0" w:space="0" w:color="auto"/>
      </w:divBdr>
    </w:div>
    <w:div w:id="642850528">
      <w:bodyDiv w:val="1"/>
      <w:marLeft w:val="0"/>
      <w:marRight w:val="0"/>
      <w:marTop w:val="0"/>
      <w:marBottom w:val="0"/>
      <w:divBdr>
        <w:top w:val="none" w:sz="0" w:space="0" w:color="auto"/>
        <w:left w:val="none" w:sz="0" w:space="0" w:color="auto"/>
        <w:bottom w:val="none" w:sz="0" w:space="0" w:color="auto"/>
        <w:right w:val="none" w:sz="0" w:space="0" w:color="auto"/>
      </w:divBdr>
    </w:div>
    <w:div w:id="687948184">
      <w:bodyDiv w:val="1"/>
      <w:marLeft w:val="0"/>
      <w:marRight w:val="0"/>
      <w:marTop w:val="0"/>
      <w:marBottom w:val="0"/>
      <w:divBdr>
        <w:top w:val="none" w:sz="0" w:space="0" w:color="auto"/>
        <w:left w:val="none" w:sz="0" w:space="0" w:color="auto"/>
        <w:bottom w:val="none" w:sz="0" w:space="0" w:color="auto"/>
        <w:right w:val="none" w:sz="0" w:space="0" w:color="auto"/>
      </w:divBdr>
      <w:divsChild>
        <w:div w:id="1640960151">
          <w:marLeft w:val="547"/>
          <w:marRight w:val="0"/>
          <w:marTop w:val="0"/>
          <w:marBottom w:val="0"/>
          <w:divBdr>
            <w:top w:val="none" w:sz="0" w:space="0" w:color="auto"/>
            <w:left w:val="none" w:sz="0" w:space="0" w:color="auto"/>
            <w:bottom w:val="none" w:sz="0" w:space="0" w:color="auto"/>
            <w:right w:val="none" w:sz="0" w:space="0" w:color="auto"/>
          </w:divBdr>
        </w:div>
        <w:div w:id="2036541696">
          <w:marLeft w:val="547"/>
          <w:marRight w:val="0"/>
          <w:marTop w:val="0"/>
          <w:marBottom w:val="0"/>
          <w:divBdr>
            <w:top w:val="none" w:sz="0" w:space="0" w:color="auto"/>
            <w:left w:val="none" w:sz="0" w:space="0" w:color="auto"/>
            <w:bottom w:val="none" w:sz="0" w:space="0" w:color="auto"/>
            <w:right w:val="none" w:sz="0" w:space="0" w:color="auto"/>
          </w:divBdr>
        </w:div>
        <w:div w:id="1447576815">
          <w:marLeft w:val="547"/>
          <w:marRight w:val="0"/>
          <w:marTop w:val="0"/>
          <w:marBottom w:val="0"/>
          <w:divBdr>
            <w:top w:val="none" w:sz="0" w:space="0" w:color="auto"/>
            <w:left w:val="none" w:sz="0" w:space="0" w:color="auto"/>
            <w:bottom w:val="none" w:sz="0" w:space="0" w:color="auto"/>
            <w:right w:val="none" w:sz="0" w:space="0" w:color="auto"/>
          </w:divBdr>
        </w:div>
      </w:divsChild>
    </w:div>
    <w:div w:id="965812860">
      <w:bodyDiv w:val="1"/>
      <w:marLeft w:val="0"/>
      <w:marRight w:val="0"/>
      <w:marTop w:val="0"/>
      <w:marBottom w:val="0"/>
      <w:divBdr>
        <w:top w:val="none" w:sz="0" w:space="0" w:color="auto"/>
        <w:left w:val="none" w:sz="0" w:space="0" w:color="auto"/>
        <w:bottom w:val="none" w:sz="0" w:space="0" w:color="auto"/>
        <w:right w:val="none" w:sz="0" w:space="0" w:color="auto"/>
      </w:divBdr>
    </w:div>
    <w:div w:id="1062947090">
      <w:bodyDiv w:val="1"/>
      <w:marLeft w:val="0"/>
      <w:marRight w:val="0"/>
      <w:marTop w:val="0"/>
      <w:marBottom w:val="0"/>
      <w:divBdr>
        <w:top w:val="none" w:sz="0" w:space="0" w:color="auto"/>
        <w:left w:val="none" w:sz="0" w:space="0" w:color="auto"/>
        <w:bottom w:val="none" w:sz="0" w:space="0" w:color="auto"/>
        <w:right w:val="none" w:sz="0" w:space="0" w:color="auto"/>
      </w:divBdr>
    </w:div>
    <w:div w:id="1116143874">
      <w:bodyDiv w:val="1"/>
      <w:marLeft w:val="0"/>
      <w:marRight w:val="0"/>
      <w:marTop w:val="0"/>
      <w:marBottom w:val="0"/>
      <w:divBdr>
        <w:top w:val="none" w:sz="0" w:space="0" w:color="auto"/>
        <w:left w:val="none" w:sz="0" w:space="0" w:color="auto"/>
        <w:bottom w:val="none" w:sz="0" w:space="0" w:color="auto"/>
        <w:right w:val="none" w:sz="0" w:space="0" w:color="auto"/>
      </w:divBdr>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602372428">
      <w:bodyDiv w:val="1"/>
      <w:marLeft w:val="0"/>
      <w:marRight w:val="0"/>
      <w:marTop w:val="0"/>
      <w:marBottom w:val="0"/>
      <w:divBdr>
        <w:top w:val="none" w:sz="0" w:space="0" w:color="auto"/>
        <w:left w:val="none" w:sz="0" w:space="0" w:color="auto"/>
        <w:bottom w:val="none" w:sz="0" w:space="0" w:color="auto"/>
        <w:right w:val="none" w:sz="0" w:space="0" w:color="auto"/>
      </w:divBdr>
    </w:div>
    <w:div w:id="1801486228">
      <w:bodyDiv w:val="1"/>
      <w:marLeft w:val="0"/>
      <w:marRight w:val="0"/>
      <w:marTop w:val="0"/>
      <w:marBottom w:val="0"/>
      <w:divBdr>
        <w:top w:val="none" w:sz="0" w:space="0" w:color="auto"/>
        <w:left w:val="none" w:sz="0" w:space="0" w:color="auto"/>
        <w:bottom w:val="none" w:sz="0" w:space="0" w:color="auto"/>
        <w:right w:val="none" w:sz="0" w:space="0" w:color="auto"/>
      </w:divBdr>
      <w:divsChild>
        <w:div w:id="1886795898">
          <w:marLeft w:val="547"/>
          <w:marRight w:val="0"/>
          <w:marTop w:val="0"/>
          <w:marBottom w:val="0"/>
          <w:divBdr>
            <w:top w:val="none" w:sz="0" w:space="0" w:color="auto"/>
            <w:left w:val="none" w:sz="0" w:space="0" w:color="auto"/>
            <w:bottom w:val="none" w:sz="0" w:space="0" w:color="auto"/>
            <w:right w:val="none" w:sz="0" w:space="0" w:color="auto"/>
          </w:divBdr>
        </w:div>
        <w:div w:id="1942369840">
          <w:marLeft w:val="547"/>
          <w:marRight w:val="0"/>
          <w:marTop w:val="0"/>
          <w:marBottom w:val="0"/>
          <w:divBdr>
            <w:top w:val="none" w:sz="0" w:space="0" w:color="auto"/>
            <w:left w:val="none" w:sz="0" w:space="0" w:color="auto"/>
            <w:bottom w:val="none" w:sz="0" w:space="0" w:color="auto"/>
            <w:right w:val="none" w:sz="0" w:space="0" w:color="auto"/>
          </w:divBdr>
        </w:div>
      </w:divsChild>
    </w:div>
    <w:div w:id="1984966178">
      <w:bodyDiv w:val="1"/>
      <w:marLeft w:val="0"/>
      <w:marRight w:val="0"/>
      <w:marTop w:val="0"/>
      <w:marBottom w:val="0"/>
      <w:divBdr>
        <w:top w:val="none" w:sz="0" w:space="0" w:color="auto"/>
        <w:left w:val="none" w:sz="0" w:space="0" w:color="auto"/>
        <w:bottom w:val="none" w:sz="0" w:space="0" w:color="auto"/>
        <w:right w:val="none" w:sz="0" w:space="0" w:color="auto"/>
      </w:divBdr>
    </w:div>
    <w:div w:id="2056655258">
      <w:bodyDiv w:val="1"/>
      <w:marLeft w:val="0"/>
      <w:marRight w:val="0"/>
      <w:marTop w:val="0"/>
      <w:marBottom w:val="0"/>
      <w:divBdr>
        <w:top w:val="none" w:sz="0" w:space="0" w:color="auto"/>
        <w:left w:val="none" w:sz="0" w:space="0" w:color="auto"/>
        <w:bottom w:val="none" w:sz="0" w:space="0" w:color="auto"/>
        <w:right w:val="none" w:sz="0" w:space="0" w:color="auto"/>
      </w:divBdr>
    </w:div>
    <w:div w:id="21453456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1468</Words>
  <Characters>8075</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Javier Torres</cp:lastModifiedBy>
  <cp:revision>7</cp:revision>
  <dcterms:created xsi:type="dcterms:W3CDTF">2020-10-20T12:39:00Z</dcterms:created>
  <dcterms:modified xsi:type="dcterms:W3CDTF">2021-05-12T17:57:00Z</dcterms:modified>
</cp:coreProperties>
</file>