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DD02D" w14:textId="517D73F4" w:rsidR="00D82C18" w:rsidRPr="00B3608C" w:rsidRDefault="00334BD0" w:rsidP="000F7896">
      <w:pPr>
        <w:rPr>
          <w:rFonts w:ascii="Verdana" w:hAnsi="Verdana"/>
        </w:rPr>
      </w:pPr>
      <w:r>
        <w:rPr>
          <w:rFonts w:ascii="Verdana" w:hAnsi="Verdana"/>
          <w:b/>
          <w:bCs/>
          <w:sz w:val="28"/>
          <w:szCs w:val="28"/>
        </w:rPr>
        <w:t>Lección 1.1 Introducción al curso (versión en línea)</w:t>
      </w:r>
    </w:p>
    <w:p w14:paraId="1D0E3DC5" w14:textId="77777777" w:rsidR="00C115FC" w:rsidRPr="00C115FC" w:rsidRDefault="00C115FC" w:rsidP="00C115FC">
      <w:pPr>
        <w:ind w:left="360"/>
        <w:rPr>
          <w:rFonts w:ascii="Verdana" w:hAnsi="Verdana"/>
        </w:rPr>
      </w:pPr>
    </w:p>
    <w:tbl>
      <w:tblPr>
        <w:tblStyle w:val="Tablaconcuadrcula"/>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241FCF42" w:rsidR="00D82C18" w:rsidRPr="00D82C18" w:rsidRDefault="00C115FC" w:rsidP="00C115FC">
            <w:pPr>
              <w:rPr>
                <w:rFonts w:ascii="Verdana" w:hAnsi="Verdana"/>
                <w:sz w:val="22"/>
                <w:szCs w:val="22"/>
              </w:rPr>
            </w:pPr>
            <w:r>
              <w:rPr>
                <w:rFonts w:ascii="Verdana" w:hAnsi="Verdana"/>
                <w:sz w:val="22"/>
                <w:szCs w:val="22"/>
              </w:rPr>
              <w:t>Lección 1.1 Introducción al curso (versión en línea)</w:t>
            </w:r>
          </w:p>
        </w:tc>
        <w:tc>
          <w:tcPr>
            <w:tcW w:w="2165" w:type="dxa"/>
            <w:shd w:val="clear" w:color="auto" w:fill="DEEAF6" w:themeFill="accent5" w:themeFillTint="33"/>
            <w:vAlign w:val="center"/>
          </w:tcPr>
          <w:p w14:paraId="30B631DA" w14:textId="3E90A1BE" w:rsidR="00D82C18" w:rsidRPr="00D82C18" w:rsidRDefault="00D82C18" w:rsidP="00C115FC">
            <w:pPr>
              <w:rPr>
                <w:rFonts w:ascii="Verdana" w:hAnsi="Verdana"/>
                <w:sz w:val="22"/>
                <w:szCs w:val="22"/>
              </w:rPr>
            </w:pPr>
            <w:r>
              <w:rPr>
                <w:rFonts w:ascii="Verdana" w:hAnsi="Verdana"/>
                <w:sz w:val="22"/>
                <w:szCs w:val="22"/>
              </w:rPr>
              <w:t xml:space="preserve">Duración: </w:t>
            </w:r>
            <w:r>
              <w:rPr>
                <w:rFonts w:ascii="Verdana" w:hAnsi="Verdana"/>
                <w:color w:val="000000" w:themeColor="text1"/>
                <w:sz w:val="22"/>
                <w:szCs w:val="22"/>
              </w:rPr>
              <w:t xml:space="preserve">15 minutos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Pr>
                <w:rFonts w:ascii="Verdana" w:hAnsi="Verdana"/>
                <w:b/>
                <w:sz w:val="22"/>
                <w:szCs w:val="22"/>
              </w:rPr>
              <w:t xml:space="preserve">Recursos necesarios: </w:t>
            </w:r>
          </w:p>
          <w:p w14:paraId="0CE2B632" w14:textId="77777777" w:rsidR="00334BD0" w:rsidRPr="000F7896" w:rsidRDefault="00334BD0" w:rsidP="00334BD0">
            <w:pPr>
              <w:pStyle w:val="bul1"/>
              <w:numPr>
                <w:ilvl w:val="0"/>
                <w:numId w:val="6"/>
              </w:numPr>
              <w:spacing w:line="280" w:lineRule="exact"/>
              <w:rPr>
                <w:rFonts w:ascii="Symbol" w:hAnsi="Symbol"/>
              </w:rPr>
            </w:pPr>
            <w:r>
              <w:t xml:space="preserve">PC/portátil cargado con versiones de software compatibles con los materiales preparados </w:t>
            </w:r>
          </w:p>
          <w:p w14:paraId="707460B9" w14:textId="6673CD3C" w:rsidR="00334BD0" w:rsidRPr="000F7896" w:rsidRDefault="00334BD0" w:rsidP="00334BD0">
            <w:pPr>
              <w:pStyle w:val="bul1"/>
              <w:numPr>
                <w:ilvl w:val="0"/>
                <w:numId w:val="6"/>
              </w:numPr>
              <w:spacing w:line="280" w:lineRule="exact"/>
              <w:rPr>
                <w:rFonts w:ascii="Symbol" w:hAnsi="Symbol"/>
              </w:rPr>
            </w:pPr>
            <w:r>
              <w:t xml:space="preserve">Acceso a Internet </w:t>
            </w:r>
          </w:p>
          <w:p w14:paraId="3BAF7AC4" w14:textId="03955E5A" w:rsidR="00334BD0" w:rsidRPr="00D168CC" w:rsidRDefault="00334BD0" w:rsidP="00334BD0">
            <w:pPr>
              <w:pStyle w:val="bul1"/>
              <w:numPr>
                <w:ilvl w:val="0"/>
                <w:numId w:val="6"/>
              </w:numPr>
              <w:spacing w:line="280" w:lineRule="exact"/>
              <w:rPr>
                <w:rFonts w:ascii="Symbol" w:hAnsi="Symbol"/>
              </w:rPr>
            </w:pPr>
            <w:r>
              <w:t>PowerPoint u otro software para presentaciones</w:t>
            </w:r>
          </w:p>
          <w:p w14:paraId="14515739" w14:textId="15A7D3D3" w:rsidR="00D168CC" w:rsidRPr="00773F6C" w:rsidRDefault="00D168CC" w:rsidP="00334BD0">
            <w:pPr>
              <w:pStyle w:val="bul1"/>
              <w:numPr>
                <w:ilvl w:val="0"/>
                <w:numId w:val="6"/>
              </w:numPr>
              <w:spacing w:line="280" w:lineRule="exact"/>
              <w:rPr>
                <w:rFonts w:ascii="Symbol" w:hAnsi="Symbol"/>
              </w:rPr>
            </w:pPr>
            <w:r>
              <w:t xml:space="preserve">Software de videoconferencia </w:t>
            </w:r>
          </w:p>
          <w:p w14:paraId="14CF9EF0" w14:textId="5040F13F" w:rsidR="000F7896" w:rsidRPr="00334BD0" w:rsidRDefault="00D168CC" w:rsidP="00334BD0">
            <w:pPr>
              <w:pStyle w:val="bul1"/>
              <w:numPr>
                <w:ilvl w:val="0"/>
                <w:numId w:val="6"/>
              </w:numPr>
              <w:spacing w:line="280" w:lineRule="exact"/>
            </w:pPr>
            <w:r>
              <w:t xml:space="preserve">Los participantes deben disponer de libretas y material de escritorio </w:t>
            </w:r>
          </w:p>
        </w:tc>
      </w:tr>
      <w:tr w:rsidR="00E7344B" w:rsidRPr="00D82C18" w14:paraId="635F2EFD" w14:textId="77777777" w:rsidTr="00334BD0">
        <w:trPr>
          <w:trHeight w:val="1284"/>
        </w:trPr>
        <w:tc>
          <w:tcPr>
            <w:tcW w:w="9010" w:type="dxa"/>
            <w:gridSpan w:val="3"/>
            <w:vAlign w:val="center"/>
          </w:tcPr>
          <w:p w14:paraId="34602AF3" w14:textId="78940DBE" w:rsidR="00A03CF0" w:rsidRDefault="00A37A8B" w:rsidP="00F62A15">
            <w:pPr>
              <w:spacing w:before="120" w:after="120" w:line="280" w:lineRule="exact"/>
              <w:rPr>
                <w:rFonts w:ascii="Verdana" w:hAnsi="Verdana"/>
                <w:b/>
                <w:sz w:val="22"/>
                <w:szCs w:val="22"/>
              </w:rPr>
            </w:pPr>
            <w:r>
              <w:rPr>
                <w:rFonts w:ascii="Verdana" w:hAnsi="Verdana"/>
                <w:b/>
                <w:sz w:val="22"/>
                <w:szCs w:val="22"/>
              </w:rPr>
              <w:t>Propósito</w:t>
            </w:r>
            <w:r w:rsidR="00A03CF0">
              <w:rPr>
                <w:rFonts w:ascii="Verdana" w:hAnsi="Verdana"/>
                <w:b/>
                <w:sz w:val="22"/>
                <w:szCs w:val="22"/>
              </w:rPr>
              <w:t xml:space="preserve"> de la sesión:  </w:t>
            </w:r>
          </w:p>
          <w:p w14:paraId="3FE58655" w14:textId="4FF72628" w:rsidR="00A03CF0" w:rsidRPr="000F7896" w:rsidRDefault="00334BD0" w:rsidP="00FA5D5D">
            <w:pPr>
              <w:spacing w:before="120" w:after="120" w:line="280" w:lineRule="exact"/>
              <w:jc w:val="both"/>
              <w:rPr>
                <w:rFonts w:ascii="Verdana" w:hAnsi="Verdana"/>
                <w:i/>
                <w:color w:val="FF0000"/>
                <w:sz w:val="18"/>
                <w:szCs w:val="18"/>
              </w:rPr>
            </w:pPr>
            <w:r>
              <w:rPr>
                <w:rFonts w:ascii="Verdana" w:hAnsi="Verdana"/>
                <w:iCs/>
                <w:sz w:val="18"/>
                <w:szCs w:val="18"/>
              </w:rPr>
              <w:t>Esta sesión está diseñada para servir de introducción al curso y a su estructura, así como para medir el nivel de conocimientos que tienen los participantes al comienzo del curso.</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Pr>
                <w:rFonts w:ascii="Verdana" w:hAnsi="Verdana"/>
                <w:b/>
                <w:sz w:val="22"/>
                <w:szCs w:val="22"/>
              </w:rPr>
              <w:t>Objetivos:</w:t>
            </w:r>
          </w:p>
          <w:p w14:paraId="7552C5F6" w14:textId="77777777" w:rsidR="000F7896" w:rsidRPr="00AC1380" w:rsidRDefault="000F7896" w:rsidP="000F7896">
            <w:pPr>
              <w:tabs>
                <w:tab w:val="left" w:pos="426"/>
                <w:tab w:val="left" w:pos="851"/>
              </w:tabs>
              <w:rPr>
                <w:rFonts w:ascii="Verdana" w:eastAsia="Times New Roman" w:hAnsi="Verdana" w:cs="Times New Roman"/>
                <w:sz w:val="18"/>
                <w:szCs w:val="18"/>
              </w:rPr>
            </w:pPr>
            <w:r>
              <w:rPr>
                <w:rFonts w:ascii="Verdana" w:hAnsi="Verdana"/>
                <w:sz w:val="18"/>
                <w:szCs w:val="18"/>
              </w:rPr>
              <w:t>Al final de esta sesión los delegados podrán:</w:t>
            </w:r>
          </w:p>
          <w:p w14:paraId="75D936FE" w14:textId="77777777" w:rsidR="00826CFF" w:rsidRPr="00826CFF" w:rsidRDefault="00D168CC" w:rsidP="00334BD0">
            <w:pPr>
              <w:pStyle w:val="Prrafodelista"/>
              <w:numPr>
                <w:ilvl w:val="0"/>
                <w:numId w:val="11"/>
              </w:numPr>
              <w:tabs>
                <w:tab w:val="left" w:pos="426"/>
                <w:tab w:val="left" w:pos="851"/>
              </w:tabs>
              <w:spacing w:before="20" w:after="120" w:line="280" w:lineRule="atLeast"/>
              <w:rPr>
                <w:rFonts w:ascii="Verdana" w:hAnsi="Verdana"/>
                <w:sz w:val="18"/>
                <w:szCs w:val="18"/>
              </w:rPr>
            </w:pPr>
            <w:r>
              <w:rPr>
                <w:rFonts w:ascii="Verdana" w:hAnsi="Verdana"/>
                <w:sz w:val="18"/>
                <w:szCs w:val="18"/>
              </w:rPr>
              <w:t>Comprender el alcance y la labor del Consejo de Europa y de la Oficina del Programa de Lucha contra la Ciberdelincuencia (C-PROC)</w:t>
            </w:r>
          </w:p>
          <w:p w14:paraId="291F9E11" w14:textId="77777777" w:rsidR="00826CFF" w:rsidRPr="00826CFF" w:rsidRDefault="00D168CC" w:rsidP="00334BD0">
            <w:pPr>
              <w:pStyle w:val="Prrafodelista"/>
              <w:numPr>
                <w:ilvl w:val="0"/>
                <w:numId w:val="11"/>
              </w:numPr>
              <w:tabs>
                <w:tab w:val="left" w:pos="426"/>
                <w:tab w:val="left" w:pos="851"/>
              </w:tabs>
              <w:spacing w:before="20" w:after="120" w:line="280" w:lineRule="atLeast"/>
              <w:rPr>
                <w:rFonts w:ascii="Verdana" w:hAnsi="Verdana"/>
                <w:sz w:val="18"/>
                <w:szCs w:val="18"/>
              </w:rPr>
            </w:pPr>
            <w:r>
              <w:rPr>
                <w:rFonts w:ascii="Verdana" w:hAnsi="Verdana"/>
                <w:sz w:val="18"/>
                <w:szCs w:val="18"/>
              </w:rPr>
              <w:t>Revisar la estructura, las metas y los objetivos de este curso</w:t>
            </w:r>
          </w:p>
          <w:p w14:paraId="3CFFCC51" w14:textId="77777777" w:rsidR="00826CFF" w:rsidRPr="00826CFF" w:rsidRDefault="00D168CC" w:rsidP="00334BD0">
            <w:pPr>
              <w:pStyle w:val="Prrafodelista"/>
              <w:numPr>
                <w:ilvl w:val="0"/>
                <w:numId w:val="11"/>
              </w:numPr>
              <w:tabs>
                <w:tab w:val="left" w:pos="426"/>
                <w:tab w:val="left" w:pos="851"/>
              </w:tabs>
              <w:spacing w:before="20" w:line="280" w:lineRule="atLeast"/>
              <w:rPr>
                <w:rFonts w:ascii="Verdana" w:hAnsi="Verdana"/>
                <w:sz w:val="18"/>
                <w:szCs w:val="18"/>
              </w:rPr>
            </w:pPr>
            <w:r>
              <w:rPr>
                <w:rFonts w:ascii="Verdana" w:hAnsi="Verdana"/>
                <w:sz w:val="18"/>
                <w:szCs w:val="18"/>
              </w:rPr>
              <w:t>Compartir cualquier preocupación o resultado esperado del curso</w:t>
            </w:r>
          </w:p>
          <w:p w14:paraId="61ABEAC5" w14:textId="3C4E069C" w:rsidR="001E7389" w:rsidRPr="001E7389" w:rsidRDefault="00D168CC" w:rsidP="00334BD0">
            <w:pPr>
              <w:pStyle w:val="bul1"/>
              <w:numPr>
                <w:ilvl w:val="0"/>
                <w:numId w:val="11"/>
              </w:numPr>
            </w:pPr>
            <w:r>
              <w:t>Discutir los conceptos básicos que se tratarán en el curso</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szCs w:val="22"/>
              </w:rPr>
              <w:t>Pautas para los formadores</w:t>
            </w:r>
          </w:p>
          <w:p w14:paraId="5EFF4BEF" w14:textId="4F9D6AC5" w:rsidR="00FF2976" w:rsidRPr="00E31F52" w:rsidRDefault="00334BD0" w:rsidP="00334BD0">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Este es un curso introductorio para que los formadores y los participantes se presenten y para que el formador evalúe el nivel de conocimientos de los participantes. Después de examinar las diapositivas introductorias sobre la labor del Consejo de Europa en el ámbito de la ciberdelincuencia y la estructura del curso, la formación será bastante interactiva. Las diapositivas contienen algunas preguntas orientativas que el formador puede utilizar para dirigir el debate con los participantes. No es necesario que el formador se limite a estas preguntas específicas. Al contrario, el formador debe aprovechar la oportunidad que le brinda esta sesión para entender lo que los participantes esperan del curso. Dado que esta sesión se impartirá en línea, será importante que el formador desempeñe un papel activo a la hora de "enmudecer" y "desenmudecer" a los participantes para asegurar la organización del debate. El formador también debe animar a los participantes a utilizar la función de " levantar la mano" del software de videoconferencia, si está disponible. </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szCs w:val="28"/>
              </w:rPr>
              <w:t>Contenido de la lección</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szCs w:val="22"/>
              </w:rPr>
              <w:t>Números de las diapositivas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szCs w:val="22"/>
              </w:rPr>
              <w:t>Contenido</w:t>
            </w:r>
          </w:p>
        </w:tc>
      </w:tr>
      <w:tr w:rsidR="00F1574D" w:rsidRPr="00D82C18" w14:paraId="11A12D7E" w14:textId="77777777" w:rsidTr="000F04E4">
        <w:trPr>
          <w:trHeight w:val="591"/>
        </w:trPr>
        <w:tc>
          <w:tcPr>
            <w:tcW w:w="1525" w:type="dxa"/>
            <w:vAlign w:val="center"/>
          </w:tcPr>
          <w:p w14:paraId="67083237" w14:textId="207A1282" w:rsidR="00D82C18" w:rsidRDefault="003630ED" w:rsidP="00F1574D">
            <w:pPr>
              <w:spacing w:before="120" w:after="120" w:line="280" w:lineRule="exact"/>
              <w:jc w:val="center"/>
              <w:rPr>
                <w:rFonts w:ascii="Verdana" w:hAnsi="Verdana"/>
                <w:sz w:val="18"/>
                <w:szCs w:val="18"/>
              </w:rPr>
            </w:pPr>
            <w:r>
              <w:rPr>
                <w:rFonts w:ascii="Verdana" w:hAnsi="Verdana"/>
                <w:sz w:val="18"/>
                <w:szCs w:val="18"/>
              </w:rPr>
              <w:t>1 a 4</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Pr>
                <w:rFonts w:ascii="Verdana" w:hAnsi="Verdana"/>
                <w:color w:val="000000" w:themeColor="text1"/>
                <w:sz w:val="18"/>
                <w:szCs w:val="18"/>
              </w:rPr>
              <w:t xml:space="preserve">Las diapositivas de apertura sirven de introducción a la sesión e incluyen el programa, así como las metas y los objetivos de la sesión. </w:t>
            </w:r>
          </w:p>
        </w:tc>
      </w:tr>
      <w:tr w:rsidR="00F1574D" w:rsidRPr="00D82C18" w14:paraId="65F07CB5" w14:textId="77777777" w:rsidTr="00F1574D">
        <w:trPr>
          <w:trHeight w:val="1880"/>
        </w:trPr>
        <w:tc>
          <w:tcPr>
            <w:tcW w:w="1525" w:type="dxa"/>
            <w:vAlign w:val="center"/>
          </w:tcPr>
          <w:p w14:paraId="56AF6365" w14:textId="62683AB5" w:rsidR="00D82C18" w:rsidRDefault="00C70C5C" w:rsidP="00F1574D">
            <w:pPr>
              <w:spacing w:before="120" w:after="120" w:line="280" w:lineRule="exact"/>
              <w:jc w:val="center"/>
              <w:rPr>
                <w:rFonts w:ascii="Verdana" w:hAnsi="Verdana"/>
                <w:sz w:val="18"/>
                <w:szCs w:val="18"/>
              </w:rPr>
            </w:pPr>
            <w:r>
              <w:rPr>
                <w:rFonts w:ascii="Verdana" w:hAnsi="Verdana"/>
                <w:sz w:val="18"/>
                <w:szCs w:val="18"/>
              </w:rPr>
              <w:lastRenderedPageBreak/>
              <w:t>5 a 13</w:t>
            </w:r>
          </w:p>
          <w:p w14:paraId="6F5AEB2D" w14:textId="6A603349" w:rsidR="00F1574D" w:rsidRPr="003630ED" w:rsidRDefault="00334BD0" w:rsidP="00F1574D">
            <w:pPr>
              <w:spacing w:before="120" w:after="120" w:line="280" w:lineRule="exact"/>
              <w:jc w:val="center"/>
              <w:rPr>
                <w:rFonts w:ascii="Verdana" w:hAnsi="Verdana"/>
                <w:sz w:val="18"/>
                <w:szCs w:val="18"/>
              </w:rPr>
            </w:pPr>
            <w:r>
              <w:rPr>
                <w:rFonts w:ascii="Verdana" w:hAnsi="Verdana"/>
                <w:sz w:val="18"/>
                <w:szCs w:val="18"/>
              </w:rPr>
              <w:t>Diapositivas importantes</w:t>
            </w:r>
          </w:p>
        </w:tc>
        <w:tc>
          <w:tcPr>
            <w:tcW w:w="7485" w:type="dxa"/>
            <w:gridSpan w:val="2"/>
            <w:vAlign w:val="center"/>
          </w:tcPr>
          <w:p w14:paraId="649FEA68" w14:textId="336792C3" w:rsidR="0062475C" w:rsidRPr="00CB708C" w:rsidRDefault="00334BD0" w:rsidP="00CB708C">
            <w:pPr>
              <w:pStyle w:val="Subttulo"/>
              <w:spacing w:line="360" w:lineRule="auto"/>
              <w:rPr>
                <w:rFonts w:ascii="Verdana" w:eastAsia="Times New Roman" w:hAnsi="Verdana"/>
                <w:szCs w:val="18"/>
              </w:rPr>
            </w:pPr>
            <w:r>
              <w:rPr>
                <w:rFonts w:ascii="Verdana" w:hAnsi="Verdana"/>
                <w:szCs w:val="18"/>
              </w:rPr>
              <w:t>Estas diapositivas ofrecen una visión general del Consejo de Europa y de la Oficina del Programa de Lucha contra la Ciberdelincuencia (C-PROC) y del Convenio de Budapest. Si los participantes han llevado a cabo otras actividades de la C-PROC y están familiarizados con la labor de esta última y el alcance del Convenio de Budapest, el formador puede optar por saltarse parte o la totalidad de estas diapositivas. Al final de esta parte de la presentación, los formadores deberán estar familiarizados con el enfoque de la C-PROC, los diferentes proyectos actualmente en curso y el alcance total del Convenio de Budapest.</w:t>
            </w:r>
          </w:p>
        </w:tc>
      </w:tr>
      <w:tr w:rsidR="00F1574D" w:rsidRPr="00D82C18" w14:paraId="15587DD6" w14:textId="77777777" w:rsidTr="00F1574D">
        <w:trPr>
          <w:trHeight w:val="1916"/>
        </w:trPr>
        <w:tc>
          <w:tcPr>
            <w:tcW w:w="1525" w:type="dxa"/>
            <w:vAlign w:val="center"/>
          </w:tcPr>
          <w:p w14:paraId="5EBB803A" w14:textId="4C35AE90" w:rsidR="00556D69" w:rsidRPr="0084446A" w:rsidRDefault="00334BD0" w:rsidP="00F1574D">
            <w:pPr>
              <w:spacing w:before="120" w:after="120" w:line="280" w:lineRule="exact"/>
              <w:jc w:val="center"/>
              <w:rPr>
                <w:rFonts w:ascii="Verdana" w:hAnsi="Verdana"/>
                <w:sz w:val="18"/>
                <w:szCs w:val="18"/>
              </w:rPr>
            </w:pPr>
            <w:r>
              <w:rPr>
                <w:rFonts w:ascii="Verdana" w:hAnsi="Verdana"/>
                <w:sz w:val="18"/>
                <w:szCs w:val="18"/>
              </w:rPr>
              <w:t>14 a 18</w:t>
            </w:r>
          </w:p>
          <w:p w14:paraId="65C32028" w14:textId="0ED7DF24" w:rsidR="00F1574D" w:rsidRPr="0084446A" w:rsidRDefault="00334BD0" w:rsidP="00F1574D">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09B58FC0" w14:textId="6B8CCB77" w:rsidR="00637AFB" w:rsidRPr="0084446A" w:rsidRDefault="00334BD0" w:rsidP="00D669F8">
            <w:pPr>
              <w:spacing w:line="360" w:lineRule="auto"/>
              <w:jc w:val="both"/>
              <w:rPr>
                <w:rFonts w:ascii="Verdana" w:hAnsi="Verdana"/>
                <w:sz w:val="18"/>
                <w:szCs w:val="18"/>
              </w:rPr>
            </w:pPr>
            <w:r>
              <w:rPr>
                <w:rFonts w:ascii="Verdana" w:hAnsi="Verdana"/>
                <w:sz w:val="18"/>
                <w:szCs w:val="18"/>
              </w:rPr>
              <w:t>En estas diapositivas se enumeran los diferentes cursos que se impartirán durante la formación. No es necesario que el formador dedique mucho tiempo a estas diapositivas. El objetivo es que los participantes sepan lo que deben esperar del curso de formación de tres días.</w:t>
            </w:r>
          </w:p>
        </w:tc>
      </w:tr>
      <w:tr w:rsidR="00F1574D" w:rsidRPr="00D82C18" w14:paraId="3C4A313A" w14:textId="77777777" w:rsidTr="00F1574D">
        <w:trPr>
          <w:trHeight w:val="890"/>
        </w:trPr>
        <w:tc>
          <w:tcPr>
            <w:tcW w:w="1525" w:type="dxa"/>
            <w:vAlign w:val="center"/>
          </w:tcPr>
          <w:p w14:paraId="7D3B0567" w14:textId="103873A6" w:rsidR="00F1574D" w:rsidRDefault="001A4984" w:rsidP="00F1574D">
            <w:pPr>
              <w:spacing w:before="120" w:after="120" w:line="280" w:lineRule="exact"/>
              <w:jc w:val="center"/>
              <w:rPr>
                <w:rFonts w:ascii="Verdana" w:hAnsi="Verdana"/>
                <w:sz w:val="18"/>
                <w:szCs w:val="18"/>
              </w:rPr>
            </w:pPr>
            <w:r>
              <w:rPr>
                <w:rFonts w:ascii="Verdana" w:hAnsi="Verdana"/>
                <w:sz w:val="18"/>
                <w:szCs w:val="18"/>
              </w:rPr>
              <w:t>19 a 21</w:t>
            </w:r>
          </w:p>
          <w:p w14:paraId="00098EC4" w14:textId="60480880" w:rsidR="00334BD0" w:rsidRPr="003F6587" w:rsidRDefault="00334BD0" w:rsidP="00F1574D">
            <w:pPr>
              <w:spacing w:before="120" w:after="120" w:line="280" w:lineRule="exact"/>
              <w:jc w:val="center"/>
              <w:rPr>
                <w:rFonts w:ascii="Verdana" w:hAnsi="Verdana"/>
                <w:sz w:val="18"/>
                <w:szCs w:val="18"/>
              </w:rPr>
            </w:pPr>
            <w:r>
              <w:rPr>
                <w:rFonts w:ascii="Verdana" w:hAnsi="Verdana"/>
                <w:sz w:val="18"/>
                <w:szCs w:val="18"/>
              </w:rPr>
              <w:t>Diapositivas importantes</w:t>
            </w:r>
          </w:p>
        </w:tc>
        <w:tc>
          <w:tcPr>
            <w:tcW w:w="7485" w:type="dxa"/>
            <w:gridSpan w:val="2"/>
            <w:vAlign w:val="center"/>
          </w:tcPr>
          <w:p w14:paraId="09B693A1" w14:textId="112C6E2C" w:rsidR="00556D69" w:rsidRPr="006527C6" w:rsidRDefault="00334BD0" w:rsidP="00314D32">
            <w:pPr>
              <w:spacing w:after="120" w:line="360" w:lineRule="auto"/>
              <w:jc w:val="both"/>
              <w:rPr>
                <w:rFonts w:ascii="Verdana" w:hAnsi="Verdana"/>
                <w:sz w:val="18"/>
                <w:szCs w:val="18"/>
              </w:rPr>
            </w:pPr>
            <w:r>
              <w:rPr>
                <w:rFonts w:ascii="Verdana" w:hAnsi="Verdana"/>
                <w:sz w:val="18"/>
                <w:szCs w:val="18"/>
              </w:rPr>
              <w:t>El formador deberá volver a recordar los objetivos de la sesión con los delegados y darles la oportunidad de formular cualquier pregunta relacionada con los materiales tratados en este módulo.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Ejercicios prácticos</w:t>
            </w:r>
          </w:p>
          <w:p w14:paraId="04D65D89" w14:textId="53DBD58E"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Esta lección no incluye ejercicios prácticos.</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Evaluación/comprobación de conocimientos</w:t>
            </w:r>
          </w:p>
          <w:p w14:paraId="4496975B" w14:textId="3CB764F1" w:rsidR="00CB3026" w:rsidRPr="00CB3026" w:rsidRDefault="00334BD0" w:rsidP="00B3608C">
            <w:pPr>
              <w:spacing w:before="120" w:after="120" w:line="280" w:lineRule="exact"/>
              <w:rPr>
                <w:rFonts w:ascii="Verdana" w:hAnsi="Verdana"/>
                <w:sz w:val="18"/>
                <w:szCs w:val="18"/>
              </w:rPr>
            </w:pPr>
            <w:r>
              <w:rPr>
                <w:rFonts w:ascii="Verdana" w:hAnsi="Verdana"/>
                <w:color w:val="000000" w:themeColor="text1"/>
                <w:sz w:val="18"/>
                <w:szCs w:val="18"/>
              </w:rPr>
              <w:t xml:space="preserve">El formador deberá realizar una comprobación de conocimientos mediante las diapositivas de la Parte 3 de esta sesión. </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7"/>
  </w:num>
  <w:num w:numId="4">
    <w:abstractNumId w:val="5"/>
  </w:num>
  <w:num w:numId="5">
    <w:abstractNumId w:val="6"/>
  </w:num>
  <w:num w:numId="6">
    <w:abstractNumId w:val="12"/>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A4984"/>
    <w:rsid w:val="001D603D"/>
    <w:rsid w:val="001E7389"/>
    <w:rsid w:val="00271010"/>
    <w:rsid w:val="002D52FC"/>
    <w:rsid w:val="002E3ECE"/>
    <w:rsid w:val="002F3B54"/>
    <w:rsid w:val="00314D32"/>
    <w:rsid w:val="00334BD0"/>
    <w:rsid w:val="0034224C"/>
    <w:rsid w:val="00342639"/>
    <w:rsid w:val="003453F7"/>
    <w:rsid w:val="00354496"/>
    <w:rsid w:val="003630ED"/>
    <w:rsid w:val="003802A0"/>
    <w:rsid w:val="003A435F"/>
    <w:rsid w:val="003E2876"/>
    <w:rsid w:val="003F6587"/>
    <w:rsid w:val="00437AF3"/>
    <w:rsid w:val="00450007"/>
    <w:rsid w:val="0045630D"/>
    <w:rsid w:val="00457DD3"/>
    <w:rsid w:val="00473D36"/>
    <w:rsid w:val="00482B64"/>
    <w:rsid w:val="00487263"/>
    <w:rsid w:val="004B3289"/>
    <w:rsid w:val="004B7351"/>
    <w:rsid w:val="00514FE0"/>
    <w:rsid w:val="00556D69"/>
    <w:rsid w:val="005703B7"/>
    <w:rsid w:val="005A4E47"/>
    <w:rsid w:val="005D4432"/>
    <w:rsid w:val="0062475C"/>
    <w:rsid w:val="00637AFB"/>
    <w:rsid w:val="006527C6"/>
    <w:rsid w:val="00671ADF"/>
    <w:rsid w:val="00680264"/>
    <w:rsid w:val="006B0B52"/>
    <w:rsid w:val="0075334E"/>
    <w:rsid w:val="007678A6"/>
    <w:rsid w:val="007B1154"/>
    <w:rsid w:val="007E3B3E"/>
    <w:rsid w:val="007F4E03"/>
    <w:rsid w:val="0084446A"/>
    <w:rsid w:val="00844FBF"/>
    <w:rsid w:val="008817F1"/>
    <w:rsid w:val="00881F77"/>
    <w:rsid w:val="008A4C93"/>
    <w:rsid w:val="008C3900"/>
    <w:rsid w:val="008E3FE7"/>
    <w:rsid w:val="00906F18"/>
    <w:rsid w:val="00951791"/>
    <w:rsid w:val="009B4375"/>
    <w:rsid w:val="009D1DB1"/>
    <w:rsid w:val="009E1A27"/>
    <w:rsid w:val="009E3827"/>
    <w:rsid w:val="009F336B"/>
    <w:rsid w:val="00A03CF0"/>
    <w:rsid w:val="00A342ED"/>
    <w:rsid w:val="00A37A8B"/>
    <w:rsid w:val="00A4110D"/>
    <w:rsid w:val="00A439ED"/>
    <w:rsid w:val="00A55067"/>
    <w:rsid w:val="00A734A5"/>
    <w:rsid w:val="00A76996"/>
    <w:rsid w:val="00A94D8B"/>
    <w:rsid w:val="00AA5742"/>
    <w:rsid w:val="00AC1380"/>
    <w:rsid w:val="00AC45A8"/>
    <w:rsid w:val="00AD7035"/>
    <w:rsid w:val="00AF1106"/>
    <w:rsid w:val="00B3608C"/>
    <w:rsid w:val="00BA7368"/>
    <w:rsid w:val="00C115FC"/>
    <w:rsid w:val="00C541A2"/>
    <w:rsid w:val="00C70C5C"/>
    <w:rsid w:val="00CB02C4"/>
    <w:rsid w:val="00CB3026"/>
    <w:rsid w:val="00CB708C"/>
    <w:rsid w:val="00CC1F79"/>
    <w:rsid w:val="00D01990"/>
    <w:rsid w:val="00D168CC"/>
    <w:rsid w:val="00D26830"/>
    <w:rsid w:val="00D57822"/>
    <w:rsid w:val="00D669F8"/>
    <w:rsid w:val="00D82C18"/>
    <w:rsid w:val="00E13BE7"/>
    <w:rsid w:val="00E243AE"/>
    <w:rsid w:val="00E31F52"/>
    <w:rsid w:val="00E7344B"/>
    <w:rsid w:val="00E95703"/>
    <w:rsid w:val="00EB21C2"/>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next w:val="Normal"/>
    <w:link w:val="Ttulo1C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Ttulo2">
    <w:name w:val="heading 2"/>
    <w:basedOn w:val="Normal"/>
    <w:next w:val="Normal"/>
    <w:link w:val="Ttulo2C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Ttulo3">
    <w:name w:val="heading 3"/>
    <w:basedOn w:val="Normal"/>
    <w:next w:val="Normal"/>
    <w:link w:val="Ttulo3C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Ttulo4">
    <w:name w:val="heading 4"/>
    <w:basedOn w:val="Normal"/>
    <w:next w:val="Normal"/>
    <w:link w:val="Ttulo4C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Ttulo5">
    <w:name w:val="heading 5"/>
    <w:basedOn w:val="Normal"/>
    <w:next w:val="Normal"/>
    <w:link w:val="Ttulo5C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Ttulo6">
    <w:name w:val="heading 6"/>
    <w:basedOn w:val="Normal"/>
    <w:next w:val="Normal"/>
    <w:link w:val="Ttulo6C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Ttulo7">
    <w:name w:val="heading 7"/>
    <w:basedOn w:val="Normal"/>
    <w:next w:val="Normal"/>
    <w:link w:val="Ttulo7C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Ttulo8">
    <w:name w:val="heading 8"/>
    <w:basedOn w:val="Normal"/>
    <w:next w:val="Normal"/>
    <w:link w:val="Ttulo8C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es-ES" w:eastAsia="de-DE"/>
    </w:rPr>
  </w:style>
  <w:style w:type="character" w:styleId="Hipervnculo">
    <w:name w:val="Hyperlink"/>
    <w:basedOn w:val="Fuentedeprrafopredeter"/>
    <w:uiPriority w:val="99"/>
    <w:unhideWhenUsed/>
    <w:rsid w:val="005703B7"/>
    <w:rPr>
      <w:color w:val="0563C1" w:themeColor="hyperlink"/>
      <w:u w:val="single"/>
    </w:rPr>
  </w:style>
  <w:style w:type="paragraph" w:styleId="Subttulo">
    <w:name w:val="Subtitle"/>
    <w:basedOn w:val="Normal"/>
    <w:next w:val="Normal"/>
    <w:link w:val="Subttulo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
    <w:name w:val="Subtítulo Car"/>
    <w:basedOn w:val="Fuentedeprrafopredeter"/>
    <w:link w:val="Subttulo"/>
    <w:uiPriority w:val="11"/>
    <w:rsid w:val="00CB3026"/>
    <w:rPr>
      <w:rFonts w:ascii="Verdana Bold" w:eastAsiaTheme="majorEastAsia" w:hAnsi="Verdana Bold" w:cstheme="majorBidi"/>
      <w:iCs/>
      <w:color w:val="000000" w:themeColor="text1"/>
      <w:sz w:val="18"/>
    </w:rPr>
  </w:style>
  <w:style w:type="character" w:customStyle="1" w:styleId="Ttulo1Car">
    <w:name w:val="Título 1 Car"/>
    <w:basedOn w:val="Fuentedeprrafopredeter"/>
    <w:link w:val="Ttulo1"/>
    <w:uiPriority w:val="9"/>
    <w:rsid w:val="003453F7"/>
    <w:rPr>
      <w:rFonts w:ascii="Verdana" w:eastAsiaTheme="majorEastAsia" w:hAnsi="Verdana" w:cstheme="majorBidi"/>
      <w:b/>
      <w:bCs/>
      <w:sz w:val="28"/>
      <w:szCs w:val="28"/>
    </w:rPr>
  </w:style>
  <w:style w:type="character" w:customStyle="1" w:styleId="Ttulo2Car">
    <w:name w:val="Título 2 Car"/>
    <w:basedOn w:val="Fuentedeprrafopredeter"/>
    <w:link w:val="Ttulo2"/>
    <w:uiPriority w:val="9"/>
    <w:rsid w:val="003453F7"/>
    <w:rPr>
      <w:rFonts w:ascii="Verdana" w:eastAsiaTheme="majorEastAsia" w:hAnsi="Verdana" w:cstheme="majorBidi"/>
      <w:b/>
      <w:bCs/>
      <w:sz w:val="20"/>
      <w:szCs w:val="26"/>
    </w:rPr>
  </w:style>
  <w:style w:type="character" w:customStyle="1" w:styleId="Ttulo3Car">
    <w:name w:val="Título 3 Car"/>
    <w:basedOn w:val="Fuentedeprrafopredeter"/>
    <w:link w:val="Ttulo3"/>
    <w:uiPriority w:val="9"/>
    <w:rsid w:val="003453F7"/>
    <w:rPr>
      <w:rFonts w:ascii="Verdana" w:eastAsiaTheme="majorEastAsia" w:hAnsi="Verdana" w:cstheme="majorBidi"/>
      <w:b/>
      <w:bCs/>
      <w:sz w:val="18"/>
      <w:szCs w:val="22"/>
    </w:rPr>
  </w:style>
  <w:style w:type="character" w:customStyle="1" w:styleId="Ttulo4Car">
    <w:name w:val="Título 4 Car"/>
    <w:basedOn w:val="Fuentedeprrafopredeter"/>
    <w:link w:val="Ttulo4"/>
    <w:uiPriority w:val="9"/>
    <w:rsid w:val="003453F7"/>
    <w:rPr>
      <w:rFonts w:ascii="Verdana" w:eastAsiaTheme="majorEastAsia" w:hAnsi="Verdana" w:cstheme="majorBidi"/>
      <w:b/>
      <w:bCs/>
      <w:iCs/>
      <w:sz w:val="18"/>
      <w:szCs w:val="22"/>
    </w:rPr>
  </w:style>
  <w:style w:type="character" w:customStyle="1" w:styleId="Ttulo5Car">
    <w:name w:val="Título 5 Car"/>
    <w:basedOn w:val="Fuentedeprrafopredeter"/>
    <w:link w:val="Ttulo5"/>
    <w:uiPriority w:val="9"/>
    <w:rsid w:val="003453F7"/>
    <w:rPr>
      <w:rFonts w:asciiTheme="majorHAnsi" w:eastAsiaTheme="majorEastAsia" w:hAnsiTheme="majorHAnsi" w:cstheme="majorBidi"/>
      <w:color w:val="1F3763" w:themeColor="accent1" w:themeShade="7F"/>
      <w:sz w:val="22"/>
      <w:szCs w:val="22"/>
    </w:rPr>
  </w:style>
  <w:style w:type="character" w:customStyle="1" w:styleId="Ttulo6Car">
    <w:name w:val="Título 6 Car"/>
    <w:basedOn w:val="Fuentedeprrafopredeter"/>
    <w:link w:val="Ttulo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Ttulo7Car">
    <w:name w:val="Título 7 Car"/>
    <w:basedOn w:val="Fuentedeprrafopredeter"/>
    <w:link w:val="Ttulo7"/>
    <w:uiPriority w:val="9"/>
    <w:rsid w:val="003453F7"/>
    <w:rPr>
      <w:rFonts w:asciiTheme="majorHAnsi" w:eastAsiaTheme="majorEastAsia" w:hAnsiTheme="majorHAnsi" w:cstheme="majorBidi"/>
      <w:i/>
      <w:iCs/>
      <w:color w:val="404040" w:themeColor="text1" w:themeTint="BF"/>
      <w:sz w:val="22"/>
      <w:szCs w:val="22"/>
    </w:rPr>
  </w:style>
  <w:style w:type="character" w:customStyle="1" w:styleId="Ttulo8Car">
    <w:name w:val="Título 8 Car"/>
    <w:basedOn w:val="Fuentedeprrafopredeter"/>
    <w:link w:val="Ttulo8"/>
    <w:uiPriority w:val="9"/>
    <w:rsid w:val="003453F7"/>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Mencinsinresolver">
    <w:name w:val="Unresolved Mention"/>
    <w:basedOn w:val="Fuentedeprrafopredeter"/>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574</Words>
  <Characters>3162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Javier Torres</cp:lastModifiedBy>
  <cp:revision>5</cp:revision>
  <dcterms:created xsi:type="dcterms:W3CDTF">2020-10-23T18:43:00Z</dcterms:created>
  <dcterms:modified xsi:type="dcterms:W3CDTF">2021-05-12T17:57:00Z</dcterms:modified>
</cp:coreProperties>
</file>