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0BF73FC7" w:rsidR="00D82C18" w:rsidRPr="00C62596" w:rsidRDefault="004904B8" w:rsidP="00C62596">
      <w:pPr>
        <w:spacing w:before="120" w:after="120" w:line="260" w:lineRule="atLeast"/>
        <w:rPr>
          <w:rFonts w:ascii="Verdana" w:hAnsi="Verdana"/>
          <w:b/>
          <w:bCs/>
          <w:lang w:val="sr-Latn-RS"/>
        </w:rPr>
      </w:pPr>
      <w:r w:rsidRPr="00C62596">
        <w:rPr>
          <w:rFonts w:ascii="Verdana" w:hAnsi="Verdana"/>
          <w:b/>
          <w:bCs/>
          <w:sz w:val="28"/>
          <w:szCs w:val="28"/>
          <w:lang w:val="sr-Latn-RS"/>
        </w:rPr>
        <w:t xml:space="preserve">Lekcija </w:t>
      </w:r>
      <w:r w:rsidR="00C115FC" w:rsidRPr="00C62596">
        <w:rPr>
          <w:rFonts w:ascii="Verdana" w:hAnsi="Verdana"/>
          <w:b/>
          <w:bCs/>
          <w:sz w:val="28"/>
          <w:szCs w:val="28"/>
          <w:lang w:val="sr-Latn-RS"/>
        </w:rPr>
        <w:t>1.</w:t>
      </w:r>
      <w:r w:rsidR="00B56791" w:rsidRPr="00C62596">
        <w:rPr>
          <w:rFonts w:ascii="Verdana" w:hAnsi="Verdana"/>
          <w:b/>
          <w:bCs/>
          <w:sz w:val="28"/>
          <w:szCs w:val="28"/>
          <w:lang w:val="sr-Latn-RS"/>
        </w:rPr>
        <w:t>5</w:t>
      </w:r>
      <w:r w:rsidR="00D82C18" w:rsidRPr="00C62596">
        <w:rPr>
          <w:rFonts w:ascii="Verdana" w:hAnsi="Verdana"/>
          <w:b/>
          <w:bCs/>
          <w:sz w:val="28"/>
          <w:szCs w:val="28"/>
          <w:lang w:val="sr-Latn-RS"/>
        </w:rPr>
        <w:t xml:space="preserve"> </w:t>
      </w:r>
      <w:r w:rsidRPr="00C62596">
        <w:rPr>
          <w:rFonts w:ascii="Verdana" w:hAnsi="Verdana"/>
          <w:b/>
          <w:bCs/>
          <w:sz w:val="28"/>
          <w:szCs w:val="28"/>
          <w:lang w:val="sr-Latn-RS"/>
        </w:rPr>
        <w:t>Uzajamna pravna pomoć, postupci i praksa</w:t>
      </w:r>
    </w:p>
    <w:p w14:paraId="1D0E3DC5" w14:textId="77777777" w:rsidR="00C115FC" w:rsidRPr="00C62596" w:rsidRDefault="00C115FC" w:rsidP="00C62596">
      <w:pPr>
        <w:spacing w:before="120" w:after="120" w:line="260" w:lineRule="atLeast"/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C62596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1740535F" w:rsidR="00D82C18" w:rsidRPr="00C62596" w:rsidRDefault="004904B8" w:rsidP="00C6259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sz w:val="22"/>
                <w:szCs w:val="22"/>
                <w:lang w:val="sr-Latn-RS"/>
              </w:rPr>
              <w:t xml:space="preserve">Lekcija </w:t>
            </w:r>
            <w:r w:rsidR="00C115FC" w:rsidRPr="00C62596">
              <w:rPr>
                <w:rFonts w:ascii="Verdana" w:hAnsi="Verdana"/>
                <w:sz w:val="22"/>
                <w:szCs w:val="22"/>
                <w:lang w:val="sr-Latn-RS"/>
              </w:rPr>
              <w:t>1.</w:t>
            </w:r>
            <w:r w:rsidR="00B56791" w:rsidRPr="00C62596">
              <w:rPr>
                <w:rFonts w:ascii="Verdana" w:hAnsi="Verdana"/>
                <w:sz w:val="22"/>
                <w:szCs w:val="22"/>
                <w:lang w:val="sr-Latn-RS"/>
              </w:rPr>
              <w:t>5</w:t>
            </w:r>
            <w:r w:rsidR="00773F6C" w:rsidRPr="00C62596">
              <w:rPr>
                <w:rFonts w:ascii="Verdana" w:hAnsi="Verdana"/>
                <w:color w:val="000000" w:themeColor="text1"/>
                <w:sz w:val="28"/>
                <w:szCs w:val="28"/>
                <w:lang w:val="sr-Latn-RS"/>
              </w:rPr>
              <w:t xml:space="preserve"> </w:t>
            </w:r>
            <w:r w:rsidRPr="00C6259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Uzajamna pravna pomoć, postupci i praksa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4379FE03" w:rsidR="00D82C18" w:rsidRPr="00C62596" w:rsidRDefault="004904B8" w:rsidP="00C6259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C62596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773F6C" w:rsidRPr="00C6259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C6259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C6259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C62596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628E6D85" w14:textId="77777777" w:rsidR="004904B8" w:rsidRPr="00C62596" w:rsidRDefault="004904B8" w:rsidP="00C6259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Potrebni resursi: </w:t>
            </w:r>
          </w:p>
          <w:p w14:paraId="0D0C80B4" w14:textId="77777777" w:rsidR="004904B8" w:rsidRPr="00C62596" w:rsidRDefault="004904B8" w:rsidP="00C6259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C62596">
              <w:rPr>
                <w:lang w:val="sr-Latn-RS"/>
              </w:rPr>
              <w:t xml:space="preserve">PC/laptop s verzijama softvera kompatibilnim s pripremljenim materijalima </w:t>
            </w:r>
          </w:p>
          <w:p w14:paraId="33B236C2" w14:textId="77777777" w:rsidR="004904B8" w:rsidRPr="00C62596" w:rsidRDefault="004904B8" w:rsidP="00C6259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C62596">
              <w:rPr>
                <w:lang w:val="sr-Latn-RS"/>
              </w:rPr>
              <w:t xml:space="preserve">Pristup internetu (ukoliko je na raspolaganju) </w:t>
            </w:r>
          </w:p>
          <w:p w14:paraId="14CF9EF0" w14:textId="74A262B6" w:rsidR="000F7896" w:rsidRPr="00C62596" w:rsidRDefault="004904B8" w:rsidP="00C6259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C62596">
              <w:rPr>
                <w:lang w:val="sr-Latn-RS"/>
              </w:rPr>
              <w:t>PowerPoint i</w:t>
            </w:r>
            <w:r w:rsidR="005E383C" w:rsidRPr="00C62596">
              <w:rPr>
                <w:lang w:val="sr-Latn-RS"/>
              </w:rPr>
              <w:t>l</w:t>
            </w:r>
            <w:r w:rsidRPr="00C62596">
              <w:rPr>
                <w:lang w:val="sr-Latn-RS"/>
              </w:rPr>
              <w:t xml:space="preserve">i drugi softver za prezentacije </w:t>
            </w:r>
          </w:p>
        </w:tc>
      </w:tr>
      <w:tr w:rsidR="00E7344B" w:rsidRPr="00C62596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3F86D31E" w:rsidR="00A03CF0" w:rsidRPr="00C62596" w:rsidRDefault="004904B8" w:rsidP="00C6259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Cilj sesije</w:t>
            </w:r>
            <w:r w:rsidR="00A03CF0"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:  </w:t>
            </w:r>
          </w:p>
          <w:p w14:paraId="604FEF4C" w14:textId="77777777" w:rsidR="004904B8" w:rsidRPr="00C62596" w:rsidRDefault="004904B8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usmerena na razmatranje pojma prakse i postupaka u pogledu Uzajamne pravne pomoći (UPP) i ekstradicije; postojeći izazovi u procesu pružanja UPP i kako različiti pravni sistemi mogu uticati na efikasnost procesa pružanja UPP. </w:t>
            </w:r>
          </w:p>
          <w:p w14:paraId="303D581E" w14:textId="759C2DF8" w:rsidR="00B56791" w:rsidRPr="00C62596" w:rsidRDefault="004904B8" w:rsidP="00C62596">
            <w:pPr>
              <w:spacing w:before="120" w:after="120" w:line="260" w:lineRule="atLeast"/>
              <w:contextualSpacing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Postupci saradnje sa privatnim entitetima treba da dopune postupak UPP, jer neki od njenih formalnih aspekata proističu iz Konvencije i domaćih zakona, npr. direktna saradnja sa davaocima internet usluga (Internet Service Providers – ISP)</w:t>
            </w:r>
            <w:r w:rsidR="00B56791" w:rsidRPr="00C62596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3FE58655" w14:textId="04E941D8" w:rsidR="00A03CF0" w:rsidRPr="00C62596" w:rsidRDefault="00A03CF0" w:rsidP="00C62596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</w:p>
        </w:tc>
      </w:tr>
      <w:tr w:rsidR="00A03CF0" w:rsidRPr="00C62596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1FEF20B9" w14:textId="77777777" w:rsidR="00FE15D2" w:rsidRPr="00C62596" w:rsidRDefault="00FE15D2" w:rsidP="00C6259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</w:p>
          <w:p w14:paraId="559A7E05" w14:textId="257A8991" w:rsidR="00A03CF0" w:rsidRPr="00C62596" w:rsidRDefault="004904B8" w:rsidP="00C6259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Zadaci</w:t>
            </w:r>
            <w:r w:rsidR="00271010"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56A197ED" w14:textId="77777777" w:rsidR="00D10905" w:rsidRPr="00C62596" w:rsidRDefault="00D10905" w:rsidP="00C62596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bolje razumeti praksu i postupke uzajamne pravne pomoći; </w:t>
            </w:r>
          </w:p>
          <w:p w14:paraId="104E4946" w14:textId="53B97E65" w:rsidR="00D10905" w:rsidRPr="00C62596" w:rsidRDefault="00D10905" w:rsidP="00C62596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izazovima u procesu pružanja UPP, šta </w:t>
            </w:r>
            <w:r w:rsidR="00EA50F5"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utiče na </w:t>
            </w: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efikasnost tog procesa</w:t>
            </w:r>
            <w:r w:rsidR="00EA50F5"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  </w:t>
            </w:r>
            <w:r w:rsidR="0091467A"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i </w:t>
            </w:r>
            <w:r w:rsidR="00EA50F5"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na koji način</w:t>
            </w: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; </w:t>
            </w:r>
          </w:p>
          <w:p w14:paraId="265DC4AB" w14:textId="77777777" w:rsidR="00D10905" w:rsidRPr="00C62596" w:rsidRDefault="00D10905" w:rsidP="00C62596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instrumentima saradnje, standardima i kanalima komunikacije; </w:t>
            </w:r>
          </w:p>
          <w:p w14:paraId="764E9D79" w14:textId="77777777" w:rsidR="00D10905" w:rsidRPr="00C62596" w:rsidRDefault="00D10905" w:rsidP="00C62596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razumeti različite zakonske uslove; </w:t>
            </w:r>
          </w:p>
          <w:p w14:paraId="40FC247E" w14:textId="77777777" w:rsidR="00D10905" w:rsidRPr="00C62596" w:rsidRDefault="00D10905" w:rsidP="00C62596">
            <w:pPr>
              <w:pStyle w:val="ListParagraph"/>
              <w:numPr>
                <w:ilvl w:val="0"/>
                <w:numId w:val="18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upoznati se sa postojećim procenama UPP i preporukama za poboljšanje procesa; </w:t>
            </w:r>
          </w:p>
          <w:p w14:paraId="61ABEAC5" w14:textId="52A20D23" w:rsidR="004D35F1" w:rsidRPr="00C62596" w:rsidRDefault="00D10905" w:rsidP="00C6259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proširiti znanja o postojećim alatima za podršku.</w:t>
            </w:r>
          </w:p>
        </w:tc>
      </w:tr>
      <w:tr w:rsidR="005703B7" w:rsidRPr="00C62596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19777979" w:rsidR="005703B7" w:rsidRPr="00C62596" w:rsidRDefault="00D10905" w:rsidP="00C6259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lastRenderedPageBreak/>
              <w:t>Smernice za trenera</w:t>
            </w:r>
          </w:p>
          <w:p w14:paraId="78A89A10" w14:textId="5E41D588" w:rsidR="00463FE7" w:rsidRPr="00C62596" w:rsidRDefault="00D10905" w:rsidP="00C62596">
            <w:pPr>
              <w:spacing w:before="120" w:after="120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Tokom sesije treba razmotriti sledeće teme</w:t>
            </w:r>
            <w:r w:rsidR="004D35F1" w:rsidRPr="00C6259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:</w:t>
            </w:r>
          </w:p>
          <w:p w14:paraId="54BE85C5" w14:textId="463E1FEF" w:rsidR="00D10905" w:rsidRPr="00C62596" w:rsidRDefault="00D10905" w:rsidP="00C62596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Međunarodni instrumenti saradnje, standardi i kanali komunikacije, uključujući bilateralne, multilateralne i međunarodne ugovore, s posebnim osvrtom na Budimpeštansku konvenciju; </w:t>
            </w:r>
          </w:p>
          <w:p w14:paraId="2C1EC098" w14:textId="69504C3A" w:rsidR="00D10905" w:rsidRPr="00C62596" w:rsidRDefault="00D10905" w:rsidP="00C62596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Kanali komunikacije treba da obuhvate direktno dostavljanje i upućivanje između centralnih organa, diplomatske i kanale Interpola i brze komunikacije; </w:t>
            </w:r>
          </w:p>
          <w:p w14:paraId="32CF5286" w14:textId="507B3029" w:rsidR="00D10905" w:rsidRPr="00C62596" w:rsidRDefault="00D10905" w:rsidP="00C62596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Zakonski uslovi i razmatranja u pogledu UPP, uključujući formu zahteva, sadržaj, dodatne informacije i primenu domaćeg zakonodavstva; </w:t>
            </w:r>
          </w:p>
          <w:p w14:paraId="569DA736" w14:textId="32086414" w:rsidR="00D10905" w:rsidRPr="00C62596" w:rsidRDefault="00D10905" w:rsidP="00C62596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Razmatranja treba da obuhvate stavove i pitanja zamoljene i strane molilje; </w:t>
            </w:r>
          </w:p>
          <w:p w14:paraId="792495DC" w14:textId="5C9D48FE" w:rsidR="00D10905" w:rsidRPr="00C62596" w:rsidRDefault="00D10905" w:rsidP="00C62596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 xml:space="preserve">Procena Saveta Evrope u odnosu na odredbe o UPP i druge odredbe, preporuke i postojeći alati za podršku; </w:t>
            </w:r>
          </w:p>
          <w:p w14:paraId="5EFF4BEF" w14:textId="341847C6" w:rsidR="0091467A" w:rsidRPr="00C62596" w:rsidRDefault="00D10905" w:rsidP="00C62596">
            <w:pPr>
              <w:pStyle w:val="ListParagraph"/>
              <w:widowControl w:val="0"/>
              <w:numPr>
                <w:ilvl w:val="0"/>
                <w:numId w:val="22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  <w:t>Alati za podršku se koriste putem aktivne internet konekcije.</w:t>
            </w:r>
          </w:p>
        </w:tc>
      </w:tr>
      <w:tr w:rsidR="005A4E47" w:rsidRPr="00C62596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230FF9C" w:rsidR="005A4E47" w:rsidRPr="00C62596" w:rsidRDefault="00D10905" w:rsidP="00C6259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C62596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F1574D" w:rsidRPr="00C62596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6BC57198" w:rsidR="00D82C18" w:rsidRPr="00C62596" w:rsidRDefault="00D10905" w:rsidP="00C6259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3B2F514F" w:rsidR="00D82C18" w:rsidRPr="00C62596" w:rsidRDefault="00D10905" w:rsidP="00C6259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C62596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6B3D24EA" w:rsidR="00D82C18" w:rsidRPr="00C62596" w:rsidRDefault="00D10905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1 -</w:t>
            </w:r>
            <w:r w:rsidR="003630ED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</w:p>
          <w:p w14:paraId="5A89CF27" w14:textId="71EEF2DB" w:rsidR="00F1574D" w:rsidRPr="00C62596" w:rsidRDefault="00F1574D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22863B6B" w:rsidR="00556D69" w:rsidRPr="00C62596" w:rsidRDefault="00D10905" w:rsidP="00C62596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Prvi slajdovi predstavljaju uvod u sesiju i obuhvataju program i ciljeve sesije, zajedno sa nekim podtemama iz Uvodnog kursa za osvežavanje znanja.</w:t>
            </w:r>
            <w:r w:rsidR="00556D69" w:rsidRPr="00C6259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 </w:t>
            </w:r>
          </w:p>
        </w:tc>
      </w:tr>
      <w:tr w:rsidR="00F1574D" w:rsidRPr="00C62596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26B234C1" w:rsidR="00F1574D" w:rsidRPr="00C62596" w:rsidRDefault="00FE15D2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151E6A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- 7</w:t>
            </w:r>
          </w:p>
        </w:tc>
        <w:tc>
          <w:tcPr>
            <w:tcW w:w="7485" w:type="dxa"/>
            <w:gridSpan w:val="2"/>
            <w:vAlign w:val="center"/>
          </w:tcPr>
          <w:p w14:paraId="3599EE10" w14:textId="77777777" w:rsidR="00DE4C23" w:rsidRPr="00C62596" w:rsidRDefault="00DE4C23" w:rsidP="00C6259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Cs w:val="18"/>
                <w:lang w:val="sr-Latn-RS"/>
              </w:rPr>
              <w:t>Na ovim slajdovima se Ugovor o uzajamnoj pravnoj pomoći (UPP) tumači kao sporazum između dve ili više zemalja u svrhu prikupljanja i razmene informacija, kako bi se sproveli javni i krivični zakoni. Osnovni nivo uzajamne pravne pomoći predstavljaju ugovori. Postoji čitav niz različitih ugovora, počevši sa bilateralnim (između dve zemlje), zatim multilateralni (između tri ili više zemalja) i međunarodni (koje potpisuje značajan broj država, mogu biti i međukontinentalni).</w:t>
            </w:r>
          </w:p>
          <w:p w14:paraId="7E87A5C0" w14:textId="77777777" w:rsidR="00DE4C23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Cs w:val="18"/>
                <w:lang w:val="sr-Latn-RS"/>
              </w:rPr>
              <w:t xml:space="preserve">Razlog za osnaživanje tih ugovora mahom leži u tome da opšti principi međunarodnog prava nisu izvršni, te je državama koje ih potpisuju potreban solidniji osnov za saradnju u oblasti krivičnog prava. Prednosti i nedostaci jasno su prikazani na slajdu. </w:t>
            </w:r>
          </w:p>
          <w:p w14:paraId="34EEC2A4" w14:textId="77777777" w:rsidR="00DE4C23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Cs w:val="18"/>
                <w:lang w:val="sr-Latn-RS"/>
              </w:rPr>
              <w:t>Međunarodne konvencije su ugovori ili sporazumi između država. „Međunarodna konvencija“ je pojam koji se često koristi naizmenično sa pomovima poput „međunarodnog ugovora,“ „međunarodnog sporazuma,“ „sporazum“ ili „ugovor između država.“</w:t>
            </w:r>
          </w:p>
          <w:p w14:paraId="649FEA68" w14:textId="194BBD45" w:rsidR="00CB3026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Cs w:val="18"/>
                <w:lang w:val="sr-Latn-RS"/>
              </w:rPr>
              <w:t>Konvencije mogu biti opšteg ili posebnog tipa, između dve ili više država. Konvencije potpisane od strane dve države zovu se bilateralni ugovori; konvencije koje potpisuje mali broj država (ali više od dve) zovu se plurilateralne, a one između većeg broja država zovu se multilateralni ugovori</w:t>
            </w:r>
            <w:r w:rsidR="00151E6A" w:rsidRPr="00C62596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F1574D" w:rsidRPr="00C62596" w14:paraId="15587DD6" w14:textId="77777777" w:rsidTr="004030D5">
        <w:trPr>
          <w:trHeight w:val="890"/>
        </w:trPr>
        <w:tc>
          <w:tcPr>
            <w:tcW w:w="1525" w:type="dxa"/>
            <w:vAlign w:val="center"/>
          </w:tcPr>
          <w:p w14:paraId="65C32028" w14:textId="25D95205" w:rsidR="00F1574D" w:rsidRPr="00C62596" w:rsidRDefault="00FE15D2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8 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>-</w:t>
            </w:r>
            <w:r w:rsidR="00FE45CA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151E6A" w:rsidRPr="00C62596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7485" w:type="dxa"/>
            <w:gridSpan w:val="2"/>
            <w:vAlign w:val="center"/>
          </w:tcPr>
          <w:p w14:paraId="3778B98F" w14:textId="1DE46668" w:rsidR="00DE4C23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C62596">
              <w:rPr>
                <w:rFonts w:ascii="Verdana" w:eastAsia="Times New Roman" w:hAnsi="Verdana"/>
                <w:lang w:val="sr-Latn-RS"/>
              </w:rPr>
              <w:t>U ovoj grupi slajdova navode se kao primer neki međunarodni ugovori poput Budimpeštan</w:t>
            </w:r>
            <w:r w:rsidR="001A6A1C" w:rsidRPr="00C62596">
              <w:rPr>
                <w:rFonts w:ascii="Verdana" w:eastAsia="Times New Roman" w:hAnsi="Verdana"/>
                <w:lang w:val="sr-Latn-RS"/>
              </w:rPr>
              <w:t>s</w:t>
            </w:r>
            <w:r w:rsidRPr="00C62596">
              <w:rPr>
                <w:rFonts w:ascii="Verdana" w:eastAsia="Times New Roman" w:hAnsi="Verdana"/>
                <w:lang w:val="sr-Latn-RS"/>
              </w:rPr>
              <w:t>ke konvencije, Programa iz Hararea država Komonvelta itd</w:t>
            </w:r>
            <w:r w:rsidR="00D40796" w:rsidRPr="00C62596">
              <w:rPr>
                <w:rFonts w:ascii="Verdana" w:eastAsia="Times New Roman" w:hAnsi="Verdana"/>
                <w:lang w:val="sr-Latn-RS"/>
              </w:rPr>
              <w:t>.</w:t>
            </w:r>
          </w:p>
          <w:p w14:paraId="2D7362A4" w14:textId="77777777" w:rsidR="00DE4C23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C62596">
              <w:rPr>
                <w:rFonts w:ascii="Verdana" w:eastAsia="Times New Roman" w:hAnsi="Verdana"/>
                <w:lang w:val="sr-Latn-RS"/>
              </w:rPr>
              <w:t xml:space="preserve">Krivično pravo mora, dakle, pratiti taj tehnološki razvoj, koji otvara vrlo sofisticirane mogućnosti za zloupotrebu sajber prostora i nanošenje štete legitimnim interesima. Imajući u vidu prekogranični karakter informativnih mreža, neophodan je usklađen međunarodni odgovor na tu zloupotrebu. Jedino obavezujući međunarodni instrument može obezbediti nužnu delotvornost u borbi protiv ovih novih fenomena. </w:t>
            </w:r>
          </w:p>
          <w:p w14:paraId="09B58FC0" w14:textId="466124C8" w:rsidR="00151E6A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C62596">
              <w:rPr>
                <w:rFonts w:ascii="Verdana" w:eastAsia="Times New Roman" w:hAnsi="Verdana"/>
                <w:lang w:val="sr-Latn-RS"/>
              </w:rPr>
              <w:lastRenderedPageBreak/>
              <w:t>U okviru takvog instrumenta, pored mera međunarodne saradnje, potrebno je pozabaviti se i pitanjima materijalnog i procesnog prava, kao i pitanjima koja su usko povezana s korišćenjem informacionih tehnologija.</w:t>
            </w:r>
          </w:p>
        </w:tc>
      </w:tr>
      <w:tr w:rsidR="00F1574D" w:rsidRPr="00C62596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2879A0B3" w:rsidR="00556D69" w:rsidRPr="00C62596" w:rsidRDefault="005D7794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1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844FBF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>-</w:t>
            </w:r>
            <w:r w:rsidR="00844FBF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42EF3D35" w:rsidR="00450007" w:rsidRPr="00C62596" w:rsidRDefault="00DE4C23" w:rsidP="00C62596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C62596">
              <w:rPr>
                <w:rFonts w:ascii="Verdana" w:eastAsia="Times New Roman" w:hAnsi="Verdana"/>
                <w:lang w:val="sr-Latn-RS"/>
              </w:rPr>
              <w:t>Na ovim slajdovima su prikazani standardi međunarodne saradnje koje uspostavlja Budimpeštanska konvencija, kao i delokrug rada Grupe za nacrt protokola Komiteta za Budimpeštansku konvenciju (T-CY) Saveta Evrope, zadužene za Drugi dodatni protokol uz Konvenciju</w:t>
            </w:r>
            <w:r w:rsidR="005D7794" w:rsidRPr="00C62596">
              <w:rPr>
                <w:rFonts w:ascii="Verdana" w:eastAsia="Times New Roman" w:hAnsi="Verdana"/>
                <w:lang w:val="sr-Latn-RS"/>
              </w:rPr>
              <w:t>.</w:t>
            </w:r>
            <w:r w:rsidRPr="00C62596">
              <w:rPr>
                <w:rFonts w:ascii="Verdana" w:eastAsia="Times New Roman" w:hAnsi="Verdana"/>
                <w:lang w:val="sr-Latn-RS"/>
              </w:rPr>
              <w:t xml:space="preserve"> </w:t>
            </w:r>
          </w:p>
        </w:tc>
      </w:tr>
      <w:tr w:rsidR="00F1574D" w:rsidRPr="00C62596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43B2437B" w:rsidR="00F1574D" w:rsidRPr="00C62596" w:rsidRDefault="00FE15D2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20 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>-</w:t>
            </w:r>
            <w:r w:rsidR="003F6587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5D7794" w:rsidRPr="00C62596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24172A46" w:rsidR="00556D69" w:rsidRPr="00C62596" w:rsidRDefault="00DE4C23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 w:val="18"/>
                <w:szCs w:val="18"/>
                <w:lang w:val="sr-Latn-RS"/>
              </w:rPr>
              <w:t>U ovoj grupi slajdova predstavljeni su kanali ko</w:t>
            </w:r>
            <w:r w:rsidR="001A6A1C" w:rsidRPr="00C62596">
              <w:rPr>
                <w:rFonts w:ascii="Verdana" w:eastAsia="Times New Roman" w:hAnsi="Verdana"/>
                <w:sz w:val="18"/>
                <w:szCs w:val="18"/>
                <w:lang w:val="sr-Latn-RS"/>
              </w:rPr>
              <w:t>munikacije na primeru Konvencije</w:t>
            </w:r>
            <w:r w:rsidRPr="00C62596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Saveta Evrope o međusobnom pružanju pravne pomoći u krivičnim stvarima iz 1959. godine, zajedno sa Budimpeštanskom kovencijom i drugim relevantnim izvorima</w:t>
            </w:r>
            <w:r w:rsidR="005D7794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F1574D" w:rsidRPr="00C62596" w14:paraId="0425CAAD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054F45E0" w14:textId="6A9A4C71" w:rsidR="00F1574D" w:rsidRPr="00C62596" w:rsidRDefault="005D7794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3F6587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32</w:t>
            </w:r>
          </w:p>
        </w:tc>
        <w:tc>
          <w:tcPr>
            <w:tcW w:w="7485" w:type="dxa"/>
            <w:gridSpan w:val="2"/>
            <w:vAlign w:val="center"/>
          </w:tcPr>
          <w:p w14:paraId="4D384E6F" w14:textId="67A82103" w:rsidR="00556D69" w:rsidRPr="00C62596" w:rsidRDefault="0091467A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eastAsia="Times New Roman" w:hAnsi="Verdana"/>
                <w:sz w:val="18"/>
                <w:szCs w:val="18"/>
                <w:lang w:val="sr-Latn-RS"/>
              </w:rPr>
              <w:t>Na ovi</w:t>
            </w:r>
            <w:r w:rsidR="00A37027" w:rsidRPr="00C62596">
              <w:rPr>
                <w:rFonts w:ascii="Verdana" w:eastAsia="Times New Roman" w:hAnsi="Verdana"/>
                <w:sz w:val="18"/>
                <w:szCs w:val="18"/>
                <w:lang w:val="sr-Latn-RS"/>
              </w:rPr>
              <w:t>m slajdovima navode se zakonski preduslovi za zahtev za UPP na osnovu prethodno pomenutih međunarodnih ugovora. Uz sve slajdove postoje detaljne eksplanatorne beleške</w:t>
            </w:r>
            <w:r w:rsidR="005D7794" w:rsidRPr="00C62596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F1574D" w:rsidRPr="00C62596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41AB0F3E" w:rsidR="00F1574D" w:rsidRPr="00C62596" w:rsidRDefault="00FE15D2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33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6527C6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5D7794" w:rsidRPr="00C6259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</w:p>
        </w:tc>
        <w:tc>
          <w:tcPr>
            <w:tcW w:w="7485" w:type="dxa"/>
            <w:gridSpan w:val="2"/>
            <w:vAlign w:val="center"/>
          </w:tcPr>
          <w:p w14:paraId="22E6B84E" w14:textId="188CF728" w:rsidR="00A37027" w:rsidRPr="00C62596" w:rsidRDefault="00A37027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Ovi slajdovi sadrže razmatranja u formi pitanja. Odgovori zavise od lokalnih propisa date države, odnosno međunarodnog pravnog okvira u odnosu na uzajamnu pravnu pomoć i okolnosti datog predmeta. Zavise i od organizacije i sastava nadležnih organa zamoljene Strane, koji su uključeni u predmet ne samo neposredno, već i na nivou međunarodne saradnje.</w:t>
            </w:r>
          </w:p>
          <w:p w14:paraId="6E2FA816" w14:textId="198FA2C7" w:rsidR="00AB07AA" w:rsidRPr="00C62596" w:rsidRDefault="00A37027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Po pravilu, uže specijalizovani i iskusniji organi koji koriste pravni okvir prilagođen potrebama ekspeditivne uzajamne pravne pomoći imaće bolje rezultate i brže će ih ostvarivati</w:t>
            </w:r>
            <w:r w:rsidRPr="00C62596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F1574D" w:rsidRPr="00C62596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2448A9CF" w:rsidR="00F1574D" w:rsidRPr="00C62596" w:rsidRDefault="005F709E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6527C6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43</w:t>
            </w:r>
          </w:p>
        </w:tc>
        <w:tc>
          <w:tcPr>
            <w:tcW w:w="7485" w:type="dxa"/>
            <w:gridSpan w:val="2"/>
            <w:vAlign w:val="center"/>
          </w:tcPr>
          <w:p w14:paraId="4E427D9C" w14:textId="77777777" w:rsidR="000A1A0C" w:rsidRPr="00C62596" w:rsidRDefault="000A1A0C" w:rsidP="00C6259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C62596">
              <w:rPr>
                <w:rFonts w:ascii="Verdana" w:hAnsi="Verdana"/>
                <w:szCs w:val="18"/>
                <w:lang w:val="sr-Latn-RS"/>
              </w:rPr>
              <w:t xml:space="preserve">Ovi slajdovi obuhvataju procenu Saveta Evrope u odnosu na odredbe o UPP i druge odredbe, uključujući i preporuke i postojeće alate za podršku. </w:t>
            </w:r>
          </w:p>
          <w:p w14:paraId="67D99BDE" w14:textId="77777777" w:rsidR="000A1A0C" w:rsidRPr="00C62596" w:rsidRDefault="000A1A0C" w:rsidP="00C6259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C62596">
              <w:rPr>
                <w:rFonts w:ascii="Verdana" w:hAnsi="Verdana"/>
                <w:szCs w:val="18"/>
                <w:lang w:val="sr-Latn-RS"/>
              </w:rPr>
              <w:t xml:space="preserve">Komitet SE za Konvenciju o visokotehnološkom kriminalu (T-CY), na Osmom plenarnom zasedanju (5. i 6. decembra 2012) odlučuje da 2013. sačini procenu efikasnosti nekih od odedbi Poglavlja III Budimpeštanske konvencije o visokotehnološkom kriminalu. </w:t>
            </w:r>
          </w:p>
          <w:p w14:paraId="59CB9448" w14:textId="223D7774" w:rsidR="005F709E" w:rsidRPr="00C62596" w:rsidRDefault="000A1A0C" w:rsidP="00C6259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C62596">
              <w:rPr>
                <w:rFonts w:ascii="Verdana" w:hAnsi="Verdana"/>
                <w:szCs w:val="18"/>
                <w:lang w:val="sr-Latn-RS"/>
              </w:rPr>
              <w:t>Slajdovi sadrže detaljne eksplanatorne beleške</w:t>
            </w:r>
            <w:r w:rsidR="005F709E" w:rsidRPr="00C62596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F1574D" w:rsidRPr="00C62596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3A1602E1" w14:textId="58E100EE" w:rsidR="006527C6" w:rsidRPr="00C62596" w:rsidRDefault="005F709E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A342ED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80315D" w:rsidRPr="00C62596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</w:p>
          <w:p w14:paraId="55312634" w14:textId="12BDFA46" w:rsidR="00F1574D" w:rsidRPr="00C62596" w:rsidRDefault="00F1574D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761CB2FC" w14:textId="77777777" w:rsidR="000A1A0C" w:rsidRPr="00C62596" w:rsidRDefault="000A1A0C" w:rsidP="00C62596">
            <w:pPr>
              <w:spacing w:before="120" w:after="120" w:line="260" w:lineRule="atLeast"/>
              <w:rPr>
                <w:rFonts w:ascii="Verdana" w:eastAsia="MS PGothic" w:hAnsi="Verdana" w:cs="MS PGothic"/>
                <w:color w:val="000000" w:themeColor="text1"/>
                <w:kern w:val="24"/>
                <w:lang w:val="sr-Latn-RS" w:eastAsia="en-GB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Na ovim slajdovima prikazane su preporuke iz izveštaja o proceni.</w:t>
            </w:r>
            <w:r w:rsidRPr="00C62596">
              <w:rPr>
                <w:rFonts w:ascii="Verdana" w:eastAsia="MS PGothic" w:hAnsi="Verdana" w:cs="MS PGothic"/>
                <w:color w:val="000000" w:themeColor="text1"/>
                <w:kern w:val="24"/>
                <w:lang w:val="sr-Latn-RS" w:eastAsia="en-GB"/>
              </w:rPr>
              <w:t xml:space="preserve"> </w:t>
            </w:r>
          </w:p>
          <w:p w14:paraId="460B591B" w14:textId="77777777" w:rsidR="000A1A0C" w:rsidRPr="00C62596" w:rsidRDefault="000A1A0C" w:rsidP="00C6259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Preporuke su podeljene u četiri grupe:</w:t>
            </w:r>
          </w:p>
          <w:p w14:paraId="3C664417" w14:textId="77777777" w:rsidR="000A1A0C" w:rsidRPr="00C62596" w:rsidRDefault="000A1A0C" w:rsidP="00C62596">
            <w:pPr>
              <w:numPr>
                <w:ilvl w:val="0"/>
                <w:numId w:val="23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Preporuke koje su pretežno odgovornost domaćih organa; </w:t>
            </w:r>
          </w:p>
          <w:p w14:paraId="3A4EF3AF" w14:textId="77777777" w:rsidR="000A1A0C" w:rsidRPr="00C62596" w:rsidRDefault="000A1A0C" w:rsidP="00C62596">
            <w:pPr>
              <w:numPr>
                <w:ilvl w:val="0"/>
                <w:numId w:val="23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Preporuke koje su pretežno odgovornost T-CY;</w:t>
            </w:r>
          </w:p>
          <w:p w14:paraId="01E74570" w14:textId="77777777" w:rsidR="000A1A0C" w:rsidRPr="00C62596" w:rsidRDefault="000A1A0C" w:rsidP="00C62596">
            <w:pPr>
              <w:numPr>
                <w:ilvl w:val="0"/>
                <w:numId w:val="23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Preporuke koje su pretežno u domenu projekata za izgradnju kapaciteta Saveta Evrope;</w:t>
            </w:r>
          </w:p>
          <w:p w14:paraId="205F8A65" w14:textId="77777777" w:rsidR="000A1A0C" w:rsidRPr="00C62596" w:rsidRDefault="000A1A0C" w:rsidP="00C62596">
            <w:pPr>
              <w:numPr>
                <w:ilvl w:val="0"/>
                <w:numId w:val="23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Preporuke koje je možda potrebno obraditi putem dodatnog protokola uz Budimpeštansku konvenciju o visokotehnološkom kriminalu;</w:t>
            </w:r>
          </w:p>
          <w:p w14:paraId="59937E6B" w14:textId="0C4CFAB8" w:rsidR="006527C6" w:rsidRPr="00C62596" w:rsidRDefault="000A1A0C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Linkovi za alate za podršku date su kao aktivni hiperlinkovi, koje trener i učesnici mogu da koriste, ukoliko postoje tehnički preduslovi za to</w:t>
            </w:r>
            <w:r w:rsidR="005F709E" w:rsidRPr="00C62596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5F709E" w:rsidRPr="00C62596" w14:paraId="1918B48F" w14:textId="77777777" w:rsidTr="004030D5">
        <w:trPr>
          <w:trHeight w:val="620"/>
        </w:trPr>
        <w:tc>
          <w:tcPr>
            <w:tcW w:w="1525" w:type="dxa"/>
            <w:vAlign w:val="center"/>
          </w:tcPr>
          <w:p w14:paraId="224BC13F" w14:textId="791EA21D" w:rsidR="005F709E" w:rsidRPr="00C62596" w:rsidRDefault="005F709E" w:rsidP="00C6259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="00DE4C23"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 5</w:t>
            </w:r>
            <w:r w:rsidR="00FE15D2" w:rsidRPr="00C62596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</w:p>
        </w:tc>
        <w:tc>
          <w:tcPr>
            <w:tcW w:w="7485" w:type="dxa"/>
            <w:gridSpan w:val="2"/>
            <w:vAlign w:val="center"/>
          </w:tcPr>
          <w:p w14:paraId="71B93907" w14:textId="121C15C4" w:rsidR="000A1A0C" w:rsidRPr="00C62596" w:rsidRDefault="000A1A0C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t xml:space="preserve">Završna grupa slajdova omogućava treneru da razmotri ciljeve učenja zajedno sa učesnicima, tako da svi mogu da utvrde jesu li oni ostvareni. To je i prilika za učesnike da otvore neka nerešena pitanja ili ukoliko neku od iznetih tema nisu u potpunosti razumeli. </w:t>
            </w:r>
          </w:p>
          <w:p w14:paraId="4F4159A3" w14:textId="58EA31B0" w:rsidR="005F709E" w:rsidRPr="00C62596" w:rsidRDefault="000A1A0C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Uz to, trener može iskoristiti ovu sesiju da proveri naučeno tako što će učesnicima postavljati pitanja. To je važno jer fomalne ocene kursa nema.</w:t>
            </w:r>
          </w:p>
        </w:tc>
      </w:tr>
      <w:tr w:rsidR="00CB3026" w:rsidRPr="00C62596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32C92F18" w14:textId="77777777" w:rsidR="000A1A0C" w:rsidRPr="00C62596" w:rsidRDefault="000A1A0C" w:rsidP="00C6259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lastRenderedPageBreak/>
              <w:t>Praktične vežbe</w:t>
            </w:r>
          </w:p>
          <w:p w14:paraId="04D65D89" w14:textId="4182313A" w:rsidR="00CB3026" w:rsidRPr="00C62596" w:rsidRDefault="000A1A0C" w:rsidP="00C6259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Uz ovu lekciju nisu predviđene praktične vežbe.</w:t>
            </w:r>
          </w:p>
        </w:tc>
      </w:tr>
      <w:tr w:rsidR="00CB3026" w:rsidRPr="00C62596" w14:paraId="603967A2" w14:textId="77777777" w:rsidTr="00F1574D">
        <w:tc>
          <w:tcPr>
            <w:tcW w:w="9010" w:type="dxa"/>
            <w:gridSpan w:val="3"/>
            <w:vAlign w:val="center"/>
          </w:tcPr>
          <w:p w14:paraId="532AE819" w14:textId="77777777" w:rsidR="000A1A0C" w:rsidRPr="00C62596" w:rsidRDefault="000A1A0C" w:rsidP="00C6259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C62596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7B7CEFD9" w:rsidR="00CB3026" w:rsidRPr="00C62596" w:rsidRDefault="000A1A0C" w:rsidP="00C6259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C6259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procena.</w:t>
            </w:r>
          </w:p>
        </w:tc>
      </w:tr>
    </w:tbl>
    <w:p w14:paraId="15498912" w14:textId="77777777" w:rsidR="00D82C18" w:rsidRPr="00C62596" w:rsidRDefault="00D82C18" w:rsidP="00C62596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C62596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50A7473"/>
    <w:multiLevelType w:val="hybridMultilevel"/>
    <w:tmpl w:val="4352F24A"/>
    <w:lvl w:ilvl="0" w:tplc="B3D20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CC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E4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741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02F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19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EA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21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4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 w15:restartNumberingAfterBreak="0">
    <w:nsid w:val="37592167"/>
    <w:multiLevelType w:val="hybridMultilevel"/>
    <w:tmpl w:val="43209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92CED"/>
    <w:multiLevelType w:val="hybridMultilevel"/>
    <w:tmpl w:val="2E583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A543A"/>
    <w:multiLevelType w:val="hybridMultilevel"/>
    <w:tmpl w:val="0CDEE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A1946"/>
    <w:multiLevelType w:val="hybridMultilevel"/>
    <w:tmpl w:val="44109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11"/>
  </w:num>
  <w:num w:numId="5">
    <w:abstractNumId w:val="12"/>
  </w:num>
  <w:num w:numId="6">
    <w:abstractNumId w:val="22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9"/>
  </w:num>
  <w:num w:numId="10">
    <w:abstractNumId w:val="4"/>
  </w:num>
  <w:num w:numId="11">
    <w:abstractNumId w:val="14"/>
  </w:num>
  <w:num w:numId="12">
    <w:abstractNumId w:val="18"/>
  </w:num>
  <w:num w:numId="13">
    <w:abstractNumId w:val="5"/>
  </w:num>
  <w:num w:numId="14">
    <w:abstractNumId w:val="7"/>
  </w:num>
  <w:num w:numId="15">
    <w:abstractNumId w:val="17"/>
  </w:num>
  <w:num w:numId="16">
    <w:abstractNumId w:val="2"/>
  </w:num>
  <w:num w:numId="17">
    <w:abstractNumId w:val="3"/>
  </w:num>
  <w:num w:numId="18">
    <w:abstractNumId w:val="20"/>
  </w:num>
  <w:num w:numId="19">
    <w:abstractNumId w:val="15"/>
  </w:num>
  <w:num w:numId="20">
    <w:abstractNumId w:val="21"/>
  </w:num>
  <w:num w:numId="21">
    <w:abstractNumId w:val="9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A1A0C"/>
    <w:rsid w:val="000C40EE"/>
    <w:rsid w:val="000F7896"/>
    <w:rsid w:val="00151E6A"/>
    <w:rsid w:val="001A6A1C"/>
    <w:rsid w:val="001D603D"/>
    <w:rsid w:val="00271010"/>
    <w:rsid w:val="002E3ECE"/>
    <w:rsid w:val="002F3B54"/>
    <w:rsid w:val="0034224C"/>
    <w:rsid w:val="00342639"/>
    <w:rsid w:val="003453F7"/>
    <w:rsid w:val="003630ED"/>
    <w:rsid w:val="003A435F"/>
    <w:rsid w:val="003F6587"/>
    <w:rsid w:val="004030D5"/>
    <w:rsid w:val="00450007"/>
    <w:rsid w:val="00457DD3"/>
    <w:rsid w:val="00463FE7"/>
    <w:rsid w:val="004904B8"/>
    <w:rsid w:val="004B7351"/>
    <w:rsid w:val="004D35F1"/>
    <w:rsid w:val="00556D69"/>
    <w:rsid w:val="005703B7"/>
    <w:rsid w:val="005A4E47"/>
    <w:rsid w:val="005D4432"/>
    <w:rsid w:val="005D7794"/>
    <w:rsid w:val="005E3826"/>
    <w:rsid w:val="005E383C"/>
    <w:rsid w:val="005F709E"/>
    <w:rsid w:val="006527C6"/>
    <w:rsid w:val="006B6FDF"/>
    <w:rsid w:val="0075334E"/>
    <w:rsid w:val="007678A6"/>
    <w:rsid w:val="00773F6C"/>
    <w:rsid w:val="0080315D"/>
    <w:rsid w:val="00844FBF"/>
    <w:rsid w:val="008817F1"/>
    <w:rsid w:val="008A4C93"/>
    <w:rsid w:val="008E3FE7"/>
    <w:rsid w:val="0091467A"/>
    <w:rsid w:val="00951791"/>
    <w:rsid w:val="009D1DB1"/>
    <w:rsid w:val="009F336B"/>
    <w:rsid w:val="00A03CF0"/>
    <w:rsid w:val="00A342ED"/>
    <w:rsid w:val="00A37027"/>
    <w:rsid w:val="00A4110D"/>
    <w:rsid w:val="00A734A5"/>
    <w:rsid w:val="00A76996"/>
    <w:rsid w:val="00AA5742"/>
    <w:rsid w:val="00AB07AA"/>
    <w:rsid w:val="00B3608C"/>
    <w:rsid w:val="00B56791"/>
    <w:rsid w:val="00B92FB6"/>
    <w:rsid w:val="00BD7897"/>
    <w:rsid w:val="00C115FC"/>
    <w:rsid w:val="00C541A2"/>
    <w:rsid w:val="00C62596"/>
    <w:rsid w:val="00CB02C4"/>
    <w:rsid w:val="00CB3026"/>
    <w:rsid w:val="00CC1F79"/>
    <w:rsid w:val="00CC2222"/>
    <w:rsid w:val="00D10905"/>
    <w:rsid w:val="00D40796"/>
    <w:rsid w:val="00D62E5F"/>
    <w:rsid w:val="00D82C18"/>
    <w:rsid w:val="00D920C3"/>
    <w:rsid w:val="00DE4C23"/>
    <w:rsid w:val="00E13BE7"/>
    <w:rsid w:val="00E7344B"/>
    <w:rsid w:val="00E95703"/>
    <w:rsid w:val="00EA50F5"/>
    <w:rsid w:val="00EE1E16"/>
    <w:rsid w:val="00F06D3B"/>
    <w:rsid w:val="00F1338F"/>
    <w:rsid w:val="00F1574D"/>
    <w:rsid w:val="00F504D6"/>
    <w:rsid w:val="00F62A15"/>
    <w:rsid w:val="00F955B5"/>
    <w:rsid w:val="00FB6DE5"/>
    <w:rsid w:val="00FE15D2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2021-04-14T11:41:00Z</dcterms:created>
  <dcterms:modified xsi:type="dcterms:W3CDTF">2021-05-04T12:26:00Z</dcterms:modified>
</cp:coreProperties>
</file>