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B7F" w:rsidRPr="008041B3" w:rsidRDefault="00BD5B7F" w:rsidP="00BD5B7F">
      <w:pPr>
        <w:spacing w:after="120"/>
        <w:jc w:val="right"/>
      </w:pPr>
      <w:r w:rsidRPr="008041B3">
        <w:rPr>
          <w:noProof/>
          <w:lang w:val="fr-FR" w:eastAsia="fr-FR"/>
        </w:rPr>
        <w:drawing>
          <wp:inline distT="0" distB="0" distL="0" distR="0" wp14:anchorId="33F74274" wp14:editId="2FBD37B4">
            <wp:extent cx="1257300" cy="1009650"/>
            <wp:effectExtent l="0" t="0" r="0" b="0"/>
            <wp:docPr id="3"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8">
                      <a:extLst/>
                    </a:blip>
                    <a:stretch>
                      <a:fillRect/>
                    </a:stretch>
                  </pic:blipFill>
                  <pic:spPr>
                    <a:xfrm>
                      <a:off x="0" y="0"/>
                      <a:ext cx="1257300" cy="1009650"/>
                    </a:xfrm>
                    <a:prstGeom prst="rect">
                      <a:avLst/>
                    </a:prstGeom>
                    <a:ln w="12700" cap="flat">
                      <a:noFill/>
                      <a:miter lim="400000"/>
                    </a:ln>
                    <a:effectLst/>
                  </pic:spPr>
                </pic:pic>
              </a:graphicData>
            </a:graphic>
          </wp:inline>
        </w:drawing>
      </w:r>
    </w:p>
    <w:p w:rsidR="00BD5B7F" w:rsidRPr="008041B3" w:rsidRDefault="00BD5B7F" w:rsidP="00BD5B7F">
      <w:pPr>
        <w:tabs>
          <w:tab w:val="left" w:pos="380"/>
          <w:tab w:val="left" w:pos="709"/>
          <w:tab w:val="left" w:pos="3799"/>
          <w:tab w:val="right" w:pos="9063"/>
        </w:tabs>
        <w:spacing w:after="120"/>
        <w:ind w:left="1140" w:right="-50"/>
        <w:jc w:val="both"/>
        <w:rPr>
          <w:iCs/>
        </w:rPr>
      </w:pPr>
    </w:p>
    <w:p w:rsidR="00BD5B7F" w:rsidRPr="008041B3" w:rsidRDefault="00BD5B7F" w:rsidP="00BD5B7F">
      <w:pPr>
        <w:tabs>
          <w:tab w:val="left" w:pos="380"/>
          <w:tab w:val="left" w:pos="709"/>
          <w:tab w:val="left" w:pos="3799"/>
          <w:tab w:val="right" w:pos="9063"/>
        </w:tabs>
        <w:spacing w:after="120"/>
        <w:ind w:left="1140" w:right="-50"/>
        <w:jc w:val="both"/>
        <w:rPr>
          <w:iCs/>
        </w:rPr>
      </w:pPr>
    </w:p>
    <w:p w:rsidR="00BD5B7F" w:rsidRPr="008041B3" w:rsidRDefault="00BD5B7F" w:rsidP="00BD5B7F">
      <w:pPr>
        <w:tabs>
          <w:tab w:val="left" w:pos="380"/>
          <w:tab w:val="left" w:pos="709"/>
          <w:tab w:val="left" w:pos="3799"/>
          <w:tab w:val="right" w:pos="9063"/>
        </w:tabs>
        <w:spacing w:after="120"/>
        <w:ind w:left="1140" w:right="-50"/>
        <w:jc w:val="both"/>
        <w:rPr>
          <w:iCs/>
        </w:rPr>
      </w:pPr>
    </w:p>
    <w:p w:rsidR="00BD5B7F" w:rsidRPr="00EA4718" w:rsidRDefault="00BD5B7F" w:rsidP="00BD5B7F">
      <w:pPr>
        <w:tabs>
          <w:tab w:val="left" w:pos="380"/>
          <w:tab w:val="left" w:pos="709"/>
          <w:tab w:val="left" w:pos="3799"/>
          <w:tab w:val="right" w:pos="9063"/>
        </w:tabs>
        <w:spacing w:after="120"/>
        <w:ind w:left="1140" w:right="-50"/>
        <w:jc w:val="both"/>
        <w:rPr>
          <w:iCs/>
          <w:color w:val="000000" w:themeColor="text1"/>
          <w:lang w:val="fr-FR"/>
        </w:rPr>
      </w:pPr>
      <w:r w:rsidRPr="00EA4718">
        <w:rPr>
          <w:iCs/>
          <w:color w:val="000000" w:themeColor="text1"/>
          <w:lang w:val="fr-FR"/>
        </w:rPr>
        <w:t>Convention relative à la conservation de la vie sauvage</w:t>
      </w:r>
    </w:p>
    <w:p w:rsidR="00BD5B7F" w:rsidRPr="00EA4718" w:rsidRDefault="00BD5B7F" w:rsidP="00BD5B7F">
      <w:pPr>
        <w:tabs>
          <w:tab w:val="left" w:pos="380"/>
          <w:tab w:val="left" w:pos="709"/>
          <w:tab w:val="left" w:pos="3799"/>
          <w:tab w:val="right" w:pos="9063"/>
        </w:tabs>
        <w:spacing w:after="120"/>
        <w:ind w:left="1140" w:right="-50"/>
        <w:jc w:val="both"/>
        <w:rPr>
          <w:iCs/>
          <w:color w:val="000000" w:themeColor="text1"/>
          <w:lang w:val="fr-FR"/>
        </w:rPr>
      </w:pPr>
      <w:proofErr w:type="gramStart"/>
      <w:r w:rsidRPr="00EA4718">
        <w:rPr>
          <w:iCs/>
          <w:color w:val="000000" w:themeColor="text1"/>
          <w:lang w:val="fr-FR"/>
        </w:rPr>
        <w:t>et</w:t>
      </w:r>
      <w:proofErr w:type="gramEnd"/>
      <w:r w:rsidRPr="00EA4718">
        <w:rPr>
          <w:iCs/>
          <w:color w:val="000000" w:themeColor="text1"/>
          <w:lang w:val="fr-FR"/>
        </w:rPr>
        <w:t xml:space="preserve"> du milieu naturel de l'Europe</w:t>
      </w:r>
    </w:p>
    <w:p w:rsidR="00BD5B7F" w:rsidRPr="00EA4718" w:rsidRDefault="00BD5B7F" w:rsidP="00BD5B7F">
      <w:pPr>
        <w:tabs>
          <w:tab w:val="left" w:pos="380"/>
          <w:tab w:val="left" w:pos="709"/>
          <w:tab w:val="left" w:pos="3799"/>
          <w:tab w:val="right" w:pos="9063"/>
        </w:tabs>
        <w:spacing w:after="120"/>
        <w:ind w:left="1140" w:right="-50"/>
        <w:jc w:val="both"/>
        <w:rPr>
          <w:iCs/>
          <w:color w:val="000000" w:themeColor="text1"/>
          <w:lang w:val="fr-FR"/>
        </w:rPr>
      </w:pPr>
    </w:p>
    <w:p w:rsidR="00BD5B7F" w:rsidRPr="00EA4718" w:rsidRDefault="00BD5B7F" w:rsidP="00BD5B7F">
      <w:pPr>
        <w:tabs>
          <w:tab w:val="left" w:pos="380"/>
          <w:tab w:val="left" w:pos="709"/>
          <w:tab w:val="left" w:pos="3799"/>
          <w:tab w:val="right" w:pos="9063"/>
        </w:tabs>
        <w:spacing w:after="120"/>
        <w:ind w:left="1140" w:right="-50"/>
        <w:jc w:val="both"/>
        <w:rPr>
          <w:iCs/>
          <w:color w:val="000000" w:themeColor="text1"/>
          <w:lang w:val="fr-FR"/>
        </w:rPr>
      </w:pPr>
      <w:r w:rsidRPr="00EA4718">
        <w:rPr>
          <w:iCs/>
          <w:color w:val="000000" w:themeColor="text1"/>
          <w:lang w:val="fr-FR"/>
        </w:rPr>
        <w:t>Comité permanent</w:t>
      </w:r>
    </w:p>
    <w:p w:rsidR="00BD5B7F" w:rsidRPr="00865DA5" w:rsidRDefault="00BD5B7F" w:rsidP="00BD5B7F">
      <w:pPr>
        <w:pStyle w:val="NormalWeb"/>
        <w:spacing w:before="0" w:beforeAutospacing="0" w:after="120" w:afterAutospacing="0"/>
        <w:jc w:val="both"/>
        <w:rPr>
          <w:b/>
          <w:bCs/>
          <w:color w:val="000000" w:themeColor="text1"/>
          <w:lang w:val="fr-FR"/>
        </w:rPr>
      </w:pPr>
    </w:p>
    <w:p w:rsidR="00BD5B7F" w:rsidRPr="00865DA5" w:rsidRDefault="00BD5B7F" w:rsidP="00BD5B7F">
      <w:pPr>
        <w:spacing w:after="120"/>
        <w:jc w:val="both"/>
        <w:rPr>
          <w:rStyle w:val="lev"/>
          <w:lang w:val="fr-FR"/>
        </w:rPr>
      </w:pPr>
      <w:r>
        <w:rPr>
          <w:b/>
          <w:lang w:val="fr-FR"/>
        </w:rPr>
        <w:t>R</w:t>
      </w:r>
      <w:r w:rsidRPr="00865DA5">
        <w:rPr>
          <w:b/>
          <w:lang w:val="fr-FR"/>
        </w:rPr>
        <w:t>ecommandation n°</w:t>
      </w:r>
      <w:r>
        <w:rPr>
          <w:b/>
          <w:lang w:val="fr-FR"/>
        </w:rPr>
        <w:t xml:space="preserve"> 196</w:t>
      </w:r>
      <w:r w:rsidRPr="00865DA5">
        <w:rPr>
          <w:b/>
          <w:lang w:val="fr-FR"/>
        </w:rPr>
        <w:t xml:space="preserve"> (2017) du Comité permanent, adoptée le </w:t>
      </w:r>
      <w:r>
        <w:rPr>
          <w:b/>
          <w:lang w:val="fr-FR"/>
        </w:rPr>
        <w:t>9 décembre</w:t>
      </w:r>
      <w:r w:rsidRPr="00865DA5">
        <w:rPr>
          <w:b/>
          <w:lang w:val="fr-FR"/>
        </w:rPr>
        <w:t xml:space="preserve">. 2017, sur </w:t>
      </w:r>
      <w:bookmarkStart w:id="0" w:name="_GoBack"/>
      <w:r w:rsidRPr="00865DA5">
        <w:rPr>
          <w:b/>
          <w:lang w:val="fr-FR"/>
        </w:rPr>
        <w:t>l’établissement d’un tableau de bord</w:t>
      </w:r>
      <w:bookmarkEnd w:id="0"/>
      <w:r w:rsidRPr="00865DA5">
        <w:rPr>
          <w:b/>
          <w:lang w:val="fr-FR"/>
        </w:rPr>
        <w:t xml:space="preserve"> pour mesurer les progrès de la lutte contre la mise à mort, le prélèvement et le commerce illégaux d’oiseaux sauvages</w:t>
      </w:r>
    </w:p>
    <w:p w:rsidR="00BD5B7F" w:rsidRPr="00526CBD" w:rsidRDefault="00BD5B7F" w:rsidP="00BD5B7F">
      <w:pPr>
        <w:spacing w:after="120"/>
        <w:jc w:val="both"/>
        <w:rPr>
          <w:color w:val="000000" w:themeColor="text1"/>
          <w:sz w:val="22"/>
          <w:szCs w:val="22"/>
          <w:lang w:val="fr-FR"/>
        </w:rPr>
      </w:pPr>
      <w:r w:rsidRPr="00526CBD">
        <w:rPr>
          <w:color w:val="000000" w:themeColor="text1"/>
          <w:sz w:val="22"/>
          <w:szCs w:val="22"/>
          <w:lang w:val="fr-FR"/>
        </w:rPr>
        <w:t>Le Comité permanent de la Convention relative à la conservation de la vie sauvage et du milieu naturel de l'Europe, agissant en vertu de l'article 14 de la Convention,</w:t>
      </w:r>
    </w:p>
    <w:p w:rsidR="00BD5B7F" w:rsidRPr="00526CBD" w:rsidRDefault="00BD5B7F" w:rsidP="00BD5B7F">
      <w:pPr>
        <w:spacing w:after="120"/>
        <w:jc w:val="both"/>
        <w:rPr>
          <w:bCs/>
          <w:color w:val="000000" w:themeColor="text1"/>
          <w:sz w:val="22"/>
          <w:szCs w:val="22"/>
          <w:lang w:val="fr-FR"/>
        </w:rPr>
      </w:pPr>
      <w:r w:rsidRPr="00526CBD">
        <w:rPr>
          <w:bCs/>
          <w:color w:val="000000" w:themeColor="text1"/>
          <w:sz w:val="22"/>
          <w:szCs w:val="22"/>
          <w:lang w:val="fr-FR"/>
        </w:rPr>
        <w:t>Eu égard à l'objet de la Convention, qui consiste notamment à assurer la conservation de la faune sauvage et de ses habitats naturels;</w:t>
      </w:r>
    </w:p>
    <w:p w:rsidR="00BD5B7F" w:rsidRPr="00526CBD" w:rsidRDefault="00BD5B7F" w:rsidP="00BD5B7F">
      <w:pPr>
        <w:spacing w:after="120"/>
        <w:jc w:val="both"/>
        <w:rPr>
          <w:bCs/>
          <w:color w:val="000000" w:themeColor="text1"/>
          <w:sz w:val="22"/>
          <w:szCs w:val="22"/>
          <w:lang w:val="fr-FR"/>
        </w:rPr>
      </w:pPr>
      <w:r w:rsidRPr="00526CBD">
        <w:rPr>
          <w:bCs/>
          <w:color w:val="000000" w:themeColor="text1"/>
          <w:sz w:val="22"/>
          <w:szCs w:val="22"/>
          <w:lang w:val="fr-FR"/>
        </w:rPr>
        <w:t>Rappelant qu'aux termes de l'article 1</w:t>
      </w:r>
      <w:r w:rsidRPr="00526CBD">
        <w:rPr>
          <w:bCs/>
          <w:color w:val="000000" w:themeColor="text1"/>
          <w:sz w:val="22"/>
          <w:szCs w:val="22"/>
          <w:vertAlign w:val="superscript"/>
          <w:lang w:val="fr-FR"/>
        </w:rPr>
        <w:t>er</w:t>
      </w:r>
      <w:r w:rsidRPr="00526CBD">
        <w:rPr>
          <w:bCs/>
          <w:color w:val="000000" w:themeColor="text1"/>
          <w:sz w:val="22"/>
          <w:szCs w:val="22"/>
          <w:lang w:val="fr-FR"/>
        </w:rPr>
        <w:t>, paragraphe 2, la Convention vise à accorder une attention particulière à la conservation des espèces menacées d'extinction et vulnérables, y compris les espèces migratrices menacées d'extinction et vulnérables;</w:t>
      </w:r>
    </w:p>
    <w:p w:rsidR="00BD5B7F" w:rsidRPr="00526CBD" w:rsidRDefault="00BD5B7F" w:rsidP="00BD5B7F">
      <w:pPr>
        <w:spacing w:after="120"/>
        <w:jc w:val="both"/>
        <w:rPr>
          <w:bCs/>
          <w:color w:val="000000" w:themeColor="text1"/>
          <w:sz w:val="22"/>
          <w:szCs w:val="22"/>
          <w:lang w:val="fr-FR"/>
        </w:rPr>
      </w:pPr>
      <w:r w:rsidRPr="00526CBD">
        <w:rPr>
          <w:bCs/>
          <w:color w:val="000000" w:themeColor="text1"/>
          <w:sz w:val="22"/>
          <w:szCs w:val="22"/>
          <w:lang w:val="fr-FR"/>
        </w:rPr>
        <w:t>Rappelant qu'en vertu de l'article 6, chaque Partie prend les mesures législatives et réglementaires appropriées et nécessaires pour assurer la conservation particulière des espèces de faune sauvage énumérées dans l'annexe II, et interdit notamment toutes formes de capture intentionnelle, de détention et de mise à mort intentionnelle, ainsi que la détention et le commerce interne de ces animaux, vivants ou morts;</w:t>
      </w:r>
    </w:p>
    <w:p w:rsidR="00BD5B7F" w:rsidRPr="00526CBD" w:rsidRDefault="00BD5B7F" w:rsidP="00BD5B7F">
      <w:pPr>
        <w:spacing w:after="120"/>
        <w:jc w:val="both"/>
        <w:rPr>
          <w:bCs/>
          <w:color w:val="000000" w:themeColor="text1"/>
          <w:sz w:val="22"/>
          <w:szCs w:val="22"/>
          <w:lang w:val="fr-FR"/>
        </w:rPr>
      </w:pPr>
      <w:r w:rsidRPr="00526CBD">
        <w:rPr>
          <w:bCs/>
          <w:color w:val="000000" w:themeColor="text1"/>
          <w:sz w:val="22"/>
          <w:szCs w:val="22"/>
          <w:lang w:val="fr-FR"/>
        </w:rPr>
        <w:t>Rappelant que l'article 11, paragraphe 1, de la Convention prévoit que, dans la mise en œuvre de la Convention, les Parties s'engagent à coopérer chaque fois qu'il sera utile de le faire, notamment lorsque cette coopération pourrait renforcer l'efficacité des mesures prises en vertu d'autres articles de la Convention;</w:t>
      </w:r>
    </w:p>
    <w:p w:rsidR="00BD5B7F" w:rsidRPr="00526CBD" w:rsidRDefault="00BD5B7F" w:rsidP="00BD5B7F">
      <w:pPr>
        <w:spacing w:after="120"/>
        <w:jc w:val="both"/>
        <w:rPr>
          <w:bCs/>
          <w:color w:val="000000" w:themeColor="text1"/>
          <w:sz w:val="22"/>
          <w:szCs w:val="22"/>
          <w:lang w:val="fr-FR"/>
        </w:rPr>
      </w:pPr>
      <w:r w:rsidRPr="00526CBD">
        <w:rPr>
          <w:bCs/>
          <w:color w:val="000000" w:themeColor="text1"/>
          <w:sz w:val="22"/>
          <w:szCs w:val="22"/>
          <w:lang w:val="fr-FR"/>
        </w:rPr>
        <w:t>Rappelant sa Recommandation n° 5 (1986) relative aux poursuites à l'encontre des personnes pratiquant la capture, la mise à mort et le commerce illégaux des oiseaux protégés, qui encourage les Parties à engager des poursuites à l'encontre des personnes qui capturent ou mettent à mort illégalement des oiseaux, ou des établissements qui commercialisent des oiseaux protégés vivants ou morts;</w:t>
      </w:r>
    </w:p>
    <w:p w:rsidR="00BD5B7F" w:rsidRPr="00526CBD" w:rsidRDefault="00BD5B7F" w:rsidP="00BD5B7F">
      <w:pPr>
        <w:spacing w:after="120"/>
        <w:jc w:val="both"/>
        <w:rPr>
          <w:bCs/>
          <w:color w:val="000000" w:themeColor="text1"/>
          <w:sz w:val="22"/>
          <w:szCs w:val="22"/>
          <w:lang w:val="fr-FR"/>
        </w:rPr>
      </w:pPr>
      <w:r w:rsidRPr="00526CBD">
        <w:rPr>
          <w:bCs/>
          <w:color w:val="000000" w:themeColor="text1"/>
          <w:sz w:val="22"/>
          <w:szCs w:val="22"/>
          <w:lang w:val="fr-FR"/>
        </w:rPr>
        <w:t>Rappelant sa Recommandation n° 155 (2011) sur la mise à mort, le piégeage et le commerce illégaux d'oiseaux sauvages, qui identifie notamment une série de mesures à mettre en œuvre d'urgence pour renforcer l'application des lois existantes à chacun des niveaux de la chaîne des crimes contre les oiseaux grâce à des mesures appropriées de soutien politique, judiciaire, opérationnel, scientifique et technique et de coopération;</w:t>
      </w:r>
    </w:p>
    <w:p w:rsidR="00BD5B7F" w:rsidRPr="00526CBD" w:rsidRDefault="00BD5B7F" w:rsidP="00BD5B7F">
      <w:pPr>
        <w:spacing w:after="120"/>
        <w:jc w:val="both"/>
        <w:rPr>
          <w:bCs/>
          <w:color w:val="000000" w:themeColor="text1"/>
          <w:sz w:val="22"/>
          <w:szCs w:val="22"/>
          <w:lang w:val="fr-FR"/>
        </w:rPr>
      </w:pPr>
      <w:r w:rsidRPr="00526CBD">
        <w:rPr>
          <w:bCs/>
          <w:color w:val="000000" w:themeColor="text1"/>
          <w:sz w:val="22"/>
          <w:szCs w:val="22"/>
          <w:lang w:val="fr-FR"/>
        </w:rPr>
        <w:t>Rappelant sa Recommandation n° 164 (2013) sur la mise en œuvre du Plan d'action de Tunis 2013-2020 pour l'éradication de la mise à mort, du piégeage et du commerce illégaux d'oiseaux sauvages, dans laquelle les Parties sont vivement encouragées à appliquer - sans plus tarder - les mesures prévues dans le Plan d'action de Tunis, y compris celles qui s'adressent aux autorités judiciaires ou les concernent;</w:t>
      </w:r>
    </w:p>
    <w:p w:rsidR="00BD5B7F" w:rsidRPr="00526CBD" w:rsidRDefault="00BD5B7F" w:rsidP="00BD5B7F">
      <w:pPr>
        <w:spacing w:after="120"/>
        <w:jc w:val="both"/>
        <w:rPr>
          <w:bCs/>
          <w:color w:val="000000" w:themeColor="text1"/>
          <w:sz w:val="22"/>
          <w:szCs w:val="22"/>
          <w:lang w:val="fr-FR"/>
        </w:rPr>
      </w:pPr>
      <w:r w:rsidRPr="00526CBD">
        <w:rPr>
          <w:bCs/>
          <w:color w:val="000000" w:themeColor="text1"/>
          <w:sz w:val="22"/>
          <w:szCs w:val="22"/>
          <w:lang w:val="fr-FR"/>
        </w:rPr>
        <w:lastRenderedPageBreak/>
        <w:t>Rappelant sa Recommandation n° 171 (2014), adoptée le 5 décembre 2014, sur la définition de priorités nationales en matière d'enquêtes et d'élaboration de politiques dans la lutte contre la mise à mort, le piégeage et le commerce illégaux d'oiseaux sauvages, qui recommande aux Parties d'intensifier les efforts d'amélioration de la coopération intersectorielle au plan national et de mobilisation de tous les ministères concernés, et notamment ceux de l'Environnement, de l'Agriculture, de l'Intérieur ou des Affaires intérieures, de la Justice et de l'Éducation;</w:t>
      </w:r>
    </w:p>
    <w:p w:rsidR="00BD5B7F" w:rsidRPr="00526CBD" w:rsidRDefault="00BD5B7F" w:rsidP="00BD5B7F">
      <w:pPr>
        <w:spacing w:after="120"/>
        <w:jc w:val="both"/>
        <w:rPr>
          <w:bCs/>
          <w:color w:val="000000" w:themeColor="text1"/>
          <w:sz w:val="22"/>
          <w:szCs w:val="22"/>
          <w:lang w:val="fr-FR"/>
        </w:rPr>
      </w:pPr>
      <w:r w:rsidRPr="00526CBD">
        <w:rPr>
          <w:bCs/>
          <w:color w:val="000000" w:themeColor="text1"/>
          <w:sz w:val="22"/>
          <w:szCs w:val="22"/>
          <w:lang w:val="fr-FR"/>
        </w:rPr>
        <w:t>Rappelant aussi sa Recommandation n° 177 (2015) sur les facteurs de gravité et les principes en matière de fixation des peines pour l'évaluation des infractions contre les oiseaux, et notamment la mise à mort, le piégeage et le commerce illégaux d'oiseaux sauvages;</w:t>
      </w:r>
    </w:p>
    <w:p w:rsidR="00BD5B7F" w:rsidRPr="00526CBD" w:rsidRDefault="00BD5B7F" w:rsidP="00BD5B7F">
      <w:pPr>
        <w:spacing w:after="120"/>
        <w:jc w:val="both"/>
        <w:rPr>
          <w:color w:val="000000" w:themeColor="text1"/>
          <w:sz w:val="22"/>
          <w:szCs w:val="22"/>
          <w:lang w:val="fr-FR"/>
        </w:rPr>
      </w:pPr>
      <w:r w:rsidRPr="00526CBD">
        <w:rPr>
          <w:color w:val="000000" w:themeColor="text1"/>
          <w:sz w:val="22"/>
          <w:szCs w:val="22"/>
          <w:lang w:val="fr-FR"/>
        </w:rPr>
        <w:t>Rappelant la Stratégie de l'UE sur la biodiversité à l'horizon 2020 (COM (2011) 244) et, en particulier, son objectif 1, à savoir la pleine application des directives « Oiseaux » et « Habitats », et la feuille de route conçue pour lutter contre la mise à mort illégale d'oiseaux dans les États membres de l'UE, conformément au Plan d'action de Tunis 2013-2020;</w:t>
      </w:r>
    </w:p>
    <w:p w:rsidR="00BD5B7F" w:rsidRPr="00526CBD" w:rsidRDefault="00BD5B7F" w:rsidP="00BD5B7F">
      <w:pPr>
        <w:spacing w:after="120"/>
        <w:jc w:val="both"/>
        <w:rPr>
          <w:color w:val="000000" w:themeColor="text1"/>
          <w:sz w:val="22"/>
          <w:szCs w:val="22"/>
          <w:lang w:val="fr-FR"/>
        </w:rPr>
      </w:pPr>
      <w:r w:rsidRPr="00526CBD">
        <w:rPr>
          <w:color w:val="000000" w:themeColor="text1"/>
          <w:sz w:val="22"/>
          <w:szCs w:val="22"/>
          <w:lang w:val="fr-FR"/>
        </w:rPr>
        <w:t>Prenant acte de la Communication COM(2017) 198 final de la Commission européenne intitulée « Plan d'action pour la Nature, les personnes et l'économie », du Document de travail (2017) 139 final de la Commission «  Fiches détaillant les mesures du Plan d'action pour la Nature, les personnes et l'économie » et des Conclusions du Conseil du 19 juin  2017;</w:t>
      </w:r>
    </w:p>
    <w:p w:rsidR="00BD5B7F" w:rsidRPr="00526CBD" w:rsidRDefault="00BD5B7F" w:rsidP="00BD5B7F">
      <w:pPr>
        <w:spacing w:after="120"/>
        <w:jc w:val="both"/>
        <w:rPr>
          <w:bCs/>
          <w:color w:val="000000" w:themeColor="text1"/>
          <w:sz w:val="22"/>
          <w:szCs w:val="22"/>
          <w:lang w:val="fr-FR"/>
        </w:rPr>
      </w:pPr>
      <w:r w:rsidRPr="00526CBD">
        <w:rPr>
          <w:bCs/>
          <w:color w:val="000000" w:themeColor="text1"/>
          <w:sz w:val="22"/>
          <w:szCs w:val="22"/>
          <w:lang w:val="fr-FR"/>
        </w:rPr>
        <w:t>Reconnaissant les mesures spécifiques prises par la CMS pour créer un Groupe de travail intergouvernemental sur l'abattage, le prélèvement et le commerce illégaux des oiseaux migrateurs en Méditerranée (MIKT), en vertu de la Résolution 11.16 adoptée à la COP11 et intitulée « La prévention de l'abattage, du prélèvement et du commerce illégaux des oiseaux migrateurs », qui vise à faciliter la mise en œuvre du Plan d'action de Tunis 2013-2020, élaboré dans le cadre de la Convention de Berne;</w:t>
      </w:r>
    </w:p>
    <w:p w:rsidR="00BD5B7F" w:rsidRPr="00526CBD" w:rsidRDefault="00BD5B7F" w:rsidP="00BD5B7F">
      <w:pPr>
        <w:spacing w:after="120"/>
        <w:jc w:val="both"/>
        <w:rPr>
          <w:bCs/>
          <w:color w:val="000000" w:themeColor="text1"/>
          <w:sz w:val="22"/>
          <w:szCs w:val="22"/>
          <w:lang w:val="fr-FR"/>
        </w:rPr>
      </w:pPr>
      <w:r w:rsidRPr="00526CBD">
        <w:rPr>
          <w:bCs/>
          <w:color w:val="000000" w:themeColor="text1"/>
          <w:sz w:val="22"/>
          <w:szCs w:val="22"/>
          <w:lang w:val="fr-FR"/>
        </w:rPr>
        <w:t>Prenant note de la Déclaration du Caire, qui préconise une tolérance zéro en matière d'abattage, de prélèvement et de commerce illégaux des oiseaux migrateurs dans la région méditerranéenne et qui a été élaborée par la première réunion du MIKT, en juillet 2016;</w:t>
      </w:r>
    </w:p>
    <w:p w:rsidR="00BD5B7F" w:rsidRPr="00526CBD" w:rsidRDefault="00BD5B7F" w:rsidP="00BD5B7F">
      <w:pPr>
        <w:spacing w:after="120"/>
        <w:jc w:val="both"/>
        <w:rPr>
          <w:bCs/>
          <w:color w:val="000000" w:themeColor="text1"/>
          <w:sz w:val="22"/>
          <w:szCs w:val="22"/>
          <w:lang w:val="fr-FR"/>
        </w:rPr>
      </w:pPr>
      <w:r w:rsidRPr="00526CBD">
        <w:rPr>
          <w:bCs/>
          <w:color w:val="000000" w:themeColor="text1"/>
          <w:sz w:val="22"/>
          <w:szCs w:val="22"/>
          <w:lang w:val="fr-FR"/>
        </w:rPr>
        <w:t>Reconnaissant l'importante contribution apportée par le MIKT et son programme de travail pour 2016-2020, adopté récemment et fondé sur le Plan d'action de Tunis 2013-2020 et sur les propositions formulées par les membres et observateurs du MIKT lors de sa première réunion;</w:t>
      </w:r>
    </w:p>
    <w:p w:rsidR="00BD5B7F" w:rsidRPr="00526CBD" w:rsidRDefault="00BD5B7F" w:rsidP="00BD5B7F">
      <w:pPr>
        <w:spacing w:after="120"/>
        <w:jc w:val="both"/>
        <w:rPr>
          <w:bCs/>
          <w:color w:val="000000" w:themeColor="text1"/>
          <w:sz w:val="22"/>
          <w:szCs w:val="22"/>
          <w:lang w:val="fr-FR"/>
        </w:rPr>
      </w:pPr>
      <w:r w:rsidRPr="00526CBD">
        <w:rPr>
          <w:bCs/>
          <w:color w:val="000000" w:themeColor="text1"/>
          <w:sz w:val="22"/>
          <w:szCs w:val="22"/>
          <w:lang w:val="fr-FR"/>
        </w:rPr>
        <w:t>Pleinement conscient des avantages de l'approche coordonnée suivie avec succès au niveau international par la Convention de Berne avec d'autres AME, organisations et acteurs, partenaires et concernés, et notamment de l'excellente coopération avec la CMS, l'AEWA, l'UE et ses Etats membres sur les questions relatives à l'éradication de la mise à mort, du piégeage et du commerce illégaux d'oiseaux sauvages;</w:t>
      </w:r>
    </w:p>
    <w:p w:rsidR="00BD5B7F" w:rsidRPr="00526CBD" w:rsidRDefault="00BD5B7F" w:rsidP="00BD5B7F">
      <w:pPr>
        <w:spacing w:after="120"/>
        <w:jc w:val="both"/>
        <w:rPr>
          <w:bCs/>
          <w:color w:val="000000" w:themeColor="text1"/>
          <w:sz w:val="22"/>
          <w:szCs w:val="22"/>
          <w:lang w:val="fr-FR"/>
        </w:rPr>
      </w:pPr>
      <w:r w:rsidRPr="00526CBD">
        <w:rPr>
          <w:bCs/>
          <w:color w:val="000000" w:themeColor="text1"/>
          <w:sz w:val="22"/>
          <w:szCs w:val="22"/>
          <w:lang w:val="fr-FR"/>
        </w:rPr>
        <w:t>Saluant la coopération fructueuse entre le Secrétariat de la Convention de Berne et le Secrétariat de la CMS, qui a conduit à l'organisation de la réunion conjointe du Réseau des correspondants spéciaux de la Convention de Berne sur l'éradication de la mise à mort, du piégeage et du commerce illégaux d'oiseaux sauvages et du Groupe de travail intergouvernemental de la CMS sur l'abattage, le prélèvement et le commerce illégaux des oiseaux migrateurs en Méditerranée (MIKT), à Sliema (Malte), les 22 et 23 juin 2017, et à l'élaboration du tableau de bord qui aidera les Parties à évaluer leurs progrès réalisés au niveau national dans la mise en œuvre de leurs engagements dans ce domaine;</w:t>
      </w:r>
    </w:p>
    <w:p w:rsidR="00BD5B7F" w:rsidRPr="00526CBD" w:rsidRDefault="00BD5B7F" w:rsidP="00BD5B7F">
      <w:pPr>
        <w:spacing w:after="120"/>
        <w:jc w:val="both"/>
        <w:rPr>
          <w:color w:val="000000" w:themeColor="text1"/>
          <w:sz w:val="22"/>
          <w:szCs w:val="22"/>
          <w:lang w:val="fr-FR"/>
        </w:rPr>
      </w:pPr>
      <w:r w:rsidRPr="00526CBD">
        <w:rPr>
          <w:color w:val="000000" w:themeColor="text1"/>
          <w:sz w:val="22"/>
          <w:szCs w:val="22"/>
          <w:lang w:val="fr-FR"/>
        </w:rPr>
        <w:t>Prenant note avec préoccupation des conclusions de l'étude sur l'ampleur et l'étendue de la mise à mort et du prélèvement illégaux d'oiseaux en Méditerranée, réalisée en 2014 par BirdLife International, ainsi que des résultats de son étude de 2017 portant sur la mise à mort et le prélèvement illégaux d'oiseaux en Europe, dans la Péninsule arabique, en Irak et en Iran;</w:t>
      </w:r>
    </w:p>
    <w:p w:rsidR="00BD5B7F" w:rsidRDefault="00BD5B7F" w:rsidP="00BD5B7F">
      <w:pPr>
        <w:spacing w:after="120"/>
        <w:jc w:val="both"/>
        <w:rPr>
          <w:bCs/>
          <w:color w:val="000000" w:themeColor="text1"/>
          <w:sz w:val="22"/>
          <w:szCs w:val="22"/>
          <w:lang w:val="fr-FR"/>
        </w:rPr>
      </w:pPr>
      <w:r w:rsidRPr="00526CBD">
        <w:rPr>
          <w:bCs/>
          <w:color w:val="000000" w:themeColor="text1"/>
          <w:sz w:val="22"/>
          <w:szCs w:val="22"/>
          <w:lang w:val="fr-FR"/>
        </w:rPr>
        <w:t>Reconnaissant la nécessité urgente d'une action plus énergique et concertée au niveau national pour atteindre les objectifs du Plan d'action de Tunis 2013-2020 et pour éradiquer la mise à mort illégale d'oiseaux sauvages à l'horizon 2020;</w:t>
      </w:r>
      <w:r>
        <w:rPr>
          <w:bCs/>
          <w:color w:val="000000" w:themeColor="text1"/>
          <w:sz w:val="22"/>
          <w:szCs w:val="22"/>
          <w:lang w:val="fr-FR"/>
        </w:rPr>
        <w:br w:type="page"/>
      </w:r>
    </w:p>
    <w:p w:rsidR="00BD5B7F" w:rsidRPr="00526CBD" w:rsidRDefault="00BD5B7F" w:rsidP="00BD5B7F">
      <w:pPr>
        <w:spacing w:after="120"/>
        <w:jc w:val="both"/>
        <w:rPr>
          <w:bCs/>
          <w:color w:val="000000" w:themeColor="text1"/>
          <w:sz w:val="22"/>
          <w:szCs w:val="22"/>
          <w:lang w:val="fr-FR"/>
        </w:rPr>
      </w:pPr>
      <w:r w:rsidRPr="00526CBD">
        <w:rPr>
          <w:bCs/>
          <w:color w:val="000000" w:themeColor="text1"/>
          <w:sz w:val="22"/>
          <w:szCs w:val="22"/>
          <w:lang w:val="fr-FR"/>
        </w:rPr>
        <w:lastRenderedPageBreak/>
        <w:t>Convaincu que l'auto-évaluation périodique des progrès réalisés en la matière constituera une incitation majeure à renforcer les mesures permettant de combattre les crimes contre les oiseaux sauvages et à répondre plus efficacement à la mise à mort, la capture et le commerce illégaux d'oiseaux sauvages au niveau national, et contribueront donc à la mise en œuvre de la Convention;</w:t>
      </w:r>
    </w:p>
    <w:p w:rsidR="00BD5B7F" w:rsidRPr="00526CBD" w:rsidRDefault="00BD5B7F" w:rsidP="00BD5B7F">
      <w:pPr>
        <w:spacing w:after="120"/>
        <w:jc w:val="both"/>
        <w:rPr>
          <w:bCs/>
          <w:color w:val="000000" w:themeColor="text1"/>
          <w:sz w:val="22"/>
          <w:szCs w:val="22"/>
          <w:lang w:val="fr-FR"/>
        </w:rPr>
      </w:pPr>
      <w:r w:rsidRPr="00526CBD">
        <w:rPr>
          <w:bCs/>
          <w:color w:val="000000" w:themeColor="text1"/>
          <w:sz w:val="22"/>
          <w:szCs w:val="22"/>
          <w:lang w:val="fr-FR"/>
        </w:rPr>
        <w:t>Conscient qu’à sa 12</w:t>
      </w:r>
      <w:r w:rsidRPr="00526CBD">
        <w:rPr>
          <w:bCs/>
          <w:color w:val="000000" w:themeColor="text1"/>
          <w:sz w:val="22"/>
          <w:szCs w:val="22"/>
          <w:vertAlign w:val="superscript"/>
          <w:lang w:val="fr-FR"/>
        </w:rPr>
        <w:t>e</w:t>
      </w:r>
      <w:r w:rsidRPr="00526CBD">
        <w:rPr>
          <w:bCs/>
          <w:color w:val="000000" w:themeColor="text1"/>
          <w:sz w:val="22"/>
          <w:szCs w:val="22"/>
          <w:lang w:val="fr-FR"/>
        </w:rPr>
        <w:t xml:space="preserve"> réunion la Conférence des Parties à la Convention sur la conservation des espèces migratrices, à Manille (23-28 octobre 2017), a déclaré au </w:t>
      </w:r>
      <w:r w:rsidRPr="00526CBD">
        <w:rPr>
          <w:rFonts w:eastAsia="Times New Roman"/>
          <w:color w:val="000000" w:themeColor="text1"/>
          <w:sz w:val="22"/>
          <w:szCs w:val="22"/>
          <w:lang w:val="fr-FR"/>
        </w:rPr>
        <w:t xml:space="preserve">point </w:t>
      </w:r>
      <w:r w:rsidRPr="00526CBD">
        <w:rPr>
          <w:color w:val="000000" w:themeColor="text1"/>
          <w:sz w:val="22"/>
          <w:szCs w:val="22"/>
          <w:lang w:val="fr-FR"/>
        </w:rPr>
        <w:t>2 bis de sa résolution 11.16 « </w:t>
      </w:r>
      <w:r w:rsidRPr="00526CBD">
        <w:rPr>
          <w:i/>
          <w:color w:val="000000" w:themeColor="text1"/>
          <w:sz w:val="22"/>
          <w:szCs w:val="22"/>
          <w:lang w:val="fr-FR"/>
        </w:rPr>
        <w:t>Reconnaît le travail de MIKT dans l'élaboration du tableau de bord et encourage son utilisation comme outil volontaire pour que les Parties évaluent leurs propres progrès dans la lutte contre l’abattage, le prélèvement et le commerce illégaux des oiseaux sauvages inclus dans l'Annexe 1 de cette Résolution »</w:t>
      </w:r>
      <w:r w:rsidRPr="00526CBD">
        <w:rPr>
          <w:color w:val="000000" w:themeColor="text1"/>
          <w:sz w:val="22"/>
          <w:szCs w:val="22"/>
          <w:lang w:val="fr-FR"/>
        </w:rPr>
        <w:t>,</w:t>
      </w:r>
    </w:p>
    <w:p w:rsidR="00BD5B7F" w:rsidRPr="00526CBD" w:rsidRDefault="00BD5B7F" w:rsidP="00BD5B7F">
      <w:pPr>
        <w:spacing w:after="120"/>
        <w:jc w:val="both"/>
        <w:rPr>
          <w:bCs/>
          <w:color w:val="000000" w:themeColor="text1"/>
          <w:sz w:val="22"/>
          <w:szCs w:val="22"/>
          <w:lang w:val="fr-FR"/>
        </w:rPr>
      </w:pPr>
      <w:r w:rsidRPr="00526CBD">
        <w:rPr>
          <w:bCs/>
          <w:color w:val="000000" w:themeColor="text1"/>
          <w:sz w:val="22"/>
          <w:szCs w:val="22"/>
          <w:lang w:val="fr-FR"/>
        </w:rPr>
        <w:t>Recommande aux Parties contractantes à la Convention membres du MIKT de, et invite les autres Parties et les États observateurs à:</w:t>
      </w:r>
    </w:p>
    <w:p w:rsidR="00BD5B7F" w:rsidRPr="00526CBD" w:rsidRDefault="00BD5B7F" w:rsidP="00BD5B7F">
      <w:pPr>
        <w:pStyle w:val="NormalWeb"/>
        <w:spacing w:before="0" w:beforeAutospacing="0" w:after="120" w:afterAutospacing="0"/>
        <w:ind w:left="426" w:hanging="426"/>
        <w:jc w:val="both"/>
        <w:rPr>
          <w:rFonts w:ascii="Times New Roman" w:hAnsi="Times New Roman"/>
          <w:color w:val="000000" w:themeColor="text1"/>
          <w:sz w:val="22"/>
          <w:szCs w:val="22"/>
          <w:lang w:val="fr-FR"/>
        </w:rPr>
      </w:pPr>
      <w:r>
        <w:rPr>
          <w:rFonts w:ascii="Times New Roman" w:hAnsi="Times New Roman"/>
          <w:color w:val="000000" w:themeColor="text1"/>
          <w:sz w:val="22"/>
          <w:szCs w:val="22"/>
          <w:lang w:val="fr-FR"/>
        </w:rPr>
        <w:t>1.</w:t>
      </w:r>
      <w:r>
        <w:rPr>
          <w:rFonts w:ascii="Times New Roman" w:hAnsi="Times New Roman"/>
          <w:color w:val="000000" w:themeColor="text1"/>
          <w:sz w:val="22"/>
          <w:szCs w:val="22"/>
          <w:lang w:val="fr-FR"/>
        </w:rPr>
        <w:tab/>
      </w:r>
      <w:r w:rsidRPr="00526CBD">
        <w:rPr>
          <w:rFonts w:ascii="Times New Roman" w:hAnsi="Times New Roman"/>
          <w:color w:val="000000" w:themeColor="text1"/>
          <w:sz w:val="22"/>
          <w:szCs w:val="22"/>
          <w:lang w:val="fr-FR"/>
        </w:rPr>
        <w:t xml:space="preserve">périodiquement mettre à profit le tableau de bord de l’annexe à la présente recommandation comme un outil national d’autoévaluation des progrès accomplis dans la lutte contre la mise à mort illégale des oiseaux sauvages; </w:t>
      </w:r>
    </w:p>
    <w:p w:rsidR="00BD5B7F" w:rsidRPr="00526CBD" w:rsidRDefault="00BD5B7F" w:rsidP="00BD5B7F">
      <w:pPr>
        <w:pStyle w:val="NormalWeb"/>
        <w:spacing w:before="0" w:beforeAutospacing="0" w:after="120" w:afterAutospacing="0"/>
        <w:ind w:left="426" w:hanging="426"/>
        <w:jc w:val="both"/>
        <w:rPr>
          <w:rFonts w:ascii="Times New Roman" w:hAnsi="Times New Roman"/>
          <w:color w:val="000000" w:themeColor="text1"/>
          <w:sz w:val="22"/>
          <w:szCs w:val="22"/>
          <w:lang w:val="fr-FR"/>
        </w:rPr>
      </w:pPr>
      <w:r>
        <w:rPr>
          <w:rFonts w:ascii="Times New Roman" w:hAnsi="Times New Roman"/>
          <w:color w:val="000000" w:themeColor="text1"/>
          <w:sz w:val="22"/>
          <w:szCs w:val="22"/>
          <w:lang w:val="fr-FR"/>
        </w:rPr>
        <w:t>2.</w:t>
      </w:r>
      <w:r>
        <w:rPr>
          <w:rFonts w:ascii="Times New Roman" w:hAnsi="Times New Roman"/>
          <w:color w:val="000000" w:themeColor="text1"/>
          <w:sz w:val="22"/>
          <w:szCs w:val="22"/>
          <w:lang w:val="fr-FR"/>
        </w:rPr>
        <w:tab/>
      </w:r>
      <w:r w:rsidRPr="00526CBD">
        <w:rPr>
          <w:rFonts w:ascii="Times New Roman" w:hAnsi="Times New Roman"/>
          <w:color w:val="000000" w:themeColor="text1"/>
          <w:sz w:val="22"/>
          <w:szCs w:val="22"/>
          <w:lang w:val="fr-FR"/>
        </w:rPr>
        <w:t>communiquer au Secrétariat, sur une base volontaire et dans la mesure où les informations sur les indicateurs sont disponibles</w:t>
      </w:r>
      <w:r>
        <w:rPr>
          <w:rFonts w:ascii="Times New Roman" w:hAnsi="Times New Roman"/>
          <w:color w:val="000000" w:themeColor="text1"/>
          <w:sz w:val="22"/>
          <w:szCs w:val="22"/>
          <w:lang w:val="fr-FR"/>
        </w:rPr>
        <w:t xml:space="preserve"> et</w:t>
      </w:r>
      <w:r w:rsidRPr="00526CBD">
        <w:rPr>
          <w:rFonts w:ascii="Times New Roman" w:hAnsi="Times New Roman"/>
          <w:color w:val="000000" w:themeColor="text1"/>
          <w:sz w:val="22"/>
          <w:szCs w:val="22"/>
          <w:lang w:val="fr-FR"/>
        </w:rPr>
        <w:t xml:space="preserve"> pertinentes, les conclusions obtenues à l’aide du tableau de bord afin d’alimenter</w:t>
      </w:r>
      <w:bookmarkStart w:id="1" w:name="KVWin_undostart"/>
      <w:bookmarkEnd w:id="1"/>
      <w:r w:rsidRPr="00526CBD">
        <w:rPr>
          <w:rFonts w:ascii="Times New Roman" w:hAnsi="Times New Roman"/>
          <w:color w:val="000000" w:themeColor="text1"/>
          <w:sz w:val="22"/>
          <w:szCs w:val="22"/>
          <w:lang w:val="fr-FR"/>
        </w:rPr>
        <w:t xml:space="preserve"> les débats au sein du réseau de Correspondants spéciaux de la Convention de Berne et du MIKT de la CMS, et ainsi faciliter le partage d’informations et de bonnes pratiques</w:t>
      </w:r>
      <w:r>
        <w:rPr>
          <w:rFonts w:ascii="Times New Roman" w:hAnsi="Times New Roman"/>
          <w:color w:val="000000" w:themeColor="text1"/>
          <w:sz w:val="22"/>
          <w:szCs w:val="22"/>
          <w:lang w:val="fr-FR"/>
        </w:rPr>
        <w:t>,</w:t>
      </w:r>
    </w:p>
    <w:p w:rsidR="00BD5B7F" w:rsidRPr="00526CBD" w:rsidRDefault="00BD5B7F" w:rsidP="00BD5B7F">
      <w:pPr>
        <w:pStyle w:val="NormalWeb"/>
        <w:spacing w:before="0" w:beforeAutospacing="0" w:after="120" w:afterAutospacing="0"/>
        <w:jc w:val="both"/>
        <w:rPr>
          <w:rFonts w:ascii="Times New Roman" w:hAnsi="Times New Roman"/>
          <w:color w:val="000000" w:themeColor="text1"/>
          <w:sz w:val="22"/>
          <w:szCs w:val="22"/>
          <w:lang w:val="fr-FR"/>
        </w:rPr>
      </w:pPr>
      <w:r w:rsidRPr="00526CBD">
        <w:rPr>
          <w:rFonts w:ascii="Times New Roman" w:hAnsi="Times New Roman"/>
          <w:color w:val="000000" w:themeColor="text1"/>
          <w:sz w:val="22"/>
          <w:szCs w:val="22"/>
          <w:lang w:val="fr-FR"/>
        </w:rPr>
        <w:t>Les Parties contractantes à la Convention et les Etats observateurs sont encouragés à mettre en œuvre le Programme de travail 2016-2020 du MIKT;</w:t>
      </w:r>
    </w:p>
    <w:p w:rsidR="00BD5B7F" w:rsidRPr="00526CBD" w:rsidRDefault="00BD5B7F" w:rsidP="00BD5B7F">
      <w:pPr>
        <w:pStyle w:val="NormalWeb"/>
        <w:spacing w:before="0" w:beforeAutospacing="0" w:after="120" w:afterAutospacing="0"/>
        <w:jc w:val="both"/>
        <w:rPr>
          <w:rFonts w:ascii="Times New Roman" w:hAnsi="Times New Roman"/>
          <w:color w:val="000000" w:themeColor="text1"/>
          <w:sz w:val="22"/>
          <w:szCs w:val="22"/>
          <w:lang w:val="fr-FR"/>
        </w:rPr>
      </w:pPr>
      <w:r w:rsidRPr="00526CBD">
        <w:rPr>
          <w:rFonts w:ascii="Times New Roman" w:hAnsi="Times New Roman"/>
          <w:color w:val="000000" w:themeColor="text1"/>
          <w:sz w:val="22"/>
          <w:szCs w:val="22"/>
          <w:lang w:val="fr-FR"/>
        </w:rPr>
        <w:t>Le Secrétariat est chargé de coopérer avec le Secrétariat de la CMS afin de</w:t>
      </w:r>
      <w:r>
        <w:rPr>
          <w:rFonts w:ascii="Times New Roman" w:hAnsi="Times New Roman"/>
          <w:color w:val="000000" w:themeColor="text1"/>
          <w:sz w:val="22"/>
          <w:szCs w:val="22"/>
          <w:lang w:val="fr-FR"/>
        </w:rPr>
        <w:t>:</w:t>
      </w:r>
    </w:p>
    <w:p w:rsidR="00BD5B7F" w:rsidRPr="00526CBD" w:rsidRDefault="00BD5B7F" w:rsidP="00BD5B7F">
      <w:pPr>
        <w:pStyle w:val="NormalWeb"/>
        <w:spacing w:before="0" w:beforeAutospacing="0" w:after="120" w:afterAutospacing="0"/>
        <w:ind w:left="426" w:hanging="426"/>
        <w:jc w:val="both"/>
        <w:rPr>
          <w:rFonts w:ascii="Times New Roman" w:hAnsi="Times New Roman"/>
          <w:color w:val="000000" w:themeColor="text1"/>
          <w:sz w:val="22"/>
          <w:szCs w:val="22"/>
          <w:lang w:val="fr-FR"/>
        </w:rPr>
      </w:pPr>
      <w:r>
        <w:rPr>
          <w:rFonts w:ascii="Times New Roman" w:hAnsi="Times New Roman"/>
          <w:color w:val="000000" w:themeColor="text1"/>
          <w:sz w:val="22"/>
          <w:szCs w:val="22"/>
          <w:lang w:val="fr-FR"/>
        </w:rPr>
        <w:t>1.</w:t>
      </w:r>
      <w:r>
        <w:rPr>
          <w:rFonts w:ascii="Times New Roman" w:hAnsi="Times New Roman"/>
          <w:color w:val="000000" w:themeColor="text1"/>
          <w:sz w:val="22"/>
          <w:szCs w:val="22"/>
          <w:lang w:val="fr-FR"/>
        </w:rPr>
        <w:tab/>
      </w:r>
      <w:proofErr w:type="gramStart"/>
      <w:r w:rsidRPr="00526CBD">
        <w:rPr>
          <w:rFonts w:ascii="Times New Roman" w:hAnsi="Times New Roman"/>
          <w:color w:val="000000" w:themeColor="text1"/>
          <w:sz w:val="22"/>
          <w:szCs w:val="22"/>
          <w:lang w:val="fr-FR"/>
        </w:rPr>
        <w:t>compiler</w:t>
      </w:r>
      <w:proofErr w:type="gramEnd"/>
      <w:r w:rsidRPr="00526CBD">
        <w:rPr>
          <w:rFonts w:ascii="Times New Roman" w:hAnsi="Times New Roman"/>
          <w:color w:val="000000" w:themeColor="text1"/>
          <w:sz w:val="22"/>
          <w:szCs w:val="22"/>
          <w:lang w:val="fr-FR"/>
        </w:rPr>
        <w:t>, dans l’intervalle entre les 37</w:t>
      </w:r>
      <w:r w:rsidRPr="00526CBD">
        <w:rPr>
          <w:rFonts w:ascii="Times New Roman" w:hAnsi="Times New Roman"/>
          <w:color w:val="000000" w:themeColor="text1"/>
          <w:sz w:val="22"/>
          <w:szCs w:val="22"/>
          <w:vertAlign w:val="superscript"/>
          <w:lang w:val="fr-FR"/>
        </w:rPr>
        <w:t>e</w:t>
      </w:r>
      <w:r w:rsidRPr="00526CBD">
        <w:rPr>
          <w:rFonts w:ascii="Times New Roman" w:hAnsi="Times New Roman"/>
          <w:color w:val="000000" w:themeColor="text1"/>
          <w:sz w:val="22"/>
          <w:szCs w:val="22"/>
          <w:lang w:val="fr-FR"/>
        </w:rPr>
        <w:t xml:space="preserve"> et 40</w:t>
      </w:r>
      <w:r w:rsidRPr="00526CBD">
        <w:rPr>
          <w:rFonts w:ascii="Times New Roman" w:hAnsi="Times New Roman"/>
          <w:color w:val="000000" w:themeColor="text1"/>
          <w:sz w:val="22"/>
          <w:szCs w:val="22"/>
          <w:vertAlign w:val="superscript"/>
          <w:lang w:val="fr-FR"/>
        </w:rPr>
        <w:t>e</w:t>
      </w:r>
      <w:r w:rsidRPr="00526CBD">
        <w:rPr>
          <w:rFonts w:ascii="Times New Roman" w:hAnsi="Times New Roman"/>
          <w:color w:val="000000" w:themeColor="text1"/>
          <w:sz w:val="22"/>
          <w:szCs w:val="22"/>
          <w:lang w:val="fr-FR"/>
        </w:rPr>
        <w:t xml:space="preserve"> réunions du Comité permanent, les informations dûment communiquées par les Parties et par les Etats observateurs au titre du paragraphe 2 ci-dessus ;</w:t>
      </w:r>
    </w:p>
    <w:p w:rsidR="00BD5B7F" w:rsidRPr="00526CBD" w:rsidRDefault="00BD5B7F" w:rsidP="00BD5B7F">
      <w:pPr>
        <w:pStyle w:val="NormalWeb"/>
        <w:spacing w:before="0" w:beforeAutospacing="0" w:after="120" w:afterAutospacing="0"/>
        <w:ind w:left="426" w:hanging="426"/>
        <w:jc w:val="both"/>
        <w:rPr>
          <w:rFonts w:ascii="Times New Roman" w:hAnsi="Times New Roman"/>
          <w:color w:val="000000" w:themeColor="text1"/>
          <w:sz w:val="22"/>
          <w:szCs w:val="22"/>
          <w:lang w:val="fr-FR"/>
        </w:rPr>
      </w:pPr>
      <w:r>
        <w:rPr>
          <w:rFonts w:ascii="Times New Roman" w:hAnsi="Times New Roman"/>
          <w:color w:val="000000" w:themeColor="text1"/>
          <w:sz w:val="22"/>
          <w:szCs w:val="22"/>
          <w:lang w:val="fr-FR"/>
        </w:rPr>
        <w:t>2.</w:t>
      </w:r>
      <w:r>
        <w:rPr>
          <w:rFonts w:ascii="Times New Roman" w:hAnsi="Times New Roman"/>
          <w:color w:val="000000" w:themeColor="text1"/>
          <w:sz w:val="22"/>
          <w:szCs w:val="22"/>
          <w:lang w:val="fr-FR"/>
        </w:rPr>
        <w:tab/>
      </w:r>
      <w:r w:rsidRPr="00526CBD">
        <w:rPr>
          <w:rFonts w:ascii="Times New Roman" w:hAnsi="Times New Roman"/>
          <w:color w:val="000000" w:themeColor="text1"/>
          <w:sz w:val="22"/>
          <w:szCs w:val="22"/>
          <w:lang w:val="fr-FR"/>
        </w:rPr>
        <w:t xml:space="preserve">partager ses informations avec les membres du MIKT de la CMS et </w:t>
      </w:r>
      <w:r w:rsidRPr="00526CBD">
        <w:rPr>
          <w:rFonts w:ascii="Times New Roman" w:hAnsi="Times New Roman"/>
          <w:sz w:val="22"/>
          <w:szCs w:val="22"/>
          <w:lang w:val="fr-FR"/>
        </w:rPr>
        <w:t>du Réseau des correspondants spéciaux</w:t>
      </w:r>
      <w:r w:rsidRPr="00526CBD">
        <w:rPr>
          <w:rFonts w:ascii="Times New Roman" w:hAnsi="Times New Roman"/>
          <w:color w:val="000000" w:themeColor="text1"/>
          <w:sz w:val="22"/>
          <w:szCs w:val="22"/>
          <w:lang w:val="fr-FR"/>
        </w:rPr>
        <w:t xml:space="preserve"> de la Convention de Berne aux fins décrites au paragraphe 2 ci-dessus, dans l’intervalle entre les 37</w:t>
      </w:r>
      <w:r w:rsidRPr="00526CBD">
        <w:rPr>
          <w:rFonts w:ascii="Times New Roman" w:hAnsi="Times New Roman"/>
          <w:color w:val="000000" w:themeColor="text1"/>
          <w:sz w:val="22"/>
          <w:szCs w:val="22"/>
          <w:vertAlign w:val="superscript"/>
          <w:lang w:val="fr-FR"/>
        </w:rPr>
        <w:t>e</w:t>
      </w:r>
      <w:r w:rsidRPr="00526CBD">
        <w:rPr>
          <w:rFonts w:ascii="Times New Roman" w:hAnsi="Times New Roman"/>
          <w:color w:val="000000" w:themeColor="text1"/>
          <w:sz w:val="22"/>
          <w:szCs w:val="22"/>
          <w:lang w:val="fr-FR"/>
        </w:rPr>
        <w:t xml:space="preserve"> et 40</w:t>
      </w:r>
      <w:r w:rsidRPr="00526CBD">
        <w:rPr>
          <w:rFonts w:ascii="Times New Roman" w:hAnsi="Times New Roman"/>
          <w:color w:val="000000" w:themeColor="text1"/>
          <w:sz w:val="22"/>
          <w:szCs w:val="22"/>
          <w:vertAlign w:val="superscript"/>
          <w:lang w:val="fr-FR"/>
        </w:rPr>
        <w:t>e</w:t>
      </w:r>
      <w:r w:rsidRPr="00526CBD">
        <w:rPr>
          <w:rFonts w:ascii="Times New Roman" w:hAnsi="Times New Roman"/>
          <w:color w:val="000000" w:themeColor="text1"/>
          <w:sz w:val="22"/>
          <w:szCs w:val="22"/>
          <w:lang w:val="fr-FR"/>
        </w:rPr>
        <w:t xml:space="preserve"> réunions du Comité permanent.</w:t>
      </w:r>
    </w:p>
    <w:p w:rsidR="00BD5B7F" w:rsidRPr="00526CBD" w:rsidRDefault="00BD5B7F" w:rsidP="00BD5B7F">
      <w:pPr>
        <w:pStyle w:val="NormalWeb"/>
        <w:spacing w:before="0" w:beforeAutospacing="0" w:after="120" w:afterAutospacing="0"/>
        <w:jc w:val="both"/>
        <w:rPr>
          <w:rFonts w:ascii="Times New Roman" w:hAnsi="Times New Roman"/>
          <w:color w:val="000000" w:themeColor="text1"/>
          <w:sz w:val="22"/>
          <w:szCs w:val="22"/>
          <w:lang w:val="fr-FR"/>
        </w:rPr>
      </w:pPr>
    </w:p>
    <w:p w:rsidR="00BD5B7F" w:rsidRPr="00865DA5" w:rsidRDefault="00BD5B7F" w:rsidP="00BD5B7F">
      <w:pPr>
        <w:spacing w:after="200" w:line="276" w:lineRule="auto"/>
        <w:rPr>
          <w:b/>
          <w:sz w:val="22"/>
          <w:szCs w:val="22"/>
          <w:lang w:val="fr-FR"/>
        </w:rPr>
      </w:pPr>
      <w:r w:rsidRPr="00865DA5">
        <w:rPr>
          <w:b/>
          <w:sz w:val="22"/>
          <w:szCs w:val="22"/>
          <w:lang w:val="fr-FR"/>
        </w:rPr>
        <w:br w:type="page"/>
      </w:r>
    </w:p>
    <w:p w:rsidR="00BD5B7F" w:rsidRPr="00623D4F" w:rsidRDefault="00BD5B7F" w:rsidP="00BD5B7F">
      <w:pPr>
        <w:spacing w:after="120"/>
        <w:jc w:val="both"/>
        <w:rPr>
          <w:b/>
          <w:lang w:val="fr-FR"/>
        </w:rPr>
      </w:pPr>
      <w:r w:rsidRPr="00623D4F">
        <w:rPr>
          <w:b/>
          <w:lang w:val="fr-FR"/>
        </w:rPr>
        <w:lastRenderedPageBreak/>
        <w:t>Annexe à la Recommandation n° 196 (2017) du Comité permanent sur l’établissement d’un tableau de bord pour mesurer les progrès de la lutte contre la mise à mort, le prélèvement et le commerce illégaux d’oiseaux sauvages</w:t>
      </w:r>
    </w:p>
    <w:p w:rsidR="00BD5B7F" w:rsidRPr="00865DA5" w:rsidRDefault="00BD5B7F" w:rsidP="00BD5B7F">
      <w:pPr>
        <w:tabs>
          <w:tab w:val="left" w:pos="426"/>
        </w:tabs>
        <w:spacing w:after="120"/>
        <w:jc w:val="center"/>
        <w:rPr>
          <w:b/>
          <w:lang w:val="fr-FR"/>
        </w:rPr>
      </w:pPr>
      <w:r w:rsidRPr="00865DA5">
        <w:rPr>
          <w:b/>
          <w:lang w:val="fr-FR"/>
        </w:rPr>
        <w:t>Tableau de bord servant à évaluer les progrès de la lutte contre la mise à mort, le prélèvement et le commerce illégaux d’oiseaux sauvages (IKB)</w:t>
      </w:r>
    </w:p>
    <w:p w:rsidR="00BD5B7F" w:rsidRPr="00865DA5" w:rsidRDefault="00BD5B7F" w:rsidP="00BD5B7F">
      <w:pPr>
        <w:spacing w:after="200" w:line="276" w:lineRule="auto"/>
        <w:jc w:val="center"/>
        <w:rPr>
          <w:rFonts w:eastAsia="Calibri"/>
          <w:color w:val="000000"/>
          <w:lang w:val="fr-FR"/>
        </w:rPr>
      </w:pPr>
      <w:r w:rsidRPr="00865DA5">
        <w:rPr>
          <w:rFonts w:eastAsia="Arial"/>
          <w:color w:val="000000"/>
          <w:bdr w:val="none" w:sz="0" w:space="0" w:color="auto" w:frame="1"/>
          <w:lang w:val="fr-FR"/>
        </w:rPr>
        <w:t>Un cadre d’auto-évaluation à usage national</w:t>
      </w:r>
    </w:p>
    <w:p w:rsidR="00BD5B7F" w:rsidRPr="00865DA5" w:rsidRDefault="00BD5B7F" w:rsidP="00BD5B7F">
      <w:pPr>
        <w:tabs>
          <w:tab w:val="left" w:pos="426"/>
        </w:tabs>
        <w:spacing w:after="120"/>
        <w:jc w:val="center"/>
        <w:rPr>
          <w:b/>
          <w:lang w:val="fr-FR"/>
        </w:rPr>
      </w:pPr>
    </w:p>
    <w:p w:rsidR="00BD5B7F" w:rsidRPr="00C03BEF" w:rsidRDefault="00BD5B7F" w:rsidP="00BD5B7F">
      <w:pPr>
        <w:pStyle w:val="TM2"/>
        <w:tabs>
          <w:tab w:val="clear" w:pos="9360"/>
          <w:tab w:val="left" w:pos="0"/>
          <w:tab w:val="right" w:pos="9356"/>
        </w:tabs>
        <w:rPr>
          <w:rFonts w:eastAsiaTheme="minorEastAsia"/>
          <w:noProof/>
          <w:lang w:val="en-US"/>
        </w:rPr>
      </w:pPr>
      <w:r w:rsidRPr="00C03BEF">
        <w:t>Table des matières</w:t>
      </w:r>
      <w:r w:rsidRPr="00C03BEF">
        <w:fldChar w:fldCharType="begin"/>
      </w:r>
      <w:r w:rsidRPr="00C03BEF">
        <w:instrText xml:space="preserve"> TOC \o "1-5" \h \z \u </w:instrText>
      </w:r>
      <w:r w:rsidRPr="00C03BEF">
        <w:fldChar w:fldCharType="separate"/>
      </w:r>
    </w:p>
    <w:p w:rsidR="00BD5B7F" w:rsidRPr="00C03BEF" w:rsidRDefault="00BD5B7F" w:rsidP="00BD5B7F">
      <w:pPr>
        <w:pStyle w:val="TM2"/>
        <w:tabs>
          <w:tab w:val="clear" w:pos="9360"/>
          <w:tab w:val="left" w:pos="0"/>
          <w:tab w:val="right" w:pos="9356"/>
        </w:tabs>
        <w:rPr>
          <w:rFonts w:eastAsiaTheme="minorEastAsia"/>
          <w:noProof/>
          <w:lang w:val="en-US"/>
        </w:rPr>
      </w:pPr>
      <w:hyperlink r:id="rId9" w:anchor="_Toc491245221" w:history="1">
        <w:r w:rsidRPr="00C03BEF">
          <w:rPr>
            <w:rStyle w:val="Lienhypertexte"/>
            <w:rFonts w:eastAsia="Arial"/>
            <w:noProof/>
            <w:kern w:val="28"/>
            <w:bdr w:val="none" w:sz="0" w:space="0" w:color="auto" w:frame="1"/>
            <w:lang w:val="fr-FR"/>
          </w:rPr>
          <w:t>Liste des acronymes</w:t>
        </w:r>
        <w:r w:rsidRPr="00C03BEF">
          <w:rPr>
            <w:rStyle w:val="Lienhypertexte"/>
            <w:noProof/>
            <w:webHidden/>
          </w:rPr>
          <w:tab/>
        </w:r>
        <w:r w:rsidRPr="00C03BEF">
          <w:rPr>
            <w:rStyle w:val="Lienhypertexte"/>
            <w:noProof/>
            <w:webHidden/>
          </w:rPr>
          <w:fldChar w:fldCharType="begin"/>
        </w:r>
        <w:r w:rsidRPr="00C03BEF">
          <w:rPr>
            <w:rStyle w:val="Lienhypertexte"/>
            <w:noProof/>
            <w:webHidden/>
          </w:rPr>
          <w:instrText xml:space="preserve"> PAGEREF _Toc491245221 \h </w:instrText>
        </w:r>
        <w:r w:rsidRPr="00C03BEF">
          <w:rPr>
            <w:rStyle w:val="Lienhypertexte"/>
            <w:noProof/>
            <w:webHidden/>
          </w:rPr>
        </w:r>
        <w:r w:rsidRPr="00C03BEF">
          <w:rPr>
            <w:rStyle w:val="Lienhypertexte"/>
            <w:noProof/>
            <w:webHidden/>
          </w:rPr>
          <w:fldChar w:fldCharType="separate"/>
        </w:r>
        <w:r>
          <w:rPr>
            <w:rStyle w:val="Lienhypertexte"/>
            <w:noProof/>
            <w:webHidden/>
          </w:rPr>
          <w:t>43</w:t>
        </w:r>
        <w:r w:rsidRPr="00C03BEF">
          <w:rPr>
            <w:rStyle w:val="Lienhypertexte"/>
            <w:noProof/>
            <w:webHidden/>
          </w:rPr>
          <w:fldChar w:fldCharType="end"/>
        </w:r>
      </w:hyperlink>
    </w:p>
    <w:p w:rsidR="00BD5B7F" w:rsidRPr="00C03BEF" w:rsidRDefault="00BD5B7F" w:rsidP="00BD5B7F">
      <w:pPr>
        <w:pStyle w:val="TM2"/>
        <w:tabs>
          <w:tab w:val="clear" w:pos="9360"/>
          <w:tab w:val="left" w:pos="0"/>
          <w:tab w:val="right" w:pos="9356"/>
        </w:tabs>
        <w:rPr>
          <w:rFonts w:eastAsiaTheme="minorEastAsia"/>
          <w:noProof/>
          <w:lang w:val="en-US"/>
        </w:rPr>
      </w:pPr>
      <w:hyperlink r:id="rId10" w:anchor="_Toc491245222" w:history="1">
        <w:r w:rsidRPr="00C03BEF">
          <w:rPr>
            <w:rStyle w:val="Lienhypertexte"/>
            <w:noProof/>
            <w:bdr w:val="none" w:sz="0" w:space="0" w:color="auto" w:frame="1"/>
            <w:lang w:val="fr-FR"/>
          </w:rPr>
          <w:t>But du tableau de bord IKB</w:t>
        </w:r>
        <w:r w:rsidRPr="00C03BEF">
          <w:rPr>
            <w:rStyle w:val="Lienhypertexte"/>
            <w:noProof/>
            <w:webHidden/>
          </w:rPr>
          <w:tab/>
        </w:r>
        <w:r w:rsidRPr="00C03BEF">
          <w:rPr>
            <w:rStyle w:val="Lienhypertexte"/>
            <w:noProof/>
            <w:webHidden/>
          </w:rPr>
          <w:fldChar w:fldCharType="begin"/>
        </w:r>
        <w:r w:rsidRPr="00C03BEF">
          <w:rPr>
            <w:rStyle w:val="Lienhypertexte"/>
            <w:noProof/>
            <w:webHidden/>
          </w:rPr>
          <w:instrText xml:space="preserve"> PAGEREF _Toc491245222 \h </w:instrText>
        </w:r>
        <w:r w:rsidRPr="00C03BEF">
          <w:rPr>
            <w:rStyle w:val="Lienhypertexte"/>
            <w:noProof/>
            <w:webHidden/>
          </w:rPr>
        </w:r>
        <w:r w:rsidRPr="00C03BEF">
          <w:rPr>
            <w:rStyle w:val="Lienhypertexte"/>
            <w:noProof/>
            <w:webHidden/>
          </w:rPr>
          <w:fldChar w:fldCharType="separate"/>
        </w:r>
        <w:r>
          <w:rPr>
            <w:rStyle w:val="Lienhypertexte"/>
            <w:noProof/>
            <w:webHidden/>
          </w:rPr>
          <w:t>44</w:t>
        </w:r>
        <w:r w:rsidRPr="00C03BEF">
          <w:rPr>
            <w:rStyle w:val="Lienhypertexte"/>
            <w:noProof/>
            <w:webHidden/>
          </w:rPr>
          <w:fldChar w:fldCharType="end"/>
        </w:r>
      </w:hyperlink>
    </w:p>
    <w:p w:rsidR="00BD5B7F" w:rsidRPr="00C03BEF" w:rsidRDefault="00BD5B7F" w:rsidP="00BD5B7F">
      <w:pPr>
        <w:pStyle w:val="TM2"/>
        <w:tabs>
          <w:tab w:val="clear" w:pos="9360"/>
          <w:tab w:val="left" w:pos="0"/>
          <w:tab w:val="right" w:pos="9356"/>
        </w:tabs>
        <w:rPr>
          <w:rFonts w:eastAsiaTheme="minorEastAsia"/>
          <w:noProof/>
          <w:lang w:val="en-US"/>
        </w:rPr>
      </w:pPr>
      <w:hyperlink r:id="rId11" w:anchor="_Toc491245223" w:history="1">
        <w:r w:rsidRPr="00C03BEF">
          <w:rPr>
            <w:rStyle w:val="Lienhypertexte"/>
            <w:rFonts w:eastAsia="Arial"/>
            <w:noProof/>
            <w:bdr w:val="none" w:sz="0" w:space="0" w:color="auto" w:frame="1"/>
            <w:lang w:val="fr-FR"/>
          </w:rPr>
          <w:t>Comment utiliser le tableau de bord IKB</w:t>
        </w:r>
        <w:r w:rsidRPr="00C03BEF">
          <w:rPr>
            <w:rStyle w:val="Lienhypertexte"/>
            <w:noProof/>
            <w:webHidden/>
          </w:rPr>
          <w:tab/>
        </w:r>
        <w:r w:rsidRPr="00C03BEF">
          <w:rPr>
            <w:rStyle w:val="Lienhypertexte"/>
            <w:noProof/>
            <w:webHidden/>
          </w:rPr>
          <w:fldChar w:fldCharType="begin"/>
        </w:r>
        <w:r w:rsidRPr="00C03BEF">
          <w:rPr>
            <w:rStyle w:val="Lienhypertexte"/>
            <w:noProof/>
            <w:webHidden/>
          </w:rPr>
          <w:instrText xml:space="preserve"> PAGEREF _Toc491245223 \h </w:instrText>
        </w:r>
        <w:r w:rsidRPr="00C03BEF">
          <w:rPr>
            <w:rStyle w:val="Lienhypertexte"/>
            <w:noProof/>
            <w:webHidden/>
          </w:rPr>
        </w:r>
        <w:r w:rsidRPr="00C03BEF">
          <w:rPr>
            <w:rStyle w:val="Lienhypertexte"/>
            <w:noProof/>
            <w:webHidden/>
          </w:rPr>
          <w:fldChar w:fldCharType="separate"/>
        </w:r>
        <w:r>
          <w:rPr>
            <w:rStyle w:val="Lienhypertexte"/>
            <w:noProof/>
            <w:webHidden/>
          </w:rPr>
          <w:t>50</w:t>
        </w:r>
        <w:r w:rsidRPr="00C03BEF">
          <w:rPr>
            <w:rStyle w:val="Lienhypertexte"/>
            <w:noProof/>
            <w:webHidden/>
          </w:rPr>
          <w:fldChar w:fldCharType="end"/>
        </w:r>
      </w:hyperlink>
    </w:p>
    <w:p w:rsidR="00BD5B7F" w:rsidRPr="00C03BEF" w:rsidRDefault="00BD5B7F" w:rsidP="00BD5B7F">
      <w:pPr>
        <w:pStyle w:val="TM3"/>
        <w:tabs>
          <w:tab w:val="left" w:pos="0"/>
          <w:tab w:val="right" w:pos="9356"/>
        </w:tabs>
        <w:rPr>
          <w:rFonts w:ascii="Times New Roman" w:eastAsiaTheme="minorEastAsia" w:hAnsi="Times New Roman"/>
          <w:noProof/>
          <w:lang w:val="en-US"/>
        </w:rPr>
      </w:pPr>
      <w:hyperlink r:id="rId12" w:anchor="_Toc491245224" w:history="1">
        <w:r w:rsidRPr="00C03BEF">
          <w:rPr>
            <w:rStyle w:val="Lienhypertexte"/>
            <w:rFonts w:ascii="Times New Roman" w:eastAsia="Arial" w:hAnsi="Times New Roman"/>
            <w:noProof/>
            <w:bdr w:val="none" w:sz="0" w:space="0" w:color="auto" w:frame="1"/>
            <w:lang w:val="fr-FR"/>
          </w:rPr>
          <w:t>Processus</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_Toc491245224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50</w:t>
        </w:r>
        <w:r w:rsidRPr="00C03BEF">
          <w:rPr>
            <w:rStyle w:val="Lienhypertexte"/>
            <w:rFonts w:ascii="Times New Roman" w:hAnsi="Times New Roman"/>
            <w:noProof/>
            <w:webHidden/>
          </w:rPr>
          <w:fldChar w:fldCharType="end"/>
        </w:r>
      </w:hyperlink>
    </w:p>
    <w:p w:rsidR="00BD5B7F" w:rsidRPr="00C03BEF" w:rsidRDefault="00BD5B7F" w:rsidP="00BD5B7F">
      <w:pPr>
        <w:pStyle w:val="TM2"/>
        <w:tabs>
          <w:tab w:val="clear" w:pos="9360"/>
          <w:tab w:val="left" w:pos="0"/>
          <w:tab w:val="right" w:pos="9356"/>
        </w:tabs>
        <w:rPr>
          <w:rFonts w:eastAsiaTheme="minorEastAsia"/>
          <w:noProof/>
          <w:lang w:val="en-US"/>
        </w:rPr>
      </w:pPr>
      <w:hyperlink r:id="rId13" w:anchor="_Toc491245226" w:history="1">
        <w:r w:rsidRPr="00C03BEF">
          <w:rPr>
            <w:rStyle w:val="Lienhypertexte"/>
            <w:rFonts w:eastAsia="Arial"/>
            <w:noProof/>
            <w:bdr w:val="none" w:sz="0" w:space="0" w:color="auto" w:frame="1"/>
            <w:lang w:val="fr-FR"/>
          </w:rPr>
          <w:t>Calendrier de la mise en œuvre de l’auto-évaluation</w:t>
        </w:r>
        <w:r w:rsidRPr="00C03BEF">
          <w:rPr>
            <w:rStyle w:val="Lienhypertexte"/>
            <w:noProof/>
            <w:webHidden/>
          </w:rPr>
          <w:tab/>
        </w:r>
        <w:r w:rsidRPr="00C03BEF">
          <w:rPr>
            <w:rStyle w:val="Lienhypertexte"/>
            <w:noProof/>
            <w:webHidden/>
          </w:rPr>
          <w:fldChar w:fldCharType="begin"/>
        </w:r>
        <w:r w:rsidRPr="00C03BEF">
          <w:rPr>
            <w:rStyle w:val="Lienhypertexte"/>
            <w:noProof/>
            <w:webHidden/>
          </w:rPr>
          <w:instrText xml:space="preserve"> PAGEREF _Toc491245226 \h </w:instrText>
        </w:r>
        <w:r w:rsidRPr="00C03BEF">
          <w:rPr>
            <w:rStyle w:val="Lienhypertexte"/>
            <w:noProof/>
            <w:webHidden/>
          </w:rPr>
        </w:r>
        <w:r w:rsidRPr="00C03BEF">
          <w:rPr>
            <w:rStyle w:val="Lienhypertexte"/>
            <w:noProof/>
            <w:webHidden/>
          </w:rPr>
          <w:fldChar w:fldCharType="separate"/>
        </w:r>
        <w:r>
          <w:rPr>
            <w:rStyle w:val="Lienhypertexte"/>
            <w:noProof/>
            <w:webHidden/>
          </w:rPr>
          <w:t>53</w:t>
        </w:r>
        <w:r w:rsidRPr="00C03BEF">
          <w:rPr>
            <w:rStyle w:val="Lienhypertexte"/>
            <w:noProof/>
            <w:webHidden/>
          </w:rPr>
          <w:fldChar w:fldCharType="end"/>
        </w:r>
      </w:hyperlink>
    </w:p>
    <w:p w:rsidR="00BD5B7F" w:rsidRPr="00C03BEF" w:rsidRDefault="00BD5B7F" w:rsidP="00BD5B7F">
      <w:pPr>
        <w:pStyle w:val="TM3"/>
        <w:tabs>
          <w:tab w:val="left" w:pos="0"/>
          <w:tab w:val="right" w:pos="9356"/>
        </w:tabs>
        <w:rPr>
          <w:rFonts w:ascii="Times New Roman" w:eastAsiaTheme="minorEastAsia" w:hAnsi="Times New Roman"/>
          <w:noProof/>
          <w:lang w:val="en-US"/>
        </w:rPr>
      </w:pPr>
      <w:hyperlink r:id="rId14" w:anchor="_Toc491245227" w:history="1">
        <w:r w:rsidRPr="00C03BEF">
          <w:rPr>
            <w:rStyle w:val="Lienhypertexte"/>
            <w:rFonts w:ascii="Times New Roman" w:eastAsia="Arial" w:hAnsi="Times New Roman"/>
            <w:noProof/>
            <w:bdr w:val="none" w:sz="0" w:space="0" w:color="auto" w:frame="1"/>
            <w:lang w:val="fr-FR"/>
          </w:rPr>
          <w:t>Utilisation d’indicateurs d’auto-évaluation au niveau national</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_Toc491245227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53</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15" w:anchor="_Toc491245228" w:history="1">
        <w:r w:rsidRPr="00C03BEF">
          <w:rPr>
            <w:rStyle w:val="Lienhypertexte"/>
            <w:rFonts w:ascii="Times New Roman" w:eastAsia="Arial" w:hAnsi="Times New Roman"/>
            <w:noProof/>
            <w:bdr w:val="none" w:sz="0" w:space="0" w:color="auto" w:frame="1"/>
            <w:lang w:val="fr-FR"/>
          </w:rPr>
          <w:t>Scénario 1 : Score unique</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_Toc491245228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54</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16" w:anchor="_Toc491245229" w:history="1">
        <w:r w:rsidRPr="00C03BEF">
          <w:rPr>
            <w:rStyle w:val="Lienhypertexte"/>
            <w:rFonts w:ascii="Times New Roman" w:eastAsia="Arial" w:hAnsi="Times New Roman"/>
            <w:noProof/>
            <w:bdr w:val="none" w:sz="0" w:space="0" w:color="auto" w:frame="1"/>
            <w:lang w:val="fr-FR"/>
          </w:rPr>
          <w:t>Scénario 2 : Score multiple</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_Toc491245229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b/>
            <w:bCs/>
            <w:noProof/>
            <w:webHidden/>
            <w:lang w:val="fr-FR"/>
          </w:rPr>
          <w:t>Erreur ! Signet non défini.</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17" w:anchor="_Toc491245230" w:history="1">
        <w:r w:rsidRPr="00C03BEF">
          <w:rPr>
            <w:rStyle w:val="Lienhypertexte"/>
            <w:rFonts w:ascii="Times New Roman" w:eastAsia="Arial" w:hAnsi="Times New Roman"/>
            <w:noProof/>
            <w:bdr w:val="none" w:sz="0" w:space="0" w:color="auto" w:frame="1"/>
            <w:lang w:val="fr-FR"/>
          </w:rPr>
          <w:t>Scénario 3 : Absence de consensus</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_Toc491245230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55</w:t>
        </w:r>
        <w:r w:rsidRPr="00C03BEF">
          <w:rPr>
            <w:rStyle w:val="Lienhypertexte"/>
            <w:rFonts w:ascii="Times New Roman" w:hAnsi="Times New Roman"/>
            <w:noProof/>
            <w:webHidden/>
          </w:rPr>
          <w:fldChar w:fldCharType="end"/>
        </w:r>
      </w:hyperlink>
    </w:p>
    <w:p w:rsidR="00BD5B7F" w:rsidRPr="00C03BEF" w:rsidRDefault="00BD5B7F" w:rsidP="00BD5B7F">
      <w:pPr>
        <w:pStyle w:val="TM2"/>
        <w:tabs>
          <w:tab w:val="clear" w:pos="9360"/>
          <w:tab w:val="left" w:pos="0"/>
          <w:tab w:val="right" w:pos="9356"/>
        </w:tabs>
        <w:rPr>
          <w:rFonts w:eastAsiaTheme="minorEastAsia"/>
          <w:noProof/>
          <w:lang w:val="en-US"/>
        </w:rPr>
      </w:pPr>
      <w:hyperlink r:id="rId18" w:anchor="_Toc491245231" w:history="1">
        <w:r w:rsidRPr="00C03BEF">
          <w:rPr>
            <w:rStyle w:val="Lienhypertexte"/>
            <w:rFonts w:eastAsia="Arial"/>
            <w:noProof/>
            <w:bdr w:val="none" w:sz="0" w:space="0" w:color="auto" w:frame="1"/>
            <w:lang w:val="fr-FR"/>
          </w:rPr>
          <w:t>Attribution des scores et évaluation des résultats</w:t>
        </w:r>
        <w:r w:rsidRPr="00C03BEF">
          <w:rPr>
            <w:rStyle w:val="Lienhypertexte"/>
            <w:noProof/>
            <w:webHidden/>
          </w:rPr>
          <w:tab/>
        </w:r>
        <w:r w:rsidRPr="00C03BEF">
          <w:rPr>
            <w:rStyle w:val="Lienhypertexte"/>
            <w:noProof/>
            <w:webHidden/>
          </w:rPr>
          <w:fldChar w:fldCharType="begin"/>
        </w:r>
        <w:r w:rsidRPr="00C03BEF">
          <w:rPr>
            <w:rStyle w:val="Lienhypertexte"/>
            <w:noProof/>
            <w:webHidden/>
          </w:rPr>
          <w:instrText xml:space="preserve"> PAGEREF _Toc491245231 \h </w:instrText>
        </w:r>
        <w:r w:rsidRPr="00C03BEF">
          <w:rPr>
            <w:rStyle w:val="Lienhypertexte"/>
            <w:noProof/>
            <w:webHidden/>
          </w:rPr>
        </w:r>
        <w:r w:rsidRPr="00C03BEF">
          <w:rPr>
            <w:rStyle w:val="Lienhypertexte"/>
            <w:noProof/>
            <w:webHidden/>
          </w:rPr>
          <w:fldChar w:fldCharType="separate"/>
        </w:r>
        <w:r>
          <w:rPr>
            <w:rStyle w:val="Lienhypertexte"/>
            <w:noProof/>
            <w:webHidden/>
          </w:rPr>
          <w:t>56</w:t>
        </w:r>
        <w:r w:rsidRPr="00C03BEF">
          <w:rPr>
            <w:rStyle w:val="Lienhypertexte"/>
            <w:noProof/>
            <w:webHidden/>
          </w:rPr>
          <w:fldChar w:fldCharType="end"/>
        </w:r>
      </w:hyperlink>
    </w:p>
    <w:p w:rsidR="00BD5B7F" w:rsidRPr="00C03BEF" w:rsidRDefault="00BD5B7F" w:rsidP="00BD5B7F">
      <w:pPr>
        <w:pStyle w:val="TM2"/>
        <w:tabs>
          <w:tab w:val="clear" w:pos="9360"/>
          <w:tab w:val="left" w:pos="0"/>
          <w:tab w:val="right" w:pos="9356"/>
        </w:tabs>
        <w:rPr>
          <w:rFonts w:eastAsiaTheme="minorEastAsia"/>
          <w:noProof/>
          <w:lang w:val="en-US"/>
        </w:rPr>
      </w:pPr>
      <w:hyperlink r:id="rId19" w:anchor="_Toc491245232" w:history="1">
        <w:r w:rsidRPr="00C03BEF">
          <w:rPr>
            <w:rStyle w:val="Lienhypertexte"/>
            <w:rFonts w:eastAsia="Arial"/>
            <w:noProof/>
            <w:bdr w:val="none" w:sz="0" w:space="0" w:color="auto" w:frame="1"/>
            <w:lang w:val="fr-FR"/>
          </w:rPr>
          <w:t>Présentation des résultats</w:t>
        </w:r>
        <w:r w:rsidRPr="00C03BEF">
          <w:rPr>
            <w:rStyle w:val="Lienhypertexte"/>
            <w:noProof/>
            <w:webHidden/>
          </w:rPr>
          <w:tab/>
        </w:r>
        <w:r w:rsidRPr="00C03BEF">
          <w:rPr>
            <w:rStyle w:val="Lienhypertexte"/>
            <w:noProof/>
            <w:webHidden/>
          </w:rPr>
          <w:fldChar w:fldCharType="begin"/>
        </w:r>
        <w:r w:rsidRPr="00C03BEF">
          <w:rPr>
            <w:rStyle w:val="Lienhypertexte"/>
            <w:noProof/>
            <w:webHidden/>
          </w:rPr>
          <w:instrText xml:space="preserve"> PAGEREF _Toc491245232 \h </w:instrText>
        </w:r>
        <w:r w:rsidRPr="00C03BEF">
          <w:rPr>
            <w:rStyle w:val="Lienhypertexte"/>
            <w:noProof/>
            <w:webHidden/>
          </w:rPr>
        </w:r>
        <w:r w:rsidRPr="00C03BEF">
          <w:rPr>
            <w:rStyle w:val="Lienhypertexte"/>
            <w:noProof/>
            <w:webHidden/>
          </w:rPr>
          <w:fldChar w:fldCharType="separate"/>
        </w:r>
        <w:r>
          <w:rPr>
            <w:rStyle w:val="Lienhypertexte"/>
            <w:noProof/>
            <w:webHidden/>
          </w:rPr>
          <w:t>58</w:t>
        </w:r>
        <w:r w:rsidRPr="00C03BEF">
          <w:rPr>
            <w:rStyle w:val="Lienhypertexte"/>
            <w:noProof/>
            <w:webHidden/>
          </w:rPr>
          <w:fldChar w:fldCharType="end"/>
        </w:r>
      </w:hyperlink>
    </w:p>
    <w:p w:rsidR="00BD5B7F" w:rsidRPr="00C03BEF" w:rsidRDefault="00BD5B7F" w:rsidP="00BD5B7F">
      <w:pPr>
        <w:pStyle w:val="TM1"/>
        <w:tabs>
          <w:tab w:val="clear" w:pos="9360"/>
          <w:tab w:val="left" w:pos="0"/>
          <w:tab w:val="right" w:pos="9356"/>
        </w:tabs>
        <w:rPr>
          <w:rFonts w:ascii="Times New Roman" w:eastAsiaTheme="minorEastAsia" w:hAnsi="Times New Roman"/>
          <w:lang w:val="en-US"/>
        </w:rPr>
      </w:pPr>
      <w:hyperlink r:id="rId20" w:anchor="_Toc491245233" w:history="1">
        <w:r w:rsidRPr="00C03BEF">
          <w:rPr>
            <w:rStyle w:val="Lienhypertexte"/>
            <w:rFonts w:ascii="Times New Roman" w:eastAsia="Arial" w:hAnsi="Times New Roman"/>
            <w:bdr w:val="none" w:sz="0" w:space="0" w:color="auto" w:frame="1"/>
            <w:lang w:val="fr-FR"/>
          </w:rPr>
          <w:t>Tableau de bord IKB</w:t>
        </w:r>
        <w:r w:rsidRPr="00C03BEF">
          <w:rPr>
            <w:rStyle w:val="Lienhypertexte"/>
            <w:rFonts w:ascii="Times New Roman" w:hAnsi="Times New Roman"/>
            <w:webHidden/>
          </w:rPr>
          <w:tab/>
        </w:r>
        <w:r w:rsidRPr="00C03BEF">
          <w:rPr>
            <w:rStyle w:val="Lienhypertexte"/>
            <w:rFonts w:ascii="Times New Roman" w:hAnsi="Times New Roman"/>
            <w:webHidden/>
          </w:rPr>
          <w:fldChar w:fldCharType="begin"/>
        </w:r>
        <w:r w:rsidRPr="00C03BEF">
          <w:rPr>
            <w:rStyle w:val="Lienhypertexte"/>
            <w:rFonts w:ascii="Times New Roman" w:hAnsi="Times New Roman"/>
            <w:webHidden/>
          </w:rPr>
          <w:instrText xml:space="preserve"> PAGEREF _Toc491245233 \h </w:instrText>
        </w:r>
        <w:r w:rsidRPr="00C03BEF">
          <w:rPr>
            <w:rStyle w:val="Lienhypertexte"/>
            <w:rFonts w:ascii="Times New Roman" w:hAnsi="Times New Roman"/>
            <w:webHidden/>
          </w:rPr>
        </w:r>
        <w:r w:rsidRPr="00C03BEF">
          <w:rPr>
            <w:rStyle w:val="Lienhypertexte"/>
            <w:rFonts w:ascii="Times New Roman" w:hAnsi="Times New Roman"/>
            <w:webHidden/>
          </w:rPr>
          <w:fldChar w:fldCharType="separate"/>
        </w:r>
        <w:r>
          <w:rPr>
            <w:rStyle w:val="Lienhypertexte"/>
            <w:rFonts w:ascii="Times New Roman" w:hAnsi="Times New Roman"/>
            <w:webHidden/>
          </w:rPr>
          <w:t>60</w:t>
        </w:r>
        <w:r w:rsidRPr="00C03BEF">
          <w:rPr>
            <w:rStyle w:val="Lienhypertexte"/>
            <w:rFonts w:ascii="Times New Roman" w:hAnsi="Times New Roman"/>
            <w:webHidden/>
          </w:rPr>
          <w:fldChar w:fldCharType="end"/>
        </w:r>
      </w:hyperlink>
    </w:p>
    <w:p w:rsidR="00BD5B7F" w:rsidRPr="00C03BEF" w:rsidRDefault="00BD5B7F" w:rsidP="00BD5B7F">
      <w:pPr>
        <w:pStyle w:val="TM2"/>
        <w:tabs>
          <w:tab w:val="clear" w:pos="9360"/>
          <w:tab w:val="left" w:pos="0"/>
          <w:tab w:val="right" w:pos="9356"/>
        </w:tabs>
        <w:rPr>
          <w:rFonts w:eastAsiaTheme="minorEastAsia"/>
          <w:noProof/>
          <w:lang w:val="en-US"/>
        </w:rPr>
      </w:pPr>
      <w:hyperlink r:id="rId21" w:anchor="_Toc491245234" w:history="1">
        <w:r w:rsidRPr="00C03BEF">
          <w:rPr>
            <w:rStyle w:val="Lienhypertexte"/>
            <w:rFonts w:eastAsia="Arial"/>
            <w:noProof/>
            <w:bdr w:val="none" w:sz="0" w:space="0" w:color="auto" w:frame="1"/>
            <w:lang w:val="fr-FR"/>
          </w:rPr>
          <w:t>A. Suivi national de l’IKB - Gestion des données sur la portée et l’échelle de l’IKB.</w:t>
        </w:r>
        <w:r w:rsidRPr="00C03BEF">
          <w:rPr>
            <w:rStyle w:val="Lienhypertexte"/>
            <w:noProof/>
            <w:webHidden/>
          </w:rPr>
          <w:tab/>
        </w:r>
        <w:r w:rsidRPr="00C03BEF">
          <w:rPr>
            <w:rStyle w:val="Lienhypertexte"/>
            <w:noProof/>
            <w:webHidden/>
          </w:rPr>
          <w:fldChar w:fldCharType="begin"/>
        </w:r>
        <w:r w:rsidRPr="00C03BEF">
          <w:rPr>
            <w:rStyle w:val="Lienhypertexte"/>
            <w:noProof/>
            <w:webHidden/>
          </w:rPr>
          <w:instrText xml:space="preserve"> PAGEREF _Toc491245234 \h </w:instrText>
        </w:r>
        <w:r w:rsidRPr="00C03BEF">
          <w:rPr>
            <w:rStyle w:val="Lienhypertexte"/>
            <w:noProof/>
            <w:webHidden/>
          </w:rPr>
        </w:r>
        <w:r w:rsidRPr="00C03BEF">
          <w:rPr>
            <w:rStyle w:val="Lienhypertexte"/>
            <w:noProof/>
            <w:webHidden/>
          </w:rPr>
          <w:fldChar w:fldCharType="separate"/>
        </w:r>
        <w:r>
          <w:rPr>
            <w:rStyle w:val="Lienhypertexte"/>
            <w:noProof/>
            <w:webHidden/>
          </w:rPr>
          <w:t>61</w:t>
        </w:r>
        <w:r w:rsidRPr="00C03BEF">
          <w:rPr>
            <w:rStyle w:val="Lienhypertexte"/>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22" w:anchor="_Toc491245235" w:history="1">
        <w:r w:rsidRPr="00C03BEF">
          <w:rPr>
            <w:rStyle w:val="Lienhypertexte"/>
            <w:rFonts w:ascii="Times New Roman" w:eastAsia="Arial" w:hAnsi="Times New Roman"/>
            <w:noProof/>
            <w:bdr w:val="none" w:sz="0" w:space="0" w:color="auto" w:frame="1"/>
            <w:lang w:val="fr-FR"/>
          </w:rPr>
          <w:t>1. Situation et échelle de l’IKB</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_Toc491245235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61</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23" w:anchor="_Toc491245236" w:history="1">
        <w:r w:rsidRPr="00C03BEF">
          <w:rPr>
            <w:rStyle w:val="Lienhypertexte"/>
            <w:rFonts w:ascii="Times New Roman" w:eastAsia="Arial" w:hAnsi="Times New Roman"/>
            <w:noProof/>
            <w:bdr w:val="none" w:sz="0" w:space="0" w:color="auto" w:frame="1"/>
            <w:lang w:val="fr-FR"/>
          </w:rPr>
          <w:t>2. Nombre, répartition et tendance des oiseaux illégalement abattus, piégés ou commercialisés</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_Toc491245236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62</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24" w:anchor="_Toc491245237" w:history="1">
        <w:r w:rsidRPr="00C03BEF">
          <w:rPr>
            <w:rStyle w:val="Lienhypertexte"/>
            <w:rFonts w:ascii="Times New Roman" w:eastAsia="Arial" w:hAnsi="Times New Roman"/>
            <w:noProof/>
            <w:bdr w:val="none" w:sz="0" w:space="0" w:color="auto" w:frame="1"/>
            <w:lang w:val="fr-FR"/>
          </w:rPr>
          <w:t>3. Connaissance de l’étendue des cas d’IKB par les autorités nationales</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_Toc491245237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63</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25" w:anchor="_Toc491245238" w:history="1">
        <w:r w:rsidRPr="00C03BEF">
          <w:rPr>
            <w:rStyle w:val="Lienhypertexte"/>
            <w:rFonts w:ascii="Times New Roman" w:eastAsia="Arial" w:hAnsi="Times New Roman"/>
            <w:noProof/>
            <w:bdr w:val="none" w:sz="0" w:space="0" w:color="auto" w:frame="1"/>
            <w:lang w:val="fr-FR"/>
          </w:rPr>
          <w:t>4. Nombre de cas d’IKB ayant fait l’objet de poursuites au cours de la période considérée</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_Toc491245238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64</w:t>
        </w:r>
        <w:r w:rsidRPr="00C03BEF">
          <w:rPr>
            <w:rStyle w:val="Lienhypertexte"/>
            <w:rFonts w:ascii="Times New Roman" w:hAnsi="Times New Roman"/>
            <w:noProof/>
            <w:webHidden/>
          </w:rPr>
          <w:fldChar w:fldCharType="end"/>
        </w:r>
      </w:hyperlink>
    </w:p>
    <w:p w:rsidR="00BD5B7F" w:rsidRPr="00C03BEF" w:rsidRDefault="00BD5B7F" w:rsidP="00BD5B7F">
      <w:pPr>
        <w:pStyle w:val="TM2"/>
        <w:tabs>
          <w:tab w:val="clear" w:pos="9360"/>
          <w:tab w:val="left" w:pos="0"/>
          <w:tab w:val="right" w:pos="9356"/>
        </w:tabs>
        <w:rPr>
          <w:rFonts w:eastAsiaTheme="minorEastAsia"/>
          <w:noProof/>
          <w:lang w:val="en-US"/>
        </w:rPr>
      </w:pPr>
      <w:hyperlink r:id="rId26" w:anchor="_Toc491245239" w:history="1">
        <w:r w:rsidRPr="00C03BEF">
          <w:rPr>
            <w:rStyle w:val="Lienhypertexte"/>
            <w:rFonts w:eastAsia="Arial"/>
            <w:noProof/>
            <w:bdr w:val="none" w:sz="0" w:space="0" w:color="auto" w:frame="1"/>
            <w:lang w:val="fr-FR"/>
          </w:rPr>
          <w:t>B. Niveau d’exhaustivité de la législation nationale</w:t>
        </w:r>
        <w:r w:rsidRPr="00C03BEF">
          <w:rPr>
            <w:rStyle w:val="Lienhypertexte"/>
            <w:noProof/>
            <w:webHidden/>
          </w:rPr>
          <w:tab/>
        </w:r>
        <w:r w:rsidRPr="00C03BEF">
          <w:rPr>
            <w:rStyle w:val="Lienhypertexte"/>
            <w:noProof/>
            <w:webHidden/>
          </w:rPr>
          <w:fldChar w:fldCharType="begin"/>
        </w:r>
        <w:r w:rsidRPr="00C03BEF">
          <w:rPr>
            <w:rStyle w:val="Lienhypertexte"/>
            <w:noProof/>
            <w:webHidden/>
          </w:rPr>
          <w:instrText xml:space="preserve"> PAGEREF _Toc491245239 \h </w:instrText>
        </w:r>
        <w:r w:rsidRPr="00C03BEF">
          <w:rPr>
            <w:rStyle w:val="Lienhypertexte"/>
            <w:noProof/>
            <w:webHidden/>
          </w:rPr>
        </w:r>
        <w:r w:rsidRPr="00C03BEF">
          <w:rPr>
            <w:rStyle w:val="Lienhypertexte"/>
            <w:noProof/>
            <w:webHidden/>
          </w:rPr>
          <w:fldChar w:fldCharType="separate"/>
        </w:r>
        <w:r>
          <w:rPr>
            <w:rStyle w:val="Lienhypertexte"/>
            <w:noProof/>
            <w:webHidden/>
          </w:rPr>
          <w:t>66</w:t>
        </w:r>
        <w:r w:rsidRPr="00C03BEF">
          <w:rPr>
            <w:rStyle w:val="Lienhypertexte"/>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27" w:anchor="_Toc491245240" w:history="1">
        <w:r w:rsidRPr="00C03BEF">
          <w:rPr>
            <w:rStyle w:val="Lienhypertexte"/>
            <w:rFonts w:ascii="Times New Roman" w:eastAsia="Arial" w:hAnsi="Times New Roman"/>
            <w:noProof/>
            <w:bdr w:val="none" w:sz="0" w:space="0" w:color="auto" w:frame="1"/>
            <w:lang w:val="fr-FR"/>
          </w:rPr>
          <w:t>5. Législation nationale sur la faune sauvage</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_Toc491245240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66</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28" w:anchor="_Toc491245241" w:history="1">
        <w:r w:rsidRPr="00C03BEF">
          <w:rPr>
            <w:rStyle w:val="Lienhypertexte"/>
            <w:rFonts w:ascii="Times New Roman" w:eastAsia="Arial" w:hAnsi="Times New Roman"/>
            <w:noProof/>
            <w:bdr w:val="none" w:sz="0" w:space="0" w:color="auto" w:frame="1"/>
            <w:lang w:val="fr-FR"/>
          </w:rPr>
          <w:t>6. Utilisation réglementée</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_Toc491245241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67</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29" w:anchor="_Toc491245242" w:history="1">
        <w:r w:rsidRPr="00C03BEF">
          <w:rPr>
            <w:rStyle w:val="Lienhypertexte"/>
            <w:rFonts w:ascii="Times New Roman" w:eastAsia="Arial" w:hAnsi="Times New Roman"/>
            <w:noProof/>
            <w:bdr w:val="none" w:sz="0" w:space="0" w:color="auto" w:frame="1"/>
            <w:lang w:val="fr-FR"/>
          </w:rPr>
          <w:t>7. Interdictions en vertu de la législation nationale</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_Toc491245242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69</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30" w:anchor="_Toc491245243" w:history="1">
        <w:r w:rsidRPr="00C03BEF">
          <w:rPr>
            <w:rStyle w:val="Lienhypertexte"/>
            <w:rFonts w:ascii="Times New Roman" w:eastAsia="Arial" w:hAnsi="Times New Roman"/>
            <w:noProof/>
            <w:bdr w:val="none" w:sz="0" w:space="0" w:color="auto" w:frame="1"/>
            <w:lang w:val="fr-FR"/>
          </w:rPr>
          <w:t>8. Exceptions à la législation nationale</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_Toc491245243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70</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31" w:anchor="_Toc491245244" w:history="1">
        <w:r w:rsidRPr="00C03BEF">
          <w:rPr>
            <w:rStyle w:val="Lienhypertexte"/>
            <w:rFonts w:ascii="Times New Roman" w:eastAsia="Arial" w:hAnsi="Times New Roman"/>
            <w:noProof/>
            <w:bdr w:val="none" w:sz="0" w:space="0" w:color="auto" w:frame="1"/>
            <w:lang w:val="fr-FR"/>
          </w:rPr>
          <w:t>9. Sanctions et peines</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_Toc491245244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72</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32" w:anchor="_Toc491245245" w:history="1">
        <w:r w:rsidRPr="00C03BEF">
          <w:rPr>
            <w:rStyle w:val="Lienhypertexte"/>
            <w:rFonts w:ascii="Times New Roman" w:eastAsia="Arial" w:hAnsi="Times New Roman"/>
            <w:noProof/>
            <w:bdr w:val="none" w:sz="0" w:space="0" w:color="auto" w:frame="1"/>
            <w:lang w:val="fr-FR"/>
          </w:rPr>
          <w:t>10. Proportionnalité des sanctions</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_Toc491245245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74</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33" w:anchor="_Toc491245246" w:history="1">
        <w:r w:rsidRPr="00C03BEF">
          <w:rPr>
            <w:rStyle w:val="Lienhypertexte"/>
            <w:rFonts w:ascii="Times New Roman" w:eastAsia="Arial" w:hAnsi="Times New Roman"/>
            <w:noProof/>
            <w:bdr w:val="none" w:sz="0" w:space="0" w:color="auto" w:frame="1"/>
            <w:lang w:val="fr-FR"/>
          </w:rPr>
          <w:t>11. Utilisation du droit pénal</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_Toc491245246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75</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34" w:anchor="_Toc491245247" w:history="1">
        <w:r w:rsidRPr="00C03BEF">
          <w:rPr>
            <w:rStyle w:val="Lienhypertexte"/>
            <w:rFonts w:ascii="Times New Roman" w:eastAsia="Arial" w:hAnsi="Times New Roman"/>
            <w:noProof/>
            <w:bdr w:val="none" w:sz="0" w:space="0" w:color="auto" w:frame="1"/>
            <w:lang w:val="fr-FR"/>
          </w:rPr>
          <w:t>12. Législation relative à la criminalité organisée</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_Toc491245247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76</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35" w:anchor="_Toc491245248" w:history="1">
        <w:r w:rsidRPr="00C03BEF">
          <w:rPr>
            <w:rStyle w:val="Lienhypertexte"/>
            <w:rFonts w:ascii="Times New Roman" w:eastAsia="Arial" w:hAnsi="Times New Roman"/>
            <w:noProof/>
            <w:bdr w:val="none" w:sz="0" w:space="0" w:color="auto" w:frame="1"/>
            <w:lang w:val="fr-FR"/>
          </w:rPr>
          <w:t>13. Transposition du droit et des engagements internationaux dans la législation nationale</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_Toc491245248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77</w:t>
        </w:r>
        <w:r w:rsidRPr="00C03BEF">
          <w:rPr>
            <w:rStyle w:val="Lienhypertexte"/>
            <w:rFonts w:ascii="Times New Roman" w:hAnsi="Times New Roman"/>
            <w:noProof/>
            <w:webHidden/>
          </w:rPr>
          <w:fldChar w:fldCharType="end"/>
        </w:r>
      </w:hyperlink>
    </w:p>
    <w:p w:rsidR="00BD5B7F" w:rsidRPr="00C03BEF" w:rsidRDefault="00BD5B7F" w:rsidP="00BD5B7F">
      <w:pPr>
        <w:pStyle w:val="TM2"/>
        <w:tabs>
          <w:tab w:val="clear" w:pos="9360"/>
          <w:tab w:val="left" w:pos="0"/>
          <w:tab w:val="right" w:pos="9356"/>
        </w:tabs>
        <w:rPr>
          <w:rFonts w:eastAsiaTheme="minorEastAsia"/>
          <w:noProof/>
          <w:lang w:val="en-US"/>
        </w:rPr>
      </w:pPr>
      <w:hyperlink r:id="rId36" w:anchor="_Toc491245249" w:history="1">
        <w:r w:rsidRPr="00C03BEF">
          <w:rPr>
            <w:rStyle w:val="Lienhypertexte"/>
            <w:rFonts w:eastAsia="Arial"/>
            <w:noProof/>
            <w:bdr w:val="none" w:sz="0" w:space="0" w:color="auto" w:frame="1"/>
            <w:lang w:val="fr-FR"/>
          </w:rPr>
          <w:t>C. Réponse en matière de lutte contre la fraude : Niveau de préparation des organes chargés de l’application des lois et de la lutte contre la fraude, et coordination des institutions nationales</w:t>
        </w:r>
        <w:r w:rsidRPr="00C03BEF">
          <w:rPr>
            <w:rStyle w:val="Lienhypertexte"/>
            <w:noProof/>
            <w:webHidden/>
          </w:rPr>
          <w:tab/>
        </w:r>
        <w:r w:rsidRPr="00C03BEF">
          <w:rPr>
            <w:rStyle w:val="Lienhypertexte"/>
            <w:noProof/>
            <w:webHidden/>
          </w:rPr>
          <w:fldChar w:fldCharType="begin"/>
        </w:r>
        <w:r w:rsidRPr="00C03BEF">
          <w:rPr>
            <w:rStyle w:val="Lienhypertexte"/>
            <w:noProof/>
            <w:webHidden/>
          </w:rPr>
          <w:instrText xml:space="preserve"> PAGEREF _Toc491245249 \h </w:instrText>
        </w:r>
        <w:r w:rsidRPr="00C03BEF">
          <w:rPr>
            <w:rStyle w:val="Lienhypertexte"/>
            <w:noProof/>
            <w:webHidden/>
          </w:rPr>
        </w:r>
        <w:r w:rsidRPr="00C03BEF">
          <w:rPr>
            <w:rStyle w:val="Lienhypertexte"/>
            <w:noProof/>
            <w:webHidden/>
          </w:rPr>
          <w:fldChar w:fldCharType="separate"/>
        </w:r>
        <w:r>
          <w:rPr>
            <w:rStyle w:val="Lienhypertexte"/>
            <w:noProof/>
            <w:webHidden/>
          </w:rPr>
          <w:t>78</w:t>
        </w:r>
        <w:r w:rsidRPr="00C03BEF">
          <w:rPr>
            <w:rStyle w:val="Lienhypertexte"/>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37" w:anchor="_Toc491245250" w:history="1">
        <w:r w:rsidRPr="00C03BEF">
          <w:rPr>
            <w:rStyle w:val="Lienhypertexte"/>
            <w:rFonts w:ascii="Times New Roman" w:eastAsia="Arial" w:hAnsi="Times New Roman"/>
            <w:noProof/>
            <w:bdr w:val="none" w:sz="0" w:space="0" w:color="auto" w:frame="1"/>
            <w:lang w:val="fr-FR"/>
          </w:rPr>
          <w:t>14. Plan d’action national pour la lutte contre l’IKB</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_Toc491245250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78</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38" w:anchor="_Toc491245251" w:history="1">
        <w:r w:rsidRPr="00C03BEF">
          <w:rPr>
            <w:rStyle w:val="Lienhypertexte"/>
            <w:rFonts w:ascii="Times New Roman" w:eastAsia="Arial" w:hAnsi="Times New Roman"/>
            <w:noProof/>
            <w:bdr w:val="none" w:sz="0" w:space="0" w:color="auto" w:frame="1"/>
            <w:lang w:val="fr-FR"/>
          </w:rPr>
          <w:t>15. Priorité de l’IKB dans la lutte contre la fraude</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_Toc491245251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79</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39" w:anchor="_Toc491245252" w:history="1">
        <w:r w:rsidRPr="00C03BEF">
          <w:rPr>
            <w:rStyle w:val="Lienhypertexte"/>
            <w:rFonts w:ascii="Times New Roman" w:eastAsia="Arial" w:hAnsi="Times New Roman"/>
            <w:noProof/>
            <w:bdr w:val="none" w:sz="0" w:space="0" w:color="auto" w:frame="1"/>
            <w:lang w:val="fr-FR"/>
          </w:rPr>
          <w:t>16. Parties prenantes et élaboration des politiques</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_Toc491245252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80</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40" w:anchor="_Toc491245253" w:history="1">
        <w:r w:rsidRPr="00C03BEF">
          <w:rPr>
            <w:rStyle w:val="Lienhypertexte"/>
            <w:rFonts w:ascii="Times New Roman" w:eastAsia="Arial" w:hAnsi="Times New Roman"/>
            <w:noProof/>
            <w:bdr w:val="none" w:sz="0" w:space="0" w:color="auto" w:frame="1"/>
            <w:lang w:val="fr-FR"/>
          </w:rPr>
          <w:t>17. Personnel et recrutement</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_Toc491245253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81</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41" w:anchor="_Toc491245254" w:history="1">
        <w:r w:rsidRPr="00C03BEF">
          <w:rPr>
            <w:rStyle w:val="Lienhypertexte"/>
            <w:rFonts w:ascii="Times New Roman" w:eastAsia="Arial" w:hAnsi="Times New Roman"/>
            <w:noProof/>
            <w:bdr w:val="none" w:sz="0" w:space="0" w:color="auto" w:frame="1"/>
            <w:lang w:val="fr-FR"/>
          </w:rPr>
          <w:t>18. Formation spécifique</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_Toc491245254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82</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42" w:anchor="_Toc491245255" w:history="1">
        <w:r w:rsidRPr="00C03BEF">
          <w:rPr>
            <w:rStyle w:val="Lienhypertexte"/>
            <w:rFonts w:ascii="Times New Roman" w:eastAsia="Arial" w:hAnsi="Times New Roman"/>
            <w:noProof/>
            <w:bdr w:val="none" w:sz="0" w:space="0" w:color="auto" w:frame="1"/>
            <w:lang w:val="fr-FR"/>
          </w:rPr>
          <w:t>19. Effort de lutte contre l’IKB sur le terrain</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_Toc491245255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83</w:t>
        </w:r>
        <w:r w:rsidRPr="00C03BEF">
          <w:rPr>
            <w:rStyle w:val="Lienhypertexte"/>
            <w:rFonts w:ascii="Times New Roman" w:hAnsi="Times New Roman"/>
            <w:noProof/>
            <w:webHidden/>
          </w:rPr>
          <w:fldChar w:fldCharType="end"/>
        </w:r>
      </w:hyperlink>
    </w:p>
    <w:p w:rsidR="00BD5B7F" w:rsidRPr="00C03BEF" w:rsidRDefault="00BD5B7F" w:rsidP="00BD5B7F">
      <w:pPr>
        <w:pStyle w:val="TM2"/>
        <w:tabs>
          <w:tab w:val="clear" w:pos="9360"/>
          <w:tab w:val="left" w:pos="0"/>
          <w:tab w:val="right" w:pos="9356"/>
        </w:tabs>
        <w:rPr>
          <w:rFonts w:eastAsiaTheme="minorEastAsia"/>
          <w:noProof/>
          <w:lang w:val="en-US"/>
        </w:rPr>
      </w:pPr>
      <w:hyperlink r:id="rId43" w:anchor="_Toc491245256" w:history="1">
        <w:r w:rsidRPr="00C03BEF">
          <w:rPr>
            <w:rStyle w:val="Lienhypertexte"/>
            <w:rFonts w:eastAsia="Arial"/>
            <w:noProof/>
            <w:bdr w:val="none" w:sz="0" w:space="0" w:color="auto" w:frame="1"/>
            <w:lang w:val="fr-FR"/>
          </w:rPr>
          <w:t>D. Poursuites et condamnations - Efficacité des procédures judiciaires</w:t>
        </w:r>
        <w:r w:rsidRPr="00C03BEF">
          <w:rPr>
            <w:rStyle w:val="Lienhypertexte"/>
            <w:noProof/>
            <w:webHidden/>
          </w:rPr>
          <w:tab/>
        </w:r>
        <w:r w:rsidRPr="00C03BEF">
          <w:rPr>
            <w:rStyle w:val="Lienhypertexte"/>
            <w:noProof/>
            <w:webHidden/>
          </w:rPr>
          <w:fldChar w:fldCharType="begin"/>
        </w:r>
        <w:r w:rsidRPr="00C03BEF">
          <w:rPr>
            <w:rStyle w:val="Lienhypertexte"/>
            <w:noProof/>
            <w:webHidden/>
          </w:rPr>
          <w:instrText xml:space="preserve"> PAGEREF _Toc491245256 \h </w:instrText>
        </w:r>
        <w:r w:rsidRPr="00C03BEF">
          <w:rPr>
            <w:rStyle w:val="Lienhypertexte"/>
            <w:noProof/>
            <w:webHidden/>
          </w:rPr>
        </w:r>
        <w:r w:rsidRPr="00C03BEF">
          <w:rPr>
            <w:rStyle w:val="Lienhypertexte"/>
            <w:noProof/>
            <w:webHidden/>
          </w:rPr>
          <w:fldChar w:fldCharType="separate"/>
        </w:r>
        <w:r>
          <w:rPr>
            <w:rStyle w:val="Lienhypertexte"/>
            <w:noProof/>
            <w:webHidden/>
          </w:rPr>
          <w:t>84</w:t>
        </w:r>
        <w:r w:rsidRPr="00C03BEF">
          <w:rPr>
            <w:rStyle w:val="Lienhypertexte"/>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44" w:anchor="_Toc491245257" w:history="1">
        <w:r w:rsidRPr="00C03BEF">
          <w:rPr>
            <w:rStyle w:val="Lienhypertexte"/>
            <w:rFonts w:ascii="Times New Roman" w:eastAsia="Arial" w:hAnsi="Times New Roman"/>
            <w:noProof/>
            <w:bdr w:val="none" w:sz="0" w:space="0" w:color="auto" w:frame="1"/>
            <w:lang w:val="fr-FR"/>
          </w:rPr>
          <w:t>20. Qualité des procédures judiciaires</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_Toc491245257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84</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45" w:anchor="_Toc491245258" w:history="1">
        <w:r w:rsidRPr="00C03BEF">
          <w:rPr>
            <w:rStyle w:val="Lienhypertexte"/>
            <w:rFonts w:ascii="Times New Roman" w:eastAsia="Arial" w:hAnsi="Times New Roman"/>
            <w:noProof/>
            <w:bdr w:val="none" w:sz="0" w:space="0" w:color="auto" w:frame="1"/>
            <w:lang w:val="fr-FR"/>
          </w:rPr>
          <w:t>21. Lignes directrices sur les condamnations</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_Toc491245258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85</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46" w:anchor="_Toc491245259" w:history="1">
        <w:r w:rsidRPr="00C03BEF">
          <w:rPr>
            <w:rStyle w:val="Lienhypertexte"/>
            <w:rFonts w:ascii="Times New Roman" w:eastAsia="Arial" w:hAnsi="Times New Roman"/>
            <w:noProof/>
            <w:bdr w:val="none" w:sz="0" w:space="0" w:color="auto" w:frame="1"/>
            <w:lang w:val="fr-FR"/>
          </w:rPr>
          <w:t>22. Prise de conscience au sein du système judiciaire</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_Toc491245259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86</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47" w:anchor="_Toc491245260" w:history="1">
        <w:r w:rsidRPr="00C03BEF">
          <w:rPr>
            <w:rStyle w:val="Lienhypertexte"/>
            <w:rFonts w:ascii="Times New Roman" w:eastAsia="Arial" w:hAnsi="Times New Roman"/>
            <w:noProof/>
            <w:bdr w:val="none" w:sz="0" w:space="0" w:color="auto" w:frame="1"/>
            <w:lang w:val="fr-FR"/>
          </w:rPr>
          <w:t>23. Formation au sein du système judiciaire</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_Toc491245260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87</w:t>
        </w:r>
        <w:r w:rsidRPr="00C03BEF">
          <w:rPr>
            <w:rStyle w:val="Lienhypertexte"/>
            <w:rFonts w:ascii="Times New Roman" w:hAnsi="Times New Roman"/>
            <w:noProof/>
            <w:webHidden/>
          </w:rPr>
          <w:fldChar w:fldCharType="end"/>
        </w:r>
      </w:hyperlink>
    </w:p>
    <w:p w:rsidR="00BD5B7F" w:rsidRPr="00C03BEF" w:rsidRDefault="00BD5B7F" w:rsidP="00BD5B7F">
      <w:pPr>
        <w:pStyle w:val="TM2"/>
        <w:tabs>
          <w:tab w:val="clear" w:pos="9360"/>
          <w:tab w:val="left" w:pos="0"/>
          <w:tab w:val="right" w:pos="9356"/>
        </w:tabs>
        <w:rPr>
          <w:rFonts w:eastAsiaTheme="minorEastAsia"/>
          <w:noProof/>
          <w:lang w:val="en-US"/>
        </w:rPr>
      </w:pPr>
      <w:hyperlink r:id="rId48" w:anchor="_Toc491245261" w:history="1">
        <w:r w:rsidRPr="00C03BEF">
          <w:rPr>
            <w:rStyle w:val="Lienhypertexte"/>
            <w:rFonts w:eastAsia="Arial"/>
            <w:noProof/>
            <w:bdr w:val="none" w:sz="0" w:space="0" w:color="auto" w:frame="1"/>
            <w:lang w:val="fr-FR"/>
          </w:rPr>
          <w:t>E. Prévention - Autres instruments utilisés pour lutter contre l’IKB</w:t>
        </w:r>
        <w:r w:rsidRPr="00C03BEF">
          <w:rPr>
            <w:rStyle w:val="Lienhypertexte"/>
            <w:noProof/>
            <w:webHidden/>
          </w:rPr>
          <w:tab/>
        </w:r>
        <w:r w:rsidRPr="00C03BEF">
          <w:rPr>
            <w:rStyle w:val="Lienhypertexte"/>
            <w:noProof/>
            <w:webHidden/>
          </w:rPr>
          <w:fldChar w:fldCharType="begin"/>
        </w:r>
        <w:r w:rsidRPr="00C03BEF">
          <w:rPr>
            <w:rStyle w:val="Lienhypertexte"/>
            <w:noProof/>
            <w:webHidden/>
          </w:rPr>
          <w:instrText xml:space="preserve"> PAGEREF _Toc491245261 \h </w:instrText>
        </w:r>
        <w:r w:rsidRPr="00C03BEF">
          <w:rPr>
            <w:rStyle w:val="Lienhypertexte"/>
            <w:noProof/>
            <w:webHidden/>
          </w:rPr>
        </w:r>
        <w:r w:rsidRPr="00C03BEF">
          <w:rPr>
            <w:rStyle w:val="Lienhypertexte"/>
            <w:noProof/>
            <w:webHidden/>
          </w:rPr>
          <w:fldChar w:fldCharType="separate"/>
        </w:r>
        <w:r>
          <w:rPr>
            <w:rStyle w:val="Lienhypertexte"/>
            <w:noProof/>
            <w:webHidden/>
          </w:rPr>
          <w:t>88</w:t>
        </w:r>
        <w:r w:rsidRPr="00C03BEF">
          <w:rPr>
            <w:rStyle w:val="Lienhypertexte"/>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49" w:anchor="_Toc491245262" w:history="1">
        <w:r w:rsidRPr="00C03BEF">
          <w:rPr>
            <w:rStyle w:val="Lienhypertexte"/>
            <w:rFonts w:ascii="Times New Roman" w:eastAsia="Arial" w:hAnsi="Times New Roman"/>
            <w:noProof/>
            <w:bdr w:val="none" w:sz="0" w:space="0" w:color="auto" w:frame="1"/>
            <w:lang w:val="fr-FR"/>
          </w:rPr>
          <w:t>24. Coopération internationale</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_Toc491245262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88</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50" w:anchor="_Toc491245263" w:history="1">
        <w:r w:rsidRPr="00C03BEF">
          <w:rPr>
            <w:rStyle w:val="Lienhypertexte"/>
            <w:rFonts w:ascii="Times New Roman" w:eastAsia="Arial" w:hAnsi="Times New Roman"/>
            <w:noProof/>
            <w:bdr w:val="none" w:sz="0" w:space="0" w:color="auto" w:frame="1"/>
            <w:lang w:val="fr-FR"/>
          </w:rPr>
          <w:t>25. Moteurs de la criminalité liée aux espèces sauvages</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_Toc491245263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89</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51" w:anchor="_Toc491245264" w:history="1">
        <w:r w:rsidRPr="00C03BEF">
          <w:rPr>
            <w:rStyle w:val="Lienhypertexte"/>
            <w:rFonts w:ascii="Times New Roman" w:eastAsia="Arial" w:hAnsi="Times New Roman"/>
            <w:noProof/>
            <w:bdr w:val="none" w:sz="0" w:space="0" w:color="auto" w:frame="1"/>
            <w:lang w:val="fr-FR"/>
          </w:rPr>
          <w:t>26. Activités relatives à la demande</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_Toc491245264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90</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52" w:anchor="_Toc491245265" w:history="1">
        <w:r w:rsidRPr="00C03BEF">
          <w:rPr>
            <w:rStyle w:val="Lienhypertexte"/>
            <w:rFonts w:ascii="Times New Roman" w:eastAsia="Arial" w:hAnsi="Times New Roman"/>
            <w:noProof/>
            <w:bdr w:val="none" w:sz="0" w:space="0" w:color="auto" w:frame="1"/>
            <w:lang w:val="fr-FR"/>
          </w:rPr>
          <w:t>27. Communauté soumise aux réglementations</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_Toc491245265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91</w:t>
        </w:r>
        <w:r w:rsidRPr="00C03BEF">
          <w:rPr>
            <w:rStyle w:val="Lienhypertexte"/>
            <w:rFonts w:ascii="Times New Roman" w:hAnsi="Times New Roman"/>
            <w:noProof/>
            <w:webHidden/>
          </w:rPr>
          <w:fldChar w:fldCharType="end"/>
        </w:r>
      </w:hyperlink>
    </w:p>
    <w:p w:rsidR="00BD5B7F" w:rsidRPr="00C03BEF" w:rsidRDefault="00BD5B7F" w:rsidP="00BD5B7F">
      <w:pPr>
        <w:pStyle w:val="TM4"/>
        <w:tabs>
          <w:tab w:val="left" w:pos="0"/>
          <w:tab w:val="right" w:pos="9356"/>
        </w:tabs>
        <w:rPr>
          <w:rFonts w:ascii="Times New Roman" w:eastAsiaTheme="minorEastAsia" w:hAnsi="Times New Roman"/>
          <w:noProof/>
          <w:lang w:val="en-US"/>
        </w:rPr>
      </w:pPr>
      <w:hyperlink r:id="rId53" w:anchor="_Toc491245266" w:history="1">
        <w:r w:rsidRPr="00C03BEF">
          <w:rPr>
            <w:rStyle w:val="Lienhypertexte"/>
            <w:rFonts w:ascii="Times New Roman" w:eastAsia="Arial" w:hAnsi="Times New Roman"/>
            <w:noProof/>
            <w:bdr w:val="none" w:sz="0" w:space="0" w:color="auto" w:frame="1"/>
            <w:lang w:val="fr-FR"/>
          </w:rPr>
          <w:t>28. Actions de sensibilisation du public</w:t>
        </w:r>
        <w:r w:rsidRPr="00C03BEF">
          <w:rPr>
            <w:rStyle w:val="Lienhypertexte"/>
            <w:rFonts w:ascii="Times New Roman" w:hAnsi="Times New Roman"/>
            <w:noProof/>
            <w:webHidden/>
          </w:rPr>
          <w:tab/>
        </w:r>
        <w:r w:rsidRPr="00C03BEF">
          <w:rPr>
            <w:rStyle w:val="Lienhypertexte"/>
            <w:rFonts w:ascii="Times New Roman" w:hAnsi="Times New Roman"/>
            <w:noProof/>
            <w:webHidden/>
          </w:rPr>
          <w:fldChar w:fldCharType="begin"/>
        </w:r>
        <w:r w:rsidRPr="00C03BEF">
          <w:rPr>
            <w:rStyle w:val="Lienhypertexte"/>
            <w:rFonts w:ascii="Times New Roman" w:hAnsi="Times New Roman"/>
            <w:noProof/>
            <w:webHidden/>
          </w:rPr>
          <w:instrText xml:space="preserve"> PAGEREF _Toc491245266 \h </w:instrText>
        </w:r>
        <w:r w:rsidRPr="00C03BEF">
          <w:rPr>
            <w:rStyle w:val="Lienhypertexte"/>
            <w:rFonts w:ascii="Times New Roman" w:hAnsi="Times New Roman"/>
            <w:noProof/>
            <w:webHidden/>
          </w:rPr>
        </w:r>
        <w:r w:rsidRPr="00C03BEF">
          <w:rPr>
            <w:rStyle w:val="Lienhypertexte"/>
            <w:rFonts w:ascii="Times New Roman" w:hAnsi="Times New Roman"/>
            <w:noProof/>
            <w:webHidden/>
          </w:rPr>
          <w:fldChar w:fldCharType="separate"/>
        </w:r>
        <w:r>
          <w:rPr>
            <w:rStyle w:val="Lienhypertexte"/>
            <w:rFonts w:ascii="Times New Roman" w:hAnsi="Times New Roman"/>
            <w:noProof/>
            <w:webHidden/>
          </w:rPr>
          <w:t>92</w:t>
        </w:r>
        <w:r w:rsidRPr="00C03BEF">
          <w:rPr>
            <w:rStyle w:val="Lienhypertexte"/>
            <w:rFonts w:ascii="Times New Roman" w:hAnsi="Times New Roman"/>
            <w:noProof/>
            <w:webHidden/>
          </w:rPr>
          <w:fldChar w:fldCharType="end"/>
        </w:r>
      </w:hyperlink>
    </w:p>
    <w:p w:rsidR="00BD5B7F" w:rsidRPr="00C03BEF" w:rsidRDefault="00BD5B7F" w:rsidP="00BD5B7F">
      <w:pPr>
        <w:pStyle w:val="TM2"/>
        <w:tabs>
          <w:tab w:val="clear" w:pos="9360"/>
          <w:tab w:val="left" w:pos="0"/>
          <w:tab w:val="right" w:pos="9356"/>
        </w:tabs>
        <w:rPr>
          <w:rFonts w:eastAsiaTheme="minorEastAsia"/>
          <w:noProof/>
          <w:lang w:val="en-US"/>
        </w:rPr>
      </w:pPr>
      <w:hyperlink r:id="rId54" w:anchor="_Toc491245267" w:history="1">
        <w:r w:rsidRPr="00C03BEF">
          <w:rPr>
            <w:rStyle w:val="Lienhypertexte"/>
            <w:rFonts w:eastAsia="Arial"/>
            <w:noProof/>
            <w:bdr w:val="none" w:sz="0" w:space="0" w:color="auto" w:frame="1"/>
            <w:lang w:val="fr-FR"/>
          </w:rPr>
          <w:t>Résumé des scores</w:t>
        </w:r>
        <w:r w:rsidRPr="00C03BEF">
          <w:rPr>
            <w:rStyle w:val="Lienhypertexte"/>
            <w:noProof/>
            <w:webHidden/>
          </w:rPr>
          <w:tab/>
        </w:r>
        <w:r w:rsidRPr="00C03BEF">
          <w:rPr>
            <w:rStyle w:val="Lienhypertexte"/>
            <w:noProof/>
            <w:webHidden/>
          </w:rPr>
          <w:fldChar w:fldCharType="begin"/>
        </w:r>
        <w:r w:rsidRPr="00C03BEF">
          <w:rPr>
            <w:rStyle w:val="Lienhypertexte"/>
            <w:noProof/>
            <w:webHidden/>
          </w:rPr>
          <w:instrText xml:space="preserve"> PAGEREF _Toc491245267 \h </w:instrText>
        </w:r>
        <w:r w:rsidRPr="00C03BEF">
          <w:rPr>
            <w:rStyle w:val="Lienhypertexte"/>
            <w:noProof/>
            <w:webHidden/>
          </w:rPr>
        </w:r>
        <w:r w:rsidRPr="00C03BEF">
          <w:rPr>
            <w:rStyle w:val="Lienhypertexte"/>
            <w:noProof/>
            <w:webHidden/>
          </w:rPr>
          <w:fldChar w:fldCharType="separate"/>
        </w:r>
        <w:r>
          <w:rPr>
            <w:rStyle w:val="Lienhypertexte"/>
            <w:noProof/>
            <w:webHidden/>
          </w:rPr>
          <w:t>93</w:t>
        </w:r>
        <w:r w:rsidRPr="00C03BEF">
          <w:rPr>
            <w:rStyle w:val="Lienhypertexte"/>
            <w:noProof/>
            <w:webHidden/>
          </w:rPr>
          <w:fldChar w:fldCharType="end"/>
        </w:r>
      </w:hyperlink>
    </w:p>
    <w:p w:rsidR="00BD5B7F" w:rsidRPr="00C03BEF" w:rsidRDefault="00BD5B7F" w:rsidP="00BD5B7F">
      <w:pPr>
        <w:keepNext/>
        <w:keepLines/>
        <w:rPr>
          <w:rFonts w:eastAsia="Arial"/>
          <w:b/>
          <w:bCs/>
          <w:sz w:val="28"/>
          <w:szCs w:val="28"/>
          <w:bdr w:val="none" w:sz="0" w:space="0" w:color="auto" w:frame="1"/>
        </w:rPr>
      </w:pPr>
      <w:r w:rsidRPr="00C03BEF">
        <w:rPr>
          <w:rFonts w:eastAsia="Calibri"/>
          <w:noProof/>
          <w:sz w:val="22"/>
          <w:szCs w:val="22"/>
          <w:lang w:val="en-GB"/>
        </w:rPr>
        <w:fldChar w:fldCharType="end"/>
      </w:r>
    </w:p>
    <w:p w:rsidR="00BD5B7F" w:rsidRDefault="00BD5B7F" w:rsidP="00BD5B7F">
      <w:pPr>
        <w:keepNext/>
        <w:keepLines/>
        <w:spacing w:before="40" w:after="120"/>
        <w:outlineLvl w:val="1"/>
        <w:rPr>
          <w:rFonts w:ascii="Arial" w:eastAsia="Arial" w:hAnsi="Arial" w:cs="Arial"/>
          <w:b/>
          <w:bCs/>
          <w:color w:val="000000"/>
          <w:kern w:val="28"/>
          <w:sz w:val="30"/>
          <w:szCs w:val="30"/>
          <w:bdr w:val="none" w:sz="0" w:space="0" w:color="auto" w:frame="1"/>
        </w:rPr>
      </w:pPr>
      <w:r>
        <w:rPr>
          <w:rFonts w:ascii="Arial" w:eastAsia="Arial" w:hAnsi="Arial" w:cs="Arial"/>
          <w:b/>
          <w:bCs/>
          <w:color w:val="000000"/>
          <w:kern w:val="28"/>
          <w:sz w:val="30"/>
          <w:szCs w:val="30"/>
          <w:bdr w:val="none" w:sz="0" w:space="0" w:color="auto" w:frame="1"/>
        </w:rPr>
        <w:br w:type="page"/>
      </w:r>
      <w:bookmarkStart w:id="2" w:name="_Toc486539558"/>
      <w:bookmarkStart w:id="3" w:name="_Toc491245221"/>
      <w:bookmarkStart w:id="4" w:name="_Toc491245047"/>
    </w:p>
    <w:p w:rsidR="00BD5B7F" w:rsidRDefault="00BD5B7F" w:rsidP="00BD5B7F">
      <w:pPr>
        <w:keepNext/>
        <w:keepLines/>
        <w:spacing w:before="40" w:after="120"/>
        <w:outlineLvl w:val="1"/>
        <w:rPr>
          <w:rFonts w:ascii="Arial" w:eastAsia="Arial" w:hAnsi="Arial" w:cs="Arial"/>
          <w:b/>
          <w:bCs/>
          <w:color w:val="000000"/>
          <w:kern w:val="28"/>
          <w:sz w:val="30"/>
          <w:szCs w:val="30"/>
          <w:bdr w:val="none" w:sz="0" w:space="0" w:color="auto" w:frame="1"/>
        </w:rPr>
      </w:pPr>
    </w:p>
    <w:p w:rsidR="00BD5B7F" w:rsidRPr="00865DA5" w:rsidRDefault="00BD5B7F" w:rsidP="00BD5B7F">
      <w:pPr>
        <w:keepNext/>
        <w:keepLines/>
        <w:spacing w:before="40" w:after="120"/>
        <w:outlineLvl w:val="1"/>
        <w:rPr>
          <w:rFonts w:ascii="Arial" w:hAnsi="Arial" w:cs="Arial"/>
          <w:b/>
          <w:color w:val="000000"/>
          <w:kern w:val="28"/>
          <w:sz w:val="30"/>
          <w:szCs w:val="30"/>
          <w:lang w:val="fr-FR"/>
        </w:rPr>
      </w:pPr>
      <w:r w:rsidRPr="00865DA5">
        <w:rPr>
          <w:rFonts w:ascii="Arial" w:eastAsia="Arial" w:hAnsi="Arial" w:cs="Arial"/>
          <w:b/>
          <w:bCs/>
          <w:color w:val="000000"/>
          <w:kern w:val="28"/>
          <w:sz w:val="30"/>
          <w:szCs w:val="30"/>
          <w:bdr w:val="none" w:sz="0" w:space="0" w:color="auto" w:frame="1"/>
          <w:lang w:val="fr-FR"/>
        </w:rPr>
        <w:t>Liste des acronymes</w:t>
      </w:r>
      <w:bookmarkEnd w:id="2"/>
      <w:bookmarkEnd w:id="3"/>
      <w:bookmarkEnd w:id="4"/>
    </w:p>
    <w:p w:rsidR="00BD5B7F" w:rsidRPr="00865DA5" w:rsidRDefault="00BD5B7F" w:rsidP="00BD5B7F">
      <w:pPr>
        <w:keepNext/>
        <w:keepLines/>
        <w:spacing w:before="40" w:after="120"/>
        <w:outlineLvl w:val="1"/>
        <w:rPr>
          <w:rFonts w:ascii="Arial" w:hAnsi="Arial" w:cs="Arial"/>
          <w:b/>
          <w:color w:val="000000"/>
          <w:kern w:val="28"/>
          <w:sz w:val="30"/>
          <w:szCs w:val="30"/>
          <w:lang w:val="fr-FR"/>
        </w:rPr>
      </w:pPr>
    </w:p>
    <w:p w:rsidR="00BD5B7F" w:rsidRPr="00865DA5" w:rsidRDefault="00BD5B7F" w:rsidP="00BD5B7F">
      <w:pPr>
        <w:keepNext/>
        <w:keepLines/>
        <w:spacing w:before="40" w:after="120"/>
        <w:ind w:left="993" w:hanging="993"/>
        <w:outlineLvl w:val="1"/>
        <w:rPr>
          <w:rFonts w:ascii="Arial" w:eastAsia="Calibri" w:hAnsi="Arial" w:cs="Arial"/>
          <w:color w:val="000000"/>
          <w:kern w:val="28"/>
          <w:sz w:val="22"/>
          <w:szCs w:val="22"/>
          <w:lang w:val="fr-FR"/>
        </w:rPr>
      </w:pPr>
      <w:r w:rsidRPr="00865DA5">
        <w:rPr>
          <w:rFonts w:ascii="Arial" w:eastAsia="Arial" w:hAnsi="Arial" w:cs="Arial"/>
          <w:color w:val="000000"/>
          <w:kern w:val="28"/>
          <w:sz w:val="22"/>
          <w:szCs w:val="22"/>
          <w:bdr w:val="none" w:sz="0" w:space="0" w:color="auto" w:frame="1"/>
          <w:lang w:val="fr-FR"/>
        </w:rPr>
        <w:t xml:space="preserve">AEWA </w:t>
      </w:r>
      <w:r w:rsidRPr="00865DA5">
        <w:rPr>
          <w:rFonts w:ascii="Arial" w:eastAsia="Arial" w:hAnsi="Arial" w:cs="Arial"/>
          <w:color w:val="000000"/>
          <w:kern w:val="28"/>
          <w:sz w:val="22"/>
          <w:szCs w:val="22"/>
          <w:bdr w:val="none" w:sz="0" w:space="0" w:color="auto" w:frame="1"/>
          <w:lang w:val="fr-FR"/>
        </w:rPr>
        <w:tab/>
        <w:t>Accord sur la conservation des oiseaux d’eau migrateurs d’Afrique-Eurasie</w:t>
      </w:r>
    </w:p>
    <w:p w:rsidR="00BD5B7F" w:rsidRPr="00865DA5" w:rsidRDefault="00BD5B7F" w:rsidP="00BD5B7F">
      <w:pPr>
        <w:tabs>
          <w:tab w:val="left" w:pos="851"/>
        </w:tabs>
        <w:spacing w:after="120"/>
        <w:ind w:left="993" w:hanging="993"/>
        <w:jc w:val="both"/>
        <w:rPr>
          <w:rFonts w:ascii="Arial" w:eastAsia="Calibri" w:hAnsi="Arial" w:cs="Arial"/>
          <w:color w:val="000000"/>
          <w:kern w:val="28"/>
          <w:sz w:val="22"/>
          <w:szCs w:val="22"/>
          <w:lang w:val="fr-FR"/>
        </w:rPr>
      </w:pPr>
      <w:r w:rsidRPr="00865DA5">
        <w:rPr>
          <w:rFonts w:ascii="Arial" w:eastAsia="Arial" w:hAnsi="Arial" w:cs="Arial"/>
          <w:color w:val="000000"/>
          <w:kern w:val="28"/>
          <w:sz w:val="22"/>
          <w:szCs w:val="22"/>
          <w:bdr w:val="none" w:sz="0" w:space="0" w:color="auto" w:frame="1"/>
          <w:lang w:val="fr-FR"/>
        </w:rPr>
        <w:t xml:space="preserve">CMS </w:t>
      </w:r>
      <w:r w:rsidRPr="00865DA5">
        <w:rPr>
          <w:rFonts w:ascii="Arial" w:eastAsia="Arial" w:hAnsi="Arial" w:cs="Arial"/>
          <w:color w:val="000000"/>
          <w:kern w:val="28"/>
          <w:sz w:val="22"/>
          <w:szCs w:val="22"/>
          <w:bdr w:val="none" w:sz="0" w:space="0" w:color="auto" w:frame="1"/>
          <w:lang w:val="fr-FR"/>
        </w:rPr>
        <w:tab/>
      </w:r>
      <w:r w:rsidRPr="00865DA5">
        <w:rPr>
          <w:rFonts w:ascii="Arial" w:eastAsia="Arial" w:hAnsi="Arial" w:cs="Arial"/>
          <w:color w:val="000000"/>
          <w:kern w:val="28"/>
          <w:sz w:val="22"/>
          <w:szCs w:val="22"/>
          <w:bdr w:val="none" w:sz="0" w:space="0" w:color="auto" w:frame="1"/>
          <w:lang w:val="fr-FR"/>
        </w:rPr>
        <w:tab/>
        <w:t xml:space="preserve">Convention sur la conservation des espèces migratrices appartenant à la faune sauvage </w:t>
      </w:r>
    </w:p>
    <w:p w:rsidR="00BD5B7F" w:rsidRPr="00865DA5" w:rsidRDefault="00BD5B7F" w:rsidP="00BD5B7F">
      <w:pPr>
        <w:tabs>
          <w:tab w:val="left" w:pos="851"/>
        </w:tabs>
        <w:spacing w:after="120"/>
        <w:ind w:left="993" w:hanging="993"/>
        <w:jc w:val="both"/>
        <w:rPr>
          <w:rFonts w:ascii="Arial" w:eastAsia="Calibri" w:hAnsi="Arial" w:cs="Arial"/>
          <w:color w:val="000000"/>
          <w:kern w:val="28"/>
          <w:sz w:val="22"/>
          <w:szCs w:val="22"/>
          <w:lang w:val="fr-FR"/>
        </w:rPr>
      </w:pPr>
      <w:r w:rsidRPr="00865DA5">
        <w:rPr>
          <w:rFonts w:ascii="Arial" w:eastAsia="Arial" w:hAnsi="Arial" w:cs="Arial"/>
          <w:color w:val="000000"/>
          <w:kern w:val="28"/>
          <w:sz w:val="22"/>
          <w:szCs w:val="22"/>
          <w:bdr w:val="none" w:sz="0" w:space="0" w:color="auto" w:frame="1"/>
          <w:lang w:val="fr-FR"/>
        </w:rPr>
        <w:t xml:space="preserve">COP </w:t>
      </w:r>
      <w:r w:rsidRPr="00865DA5">
        <w:rPr>
          <w:rFonts w:ascii="Arial" w:eastAsia="Arial" w:hAnsi="Arial" w:cs="Arial"/>
          <w:color w:val="000000"/>
          <w:kern w:val="28"/>
          <w:sz w:val="22"/>
          <w:szCs w:val="22"/>
          <w:bdr w:val="none" w:sz="0" w:space="0" w:color="auto" w:frame="1"/>
          <w:lang w:val="fr-FR"/>
        </w:rPr>
        <w:tab/>
      </w:r>
      <w:r w:rsidRPr="00865DA5">
        <w:rPr>
          <w:rFonts w:ascii="Arial" w:eastAsia="Arial" w:hAnsi="Arial" w:cs="Arial"/>
          <w:color w:val="000000"/>
          <w:kern w:val="28"/>
          <w:sz w:val="22"/>
          <w:szCs w:val="22"/>
          <w:bdr w:val="none" w:sz="0" w:space="0" w:color="auto" w:frame="1"/>
          <w:lang w:val="fr-FR"/>
        </w:rPr>
        <w:tab/>
        <w:t xml:space="preserve">Conférence des Parties – </w:t>
      </w:r>
      <w:r w:rsidRPr="00865DA5">
        <w:rPr>
          <w:rFonts w:ascii="Arial" w:eastAsia="Arial" w:hAnsi="Arial" w:cs="Arial"/>
          <w:i/>
          <w:color w:val="000000"/>
          <w:kern w:val="28"/>
          <w:sz w:val="22"/>
          <w:szCs w:val="22"/>
          <w:bdr w:val="none" w:sz="0" w:space="0" w:color="auto" w:frame="1"/>
          <w:lang w:val="fr-FR"/>
        </w:rPr>
        <w:t>Conference of</w:t>
      </w:r>
      <w:r w:rsidRPr="00865DA5">
        <w:rPr>
          <w:rFonts w:ascii="Arial" w:eastAsia="Arial" w:hAnsi="Arial" w:cs="Arial"/>
          <w:color w:val="000000"/>
          <w:kern w:val="28"/>
          <w:sz w:val="22"/>
          <w:szCs w:val="22"/>
          <w:bdr w:val="none" w:sz="0" w:space="0" w:color="auto" w:frame="1"/>
          <w:lang w:val="fr-FR"/>
        </w:rPr>
        <w:t xml:space="preserve"> </w:t>
      </w:r>
      <w:r w:rsidRPr="00865DA5">
        <w:rPr>
          <w:rFonts w:ascii="Arial" w:eastAsia="Arial" w:hAnsi="Arial" w:cs="Arial"/>
          <w:i/>
          <w:color w:val="000000"/>
          <w:kern w:val="28"/>
          <w:sz w:val="22"/>
          <w:szCs w:val="22"/>
          <w:bdr w:val="none" w:sz="0" w:space="0" w:color="auto" w:frame="1"/>
          <w:lang w:val="fr-FR"/>
        </w:rPr>
        <w:t>Parties</w:t>
      </w:r>
    </w:p>
    <w:p w:rsidR="00BD5B7F" w:rsidRPr="00865DA5" w:rsidRDefault="00BD5B7F" w:rsidP="00BD5B7F">
      <w:pPr>
        <w:tabs>
          <w:tab w:val="left" w:pos="851"/>
        </w:tabs>
        <w:spacing w:after="120"/>
        <w:ind w:left="993" w:hanging="993"/>
        <w:jc w:val="both"/>
        <w:rPr>
          <w:rFonts w:ascii="Arial" w:eastAsia="Calibri" w:hAnsi="Arial" w:cs="Arial"/>
          <w:color w:val="000000"/>
          <w:kern w:val="28"/>
          <w:sz w:val="22"/>
          <w:szCs w:val="22"/>
          <w:lang w:val="fr-FR"/>
        </w:rPr>
      </w:pPr>
      <w:r w:rsidRPr="00865DA5">
        <w:rPr>
          <w:rFonts w:ascii="Arial" w:eastAsia="Arial" w:hAnsi="Arial" w:cs="Arial"/>
          <w:color w:val="000000"/>
          <w:kern w:val="28"/>
          <w:sz w:val="22"/>
          <w:szCs w:val="22"/>
          <w:bdr w:val="none" w:sz="0" w:space="0" w:color="auto" w:frame="1"/>
          <w:lang w:val="fr-FR"/>
        </w:rPr>
        <w:t>ICCWC</w:t>
      </w:r>
      <w:r w:rsidRPr="00865DA5">
        <w:rPr>
          <w:rFonts w:ascii="Arial" w:eastAsia="Arial" w:hAnsi="Arial" w:cs="Arial"/>
          <w:color w:val="000000"/>
          <w:kern w:val="28"/>
          <w:sz w:val="22"/>
          <w:szCs w:val="22"/>
          <w:bdr w:val="none" w:sz="0" w:space="0" w:color="auto" w:frame="1"/>
          <w:lang w:val="fr-FR"/>
        </w:rPr>
        <w:tab/>
        <w:t xml:space="preserve"> </w:t>
      </w:r>
      <w:r w:rsidRPr="00865DA5">
        <w:rPr>
          <w:rFonts w:ascii="Arial" w:eastAsia="Arial" w:hAnsi="Arial" w:cs="Arial"/>
          <w:color w:val="000000"/>
          <w:kern w:val="28"/>
          <w:sz w:val="22"/>
          <w:szCs w:val="22"/>
          <w:bdr w:val="none" w:sz="0" w:space="0" w:color="auto" w:frame="1"/>
          <w:lang w:val="fr-FR"/>
        </w:rPr>
        <w:tab/>
        <w:t xml:space="preserve">Consortium international de lutte contre la criminalité liée aux espèces sauvages – </w:t>
      </w:r>
      <w:r w:rsidRPr="00865DA5">
        <w:rPr>
          <w:rFonts w:ascii="Arial" w:eastAsia="Arial" w:hAnsi="Arial" w:cs="Arial"/>
          <w:i/>
          <w:color w:val="000000"/>
          <w:kern w:val="28"/>
          <w:sz w:val="22"/>
          <w:szCs w:val="22"/>
          <w:bdr w:val="none" w:sz="0" w:space="0" w:color="auto" w:frame="1"/>
          <w:lang w:val="fr-FR"/>
        </w:rPr>
        <w:t>The International Consortium on Combating Wildlife</w:t>
      </w:r>
      <w:r w:rsidRPr="00865DA5">
        <w:rPr>
          <w:rFonts w:ascii="Arial" w:eastAsia="Arial" w:hAnsi="Arial" w:cs="Arial"/>
          <w:color w:val="000000"/>
          <w:kern w:val="28"/>
          <w:sz w:val="22"/>
          <w:szCs w:val="22"/>
          <w:bdr w:val="none" w:sz="0" w:space="0" w:color="auto" w:frame="1"/>
          <w:lang w:val="fr-FR"/>
        </w:rPr>
        <w:t xml:space="preserve"> Crime</w:t>
      </w:r>
    </w:p>
    <w:p w:rsidR="00BD5B7F" w:rsidRPr="00865DA5" w:rsidRDefault="00BD5B7F" w:rsidP="00BD5B7F">
      <w:pPr>
        <w:tabs>
          <w:tab w:val="left" w:pos="851"/>
        </w:tabs>
        <w:spacing w:after="120"/>
        <w:ind w:left="993" w:hanging="993"/>
        <w:jc w:val="both"/>
        <w:rPr>
          <w:rFonts w:ascii="Arial" w:eastAsia="Calibri" w:hAnsi="Arial" w:cs="Arial"/>
          <w:color w:val="000000"/>
          <w:kern w:val="28"/>
          <w:sz w:val="22"/>
          <w:szCs w:val="22"/>
          <w:lang w:val="fr-FR"/>
        </w:rPr>
      </w:pPr>
      <w:r w:rsidRPr="00865DA5">
        <w:rPr>
          <w:rFonts w:ascii="Arial" w:eastAsia="Arial" w:hAnsi="Arial" w:cs="Arial"/>
          <w:color w:val="000000"/>
          <w:kern w:val="28"/>
          <w:sz w:val="22"/>
          <w:szCs w:val="22"/>
          <w:bdr w:val="none" w:sz="0" w:space="0" w:color="auto" w:frame="1"/>
          <w:lang w:val="fr-FR"/>
        </w:rPr>
        <w:t>IKB</w:t>
      </w:r>
      <w:r w:rsidRPr="00865DA5">
        <w:rPr>
          <w:rFonts w:ascii="Arial" w:eastAsia="Arial" w:hAnsi="Arial" w:cs="Arial"/>
          <w:color w:val="000000"/>
          <w:kern w:val="28"/>
          <w:sz w:val="22"/>
          <w:szCs w:val="22"/>
          <w:bdr w:val="none" w:sz="0" w:space="0" w:color="auto" w:frame="1"/>
          <w:lang w:val="fr-FR"/>
        </w:rPr>
        <w:tab/>
      </w:r>
      <w:r w:rsidRPr="00865DA5">
        <w:rPr>
          <w:rFonts w:ascii="Arial" w:eastAsia="Arial" w:hAnsi="Arial" w:cs="Arial"/>
          <w:color w:val="000000"/>
          <w:kern w:val="28"/>
          <w:sz w:val="22"/>
          <w:szCs w:val="22"/>
          <w:bdr w:val="none" w:sz="0" w:space="0" w:color="auto" w:frame="1"/>
          <w:lang w:val="fr-FR"/>
        </w:rPr>
        <w:tab/>
        <w:t xml:space="preserve">Abattage, piégeage et commerce illégaux des oiseaux sauvages – </w:t>
      </w:r>
      <w:r w:rsidRPr="00865DA5">
        <w:rPr>
          <w:rFonts w:ascii="Arial" w:eastAsia="Arial" w:hAnsi="Arial" w:cs="Arial"/>
          <w:i/>
          <w:color w:val="000000"/>
          <w:kern w:val="28"/>
          <w:sz w:val="22"/>
          <w:szCs w:val="22"/>
          <w:bdr w:val="none" w:sz="0" w:space="0" w:color="auto" w:frame="1"/>
          <w:lang w:val="fr-FR"/>
        </w:rPr>
        <w:t>Illegal Killing, Trapping and Trade in Wild Birds</w:t>
      </w:r>
    </w:p>
    <w:p w:rsidR="00BD5B7F" w:rsidRPr="00865DA5" w:rsidRDefault="00BD5B7F" w:rsidP="00BD5B7F">
      <w:pPr>
        <w:tabs>
          <w:tab w:val="left" w:pos="851"/>
        </w:tabs>
        <w:spacing w:after="120"/>
        <w:ind w:left="993" w:hanging="993"/>
        <w:jc w:val="both"/>
        <w:rPr>
          <w:rFonts w:ascii="Arial" w:eastAsia="Calibri" w:hAnsi="Arial" w:cs="Arial"/>
          <w:color w:val="000000"/>
          <w:kern w:val="28"/>
          <w:sz w:val="22"/>
          <w:szCs w:val="22"/>
          <w:lang w:val="fr-FR"/>
        </w:rPr>
      </w:pPr>
      <w:r w:rsidRPr="00865DA5">
        <w:rPr>
          <w:rFonts w:ascii="Arial" w:eastAsia="Arial" w:hAnsi="Arial" w:cs="Arial"/>
          <w:color w:val="000000"/>
          <w:kern w:val="28"/>
          <w:sz w:val="22"/>
          <w:szCs w:val="22"/>
          <w:bdr w:val="none" w:sz="0" w:space="0" w:color="auto" w:frame="1"/>
          <w:lang w:val="fr-FR"/>
        </w:rPr>
        <w:t>MIKT</w:t>
      </w:r>
      <w:r w:rsidRPr="00865DA5">
        <w:rPr>
          <w:rFonts w:ascii="Arial" w:eastAsia="Arial" w:hAnsi="Arial" w:cs="Arial"/>
          <w:color w:val="000000"/>
          <w:kern w:val="28"/>
          <w:sz w:val="22"/>
          <w:szCs w:val="22"/>
          <w:bdr w:val="none" w:sz="0" w:space="0" w:color="auto" w:frame="1"/>
          <w:lang w:val="fr-FR"/>
        </w:rPr>
        <w:tab/>
      </w:r>
      <w:r w:rsidRPr="00865DA5">
        <w:rPr>
          <w:rFonts w:ascii="Arial" w:eastAsia="Arial" w:hAnsi="Arial" w:cs="Arial"/>
          <w:color w:val="000000"/>
          <w:kern w:val="28"/>
          <w:sz w:val="22"/>
          <w:szCs w:val="22"/>
          <w:bdr w:val="none" w:sz="0" w:space="0" w:color="auto" w:frame="1"/>
          <w:lang w:val="fr-FR"/>
        </w:rPr>
        <w:tab/>
        <w:t xml:space="preserve">Groupe spécial intergouvernemental sur l’abattage, le prélèvement et le commerce illégaux des oiseaux migrateurs en Méditerranée </w:t>
      </w:r>
    </w:p>
    <w:p w:rsidR="00BD5B7F" w:rsidRPr="00865DA5" w:rsidRDefault="00BD5B7F" w:rsidP="00BD5B7F">
      <w:pPr>
        <w:tabs>
          <w:tab w:val="left" w:pos="851"/>
        </w:tabs>
        <w:spacing w:after="120"/>
        <w:ind w:left="993" w:hanging="993"/>
        <w:jc w:val="both"/>
        <w:rPr>
          <w:rFonts w:ascii="Arial" w:eastAsia="Calibri" w:hAnsi="Arial" w:cs="Arial"/>
          <w:color w:val="000000"/>
          <w:kern w:val="28"/>
          <w:sz w:val="22"/>
          <w:szCs w:val="22"/>
          <w:lang w:val="fr-FR"/>
        </w:rPr>
      </w:pPr>
      <w:r w:rsidRPr="00865DA5">
        <w:rPr>
          <w:rFonts w:ascii="Arial" w:eastAsia="Arial" w:hAnsi="Arial" w:cs="Arial"/>
          <w:color w:val="000000"/>
          <w:kern w:val="28"/>
          <w:sz w:val="22"/>
          <w:szCs w:val="22"/>
          <w:bdr w:val="none" w:sz="0" w:space="0" w:color="auto" w:frame="1"/>
          <w:lang w:val="fr-FR"/>
        </w:rPr>
        <w:t>MOP</w:t>
      </w:r>
      <w:r w:rsidRPr="00865DA5">
        <w:rPr>
          <w:rFonts w:ascii="Arial" w:eastAsia="Arial" w:hAnsi="Arial" w:cs="Arial"/>
          <w:color w:val="000000"/>
          <w:kern w:val="28"/>
          <w:sz w:val="22"/>
          <w:szCs w:val="22"/>
          <w:bdr w:val="none" w:sz="0" w:space="0" w:color="auto" w:frame="1"/>
          <w:lang w:val="fr-FR"/>
        </w:rPr>
        <w:tab/>
      </w:r>
      <w:r w:rsidRPr="00865DA5">
        <w:rPr>
          <w:rFonts w:ascii="Arial" w:eastAsia="Arial" w:hAnsi="Arial" w:cs="Arial"/>
          <w:color w:val="000000"/>
          <w:kern w:val="28"/>
          <w:sz w:val="22"/>
          <w:szCs w:val="22"/>
          <w:bdr w:val="none" w:sz="0" w:space="0" w:color="auto" w:frame="1"/>
          <w:lang w:val="fr-FR"/>
        </w:rPr>
        <w:tab/>
        <w:t xml:space="preserve">Réunion des Parties – </w:t>
      </w:r>
      <w:r w:rsidRPr="00865DA5">
        <w:rPr>
          <w:rFonts w:ascii="Arial" w:eastAsia="Arial" w:hAnsi="Arial" w:cs="Arial"/>
          <w:i/>
          <w:color w:val="000000"/>
          <w:kern w:val="28"/>
          <w:sz w:val="22"/>
          <w:szCs w:val="22"/>
          <w:bdr w:val="none" w:sz="0" w:space="0" w:color="auto" w:frame="1"/>
          <w:lang w:val="fr-FR"/>
        </w:rPr>
        <w:t>Meeting of Parties</w:t>
      </w:r>
    </w:p>
    <w:p w:rsidR="00BD5B7F" w:rsidRPr="00865DA5" w:rsidRDefault="00BD5B7F" w:rsidP="00BD5B7F">
      <w:pPr>
        <w:tabs>
          <w:tab w:val="left" w:pos="851"/>
        </w:tabs>
        <w:spacing w:after="120"/>
        <w:ind w:left="993" w:hanging="993"/>
        <w:jc w:val="both"/>
        <w:rPr>
          <w:rFonts w:ascii="Arial" w:eastAsia="Calibri" w:hAnsi="Arial" w:cs="Arial"/>
          <w:color w:val="000000"/>
          <w:kern w:val="28"/>
          <w:sz w:val="22"/>
          <w:szCs w:val="22"/>
          <w:lang w:val="fr-FR"/>
        </w:rPr>
      </w:pPr>
      <w:r w:rsidRPr="00865DA5">
        <w:rPr>
          <w:rFonts w:ascii="Arial" w:eastAsia="Arial" w:hAnsi="Arial" w:cs="Arial"/>
          <w:color w:val="000000"/>
          <w:kern w:val="28"/>
          <w:sz w:val="22"/>
          <w:szCs w:val="22"/>
          <w:bdr w:val="none" w:sz="0" w:space="0" w:color="auto" w:frame="1"/>
          <w:lang w:val="fr-FR"/>
        </w:rPr>
        <w:t xml:space="preserve">ONG </w:t>
      </w:r>
      <w:r w:rsidRPr="00865DA5">
        <w:rPr>
          <w:rFonts w:ascii="Arial" w:eastAsia="Arial" w:hAnsi="Arial" w:cs="Arial"/>
          <w:color w:val="000000"/>
          <w:kern w:val="28"/>
          <w:sz w:val="22"/>
          <w:szCs w:val="22"/>
          <w:bdr w:val="none" w:sz="0" w:space="0" w:color="auto" w:frame="1"/>
          <w:lang w:val="fr-FR"/>
        </w:rPr>
        <w:tab/>
      </w:r>
      <w:r w:rsidRPr="00865DA5">
        <w:rPr>
          <w:rFonts w:ascii="Arial" w:eastAsia="Arial" w:hAnsi="Arial" w:cs="Arial"/>
          <w:color w:val="000000"/>
          <w:kern w:val="28"/>
          <w:sz w:val="22"/>
          <w:szCs w:val="22"/>
          <w:bdr w:val="none" w:sz="0" w:space="0" w:color="auto" w:frame="1"/>
          <w:lang w:val="fr-FR"/>
        </w:rPr>
        <w:tab/>
        <w:t>Organisation non gouvernementale</w:t>
      </w:r>
    </w:p>
    <w:p w:rsidR="00BD5B7F" w:rsidRPr="00C03BEF" w:rsidRDefault="00BD5B7F" w:rsidP="00BD5B7F">
      <w:pPr>
        <w:tabs>
          <w:tab w:val="left" w:pos="851"/>
        </w:tabs>
        <w:spacing w:after="120"/>
        <w:ind w:left="993" w:hanging="993"/>
        <w:jc w:val="both"/>
        <w:rPr>
          <w:rFonts w:ascii="Arial" w:eastAsia="Calibri" w:hAnsi="Arial" w:cs="Arial"/>
          <w:color w:val="000000"/>
          <w:kern w:val="28"/>
          <w:sz w:val="22"/>
          <w:szCs w:val="22"/>
          <w:lang w:val="en-GB"/>
        </w:rPr>
      </w:pPr>
      <w:proofErr w:type="gramStart"/>
      <w:r w:rsidRPr="00C03BEF">
        <w:rPr>
          <w:rFonts w:ascii="Arial" w:eastAsia="Arial" w:hAnsi="Arial" w:cs="Arial"/>
          <w:color w:val="000000"/>
          <w:kern w:val="28"/>
          <w:sz w:val="22"/>
          <w:szCs w:val="22"/>
          <w:bdr w:val="none" w:sz="0" w:space="0" w:color="auto" w:frame="1"/>
          <w:lang w:val="en-GB"/>
        </w:rPr>
        <w:t>PoW</w:t>
      </w:r>
      <w:proofErr w:type="gramEnd"/>
      <w:r w:rsidRPr="00C03BEF">
        <w:rPr>
          <w:rFonts w:ascii="Arial" w:eastAsia="Arial" w:hAnsi="Arial" w:cs="Arial"/>
          <w:color w:val="000000"/>
          <w:kern w:val="28"/>
          <w:sz w:val="22"/>
          <w:szCs w:val="22"/>
          <w:bdr w:val="none" w:sz="0" w:space="0" w:color="auto" w:frame="1"/>
          <w:lang w:val="en-GB"/>
        </w:rPr>
        <w:t xml:space="preserve"> </w:t>
      </w:r>
      <w:r w:rsidRPr="00C03BEF">
        <w:rPr>
          <w:rFonts w:ascii="Arial" w:eastAsia="Arial" w:hAnsi="Arial" w:cs="Arial"/>
          <w:color w:val="000000"/>
          <w:kern w:val="28"/>
          <w:sz w:val="22"/>
          <w:szCs w:val="22"/>
          <w:bdr w:val="none" w:sz="0" w:space="0" w:color="auto" w:frame="1"/>
          <w:lang w:val="en-GB"/>
        </w:rPr>
        <w:tab/>
      </w:r>
      <w:r w:rsidRPr="00C03BEF">
        <w:rPr>
          <w:rFonts w:ascii="Arial" w:eastAsia="Arial" w:hAnsi="Arial" w:cs="Arial"/>
          <w:color w:val="000000"/>
          <w:kern w:val="28"/>
          <w:sz w:val="22"/>
          <w:szCs w:val="22"/>
          <w:bdr w:val="none" w:sz="0" w:space="0" w:color="auto" w:frame="1"/>
          <w:lang w:val="en-GB"/>
        </w:rPr>
        <w:tab/>
        <w:t xml:space="preserve">Programme de travail – </w:t>
      </w:r>
      <w:r w:rsidRPr="00C03BEF">
        <w:rPr>
          <w:rFonts w:ascii="Arial" w:eastAsia="Arial" w:hAnsi="Arial" w:cs="Arial"/>
          <w:i/>
          <w:color w:val="000000"/>
          <w:kern w:val="28"/>
          <w:sz w:val="22"/>
          <w:szCs w:val="22"/>
          <w:bdr w:val="none" w:sz="0" w:space="0" w:color="auto" w:frame="1"/>
          <w:lang w:val="en-GB"/>
        </w:rPr>
        <w:t>Program of</w:t>
      </w:r>
      <w:r w:rsidRPr="00C03BEF">
        <w:rPr>
          <w:rFonts w:ascii="Arial" w:eastAsia="Arial" w:hAnsi="Arial" w:cs="Arial"/>
          <w:color w:val="000000"/>
          <w:kern w:val="28"/>
          <w:sz w:val="22"/>
          <w:szCs w:val="22"/>
          <w:bdr w:val="none" w:sz="0" w:space="0" w:color="auto" w:frame="1"/>
          <w:lang w:val="en-GB"/>
        </w:rPr>
        <w:t xml:space="preserve"> </w:t>
      </w:r>
      <w:r w:rsidRPr="00C03BEF">
        <w:rPr>
          <w:rFonts w:ascii="Arial" w:eastAsia="Arial" w:hAnsi="Arial" w:cs="Arial"/>
          <w:i/>
          <w:color w:val="000000"/>
          <w:kern w:val="28"/>
          <w:sz w:val="22"/>
          <w:szCs w:val="22"/>
          <w:bdr w:val="none" w:sz="0" w:space="0" w:color="auto" w:frame="1"/>
          <w:lang w:val="en-GB"/>
        </w:rPr>
        <w:t>Work</w:t>
      </w:r>
    </w:p>
    <w:p w:rsidR="00BD5B7F" w:rsidRPr="00865DA5" w:rsidRDefault="00BD5B7F" w:rsidP="00BD5B7F">
      <w:pPr>
        <w:tabs>
          <w:tab w:val="left" w:pos="851"/>
        </w:tabs>
        <w:spacing w:after="120"/>
        <w:ind w:left="993" w:hanging="993"/>
        <w:jc w:val="both"/>
        <w:rPr>
          <w:rFonts w:ascii="Arial" w:eastAsia="Calibri" w:hAnsi="Arial" w:cs="Arial"/>
          <w:color w:val="000000"/>
          <w:kern w:val="28"/>
          <w:sz w:val="22"/>
          <w:szCs w:val="22"/>
          <w:lang w:val="fr-FR"/>
        </w:rPr>
      </w:pPr>
      <w:r w:rsidRPr="00865DA5">
        <w:rPr>
          <w:rFonts w:ascii="Arial" w:eastAsia="Arial" w:hAnsi="Arial" w:cs="Arial"/>
          <w:color w:val="000000"/>
          <w:kern w:val="28"/>
          <w:sz w:val="22"/>
          <w:szCs w:val="22"/>
          <w:bdr w:val="none" w:sz="0" w:space="0" w:color="auto" w:frame="1"/>
          <w:lang w:val="fr-FR"/>
        </w:rPr>
        <w:t>SC</w:t>
      </w:r>
      <w:r w:rsidRPr="00865DA5">
        <w:rPr>
          <w:rFonts w:ascii="Arial" w:eastAsia="Arial" w:hAnsi="Arial" w:cs="Arial"/>
          <w:color w:val="000000"/>
          <w:kern w:val="28"/>
          <w:sz w:val="22"/>
          <w:szCs w:val="22"/>
          <w:bdr w:val="none" w:sz="0" w:space="0" w:color="auto" w:frame="1"/>
          <w:lang w:val="fr-FR"/>
        </w:rPr>
        <w:tab/>
      </w:r>
      <w:r w:rsidRPr="00865DA5">
        <w:rPr>
          <w:rFonts w:ascii="Arial" w:eastAsia="Arial" w:hAnsi="Arial" w:cs="Arial"/>
          <w:color w:val="000000"/>
          <w:kern w:val="28"/>
          <w:sz w:val="22"/>
          <w:szCs w:val="22"/>
          <w:bdr w:val="none" w:sz="0" w:space="0" w:color="auto" w:frame="1"/>
          <w:lang w:val="fr-FR"/>
        </w:rPr>
        <w:tab/>
        <w:t xml:space="preserve">Comité permanent – </w:t>
      </w:r>
      <w:r w:rsidRPr="00865DA5">
        <w:rPr>
          <w:rFonts w:ascii="Arial" w:eastAsia="Arial" w:hAnsi="Arial" w:cs="Arial"/>
          <w:i/>
          <w:color w:val="000000"/>
          <w:kern w:val="28"/>
          <w:sz w:val="22"/>
          <w:szCs w:val="22"/>
          <w:bdr w:val="none" w:sz="0" w:space="0" w:color="auto" w:frame="1"/>
          <w:lang w:val="fr-FR"/>
        </w:rPr>
        <w:t>Standing Commitee</w:t>
      </w:r>
    </w:p>
    <w:p w:rsidR="00BD5B7F" w:rsidRPr="00865DA5" w:rsidRDefault="00BD5B7F" w:rsidP="00BD5B7F">
      <w:pPr>
        <w:tabs>
          <w:tab w:val="left" w:pos="851"/>
        </w:tabs>
        <w:spacing w:after="120"/>
        <w:ind w:left="993" w:hanging="993"/>
        <w:jc w:val="both"/>
        <w:rPr>
          <w:rFonts w:ascii="Arial" w:eastAsia="Calibri" w:hAnsi="Arial" w:cs="Arial"/>
          <w:color w:val="000000"/>
          <w:kern w:val="28"/>
          <w:sz w:val="22"/>
          <w:szCs w:val="22"/>
          <w:lang w:val="fr-FR"/>
        </w:rPr>
      </w:pPr>
      <w:r w:rsidRPr="00865DA5">
        <w:rPr>
          <w:rFonts w:ascii="Arial" w:eastAsia="Arial" w:hAnsi="Arial" w:cs="Arial"/>
          <w:color w:val="000000"/>
          <w:kern w:val="28"/>
          <w:sz w:val="22"/>
          <w:szCs w:val="22"/>
          <w:bdr w:val="none" w:sz="0" w:space="0" w:color="auto" w:frame="1"/>
          <w:lang w:val="fr-FR"/>
        </w:rPr>
        <w:t xml:space="preserve">SFP </w:t>
      </w:r>
      <w:r w:rsidRPr="00865DA5">
        <w:rPr>
          <w:rFonts w:ascii="Arial" w:eastAsia="Arial" w:hAnsi="Arial" w:cs="Arial"/>
          <w:color w:val="000000"/>
          <w:kern w:val="28"/>
          <w:sz w:val="22"/>
          <w:szCs w:val="22"/>
          <w:bdr w:val="none" w:sz="0" w:space="0" w:color="auto" w:frame="1"/>
          <w:lang w:val="fr-FR"/>
        </w:rPr>
        <w:tab/>
      </w:r>
      <w:r w:rsidRPr="00865DA5">
        <w:rPr>
          <w:rFonts w:ascii="Arial" w:eastAsia="Arial" w:hAnsi="Arial" w:cs="Arial"/>
          <w:color w:val="000000"/>
          <w:kern w:val="28"/>
          <w:sz w:val="22"/>
          <w:szCs w:val="22"/>
          <w:bdr w:val="none" w:sz="0" w:space="0" w:color="auto" w:frame="1"/>
          <w:lang w:val="fr-FR"/>
        </w:rPr>
        <w:tab/>
        <w:t xml:space="preserve">Correspondant spécial – </w:t>
      </w:r>
      <w:r w:rsidRPr="00865DA5">
        <w:rPr>
          <w:rFonts w:ascii="Arial" w:eastAsia="Arial" w:hAnsi="Arial" w:cs="Arial"/>
          <w:i/>
          <w:color w:val="000000"/>
          <w:kern w:val="28"/>
          <w:sz w:val="22"/>
          <w:szCs w:val="22"/>
          <w:bdr w:val="none" w:sz="0" w:space="0" w:color="auto" w:frame="1"/>
          <w:lang w:val="fr-FR"/>
        </w:rPr>
        <w:t>Special Focal</w:t>
      </w:r>
      <w:r w:rsidRPr="00865DA5">
        <w:rPr>
          <w:rFonts w:ascii="Arial" w:eastAsia="Arial" w:hAnsi="Arial" w:cs="Arial"/>
          <w:color w:val="000000"/>
          <w:kern w:val="28"/>
          <w:sz w:val="22"/>
          <w:szCs w:val="22"/>
          <w:bdr w:val="none" w:sz="0" w:space="0" w:color="auto" w:frame="1"/>
          <w:lang w:val="fr-FR"/>
        </w:rPr>
        <w:t xml:space="preserve"> </w:t>
      </w:r>
      <w:r w:rsidRPr="00865DA5">
        <w:rPr>
          <w:rFonts w:ascii="Arial" w:eastAsia="Arial" w:hAnsi="Arial" w:cs="Arial"/>
          <w:i/>
          <w:color w:val="000000"/>
          <w:kern w:val="28"/>
          <w:sz w:val="22"/>
          <w:szCs w:val="22"/>
          <w:bdr w:val="none" w:sz="0" w:space="0" w:color="auto" w:frame="1"/>
          <w:lang w:val="fr-FR"/>
        </w:rPr>
        <w:t>Point</w:t>
      </w:r>
    </w:p>
    <w:p w:rsidR="00BD5B7F" w:rsidRPr="00865DA5" w:rsidRDefault="00BD5B7F" w:rsidP="00BD5B7F">
      <w:pPr>
        <w:tabs>
          <w:tab w:val="left" w:pos="851"/>
        </w:tabs>
        <w:spacing w:after="120"/>
        <w:ind w:left="993" w:hanging="993"/>
        <w:jc w:val="both"/>
        <w:rPr>
          <w:rFonts w:ascii="Arial" w:eastAsia="Calibri" w:hAnsi="Arial" w:cs="Arial"/>
          <w:color w:val="000000"/>
          <w:kern w:val="28"/>
          <w:sz w:val="22"/>
          <w:szCs w:val="22"/>
          <w:lang w:val="fr-FR"/>
        </w:rPr>
      </w:pPr>
      <w:r w:rsidRPr="00865DA5">
        <w:rPr>
          <w:rFonts w:ascii="Arial" w:eastAsia="Arial" w:hAnsi="Arial" w:cs="Arial"/>
          <w:color w:val="000000"/>
          <w:kern w:val="28"/>
          <w:sz w:val="22"/>
          <w:szCs w:val="22"/>
          <w:bdr w:val="none" w:sz="0" w:space="0" w:color="auto" w:frame="1"/>
          <w:lang w:val="fr-FR"/>
        </w:rPr>
        <w:t xml:space="preserve">TAP </w:t>
      </w:r>
      <w:r w:rsidRPr="00865DA5">
        <w:rPr>
          <w:rFonts w:ascii="Arial" w:eastAsia="Arial" w:hAnsi="Arial" w:cs="Arial"/>
          <w:color w:val="000000"/>
          <w:kern w:val="28"/>
          <w:sz w:val="22"/>
          <w:szCs w:val="22"/>
          <w:bdr w:val="none" w:sz="0" w:space="0" w:color="auto" w:frame="1"/>
          <w:lang w:val="fr-FR"/>
        </w:rPr>
        <w:tab/>
      </w:r>
      <w:r w:rsidRPr="00865DA5">
        <w:rPr>
          <w:rFonts w:ascii="Arial" w:eastAsia="Arial" w:hAnsi="Arial" w:cs="Arial"/>
          <w:color w:val="000000"/>
          <w:kern w:val="28"/>
          <w:sz w:val="22"/>
          <w:szCs w:val="22"/>
          <w:bdr w:val="none" w:sz="0" w:space="0" w:color="auto" w:frame="1"/>
          <w:lang w:val="fr-FR"/>
        </w:rPr>
        <w:tab/>
        <w:t xml:space="preserve">Plan d’action de Tunis 2013-2020 - </w:t>
      </w:r>
      <w:r w:rsidRPr="00865DA5">
        <w:rPr>
          <w:rFonts w:ascii="Arial" w:eastAsia="Arial" w:hAnsi="Arial" w:cs="Arial"/>
          <w:i/>
          <w:color w:val="000000"/>
          <w:kern w:val="28"/>
          <w:sz w:val="22"/>
          <w:szCs w:val="22"/>
          <w:bdr w:val="none" w:sz="0" w:space="0" w:color="auto" w:frame="1"/>
          <w:lang w:val="fr-FR"/>
        </w:rPr>
        <w:t>Tunis Action</w:t>
      </w:r>
      <w:r w:rsidRPr="00865DA5">
        <w:rPr>
          <w:rFonts w:ascii="Arial" w:eastAsia="Arial" w:hAnsi="Arial" w:cs="Arial"/>
          <w:color w:val="000000"/>
          <w:kern w:val="28"/>
          <w:sz w:val="22"/>
          <w:szCs w:val="22"/>
          <w:bdr w:val="none" w:sz="0" w:space="0" w:color="auto" w:frame="1"/>
          <w:lang w:val="fr-FR"/>
        </w:rPr>
        <w:t xml:space="preserve"> </w:t>
      </w:r>
      <w:r w:rsidRPr="00865DA5">
        <w:rPr>
          <w:rFonts w:ascii="Arial" w:eastAsia="Arial" w:hAnsi="Arial" w:cs="Arial"/>
          <w:i/>
          <w:color w:val="000000"/>
          <w:kern w:val="28"/>
          <w:sz w:val="22"/>
          <w:szCs w:val="22"/>
          <w:bdr w:val="none" w:sz="0" w:space="0" w:color="auto" w:frame="1"/>
          <w:lang w:val="fr-FR"/>
        </w:rPr>
        <w:t>Plan</w:t>
      </w:r>
    </w:p>
    <w:p w:rsidR="00BD5B7F" w:rsidRPr="00865DA5" w:rsidRDefault="00BD5B7F" w:rsidP="00BD5B7F">
      <w:pPr>
        <w:tabs>
          <w:tab w:val="left" w:pos="851"/>
        </w:tabs>
        <w:spacing w:after="120"/>
        <w:ind w:left="993" w:hanging="993"/>
        <w:rPr>
          <w:rFonts w:ascii="Arial" w:eastAsia="Calibri" w:hAnsi="Arial" w:cs="Arial"/>
          <w:color w:val="000000"/>
          <w:kern w:val="28"/>
          <w:sz w:val="22"/>
          <w:szCs w:val="22"/>
          <w:lang w:val="fr-FR"/>
        </w:rPr>
      </w:pPr>
      <w:r w:rsidRPr="00865DA5">
        <w:rPr>
          <w:rFonts w:ascii="Arial" w:eastAsia="Arial" w:hAnsi="Arial" w:cs="Arial"/>
          <w:color w:val="000000"/>
          <w:kern w:val="28"/>
          <w:sz w:val="22"/>
          <w:szCs w:val="22"/>
          <w:bdr w:val="none" w:sz="0" w:space="0" w:color="auto" w:frame="1"/>
          <w:lang w:val="fr-FR"/>
        </w:rPr>
        <w:t xml:space="preserve">UE </w:t>
      </w:r>
      <w:r w:rsidRPr="00865DA5">
        <w:rPr>
          <w:rFonts w:ascii="Arial" w:eastAsia="Arial" w:hAnsi="Arial" w:cs="Arial"/>
          <w:color w:val="000000"/>
          <w:kern w:val="28"/>
          <w:sz w:val="22"/>
          <w:szCs w:val="22"/>
          <w:bdr w:val="none" w:sz="0" w:space="0" w:color="auto" w:frame="1"/>
          <w:lang w:val="fr-FR"/>
        </w:rPr>
        <w:tab/>
      </w:r>
      <w:r w:rsidRPr="00865DA5">
        <w:rPr>
          <w:rFonts w:ascii="Arial" w:eastAsia="Arial" w:hAnsi="Arial" w:cs="Arial"/>
          <w:color w:val="000000"/>
          <w:kern w:val="28"/>
          <w:sz w:val="22"/>
          <w:szCs w:val="22"/>
          <w:bdr w:val="none" w:sz="0" w:space="0" w:color="auto" w:frame="1"/>
          <w:lang w:val="fr-FR"/>
        </w:rPr>
        <w:tab/>
        <w:t>Union européenne</w:t>
      </w:r>
    </w:p>
    <w:p w:rsidR="00BD5B7F" w:rsidRPr="00865DA5" w:rsidRDefault="00BD5B7F" w:rsidP="00BD5B7F">
      <w:pPr>
        <w:spacing w:after="200" w:line="276" w:lineRule="auto"/>
        <w:rPr>
          <w:rFonts w:ascii="Arial" w:eastAsia="Calibri" w:hAnsi="Arial" w:cs="Arial"/>
          <w:color w:val="000000"/>
          <w:kern w:val="28"/>
          <w:sz w:val="22"/>
          <w:szCs w:val="22"/>
          <w:lang w:val="fr-FR"/>
        </w:rPr>
      </w:pPr>
      <w:r w:rsidRPr="00865DA5">
        <w:rPr>
          <w:rFonts w:ascii="Arial" w:eastAsia="Calibri" w:hAnsi="Arial" w:cs="Arial"/>
          <w:color w:val="000000"/>
          <w:kern w:val="28"/>
          <w:sz w:val="22"/>
          <w:szCs w:val="22"/>
          <w:lang w:val="fr-FR"/>
        </w:rPr>
        <w:br w:type="page"/>
      </w:r>
    </w:p>
    <w:p w:rsidR="00BD5B7F" w:rsidRPr="00865DA5" w:rsidRDefault="00BD5B7F" w:rsidP="00BD5B7F">
      <w:pPr>
        <w:keepNext/>
        <w:keepLines/>
        <w:spacing w:before="40" w:after="120"/>
        <w:outlineLvl w:val="1"/>
        <w:rPr>
          <w:rFonts w:ascii="Arial" w:hAnsi="Arial" w:cs="Arial"/>
          <w:b/>
          <w:color w:val="000000"/>
          <w:sz w:val="30"/>
          <w:szCs w:val="30"/>
          <w:lang w:val="fr-FR"/>
        </w:rPr>
      </w:pPr>
      <w:bookmarkStart w:id="5" w:name="_Toc491245222"/>
      <w:bookmarkStart w:id="6" w:name="_Toc491245048"/>
      <w:r w:rsidRPr="00865DA5">
        <w:rPr>
          <w:rFonts w:ascii="Arial" w:hAnsi="Arial" w:cs="Arial"/>
          <w:b/>
          <w:color w:val="000000"/>
          <w:sz w:val="30"/>
          <w:szCs w:val="30"/>
          <w:bdr w:val="none" w:sz="0" w:space="0" w:color="auto" w:frame="1"/>
          <w:lang w:val="fr-FR"/>
        </w:rPr>
        <w:lastRenderedPageBreak/>
        <w:t>But du tableau de bord IKB</w:t>
      </w:r>
      <w:bookmarkEnd w:id="5"/>
      <w:bookmarkEnd w:id="6"/>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Au cours des dernières années, la question de l’abattage et des prélèvements illégaux d’oiseaux (IKB - </w:t>
      </w:r>
      <w:r w:rsidRPr="00865DA5">
        <w:rPr>
          <w:rFonts w:ascii="Arial" w:eastAsia="Arial" w:hAnsi="Arial" w:cs="Arial"/>
          <w:i/>
          <w:color w:val="000000"/>
          <w:sz w:val="22"/>
          <w:szCs w:val="22"/>
          <w:bdr w:val="none" w:sz="0" w:space="0" w:color="auto" w:frame="1"/>
          <w:lang w:val="fr-FR"/>
        </w:rPr>
        <w:t>illegal killing and taking of birds</w:t>
      </w:r>
      <w:r w:rsidRPr="00865DA5">
        <w:rPr>
          <w:rFonts w:ascii="Arial" w:eastAsia="Arial" w:hAnsi="Arial" w:cs="Arial"/>
          <w:color w:val="000000"/>
          <w:sz w:val="22"/>
          <w:szCs w:val="22"/>
          <w:bdr w:val="none" w:sz="0" w:space="0" w:color="auto" w:frame="1"/>
          <w:lang w:val="fr-FR"/>
        </w:rPr>
        <w:t>)</w:t>
      </w:r>
      <w:r w:rsidRPr="00FF6562">
        <w:rPr>
          <w:rFonts w:ascii="Arial" w:eastAsia="Calibri" w:hAnsi="Arial" w:cs="Arial"/>
          <w:color w:val="000000"/>
          <w:sz w:val="22"/>
          <w:szCs w:val="22"/>
          <w:vertAlign w:val="superscript"/>
        </w:rPr>
        <w:footnoteReference w:id="1"/>
      </w:r>
      <w:r w:rsidRPr="00865DA5">
        <w:rPr>
          <w:rFonts w:ascii="Arial" w:eastAsia="Arial" w:hAnsi="Arial" w:cs="Arial"/>
          <w:color w:val="000000"/>
          <w:sz w:val="22"/>
          <w:szCs w:val="22"/>
          <w:bdr w:val="none" w:sz="0" w:space="0" w:color="auto" w:frame="1"/>
          <w:lang w:val="fr-FR"/>
        </w:rPr>
        <w:t xml:space="preserve"> a progressivement pris de l’importance dans l’agenda international. Cette importance a été intégrée dans un certain nombre d’instruments et d’engagements internationaux de grande envergure, dont ceux adoptés dans le cadre de la Convention de Berne, de la CMS et de la CITES, ainsi que dans de nombreuses initiatives stimulées par l’UE. Le Plan d’action de Tunis (TAP) de la Convention de Berne, la Feuille de route de l’UE destinée à éliminer l’abattage, le piégeage et le commerce illégaux des oiseaux sauvages, </w:t>
      </w:r>
      <w:r w:rsidRPr="00865DA5">
        <w:rPr>
          <w:rFonts w:ascii="Arial" w:eastAsia="Arial" w:hAnsi="Arial" w:cs="Arial"/>
          <w:color w:val="000000"/>
          <w:sz w:val="22"/>
          <w:szCs w:val="22"/>
          <w:bdr w:val="none" w:sz="0" w:space="0" w:color="auto" w:frame="1"/>
          <w:shd w:val="clear" w:color="auto" w:fill="FFFFFF"/>
          <w:lang w:val="fr-FR"/>
        </w:rPr>
        <w:t xml:space="preserve">la Communication de la Commission européenne et les conclusions du Conseil sur </w:t>
      </w:r>
      <w:r w:rsidRPr="00865DA5">
        <w:rPr>
          <w:rFonts w:ascii="Arial" w:eastAsia="Arial" w:hAnsi="Arial" w:cs="Arial"/>
          <w:color w:val="000000"/>
          <w:sz w:val="22"/>
          <w:szCs w:val="22"/>
          <w:bdr w:val="none" w:sz="0" w:space="0" w:color="auto" w:frame="1"/>
          <w:lang w:val="fr-FR"/>
        </w:rPr>
        <w:t xml:space="preserve">le Plan d’action de l’Union européenne contre le trafic d’espèces sauvages ainsi que le Groupe spécial méditerranéen de la CMS sur le l’abattage, le prélèvement et le commerce illégaux des oiseaux migrateurs (MIKT) figurent parmi les principaux exemples de ces engagements. Une caractéristique commune de ces instruments est qu’ils envisagent souvent une évaluation régulière des progrès réalisés. </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Lors de la première réunion du MIKT qui a eu lieu au Caire en 2016, un Programme de travail 2016-2020 a été adopté, prévoyant en tant qu’action prioritaire l’élaboration d’un tableau de bord qui permettrait d’évaluer les progrès réalisés dans l’élimination de l’IKB au niveau national. Une autre action hautement prioritaire était d’harmoniser le format et la périodicité des rapports dans le cadre de la COP de la CMS et du TAP de la Convention de Berne, afin d’éviter les doubles emplois et les charges de travail supplémentaires pour les pays membres. </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Le système de rapport de la CMS, qui est plus un rapport général sur différentes questions, continuera à fonctionner entre les COP. D’autre part, le système de tableau de bord est axé sur un problème spécifique qui doit être traité le plus tôt possible. La nécessité de développer un tel outil pour une utilisation conjointe par la Convention de Berne et la CMS a également été soulevée par le Président du Réseau des correspondants spéciaux de la Convention de Berne à la 36</w:t>
      </w:r>
      <w:r w:rsidRPr="00865DA5">
        <w:rPr>
          <w:rFonts w:ascii="Arial" w:eastAsia="Arial" w:hAnsi="Arial" w:cs="Arial"/>
          <w:color w:val="000000"/>
          <w:sz w:val="22"/>
          <w:szCs w:val="22"/>
          <w:bdr w:val="none" w:sz="0" w:space="0" w:color="auto" w:frame="1"/>
          <w:vertAlign w:val="superscript"/>
          <w:lang w:val="fr-FR"/>
        </w:rPr>
        <w:t>ème</w:t>
      </w:r>
      <w:r w:rsidRPr="00865DA5">
        <w:rPr>
          <w:rFonts w:ascii="Arial" w:eastAsia="Arial" w:hAnsi="Arial" w:cs="Arial"/>
          <w:color w:val="000000"/>
          <w:sz w:val="22"/>
          <w:szCs w:val="22"/>
          <w:bdr w:val="none" w:sz="0" w:space="0" w:color="auto" w:frame="1"/>
          <w:lang w:val="fr-FR"/>
        </w:rPr>
        <w:t xml:space="preserve"> Réunion du Comité permanent de la Convention en novembre 2016. Le Comité permanent s’est félicité des efforts accrus de coordination réalisés ces dernières années par différentes organisations, Conventions et parties prenantes, visant à accroître les synergies dans le travail de leurs plates-formes et initiatives respectives, car ces efforts favorisent la mise en œuvre du TAP. Outre les rapports formels des administrations nationales, l’auto-évaluation des progrès est également soutenue par des études menées par diverses parties prenantes non gouvernementales. L’étude récente visant à estimer l’étendue de l’IKB en Méditerranée, menée par BirdLife International, est un exemple d’une telle initiative.</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La proposition actuelle de tableau de bord IKB vise à fournir aux gouvernements nationaux un outil pour mener une auto-évaluation objective, basée sur des faits nationaux, de l’état actuel de l’abattage illégal des oiseaux au niveau national, et à permettre aux États de mesurer leurs progrès dans la mise en œuvre de leurs engagements dans ce domaine.</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Le cadre d’indicateurs a été élaboré dans le but d’offrir aux administrations nationales un outil simple qui, compte tenu de la complexité de la question en jeu, est facile à compiler et à interpréter et qui peut être appliqué soit à l’échelle nationale, soit à une échelle sous-nationale appropriée. </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Le tableau de bord actuel est largement basé sur le format précédemment élaboré par le Consortium international de lutte contre la criminalité liée aux espèces sauvages</w:t>
      </w:r>
      <w:r w:rsidRPr="00FF6562">
        <w:rPr>
          <w:rFonts w:ascii="Arial" w:eastAsia="Calibri" w:hAnsi="Arial" w:cs="Arial"/>
          <w:color w:val="000000"/>
          <w:sz w:val="22"/>
          <w:szCs w:val="22"/>
          <w:vertAlign w:val="superscript"/>
        </w:rPr>
        <w:footnoteReference w:id="2"/>
      </w:r>
      <w:r w:rsidRPr="00865DA5">
        <w:rPr>
          <w:rFonts w:ascii="Arial" w:eastAsia="Arial" w:hAnsi="Arial" w:cs="Arial"/>
          <w:color w:val="000000"/>
          <w:sz w:val="22"/>
          <w:szCs w:val="22"/>
          <w:bdr w:val="none" w:sz="0" w:space="0" w:color="auto" w:frame="1"/>
          <w:lang w:val="fr-FR"/>
        </w:rPr>
        <w:t xml:space="preserve"> (ICCWC) qui fournit un cadre d’indicateurs pour la lutte contre la criminalité liée aux espèces sauvages et aux forêts. Cependant, ce modèle a nécessité un certain nombre de modifications et d’adaptations, afin de porter sur les exigences spécifiques de l’évaluation et de la mesure de l’IKB, par opposition à une évaluation générale de la situation en ce qui concerne le commerce international des espèces sauvages dont l’IKB ne constitue qu’une composante </w:t>
      </w:r>
      <w:r w:rsidRPr="00865DA5">
        <w:rPr>
          <w:rFonts w:ascii="Arial" w:eastAsia="Arial" w:hAnsi="Arial" w:cs="Arial"/>
          <w:color w:val="000000"/>
          <w:sz w:val="22"/>
          <w:szCs w:val="22"/>
          <w:bdr w:val="none" w:sz="0" w:space="0" w:color="auto" w:frame="1"/>
          <w:lang w:val="fr-FR"/>
        </w:rPr>
        <w:lastRenderedPageBreak/>
        <w:t>limitée. Une grande partie de la méthode ainsi que le format du tableau de bord et plusieurs indicateurs sont notamment tirés du Cadre d’indicateurs de l’ICCWC.</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Le tableau de bord IKB permet aux États d’évaluer leurs progrès non seulement au niveau national, mais aussi à l’échelle régionale, le cas échéant, contribuant de manière significative à la définition de priorités et à l’engagement de ressources par les administrations nationales, les ONG et les acteurs internationaux. </w:t>
      </w:r>
    </w:p>
    <w:p w:rsidR="00BD5B7F" w:rsidRPr="00865DA5" w:rsidRDefault="00BD5B7F" w:rsidP="00BD5B7F">
      <w:pPr>
        <w:spacing w:after="120"/>
        <w:jc w:val="both"/>
        <w:rPr>
          <w:rFonts w:ascii="Arial" w:eastAsia="Calibri" w:hAnsi="Arial" w:cs="Arial"/>
          <w:color w:val="000000"/>
          <w:sz w:val="22"/>
          <w:szCs w:val="22"/>
          <w:lang w:val="fr-FR"/>
        </w:rPr>
      </w:pPr>
      <w:r w:rsidRPr="00FF6562">
        <w:rPr>
          <w:rFonts w:ascii="Arial" w:hAnsi="Arial" w:cs="Arial"/>
          <w:noProof/>
          <w:lang w:val="fr-FR" w:eastAsia="fr-FR"/>
        </w:rPr>
        <w:drawing>
          <wp:anchor distT="0" distB="0" distL="114300" distR="114300" simplePos="0" relativeHeight="251659264" behindDoc="1" locked="0" layoutInCell="1" allowOverlap="1" wp14:anchorId="67D3779B" wp14:editId="36A05E49">
            <wp:simplePos x="0" y="0"/>
            <wp:positionH relativeFrom="column">
              <wp:posOffset>-161925</wp:posOffset>
            </wp:positionH>
            <wp:positionV relativeFrom="paragraph">
              <wp:posOffset>1468755</wp:posOffset>
            </wp:positionV>
            <wp:extent cx="6048375" cy="4331335"/>
            <wp:effectExtent l="0" t="0" r="9525" b="0"/>
            <wp:wrapTight wrapText="bothSides">
              <wp:wrapPolygon edited="0">
                <wp:start x="0" y="0"/>
                <wp:lineTo x="0" y="21470"/>
                <wp:lineTo x="21566" y="21470"/>
                <wp:lineTo x="21566" y="0"/>
                <wp:lineTo x="0" y="0"/>
              </wp:wrapPolygon>
            </wp:wrapTight>
            <wp:docPr id="9" name="Picture 9" descr="map U.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map U.G.O.-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8375" cy="4331335"/>
                    </a:xfrm>
                    <a:prstGeom prst="rect">
                      <a:avLst/>
                    </a:prstGeom>
                    <a:noFill/>
                  </pic:spPr>
                </pic:pic>
              </a:graphicData>
            </a:graphic>
            <wp14:sizeRelH relativeFrom="page">
              <wp14:pctWidth>0</wp14:pctWidth>
            </wp14:sizeRelH>
            <wp14:sizeRelV relativeFrom="page">
              <wp14:pctHeight>0</wp14:pctHeight>
            </wp14:sizeRelV>
          </wp:anchor>
        </w:drawing>
      </w:r>
      <w:r w:rsidRPr="00865DA5">
        <w:rPr>
          <w:rFonts w:ascii="Arial" w:eastAsia="Arial" w:hAnsi="Arial" w:cs="Arial"/>
          <w:color w:val="000000"/>
          <w:sz w:val="22"/>
          <w:szCs w:val="22"/>
          <w:bdr w:val="none" w:sz="0" w:space="0" w:color="auto" w:frame="1"/>
          <w:lang w:val="fr-FR"/>
        </w:rPr>
        <w:t xml:space="preserve">Il offre aux autorités nationales l’occasion de montrer leur leadership ainsi que leur capacité et leur volonté d’être proactifs et transparents en ce qui concerne les efforts pour traiter un problème beaucoup plus commun que cela n’a été reconnu précédemment. Le processus menant à sa compilation, tel que décrit dans les pages suivantes, favorise la coopération et le partage de l’expérience et du savoir-faire entre les organismes gouvernementaux et les acteurs nationaux. La coopération développée entre les parties prenantes ainsi que les informations recueillies pour la compilation du tableau de bord peuvent servir de base à l’élaboration d’un plan d’action national. En outre, si un plan d’action national a déjà été élaboré, le tableau de bord peut être utilisé pour suivre sa mise en œuvre au niveau national. </w:t>
      </w:r>
    </w:p>
    <w:p w:rsidR="00BD5B7F" w:rsidRPr="00865DA5" w:rsidRDefault="00BD5B7F" w:rsidP="00BD5B7F">
      <w:pPr>
        <w:jc w:val="center"/>
        <w:rPr>
          <w:rFonts w:ascii="Arial" w:eastAsia="Calibri" w:hAnsi="Arial" w:cs="Arial"/>
          <w:color w:val="000000"/>
          <w:sz w:val="4"/>
          <w:szCs w:val="4"/>
          <w:lang w:val="fr-FR"/>
        </w:rPr>
      </w:pPr>
    </w:p>
    <w:p w:rsidR="00BD5B7F" w:rsidRPr="00865DA5" w:rsidRDefault="00BD5B7F" w:rsidP="00BD5B7F">
      <w:pPr>
        <w:ind w:left="993" w:hanging="993"/>
        <w:jc w:val="both"/>
        <w:rPr>
          <w:rFonts w:ascii="Arial" w:eastAsia="Calibri" w:hAnsi="Arial" w:cs="Arial"/>
          <w:bCs/>
          <w:sz w:val="18"/>
          <w:szCs w:val="18"/>
          <w:lang w:val="fr-FR"/>
        </w:rPr>
      </w:pPr>
      <w:r w:rsidRPr="00865DA5">
        <w:rPr>
          <w:rFonts w:ascii="Arial" w:eastAsia="Arial" w:hAnsi="Arial" w:cs="Arial"/>
          <w:b/>
          <w:bCs/>
          <w:color w:val="4F81BD"/>
          <w:sz w:val="18"/>
          <w:szCs w:val="18"/>
          <w:bdr w:val="none" w:sz="0" w:space="0" w:color="auto" w:frame="1"/>
          <w:lang w:val="fr-FR"/>
        </w:rPr>
        <w:t xml:space="preserve">Figure </w:t>
      </w:r>
      <w:r w:rsidRPr="00FF6562">
        <w:rPr>
          <w:rFonts w:ascii="Arial" w:eastAsia="Calibri" w:hAnsi="Arial" w:cs="Arial"/>
          <w:color w:val="4F81BD"/>
          <w:sz w:val="18"/>
          <w:szCs w:val="18"/>
        </w:rPr>
        <w:fldChar w:fldCharType="begin"/>
      </w:r>
      <w:r w:rsidRPr="00865DA5">
        <w:rPr>
          <w:rFonts w:ascii="Arial" w:eastAsia="Calibri" w:hAnsi="Arial" w:cs="Arial"/>
          <w:b/>
          <w:bCs/>
          <w:color w:val="4F81BD"/>
          <w:sz w:val="18"/>
          <w:szCs w:val="18"/>
          <w:lang w:val="fr-FR"/>
        </w:rPr>
        <w:instrText xml:space="preserve"> SEQ Picture \* ARABIC </w:instrText>
      </w:r>
      <w:r w:rsidRPr="00FF6562">
        <w:rPr>
          <w:rFonts w:ascii="Arial" w:eastAsia="Calibri" w:hAnsi="Arial" w:cs="Arial"/>
          <w:color w:val="4F81BD"/>
          <w:sz w:val="18"/>
          <w:szCs w:val="18"/>
        </w:rPr>
        <w:fldChar w:fldCharType="separate"/>
      </w:r>
      <w:r>
        <w:rPr>
          <w:rFonts w:ascii="Arial" w:eastAsia="Calibri" w:hAnsi="Arial" w:cs="Arial"/>
          <w:b/>
          <w:bCs/>
          <w:noProof/>
          <w:color w:val="4F81BD"/>
          <w:sz w:val="18"/>
          <w:szCs w:val="18"/>
          <w:lang w:val="fr-FR"/>
        </w:rPr>
        <w:t>1</w:t>
      </w:r>
      <w:r w:rsidRPr="00FF6562">
        <w:rPr>
          <w:rFonts w:ascii="Arial" w:eastAsia="Calibri" w:hAnsi="Arial" w:cs="Arial"/>
          <w:color w:val="4F81BD"/>
          <w:sz w:val="18"/>
          <w:szCs w:val="18"/>
        </w:rPr>
        <w:fldChar w:fldCharType="end"/>
      </w:r>
      <w:r w:rsidRPr="00865DA5">
        <w:rPr>
          <w:rFonts w:ascii="Arial" w:eastAsia="Arial" w:hAnsi="Arial" w:cs="Arial"/>
          <w:b/>
          <w:bCs/>
          <w:color w:val="4F81BD"/>
          <w:sz w:val="18"/>
          <w:szCs w:val="18"/>
          <w:bdr w:val="none" w:sz="0" w:space="0" w:color="auto" w:frame="1"/>
          <w:lang w:val="fr-FR"/>
        </w:rPr>
        <w:t xml:space="preserve"> - </w:t>
      </w:r>
      <w:r w:rsidRPr="00865DA5">
        <w:rPr>
          <w:rFonts w:ascii="Arial" w:eastAsia="Arial" w:hAnsi="Arial" w:cs="Arial"/>
          <w:b/>
          <w:bCs/>
          <w:color w:val="4F81BD"/>
          <w:sz w:val="18"/>
          <w:szCs w:val="18"/>
          <w:bdr w:val="none" w:sz="0" w:space="0" w:color="auto" w:frame="1"/>
          <w:lang w:val="fr-FR"/>
        </w:rPr>
        <w:tab/>
      </w:r>
      <w:r w:rsidRPr="00865DA5">
        <w:rPr>
          <w:rFonts w:ascii="Arial" w:eastAsia="Arial" w:hAnsi="Arial" w:cs="Arial"/>
          <w:sz w:val="18"/>
          <w:szCs w:val="18"/>
          <w:bdr w:val="none" w:sz="0" w:space="0" w:color="auto" w:frame="1"/>
          <w:lang w:val="fr-FR"/>
        </w:rPr>
        <w:t>La portée géographique du présent document est l’ensemble de la zone couverte par la Convention de Berne et le MIKT. En orange, les Parties contractantes de la Convention de Berne et les membres du MIKT ; en rouge, les Parties contractantes à la Convention de Berne et les observateurs</w:t>
      </w:r>
      <w:r w:rsidRPr="00FF6562">
        <w:rPr>
          <w:rFonts w:ascii="Arial" w:eastAsia="Calibri" w:hAnsi="Arial" w:cs="Arial"/>
          <w:bCs/>
          <w:sz w:val="18"/>
          <w:szCs w:val="18"/>
          <w:vertAlign w:val="superscript"/>
        </w:rPr>
        <w:footnoteReference w:id="3"/>
      </w:r>
      <w:r w:rsidRPr="00865DA5">
        <w:rPr>
          <w:rFonts w:ascii="Arial" w:eastAsia="Arial" w:hAnsi="Arial" w:cs="Arial"/>
          <w:sz w:val="18"/>
          <w:szCs w:val="18"/>
          <w:bdr w:val="none" w:sz="0" w:space="0" w:color="auto" w:frame="1"/>
          <w:lang w:val="fr-FR"/>
        </w:rPr>
        <w:t xml:space="preserve"> du MIKT ; en vert, les membres du MIKT et les États non-Parties contractantes à la Convention de Berne ; en jaune, d’autres observateurs du MIKT et États non-Parties contractantes à la Convention de Berne.</w:t>
      </w:r>
    </w:p>
    <w:p w:rsidR="00BD5B7F" w:rsidRPr="00865DA5" w:rsidRDefault="00BD5B7F" w:rsidP="00BD5B7F">
      <w:pPr>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En outre, le tableau de bord IKB offre aux administrations nationales, ainsi qu’aux différentes parties prenantes au niveau national et international, l’opportunité de renforcer leur image politique, leur engagement et la mobilisation des ressources pour l’élimination de l’IKB. </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Au niveau international, le tableau de bord IKB favorise la collaboration et le partage de l’expérience, car des pays confrontés aux mêmes obstacles à l’amélioration de leurs scores </w:t>
      </w:r>
      <w:r w:rsidRPr="00865DA5">
        <w:rPr>
          <w:rFonts w:ascii="Arial" w:eastAsia="Arial" w:hAnsi="Arial" w:cs="Arial"/>
          <w:color w:val="000000"/>
          <w:sz w:val="22"/>
          <w:szCs w:val="22"/>
          <w:bdr w:val="none" w:sz="0" w:space="0" w:color="auto" w:frame="1"/>
          <w:lang w:val="fr-FR"/>
        </w:rPr>
        <w:lastRenderedPageBreak/>
        <w:t>dans un domaine particulier pourront vouloir travailler ensemble afin de définir des stratégies, dispenser des formations et partager des expériences.</w:t>
      </w:r>
    </w:p>
    <w:p w:rsidR="00BD5B7F" w:rsidRPr="00865DA5" w:rsidRDefault="00BD5B7F" w:rsidP="00BD5B7F">
      <w:pPr>
        <w:jc w:val="both"/>
        <w:rPr>
          <w:rFonts w:ascii="Arial" w:eastAsia="Arial" w:hAnsi="Arial" w:cs="Arial"/>
          <w:b/>
          <w:bCs/>
          <w:color w:val="000000"/>
          <w:sz w:val="22"/>
          <w:szCs w:val="22"/>
          <w:bdr w:val="none" w:sz="0" w:space="0" w:color="auto" w:frame="1"/>
          <w:lang w:val="fr-FR"/>
        </w:rPr>
      </w:pPr>
      <w:r w:rsidRPr="00865DA5">
        <w:rPr>
          <w:rFonts w:ascii="Arial" w:eastAsia="Arial" w:hAnsi="Arial" w:cs="Arial"/>
          <w:b/>
          <w:bCs/>
          <w:color w:val="000000"/>
          <w:sz w:val="22"/>
          <w:szCs w:val="22"/>
          <w:bdr w:val="none" w:sz="0" w:space="0" w:color="auto" w:frame="1"/>
          <w:lang w:val="fr-FR"/>
        </w:rPr>
        <w:t>Le tableau de bord ne doit pas être utilisé dans le cadre de processus relatifs au respect des Traités.</w:t>
      </w:r>
    </w:p>
    <w:p w:rsidR="00BD5B7F" w:rsidRPr="00865DA5" w:rsidRDefault="00BD5B7F" w:rsidP="00BD5B7F">
      <w:pPr>
        <w:spacing w:before="40" w:after="120"/>
        <w:jc w:val="both"/>
        <w:rPr>
          <w:rFonts w:ascii="Arial" w:eastAsia="Calibri" w:hAnsi="Arial" w:cs="Arial"/>
          <w:b/>
          <w:color w:val="000000"/>
          <w:sz w:val="30"/>
          <w:szCs w:val="30"/>
          <w:lang w:val="fr-FR"/>
        </w:rPr>
      </w:pPr>
      <w:r w:rsidRPr="00865DA5">
        <w:rPr>
          <w:rFonts w:ascii="Arial" w:eastAsia="Arial" w:hAnsi="Arial" w:cs="Arial"/>
          <w:color w:val="000000"/>
          <w:sz w:val="22"/>
          <w:szCs w:val="22"/>
          <w:bdr w:val="none" w:sz="0" w:space="0" w:color="auto" w:frame="1"/>
          <w:lang w:val="fr-FR"/>
        </w:rPr>
        <w:br w:type="page"/>
      </w:r>
      <w:bookmarkStart w:id="7" w:name="_Toc486539560"/>
      <w:r w:rsidRPr="00865DA5">
        <w:rPr>
          <w:rFonts w:ascii="Arial" w:eastAsia="Arial" w:hAnsi="Arial" w:cs="Arial"/>
          <w:b/>
          <w:bCs/>
          <w:color w:val="000000"/>
          <w:sz w:val="30"/>
          <w:szCs w:val="30"/>
          <w:bdr w:val="none" w:sz="0" w:space="0" w:color="auto" w:frame="1"/>
          <w:lang w:val="fr-FR"/>
        </w:rPr>
        <w:lastRenderedPageBreak/>
        <w:t>Vue d’ensemble du tableau de bord</w:t>
      </w:r>
      <w:bookmarkEnd w:id="7"/>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Le cadre d’indicateurs, qui constitue l’ossature du tableau de bord permettant aux États d’auto-évaluer leurs progrès dans l’élimination de l’IKB, est organisé en cinq domaines, chacun portant sur un aspect spécifique de la lutte contre l’IKB :</w:t>
      </w:r>
    </w:p>
    <w:p w:rsidR="00BD5B7F" w:rsidRPr="00865DA5" w:rsidRDefault="00BD5B7F" w:rsidP="00BD5B7F">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N w:val="0"/>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Suivi national de l’IKB (Gestion des données sur la portée et l’échelle de l’IKB) – 4 indicateurs </w:t>
      </w:r>
    </w:p>
    <w:p w:rsidR="00BD5B7F" w:rsidRPr="00865DA5" w:rsidRDefault="00BD5B7F" w:rsidP="00BD5B7F">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N w:val="0"/>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Niveau d’exhaustivité de la législation nationale – 9 indicateurs </w:t>
      </w:r>
    </w:p>
    <w:p w:rsidR="00BD5B7F" w:rsidRPr="00865DA5" w:rsidRDefault="00BD5B7F" w:rsidP="00BD5B7F">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N w:val="0"/>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Réponse en matière de lutte contre la fraude</w:t>
      </w:r>
      <w:r w:rsidRPr="00FF6562">
        <w:rPr>
          <w:rStyle w:val="Appelnotedebasdep"/>
          <w:rFonts w:ascii="Arial" w:eastAsia="Arial" w:hAnsi="Arial" w:cs="Arial"/>
          <w:color w:val="000000"/>
          <w:sz w:val="22"/>
          <w:szCs w:val="22"/>
          <w:bdr w:val="none" w:sz="0" w:space="0" w:color="auto" w:frame="1"/>
        </w:rPr>
        <w:footnoteReference w:id="4"/>
      </w:r>
      <w:r w:rsidRPr="00865DA5">
        <w:rPr>
          <w:rFonts w:ascii="Arial" w:eastAsia="Arial" w:hAnsi="Arial" w:cs="Arial"/>
          <w:color w:val="000000"/>
          <w:sz w:val="22"/>
          <w:szCs w:val="22"/>
          <w:bdr w:val="none" w:sz="0" w:space="0" w:color="auto" w:frame="1"/>
          <w:lang w:val="fr-FR"/>
        </w:rPr>
        <w:t xml:space="preserve"> (Niveau de préparation des organes chargés de l’application des lois et de la lutte contre la fraude, et coordination des institutions nationales) – 6 indicateurs </w:t>
      </w:r>
    </w:p>
    <w:p w:rsidR="00BD5B7F" w:rsidRPr="00865DA5" w:rsidRDefault="00BD5B7F" w:rsidP="00BD5B7F">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N w:val="0"/>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Poursuites et condamnations (Efficacité des procédures judiciaires) – 4 indicateurs </w:t>
      </w:r>
    </w:p>
    <w:p w:rsidR="00BD5B7F" w:rsidRPr="00865DA5" w:rsidRDefault="00BD5B7F" w:rsidP="00BD5B7F">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134" w:hanging="414"/>
        <w:contextualSpacing/>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Prévention (Autres instruments utilisés pour lutter contre l’IKB) – 5 indicateurs </w:t>
      </w:r>
    </w:p>
    <w:p w:rsidR="00BD5B7F" w:rsidRPr="00865DA5" w:rsidRDefault="00BD5B7F" w:rsidP="00BD5B7F">
      <w:pPr>
        <w:spacing w:after="200"/>
        <w:rPr>
          <w:rFonts w:ascii="Arial" w:eastAsia="Calibri" w:hAnsi="Arial" w:cs="Arial"/>
          <w:color w:val="000000"/>
          <w:sz w:val="22"/>
          <w:szCs w:val="22"/>
          <w:lang w:val="fr-FR"/>
        </w:rPr>
      </w:pPr>
    </w:p>
    <w:p w:rsidR="00BD5B7F" w:rsidRPr="00865DA5" w:rsidRDefault="00BD5B7F" w:rsidP="00BD5B7F">
      <w:pPr>
        <w:spacing w:after="120"/>
        <w:jc w:val="both"/>
        <w:rPr>
          <w:rFonts w:ascii="Arial" w:eastAsia="Arial" w:hAnsi="Arial" w:cs="Arial"/>
          <w:color w:val="000000"/>
          <w:sz w:val="22"/>
          <w:szCs w:val="22"/>
          <w:bdr w:val="none" w:sz="0" w:space="0" w:color="auto" w:frame="1"/>
          <w:lang w:val="fr-FR"/>
        </w:rPr>
      </w:pPr>
      <w:r w:rsidRPr="00865DA5">
        <w:rPr>
          <w:rFonts w:ascii="Arial" w:eastAsia="Arial" w:hAnsi="Arial" w:cs="Arial"/>
          <w:color w:val="000000"/>
          <w:sz w:val="22"/>
          <w:szCs w:val="22"/>
          <w:bdr w:val="none" w:sz="0" w:space="0" w:color="auto" w:frame="1"/>
          <w:lang w:val="fr-FR"/>
        </w:rPr>
        <w:t>Les 28 indicateurs représentent les domaines critiques permettant d’évaluer l’efficacité de la réponse nationale à l’IKB.</w:t>
      </w:r>
    </w:p>
    <w:p w:rsidR="00BD5B7F" w:rsidRPr="00865DA5" w:rsidRDefault="00BD5B7F" w:rsidP="00BD5B7F">
      <w:pPr>
        <w:spacing w:after="120"/>
        <w:jc w:val="both"/>
        <w:rPr>
          <w:rFonts w:ascii="Arial" w:eastAsia="Arial" w:hAnsi="Arial" w:cs="Arial"/>
          <w:color w:val="000000"/>
          <w:sz w:val="22"/>
          <w:szCs w:val="22"/>
          <w:bdr w:val="none" w:sz="0" w:space="0" w:color="auto" w:frame="1"/>
          <w:lang w:val="fr-FR"/>
        </w:rPr>
      </w:pPr>
      <w:r w:rsidRPr="00865DA5">
        <w:rPr>
          <w:rFonts w:ascii="Arial" w:eastAsia="Arial" w:hAnsi="Arial" w:cs="Arial"/>
          <w:color w:val="000000"/>
          <w:sz w:val="22"/>
          <w:szCs w:val="22"/>
          <w:bdr w:val="none" w:sz="0" w:space="0" w:color="auto" w:frame="1"/>
          <w:lang w:val="fr-FR"/>
        </w:rPr>
        <w:t xml:space="preserve">Le premier groupe d’indicateurs donne un aperçu des connaissances sur l’étendue et l’échelle de l’IKB au niveau national au regard du nombre d’oiseaux abattus, prélevés ou commercialisés illégalement par an ainsi que du nombre de cas ayant fait l’objet de poursuites. </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Le deuxième groupe d’indicateurs évalue dans quelle mesure la législation nationale porte sur l’IKB, réglemente le prélèvement d’oiseaux sauvages et intègre le droit et les engagements internationaux. </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Le troisième groupe d’indicateurs examine les réponses en matière de lutte contre la fraude et d’application des lois relatives à l’IKB, à travers l’existence d’un plan d’action constituant une priorité partagée par des agences chargée de l’application des lois et de la lutte contre la fraude correctement formées et dotées d’un personnel suffisant pour que les affaires fassent l’objet de poursuites.</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Le quatrième groupe d’indicateurs porte sur l’efficacité du système judiciaire de lutte contre l’IKB qui devrait être conscient de la gravité de l’IKB et dûment formé pour infliger les sanctions appropriées. </w:t>
      </w:r>
    </w:p>
    <w:p w:rsidR="00BD5B7F" w:rsidRPr="00865DA5" w:rsidRDefault="00BD5B7F" w:rsidP="00BD5B7F">
      <w:pPr>
        <w:spacing w:after="120"/>
        <w:jc w:val="both"/>
        <w:rPr>
          <w:rFonts w:ascii="Arial" w:eastAsia="Arial" w:hAnsi="Arial" w:cs="Arial"/>
          <w:color w:val="000000"/>
          <w:sz w:val="22"/>
          <w:szCs w:val="22"/>
          <w:bdr w:val="none" w:sz="0" w:space="0" w:color="auto" w:frame="1"/>
          <w:lang w:val="fr-FR"/>
        </w:rPr>
      </w:pPr>
      <w:r w:rsidRPr="00865DA5">
        <w:rPr>
          <w:rFonts w:ascii="Arial" w:eastAsia="Arial" w:hAnsi="Arial" w:cs="Arial"/>
          <w:color w:val="000000"/>
          <w:sz w:val="22"/>
          <w:szCs w:val="22"/>
          <w:bdr w:val="none" w:sz="0" w:space="0" w:color="auto" w:frame="1"/>
          <w:lang w:val="fr-FR"/>
        </w:rPr>
        <w:t xml:space="preserve">Le dernier groupe d’indicateurs examine les autres instruments utiles à la réduction de l’IKB, comme la sensibilisation du public, la prise en compte des moteurs de l’IKB, la coordination internationale et l’engagement des parties prenantes. </w:t>
      </w:r>
    </w:p>
    <w:p w:rsidR="00BD5B7F" w:rsidRPr="00865DA5" w:rsidRDefault="00BD5B7F" w:rsidP="00BD5B7F">
      <w:pPr>
        <w:spacing w:after="160" w:line="259" w:lineRule="auto"/>
        <w:rPr>
          <w:rFonts w:ascii="Arial" w:eastAsia="Arial" w:hAnsi="Arial" w:cs="Arial"/>
          <w:color w:val="000000"/>
          <w:sz w:val="22"/>
          <w:szCs w:val="22"/>
          <w:bdr w:val="none" w:sz="0" w:space="0" w:color="auto" w:frame="1"/>
          <w:lang w:val="fr-FR"/>
        </w:rPr>
      </w:pPr>
      <w:r w:rsidRPr="00865DA5">
        <w:rPr>
          <w:rFonts w:ascii="Arial" w:eastAsia="Arial" w:hAnsi="Arial" w:cs="Arial"/>
          <w:color w:val="000000"/>
          <w:sz w:val="22"/>
          <w:szCs w:val="22"/>
          <w:bdr w:val="none" w:sz="0" w:space="0" w:color="auto" w:frame="1"/>
          <w:lang w:val="fr-FR"/>
        </w:rPr>
        <w:br w:type="page"/>
      </w:r>
    </w:p>
    <w:p w:rsidR="00BD5B7F" w:rsidRPr="00865DA5" w:rsidRDefault="00BD5B7F" w:rsidP="00BD5B7F">
      <w:pPr>
        <w:spacing w:after="120"/>
        <w:rPr>
          <w:rFonts w:ascii="Arial" w:eastAsia="Calibri" w:hAnsi="Arial" w:cs="Arial"/>
          <w:b/>
          <w:color w:val="000000"/>
          <w:sz w:val="22"/>
          <w:szCs w:val="22"/>
          <w:lang w:val="fr-FR"/>
        </w:rPr>
      </w:pPr>
      <w:r w:rsidRPr="00865DA5">
        <w:rPr>
          <w:rFonts w:ascii="Arial" w:eastAsia="Arial" w:hAnsi="Arial" w:cs="Arial"/>
          <w:b/>
          <w:bCs/>
          <w:color w:val="0070C0"/>
          <w:sz w:val="22"/>
          <w:szCs w:val="22"/>
          <w:bdr w:val="none" w:sz="0" w:space="0" w:color="auto" w:frame="1"/>
          <w:lang w:val="fr-FR"/>
        </w:rPr>
        <w:lastRenderedPageBreak/>
        <w:t xml:space="preserve">Tableau 1 - </w:t>
      </w:r>
      <w:r w:rsidRPr="00865DA5">
        <w:rPr>
          <w:rFonts w:ascii="Arial" w:eastAsia="Arial" w:hAnsi="Arial" w:cs="Arial"/>
          <w:color w:val="000000"/>
          <w:sz w:val="22"/>
          <w:szCs w:val="22"/>
          <w:bdr w:val="none" w:sz="0" w:space="0" w:color="auto" w:frame="1"/>
          <w:lang w:val="fr-FR"/>
        </w:rPr>
        <w:t>Les indicateurs dans le tableau de bord IKB</w:t>
      </w:r>
    </w:p>
    <w:tbl>
      <w:tblPr>
        <w:tblW w:w="0" w:type="auto"/>
        <w:tblBorders>
          <w:top w:val="single" w:sz="18" w:space="0" w:color="auto"/>
          <w:bottom w:val="single" w:sz="18" w:space="0" w:color="auto"/>
        </w:tblBorders>
        <w:tblLook w:val="04A0" w:firstRow="1" w:lastRow="0" w:firstColumn="1" w:lastColumn="0" w:noHBand="0" w:noVBand="1"/>
      </w:tblPr>
      <w:tblGrid>
        <w:gridCol w:w="2093"/>
        <w:gridCol w:w="7193"/>
      </w:tblGrid>
      <w:tr w:rsidR="00BD5B7F" w:rsidRPr="00FC42B0" w:rsidTr="000E5961">
        <w:trPr>
          <w:cantSplit/>
        </w:trPr>
        <w:tc>
          <w:tcPr>
            <w:tcW w:w="2093" w:type="dxa"/>
            <w:tcBorders>
              <w:top w:val="single" w:sz="18" w:space="0" w:color="auto"/>
              <w:left w:val="nil"/>
              <w:bottom w:val="single" w:sz="18" w:space="0" w:color="auto"/>
              <w:right w:val="nil"/>
            </w:tcBorders>
            <w:shd w:val="clear" w:color="auto" w:fill="4F81BD"/>
          </w:tcPr>
          <w:p w:rsidR="00BD5B7F" w:rsidRPr="00865DA5" w:rsidRDefault="00BD5B7F" w:rsidP="000E5961">
            <w:pPr>
              <w:rPr>
                <w:rFonts w:ascii="Arial" w:eastAsia="Calibri" w:hAnsi="Arial" w:cs="Arial"/>
                <w:b/>
                <w:bCs/>
                <w:color w:val="FFFFFF"/>
                <w:sz w:val="22"/>
                <w:szCs w:val="22"/>
                <w:lang w:val="fr-FR"/>
              </w:rPr>
            </w:pPr>
          </w:p>
        </w:tc>
        <w:tc>
          <w:tcPr>
            <w:tcW w:w="0" w:type="auto"/>
            <w:tcBorders>
              <w:top w:val="single" w:sz="18" w:space="0" w:color="auto"/>
              <w:left w:val="nil"/>
              <w:bottom w:val="single" w:sz="18" w:space="0" w:color="auto"/>
              <w:right w:val="nil"/>
            </w:tcBorders>
            <w:shd w:val="clear" w:color="auto" w:fill="4F81BD"/>
          </w:tcPr>
          <w:p w:rsidR="00BD5B7F" w:rsidRPr="00865DA5" w:rsidRDefault="00BD5B7F" w:rsidP="000E5961">
            <w:pPr>
              <w:rPr>
                <w:rFonts w:ascii="Arial" w:eastAsia="Calibri" w:hAnsi="Arial" w:cs="Arial"/>
                <w:b/>
                <w:bCs/>
                <w:color w:val="000000"/>
                <w:sz w:val="22"/>
                <w:szCs w:val="22"/>
                <w:lang w:val="fr-FR"/>
              </w:rPr>
            </w:pPr>
          </w:p>
        </w:tc>
      </w:tr>
      <w:tr w:rsidR="00BD5B7F" w:rsidRPr="00FC42B0" w:rsidTr="000E5961">
        <w:trPr>
          <w:cantSplit/>
        </w:trPr>
        <w:tc>
          <w:tcPr>
            <w:tcW w:w="2093" w:type="dxa"/>
            <w:vMerge w:val="restart"/>
            <w:tcBorders>
              <w:top w:val="nil"/>
              <w:left w:val="nil"/>
              <w:bottom w:val="single" w:sz="12" w:space="0" w:color="auto"/>
              <w:right w:val="nil"/>
            </w:tcBorders>
            <w:shd w:val="clear" w:color="auto" w:fill="4F81BD"/>
            <w:hideMark/>
          </w:tcPr>
          <w:p w:rsidR="00BD5B7F" w:rsidRPr="00865DA5" w:rsidRDefault="00BD5B7F" w:rsidP="000E5961">
            <w:pPr>
              <w:rPr>
                <w:rFonts w:ascii="Arial" w:eastAsia="Calibri" w:hAnsi="Arial" w:cs="Arial"/>
                <w:b/>
                <w:bCs/>
                <w:color w:val="FFFFFF"/>
                <w:sz w:val="22"/>
                <w:szCs w:val="22"/>
                <w:lang w:val="fr-FR"/>
              </w:rPr>
            </w:pPr>
            <w:r w:rsidRPr="00865DA5">
              <w:rPr>
                <w:rFonts w:ascii="Arial" w:eastAsia="Arial" w:hAnsi="Arial" w:cs="Arial"/>
                <w:b/>
                <w:bCs/>
                <w:color w:val="FFFFFF"/>
                <w:sz w:val="22"/>
                <w:szCs w:val="22"/>
                <w:bdr w:val="none" w:sz="0" w:space="0" w:color="auto" w:frame="1"/>
                <w:lang w:val="fr-FR"/>
              </w:rPr>
              <w:t xml:space="preserve">A. </w:t>
            </w:r>
            <w:r w:rsidRPr="00865DA5">
              <w:rPr>
                <w:rFonts w:ascii="Arial" w:eastAsia="Arial" w:hAnsi="Arial" w:cs="Arial"/>
                <w:b/>
                <w:bCs/>
                <w:color w:val="FFFFFF"/>
                <w:sz w:val="22"/>
                <w:szCs w:val="22"/>
                <w:bdr w:val="none" w:sz="0" w:space="0" w:color="auto" w:frame="1"/>
                <w:lang w:val="fr-FR"/>
              </w:rPr>
              <w:br/>
              <w:t>Suivi national de l’IKB (Gestion des données sur la portée et l’échelle de l’IKB)</w:t>
            </w:r>
          </w:p>
        </w:tc>
        <w:tc>
          <w:tcPr>
            <w:tcW w:w="0" w:type="auto"/>
            <w:tcBorders>
              <w:top w:val="nil"/>
              <w:left w:val="nil"/>
              <w:bottom w:val="nil"/>
              <w:right w:val="nil"/>
            </w:tcBorders>
            <w:shd w:val="clear" w:color="auto" w:fill="D8D8D8"/>
            <w:hideMark/>
          </w:tcPr>
          <w:p w:rsidR="00BD5B7F" w:rsidRPr="00865DA5" w:rsidRDefault="00BD5B7F" w:rsidP="000E5961">
            <w:pPr>
              <w:rPr>
                <w:rFonts w:ascii="Arial" w:eastAsia="Arial" w:hAnsi="Arial" w:cs="Arial"/>
                <w:color w:val="000000"/>
                <w:sz w:val="22"/>
                <w:szCs w:val="22"/>
                <w:bdr w:val="none" w:sz="0" w:space="0" w:color="auto" w:frame="1"/>
                <w:lang w:val="fr-FR"/>
              </w:rPr>
            </w:pPr>
            <w:r w:rsidRPr="00865DA5">
              <w:rPr>
                <w:rFonts w:ascii="Arial" w:eastAsia="Arial" w:hAnsi="Arial" w:cs="Arial"/>
                <w:b/>
                <w:bCs/>
                <w:color w:val="000000"/>
                <w:sz w:val="22"/>
                <w:szCs w:val="22"/>
                <w:bdr w:val="none" w:sz="0" w:space="0" w:color="auto" w:frame="1"/>
                <w:lang w:val="fr-FR"/>
              </w:rPr>
              <w:t>1. Situation et échelle de l’IKB</w:t>
            </w:r>
            <w:r w:rsidRPr="00865DA5">
              <w:rPr>
                <w:rFonts w:ascii="Arial" w:eastAsia="Arial" w:hAnsi="Arial" w:cs="Arial"/>
                <w:color w:val="000000"/>
                <w:sz w:val="22"/>
                <w:szCs w:val="22"/>
                <w:bdr w:val="none" w:sz="0" w:space="0" w:color="auto" w:frame="1"/>
                <w:lang w:val="fr-FR"/>
              </w:rPr>
              <w:t xml:space="preserve"> </w:t>
            </w:r>
            <w:r w:rsidRPr="00865DA5">
              <w:rPr>
                <w:rFonts w:ascii="Arial" w:eastAsia="Arial" w:hAnsi="Arial" w:cs="Arial"/>
                <w:color w:val="000000"/>
                <w:sz w:val="22"/>
                <w:szCs w:val="22"/>
                <w:bdr w:val="none" w:sz="0" w:space="0" w:color="auto" w:frame="1"/>
                <w:lang w:val="fr-FR"/>
              </w:rPr>
              <w:br/>
              <w:t>Le niveau de disponibilité des données sur les activités illégales à l’échelle nationale</w:t>
            </w:r>
          </w:p>
        </w:tc>
      </w:tr>
      <w:tr w:rsidR="00BD5B7F" w:rsidRPr="00FC42B0" w:rsidTr="000E5961">
        <w:trPr>
          <w:cantSplit/>
        </w:trPr>
        <w:tc>
          <w:tcPr>
            <w:tcW w:w="0" w:type="auto"/>
            <w:vMerge/>
            <w:tcBorders>
              <w:top w:val="nil"/>
              <w:left w:val="nil"/>
              <w:bottom w:val="single" w:sz="12" w:space="0" w:color="auto"/>
              <w:right w:val="nil"/>
            </w:tcBorders>
            <w:vAlign w:val="center"/>
            <w:hideMark/>
          </w:tcPr>
          <w:p w:rsidR="00BD5B7F" w:rsidRPr="00865DA5" w:rsidRDefault="00BD5B7F" w:rsidP="000E5961">
            <w:pPr>
              <w:rPr>
                <w:rFonts w:ascii="Arial" w:eastAsia="Calibri" w:hAnsi="Arial" w:cs="Arial"/>
                <w:b/>
                <w:bCs/>
                <w:color w:val="FFFFFF"/>
                <w:sz w:val="22"/>
                <w:szCs w:val="22"/>
                <w:lang w:val="fr-FR"/>
              </w:rPr>
            </w:pPr>
          </w:p>
        </w:tc>
        <w:tc>
          <w:tcPr>
            <w:tcW w:w="0" w:type="auto"/>
            <w:tcBorders>
              <w:top w:val="nil"/>
              <w:left w:val="nil"/>
              <w:bottom w:val="nil"/>
              <w:right w:val="nil"/>
            </w:tcBorders>
            <w:hideMark/>
          </w:tcPr>
          <w:p w:rsidR="00BD5B7F" w:rsidRPr="00865DA5" w:rsidRDefault="00BD5B7F" w:rsidP="000E5961">
            <w:pPr>
              <w:rPr>
                <w:rFonts w:ascii="Arial" w:eastAsia="Calibri" w:hAnsi="Arial" w:cs="Arial"/>
                <w:color w:val="000000"/>
                <w:sz w:val="22"/>
                <w:szCs w:val="22"/>
                <w:lang w:val="fr-FR"/>
              </w:rPr>
            </w:pPr>
            <w:r w:rsidRPr="00865DA5">
              <w:rPr>
                <w:rFonts w:ascii="Arial" w:eastAsia="Arial" w:hAnsi="Arial" w:cs="Arial"/>
                <w:b/>
                <w:bCs/>
                <w:color w:val="000000"/>
                <w:sz w:val="22"/>
                <w:szCs w:val="22"/>
                <w:bdr w:val="none" w:sz="0" w:space="0" w:color="auto" w:frame="1"/>
                <w:lang w:val="fr-FR"/>
              </w:rPr>
              <w:t xml:space="preserve">2 Nombre, répartition et tendance des oiseaux illégalement abattus, piégés ou commercialisés </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Le nombre, la tendance, la répartition saisonnière et géographique des oiseaux illégalement abattus, piégés et vendus dans votre pays, y compris dans les territoires d’outre-mer</w:t>
            </w:r>
            <w:r w:rsidRPr="00865DA5">
              <w:rPr>
                <w:rFonts w:ascii="Arial" w:eastAsia="Arial" w:hAnsi="Arial" w:cs="Arial"/>
                <w:b/>
                <w:bCs/>
                <w:color w:val="000000"/>
                <w:sz w:val="22"/>
                <w:szCs w:val="22"/>
                <w:bdr w:val="none" w:sz="0" w:space="0" w:color="auto" w:frame="1"/>
                <w:lang w:val="fr-FR"/>
              </w:rPr>
              <w:t>.</w:t>
            </w:r>
          </w:p>
        </w:tc>
      </w:tr>
      <w:tr w:rsidR="00BD5B7F" w:rsidRPr="00FC42B0" w:rsidTr="000E5961">
        <w:trPr>
          <w:cantSplit/>
        </w:trPr>
        <w:tc>
          <w:tcPr>
            <w:tcW w:w="0" w:type="auto"/>
            <w:vMerge/>
            <w:tcBorders>
              <w:top w:val="nil"/>
              <w:left w:val="nil"/>
              <w:bottom w:val="single" w:sz="12" w:space="0" w:color="auto"/>
              <w:right w:val="nil"/>
            </w:tcBorders>
            <w:vAlign w:val="center"/>
            <w:hideMark/>
          </w:tcPr>
          <w:p w:rsidR="00BD5B7F" w:rsidRPr="00865DA5" w:rsidRDefault="00BD5B7F" w:rsidP="000E5961">
            <w:pPr>
              <w:rPr>
                <w:rFonts w:ascii="Arial" w:eastAsia="Calibri" w:hAnsi="Arial" w:cs="Arial"/>
                <w:b/>
                <w:bCs/>
                <w:color w:val="FFFFFF"/>
                <w:sz w:val="22"/>
                <w:szCs w:val="22"/>
                <w:lang w:val="fr-FR"/>
              </w:rPr>
            </w:pPr>
          </w:p>
        </w:tc>
        <w:tc>
          <w:tcPr>
            <w:tcW w:w="0" w:type="auto"/>
            <w:tcBorders>
              <w:top w:val="nil"/>
              <w:left w:val="nil"/>
              <w:bottom w:val="nil"/>
              <w:right w:val="nil"/>
            </w:tcBorders>
            <w:shd w:val="clear" w:color="auto" w:fill="D8D8D8"/>
            <w:hideMark/>
          </w:tcPr>
          <w:p w:rsidR="00BD5B7F" w:rsidRPr="00865DA5" w:rsidRDefault="00BD5B7F" w:rsidP="000E5961">
            <w:pPr>
              <w:rPr>
                <w:rFonts w:ascii="Arial" w:eastAsia="Arial" w:hAnsi="Arial" w:cs="Arial"/>
                <w:color w:val="000000"/>
                <w:sz w:val="22"/>
                <w:szCs w:val="22"/>
                <w:bdr w:val="none" w:sz="0" w:space="0" w:color="auto" w:frame="1"/>
                <w:lang w:val="fr-FR"/>
              </w:rPr>
            </w:pPr>
            <w:r w:rsidRPr="00865DA5">
              <w:rPr>
                <w:rFonts w:ascii="Arial" w:eastAsia="Arial" w:hAnsi="Arial" w:cs="Arial"/>
                <w:b/>
                <w:bCs/>
                <w:color w:val="000000"/>
                <w:sz w:val="22"/>
                <w:szCs w:val="22"/>
                <w:bdr w:val="none" w:sz="0" w:space="0" w:color="auto" w:frame="1"/>
                <w:lang w:val="fr-FR"/>
              </w:rPr>
              <w:t>3. Connaissance de l’étendue des cas d’IKB par la justice</w:t>
            </w:r>
            <w:r w:rsidRPr="00865DA5">
              <w:rPr>
                <w:rFonts w:ascii="Arial" w:eastAsia="Arial" w:hAnsi="Arial" w:cs="Arial"/>
                <w:color w:val="000000"/>
                <w:sz w:val="22"/>
                <w:szCs w:val="22"/>
                <w:bdr w:val="none" w:sz="0" w:space="0" w:color="auto" w:frame="1"/>
                <w:lang w:val="fr-FR"/>
              </w:rPr>
              <w:br/>
              <w:t>Le niveau de disponibilité des données sur les activités illégales à l’échelle nationale</w:t>
            </w:r>
          </w:p>
        </w:tc>
      </w:tr>
      <w:tr w:rsidR="00BD5B7F" w:rsidRPr="00FC42B0" w:rsidTr="000E5961">
        <w:trPr>
          <w:cantSplit/>
        </w:trPr>
        <w:tc>
          <w:tcPr>
            <w:tcW w:w="0" w:type="auto"/>
            <w:vMerge/>
            <w:tcBorders>
              <w:top w:val="nil"/>
              <w:left w:val="nil"/>
              <w:bottom w:val="single" w:sz="12" w:space="0" w:color="auto"/>
              <w:right w:val="nil"/>
            </w:tcBorders>
            <w:vAlign w:val="center"/>
            <w:hideMark/>
          </w:tcPr>
          <w:p w:rsidR="00BD5B7F" w:rsidRPr="00865DA5" w:rsidRDefault="00BD5B7F" w:rsidP="000E5961">
            <w:pPr>
              <w:rPr>
                <w:rFonts w:ascii="Arial" w:eastAsia="Calibri" w:hAnsi="Arial" w:cs="Arial"/>
                <w:b/>
                <w:bCs/>
                <w:color w:val="FFFFFF"/>
                <w:sz w:val="22"/>
                <w:szCs w:val="22"/>
                <w:lang w:val="fr-FR"/>
              </w:rPr>
            </w:pPr>
          </w:p>
        </w:tc>
        <w:tc>
          <w:tcPr>
            <w:tcW w:w="0" w:type="auto"/>
            <w:tcBorders>
              <w:top w:val="nil"/>
              <w:left w:val="nil"/>
              <w:bottom w:val="single" w:sz="12" w:space="0" w:color="auto"/>
              <w:right w:val="nil"/>
            </w:tcBorders>
            <w:hideMark/>
          </w:tcPr>
          <w:p w:rsidR="00BD5B7F" w:rsidRPr="00865DA5" w:rsidRDefault="00BD5B7F" w:rsidP="000E5961">
            <w:pPr>
              <w:rPr>
                <w:rFonts w:ascii="Arial" w:eastAsia="Calibri" w:hAnsi="Arial" w:cs="Arial"/>
                <w:color w:val="000000"/>
                <w:sz w:val="22"/>
                <w:szCs w:val="22"/>
                <w:lang w:val="fr-FR"/>
              </w:rPr>
            </w:pPr>
            <w:r w:rsidRPr="00865DA5">
              <w:rPr>
                <w:rFonts w:ascii="Arial" w:eastAsia="Arial" w:hAnsi="Arial" w:cs="Arial"/>
                <w:b/>
                <w:bCs/>
                <w:color w:val="000000"/>
                <w:sz w:val="22"/>
                <w:szCs w:val="22"/>
                <w:bdr w:val="none" w:sz="0" w:space="0" w:color="auto" w:frame="1"/>
                <w:lang w:val="fr-FR"/>
              </w:rPr>
              <w:t>4. Nombre de cas d’IKB ayant fait l’objet de poursuites au cours de la période de rapport</w:t>
            </w:r>
            <w:r w:rsidRPr="00865DA5">
              <w:rPr>
                <w:rFonts w:ascii="Arial" w:eastAsia="Arial" w:hAnsi="Arial" w:cs="Arial"/>
                <w:color w:val="000000"/>
                <w:sz w:val="22"/>
                <w:szCs w:val="22"/>
                <w:bdr w:val="none" w:sz="0" w:space="0" w:color="auto" w:frame="1"/>
                <w:lang w:val="fr-FR"/>
              </w:rPr>
              <w:br/>
              <w:t>Le nombre de cas d’IKB ayant fait l’objet de poursuites au cours de la période de rapport</w:t>
            </w:r>
          </w:p>
        </w:tc>
      </w:tr>
      <w:tr w:rsidR="00BD5B7F" w:rsidRPr="00FC42B0" w:rsidTr="000E5961">
        <w:trPr>
          <w:cantSplit/>
        </w:trPr>
        <w:tc>
          <w:tcPr>
            <w:tcW w:w="2093" w:type="dxa"/>
            <w:vMerge w:val="restart"/>
            <w:tcBorders>
              <w:top w:val="single" w:sz="12" w:space="0" w:color="auto"/>
              <w:left w:val="nil"/>
              <w:bottom w:val="single" w:sz="12" w:space="0" w:color="auto"/>
              <w:right w:val="nil"/>
            </w:tcBorders>
            <w:shd w:val="clear" w:color="auto" w:fill="4F81BD"/>
            <w:hideMark/>
          </w:tcPr>
          <w:p w:rsidR="00BD5B7F" w:rsidRPr="00865DA5" w:rsidRDefault="00BD5B7F" w:rsidP="000E5961">
            <w:pPr>
              <w:rPr>
                <w:rFonts w:ascii="Arial" w:eastAsia="Calibri" w:hAnsi="Arial" w:cs="Arial"/>
                <w:b/>
                <w:bCs/>
                <w:i/>
                <w:iCs/>
                <w:color w:val="FFFFFF"/>
                <w:sz w:val="22"/>
                <w:szCs w:val="22"/>
                <w:lang w:val="fr-FR"/>
              </w:rPr>
            </w:pPr>
            <w:r w:rsidRPr="00865DA5">
              <w:rPr>
                <w:rFonts w:ascii="Arial" w:eastAsia="Arial" w:hAnsi="Arial" w:cs="Arial"/>
                <w:b/>
                <w:bCs/>
                <w:color w:val="FFFFFF"/>
                <w:sz w:val="22"/>
                <w:szCs w:val="22"/>
                <w:bdr w:val="none" w:sz="0" w:space="0" w:color="auto" w:frame="1"/>
                <w:lang w:val="fr-FR"/>
              </w:rPr>
              <w:t xml:space="preserve">B. </w:t>
            </w:r>
            <w:r w:rsidRPr="00865DA5">
              <w:rPr>
                <w:rFonts w:ascii="Arial" w:eastAsia="Arial" w:hAnsi="Arial" w:cs="Arial"/>
                <w:b/>
                <w:bCs/>
                <w:color w:val="FFFFFF"/>
                <w:sz w:val="22"/>
                <w:szCs w:val="22"/>
                <w:bdr w:val="none" w:sz="0" w:space="0" w:color="auto" w:frame="1"/>
                <w:lang w:val="fr-FR"/>
              </w:rPr>
              <w:br/>
              <w:t>Niveau d’exhaustivité de la législation nationale</w:t>
            </w:r>
          </w:p>
        </w:tc>
        <w:tc>
          <w:tcPr>
            <w:tcW w:w="0" w:type="auto"/>
            <w:tcBorders>
              <w:top w:val="single" w:sz="12" w:space="0" w:color="auto"/>
              <w:left w:val="nil"/>
              <w:bottom w:val="nil"/>
              <w:right w:val="nil"/>
            </w:tcBorders>
            <w:shd w:val="clear" w:color="auto" w:fill="D8D8D8"/>
            <w:hideMark/>
          </w:tcPr>
          <w:p w:rsidR="00BD5B7F" w:rsidRPr="00865DA5" w:rsidRDefault="00BD5B7F" w:rsidP="000E5961">
            <w:pPr>
              <w:rPr>
                <w:rFonts w:ascii="Arial" w:eastAsia="Calibri" w:hAnsi="Arial" w:cs="Arial"/>
                <w:color w:val="000000"/>
                <w:sz w:val="22"/>
                <w:szCs w:val="22"/>
                <w:lang w:val="fr-FR"/>
              </w:rPr>
            </w:pPr>
            <w:r w:rsidRPr="00865DA5">
              <w:rPr>
                <w:rFonts w:ascii="Arial" w:eastAsia="Arial" w:hAnsi="Arial" w:cs="Arial"/>
                <w:b/>
                <w:bCs/>
                <w:color w:val="000000"/>
                <w:sz w:val="22"/>
                <w:szCs w:val="22"/>
                <w:bdr w:val="none" w:sz="0" w:space="0" w:color="auto" w:frame="1"/>
                <w:lang w:val="fr-FR"/>
              </w:rPr>
              <w:t>5. Législation nationale sur la faune sauvage</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Le niveau d’exhaustivité des dispositions législatives nationales en vigueur pour la conservation, la gestion et l’utilisation de la faune sauvage, y compris l’interdiction de l’IKB</w:t>
            </w:r>
          </w:p>
        </w:tc>
      </w:tr>
      <w:tr w:rsidR="00BD5B7F" w:rsidRPr="00FC42B0" w:rsidTr="000E5961">
        <w:trPr>
          <w:cantSplit/>
        </w:trPr>
        <w:tc>
          <w:tcPr>
            <w:tcW w:w="0" w:type="auto"/>
            <w:vMerge/>
            <w:tcBorders>
              <w:top w:val="single" w:sz="12" w:space="0" w:color="auto"/>
              <w:left w:val="nil"/>
              <w:bottom w:val="single" w:sz="12" w:space="0" w:color="auto"/>
              <w:right w:val="nil"/>
            </w:tcBorders>
            <w:vAlign w:val="center"/>
            <w:hideMark/>
          </w:tcPr>
          <w:p w:rsidR="00BD5B7F" w:rsidRPr="00865DA5" w:rsidRDefault="00BD5B7F" w:rsidP="000E5961">
            <w:pPr>
              <w:rPr>
                <w:rFonts w:ascii="Arial" w:eastAsia="Calibri" w:hAnsi="Arial" w:cs="Arial"/>
                <w:b/>
                <w:bCs/>
                <w:i/>
                <w:iCs/>
                <w:color w:val="FFFFFF"/>
                <w:sz w:val="22"/>
                <w:szCs w:val="22"/>
                <w:lang w:val="fr-FR"/>
              </w:rPr>
            </w:pPr>
          </w:p>
        </w:tc>
        <w:tc>
          <w:tcPr>
            <w:tcW w:w="0" w:type="auto"/>
            <w:tcBorders>
              <w:top w:val="nil"/>
              <w:left w:val="nil"/>
              <w:bottom w:val="nil"/>
              <w:right w:val="nil"/>
            </w:tcBorders>
            <w:hideMark/>
          </w:tcPr>
          <w:p w:rsidR="00BD5B7F" w:rsidRPr="00865DA5" w:rsidRDefault="00BD5B7F" w:rsidP="000E5961">
            <w:pPr>
              <w:rPr>
                <w:rFonts w:ascii="Arial" w:eastAsia="Calibri" w:hAnsi="Arial" w:cs="Arial"/>
                <w:color w:val="000000"/>
                <w:sz w:val="22"/>
                <w:szCs w:val="22"/>
                <w:lang w:val="fr-FR"/>
              </w:rPr>
            </w:pPr>
            <w:r w:rsidRPr="00865DA5">
              <w:rPr>
                <w:rFonts w:ascii="Arial" w:eastAsia="Arial" w:hAnsi="Arial" w:cs="Arial"/>
                <w:b/>
                <w:bCs/>
                <w:color w:val="000000"/>
                <w:sz w:val="22"/>
                <w:szCs w:val="22"/>
                <w:bdr w:val="none" w:sz="0" w:space="0" w:color="auto" w:frame="1"/>
                <w:lang w:val="fr-FR"/>
              </w:rPr>
              <w:t>6. Utilisation réglementée</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Le niveau d’exhaustivité de la législation nationale concernant l’utilisation durable de la faune sauvage, incluant la chasse</w:t>
            </w:r>
          </w:p>
        </w:tc>
      </w:tr>
      <w:tr w:rsidR="00BD5B7F" w:rsidRPr="00FC42B0" w:rsidTr="000E5961">
        <w:trPr>
          <w:cantSplit/>
        </w:trPr>
        <w:tc>
          <w:tcPr>
            <w:tcW w:w="0" w:type="auto"/>
            <w:vMerge/>
            <w:tcBorders>
              <w:top w:val="single" w:sz="12" w:space="0" w:color="auto"/>
              <w:left w:val="nil"/>
              <w:bottom w:val="single" w:sz="12" w:space="0" w:color="auto"/>
              <w:right w:val="nil"/>
            </w:tcBorders>
            <w:vAlign w:val="center"/>
            <w:hideMark/>
          </w:tcPr>
          <w:p w:rsidR="00BD5B7F" w:rsidRPr="00865DA5" w:rsidRDefault="00BD5B7F" w:rsidP="000E5961">
            <w:pPr>
              <w:rPr>
                <w:rFonts w:ascii="Arial" w:eastAsia="Calibri" w:hAnsi="Arial" w:cs="Arial"/>
                <w:b/>
                <w:bCs/>
                <w:i/>
                <w:iCs/>
                <w:color w:val="FFFFFF"/>
                <w:sz w:val="22"/>
                <w:szCs w:val="22"/>
                <w:lang w:val="fr-FR"/>
              </w:rPr>
            </w:pPr>
          </w:p>
        </w:tc>
        <w:tc>
          <w:tcPr>
            <w:tcW w:w="0" w:type="auto"/>
            <w:tcBorders>
              <w:top w:val="nil"/>
              <w:left w:val="nil"/>
              <w:bottom w:val="nil"/>
              <w:right w:val="nil"/>
            </w:tcBorders>
            <w:shd w:val="clear" w:color="auto" w:fill="D8D8D8"/>
            <w:hideMark/>
          </w:tcPr>
          <w:p w:rsidR="00BD5B7F" w:rsidRPr="00865DA5" w:rsidRDefault="00BD5B7F" w:rsidP="000E5961">
            <w:pPr>
              <w:rPr>
                <w:rFonts w:ascii="Arial" w:eastAsia="Calibri" w:hAnsi="Arial" w:cs="Arial"/>
                <w:b/>
                <w:bCs/>
                <w:color w:val="000000"/>
                <w:sz w:val="22"/>
                <w:szCs w:val="22"/>
                <w:lang w:val="fr-FR"/>
              </w:rPr>
            </w:pPr>
            <w:r w:rsidRPr="00865DA5">
              <w:rPr>
                <w:rFonts w:ascii="Arial" w:eastAsia="Arial" w:hAnsi="Arial" w:cs="Arial"/>
                <w:b/>
                <w:bCs/>
                <w:color w:val="000000"/>
                <w:sz w:val="22"/>
                <w:szCs w:val="22"/>
                <w:bdr w:val="none" w:sz="0" w:space="0" w:color="auto" w:frame="1"/>
                <w:lang w:val="fr-FR"/>
              </w:rPr>
              <w:t>7. Interdictions en vertu de la législation nationale</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L’étendue des activités interdites par la législation nationale</w:t>
            </w:r>
            <w:r w:rsidRPr="00865DA5">
              <w:rPr>
                <w:rFonts w:ascii="Arial" w:eastAsia="Arial" w:hAnsi="Arial" w:cs="Arial"/>
                <w:b/>
                <w:bCs/>
                <w:color w:val="000000"/>
                <w:sz w:val="22"/>
                <w:szCs w:val="22"/>
                <w:bdr w:val="none" w:sz="0" w:space="0" w:color="auto" w:frame="1"/>
                <w:lang w:val="fr-FR"/>
              </w:rPr>
              <w:t xml:space="preserve"> </w:t>
            </w:r>
          </w:p>
        </w:tc>
      </w:tr>
      <w:tr w:rsidR="00BD5B7F" w:rsidRPr="00FC42B0" w:rsidTr="000E5961">
        <w:trPr>
          <w:cantSplit/>
        </w:trPr>
        <w:tc>
          <w:tcPr>
            <w:tcW w:w="0" w:type="auto"/>
            <w:vMerge/>
            <w:tcBorders>
              <w:top w:val="single" w:sz="12" w:space="0" w:color="auto"/>
              <w:left w:val="nil"/>
              <w:bottom w:val="single" w:sz="12" w:space="0" w:color="auto"/>
              <w:right w:val="nil"/>
            </w:tcBorders>
            <w:vAlign w:val="center"/>
            <w:hideMark/>
          </w:tcPr>
          <w:p w:rsidR="00BD5B7F" w:rsidRPr="00865DA5" w:rsidRDefault="00BD5B7F" w:rsidP="000E5961">
            <w:pPr>
              <w:rPr>
                <w:rFonts w:ascii="Arial" w:eastAsia="Calibri" w:hAnsi="Arial" w:cs="Arial"/>
                <w:b/>
                <w:bCs/>
                <w:i/>
                <w:iCs/>
                <w:color w:val="FFFFFF"/>
                <w:sz w:val="22"/>
                <w:szCs w:val="22"/>
                <w:lang w:val="fr-FR"/>
              </w:rPr>
            </w:pPr>
          </w:p>
        </w:tc>
        <w:tc>
          <w:tcPr>
            <w:tcW w:w="0" w:type="auto"/>
            <w:tcBorders>
              <w:top w:val="nil"/>
              <w:left w:val="nil"/>
              <w:bottom w:val="nil"/>
              <w:right w:val="nil"/>
            </w:tcBorders>
            <w:hideMark/>
          </w:tcPr>
          <w:p w:rsidR="00BD5B7F" w:rsidRPr="00865DA5" w:rsidRDefault="00BD5B7F" w:rsidP="000E5961">
            <w:pPr>
              <w:rPr>
                <w:rFonts w:ascii="Arial" w:eastAsia="Calibri" w:hAnsi="Arial" w:cs="Arial"/>
                <w:b/>
                <w:bCs/>
                <w:color w:val="000000"/>
                <w:sz w:val="22"/>
                <w:szCs w:val="22"/>
                <w:lang w:val="fr-FR"/>
              </w:rPr>
            </w:pPr>
            <w:r w:rsidRPr="00865DA5">
              <w:rPr>
                <w:rFonts w:ascii="Arial" w:eastAsia="Arial" w:hAnsi="Arial" w:cs="Arial"/>
                <w:b/>
                <w:bCs/>
                <w:color w:val="000000"/>
                <w:sz w:val="22"/>
                <w:szCs w:val="22"/>
                <w:bdr w:val="none" w:sz="0" w:space="0" w:color="auto" w:frame="1"/>
                <w:lang w:val="fr-FR"/>
              </w:rPr>
              <w:t>8. Exceptions à la législation nationale</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L’étendue de l’examen réglementaire concernant toute autorisation de dérogation</w:t>
            </w:r>
            <w:r w:rsidRPr="00865DA5">
              <w:rPr>
                <w:rFonts w:ascii="Arial" w:eastAsia="Arial" w:hAnsi="Arial" w:cs="Arial"/>
                <w:b/>
                <w:bCs/>
                <w:color w:val="000000"/>
                <w:sz w:val="22"/>
                <w:szCs w:val="22"/>
                <w:bdr w:val="none" w:sz="0" w:space="0" w:color="auto" w:frame="1"/>
                <w:lang w:val="fr-FR"/>
              </w:rPr>
              <w:t xml:space="preserve"> </w:t>
            </w:r>
          </w:p>
        </w:tc>
      </w:tr>
      <w:tr w:rsidR="00BD5B7F" w:rsidRPr="00FC42B0" w:rsidTr="000E5961">
        <w:trPr>
          <w:cantSplit/>
        </w:trPr>
        <w:tc>
          <w:tcPr>
            <w:tcW w:w="0" w:type="auto"/>
            <w:vMerge/>
            <w:tcBorders>
              <w:top w:val="single" w:sz="12" w:space="0" w:color="auto"/>
              <w:left w:val="nil"/>
              <w:bottom w:val="single" w:sz="12" w:space="0" w:color="auto"/>
              <w:right w:val="nil"/>
            </w:tcBorders>
            <w:vAlign w:val="center"/>
            <w:hideMark/>
          </w:tcPr>
          <w:p w:rsidR="00BD5B7F" w:rsidRPr="00865DA5" w:rsidRDefault="00BD5B7F" w:rsidP="000E5961">
            <w:pPr>
              <w:rPr>
                <w:rFonts w:ascii="Arial" w:eastAsia="Calibri" w:hAnsi="Arial" w:cs="Arial"/>
                <w:b/>
                <w:bCs/>
                <w:i/>
                <w:iCs/>
                <w:color w:val="FFFFFF"/>
                <w:sz w:val="22"/>
                <w:szCs w:val="22"/>
                <w:lang w:val="fr-FR"/>
              </w:rPr>
            </w:pPr>
          </w:p>
        </w:tc>
        <w:tc>
          <w:tcPr>
            <w:tcW w:w="0" w:type="auto"/>
            <w:tcBorders>
              <w:top w:val="nil"/>
              <w:left w:val="nil"/>
              <w:bottom w:val="nil"/>
              <w:right w:val="nil"/>
            </w:tcBorders>
            <w:shd w:val="clear" w:color="auto" w:fill="D8D8D8"/>
            <w:hideMark/>
          </w:tcPr>
          <w:p w:rsidR="00BD5B7F" w:rsidRPr="00865DA5" w:rsidRDefault="00BD5B7F" w:rsidP="000E5961">
            <w:pPr>
              <w:rPr>
                <w:rFonts w:ascii="Arial" w:eastAsia="Calibri" w:hAnsi="Arial" w:cs="Arial"/>
                <w:b/>
                <w:bCs/>
                <w:color w:val="000000"/>
                <w:sz w:val="22"/>
                <w:szCs w:val="22"/>
                <w:lang w:val="fr-FR"/>
              </w:rPr>
            </w:pPr>
            <w:r w:rsidRPr="00865DA5">
              <w:rPr>
                <w:rFonts w:ascii="Arial" w:eastAsia="Arial" w:hAnsi="Arial" w:cs="Arial"/>
                <w:b/>
                <w:bCs/>
                <w:color w:val="000000"/>
                <w:sz w:val="22"/>
                <w:szCs w:val="22"/>
                <w:bdr w:val="none" w:sz="0" w:space="0" w:color="auto" w:frame="1"/>
                <w:lang w:val="fr-FR"/>
              </w:rPr>
              <w:t>9. Sanctions et peines</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Le niveau d’exhaustivité des sanctions relatives à l’IKB</w:t>
            </w:r>
          </w:p>
        </w:tc>
      </w:tr>
      <w:tr w:rsidR="00BD5B7F" w:rsidRPr="00FC42B0" w:rsidTr="000E5961">
        <w:trPr>
          <w:cantSplit/>
        </w:trPr>
        <w:tc>
          <w:tcPr>
            <w:tcW w:w="0" w:type="auto"/>
            <w:vMerge/>
            <w:tcBorders>
              <w:top w:val="single" w:sz="12" w:space="0" w:color="auto"/>
              <w:left w:val="nil"/>
              <w:bottom w:val="single" w:sz="12" w:space="0" w:color="auto"/>
              <w:right w:val="nil"/>
            </w:tcBorders>
            <w:vAlign w:val="center"/>
            <w:hideMark/>
          </w:tcPr>
          <w:p w:rsidR="00BD5B7F" w:rsidRPr="00865DA5" w:rsidRDefault="00BD5B7F" w:rsidP="000E5961">
            <w:pPr>
              <w:rPr>
                <w:rFonts w:ascii="Arial" w:eastAsia="Calibri" w:hAnsi="Arial" w:cs="Arial"/>
                <w:b/>
                <w:bCs/>
                <w:i/>
                <w:iCs/>
                <w:color w:val="FFFFFF"/>
                <w:sz w:val="22"/>
                <w:szCs w:val="22"/>
                <w:lang w:val="fr-FR"/>
              </w:rPr>
            </w:pPr>
          </w:p>
        </w:tc>
        <w:tc>
          <w:tcPr>
            <w:tcW w:w="0" w:type="auto"/>
            <w:tcBorders>
              <w:top w:val="nil"/>
              <w:left w:val="nil"/>
              <w:bottom w:val="nil"/>
              <w:right w:val="nil"/>
            </w:tcBorders>
            <w:hideMark/>
          </w:tcPr>
          <w:p w:rsidR="00BD5B7F" w:rsidRPr="00865DA5" w:rsidRDefault="00BD5B7F" w:rsidP="000E5961">
            <w:pPr>
              <w:rPr>
                <w:rFonts w:ascii="Arial" w:eastAsia="Calibri" w:hAnsi="Arial" w:cs="Arial"/>
                <w:b/>
                <w:bCs/>
                <w:color w:val="000000"/>
                <w:sz w:val="22"/>
                <w:szCs w:val="22"/>
                <w:lang w:val="fr-FR"/>
              </w:rPr>
            </w:pPr>
            <w:r w:rsidRPr="00865DA5">
              <w:rPr>
                <w:rFonts w:ascii="Arial" w:eastAsia="Arial" w:hAnsi="Arial" w:cs="Arial"/>
                <w:b/>
                <w:bCs/>
                <w:color w:val="000000"/>
                <w:sz w:val="22"/>
                <w:szCs w:val="22"/>
                <w:bdr w:val="none" w:sz="0" w:space="0" w:color="auto" w:frame="1"/>
                <w:lang w:val="fr-FR"/>
              </w:rPr>
              <w:t>10. Proportionnalité des sanctions</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Le niveau de prise en compte de la gravité des cas d’IKB dans la législation nationale pertinente</w:t>
            </w:r>
          </w:p>
        </w:tc>
      </w:tr>
      <w:tr w:rsidR="00BD5B7F" w:rsidRPr="00FC42B0" w:rsidTr="000E5961">
        <w:trPr>
          <w:cantSplit/>
        </w:trPr>
        <w:tc>
          <w:tcPr>
            <w:tcW w:w="0" w:type="auto"/>
            <w:vMerge/>
            <w:tcBorders>
              <w:top w:val="single" w:sz="12" w:space="0" w:color="auto"/>
              <w:left w:val="nil"/>
              <w:bottom w:val="single" w:sz="12" w:space="0" w:color="auto"/>
              <w:right w:val="nil"/>
            </w:tcBorders>
            <w:vAlign w:val="center"/>
            <w:hideMark/>
          </w:tcPr>
          <w:p w:rsidR="00BD5B7F" w:rsidRPr="00865DA5" w:rsidRDefault="00BD5B7F" w:rsidP="000E5961">
            <w:pPr>
              <w:rPr>
                <w:rFonts w:ascii="Arial" w:eastAsia="Calibri" w:hAnsi="Arial" w:cs="Arial"/>
                <w:b/>
                <w:bCs/>
                <w:i/>
                <w:iCs/>
                <w:color w:val="FFFFFF"/>
                <w:sz w:val="22"/>
                <w:szCs w:val="22"/>
                <w:lang w:val="fr-FR"/>
              </w:rPr>
            </w:pPr>
          </w:p>
        </w:tc>
        <w:tc>
          <w:tcPr>
            <w:tcW w:w="0" w:type="auto"/>
            <w:tcBorders>
              <w:top w:val="nil"/>
              <w:left w:val="nil"/>
              <w:bottom w:val="nil"/>
              <w:right w:val="nil"/>
            </w:tcBorders>
            <w:shd w:val="clear" w:color="auto" w:fill="D8D8D8"/>
            <w:hideMark/>
          </w:tcPr>
          <w:p w:rsidR="00BD5B7F" w:rsidRPr="00865DA5" w:rsidRDefault="00BD5B7F" w:rsidP="000E5961">
            <w:pPr>
              <w:rPr>
                <w:rFonts w:ascii="Arial" w:eastAsia="Calibri" w:hAnsi="Arial" w:cs="Arial"/>
                <w:b/>
                <w:bCs/>
                <w:color w:val="000000"/>
                <w:sz w:val="22"/>
                <w:szCs w:val="22"/>
                <w:lang w:val="fr-FR"/>
              </w:rPr>
            </w:pPr>
            <w:r w:rsidRPr="00865DA5">
              <w:rPr>
                <w:rFonts w:ascii="Arial" w:eastAsia="Arial" w:hAnsi="Arial" w:cs="Arial"/>
                <w:b/>
                <w:bCs/>
                <w:color w:val="000000"/>
                <w:sz w:val="22"/>
                <w:szCs w:val="22"/>
                <w:bdr w:val="none" w:sz="0" w:space="0" w:color="auto" w:frame="1"/>
                <w:lang w:val="fr-FR"/>
              </w:rPr>
              <w:t>11. Utilisation du droit pénal</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La mesure dans laquelle une combinaison entre la législation nationale pertinente et le droit pénal est utilisée pour poursuivre les infractions relatives à l’IKB à l’appui de la législation promulguée pour lutter contre la criminalité liée aux espèces sauvages</w:t>
            </w:r>
          </w:p>
        </w:tc>
      </w:tr>
      <w:tr w:rsidR="00BD5B7F" w:rsidRPr="00FC42B0" w:rsidTr="000E5961">
        <w:trPr>
          <w:cantSplit/>
        </w:trPr>
        <w:tc>
          <w:tcPr>
            <w:tcW w:w="0" w:type="auto"/>
            <w:vMerge/>
            <w:tcBorders>
              <w:top w:val="single" w:sz="12" w:space="0" w:color="auto"/>
              <w:left w:val="nil"/>
              <w:bottom w:val="single" w:sz="12" w:space="0" w:color="auto"/>
              <w:right w:val="nil"/>
            </w:tcBorders>
            <w:vAlign w:val="center"/>
            <w:hideMark/>
          </w:tcPr>
          <w:p w:rsidR="00BD5B7F" w:rsidRPr="00865DA5" w:rsidRDefault="00BD5B7F" w:rsidP="000E5961">
            <w:pPr>
              <w:rPr>
                <w:rFonts w:ascii="Arial" w:eastAsia="Calibri" w:hAnsi="Arial" w:cs="Arial"/>
                <w:b/>
                <w:bCs/>
                <w:i/>
                <w:iCs/>
                <w:color w:val="FFFFFF"/>
                <w:sz w:val="22"/>
                <w:szCs w:val="22"/>
                <w:lang w:val="fr-FR"/>
              </w:rPr>
            </w:pPr>
          </w:p>
        </w:tc>
        <w:tc>
          <w:tcPr>
            <w:tcW w:w="0" w:type="auto"/>
            <w:tcBorders>
              <w:top w:val="nil"/>
              <w:left w:val="nil"/>
              <w:bottom w:val="nil"/>
              <w:right w:val="nil"/>
            </w:tcBorders>
            <w:hideMark/>
          </w:tcPr>
          <w:p w:rsidR="00BD5B7F" w:rsidRPr="00865DA5" w:rsidRDefault="00BD5B7F" w:rsidP="000E5961">
            <w:pPr>
              <w:rPr>
                <w:rFonts w:ascii="Arial" w:eastAsia="Calibri" w:hAnsi="Arial" w:cs="Arial"/>
                <w:b/>
                <w:color w:val="000000"/>
                <w:sz w:val="22"/>
                <w:szCs w:val="22"/>
                <w:lang w:val="fr-FR"/>
              </w:rPr>
            </w:pPr>
            <w:r w:rsidRPr="00865DA5">
              <w:rPr>
                <w:rFonts w:ascii="Arial" w:eastAsia="Arial" w:hAnsi="Arial" w:cs="Arial"/>
                <w:b/>
                <w:bCs/>
                <w:color w:val="000000"/>
                <w:sz w:val="22"/>
                <w:szCs w:val="22"/>
                <w:bdr w:val="none" w:sz="0" w:space="0" w:color="auto" w:frame="1"/>
                <w:lang w:val="fr-FR"/>
              </w:rPr>
              <w:t>12. Législation relative à la criminalité organisée</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La mesure dans laquelle une législation spécifique visant à lutter contre la criminalité organisée est utilisée pour lutter contre l’IKB</w:t>
            </w:r>
            <w:r w:rsidRPr="00865DA5">
              <w:rPr>
                <w:rFonts w:ascii="Arial" w:eastAsia="Arial" w:hAnsi="Arial" w:cs="Arial"/>
                <w:b/>
                <w:bCs/>
                <w:color w:val="000000"/>
                <w:sz w:val="22"/>
                <w:szCs w:val="22"/>
                <w:bdr w:val="none" w:sz="0" w:space="0" w:color="auto" w:frame="1"/>
                <w:lang w:val="fr-FR"/>
              </w:rPr>
              <w:t xml:space="preserve"> </w:t>
            </w:r>
          </w:p>
        </w:tc>
      </w:tr>
      <w:tr w:rsidR="00BD5B7F" w:rsidRPr="00FC42B0" w:rsidTr="000E5961">
        <w:trPr>
          <w:cantSplit/>
        </w:trPr>
        <w:tc>
          <w:tcPr>
            <w:tcW w:w="0" w:type="auto"/>
            <w:vMerge/>
            <w:tcBorders>
              <w:top w:val="single" w:sz="12" w:space="0" w:color="auto"/>
              <w:left w:val="nil"/>
              <w:bottom w:val="single" w:sz="12" w:space="0" w:color="auto"/>
              <w:right w:val="nil"/>
            </w:tcBorders>
            <w:vAlign w:val="center"/>
            <w:hideMark/>
          </w:tcPr>
          <w:p w:rsidR="00BD5B7F" w:rsidRPr="00865DA5" w:rsidRDefault="00BD5B7F" w:rsidP="000E5961">
            <w:pPr>
              <w:rPr>
                <w:rFonts w:ascii="Arial" w:eastAsia="Calibri" w:hAnsi="Arial" w:cs="Arial"/>
                <w:b/>
                <w:bCs/>
                <w:i/>
                <w:iCs/>
                <w:color w:val="FFFFFF"/>
                <w:sz w:val="22"/>
                <w:szCs w:val="22"/>
                <w:lang w:val="fr-FR"/>
              </w:rPr>
            </w:pPr>
          </w:p>
        </w:tc>
        <w:tc>
          <w:tcPr>
            <w:tcW w:w="0" w:type="auto"/>
            <w:tcBorders>
              <w:top w:val="nil"/>
              <w:left w:val="nil"/>
              <w:bottom w:val="single" w:sz="12" w:space="0" w:color="auto"/>
              <w:right w:val="nil"/>
            </w:tcBorders>
            <w:shd w:val="clear" w:color="auto" w:fill="D8D8D8"/>
            <w:hideMark/>
          </w:tcPr>
          <w:p w:rsidR="00BD5B7F" w:rsidRPr="00865DA5" w:rsidRDefault="00BD5B7F" w:rsidP="000E5961">
            <w:pPr>
              <w:rPr>
                <w:rFonts w:ascii="Arial" w:eastAsia="Calibri" w:hAnsi="Arial" w:cs="Arial"/>
                <w:b/>
                <w:color w:val="000000"/>
                <w:sz w:val="22"/>
                <w:szCs w:val="22"/>
                <w:lang w:val="fr-FR"/>
              </w:rPr>
            </w:pPr>
            <w:r w:rsidRPr="00865DA5">
              <w:rPr>
                <w:rFonts w:ascii="Arial" w:eastAsia="Arial" w:hAnsi="Arial" w:cs="Arial"/>
                <w:b/>
                <w:bCs/>
                <w:color w:val="000000"/>
                <w:sz w:val="22"/>
                <w:szCs w:val="22"/>
                <w:bdr w:val="none" w:sz="0" w:space="0" w:color="auto" w:frame="1"/>
                <w:lang w:val="fr-FR"/>
              </w:rPr>
              <w:t xml:space="preserve">13. Transposition du droit et des engagements internationaux dans la législation nationale </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Le niveau d’exhaustivité des dispositions législatives nationales pour transposer les engagements internationaux de l’État relatifs à l’IKB</w:t>
            </w:r>
          </w:p>
        </w:tc>
      </w:tr>
    </w:tbl>
    <w:p w:rsidR="00BD5B7F" w:rsidRPr="00865DA5" w:rsidRDefault="00BD5B7F" w:rsidP="00BD5B7F">
      <w:pPr>
        <w:rPr>
          <w:lang w:val="fr-FR"/>
        </w:rPr>
      </w:pPr>
      <w:r w:rsidRPr="00865DA5">
        <w:rPr>
          <w:lang w:val="fr-FR"/>
        </w:rPr>
        <w:br w:type="page"/>
      </w:r>
    </w:p>
    <w:tbl>
      <w:tblPr>
        <w:tblW w:w="0" w:type="auto"/>
        <w:tblBorders>
          <w:top w:val="single" w:sz="18" w:space="0" w:color="auto"/>
          <w:bottom w:val="single" w:sz="18" w:space="0" w:color="auto"/>
        </w:tblBorders>
        <w:tblLook w:val="04A0" w:firstRow="1" w:lastRow="0" w:firstColumn="1" w:lastColumn="0" w:noHBand="0" w:noVBand="1"/>
      </w:tblPr>
      <w:tblGrid>
        <w:gridCol w:w="2093"/>
        <w:gridCol w:w="7193"/>
      </w:tblGrid>
      <w:tr w:rsidR="00BD5B7F" w:rsidRPr="00FC42B0" w:rsidTr="000E5961">
        <w:trPr>
          <w:cantSplit/>
        </w:trPr>
        <w:tc>
          <w:tcPr>
            <w:tcW w:w="2093" w:type="dxa"/>
            <w:vMerge w:val="restart"/>
            <w:tcBorders>
              <w:top w:val="single" w:sz="12" w:space="0" w:color="auto"/>
              <w:left w:val="nil"/>
              <w:bottom w:val="single" w:sz="12" w:space="0" w:color="auto"/>
              <w:right w:val="nil"/>
            </w:tcBorders>
            <w:shd w:val="clear" w:color="auto" w:fill="4F81BD"/>
            <w:hideMark/>
          </w:tcPr>
          <w:p w:rsidR="00BD5B7F" w:rsidRPr="00865DA5" w:rsidRDefault="00BD5B7F" w:rsidP="000E5961">
            <w:pPr>
              <w:rPr>
                <w:rFonts w:ascii="Arial" w:eastAsia="Calibri" w:hAnsi="Arial" w:cs="Arial"/>
                <w:b/>
                <w:bCs/>
                <w:color w:val="FFFFFF"/>
                <w:sz w:val="22"/>
                <w:szCs w:val="22"/>
                <w:lang w:val="fr-FR"/>
              </w:rPr>
            </w:pPr>
            <w:r w:rsidRPr="00865DA5">
              <w:rPr>
                <w:rFonts w:ascii="Arial" w:eastAsia="Arial" w:hAnsi="Arial" w:cs="Arial"/>
                <w:b/>
                <w:bCs/>
                <w:color w:val="FFFFFF"/>
                <w:sz w:val="22"/>
                <w:szCs w:val="22"/>
                <w:bdr w:val="none" w:sz="0" w:space="0" w:color="auto" w:frame="1"/>
                <w:lang w:val="fr-FR"/>
              </w:rPr>
              <w:lastRenderedPageBreak/>
              <w:t xml:space="preserve">C. </w:t>
            </w:r>
            <w:r w:rsidRPr="00865DA5">
              <w:rPr>
                <w:rFonts w:ascii="Arial" w:eastAsia="Arial" w:hAnsi="Arial" w:cs="Arial"/>
                <w:b/>
                <w:bCs/>
                <w:color w:val="FFFFFF"/>
                <w:sz w:val="22"/>
                <w:szCs w:val="22"/>
                <w:bdr w:val="none" w:sz="0" w:space="0" w:color="auto" w:frame="1"/>
                <w:lang w:val="fr-FR"/>
              </w:rPr>
              <w:br/>
              <w:t>Réponse en matière de lutte contre la fraude (Niveau de préparation des organes chargés</w:t>
            </w:r>
            <w:r w:rsidRPr="00865DA5">
              <w:rPr>
                <w:rFonts w:ascii="Arial" w:eastAsia="Arial" w:hAnsi="Arial" w:cs="Arial"/>
                <w:color w:val="000000"/>
                <w:sz w:val="22"/>
                <w:szCs w:val="22"/>
                <w:bdr w:val="none" w:sz="0" w:space="0" w:color="auto" w:frame="1"/>
                <w:lang w:val="fr-FR"/>
              </w:rPr>
              <w:t xml:space="preserve"> </w:t>
            </w:r>
            <w:r w:rsidRPr="00865DA5">
              <w:rPr>
                <w:rFonts w:ascii="Arial" w:eastAsia="Arial" w:hAnsi="Arial" w:cs="Arial"/>
                <w:b/>
                <w:bCs/>
                <w:color w:val="FFFFFF"/>
                <w:sz w:val="22"/>
                <w:szCs w:val="22"/>
                <w:bdr w:val="none" w:sz="0" w:space="0" w:color="auto" w:frame="1"/>
                <w:lang w:val="fr-FR"/>
              </w:rPr>
              <w:t>de l’application des lois et de la lutte contre la fraude, et coordination des institutions nationales)</w:t>
            </w:r>
          </w:p>
        </w:tc>
        <w:tc>
          <w:tcPr>
            <w:tcW w:w="0" w:type="auto"/>
            <w:tcBorders>
              <w:top w:val="single" w:sz="12" w:space="0" w:color="auto"/>
              <w:left w:val="nil"/>
              <w:bottom w:val="dashed" w:sz="4" w:space="0" w:color="548DD4"/>
              <w:right w:val="nil"/>
            </w:tcBorders>
            <w:hideMark/>
          </w:tcPr>
          <w:p w:rsidR="00BD5B7F" w:rsidRPr="00865DA5" w:rsidRDefault="00BD5B7F" w:rsidP="000E5961">
            <w:pPr>
              <w:rPr>
                <w:rFonts w:ascii="Arial" w:eastAsia="Calibri" w:hAnsi="Arial" w:cs="Arial"/>
                <w:color w:val="000000"/>
                <w:sz w:val="22"/>
                <w:szCs w:val="22"/>
                <w:lang w:val="fr-FR"/>
              </w:rPr>
            </w:pPr>
            <w:r w:rsidRPr="00865DA5">
              <w:rPr>
                <w:rFonts w:ascii="Arial" w:eastAsia="Arial" w:hAnsi="Arial" w:cs="Arial"/>
                <w:b/>
                <w:bCs/>
                <w:color w:val="000000"/>
                <w:sz w:val="22"/>
                <w:szCs w:val="22"/>
                <w:bdr w:val="none" w:sz="0" w:space="0" w:color="auto" w:frame="1"/>
                <w:lang w:val="fr-FR"/>
              </w:rPr>
              <w:t>14. Plan d’action national pour la lutte contre l’IKB</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L’existence d’une stratégie nationale ou d’un plan d’action pour l’IKB</w:t>
            </w:r>
            <w:r w:rsidRPr="00865DA5">
              <w:rPr>
                <w:rFonts w:ascii="Arial" w:eastAsia="Arial" w:hAnsi="Arial" w:cs="Arial"/>
                <w:b/>
                <w:bCs/>
                <w:color w:val="000000"/>
                <w:sz w:val="22"/>
                <w:szCs w:val="22"/>
                <w:bdr w:val="none" w:sz="0" w:space="0" w:color="auto" w:frame="1"/>
                <w:lang w:val="fr-FR"/>
              </w:rPr>
              <w:t xml:space="preserve"> </w:t>
            </w:r>
          </w:p>
        </w:tc>
      </w:tr>
      <w:tr w:rsidR="00BD5B7F" w:rsidRPr="00FC42B0" w:rsidTr="000E5961">
        <w:trPr>
          <w:cantSplit/>
        </w:trPr>
        <w:tc>
          <w:tcPr>
            <w:tcW w:w="0" w:type="auto"/>
            <w:vMerge/>
            <w:tcBorders>
              <w:top w:val="single" w:sz="12" w:space="0" w:color="auto"/>
              <w:left w:val="nil"/>
              <w:bottom w:val="single" w:sz="12" w:space="0" w:color="auto"/>
              <w:right w:val="nil"/>
            </w:tcBorders>
            <w:vAlign w:val="center"/>
            <w:hideMark/>
          </w:tcPr>
          <w:p w:rsidR="00BD5B7F" w:rsidRPr="00865DA5" w:rsidRDefault="00BD5B7F" w:rsidP="000E5961">
            <w:pPr>
              <w:rPr>
                <w:rFonts w:ascii="Arial" w:eastAsia="Calibri" w:hAnsi="Arial" w:cs="Arial"/>
                <w:b/>
                <w:bCs/>
                <w:color w:val="FFFFFF"/>
                <w:sz w:val="22"/>
                <w:szCs w:val="22"/>
                <w:lang w:val="fr-FR"/>
              </w:rPr>
            </w:pPr>
          </w:p>
        </w:tc>
        <w:tc>
          <w:tcPr>
            <w:tcW w:w="0" w:type="auto"/>
            <w:tcBorders>
              <w:top w:val="dashed" w:sz="4" w:space="0" w:color="548DD4"/>
              <w:left w:val="dashed" w:sz="4" w:space="0" w:color="548DD4"/>
              <w:bottom w:val="dashed" w:sz="4" w:space="0" w:color="548DD4"/>
              <w:right w:val="dashed" w:sz="4" w:space="0" w:color="548DD4"/>
            </w:tcBorders>
            <w:shd w:val="clear" w:color="auto" w:fill="D8D8D8"/>
            <w:hideMark/>
          </w:tcPr>
          <w:p w:rsidR="00BD5B7F" w:rsidRPr="00865DA5" w:rsidRDefault="00BD5B7F" w:rsidP="000E5961">
            <w:pPr>
              <w:rPr>
                <w:rFonts w:ascii="Arial" w:eastAsia="Calibri" w:hAnsi="Arial" w:cs="Arial"/>
                <w:b/>
                <w:color w:val="000000"/>
                <w:sz w:val="22"/>
                <w:szCs w:val="22"/>
                <w:lang w:val="fr-FR"/>
              </w:rPr>
            </w:pPr>
            <w:r w:rsidRPr="00865DA5">
              <w:rPr>
                <w:rFonts w:ascii="Arial" w:eastAsia="Arial" w:hAnsi="Arial" w:cs="Arial"/>
                <w:b/>
                <w:bCs/>
                <w:color w:val="000000"/>
                <w:sz w:val="22"/>
                <w:szCs w:val="22"/>
                <w:bdr w:val="none" w:sz="0" w:space="0" w:color="auto" w:frame="1"/>
                <w:lang w:val="fr-FR"/>
              </w:rPr>
              <w:t xml:space="preserve">15. Priorité </w:t>
            </w:r>
            <w:r w:rsidRPr="00865DA5">
              <w:rPr>
                <w:rFonts w:ascii="Arial" w:eastAsia="Arial" w:hAnsi="Arial" w:cs="Arial"/>
                <w:b/>
                <w:color w:val="000000"/>
                <w:sz w:val="22"/>
                <w:szCs w:val="22"/>
                <w:bdr w:val="none" w:sz="0" w:space="0" w:color="auto" w:frame="1"/>
                <w:lang w:val="fr-FR"/>
              </w:rPr>
              <w:t xml:space="preserve">de l’IKB dans </w:t>
            </w:r>
            <w:r w:rsidRPr="00865DA5">
              <w:rPr>
                <w:rFonts w:ascii="Arial" w:eastAsia="Arial" w:hAnsi="Arial" w:cs="Arial"/>
                <w:b/>
                <w:bCs/>
                <w:color w:val="000000"/>
                <w:sz w:val="22"/>
                <w:szCs w:val="22"/>
                <w:bdr w:val="none" w:sz="0" w:space="0" w:color="auto" w:frame="1"/>
                <w:lang w:val="fr-FR"/>
              </w:rPr>
              <w:t>la lutte contre la fraude</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La reconnaissance de la lutte contre la criminalité liée aux espèces sauvages comme une priorité élevée au niveau national</w:t>
            </w:r>
            <w:r w:rsidRPr="00865DA5">
              <w:rPr>
                <w:rFonts w:ascii="Arial" w:eastAsia="Arial" w:hAnsi="Arial" w:cs="Arial"/>
                <w:b/>
                <w:bCs/>
                <w:color w:val="000000"/>
                <w:sz w:val="22"/>
                <w:szCs w:val="22"/>
                <w:bdr w:val="none" w:sz="0" w:space="0" w:color="auto" w:frame="1"/>
                <w:lang w:val="fr-FR"/>
              </w:rPr>
              <w:t xml:space="preserve"> </w:t>
            </w:r>
          </w:p>
        </w:tc>
      </w:tr>
      <w:tr w:rsidR="00BD5B7F" w:rsidRPr="00FC42B0" w:rsidTr="000E5961">
        <w:trPr>
          <w:cantSplit/>
        </w:trPr>
        <w:tc>
          <w:tcPr>
            <w:tcW w:w="0" w:type="auto"/>
            <w:vMerge/>
            <w:tcBorders>
              <w:top w:val="single" w:sz="12" w:space="0" w:color="auto"/>
              <w:left w:val="nil"/>
              <w:bottom w:val="single" w:sz="12" w:space="0" w:color="auto"/>
              <w:right w:val="nil"/>
            </w:tcBorders>
            <w:vAlign w:val="center"/>
            <w:hideMark/>
          </w:tcPr>
          <w:p w:rsidR="00BD5B7F" w:rsidRPr="00865DA5" w:rsidRDefault="00BD5B7F" w:rsidP="000E5961">
            <w:pPr>
              <w:rPr>
                <w:rFonts w:ascii="Arial" w:eastAsia="Calibri" w:hAnsi="Arial" w:cs="Arial"/>
                <w:b/>
                <w:bCs/>
                <w:color w:val="FFFFFF"/>
                <w:sz w:val="22"/>
                <w:szCs w:val="22"/>
                <w:lang w:val="fr-FR"/>
              </w:rPr>
            </w:pPr>
          </w:p>
        </w:tc>
        <w:tc>
          <w:tcPr>
            <w:tcW w:w="0" w:type="auto"/>
            <w:tcBorders>
              <w:top w:val="dashed" w:sz="4" w:space="0" w:color="548DD4"/>
              <w:left w:val="nil"/>
              <w:bottom w:val="nil"/>
              <w:right w:val="nil"/>
            </w:tcBorders>
            <w:hideMark/>
          </w:tcPr>
          <w:p w:rsidR="00BD5B7F" w:rsidRPr="00865DA5" w:rsidRDefault="00BD5B7F" w:rsidP="000E5961">
            <w:pPr>
              <w:rPr>
                <w:rFonts w:ascii="Arial" w:eastAsia="Calibri" w:hAnsi="Arial" w:cs="Arial"/>
                <w:b/>
                <w:color w:val="000000"/>
                <w:sz w:val="22"/>
                <w:szCs w:val="22"/>
                <w:lang w:val="fr-FR"/>
              </w:rPr>
            </w:pPr>
            <w:r w:rsidRPr="00865DA5">
              <w:rPr>
                <w:rFonts w:ascii="Arial" w:eastAsia="Calibri" w:hAnsi="Arial" w:cs="Arial"/>
                <w:b/>
                <w:color w:val="000000"/>
                <w:sz w:val="22"/>
                <w:szCs w:val="22"/>
                <w:bdr w:val="none" w:sz="0" w:space="0" w:color="auto" w:frame="1"/>
                <w:lang w:val="fr-FR"/>
              </w:rPr>
              <w:t>16</w:t>
            </w:r>
            <w:r w:rsidRPr="00865DA5">
              <w:rPr>
                <w:rFonts w:ascii="Arial" w:eastAsia="Arial" w:hAnsi="Arial" w:cs="Arial"/>
                <w:b/>
                <w:bCs/>
                <w:color w:val="000000"/>
                <w:sz w:val="22"/>
                <w:szCs w:val="22"/>
                <w:bdr w:val="none" w:sz="0" w:space="0" w:color="auto" w:frame="1"/>
                <w:lang w:val="fr-FR"/>
              </w:rPr>
              <w:t>. Parties prenantes et élaboration des politiques</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Le niveau de participation des parties prenantes à l’élaboration des politiques relatives à l’IKB</w:t>
            </w:r>
            <w:r w:rsidRPr="00865DA5">
              <w:rPr>
                <w:rFonts w:ascii="Arial" w:eastAsia="Arial" w:hAnsi="Arial" w:cs="Arial"/>
                <w:b/>
                <w:bCs/>
                <w:color w:val="000000"/>
                <w:sz w:val="22"/>
                <w:szCs w:val="22"/>
                <w:bdr w:val="none" w:sz="0" w:space="0" w:color="auto" w:frame="1"/>
                <w:lang w:val="fr-FR"/>
              </w:rPr>
              <w:t xml:space="preserve"> </w:t>
            </w:r>
          </w:p>
        </w:tc>
      </w:tr>
      <w:tr w:rsidR="00BD5B7F" w:rsidRPr="00FC42B0" w:rsidTr="000E5961">
        <w:trPr>
          <w:cantSplit/>
        </w:trPr>
        <w:tc>
          <w:tcPr>
            <w:tcW w:w="0" w:type="auto"/>
            <w:vMerge/>
            <w:tcBorders>
              <w:top w:val="single" w:sz="12" w:space="0" w:color="auto"/>
              <w:left w:val="nil"/>
              <w:bottom w:val="single" w:sz="12" w:space="0" w:color="auto"/>
              <w:right w:val="nil"/>
            </w:tcBorders>
            <w:vAlign w:val="center"/>
            <w:hideMark/>
          </w:tcPr>
          <w:p w:rsidR="00BD5B7F" w:rsidRPr="00865DA5" w:rsidRDefault="00BD5B7F" w:rsidP="000E5961">
            <w:pPr>
              <w:rPr>
                <w:rFonts w:ascii="Arial" w:eastAsia="Calibri" w:hAnsi="Arial" w:cs="Arial"/>
                <w:b/>
                <w:bCs/>
                <w:color w:val="FFFFFF"/>
                <w:sz w:val="22"/>
                <w:szCs w:val="22"/>
                <w:lang w:val="fr-FR"/>
              </w:rPr>
            </w:pPr>
          </w:p>
        </w:tc>
        <w:tc>
          <w:tcPr>
            <w:tcW w:w="0" w:type="auto"/>
            <w:tcBorders>
              <w:top w:val="nil"/>
              <w:left w:val="nil"/>
              <w:bottom w:val="nil"/>
              <w:right w:val="nil"/>
            </w:tcBorders>
            <w:shd w:val="clear" w:color="auto" w:fill="D8D8D8"/>
            <w:hideMark/>
          </w:tcPr>
          <w:p w:rsidR="00BD5B7F" w:rsidRPr="00865DA5" w:rsidRDefault="00BD5B7F" w:rsidP="000E5961">
            <w:pPr>
              <w:rPr>
                <w:rFonts w:ascii="Arial" w:eastAsia="Calibri" w:hAnsi="Arial" w:cs="Arial"/>
                <w:b/>
                <w:color w:val="000000"/>
                <w:sz w:val="22"/>
                <w:szCs w:val="22"/>
                <w:lang w:val="fr-FR"/>
              </w:rPr>
            </w:pPr>
            <w:r w:rsidRPr="00865DA5">
              <w:rPr>
                <w:rFonts w:ascii="Arial" w:eastAsia="Arial" w:hAnsi="Arial" w:cs="Arial"/>
                <w:b/>
                <w:bCs/>
                <w:color w:val="000000"/>
                <w:sz w:val="22"/>
                <w:szCs w:val="22"/>
                <w:bdr w:val="none" w:sz="0" w:space="0" w:color="auto" w:frame="1"/>
                <w:lang w:val="fr-FR"/>
              </w:rPr>
              <w:t>17. Personnel et recrutement</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Le niveau des ressources humaines dans les agences nationales de lutte contre la fraude et d’application des lois pour combattre la criminalité liée aux espèces sauvages</w:t>
            </w:r>
          </w:p>
        </w:tc>
      </w:tr>
      <w:tr w:rsidR="00BD5B7F" w:rsidRPr="00FC42B0" w:rsidTr="000E5961">
        <w:trPr>
          <w:cantSplit/>
        </w:trPr>
        <w:tc>
          <w:tcPr>
            <w:tcW w:w="0" w:type="auto"/>
            <w:vMerge/>
            <w:tcBorders>
              <w:top w:val="single" w:sz="12" w:space="0" w:color="auto"/>
              <w:left w:val="nil"/>
              <w:bottom w:val="single" w:sz="12" w:space="0" w:color="auto"/>
              <w:right w:val="nil"/>
            </w:tcBorders>
            <w:vAlign w:val="center"/>
            <w:hideMark/>
          </w:tcPr>
          <w:p w:rsidR="00BD5B7F" w:rsidRPr="00865DA5" w:rsidRDefault="00BD5B7F" w:rsidP="000E5961">
            <w:pPr>
              <w:rPr>
                <w:rFonts w:ascii="Arial" w:eastAsia="Calibri" w:hAnsi="Arial" w:cs="Arial"/>
                <w:b/>
                <w:bCs/>
                <w:color w:val="FFFFFF"/>
                <w:sz w:val="22"/>
                <w:szCs w:val="22"/>
                <w:lang w:val="fr-FR"/>
              </w:rPr>
            </w:pPr>
          </w:p>
        </w:tc>
        <w:tc>
          <w:tcPr>
            <w:tcW w:w="0" w:type="auto"/>
            <w:tcBorders>
              <w:top w:val="nil"/>
              <w:left w:val="nil"/>
              <w:bottom w:val="nil"/>
              <w:right w:val="nil"/>
            </w:tcBorders>
            <w:hideMark/>
          </w:tcPr>
          <w:p w:rsidR="00BD5B7F" w:rsidRPr="00865DA5" w:rsidRDefault="00BD5B7F" w:rsidP="000E5961">
            <w:pPr>
              <w:rPr>
                <w:rFonts w:ascii="Arial" w:eastAsia="Calibri" w:hAnsi="Arial" w:cs="Arial"/>
                <w:color w:val="000000"/>
                <w:sz w:val="22"/>
                <w:szCs w:val="22"/>
                <w:lang w:val="fr-FR"/>
              </w:rPr>
            </w:pPr>
            <w:r w:rsidRPr="00865DA5">
              <w:rPr>
                <w:rFonts w:ascii="Arial" w:eastAsia="Arial" w:hAnsi="Arial" w:cs="Arial"/>
                <w:b/>
                <w:bCs/>
                <w:color w:val="000000"/>
                <w:sz w:val="22"/>
                <w:szCs w:val="22"/>
                <w:bdr w:val="none" w:sz="0" w:space="0" w:color="auto" w:frame="1"/>
                <w:lang w:val="fr-FR"/>
              </w:rPr>
              <w:t xml:space="preserve">18. Formation spécifique </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Le pourcentage d’agents chargés de la lutte contre la fraude et de l’application des lois formés chaque année sur les questions relatives à l’IKB</w:t>
            </w:r>
          </w:p>
        </w:tc>
      </w:tr>
      <w:tr w:rsidR="00BD5B7F" w:rsidRPr="00FC42B0" w:rsidTr="000E5961">
        <w:trPr>
          <w:cantSplit/>
        </w:trPr>
        <w:tc>
          <w:tcPr>
            <w:tcW w:w="0" w:type="auto"/>
            <w:vMerge/>
            <w:tcBorders>
              <w:top w:val="single" w:sz="12" w:space="0" w:color="auto"/>
              <w:left w:val="nil"/>
              <w:bottom w:val="single" w:sz="12" w:space="0" w:color="auto"/>
              <w:right w:val="nil"/>
            </w:tcBorders>
            <w:vAlign w:val="center"/>
            <w:hideMark/>
          </w:tcPr>
          <w:p w:rsidR="00BD5B7F" w:rsidRPr="00865DA5" w:rsidRDefault="00BD5B7F" w:rsidP="000E5961">
            <w:pPr>
              <w:rPr>
                <w:rFonts w:ascii="Arial" w:eastAsia="Calibri" w:hAnsi="Arial" w:cs="Arial"/>
                <w:b/>
                <w:bCs/>
                <w:color w:val="FFFFFF"/>
                <w:sz w:val="22"/>
                <w:szCs w:val="22"/>
                <w:lang w:val="fr-FR"/>
              </w:rPr>
            </w:pPr>
          </w:p>
        </w:tc>
        <w:tc>
          <w:tcPr>
            <w:tcW w:w="0" w:type="auto"/>
            <w:tcBorders>
              <w:top w:val="nil"/>
              <w:left w:val="nil"/>
              <w:bottom w:val="single" w:sz="12" w:space="0" w:color="auto"/>
              <w:right w:val="nil"/>
            </w:tcBorders>
            <w:shd w:val="clear" w:color="auto" w:fill="D8D8D8"/>
            <w:hideMark/>
          </w:tcPr>
          <w:p w:rsidR="00BD5B7F" w:rsidRPr="00865DA5" w:rsidRDefault="00BD5B7F" w:rsidP="000E5961">
            <w:pPr>
              <w:rPr>
                <w:rFonts w:ascii="Arial" w:eastAsia="Calibri" w:hAnsi="Arial" w:cs="Arial"/>
                <w:b/>
                <w:iCs/>
                <w:color w:val="000000"/>
                <w:sz w:val="22"/>
                <w:szCs w:val="22"/>
                <w:lang w:val="fr-FR"/>
              </w:rPr>
            </w:pPr>
            <w:r w:rsidRPr="00865DA5">
              <w:rPr>
                <w:rFonts w:ascii="Arial" w:eastAsia="Arial" w:hAnsi="Arial" w:cs="Arial"/>
                <w:b/>
                <w:bCs/>
                <w:color w:val="000000"/>
                <w:sz w:val="22"/>
                <w:szCs w:val="22"/>
                <w:bdr w:val="none" w:sz="0" w:space="0" w:color="auto" w:frame="1"/>
                <w:lang w:val="fr-FR"/>
              </w:rPr>
              <w:t>19. Effort de lutte contre l’IKB sur le terrain</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L’intensité des efforts déployés par les agences de lutte contre la fraude et d’application des lois pour lutter contre l’IKB</w:t>
            </w:r>
          </w:p>
        </w:tc>
      </w:tr>
      <w:tr w:rsidR="00BD5B7F" w:rsidRPr="00FC42B0" w:rsidTr="000E5961">
        <w:trPr>
          <w:cantSplit/>
        </w:trPr>
        <w:tc>
          <w:tcPr>
            <w:tcW w:w="2093" w:type="dxa"/>
            <w:vMerge w:val="restart"/>
            <w:tcBorders>
              <w:top w:val="single" w:sz="12" w:space="0" w:color="auto"/>
              <w:left w:val="nil"/>
              <w:bottom w:val="single" w:sz="18" w:space="0" w:color="auto"/>
              <w:right w:val="nil"/>
            </w:tcBorders>
            <w:shd w:val="clear" w:color="auto" w:fill="4F81BD"/>
            <w:hideMark/>
          </w:tcPr>
          <w:p w:rsidR="00BD5B7F" w:rsidRPr="00865DA5" w:rsidRDefault="00BD5B7F" w:rsidP="000E5961">
            <w:pPr>
              <w:rPr>
                <w:rFonts w:ascii="Arial" w:eastAsia="Calibri" w:hAnsi="Arial" w:cs="Arial"/>
                <w:b/>
                <w:bCs/>
                <w:color w:val="FFFFFF"/>
                <w:sz w:val="22"/>
                <w:szCs w:val="22"/>
                <w:lang w:val="fr-FR"/>
              </w:rPr>
            </w:pPr>
            <w:r w:rsidRPr="00865DA5">
              <w:rPr>
                <w:rFonts w:ascii="Arial" w:eastAsia="Arial" w:hAnsi="Arial" w:cs="Arial"/>
                <w:b/>
                <w:bCs/>
                <w:color w:val="FFFFFF"/>
                <w:sz w:val="22"/>
                <w:szCs w:val="22"/>
                <w:bdr w:val="none" w:sz="0" w:space="0" w:color="auto" w:frame="1"/>
                <w:lang w:val="fr-FR"/>
              </w:rPr>
              <w:t>D.</w:t>
            </w:r>
            <w:r w:rsidRPr="00865DA5">
              <w:rPr>
                <w:rFonts w:ascii="Arial" w:eastAsia="Arial" w:hAnsi="Arial" w:cs="Arial"/>
                <w:b/>
                <w:bCs/>
                <w:color w:val="FFFFFF"/>
                <w:sz w:val="22"/>
                <w:szCs w:val="22"/>
                <w:bdr w:val="none" w:sz="0" w:space="0" w:color="auto" w:frame="1"/>
                <w:lang w:val="fr-FR"/>
              </w:rPr>
              <w:br/>
              <w:t xml:space="preserve"> Poursuites et condamnations (Efficacité des procédures judiciaires)</w:t>
            </w:r>
          </w:p>
        </w:tc>
        <w:tc>
          <w:tcPr>
            <w:tcW w:w="0" w:type="auto"/>
            <w:tcBorders>
              <w:top w:val="single" w:sz="12" w:space="0" w:color="auto"/>
              <w:left w:val="nil"/>
              <w:bottom w:val="nil"/>
              <w:right w:val="nil"/>
            </w:tcBorders>
            <w:hideMark/>
          </w:tcPr>
          <w:p w:rsidR="00BD5B7F" w:rsidRPr="00865DA5" w:rsidRDefault="00BD5B7F" w:rsidP="000E5961">
            <w:pPr>
              <w:rPr>
                <w:rFonts w:ascii="Arial" w:eastAsia="Calibri" w:hAnsi="Arial" w:cs="Arial"/>
                <w:b/>
                <w:color w:val="000000"/>
                <w:sz w:val="22"/>
                <w:szCs w:val="22"/>
                <w:lang w:val="fr-FR"/>
              </w:rPr>
            </w:pPr>
            <w:r w:rsidRPr="00865DA5">
              <w:rPr>
                <w:rFonts w:ascii="Arial" w:eastAsia="Arial" w:hAnsi="Arial" w:cs="Arial"/>
                <w:b/>
                <w:bCs/>
                <w:color w:val="000000"/>
                <w:sz w:val="22"/>
                <w:szCs w:val="22"/>
                <w:bdr w:val="none" w:sz="0" w:space="0" w:color="auto" w:frame="1"/>
                <w:lang w:val="fr-FR"/>
              </w:rPr>
              <w:t>20. Qualité des procédures judiciaires</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L’efficacité et l’efficience de l’administration de sanctions pour les infractions relatives à l’IKB</w:t>
            </w:r>
          </w:p>
        </w:tc>
      </w:tr>
      <w:tr w:rsidR="00BD5B7F" w:rsidRPr="00FC42B0" w:rsidTr="000E5961">
        <w:trPr>
          <w:cantSplit/>
        </w:trPr>
        <w:tc>
          <w:tcPr>
            <w:tcW w:w="0" w:type="auto"/>
            <w:vMerge/>
            <w:tcBorders>
              <w:top w:val="single" w:sz="12" w:space="0" w:color="auto"/>
              <w:left w:val="nil"/>
              <w:bottom w:val="single" w:sz="18" w:space="0" w:color="auto"/>
              <w:right w:val="nil"/>
            </w:tcBorders>
            <w:vAlign w:val="center"/>
            <w:hideMark/>
          </w:tcPr>
          <w:p w:rsidR="00BD5B7F" w:rsidRPr="00865DA5" w:rsidRDefault="00BD5B7F" w:rsidP="000E5961">
            <w:pPr>
              <w:rPr>
                <w:rFonts w:ascii="Arial" w:eastAsia="Calibri" w:hAnsi="Arial" w:cs="Arial"/>
                <w:b/>
                <w:bCs/>
                <w:color w:val="FFFFFF"/>
                <w:sz w:val="22"/>
                <w:szCs w:val="22"/>
                <w:lang w:val="fr-FR"/>
              </w:rPr>
            </w:pPr>
          </w:p>
        </w:tc>
        <w:tc>
          <w:tcPr>
            <w:tcW w:w="0" w:type="auto"/>
            <w:tcBorders>
              <w:top w:val="nil"/>
              <w:left w:val="nil"/>
              <w:bottom w:val="nil"/>
              <w:right w:val="nil"/>
            </w:tcBorders>
            <w:shd w:val="clear" w:color="auto" w:fill="D8D8D8"/>
            <w:hideMark/>
          </w:tcPr>
          <w:p w:rsidR="00BD5B7F" w:rsidRPr="00865DA5" w:rsidRDefault="00BD5B7F" w:rsidP="000E5961">
            <w:pPr>
              <w:rPr>
                <w:rFonts w:ascii="Arial" w:eastAsia="Calibri" w:hAnsi="Arial" w:cs="Arial"/>
                <w:b/>
                <w:iCs/>
                <w:color w:val="000000"/>
                <w:sz w:val="22"/>
                <w:szCs w:val="22"/>
                <w:lang w:val="fr-FR"/>
              </w:rPr>
            </w:pPr>
            <w:r w:rsidRPr="00865DA5">
              <w:rPr>
                <w:rFonts w:ascii="Arial" w:eastAsia="Arial" w:hAnsi="Arial" w:cs="Arial"/>
                <w:b/>
                <w:bCs/>
                <w:color w:val="000000"/>
                <w:sz w:val="22"/>
                <w:szCs w:val="22"/>
                <w:bdr w:val="none" w:sz="0" w:space="0" w:color="auto" w:frame="1"/>
                <w:lang w:val="fr-FR"/>
              </w:rPr>
              <w:t>21. Lignes directrices sur les condamnations</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L’existence de lignes directrices nationales pour condamner les contrevenants impliqués dans la criminalité liée aux espèces sauvages</w:t>
            </w:r>
          </w:p>
        </w:tc>
      </w:tr>
      <w:tr w:rsidR="00BD5B7F" w:rsidRPr="00FC42B0" w:rsidTr="000E5961">
        <w:trPr>
          <w:cantSplit/>
        </w:trPr>
        <w:tc>
          <w:tcPr>
            <w:tcW w:w="0" w:type="auto"/>
            <w:vMerge/>
            <w:tcBorders>
              <w:top w:val="single" w:sz="12" w:space="0" w:color="auto"/>
              <w:left w:val="nil"/>
              <w:bottom w:val="single" w:sz="18" w:space="0" w:color="auto"/>
              <w:right w:val="nil"/>
            </w:tcBorders>
            <w:vAlign w:val="center"/>
            <w:hideMark/>
          </w:tcPr>
          <w:p w:rsidR="00BD5B7F" w:rsidRPr="00865DA5" w:rsidRDefault="00BD5B7F" w:rsidP="000E5961">
            <w:pPr>
              <w:rPr>
                <w:rFonts w:ascii="Arial" w:eastAsia="Calibri" w:hAnsi="Arial" w:cs="Arial"/>
                <w:b/>
                <w:bCs/>
                <w:color w:val="FFFFFF"/>
                <w:sz w:val="22"/>
                <w:szCs w:val="22"/>
                <w:lang w:val="fr-FR"/>
              </w:rPr>
            </w:pPr>
          </w:p>
        </w:tc>
        <w:tc>
          <w:tcPr>
            <w:tcW w:w="0" w:type="auto"/>
            <w:tcBorders>
              <w:top w:val="nil"/>
              <w:left w:val="nil"/>
              <w:bottom w:val="nil"/>
              <w:right w:val="nil"/>
            </w:tcBorders>
            <w:hideMark/>
          </w:tcPr>
          <w:p w:rsidR="00BD5B7F" w:rsidRPr="00865DA5" w:rsidRDefault="00BD5B7F" w:rsidP="000E5961">
            <w:pPr>
              <w:rPr>
                <w:rFonts w:ascii="Arial" w:eastAsia="Calibri" w:hAnsi="Arial" w:cs="Arial"/>
                <w:b/>
                <w:color w:val="000000"/>
                <w:sz w:val="22"/>
                <w:szCs w:val="22"/>
                <w:lang w:val="fr-FR"/>
              </w:rPr>
            </w:pPr>
            <w:r w:rsidRPr="00865DA5">
              <w:rPr>
                <w:rFonts w:ascii="Arial" w:eastAsia="Arial" w:hAnsi="Arial" w:cs="Arial"/>
                <w:b/>
                <w:bCs/>
                <w:color w:val="000000"/>
                <w:sz w:val="22"/>
                <w:szCs w:val="22"/>
                <w:bdr w:val="none" w:sz="0" w:space="0" w:color="auto" w:frame="1"/>
                <w:lang w:val="fr-FR"/>
              </w:rPr>
              <w:t>22. Prise de conscience au sein du système judiciaire</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L’ampleur de la prise de conscience des procureurs et des juges vis-à-vis de l’importance de la criminalité liée aux espèces sauvages, et la pertinence des jugements rendus</w:t>
            </w:r>
          </w:p>
        </w:tc>
      </w:tr>
      <w:tr w:rsidR="00BD5B7F" w:rsidRPr="00FC42B0" w:rsidTr="000E5961">
        <w:trPr>
          <w:cantSplit/>
        </w:trPr>
        <w:tc>
          <w:tcPr>
            <w:tcW w:w="0" w:type="auto"/>
            <w:vMerge/>
            <w:tcBorders>
              <w:top w:val="single" w:sz="12" w:space="0" w:color="auto"/>
              <w:left w:val="nil"/>
              <w:bottom w:val="single" w:sz="18" w:space="0" w:color="auto"/>
              <w:right w:val="nil"/>
            </w:tcBorders>
            <w:vAlign w:val="center"/>
            <w:hideMark/>
          </w:tcPr>
          <w:p w:rsidR="00BD5B7F" w:rsidRPr="00865DA5" w:rsidRDefault="00BD5B7F" w:rsidP="000E5961">
            <w:pPr>
              <w:rPr>
                <w:rFonts w:ascii="Arial" w:eastAsia="Calibri" w:hAnsi="Arial" w:cs="Arial"/>
                <w:b/>
                <w:bCs/>
                <w:color w:val="FFFFFF"/>
                <w:sz w:val="22"/>
                <w:szCs w:val="22"/>
                <w:lang w:val="fr-FR"/>
              </w:rPr>
            </w:pPr>
          </w:p>
        </w:tc>
        <w:tc>
          <w:tcPr>
            <w:tcW w:w="0" w:type="auto"/>
            <w:tcBorders>
              <w:top w:val="nil"/>
              <w:left w:val="nil"/>
              <w:bottom w:val="single" w:sz="18" w:space="0" w:color="auto"/>
              <w:right w:val="nil"/>
            </w:tcBorders>
            <w:shd w:val="clear" w:color="auto" w:fill="D8D8D8"/>
            <w:hideMark/>
          </w:tcPr>
          <w:p w:rsidR="00BD5B7F" w:rsidRPr="00865DA5" w:rsidRDefault="00BD5B7F" w:rsidP="000E5961">
            <w:pPr>
              <w:rPr>
                <w:rFonts w:ascii="Arial" w:eastAsia="Calibri" w:hAnsi="Arial" w:cs="Arial"/>
                <w:b/>
                <w:iCs/>
                <w:color w:val="000000"/>
                <w:sz w:val="22"/>
                <w:szCs w:val="22"/>
                <w:lang w:val="fr-FR"/>
              </w:rPr>
            </w:pPr>
            <w:r w:rsidRPr="00865DA5">
              <w:rPr>
                <w:rFonts w:ascii="Arial" w:eastAsia="Arial" w:hAnsi="Arial" w:cs="Arial"/>
                <w:b/>
                <w:bCs/>
                <w:color w:val="000000"/>
                <w:sz w:val="22"/>
                <w:szCs w:val="22"/>
                <w:bdr w:val="none" w:sz="0" w:space="0" w:color="auto" w:frame="1"/>
                <w:lang w:val="fr-FR"/>
              </w:rPr>
              <w:t>23. Formation au sein du système judiciaire</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Le pourcentage de procureurs et juges formés aux aspects relatifs à l’IKB</w:t>
            </w:r>
          </w:p>
        </w:tc>
      </w:tr>
      <w:tr w:rsidR="00BD5B7F" w:rsidRPr="00FC42B0" w:rsidTr="000E5961">
        <w:trPr>
          <w:cantSplit/>
        </w:trPr>
        <w:tc>
          <w:tcPr>
            <w:tcW w:w="2093" w:type="dxa"/>
            <w:vMerge w:val="restart"/>
            <w:tcBorders>
              <w:top w:val="single" w:sz="18" w:space="0" w:color="auto"/>
              <w:left w:val="nil"/>
              <w:bottom w:val="single" w:sz="18" w:space="0" w:color="auto"/>
              <w:right w:val="nil"/>
            </w:tcBorders>
            <w:shd w:val="clear" w:color="auto" w:fill="4F81BD"/>
            <w:hideMark/>
          </w:tcPr>
          <w:p w:rsidR="00BD5B7F" w:rsidRPr="00865DA5" w:rsidRDefault="00BD5B7F" w:rsidP="000E5961">
            <w:pPr>
              <w:rPr>
                <w:rFonts w:ascii="Arial" w:eastAsia="Arial" w:hAnsi="Arial" w:cs="Arial"/>
                <w:b/>
                <w:bCs/>
                <w:color w:val="FFFFFF"/>
                <w:sz w:val="22"/>
                <w:szCs w:val="22"/>
                <w:bdr w:val="none" w:sz="0" w:space="0" w:color="auto" w:frame="1"/>
                <w:lang w:val="fr-FR"/>
              </w:rPr>
            </w:pPr>
            <w:r w:rsidRPr="00865DA5">
              <w:rPr>
                <w:rFonts w:ascii="Arial" w:eastAsia="Arial" w:hAnsi="Arial" w:cs="Arial"/>
                <w:b/>
                <w:bCs/>
                <w:color w:val="FFFFFF"/>
                <w:sz w:val="22"/>
                <w:szCs w:val="22"/>
                <w:bdr w:val="none" w:sz="0" w:space="0" w:color="auto" w:frame="1"/>
                <w:lang w:val="fr-FR"/>
              </w:rPr>
              <w:t xml:space="preserve">E. </w:t>
            </w:r>
          </w:p>
          <w:p w:rsidR="00BD5B7F" w:rsidRPr="00865DA5" w:rsidRDefault="00BD5B7F" w:rsidP="000E5961">
            <w:pPr>
              <w:rPr>
                <w:rFonts w:ascii="Arial" w:eastAsia="Calibri" w:hAnsi="Arial" w:cs="Arial"/>
                <w:b/>
                <w:bCs/>
                <w:color w:val="FFFFFF"/>
                <w:sz w:val="22"/>
                <w:szCs w:val="22"/>
                <w:lang w:val="fr-FR"/>
              </w:rPr>
            </w:pPr>
            <w:r w:rsidRPr="00865DA5">
              <w:rPr>
                <w:rFonts w:ascii="Arial" w:eastAsia="Arial" w:hAnsi="Arial" w:cs="Arial"/>
                <w:b/>
                <w:bCs/>
                <w:color w:val="FFFFFF"/>
                <w:sz w:val="22"/>
                <w:szCs w:val="22"/>
                <w:bdr w:val="none" w:sz="0" w:space="0" w:color="auto" w:frame="1"/>
                <w:lang w:val="fr-FR"/>
              </w:rPr>
              <w:t xml:space="preserve">Prévention </w:t>
            </w:r>
            <w:r w:rsidRPr="00865DA5">
              <w:rPr>
                <w:rFonts w:ascii="Arial" w:eastAsia="Arial" w:hAnsi="Arial" w:cs="Arial"/>
                <w:b/>
                <w:bCs/>
                <w:color w:val="FFFFFF"/>
                <w:sz w:val="22"/>
                <w:szCs w:val="22"/>
                <w:bdr w:val="none" w:sz="0" w:space="0" w:color="auto" w:frame="1"/>
                <w:lang w:val="fr-FR"/>
              </w:rPr>
              <w:br/>
              <w:t>(Autres instruments utilisés pour lutter contre l’IKB)</w:t>
            </w:r>
          </w:p>
        </w:tc>
        <w:tc>
          <w:tcPr>
            <w:tcW w:w="0" w:type="auto"/>
            <w:tcBorders>
              <w:top w:val="single" w:sz="18" w:space="0" w:color="auto"/>
              <w:left w:val="nil"/>
              <w:bottom w:val="nil"/>
              <w:right w:val="nil"/>
            </w:tcBorders>
            <w:hideMark/>
          </w:tcPr>
          <w:p w:rsidR="00BD5B7F" w:rsidRPr="00865DA5" w:rsidRDefault="00BD5B7F" w:rsidP="000E5961">
            <w:pPr>
              <w:rPr>
                <w:rFonts w:ascii="Arial" w:eastAsia="Calibri" w:hAnsi="Arial" w:cs="Arial"/>
                <w:b/>
                <w:color w:val="000000"/>
                <w:sz w:val="22"/>
                <w:szCs w:val="22"/>
                <w:lang w:val="fr-FR"/>
              </w:rPr>
            </w:pPr>
            <w:r w:rsidRPr="00865DA5">
              <w:rPr>
                <w:rFonts w:ascii="Arial" w:eastAsia="Arial" w:hAnsi="Arial" w:cs="Arial"/>
                <w:b/>
                <w:bCs/>
                <w:color w:val="000000"/>
                <w:sz w:val="22"/>
                <w:szCs w:val="22"/>
                <w:bdr w:val="none" w:sz="0" w:space="0" w:color="auto" w:frame="1"/>
                <w:lang w:val="fr-FR"/>
              </w:rPr>
              <w:t>24. Coopération internationale</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La mesure dans laquelle les institutions nationales profitent des initiatives internationales et des groupes de travail sur l’IKB</w:t>
            </w:r>
          </w:p>
        </w:tc>
      </w:tr>
      <w:tr w:rsidR="00BD5B7F" w:rsidRPr="00FC42B0" w:rsidTr="000E5961">
        <w:trPr>
          <w:cantSplit/>
        </w:trPr>
        <w:tc>
          <w:tcPr>
            <w:tcW w:w="0" w:type="auto"/>
            <w:vMerge/>
            <w:tcBorders>
              <w:top w:val="single" w:sz="18" w:space="0" w:color="auto"/>
              <w:left w:val="nil"/>
              <w:bottom w:val="single" w:sz="18" w:space="0" w:color="auto"/>
              <w:right w:val="nil"/>
            </w:tcBorders>
            <w:vAlign w:val="center"/>
            <w:hideMark/>
          </w:tcPr>
          <w:p w:rsidR="00BD5B7F" w:rsidRPr="00865DA5" w:rsidRDefault="00BD5B7F" w:rsidP="000E5961">
            <w:pPr>
              <w:rPr>
                <w:rFonts w:ascii="Arial" w:eastAsia="Calibri" w:hAnsi="Arial" w:cs="Arial"/>
                <w:b/>
                <w:bCs/>
                <w:color w:val="FFFFFF"/>
                <w:sz w:val="22"/>
                <w:szCs w:val="22"/>
                <w:lang w:val="fr-FR"/>
              </w:rPr>
            </w:pPr>
          </w:p>
        </w:tc>
        <w:tc>
          <w:tcPr>
            <w:tcW w:w="0" w:type="auto"/>
            <w:tcBorders>
              <w:top w:val="nil"/>
              <w:left w:val="nil"/>
              <w:bottom w:val="nil"/>
              <w:right w:val="nil"/>
            </w:tcBorders>
            <w:shd w:val="clear" w:color="auto" w:fill="D8D8D8"/>
            <w:hideMark/>
          </w:tcPr>
          <w:p w:rsidR="00BD5B7F" w:rsidRPr="00865DA5" w:rsidRDefault="00BD5B7F" w:rsidP="000E5961">
            <w:pPr>
              <w:rPr>
                <w:rFonts w:ascii="Arial" w:eastAsia="Arial" w:hAnsi="Arial" w:cs="Arial"/>
                <w:color w:val="000000"/>
                <w:sz w:val="22"/>
                <w:szCs w:val="22"/>
                <w:bdr w:val="none" w:sz="0" w:space="0" w:color="auto" w:frame="1"/>
                <w:lang w:val="fr-FR"/>
              </w:rPr>
            </w:pPr>
            <w:r w:rsidRPr="00865DA5">
              <w:rPr>
                <w:rFonts w:ascii="Arial" w:eastAsia="Arial" w:hAnsi="Arial" w:cs="Arial"/>
                <w:b/>
                <w:bCs/>
                <w:color w:val="000000"/>
                <w:sz w:val="22"/>
                <w:szCs w:val="22"/>
                <w:bdr w:val="none" w:sz="0" w:space="0" w:color="auto" w:frame="1"/>
                <w:lang w:val="fr-FR"/>
              </w:rPr>
              <w:t>25. Moteurs de la criminalité liée aux espèces sauvages</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Le niveau de connaissance et de compréhension des moteurs de l’IKB dans le pays</w:t>
            </w:r>
          </w:p>
        </w:tc>
      </w:tr>
      <w:tr w:rsidR="00BD5B7F" w:rsidRPr="00FC42B0" w:rsidTr="000E5961">
        <w:trPr>
          <w:cantSplit/>
        </w:trPr>
        <w:tc>
          <w:tcPr>
            <w:tcW w:w="0" w:type="auto"/>
            <w:vMerge/>
            <w:tcBorders>
              <w:top w:val="single" w:sz="18" w:space="0" w:color="auto"/>
              <w:left w:val="nil"/>
              <w:bottom w:val="single" w:sz="18" w:space="0" w:color="auto"/>
              <w:right w:val="nil"/>
            </w:tcBorders>
            <w:vAlign w:val="center"/>
            <w:hideMark/>
          </w:tcPr>
          <w:p w:rsidR="00BD5B7F" w:rsidRPr="00865DA5" w:rsidRDefault="00BD5B7F" w:rsidP="000E5961">
            <w:pPr>
              <w:rPr>
                <w:rFonts w:ascii="Arial" w:eastAsia="Calibri" w:hAnsi="Arial" w:cs="Arial"/>
                <w:b/>
                <w:bCs/>
                <w:color w:val="FFFFFF"/>
                <w:sz w:val="22"/>
                <w:szCs w:val="22"/>
                <w:lang w:val="fr-FR"/>
              </w:rPr>
            </w:pPr>
          </w:p>
        </w:tc>
        <w:tc>
          <w:tcPr>
            <w:tcW w:w="0" w:type="auto"/>
            <w:tcBorders>
              <w:top w:val="nil"/>
              <w:left w:val="nil"/>
              <w:bottom w:val="nil"/>
              <w:right w:val="nil"/>
            </w:tcBorders>
            <w:hideMark/>
          </w:tcPr>
          <w:p w:rsidR="00BD5B7F" w:rsidRPr="00865DA5" w:rsidRDefault="00BD5B7F" w:rsidP="000E5961">
            <w:pPr>
              <w:rPr>
                <w:rFonts w:ascii="Arial" w:eastAsia="Calibri" w:hAnsi="Arial" w:cs="Arial"/>
                <w:b/>
                <w:color w:val="000000"/>
                <w:sz w:val="22"/>
                <w:szCs w:val="22"/>
                <w:lang w:val="fr-FR"/>
              </w:rPr>
            </w:pPr>
            <w:r w:rsidRPr="00865DA5">
              <w:rPr>
                <w:rFonts w:ascii="Arial" w:eastAsia="Arial" w:hAnsi="Arial" w:cs="Arial"/>
                <w:b/>
                <w:bCs/>
                <w:color w:val="000000"/>
                <w:sz w:val="22"/>
                <w:szCs w:val="22"/>
                <w:bdr w:val="none" w:sz="0" w:space="0" w:color="auto" w:frame="1"/>
                <w:lang w:val="fr-FR"/>
              </w:rPr>
              <w:t>26. Activités relatives à la demande</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Le niveau de mise en œuvre des activités permettant de traiter la demande en produits illégaux issus des espèces sauvages</w:t>
            </w:r>
          </w:p>
        </w:tc>
      </w:tr>
      <w:tr w:rsidR="00BD5B7F" w:rsidRPr="00FC42B0" w:rsidTr="000E5961">
        <w:trPr>
          <w:cantSplit/>
        </w:trPr>
        <w:tc>
          <w:tcPr>
            <w:tcW w:w="0" w:type="auto"/>
            <w:vMerge/>
            <w:tcBorders>
              <w:top w:val="single" w:sz="18" w:space="0" w:color="auto"/>
              <w:left w:val="nil"/>
              <w:bottom w:val="single" w:sz="18" w:space="0" w:color="auto"/>
              <w:right w:val="nil"/>
            </w:tcBorders>
            <w:vAlign w:val="center"/>
            <w:hideMark/>
          </w:tcPr>
          <w:p w:rsidR="00BD5B7F" w:rsidRPr="00865DA5" w:rsidRDefault="00BD5B7F" w:rsidP="000E5961">
            <w:pPr>
              <w:rPr>
                <w:rFonts w:ascii="Arial" w:eastAsia="Calibri" w:hAnsi="Arial" w:cs="Arial"/>
                <w:b/>
                <w:bCs/>
                <w:color w:val="FFFFFF"/>
                <w:sz w:val="22"/>
                <w:szCs w:val="22"/>
                <w:lang w:val="fr-FR"/>
              </w:rPr>
            </w:pPr>
          </w:p>
        </w:tc>
        <w:tc>
          <w:tcPr>
            <w:tcW w:w="0" w:type="auto"/>
            <w:tcBorders>
              <w:top w:val="nil"/>
              <w:left w:val="nil"/>
              <w:bottom w:val="nil"/>
              <w:right w:val="nil"/>
            </w:tcBorders>
            <w:shd w:val="clear" w:color="auto" w:fill="D8D8D8"/>
            <w:hideMark/>
          </w:tcPr>
          <w:p w:rsidR="00BD5B7F" w:rsidRPr="00865DA5" w:rsidRDefault="00BD5B7F" w:rsidP="000E5961">
            <w:pPr>
              <w:rPr>
                <w:rFonts w:ascii="Arial" w:eastAsia="Calibri" w:hAnsi="Arial" w:cs="Arial"/>
                <w:b/>
                <w:color w:val="000000"/>
                <w:sz w:val="22"/>
                <w:szCs w:val="22"/>
                <w:lang w:val="fr-FR"/>
              </w:rPr>
            </w:pPr>
            <w:r w:rsidRPr="00865DA5">
              <w:rPr>
                <w:rFonts w:ascii="Arial" w:eastAsia="Arial" w:hAnsi="Arial" w:cs="Arial"/>
                <w:b/>
                <w:bCs/>
                <w:color w:val="000000"/>
                <w:sz w:val="22"/>
                <w:szCs w:val="22"/>
                <w:bdr w:val="none" w:sz="0" w:space="0" w:color="auto" w:frame="1"/>
                <w:lang w:val="fr-FR"/>
              </w:rPr>
              <w:t>27. Communauté soumise aux réglementations</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La mesure dans laquelle du matériel et/ou des programmes de sensibilisation sont en place afin que la communauté soumise aux réglementations soit sensibilisée aux lois applicables en matière d’utilisation durable des oiseaux sauvages</w:t>
            </w:r>
          </w:p>
        </w:tc>
      </w:tr>
      <w:tr w:rsidR="00BD5B7F" w:rsidRPr="00FC42B0" w:rsidTr="000E5961">
        <w:trPr>
          <w:cantSplit/>
        </w:trPr>
        <w:tc>
          <w:tcPr>
            <w:tcW w:w="0" w:type="auto"/>
            <w:vMerge/>
            <w:tcBorders>
              <w:top w:val="single" w:sz="18" w:space="0" w:color="auto"/>
              <w:left w:val="nil"/>
              <w:bottom w:val="single" w:sz="18" w:space="0" w:color="auto"/>
              <w:right w:val="nil"/>
            </w:tcBorders>
            <w:vAlign w:val="center"/>
            <w:hideMark/>
          </w:tcPr>
          <w:p w:rsidR="00BD5B7F" w:rsidRPr="00865DA5" w:rsidRDefault="00BD5B7F" w:rsidP="000E5961">
            <w:pPr>
              <w:rPr>
                <w:rFonts w:ascii="Arial" w:eastAsia="Calibri" w:hAnsi="Arial" w:cs="Arial"/>
                <w:b/>
                <w:bCs/>
                <w:color w:val="FFFFFF"/>
                <w:sz w:val="22"/>
                <w:szCs w:val="22"/>
                <w:lang w:val="fr-FR"/>
              </w:rPr>
            </w:pPr>
          </w:p>
        </w:tc>
        <w:tc>
          <w:tcPr>
            <w:tcW w:w="0" w:type="auto"/>
            <w:tcBorders>
              <w:top w:val="nil"/>
              <w:left w:val="nil"/>
              <w:bottom w:val="single" w:sz="18" w:space="0" w:color="auto"/>
              <w:right w:val="nil"/>
            </w:tcBorders>
            <w:hideMark/>
          </w:tcPr>
          <w:p w:rsidR="00BD5B7F" w:rsidRPr="00865DA5" w:rsidRDefault="00BD5B7F" w:rsidP="000E5961">
            <w:pPr>
              <w:rPr>
                <w:rFonts w:ascii="Arial" w:eastAsia="Calibri" w:hAnsi="Arial" w:cs="Arial"/>
                <w:b/>
                <w:color w:val="000000"/>
                <w:sz w:val="22"/>
                <w:szCs w:val="22"/>
                <w:lang w:val="fr-FR"/>
              </w:rPr>
            </w:pPr>
            <w:r w:rsidRPr="00865DA5">
              <w:rPr>
                <w:rFonts w:ascii="Arial" w:eastAsia="Arial" w:hAnsi="Arial" w:cs="Arial"/>
                <w:b/>
                <w:bCs/>
                <w:color w:val="000000"/>
                <w:sz w:val="22"/>
                <w:szCs w:val="22"/>
                <w:bdr w:val="none" w:sz="0" w:space="0" w:color="auto" w:frame="1"/>
                <w:lang w:val="fr-FR"/>
              </w:rPr>
              <w:t>28. Actions de sensibilisation du public</w:t>
            </w:r>
            <w:r w:rsidRPr="00865DA5">
              <w:rPr>
                <w:rFonts w:ascii="Arial" w:eastAsia="Arial" w:hAnsi="Arial" w:cs="Arial"/>
                <w:b/>
                <w:bCs/>
                <w:color w:val="000000"/>
                <w:sz w:val="22"/>
                <w:szCs w:val="22"/>
                <w:bdr w:val="none" w:sz="0" w:space="0" w:color="auto" w:frame="1"/>
                <w:lang w:val="fr-FR"/>
              </w:rPr>
              <w:br/>
            </w:r>
            <w:r w:rsidRPr="00865DA5">
              <w:rPr>
                <w:rFonts w:ascii="Arial" w:eastAsia="Arial" w:hAnsi="Arial" w:cs="Arial"/>
                <w:color w:val="000000"/>
                <w:sz w:val="22"/>
                <w:szCs w:val="22"/>
                <w:bdr w:val="none" w:sz="0" w:space="0" w:color="auto" w:frame="1"/>
                <w:lang w:val="fr-FR"/>
              </w:rPr>
              <w:t>La mesure dans laquelle du matériel et/ou des programmes de sensibilisation sont en place pour renforcer la prise de conscience du public vis-à-vis de l’IKB</w:t>
            </w:r>
          </w:p>
        </w:tc>
      </w:tr>
    </w:tbl>
    <w:p w:rsidR="00BD5B7F" w:rsidRPr="00865DA5" w:rsidRDefault="00BD5B7F" w:rsidP="00BD5B7F">
      <w:pPr>
        <w:keepNext/>
        <w:keepLines/>
        <w:spacing w:after="120"/>
        <w:outlineLvl w:val="1"/>
        <w:rPr>
          <w:rFonts w:ascii="Arial" w:hAnsi="Arial" w:cs="Arial"/>
          <w:b/>
          <w:color w:val="000000"/>
          <w:sz w:val="30"/>
          <w:szCs w:val="30"/>
          <w:lang w:val="fr-FR"/>
        </w:rPr>
      </w:pPr>
      <w:bookmarkStart w:id="8" w:name="_Toc491245223"/>
      <w:bookmarkStart w:id="9" w:name="_Toc491245049"/>
      <w:bookmarkStart w:id="10" w:name="_Toc486539561"/>
      <w:r w:rsidRPr="00865DA5">
        <w:rPr>
          <w:rFonts w:ascii="Arial" w:eastAsia="Arial" w:hAnsi="Arial" w:cs="Arial"/>
          <w:b/>
          <w:bCs/>
          <w:color w:val="000000"/>
          <w:sz w:val="30"/>
          <w:szCs w:val="30"/>
          <w:bdr w:val="none" w:sz="0" w:space="0" w:color="auto" w:frame="1"/>
          <w:lang w:val="fr-FR"/>
        </w:rPr>
        <w:lastRenderedPageBreak/>
        <w:t>Comment utiliser le tableau de bord IKB</w:t>
      </w:r>
      <w:bookmarkEnd w:id="8"/>
      <w:bookmarkEnd w:id="9"/>
      <w:bookmarkEnd w:id="10"/>
    </w:p>
    <w:p w:rsidR="00BD5B7F" w:rsidRPr="00865DA5" w:rsidRDefault="00BD5B7F" w:rsidP="00BD5B7F">
      <w:pPr>
        <w:keepNext/>
        <w:keepLines/>
        <w:spacing w:after="120"/>
        <w:outlineLvl w:val="2"/>
        <w:rPr>
          <w:rFonts w:ascii="Arial" w:eastAsia="Calibri" w:hAnsi="Arial" w:cs="Arial"/>
          <w:b/>
          <w:i/>
          <w:color w:val="000000"/>
          <w:sz w:val="28"/>
          <w:szCs w:val="26"/>
          <w:lang w:val="fr-FR"/>
        </w:rPr>
      </w:pPr>
      <w:bookmarkStart w:id="11" w:name="_Toc491245224"/>
      <w:bookmarkStart w:id="12" w:name="_Toc491245050"/>
      <w:bookmarkStart w:id="13" w:name="_Toc486539562"/>
      <w:r w:rsidRPr="00865DA5">
        <w:rPr>
          <w:rFonts w:ascii="Arial" w:eastAsia="Arial" w:hAnsi="Arial" w:cs="Arial"/>
          <w:b/>
          <w:bCs/>
          <w:i/>
          <w:iCs/>
          <w:color w:val="000000"/>
          <w:sz w:val="28"/>
          <w:szCs w:val="28"/>
          <w:bdr w:val="none" w:sz="0" w:space="0" w:color="auto" w:frame="1"/>
          <w:lang w:val="fr-FR"/>
        </w:rPr>
        <w:t>Processus</w:t>
      </w:r>
      <w:bookmarkEnd w:id="11"/>
      <w:bookmarkEnd w:id="12"/>
      <w:bookmarkEnd w:id="13"/>
    </w:p>
    <w:p w:rsidR="00BD5B7F" w:rsidRPr="00865DA5" w:rsidRDefault="00BD5B7F" w:rsidP="00BD5B7F">
      <w:pPr>
        <w:keepNext/>
        <w:keepLines/>
        <w:spacing w:after="120"/>
        <w:jc w:val="both"/>
        <w:outlineLvl w:val="2"/>
        <w:rPr>
          <w:rFonts w:ascii="Arial" w:eastAsia="Calibri" w:hAnsi="Arial" w:cs="Arial"/>
          <w:color w:val="000000"/>
          <w:sz w:val="22"/>
          <w:szCs w:val="22"/>
          <w:lang w:val="fr-FR"/>
        </w:rPr>
      </w:pPr>
      <w:bookmarkStart w:id="14" w:name="_Toc491245225"/>
      <w:bookmarkStart w:id="15" w:name="_Toc491245051"/>
      <w:r w:rsidRPr="00865DA5">
        <w:rPr>
          <w:rFonts w:ascii="Arial" w:eastAsia="Arial" w:hAnsi="Arial" w:cs="Arial"/>
          <w:color w:val="000000"/>
          <w:sz w:val="22"/>
          <w:szCs w:val="22"/>
          <w:bdr w:val="none" w:sz="0" w:space="0" w:color="auto" w:frame="1"/>
          <w:lang w:val="fr-FR"/>
        </w:rPr>
        <w:t>Le tableau de bord IKB fournit une méthode d’auto-évaluation volontaire pour la collecte systématique d’informations appropriées au niveau national et devrait permettre aux États de comparer les résultats aux niveaux régional et international, le cas échéant, ainsi que d’identifier et partager les méthodes particulièrement efficaces, ou les difficultés rencontrées et les lacunes qui nécessitent une action concertée supplémentaire.</w:t>
      </w:r>
      <w:bookmarkEnd w:id="14"/>
      <w:bookmarkEnd w:id="15"/>
      <w:r w:rsidRPr="00865DA5">
        <w:rPr>
          <w:rFonts w:ascii="Arial" w:eastAsia="Arial" w:hAnsi="Arial" w:cs="Arial"/>
          <w:color w:val="000000"/>
          <w:sz w:val="22"/>
          <w:szCs w:val="22"/>
          <w:bdr w:val="none" w:sz="0" w:space="0" w:color="auto" w:frame="1"/>
          <w:lang w:val="fr-FR"/>
        </w:rPr>
        <w:t xml:space="preserve"> </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L’évaluation vise à permettre aux États d’examiner leurs progrès dans le cadre de la mise en œuvre du Plan d’action de Tunis et du Programme de travail du MIKT et devrait ainsi être réalisée régulièrement. Par conséquent, les États pourront mener l’évaluation périodiquement.</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L’apport principal du tableau de bord consiste en une </w:t>
      </w:r>
      <w:r w:rsidRPr="00865DA5">
        <w:rPr>
          <w:rFonts w:ascii="Arial" w:eastAsia="Arial" w:hAnsi="Arial" w:cs="Arial"/>
          <w:color w:val="000000"/>
          <w:sz w:val="22"/>
          <w:szCs w:val="22"/>
          <w:u w:val="single"/>
          <w:bdr w:val="none" w:sz="0" w:space="0" w:color="auto" w:frame="1"/>
          <w:lang w:val="fr-FR"/>
        </w:rPr>
        <w:t>auto-évaluation</w:t>
      </w:r>
      <w:r w:rsidRPr="00865DA5">
        <w:rPr>
          <w:rFonts w:ascii="Arial" w:eastAsia="Arial" w:hAnsi="Arial" w:cs="Arial"/>
          <w:color w:val="000000"/>
          <w:sz w:val="22"/>
          <w:szCs w:val="22"/>
          <w:bdr w:val="none" w:sz="0" w:space="0" w:color="auto" w:frame="1"/>
          <w:lang w:val="fr-FR"/>
        </w:rPr>
        <w:t xml:space="preserve"> par les administrations nationales responsables. Pour une précision et une objectivité maximales, il est recommandé que l’évaluation soit réalisée à travers un processus de collaboration associant le personnel des agences pertinentes de lutte contre la fraude et d’application des lois, telles que l’agence chargée de la réglementation relative aux espèces sauvages, et les agences de lutte contre la fraude. La consultation des parties prenantes non gouvernementales telles que les communautés soumises aux réglementations</w:t>
      </w:r>
      <w:r w:rsidRPr="00FF6562">
        <w:rPr>
          <w:rFonts w:ascii="Arial" w:eastAsia="Calibri" w:hAnsi="Arial" w:cs="Arial"/>
          <w:color w:val="000000"/>
          <w:sz w:val="22"/>
          <w:szCs w:val="22"/>
          <w:vertAlign w:val="superscript"/>
        </w:rPr>
        <w:footnoteReference w:id="5"/>
      </w:r>
      <w:r w:rsidRPr="00865DA5">
        <w:rPr>
          <w:rFonts w:ascii="Arial" w:eastAsia="Arial" w:hAnsi="Arial" w:cs="Arial"/>
          <w:color w:val="000000"/>
          <w:sz w:val="22"/>
          <w:szCs w:val="22"/>
          <w:bdr w:val="none" w:sz="0" w:space="0" w:color="auto" w:frame="1"/>
          <w:lang w:val="fr-FR"/>
        </w:rPr>
        <w:t xml:space="preserve"> et les organisations de conservation est également recommandée. </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Le processus décrit ci-dessous correspond bien au processus d’élaboration d’un plan d’action national, car les parties prenantes pertinentes (gouvernementales et non gouvernementales) sont les mêmes et les informations recueillies apportent des connaissances sur la situation actuelle et permettent aux États d’évaluer les progrès à venir. Un guide détaillé étape par étape est présenté dans le tableau 2.</w:t>
      </w:r>
    </w:p>
    <w:p w:rsidR="00BD5B7F" w:rsidRPr="00865DA5" w:rsidRDefault="00BD5B7F" w:rsidP="00BD5B7F">
      <w:pPr>
        <w:spacing w:after="120"/>
        <w:jc w:val="both"/>
        <w:rPr>
          <w:rFonts w:ascii="Arial" w:eastAsia="Calibri" w:hAnsi="Arial" w:cs="Arial"/>
          <w:b/>
          <w:color w:val="000000"/>
          <w:sz w:val="22"/>
          <w:szCs w:val="22"/>
          <w:lang w:val="fr-FR"/>
        </w:rPr>
      </w:pPr>
      <w:r w:rsidRPr="00865DA5">
        <w:rPr>
          <w:rFonts w:ascii="Arial" w:eastAsia="Arial" w:hAnsi="Arial" w:cs="Arial"/>
          <w:b/>
          <w:color w:val="000000"/>
          <w:sz w:val="22"/>
          <w:szCs w:val="22"/>
          <w:bdr w:val="none" w:sz="0" w:space="0" w:color="auto" w:frame="1"/>
          <w:lang w:val="fr-FR"/>
        </w:rPr>
        <w:t>Tableau 2</w:t>
      </w:r>
      <w:r w:rsidRPr="00865DA5">
        <w:rPr>
          <w:rFonts w:ascii="Arial" w:eastAsia="Arial" w:hAnsi="Arial" w:cs="Arial"/>
          <w:color w:val="000000"/>
          <w:sz w:val="22"/>
          <w:szCs w:val="22"/>
          <w:bdr w:val="none" w:sz="0" w:space="0" w:color="auto" w:frame="1"/>
          <w:lang w:val="fr-FR"/>
        </w:rPr>
        <w:t xml:space="preserve"> -</w:t>
      </w:r>
      <w:r w:rsidRPr="00865DA5">
        <w:rPr>
          <w:rFonts w:ascii="Arial" w:eastAsia="Arial" w:hAnsi="Arial" w:cs="Arial"/>
          <w:sz w:val="22"/>
          <w:szCs w:val="22"/>
          <w:bdr w:val="none" w:sz="0" w:space="0" w:color="auto" w:frame="1"/>
          <w:lang w:val="fr-FR"/>
        </w:rPr>
        <w:t xml:space="preserve"> Conduire une évaluation à l’aide du Cadre d’indicateurs IKB - Un guide phase par phase</w:t>
      </w:r>
    </w:p>
    <w:tbl>
      <w:tblPr>
        <w:tblW w:w="0" w:type="auto"/>
        <w:tblBorders>
          <w:top w:val="single" w:sz="18" w:space="0" w:color="auto"/>
          <w:bottom w:val="single" w:sz="18" w:space="0" w:color="auto"/>
        </w:tblBorders>
        <w:tblLook w:val="04A0" w:firstRow="1" w:lastRow="0" w:firstColumn="1" w:lastColumn="0" w:noHBand="0" w:noVBand="1"/>
      </w:tblPr>
      <w:tblGrid>
        <w:gridCol w:w="2886"/>
        <w:gridCol w:w="6400"/>
      </w:tblGrid>
      <w:tr w:rsidR="00BD5B7F" w:rsidRPr="00FC42B0" w:rsidTr="000E5961">
        <w:trPr>
          <w:cantSplit/>
        </w:trPr>
        <w:tc>
          <w:tcPr>
            <w:tcW w:w="0" w:type="auto"/>
            <w:tcBorders>
              <w:top w:val="single" w:sz="4" w:space="0" w:color="auto"/>
              <w:left w:val="nil"/>
              <w:bottom w:val="single" w:sz="4" w:space="0" w:color="auto"/>
              <w:right w:val="nil"/>
            </w:tcBorders>
            <w:shd w:val="clear" w:color="auto" w:fill="4F81BD"/>
          </w:tcPr>
          <w:p w:rsidR="00BD5B7F" w:rsidRPr="00865DA5" w:rsidRDefault="00BD5B7F" w:rsidP="000E5961">
            <w:pPr>
              <w:rPr>
                <w:rFonts w:ascii="Arial" w:eastAsia="Calibri" w:hAnsi="Arial" w:cs="Arial"/>
                <w:b/>
                <w:bCs/>
                <w:color w:val="FFFFFF"/>
                <w:szCs w:val="4"/>
                <w:lang w:val="fr-FR"/>
              </w:rPr>
            </w:pPr>
          </w:p>
        </w:tc>
        <w:tc>
          <w:tcPr>
            <w:tcW w:w="0" w:type="auto"/>
            <w:tcBorders>
              <w:top w:val="single" w:sz="4" w:space="0" w:color="auto"/>
              <w:left w:val="nil"/>
              <w:bottom w:val="single" w:sz="4" w:space="0" w:color="auto"/>
              <w:right w:val="nil"/>
            </w:tcBorders>
            <w:shd w:val="clear" w:color="auto" w:fill="4F81BD"/>
          </w:tcPr>
          <w:p w:rsidR="00BD5B7F" w:rsidRPr="00865DA5" w:rsidRDefault="00BD5B7F" w:rsidP="000E5961">
            <w:pPr>
              <w:rPr>
                <w:rFonts w:ascii="Arial" w:eastAsia="Calibri" w:hAnsi="Arial" w:cs="Arial"/>
                <w:b/>
                <w:bCs/>
                <w:color w:val="000000"/>
                <w:szCs w:val="4"/>
                <w:lang w:val="fr-FR"/>
              </w:rPr>
            </w:pPr>
          </w:p>
        </w:tc>
      </w:tr>
      <w:tr w:rsidR="00BD5B7F" w:rsidRPr="00FC42B0" w:rsidTr="000E5961">
        <w:trPr>
          <w:cantSplit/>
        </w:trPr>
        <w:tc>
          <w:tcPr>
            <w:tcW w:w="0" w:type="auto"/>
            <w:vMerge w:val="restart"/>
            <w:tcBorders>
              <w:top w:val="single" w:sz="4" w:space="0" w:color="auto"/>
              <w:left w:val="nil"/>
              <w:bottom w:val="single" w:sz="4" w:space="0" w:color="auto"/>
              <w:right w:val="nil"/>
            </w:tcBorders>
            <w:shd w:val="clear" w:color="auto" w:fill="4F81BD"/>
            <w:hideMark/>
          </w:tcPr>
          <w:p w:rsidR="00BD5B7F" w:rsidRPr="00FF6562" w:rsidRDefault="00BD5B7F" w:rsidP="000E5961">
            <w:pPr>
              <w:rPr>
                <w:rFonts w:ascii="Arial" w:eastAsia="Calibri" w:hAnsi="Arial" w:cs="Arial"/>
                <w:b/>
                <w:bCs/>
                <w:color w:val="FFFFFF"/>
                <w:szCs w:val="22"/>
              </w:rPr>
            </w:pPr>
            <w:r w:rsidRPr="00FF6562">
              <w:rPr>
                <w:rFonts w:ascii="Arial" w:eastAsia="Arial" w:hAnsi="Arial" w:cs="Arial"/>
                <w:b/>
                <w:bCs/>
                <w:color w:val="FFFFFF"/>
                <w:szCs w:val="22"/>
                <w:bdr w:val="none" w:sz="0" w:space="0" w:color="auto" w:frame="1"/>
              </w:rPr>
              <w:t>Planification</w:t>
            </w:r>
          </w:p>
        </w:tc>
        <w:tc>
          <w:tcPr>
            <w:tcW w:w="0" w:type="auto"/>
            <w:tcBorders>
              <w:top w:val="single" w:sz="4" w:space="0" w:color="auto"/>
              <w:left w:val="nil"/>
              <w:bottom w:val="nil"/>
              <w:right w:val="nil"/>
            </w:tcBorders>
            <w:shd w:val="clear" w:color="auto" w:fill="D8D8D8"/>
            <w:hideMark/>
          </w:tcPr>
          <w:p w:rsidR="00BD5B7F" w:rsidRPr="00865DA5" w:rsidRDefault="00BD5B7F" w:rsidP="000E5961">
            <w:pPr>
              <w:jc w:val="both"/>
              <w:rPr>
                <w:rFonts w:ascii="Arial" w:eastAsia="Calibri" w:hAnsi="Arial" w:cs="Arial"/>
                <w:b/>
                <w:color w:val="000000"/>
                <w:szCs w:val="22"/>
                <w:lang w:val="fr-FR"/>
              </w:rPr>
            </w:pPr>
            <w:r w:rsidRPr="00865DA5">
              <w:rPr>
                <w:rFonts w:ascii="Arial" w:eastAsia="Arial" w:hAnsi="Arial" w:cs="Arial"/>
                <w:b/>
                <w:bCs/>
                <w:color w:val="000000"/>
                <w:szCs w:val="22"/>
                <w:bdr w:val="none" w:sz="0" w:space="0" w:color="auto" w:frame="1"/>
                <w:lang w:val="fr-FR"/>
              </w:rPr>
              <w:t>1. Identifier l’agence chef de file et mettre en place l’équipe de projet</w:t>
            </w:r>
          </w:p>
          <w:p w:rsidR="00BD5B7F" w:rsidRPr="00865DA5" w:rsidRDefault="00BD5B7F" w:rsidP="000E5961">
            <w:pPr>
              <w:jc w:val="both"/>
              <w:rPr>
                <w:rFonts w:ascii="Arial" w:eastAsia="Calibri" w:hAnsi="Arial" w:cs="Arial"/>
                <w:color w:val="000000"/>
                <w:szCs w:val="22"/>
                <w:lang w:val="fr-FR"/>
              </w:rPr>
            </w:pPr>
            <w:r w:rsidRPr="00865DA5">
              <w:rPr>
                <w:rFonts w:ascii="Arial" w:eastAsia="Arial" w:hAnsi="Arial" w:cs="Arial"/>
                <w:color w:val="000000"/>
                <w:szCs w:val="22"/>
                <w:bdr w:val="none" w:sz="0" w:space="0" w:color="auto" w:frame="1"/>
                <w:lang w:val="fr-FR"/>
              </w:rPr>
              <w:t>Chaque évaluation sera généralement menée par une agence chef de file. Afin d’assurer la collaboration d’autres agences clés participant à la lutte contre l’IKB, une équipe interagence devra être créée.</w:t>
            </w:r>
          </w:p>
        </w:tc>
      </w:tr>
      <w:tr w:rsidR="00BD5B7F" w:rsidRPr="00FC42B0" w:rsidTr="000E5961">
        <w:trPr>
          <w:cantSplit/>
        </w:trPr>
        <w:tc>
          <w:tcPr>
            <w:tcW w:w="0" w:type="auto"/>
            <w:vMerge/>
            <w:tcBorders>
              <w:top w:val="single" w:sz="4" w:space="0" w:color="auto"/>
              <w:left w:val="nil"/>
              <w:bottom w:val="single" w:sz="4" w:space="0" w:color="auto"/>
              <w:right w:val="nil"/>
            </w:tcBorders>
            <w:vAlign w:val="center"/>
            <w:hideMark/>
          </w:tcPr>
          <w:p w:rsidR="00BD5B7F" w:rsidRPr="00865DA5" w:rsidRDefault="00BD5B7F" w:rsidP="000E5961">
            <w:pPr>
              <w:rPr>
                <w:rFonts w:ascii="Arial" w:eastAsia="Calibri" w:hAnsi="Arial" w:cs="Arial"/>
                <w:b/>
                <w:bCs/>
                <w:color w:val="FFFFFF"/>
                <w:szCs w:val="22"/>
                <w:lang w:val="fr-FR"/>
              </w:rPr>
            </w:pPr>
          </w:p>
        </w:tc>
        <w:tc>
          <w:tcPr>
            <w:tcW w:w="0" w:type="auto"/>
            <w:tcBorders>
              <w:top w:val="nil"/>
              <w:left w:val="nil"/>
              <w:bottom w:val="nil"/>
              <w:right w:val="nil"/>
            </w:tcBorders>
            <w:hideMark/>
          </w:tcPr>
          <w:p w:rsidR="00BD5B7F" w:rsidRPr="00865DA5" w:rsidRDefault="00BD5B7F" w:rsidP="000E5961">
            <w:pPr>
              <w:jc w:val="both"/>
              <w:rPr>
                <w:rFonts w:ascii="Arial" w:eastAsia="Calibri" w:hAnsi="Arial" w:cs="Arial"/>
                <w:b/>
                <w:color w:val="000000"/>
                <w:szCs w:val="22"/>
                <w:lang w:val="fr-FR"/>
              </w:rPr>
            </w:pPr>
            <w:r w:rsidRPr="00865DA5">
              <w:rPr>
                <w:rFonts w:ascii="Arial" w:eastAsia="Arial" w:hAnsi="Arial" w:cs="Arial"/>
                <w:b/>
                <w:bCs/>
                <w:color w:val="000000"/>
                <w:szCs w:val="22"/>
                <w:bdr w:val="none" w:sz="0" w:space="0" w:color="auto" w:frame="1"/>
                <w:lang w:val="fr-FR"/>
              </w:rPr>
              <w:t>2. Identifier les parties prenantes et les experts concernés pouvant participer</w:t>
            </w:r>
          </w:p>
          <w:p w:rsidR="00BD5B7F" w:rsidRPr="00865DA5" w:rsidRDefault="00BD5B7F" w:rsidP="000E5961">
            <w:pPr>
              <w:jc w:val="both"/>
              <w:rPr>
                <w:rFonts w:ascii="Arial" w:eastAsia="Calibri" w:hAnsi="Arial" w:cs="Arial"/>
                <w:color w:val="000000"/>
                <w:szCs w:val="22"/>
                <w:lang w:val="fr-FR"/>
              </w:rPr>
            </w:pPr>
            <w:r w:rsidRPr="00865DA5">
              <w:rPr>
                <w:rFonts w:ascii="Arial" w:eastAsia="Arial" w:hAnsi="Arial" w:cs="Arial"/>
                <w:color w:val="000000"/>
                <w:szCs w:val="22"/>
                <w:bdr w:val="none" w:sz="0" w:space="0" w:color="auto" w:frame="1"/>
                <w:lang w:val="fr-FR"/>
              </w:rPr>
              <w:t xml:space="preserve">Il est recommandé que le processus d’évaluation au niveau national associe idéalement toutes les parties prenantes concernées, y compris des ONG. </w:t>
            </w:r>
          </w:p>
        </w:tc>
      </w:tr>
      <w:tr w:rsidR="00BD5B7F" w:rsidRPr="00FC42B0" w:rsidTr="000E5961">
        <w:trPr>
          <w:cantSplit/>
        </w:trPr>
        <w:tc>
          <w:tcPr>
            <w:tcW w:w="0" w:type="auto"/>
            <w:vMerge/>
            <w:tcBorders>
              <w:top w:val="single" w:sz="4" w:space="0" w:color="auto"/>
              <w:left w:val="nil"/>
              <w:bottom w:val="single" w:sz="4" w:space="0" w:color="auto"/>
              <w:right w:val="nil"/>
            </w:tcBorders>
            <w:vAlign w:val="center"/>
            <w:hideMark/>
          </w:tcPr>
          <w:p w:rsidR="00BD5B7F" w:rsidRPr="00865DA5" w:rsidRDefault="00BD5B7F" w:rsidP="000E5961">
            <w:pPr>
              <w:rPr>
                <w:rFonts w:ascii="Arial" w:eastAsia="Calibri" w:hAnsi="Arial" w:cs="Arial"/>
                <w:b/>
                <w:bCs/>
                <w:color w:val="FFFFFF"/>
                <w:szCs w:val="22"/>
                <w:lang w:val="fr-FR"/>
              </w:rPr>
            </w:pPr>
          </w:p>
        </w:tc>
        <w:tc>
          <w:tcPr>
            <w:tcW w:w="0" w:type="auto"/>
            <w:tcBorders>
              <w:top w:val="nil"/>
              <w:left w:val="nil"/>
              <w:bottom w:val="single" w:sz="4" w:space="0" w:color="auto"/>
              <w:right w:val="nil"/>
            </w:tcBorders>
            <w:shd w:val="clear" w:color="auto" w:fill="D8D8D8"/>
            <w:hideMark/>
          </w:tcPr>
          <w:p w:rsidR="00BD5B7F" w:rsidRPr="00865DA5" w:rsidRDefault="00BD5B7F" w:rsidP="000E5961">
            <w:pPr>
              <w:jc w:val="both"/>
              <w:rPr>
                <w:rFonts w:ascii="Arial" w:eastAsia="Calibri" w:hAnsi="Arial" w:cs="Arial"/>
                <w:b/>
                <w:color w:val="000000"/>
                <w:szCs w:val="22"/>
                <w:lang w:val="fr-FR"/>
              </w:rPr>
            </w:pPr>
            <w:r w:rsidRPr="00865DA5">
              <w:rPr>
                <w:rFonts w:ascii="Arial" w:eastAsia="Arial" w:hAnsi="Arial" w:cs="Arial"/>
                <w:b/>
                <w:bCs/>
                <w:color w:val="000000"/>
                <w:szCs w:val="22"/>
                <w:bdr w:val="none" w:sz="0" w:space="0" w:color="auto" w:frame="1"/>
                <w:lang w:val="fr-FR"/>
              </w:rPr>
              <w:t>3. Assurer les besoins en ressources</w:t>
            </w:r>
          </w:p>
          <w:p w:rsidR="00BD5B7F" w:rsidRPr="00865DA5" w:rsidRDefault="00BD5B7F" w:rsidP="000E5961">
            <w:pPr>
              <w:jc w:val="both"/>
              <w:rPr>
                <w:rFonts w:ascii="Arial" w:eastAsia="Calibri" w:hAnsi="Arial" w:cs="Arial"/>
                <w:color w:val="000000"/>
                <w:szCs w:val="22"/>
                <w:lang w:val="fr-FR"/>
              </w:rPr>
            </w:pPr>
            <w:r w:rsidRPr="00865DA5">
              <w:rPr>
                <w:rFonts w:ascii="Arial" w:eastAsia="Arial" w:hAnsi="Arial" w:cs="Arial"/>
                <w:color w:val="000000"/>
                <w:szCs w:val="22"/>
                <w:bdr w:val="none" w:sz="0" w:space="0" w:color="auto" w:frame="1"/>
                <w:lang w:val="fr-FR"/>
              </w:rPr>
              <w:t>Il est recommandé de prévoir à l’avance l’affectation des ressources nécessaires à l’exercice d’évaluation.</w:t>
            </w:r>
          </w:p>
        </w:tc>
      </w:tr>
      <w:tr w:rsidR="00BD5B7F" w:rsidRPr="00FC42B0" w:rsidTr="000E5961">
        <w:trPr>
          <w:cantSplit/>
          <w:trHeight w:val="1354"/>
        </w:trPr>
        <w:tc>
          <w:tcPr>
            <w:tcW w:w="0" w:type="auto"/>
            <w:vMerge w:val="restart"/>
            <w:tcBorders>
              <w:top w:val="single" w:sz="4" w:space="0" w:color="auto"/>
              <w:left w:val="nil"/>
              <w:bottom w:val="single" w:sz="4" w:space="0" w:color="auto"/>
              <w:right w:val="nil"/>
            </w:tcBorders>
            <w:shd w:val="clear" w:color="auto" w:fill="4F81BD"/>
            <w:hideMark/>
          </w:tcPr>
          <w:p w:rsidR="00BD5B7F" w:rsidRPr="00FF6562" w:rsidRDefault="00BD5B7F" w:rsidP="000E5961">
            <w:pPr>
              <w:rPr>
                <w:rFonts w:ascii="Arial" w:eastAsia="Calibri" w:hAnsi="Arial" w:cs="Arial"/>
                <w:b/>
                <w:bCs/>
                <w:color w:val="FFFFFF"/>
                <w:szCs w:val="22"/>
              </w:rPr>
            </w:pPr>
            <w:r w:rsidRPr="00FF6562">
              <w:rPr>
                <w:rFonts w:ascii="Arial" w:eastAsia="Arial" w:hAnsi="Arial" w:cs="Arial"/>
                <w:b/>
                <w:bCs/>
                <w:color w:val="FFFFFF"/>
                <w:szCs w:val="22"/>
                <w:bdr w:val="none" w:sz="0" w:space="0" w:color="auto" w:frame="1"/>
              </w:rPr>
              <w:lastRenderedPageBreak/>
              <w:t>Collecte de données </w:t>
            </w:r>
          </w:p>
        </w:tc>
        <w:tc>
          <w:tcPr>
            <w:tcW w:w="0" w:type="auto"/>
            <w:tcBorders>
              <w:top w:val="single" w:sz="4" w:space="0" w:color="auto"/>
              <w:left w:val="nil"/>
              <w:bottom w:val="dashSmallGap" w:sz="4" w:space="0" w:color="548DD4"/>
              <w:right w:val="nil"/>
            </w:tcBorders>
            <w:hideMark/>
          </w:tcPr>
          <w:p w:rsidR="00BD5B7F" w:rsidRPr="00865DA5" w:rsidRDefault="00BD5B7F" w:rsidP="000E5961">
            <w:pPr>
              <w:jc w:val="both"/>
              <w:rPr>
                <w:rFonts w:ascii="Arial" w:eastAsia="Calibri" w:hAnsi="Arial" w:cs="Arial"/>
                <w:b/>
                <w:color w:val="000000"/>
                <w:szCs w:val="22"/>
                <w:lang w:val="fr-FR"/>
              </w:rPr>
            </w:pPr>
            <w:r w:rsidRPr="00865DA5">
              <w:rPr>
                <w:rFonts w:ascii="Arial" w:eastAsia="Arial" w:hAnsi="Arial" w:cs="Arial"/>
                <w:b/>
                <w:bCs/>
                <w:color w:val="000000"/>
                <w:szCs w:val="22"/>
                <w:bdr w:val="none" w:sz="0" w:space="0" w:color="auto" w:frame="1"/>
                <w:lang w:val="fr-FR"/>
              </w:rPr>
              <w:t>4. Identifier les besoins en matière de données</w:t>
            </w:r>
          </w:p>
          <w:p w:rsidR="00BD5B7F" w:rsidRPr="00865DA5" w:rsidRDefault="00BD5B7F" w:rsidP="000E5961">
            <w:pPr>
              <w:jc w:val="both"/>
              <w:rPr>
                <w:rFonts w:ascii="Arial" w:eastAsia="Calibri" w:hAnsi="Arial" w:cs="Arial"/>
                <w:color w:val="000000"/>
                <w:szCs w:val="22"/>
                <w:lang w:val="fr-FR"/>
              </w:rPr>
            </w:pPr>
            <w:r w:rsidRPr="00865DA5">
              <w:rPr>
                <w:rFonts w:ascii="Arial" w:eastAsia="Arial" w:hAnsi="Arial" w:cs="Arial"/>
                <w:color w:val="000000"/>
                <w:szCs w:val="22"/>
                <w:bdr w:val="none" w:sz="0" w:space="0" w:color="auto" w:frame="1"/>
                <w:lang w:val="fr-FR"/>
              </w:rPr>
              <w:t xml:space="preserve">La grande majorité des indicateurs nécessite des évaluations d’experts, un examen de la législation et des procédures et, dans quelques cas, la collecte et l’analyse de données. La disponibilité, l’accessibilité et les coûts connexes doivent être pris en compte à un stade précoce afin de faciliter l’accès aux données requises en temps opportun. </w:t>
            </w:r>
          </w:p>
        </w:tc>
      </w:tr>
      <w:tr w:rsidR="00BD5B7F" w:rsidRPr="00FC42B0" w:rsidTr="000E5961">
        <w:trPr>
          <w:cantSplit/>
        </w:trPr>
        <w:tc>
          <w:tcPr>
            <w:tcW w:w="0" w:type="auto"/>
            <w:vMerge/>
            <w:tcBorders>
              <w:top w:val="single" w:sz="4" w:space="0" w:color="auto"/>
              <w:left w:val="nil"/>
              <w:bottom w:val="single" w:sz="4" w:space="0" w:color="auto"/>
              <w:right w:val="nil"/>
            </w:tcBorders>
            <w:vAlign w:val="center"/>
            <w:hideMark/>
          </w:tcPr>
          <w:p w:rsidR="00BD5B7F" w:rsidRPr="00865DA5" w:rsidRDefault="00BD5B7F" w:rsidP="000E5961">
            <w:pPr>
              <w:rPr>
                <w:rFonts w:ascii="Arial" w:eastAsia="Calibri" w:hAnsi="Arial" w:cs="Arial"/>
                <w:b/>
                <w:bCs/>
                <w:color w:val="FFFFFF"/>
                <w:szCs w:val="22"/>
                <w:lang w:val="fr-FR"/>
              </w:rPr>
            </w:pPr>
          </w:p>
        </w:tc>
        <w:tc>
          <w:tcPr>
            <w:tcW w:w="0" w:type="auto"/>
            <w:tcBorders>
              <w:top w:val="dashSmallGap" w:sz="4" w:space="0" w:color="548DD4"/>
              <w:left w:val="nil"/>
              <w:bottom w:val="dashSmallGap" w:sz="4" w:space="0" w:color="FFFFFF"/>
              <w:right w:val="nil"/>
            </w:tcBorders>
            <w:shd w:val="clear" w:color="auto" w:fill="D8D8D8"/>
            <w:hideMark/>
          </w:tcPr>
          <w:p w:rsidR="00BD5B7F" w:rsidRPr="00865DA5" w:rsidRDefault="00BD5B7F" w:rsidP="000E5961">
            <w:pPr>
              <w:jc w:val="both"/>
              <w:rPr>
                <w:rFonts w:ascii="Arial" w:eastAsia="Calibri" w:hAnsi="Arial" w:cs="Arial"/>
                <w:b/>
                <w:color w:val="000000"/>
                <w:szCs w:val="22"/>
                <w:lang w:val="fr-FR"/>
              </w:rPr>
            </w:pPr>
            <w:r w:rsidRPr="00865DA5">
              <w:rPr>
                <w:rFonts w:ascii="Arial" w:eastAsia="Arial" w:hAnsi="Arial" w:cs="Arial"/>
                <w:b/>
                <w:bCs/>
                <w:color w:val="000000"/>
                <w:szCs w:val="22"/>
                <w:bdr w:val="none" w:sz="0" w:space="0" w:color="auto" w:frame="1"/>
                <w:lang w:val="fr-FR"/>
              </w:rPr>
              <w:t>5. Demander les données</w:t>
            </w:r>
          </w:p>
          <w:p w:rsidR="00BD5B7F" w:rsidRPr="00865DA5" w:rsidRDefault="00BD5B7F" w:rsidP="000E5961">
            <w:pPr>
              <w:jc w:val="both"/>
              <w:rPr>
                <w:rFonts w:ascii="Arial" w:eastAsia="Calibri" w:hAnsi="Arial" w:cs="Arial"/>
                <w:color w:val="000000"/>
                <w:szCs w:val="22"/>
                <w:lang w:val="fr-FR"/>
              </w:rPr>
            </w:pPr>
            <w:r w:rsidRPr="00865DA5">
              <w:rPr>
                <w:rFonts w:ascii="Arial" w:eastAsia="Calibri" w:hAnsi="Arial" w:cs="Arial"/>
                <w:color w:val="000000"/>
                <w:szCs w:val="22"/>
                <w:bdr w:val="none" w:sz="0" w:space="0" w:color="auto" w:frame="1"/>
                <w:lang w:val="fr-FR"/>
              </w:rPr>
              <w:t>Dans certains cas, ces données peuvent être détenues par d’autres agences, et des demandes formelles d’accès devront être faites. La première tentative d’évaluation pourra permettre d’identifier des domaines dans lesquels les données importantes ne sont pas enregistrées actuellement. Des mesures devront être prises le plus tôt possible pour veiller à ce que les besoins en matière de données soient satisfaits.</w:t>
            </w:r>
          </w:p>
        </w:tc>
      </w:tr>
      <w:tr w:rsidR="00BD5B7F" w:rsidRPr="00FC42B0" w:rsidTr="000E5961">
        <w:trPr>
          <w:cantSplit/>
        </w:trPr>
        <w:tc>
          <w:tcPr>
            <w:tcW w:w="0" w:type="auto"/>
            <w:vMerge/>
            <w:tcBorders>
              <w:top w:val="single" w:sz="4" w:space="0" w:color="auto"/>
              <w:left w:val="nil"/>
              <w:bottom w:val="single" w:sz="4" w:space="0" w:color="auto"/>
              <w:right w:val="nil"/>
            </w:tcBorders>
            <w:vAlign w:val="center"/>
            <w:hideMark/>
          </w:tcPr>
          <w:p w:rsidR="00BD5B7F" w:rsidRPr="00865DA5" w:rsidRDefault="00BD5B7F" w:rsidP="000E5961">
            <w:pPr>
              <w:rPr>
                <w:rFonts w:ascii="Arial" w:eastAsia="Calibri" w:hAnsi="Arial" w:cs="Arial"/>
                <w:b/>
                <w:bCs/>
                <w:color w:val="FFFFFF"/>
                <w:szCs w:val="22"/>
                <w:lang w:val="fr-FR"/>
              </w:rPr>
            </w:pPr>
          </w:p>
        </w:tc>
        <w:tc>
          <w:tcPr>
            <w:tcW w:w="0" w:type="auto"/>
            <w:tcBorders>
              <w:top w:val="dashSmallGap" w:sz="4" w:space="0" w:color="FFFFFF"/>
              <w:left w:val="nil"/>
              <w:bottom w:val="nil"/>
              <w:right w:val="nil"/>
            </w:tcBorders>
            <w:hideMark/>
          </w:tcPr>
          <w:p w:rsidR="00BD5B7F" w:rsidRPr="00865DA5" w:rsidRDefault="00BD5B7F" w:rsidP="000E5961">
            <w:pPr>
              <w:jc w:val="both"/>
              <w:rPr>
                <w:rFonts w:ascii="Arial" w:eastAsia="Calibri" w:hAnsi="Arial" w:cs="Arial"/>
                <w:b/>
                <w:color w:val="000000"/>
                <w:szCs w:val="22"/>
                <w:lang w:val="fr-FR"/>
              </w:rPr>
            </w:pPr>
            <w:r w:rsidRPr="00865DA5">
              <w:rPr>
                <w:rFonts w:ascii="Arial" w:eastAsia="Arial" w:hAnsi="Arial" w:cs="Arial"/>
                <w:b/>
                <w:bCs/>
                <w:color w:val="000000"/>
                <w:szCs w:val="22"/>
                <w:bdr w:val="none" w:sz="0" w:space="0" w:color="auto" w:frame="1"/>
                <w:lang w:val="fr-FR"/>
              </w:rPr>
              <w:t>6. Rassembler et examiner les documents</w:t>
            </w:r>
          </w:p>
          <w:p w:rsidR="00BD5B7F" w:rsidRPr="00865DA5" w:rsidRDefault="00BD5B7F" w:rsidP="000E5961">
            <w:pPr>
              <w:jc w:val="both"/>
              <w:rPr>
                <w:rFonts w:ascii="Arial" w:eastAsia="Calibri" w:hAnsi="Arial" w:cs="Arial"/>
                <w:color w:val="000000"/>
                <w:szCs w:val="22"/>
                <w:lang w:val="fr-FR"/>
              </w:rPr>
            </w:pPr>
            <w:r w:rsidRPr="00865DA5">
              <w:rPr>
                <w:rFonts w:ascii="Arial" w:eastAsia="Arial" w:hAnsi="Arial" w:cs="Arial"/>
                <w:color w:val="000000"/>
                <w:szCs w:val="22"/>
                <w:bdr w:val="none" w:sz="0" w:space="0" w:color="auto" w:frame="1"/>
                <w:lang w:val="fr-FR"/>
              </w:rPr>
              <w:t xml:space="preserve">Un certain nombre de questions nécessitent l’examen de documents, de processus opérationnels ou de données. Une telle documentation doit être recueillie et examinée le plus tôt possible avant l’évaluation et l’atelier collaboratifs. </w:t>
            </w:r>
          </w:p>
        </w:tc>
      </w:tr>
      <w:tr w:rsidR="00BD5B7F" w:rsidRPr="00FC42B0" w:rsidTr="000E5961">
        <w:trPr>
          <w:cantSplit/>
        </w:trPr>
        <w:tc>
          <w:tcPr>
            <w:tcW w:w="0" w:type="auto"/>
            <w:vMerge/>
            <w:tcBorders>
              <w:top w:val="single" w:sz="4" w:space="0" w:color="auto"/>
              <w:left w:val="nil"/>
              <w:bottom w:val="single" w:sz="4" w:space="0" w:color="auto"/>
              <w:right w:val="nil"/>
            </w:tcBorders>
            <w:vAlign w:val="center"/>
            <w:hideMark/>
          </w:tcPr>
          <w:p w:rsidR="00BD5B7F" w:rsidRPr="00865DA5" w:rsidRDefault="00BD5B7F" w:rsidP="000E5961">
            <w:pPr>
              <w:rPr>
                <w:rFonts w:ascii="Arial" w:eastAsia="Calibri" w:hAnsi="Arial" w:cs="Arial"/>
                <w:b/>
                <w:bCs/>
                <w:color w:val="FFFFFF"/>
                <w:szCs w:val="22"/>
                <w:lang w:val="fr-FR"/>
              </w:rPr>
            </w:pPr>
          </w:p>
        </w:tc>
        <w:tc>
          <w:tcPr>
            <w:tcW w:w="0" w:type="auto"/>
            <w:tcBorders>
              <w:top w:val="nil"/>
              <w:left w:val="nil"/>
              <w:bottom w:val="single" w:sz="4" w:space="0" w:color="auto"/>
              <w:right w:val="nil"/>
            </w:tcBorders>
            <w:shd w:val="clear" w:color="auto" w:fill="D8D8D8"/>
            <w:hideMark/>
          </w:tcPr>
          <w:p w:rsidR="00BD5B7F" w:rsidRPr="00865DA5" w:rsidRDefault="00BD5B7F" w:rsidP="000E5961">
            <w:pPr>
              <w:jc w:val="both"/>
              <w:rPr>
                <w:rFonts w:ascii="Arial" w:eastAsia="Calibri" w:hAnsi="Arial" w:cs="Arial"/>
                <w:b/>
                <w:color w:val="000000"/>
                <w:szCs w:val="22"/>
                <w:lang w:val="fr-FR"/>
              </w:rPr>
            </w:pPr>
            <w:r w:rsidRPr="00865DA5">
              <w:rPr>
                <w:rFonts w:ascii="Arial" w:eastAsia="Arial" w:hAnsi="Arial" w:cs="Arial"/>
                <w:b/>
                <w:bCs/>
                <w:color w:val="000000"/>
                <w:szCs w:val="22"/>
                <w:bdr w:val="none" w:sz="0" w:space="0" w:color="auto" w:frame="1"/>
                <w:lang w:val="fr-FR"/>
              </w:rPr>
              <w:t>7. Organiser un atelier pour compléter l’évaluation à dire d’expert</w:t>
            </w:r>
          </w:p>
          <w:p w:rsidR="00BD5B7F" w:rsidRPr="00865DA5" w:rsidRDefault="00BD5B7F" w:rsidP="000E5961">
            <w:pPr>
              <w:jc w:val="both"/>
              <w:rPr>
                <w:rFonts w:ascii="Arial" w:eastAsia="Calibri" w:hAnsi="Arial" w:cs="Arial"/>
                <w:color w:val="000000"/>
                <w:szCs w:val="22"/>
                <w:lang w:val="fr-FR"/>
              </w:rPr>
            </w:pPr>
            <w:r w:rsidRPr="00865DA5">
              <w:rPr>
                <w:rFonts w:ascii="Arial" w:eastAsia="Arial" w:hAnsi="Arial" w:cs="Arial"/>
                <w:color w:val="000000"/>
                <w:szCs w:val="22"/>
                <w:bdr w:val="none" w:sz="0" w:space="0" w:color="auto" w:frame="1"/>
                <w:lang w:val="fr-FR"/>
              </w:rPr>
              <w:t>Il est recommandé d’organiser un atelier pour examiner et attribuer un score aux indicateurs d’évaluation. Les participants devront représenter les organismes et parties prenantes concernés identifiés à l’étape 2. Il est recommandé que le modèle d’évaluation soit diffusé bien avant l’atelier.</w:t>
            </w:r>
          </w:p>
        </w:tc>
      </w:tr>
      <w:tr w:rsidR="00BD5B7F" w:rsidRPr="00FC42B0" w:rsidTr="000E5961">
        <w:trPr>
          <w:cantSplit/>
        </w:trPr>
        <w:tc>
          <w:tcPr>
            <w:tcW w:w="0" w:type="auto"/>
            <w:vMerge w:val="restart"/>
            <w:tcBorders>
              <w:top w:val="single" w:sz="4" w:space="0" w:color="auto"/>
              <w:left w:val="nil"/>
              <w:bottom w:val="single" w:sz="4" w:space="0" w:color="auto"/>
              <w:right w:val="nil"/>
            </w:tcBorders>
            <w:shd w:val="clear" w:color="auto" w:fill="4F81BD"/>
            <w:hideMark/>
          </w:tcPr>
          <w:p w:rsidR="00BD5B7F" w:rsidRPr="00865DA5" w:rsidRDefault="00BD5B7F" w:rsidP="000E5961">
            <w:pPr>
              <w:rPr>
                <w:rFonts w:ascii="Arial" w:eastAsia="Calibri" w:hAnsi="Arial" w:cs="Arial"/>
                <w:b/>
                <w:bCs/>
                <w:color w:val="FFFFFF"/>
                <w:szCs w:val="22"/>
                <w:lang w:val="fr-FR"/>
              </w:rPr>
            </w:pPr>
            <w:r w:rsidRPr="00865DA5">
              <w:rPr>
                <w:rFonts w:ascii="Arial" w:eastAsia="Arial" w:hAnsi="Arial" w:cs="Arial"/>
                <w:b/>
                <w:bCs/>
                <w:color w:val="FFFFFF"/>
                <w:szCs w:val="22"/>
                <w:bdr w:val="none" w:sz="0" w:space="0" w:color="auto" w:frame="1"/>
                <w:lang w:val="fr-FR"/>
              </w:rPr>
              <w:t>Analyse et enregistrement au niveau national</w:t>
            </w:r>
          </w:p>
        </w:tc>
        <w:tc>
          <w:tcPr>
            <w:tcW w:w="0" w:type="auto"/>
            <w:tcBorders>
              <w:top w:val="single" w:sz="4" w:space="0" w:color="auto"/>
              <w:left w:val="nil"/>
              <w:bottom w:val="nil"/>
              <w:right w:val="nil"/>
            </w:tcBorders>
            <w:hideMark/>
          </w:tcPr>
          <w:p w:rsidR="00BD5B7F" w:rsidRPr="00865DA5" w:rsidRDefault="00BD5B7F" w:rsidP="000E5961">
            <w:pPr>
              <w:jc w:val="both"/>
              <w:rPr>
                <w:rFonts w:ascii="Arial" w:eastAsia="Calibri" w:hAnsi="Arial" w:cs="Arial"/>
                <w:b/>
                <w:color w:val="000000"/>
                <w:szCs w:val="22"/>
                <w:lang w:val="fr-FR"/>
              </w:rPr>
            </w:pPr>
            <w:r w:rsidRPr="00865DA5">
              <w:rPr>
                <w:rFonts w:ascii="Arial" w:eastAsia="Arial" w:hAnsi="Arial" w:cs="Arial"/>
                <w:b/>
                <w:bCs/>
                <w:color w:val="000000"/>
                <w:szCs w:val="22"/>
                <w:bdr w:val="none" w:sz="0" w:space="0" w:color="auto" w:frame="1"/>
                <w:lang w:val="fr-FR"/>
              </w:rPr>
              <w:t>8. Analyser les résultats</w:t>
            </w:r>
          </w:p>
          <w:p w:rsidR="00BD5B7F" w:rsidRPr="00865DA5" w:rsidRDefault="00BD5B7F" w:rsidP="000E5961">
            <w:pPr>
              <w:jc w:val="both"/>
              <w:rPr>
                <w:rFonts w:ascii="Arial" w:eastAsia="Calibri" w:hAnsi="Arial" w:cs="Arial"/>
                <w:color w:val="000000"/>
                <w:szCs w:val="22"/>
                <w:lang w:val="fr-FR"/>
              </w:rPr>
            </w:pPr>
            <w:r w:rsidRPr="00865DA5">
              <w:rPr>
                <w:rFonts w:ascii="Arial" w:eastAsia="Arial" w:hAnsi="Arial" w:cs="Arial"/>
                <w:color w:val="000000"/>
                <w:szCs w:val="22"/>
                <w:bdr w:val="none" w:sz="0" w:space="0" w:color="auto" w:frame="1"/>
                <w:lang w:val="fr-FR"/>
              </w:rPr>
              <w:t xml:space="preserve">La plupart des indicateurs IKB sont évalués par des « scores », ce qui permet de générer un score global pour chacun des 6 groupes. La comparaison des scores entre les groupes peut aider à identifier les forces et les faiblesses de la réponse actuelle à l’IKB. Un score global sera également calculé. Dans la première évaluation, une note d’évaluation initiale sera générée. Après la deuxième et </w:t>
            </w:r>
            <w:proofErr w:type="gramStart"/>
            <w:r w:rsidRPr="00865DA5">
              <w:rPr>
                <w:rFonts w:ascii="Arial" w:eastAsia="Arial" w:hAnsi="Arial" w:cs="Arial"/>
                <w:color w:val="000000"/>
                <w:szCs w:val="22"/>
                <w:bdr w:val="none" w:sz="0" w:space="0" w:color="auto" w:frame="1"/>
                <w:lang w:val="fr-FR"/>
              </w:rPr>
              <w:t>la troisième évaluations</w:t>
            </w:r>
            <w:proofErr w:type="gramEnd"/>
            <w:r w:rsidRPr="00865DA5">
              <w:rPr>
                <w:rFonts w:ascii="Arial" w:eastAsia="Arial" w:hAnsi="Arial" w:cs="Arial"/>
                <w:color w:val="000000"/>
                <w:szCs w:val="22"/>
                <w:bdr w:val="none" w:sz="0" w:space="0" w:color="auto" w:frame="1"/>
                <w:lang w:val="fr-FR"/>
              </w:rPr>
              <w:t xml:space="preserve"> et le score global, il sera possible de dégager des tendances et de les étudier. </w:t>
            </w:r>
          </w:p>
        </w:tc>
      </w:tr>
      <w:tr w:rsidR="00BD5B7F" w:rsidRPr="00FC42B0" w:rsidTr="000E5961">
        <w:trPr>
          <w:cantSplit/>
        </w:trPr>
        <w:tc>
          <w:tcPr>
            <w:tcW w:w="0" w:type="auto"/>
            <w:vMerge/>
            <w:tcBorders>
              <w:top w:val="single" w:sz="4" w:space="0" w:color="auto"/>
              <w:left w:val="nil"/>
              <w:bottom w:val="single" w:sz="4" w:space="0" w:color="auto"/>
              <w:right w:val="nil"/>
            </w:tcBorders>
            <w:vAlign w:val="center"/>
            <w:hideMark/>
          </w:tcPr>
          <w:p w:rsidR="00BD5B7F" w:rsidRPr="00865DA5" w:rsidRDefault="00BD5B7F" w:rsidP="000E5961">
            <w:pPr>
              <w:rPr>
                <w:rFonts w:ascii="Arial" w:eastAsia="Calibri" w:hAnsi="Arial" w:cs="Arial"/>
                <w:b/>
                <w:bCs/>
                <w:color w:val="FFFFFF"/>
                <w:szCs w:val="22"/>
                <w:lang w:val="fr-FR"/>
              </w:rPr>
            </w:pPr>
          </w:p>
        </w:tc>
        <w:tc>
          <w:tcPr>
            <w:tcW w:w="0" w:type="auto"/>
            <w:tcBorders>
              <w:top w:val="nil"/>
              <w:left w:val="nil"/>
              <w:bottom w:val="single" w:sz="4" w:space="0" w:color="auto"/>
              <w:right w:val="nil"/>
            </w:tcBorders>
            <w:shd w:val="clear" w:color="auto" w:fill="D8D8D8"/>
            <w:hideMark/>
          </w:tcPr>
          <w:p w:rsidR="00BD5B7F" w:rsidRPr="00865DA5" w:rsidRDefault="00BD5B7F" w:rsidP="000E5961">
            <w:pPr>
              <w:jc w:val="both"/>
              <w:rPr>
                <w:rFonts w:ascii="Arial" w:eastAsia="Calibri" w:hAnsi="Arial" w:cs="Arial"/>
                <w:b/>
                <w:color w:val="000000"/>
                <w:szCs w:val="22"/>
                <w:lang w:val="fr-FR"/>
              </w:rPr>
            </w:pPr>
            <w:r w:rsidRPr="00865DA5">
              <w:rPr>
                <w:rFonts w:ascii="Arial" w:eastAsia="Arial" w:hAnsi="Arial" w:cs="Arial"/>
                <w:b/>
                <w:bCs/>
                <w:color w:val="000000"/>
                <w:szCs w:val="22"/>
                <w:bdr w:val="none" w:sz="0" w:space="0" w:color="auto" w:frame="1"/>
                <w:lang w:val="fr-FR"/>
              </w:rPr>
              <w:t>9. Identifier les besoins d’amélioration du processus</w:t>
            </w:r>
          </w:p>
          <w:p w:rsidR="00BD5B7F" w:rsidRPr="00865DA5" w:rsidRDefault="00BD5B7F" w:rsidP="000E5961">
            <w:pPr>
              <w:jc w:val="both"/>
              <w:rPr>
                <w:rFonts w:ascii="Arial" w:eastAsia="Calibri" w:hAnsi="Arial" w:cs="Arial"/>
                <w:color w:val="000000"/>
                <w:szCs w:val="22"/>
                <w:lang w:val="fr-FR"/>
              </w:rPr>
            </w:pPr>
            <w:r w:rsidRPr="00865DA5">
              <w:rPr>
                <w:rFonts w:ascii="Arial" w:eastAsia="Arial" w:hAnsi="Arial" w:cs="Arial"/>
                <w:color w:val="000000"/>
                <w:szCs w:val="22"/>
                <w:bdr w:val="none" w:sz="0" w:space="0" w:color="auto" w:frame="1"/>
                <w:lang w:val="fr-FR"/>
              </w:rPr>
              <w:t>L’équipe de projet devra examiner le processus suivi puis identifier et documenter brièvement toute modification ou amélioration qui devrait être apportée à la future évaluation, en informant les Secrétariats de la Convention de Berne et de la CMS.</w:t>
            </w:r>
          </w:p>
        </w:tc>
      </w:tr>
      <w:tr w:rsidR="00BD5B7F" w:rsidRPr="00FC42B0" w:rsidTr="000E5961">
        <w:trPr>
          <w:cantSplit/>
        </w:trPr>
        <w:tc>
          <w:tcPr>
            <w:tcW w:w="0" w:type="auto"/>
            <w:tcBorders>
              <w:top w:val="single" w:sz="12" w:space="0" w:color="auto"/>
              <w:left w:val="nil"/>
              <w:bottom w:val="single" w:sz="4" w:space="0" w:color="auto"/>
              <w:right w:val="nil"/>
            </w:tcBorders>
            <w:shd w:val="clear" w:color="auto" w:fill="4F81BD"/>
            <w:hideMark/>
          </w:tcPr>
          <w:p w:rsidR="00BD5B7F" w:rsidRPr="00865DA5" w:rsidRDefault="00BD5B7F" w:rsidP="000E5961">
            <w:pPr>
              <w:rPr>
                <w:rFonts w:ascii="Arial" w:eastAsia="Calibri" w:hAnsi="Arial" w:cs="Arial"/>
                <w:b/>
                <w:bCs/>
                <w:color w:val="FFFFFF"/>
                <w:szCs w:val="22"/>
                <w:lang w:val="fr-FR"/>
              </w:rPr>
            </w:pPr>
            <w:r w:rsidRPr="00865DA5">
              <w:rPr>
                <w:rFonts w:ascii="Arial" w:eastAsia="Arial" w:hAnsi="Arial" w:cs="Arial"/>
                <w:b/>
                <w:bCs/>
                <w:color w:val="FFFFFF"/>
                <w:szCs w:val="22"/>
                <w:bdr w:val="none" w:sz="0" w:space="0" w:color="auto" w:frame="1"/>
                <w:lang w:val="fr-FR"/>
              </w:rPr>
              <w:lastRenderedPageBreak/>
              <w:t>Publication et compilation du tableau de bord au niveau international</w:t>
            </w:r>
          </w:p>
        </w:tc>
        <w:tc>
          <w:tcPr>
            <w:tcW w:w="0" w:type="auto"/>
            <w:tcBorders>
              <w:top w:val="single" w:sz="12" w:space="0" w:color="auto"/>
              <w:left w:val="nil"/>
              <w:bottom w:val="single" w:sz="4" w:space="0" w:color="auto"/>
              <w:right w:val="nil"/>
            </w:tcBorders>
            <w:shd w:val="clear" w:color="auto" w:fill="FFFFFF"/>
            <w:hideMark/>
          </w:tcPr>
          <w:p w:rsidR="00BD5B7F" w:rsidRPr="00865DA5" w:rsidRDefault="00BD5B7F" w:rsidP="000E5961">
            <w:pPr>
              <w:jc w:val="both"/>
              <w:rPr>
                <w:rFonts w:ascii="Arial" w:eastAsia="Calibri" w:hAnsi="Arial" w:cs="Arial"/>
                <w:b/>
                <w:color w:val="000000"/>
                <w:szCs w:val="22"/>
                <w:lang w:val="fr-FR"/>
              </w:rPr>
            </w:pPr>
            <w:r w:rsidRPr="00865DA5">
              <w:rPr>
                <w:rFonts w:ascii="Arial" w:eastAsia="Arial" w:hAnsi="Arial" w:cs="Arial"/>
                <w:b/>
                <w:bCs/>
                <w:color w:val="000000"/>
                <w:szCs w:val="22"/>
                <w:bdr w:val="none" w:sz="0" w:space="0" w:color="auto" w:frame="1"/>
                <w:lang w:val="fr-FR"/>
              </w:rPr>
              <w:t>10. Publication finale et diffusion</w:t>
            </w:r>
          </w:p>
          <w:p w:rsidR="00BD5B7F" w:rsidRPr="00865DA5" w:rsidRDefault="00BD5B7F" w:rsidP="000E5961">
            <w:pPr>
              <w:jc w:val="both"/>
              <w:rPr>
                <w:rFonts w:ascii="Arial" w:eastAsia="Calibri" w:hAnsi="Arial" w:cs="Arial"/>
                <w:b/>
                <w:color w:val="000000"/>
                <w:szCs w:val="22"/>
                <w:lang w:val="fr-FR"/>
              </w:rPr>
            </w:pPr>
            <w:r w:rsidRPr="00865DA5">
              <w:rPr>
                <w:rFonts w:ascii="Arial" w:eastAsia="Arial" w:hAnsi="Arial" w:cs="Arial"/>
                <w:color w:val="000000"/>
                <w:szCs w:val="22"/>
                <w:bdr w:val="none" w:sz="0" w:space="0" w:color="auto" w:frame="1"/>
                <w:lang w:val="fr-FR"/>
              </w:rPr>
              <w:t>Les Secrétariats des Conventions compileront et publieront le tableau de bord final et les réponses individuelles des pays. Le tableau de bord compilé final devra également être transmis au Comité permanent de la Convention de Berne ainsi qu’à la COP de la CMS, et être largement diffusé</w:t>
            </w:r>
            <w:r w:rsidRPr="00865DA5">
              <w:rPr>
                <w:rFonts w:ascii="Arial" w:eastAsia="Arial" w:hAnsi="Arial" w:cs="Arial"/>
                <w:b/>
                <w:bCs/>
                <w:color w:val="000000"/>
                <w:szCs w:val="22"/>
                <w:bdr w:val="none" w:sz="0" w:space="0" w:color="auto" w:frame="1"/>
                <w:lang w:val="fr-FR"/>
              </w:rPr>
              <w:t>.</w:t>
            </w:r>
          </w:p>
        </w:tc>
      </w:tr>
    </w:tbl>
    <w:p w:rsidR="00BD5B7F" w:rsidRPr="00865DA5" w:rsidRDefault="00BD5B7F" w:rsidP="00BD5B7F">
      <w:pPr>
        <w:tabs>
          <w:tab w:val="left" w:pos="8505"/>
        </w:tabs>
        <w:rPr>
          <w:rFonts w:ascii="Arial" w:eastAsia="Calibri" w:hAnsi="Arial" w:cs="Arial"/>
          <w:color w:val="000000"/>
          <w:sz w:val="22"/>
          <w:szCs w:val="22"/>
          <w:lang w:val="fr-FR"/>
        </w:rPr>
      </w:pPr>
      <w:r w:rsidRPr="00865DA5">
        <w:rPr>
          <w:rFonts w:ascii="Arial" w:eastAsia="Calibri" w:hAnsi="Arial" w:cs="Arial"/>
          <w:color w:val="000000"/>
          <w:sz w:val="22"/>
          <w:szCs w:val="22"/>
          <w:lang w:val="fr-FR"/>
        </w:rPr>
        <w:tab/>
      </w:r>
    </w:p>
    <w:p w:rsidR="00BD5B7F" w:rsidRPr="00865DA5" w:rsidRDefault="00BD5B7F" w:rsidP="00BD5B7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color w:val="000000"/>
          <w:sz w:val="22"/>
          <w:szCs w:val="22"/>
          <w:lang w:val="fr-FR"/>
        </w:rPr>
      </w:pPr>
      <w:r w:rsidRPr="00865DA5">
        <w:rPr>
          <w:rFonts w:ascii="Arial" w:eastAsia="Calibri" w:hAnsi="Arial" w:cs="Arial"/>
          <w:color w:val="000000"/>
          <w:sz w:val="22"/>
          <w:szCs w:val="22"/>
          <w:lang w:val="fr-FR"/>
        </w:rPr>
        <w:br w:type="page"/>
      </w:r>
    </w:p>
    <w:p w:rsidR="00BD5B7F" w:rsidRPr="00865DA5" w:rsidRDefault="00BD5B7F" w:rsidP="00BD5B7F">
      <w:pPr>
        <w:keepNext/>
        <w:keepLines/>
        <w:spacing w:after="120"/>
        <w:outlineLvl w:val="1"/>
        <w:rPr>
          <w:rFonts w:ascii="Arial" w:hAnsi="Arial" w:cs="Arial"/>
          <w:b/>
          <w:color w:val="000000"/>
          <w:sz w:val="30"/>
          <w:szCs w:val="30"/>
          <w:lang w:val="fr-FR"/>
        </w:rPr>
      </w:pPr>
      <w:bookmarkStart w:id="16" w:name="_Toc486539563"/>
      <w:bookmarkStart w:id="17" w:name="_Toc491245226"/>
      <w:bookmarkStart w:id="18" w:name="_Toc491245052"/>
      <w:r w:rsidRPr="00865DA5">
        <w:rPr>
          <w:rFonts w:ascii="Arial" w:eastAsia="Arial" w:hAnsi="Arial" w:cs="Arial"/>
          <w:b/>
          <w:bCs/>
          <w:color w:val="000000"/>
          <w:sz w:val="30"/>
          <w:szCs w:val="30"/>
          <w:bdr w:val="none" w:sz="0" w:space="0" w:color="auto" w:frame="1"/>
          <w:lang w:val="fr-FR"/>
        </w:rPr>
        <w:lastRenderedPageBreak/>
        <w:t xml:space="preserve">Calendrier de la mise en œuvre de </w:t>
      </w:r>
      <w:bookmarkEnd w:id="16"/>
      <w:r w:rsidRPr="00865DA5">
        <w:rPr>
          <w:rFonts w:ascii="Arial" w:eastAsia="Arial" w:hAnsi="Arial" w:cs="Arial"/>
          <w:b/>
          <w:bCs/>
          <w:color w:val="000000"/>
          <w:sz w:val="30"/>
          <w:szCs w:val="30"/>
          <w:bdr w:val="none" w:sz="0" w:space="0" w:color="auto" w:frame="1"/>
          <w:lang w:val="fr-FR"/>
        </w:rPr>
        <w:t>l’auto-évaluation</w:t>
      </w:r>
      <w:bookmarkEnd w:id="17"/>
      <w:bookmarkEnd w:id="18"/>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Pour procéder à une auto-évaluation des progrès dans la lutte contre l’IKB au niveau national au cours du temps, le tableau de bord doit être utilisé à plusieurs reprises. </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Le Plan d’action de Tunis (TAP) et le Programme de travail du MIKT (PoW) prévoient un suivi régulier et des rapports sur les progrès réalisés. Cet outil offre la possibilité de faire rapport sur les deux initiatives, le cas échéant.</w:t>
      </w:r>
    </w:p>
    <w:p w:rsidR="00BD5B7F" w:rsidRPr="00865DA5" w:rsidRDefault="00BD5B7F" w:rsidP="00BD5B7F">
      <w:pPr>
        <w:spacing w:after="120"/>
        <w:jc w:val="both"/>
        <w:rPr>
          <w:rFonts w:ascii="Arial" w:eastAsia="Arial" w:hAnsi="Arial" w:cs="Arial"/>
          <w:color w:val="000000"/>
          <w:sz w:val="22"/>
          <w:szCs w:val="22"/>
          <w:bdr w:val="none" w:sz="0" w:space="0" w:color="auto" w:frame="1"/>
          <w:lang w:val="fr-FR"/>
        </w:rPr>
      </w:pPr>
      <w:r w:rsidRPr="00865DA5">
        <w:rPr>
          <w:rFonts w:ascii="Arial" w:eastAsia="Arial" w:hAnsi="Arial" w:cs="Arial"/>
          <w:color w:val="000000"/>
          <w:sz w:val="22"/>
          <w:szCs w:val="22"/>
          <w:bdr w:val="none" w:sz="0" w:space="0" w:color="auto" w:frame="1"/>
          <w:lang w:val="fr-FR"/>
        </w:rPr>
        <w:t xml:space="preserve">Il est prévu que la première auto-évaluation soit réalisée en 2018. Il s’agira de la base de référence qui permettra aux États de comparer l’état de l’IKB et les efforts déployés aux échelles nationale et régionale. La prochaine auto-évaluation sera réalisée en 2020 car il s’agit de l’échéance du TAP et du programme de travail du MIKT. La troisième auto-évaluation sera menée en 2023. Les évaluations suivantes auront lieu de manière synchrone avec les COP de la CMS (c’est-à-dire tous les 3 ans). </w:t>
      </w:r>
    </w:p>
    <w:tbl>
      <w:tblPr>
        <w:tblW w:w="5000" w:type="pct"/>
        <w:tblCellMar>
          <w:left w:w="70" w:type="dxa"/>
          <w:right w:w="70" w:type="dxa"/>
        </w:tblCellMar>
        <w:tblLook w:val="04A0" w:firstRow="1" w:lastRow="0" w:firstColumn="1" w:lastColumn="0" w:noHBand="0" w:noVBand="1"/>
      </w:tblPr>
      <w:tblGrid>
        <w:gridCol w:w="2633"/>
        <w:gridCol w:w="223"/>
        <w:gridCol w:w="223"/>
        <w:gridCol w:w="241"/>
        <w:gridCol w:w="254"/>
        <w:gridCol w:w="217"/>
        <w:gridCol w:w="227"/>
        <w:gridCol w:w="247"/>
        <w:gridCol w:w="254"/>
        <w:gridCol w:w="203"/>
        <w:gridCol w:w="227"/>
        <w:gridCol w:w="241"/>
        <w:gridCol w:w="254"/>
        <w:gridCol w:w="201"/>
        <w:gridCol w:w="225"/>
        <w:gridCol w:w="241"/>
        <w:gridCol w:w="254"/>
        <w:gridCol w:w="208"/>
        <w:gridCol w:w="227"/>
        <w:gridCol w:w="241"/>
        <w:gridCol w:w="254"/>
        <w:gridCol w:w="204"/>
        <w:gridCol w:w="227"/>
        <w:gridCol w:w="241"/>
        <w:gridCol w:w="254"/>
        <w:gridCol w:w="208"/>
        <w:gridCol w:w="227"/>
        <w:gridCol w:w="241"/>
        <w:gridCol w:w="313"/>
      </w:tblGrid>
      <w:tr w:rsidR="00BD5B7F" w:rsidRPr="00FF6562" w:rsidTr="000E5961">
        <w:trPr>
          <w:trHeight w:val="285"/>
        </w:trPr>
        <w:tc>
          <w:tcPr>
            <w:tcW w:w="1429" w:type="pct"/>
            <w:noWrap/>
            <w:vAlign w:val="bottom"/>
            <w:hideMark/>
          </w:tcPr>
          <w:p w:rsidR="00BD5B7F" w:rsidRPr="00865DA5" w:rsidRDefault="00BD5B7F" w:rsidP="000E5961">
            <w:pPr>
              <w:rPr>
                <w:rFonts w:ascii="Arial" w:eastAsia="Arial" w:hAnsi="Arial" w:cs="Arial"/>
                <w:color w:val="000000"/>
                <w:sz w:val="22"/>
                <w:szCs w:val="22"/>
                <w:bdr w:val="none" w:sz="0" w:space="0" w:color="auto" w:frame="1"/>
                <w:lang w:val="fr-FR"/>
              </w:rPr>
            </w:pPr>
          </w:p>
        </w:tc>
        <w:tc>
          <w:tcPr>
            <w:tcW w:w="511" w:type="pct"/>
            <w:gridSpan w:val="4"/>
            <w:shd w:val="clear" w:color="auto" w:fill="F2DDDC"/>
            <w:noWrap/>
            <w:vAlign w:val="bottom"/>
            <w:hideMark/>
          </w:tcPr>
          <w:p w:rsidR="00BD5B7F" w:rsidRPr="00FF6562" w:rsidRDefault="00BD5B7F" w:rsidP="000E5961">
            <w:pPr>
              <w:jc w:val="center"/>
              <w:rPr>
                <w:rFonts w:ascii="Arial" w:hAnsi="Arial" w:cs="Arial"/>
                <w:color w:val="000000"/>
                <w:sz w:val="16"/>
                <w:szCs w:val="16"/>
                <w:lang w:eastAsia="it-IT"/>
              </w:rPr>
            </w:pPr>
            <w:r w:rsidRPr="00FF6562">
              <w:rPr>
                <w:rFonts w:ascii="Arial" w:hAnsi="Arial" w:cs="Arial"/>
                <w:color w:val="000000"/>
                <w:sz w:val="16"/>
                <w:szCs w:val="16"/>
                <w:lang w:eastAsia="it-IT"/>
              </w:rPr>
              <w:t>2017</w:t>
            </w:r>
          </w:p>
        </w:tc>
        <w:tc>
          <w:tcPr>
            <w:tcW w:w="513" w:type="pct"/>
            <w:gridSpan w:val="4"/>
            <w:noWrap/>
            <w:vAlign w:val="bottom"/>
            <w:hideMark/>
          </w:tcPr>
          <w:p w:rsidR="00BD5B7F" w:rsidRPr="00FF6562" w:rsidRDefault="00BD5B7F" w:rsidP="000E5961">
            <w:pPr>
              <w:jc w:val="center"/>
              <w:rPr>
                <w:rFonts w:ascii="Arial" w:hAnsi="Arial" w:cs="Arial"/>
                <w:color w:val="000000"/>
                <w:sz w:val="16"/>
                <w:szCs w:val="16"/>
                <w:lang w:eastAsia="it-IT"/>
              </w:rPr>
            </w:pPr>
            <w:r w:rsidRPr="00FF6562">
              <w:rPr>
                <w:rFonts w:ascii="Arial" w:hAnsi="Arial" w:cs="Arial"/>
                <w:color w:val="000000"/>
                <w:sz w:val="16"/>
                <w:szCs w:val="16"/>
                <w:lang w:eastAsia="it-IT"/>
              </w:rPr>
              <w:t>2018</w:t>
            </w:r>
          </w:p>
        </w:tc>
        <w:tc>
          <w:tcPr>
            <w:tcW w:w="501" w:type="pct"/>
            <w:gridSpan w:val="4"/>
            <w:shd w:val="clear" w:color="auto" w:fill="F2DDDC"/>
            <w:noWrap/>
            <w:vAlign w:val="bottom"/>
            <w:hideMark/>
          </w:tcPr>
          <w:p w:rsidR="00BD5B7F" w:rsidRPr="00FF6562" w:rsidRDefault="00BD5B7F" w:rsidP="000E5961">
            <w:pPr>
              <w:jc w:val="center"/>
              <w:rPr>
                <w:rFonts w:ascii="Arial" w:hAnsi="Arial" w:cs="Arial"/>
                <w:color w:val="000000"/>
                <w:sz w:val="16"/>
                <w:szCs w:val="16"/>
                <w:lang w:eastAsia="it-IT"/>
              </w:rPr>
            </w:pPr>
            <w:r w:rsidRPr="00FF6562">
              <w:rPr>
                <w:rFonts w:ascii="Arial" w:hAnsi="Arial" w:cs="Arial"/>
                <w:color w:val="000000"/>
                <w:sz w:val="16"/>
                <w:szCs w:val="16"/>
                <w:lang w:eastAsia="it-IT"/>
              </w:rPr>
              <w:t>2019</w:t>
            </w:r>
          </w:p>
        </w:tc>
        <w:tc>
          <w:tcPr>
            <w:tcW w:w="499" w:type="pct"/>
            <w:gridSpan w:val="4"/>
            <w:noWrap/>
            <w:vAlign w:val="bottom"/>
            <w:hideMark/>
          </w:tcPr>
          <w:p w:rsidR="00BD5B7F" w:rsidRPr="00FF6562" w:rsidRDefault="00BD5B7F" w:rsidP="000E5961">
            <w:pPr>
              <w:jc w:val="center"/>
              <w:rPr>
                <w:rFonts w:ascii="Arial" w:hAnsi="Arial" w:cs="Arial"/>
                <w:color w:val="000000"/>
                <w:sz w:val="16"/>
                <w:szCs w:val="16"/>
                <w:lang w:eastAsia="it-IT"/>
              </w:rPr>
            </w:pPr>
            <w:r w:rsidRPr="00FF6562">
              <w:rPr>
                <w:rFonts w:ascii="Arial" w:hAnsi="Arial" w:cs="Arial"/>
                <w:color w:val="000000"/>
                <w:sz w:val="16"/>
                <w:szCs w:val="16"/>
                <w:lang w:eastAsia="it-IT"/>
              </w:rPr>
              <w:t>2020</w:t>
            </w:r>
          </w:p>
        </w:tc>
        <w:tc>
          <w:tcPr>
            <w:tcW w:w="505" w:type="pct"/>
            <w:gridSpan w:val="4"/>
            <w:shd w:val="clear" w:color="auto" w:fill="F2DDDC"/>
            <w:noWrap/>
            <w:vAlign w:val="bottom"/>
            <w:hideMark/>
          </w:tcPr>
          <w:p w:rsidR="00BD5B7F" w:rsidRPr="00FF6562" w:rsidRDefault="00BD5B7F" w:rsidP="000E5961">
            <w:pPr>
              <w:jc w:val="center"/>
              <w:rPr>
                <w:rFonts w:ascii="Arial" w:hAnsi="Arial" w:cs="Arial"/>
                <w:color w:val="000000"/>
                <w:sz w:val="16"/>
                <w:szCs w:val="16"/>
                <w:lang w:eastAsia="it-IT"/>
              </w:rPr>
            </w:pPr>
            <w:r w:rsidRPr="00FF6562">
              <w:rPr>
                <w:rFonts w:ascii="Arial" w:hAnsi="Arial" w:cs="Arial"/>
                <w:color w:val="000000"/>
                <w:sz w:val="16"/>
                <w:szCs w:val="16"/>
                <w:lang w:eastAsia="it-IT"/>
              </w:rPr>
              <w:t>2021</w:t>
            </w:r>
          </w:p>
        </w:tc>
        <w:tc>
          <w:tcPr>
            <w:tcW w:w="502" w:type="pct"/>
            <w:gridSpan w:val="4"/>
            <w:noWrap/>
            <w:vAlign w:val="bottom"/>
            <w:hideMark/>
          </w:tcPr>
          <w:p w:rsidR="00BD5B7F" w:rsidRPr="00FF6562" w:rsidRDefault="00BD5B7F" w:rsidP="000E5961">
            <w:pPr>
              <w:jc w:val="center"/>
              <w:rPr>
                <w:rFonts w:ascii="Arial" w:hAnsi="Arial" w:cs="Arial"/>
                <w:color w:val="000000"/>
                <w:sz w:val="16"/>
                <w:szCs w:val="16"/>
                <w:lang w:eastAsia="it-IT"/>
              </w:rPr>
            </w:pPr>
            <w:r w:rsidRPr="00FF6562">
              <w:rPr>
                <w:rFonts w:ascii="Arial" w:hAnsi="Arial" w:cs="Arial"/>
                <w:color w:val="000000"/>
                <w:sz w:val="16"/>
                <w:szCs w:val="16"/>
                <w:lang w:eastAsia="it-IT"/>
              </w:rPr>
              <w:t>2022</w:t>
            </w:r>
          </w:p>
        </w:tc>
        <w:tc>
          <w:tcPr>
            <w:tcW w:w="539" w:type="pct"/>
            <w:gridSpan w:val="4"/>
            <w:shd w:val="clear" w:color="auto" w:fill="F2DDDC"/>
            <w:noWrap/>
            <w:vAlign w:val="bottom"/>
            <w:hideMark/>
          </w:tcPr>
          <w:p w:rsidR="00BD5B7F" w:rsidRPr="00FF6562" w:rsidRDefault="00BD5B7F" w:rsidP="000E5961">
            <w:pPr>
              <w:jc w:val="center"/>
              <w:rPr>
                <w:rFonts w:ascii="Arial" w:hAnsi="Arial" w:cs="Arial"/>
                <w:color w:val="000000"/>
                <w:sz w:val="16"/>
                <w:szCs w:val="16"/>
                <w:lang w:eastAsia="it-IT"/>
              </w:rPr>
            </w:pPr>
            <w:r w:rsidRPr="00FF6562">
              <w:rPr>
                <w:rFonts w:ascii="Arial" w:hAnsi="Arial" w:cs="Arial"/>
                <w:color w:val="000000"/>
                <w:sz w:val="16"/>
                <w:szCs w:val="16"/>
                <w:lang w:eastAsia="it-IT"/>
              </w:rPr>
              <w:t>2023</w:t>
            </w:r>
          </w:p>
        </w:tc>
      </w:tr>
      <w:tr w:rsidR="00BD5B7F" w:rsidRPr="00FF6562" w:rsidTr="000E5961">
        <w:trPr>
          <w:trHeight w:val="258"/>
        </w:trPr>
        <w:tc>
          <w:tcPr>
            <w:tcW w:w="1429" w:type="pct"/>
            <w:noWrap/>
            <w:vAlign w:val="bottom"/>
            <w:hideMark/>
          </w:tcPr>
          <w:p w:rsidR="00BD5B7F" w:rsidRPr="00FF6562" w:rsidRDefault="00BD5B7F" w:rsidP="000E5961">
            <w:pPr>
              <w:rPr>
                <w:rFonts w:ascii="Arial" w:hAnsi="Arial" w:cs="Arial"/>
                <w:color w:val="000000"/>
                <w:sz w:val="16"/>
                <w:szCs w:val="16"/>
                <w:lang w:eastAsia="it-IT"/>
              </w:rPr>
            </w:pPr>
          </w:p>
        </w:tc>
        <w:tc>
          <w:tcPr>
            <w:tcW w:w="121" w:type="pct"/>
            <w:tcBorders>
              <w:top w:val="single" w:sz="4" w:space="0" w:color="auto"/>
              <w:left w:val="single" w:sz="4" w:space="0" w:color="auto"/>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w:t>
            </w:r>
          </w:p>
        </w:tc>
        <w:tc>
          <w:tcPr>
            <w:tcW w:w="121"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II</w:t>
            </w:r>
          </w:p>
        </w:tc>
        <w:tc>
          <w:tcPr>
            <w:tcW w:w="131"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III</w:t>
            </w:r>
          </w:p>
        </w:tc>
        <w:tc>
          <w:tcPr>
            <w:tcW w:w="138"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IV</w:t>
            </w:r>
          </w:p>
        </w:tc>
        <w:tc>
          <w:tcPr>
            <w:tcW w:w="118"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w:t>
            </w:r>
          </w:p>
        </w:tc>
        <w:tc>
          <w:tcPr>
            <w:tcW w:w="123"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II</w:t>
            </w:r>
          </w:p>
        </w:tc>
        <w:tc>
          <w:tcPr>
            <w:tcW w:w="134"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III</w:t>
            </w:r>
          </w:p>
        </w:tc>
        <w:tc>
          <w:tcPr>
            <w:tcW w:w="138"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IV</w:t>
            </w:r>
          </w:p>
        </w:tc>
        <w:tc>
          <w:tcPr>
            <w:tcW w:w="110"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w:t>
            </w:r>
          </w:p>
        </w:tc>
        <w:tc>
          <w:tcPr>
            <w:tcW w:w="123"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II</w:t>
            </w:r>
          </w:p>
        </w:tc>
        <w:tc>
          <w:tcPr>
            <w:tcW w:w="131"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III</w:t>
            </w:r>
          </w:p>
        </w:tc>
        <w:tc>
          <w:tcPr>
            <w:tcW w:w="138"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IV</w:t>
            </w:r>
          </w:p>
        </w:tc>
        <w:tc>
          <w:tcPr>
            <w:tcW w:w="109"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w:t>
            </w:r>
          </w:p>
        </w:tc>
        <w:tc>
          <w:tcPr>
            <w:tcW w:w="122"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II</w:t>
            </w:r>
          </w:p>
        </w:tc>
        <w:tc>
          <w:tcPr>
            <w:tcW w:w="131"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III</w:t>
            </w:r>
          </w:p>
        </w:tc>
        <w:tc>
          <w:tcPr>
            <w:tcW w:w="138"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IV</w:t>
            </w:r>
          </w:p>
        </w:tc>
        <w:tc>
          <w:tcPr>
            <w:tcW w:w="113"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w:t>
            </w:r>
          </w:p>
        </w:tc>
        <w:tc>
          <w:tcPr>
            <w:tcW w:w="123"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II</w:t>
            </w:r>
          </w:p>
        </w:tc>
        <w:tc>
          <w:tcPr>
            <w:tcW w:w="131"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III</w:t>
            </w:r>
          </w:p>
        </w:tc>
        <w:tc>
          <w:tcPr>
            <w:tcW w:w="138"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IV</w:t>
            </w:r>
          </w:p>
        </w:tc>
        <w:tc>
          <w:tcPr>
            <w:tcW w:w="111"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w:t>
            </w:r>
          </w:p>
        </w:tc>
        <w:tc>
          <w:tcPr>
            <w:tcW w:w="123"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II</w:t>
            </w:r>
          </w:p>
        </w:tc>
        <w:tc>
          <w:tcPr>
            <w:tcW w:w="131"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III</w:t>
            </w:r>
          </w:p>
        </w:tc>
        <w:tc>
          <w:tcPr>
            <w:tcW w:w="138"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IV</w:t>
            </w:r>
          </w:p>
        </w:tc>
        <w:tc>
          <w:tcPr>
            <w:tcW w:w="113"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w:t>
            </w:r>
          </w:p>
        </w:tc>
        <w:tc>
          <w:tcPr>
            <w:tcW w:w="123"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II</w:t>
            </w:r>
          </w:p>
        </w:tc>
        <w:tc>
          <w:tcPr>
            <w:tcW w:w="131"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III</w:t>
            </w:r>
          </w:p>
        </w:tc>
        <w:tc>
          <w:tcPr>
            <w:tcW w:w="173" w:type="pct"/>
            <w:tcBorders>
              <w:top w:val="single" w:sz="4" w:space="0" w:color="auto"/>
              <w:left w:val="nil"/>
              <w:bottom w:val="single" w:sz="4" w:space="0" w:color="auto"/>
              <w:right w:val="single" w:sz="4" w:space="0" w:color="auto"/>
            </w:tcBorders>
            <w:noWrap/>
            <w:vAlign w:val="center"/>
            <w:hideMark/>
          </w:tcPr>
          <w:p w:rsidR="00BD5B7F" w:rsidRPr="00FF6562" w:rsidRDefault="00BD5B7F" w:rsidP="000E5961">
            <w:pPr>
              <w:jc w:val="center"/>
              <w:rPr>
                <w:rFonts w:ascii="Arial" w:hAnsi="Arial" w:cs="Arial"/>
                <w:color w:val="000000"/>
                <w:sz w:val="12"/>
                <w:szCs w:val="12"/>
                <w:lang w:eastAsia="it-IT"/>
              </w:rPr>
            </w:pPr>
            <w:r w:rsidRPr="00FF6562">
              <w:rPr>
                <w:rFonts w:ascii="Arial" w:eastAsia="Arial" w:hAnsi="Arial" w:cs="Arial"/>
                <w:color w:val="000000"/>
                <w:sz w:val="12"/>
                <w:szCs w:val="12"/>
                <w:bdr w:val="none" w:sz="0" w:space="0" w:color="auto" w:frame="1"/>
                <w:lang w:eastAsia="it-IT"/>
              </w:rPr>
              <w:t>IV</w:t>
            </w:r>
          </w:p>
        </w:tc>
      </w:tr>
      <w:tr w:rsidR="00BD5B7F" w:rsidRPr="00FF6562" w:rsidTr="000E5961">
        <w:trPr>
          <w:trHeight w:val="285"/>
        </w:trPr>
        <w:tc>
          <w:tcPr>
            <w:tcW w:w="1429" w:type="pct"/>
            <w:noWrap/>
            <w:vAlign w:val="center"/>
            <w:hideMark/>
          </w:tcPr>
          <w:p w:rsidR="00BD5B7F" w:rsidRPr="00FF6562" w:rsidRDefault="00BD5B7F" w:rsidP="000E5961">
            <w:pPr>
              <w:rPr>
                <w:rFonts w:ascii="Arial" w:hAnsi="Arial" w:cs="Arial"/>
                <w:color w:val="000000"/>
                <w:sz w:val="16"/>
                <w:szCs w:val="16"/>
                <w:lang w:eastAsia="it-IT"/>
              </w:rPr>
            </w:pPr>
            <w:r w:rsidRPr="00FF6562">
              <w:rPr>
                <w:rFonts w:ascii="Arial" w:eastAsia="Arial" w:hAnsi="Arial" w:cs="Arial"/>
                <w:color w:val="000000"/>
                <w:sz w:val="16"/>
                <w:szCs w:val="16"/>
                <w:bdr w:val="none" w:sz="0" w:space="0" w:color="auto" w:frame="1"/>
                <w:lang w:eastAsia="it-IT"/>
              </w:rPr>
              <w:t>Tableau de bord IKB</w:t>
            </w:r>
          </w:p>
        </w:tc>
        <w:tc>
          <w:tcPr>
            <w:tcW w:w="121" w:type="pct"/>
            <w:tcBorders>
              <w:top w:val="nil"/>
              <w:left w:val="single" w:sz="4" w:space="0" w:color="auto"/>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4" w:type="pct"/>
            <w:tcBorders>
              <w:top w:val="nil"/>
              <w:left w:val="nil"/>
              <w:bottom w:val="single" w:sz="4" w:space="0" w:color="auto"/>
              <w:right w:val="single" w:sz="4" w:space="0" w:color="auto"/>
            </w:tcBorders>
            <w:shd w:val="clear" w:color="auto" w:fill="FFFF00"/>
            <w:noWrap/>
            <w:vAlign w:val="center"/>
            <w:hideMark/>
          </w:tcPr>
          <w:p w:rsidR="00BD5B7F" w:rsidRPr="00FF6562" w:rsidRDefault="00BD5B7F" w:rsidP="000E5961">
            <w:pPr>
              <w:jc w:val="center"/>
              <w:rPr>
                <w:rFonts w:ascii="Arial" w:hAnsi="Arial" w:cs="Arial"/>
                <w:color w:val="000000"/>
                <w:sz w:val="16"/>
                <w:szCs w:val="16"/>
                <w:lang w:eastAsia="it-IT"/>
              </w:rPr>
            </w:pPr>
            <w:r w:rsidRPr="00FF6562">
              <w:rPr>
                <w:rFonts w:ascii="Arial" w:eastAsia="Arial" w:hAnsi="Arial" w:cs="Arial"/>
                <w:color w:val="000000"/>
                <w:sz w:val="16"/>
                <w:szCs w:val="16"/>
                <w:bdr w:val="none" w:sz="0" w:space="0" w:color="auto" w:frame="1"/>
                <w:lang w:eastAsia="it-IT"/>
              </w:rPr>
              <w:t>B</w:t>
            </w:r>
          </w:p>
        </w:tc>
        <w:tc>
          <w:tcPr>
            <w:tcW w:w="138" w:type="pct"/>
            <w:tcBorders>
              <w:top w:val="nil"/>
              <w:left w:val="nil"/>
              <w:bottom w:val="single" w:sz="4" w:space="0" w:color="auto"/>
              <w:right w:val="single" w:sz="4" w:space="0" w:color="auto"/>
            </w:tcBorders>
            <w:noWrap/>
            <w:vAlign w:val="center"/>
            <w:hideMark/>
          </w:tcPr>
          <w:p w:rsidR="00BD5B7F" w:rsidRPr="00FF6562" w:rsidRDefault="00BD5B7F" w:rsidP="000E5961">
            <w:pPr>
              <w:rPr>
                <w:rFonts w:ascii="Arial" w:hAnsi="Arial" w:cs="Arial"/>
                <w:color w:val="000000"/>
                <w:sz w:val="16"/>
                <w:szCs w:val="16"/>
                <w:lang w:eastAsia="it-IT"/>
              </w:rPr>
            </w:pPr>
          </w:p>
        </w:tc>
        <w:tc>
          <w:tcPr>
            <w:tcW w:w="110" w:type="pct"/>
            <w:tcBorders>
              <w:top w:val="nil"/>
              <w:left w:val="nil"/>
              <w:bottom w:val="single" w:sz="4" w:space="0" w:color="auto"/>
              <w:right w:val="single" w:sz="4" w:space="0" w:color="auto"/>
            </w:tcBorders>
            <w:noWrap/>
            <w:vAlign w:val="center"/>
            <w:hideMark/>
          </w:tcPr>
          <w:p w:rsidR="00BD5B7F" w:rsidRPr="00FF6562" w:rsidRDefault="00BD5B7F" w:rsidP="000E5961">
            <w:pPr>
              <w:rPr>
                <w:rFonts w:ascii="Arial" w:hAnsi="Arial" w:cs="Arial"/>
              </w:rPr>
            </w:pPr>
          </w:p>
        </w:tc>
        <w:tc>
          <w:tcPr>
            <w:tcW w:w="123" w:type="pct"/>
            <w:tcBorders>
              <w:top w:val="nil"/>
              <w:left w:val="nil"/>
              <w:bottom w:val="single" w:sz="4" w:space="0" w:color="auto"/>
              <w:right w:val="single" w:sz="4" w:space="0" w:color="auto"/>
            </w:tcBorders>
            <w:noWrap/>
            <w:vAlign w:val="center"/>
            <w:hideMark/>
          </w:tcPr>
          <w:p w:rsidR="00BD5B7F" w:rsidRPr="00FF6562" w:rsidRDefault="00BD5B7F" w:rsidP="000E5961">
            <w:pPr>
              <w:rPr>
                <w:rFonts w:ascii="Arial" w:hAnsi="Arial" w:cs="Arial"/>
              </w:rPr>
            </w:pPr>
          </w:p>
        </w:tc>
        <w:tc>
          <w:tcPr>
            <w:tcW w:w="131" w:type="pct"/>
            <w:tcBorders>
              <w:top w:val="nil"/>
              <w:left w:val="nil"/>
              <w:bottom w:val="single" w:sz="4" w:space="0" w:color="auto"/>
              <w:right w:val="single" w:sz="4" w:space="0" w:color="auto"/>
            </w:tcBorders>
            <w:noWrap/>
            <w:vAlign w:val="center"/>
            <w:hideMark/>
          </w:tcPr>
          <w:p w:rsidR="00BD5B7F" w:rsidRPr="00FF6562" w:rsidRDefault="00BD5B7F" w:rsidP="000E5961">
            <w:pPr>
              <w:rPr>
                <w:rFonts w:ascii="Arial" w:hAnsi="Arial" w:cs="Arial"/>
              </w:rPr>
            </w:pPr>
          </w:p>
        </w:tc>
        <w:tc>
          <w:tcPr>
            <w:tcW w:w="138" w:type="pct"/>
            <w:tcBorders>
              <w:top w:val="nil"/>
              <w:left w:val="nil"/>
              <w:bottom w:val="single" w:sz="4" w:space="0" w:color="auto"/>
              <w:right w:val="single" w:sz="4" w:space="0" w:color="auto"/>
            </w:tcBorders>
            <w:noWrap/>
            <w:vAlign w:val="center"/>
            <w:hideMark/>
          </w:tcPr>
          <w:p w:rsidR="00BD5B7F" w:rsidRPr="00FF6562" w:rsidRDefault="00BD5B7F" w:rsidP="000E5961">
            <w:pPr>
              <w:rPr>
                <w:rFonts w:ascii="Arial" w:hAnsi="Arial" w:cs="Arial"/>
              </w:rPr>
            </w:pPr>
          </w:p>
        </w:tc>
        <w:tc>
          <w:tcPr>
            <w:tcW w:w="109" w:type="pct"/>
            <w:tcBorders>
              <w:top w:val="nil"/>
              <w:left w:val="nil"/>
              <w:bottom w:val="single" w:sz="4" w:space="0" w:color="auto"/>
              <w:right w:val="single" w:sz="4" w:space="0" w:color="auto"/>
            </w:tcBorders>
            <w:noWrap/>
            <w:vAlign w:val="center"/>
            <w:hideMark/>
          </w:tcPr>
          <w:p w:rsidR="00BD5B7F" w:rsidRPr="00FF6562" w:rsidRDefault="00BD5B7F" w:rsidP="000E5961">
            <w:pPr>
              <w:rPr>
                <w:rFonts w:ascii="Arial" w:hAnsi="Arial" w:cs="Arial"/>
              </w:rPr>
            </w:pPr>
          </w:p>
        </w:tc>
        <w:tc>
          <w:tcPr>
            <w:tcW w:w="122" w:type="pct"/>
            <w:tcBorders>
              <w:top w:val="nil"/>
              <w:left w:val="nil"/>
              <w:bottom w:val="single" w:sz="4" w:space="0" w:color="auto"/>
              <w:right w:val="single" w:sz="4" w:space="0" w:color="auto"/>
            </w:tcBorders>
            <w:noWrap/>
            <w:vAlign w:val="center"/>
            <w:hideMark/>
          </w:tcPr>
          <w:p w:rsidR="00BD5B7F" w:rsidRPr="00FF6562" w:rsidRDefault="00BD5B7F" w:rsidP="000E5961">
            <w:pPr>
              <w:rPr>
                <w:rFonts w:ascii="Arial" w:hAnsi="Arial" w:cs="Arial"/>
              </w:rPr>
            </w:pPr>
          </w:p>
        </w:tc>
        <w:tc>
          <w:tcPr>
            <w:tcW w:w="131" w:type="pct"/>
            <w:tcBorders>
              <w:top w:val="nil"/>
              <w:left w:val="nil"/>
              <w:bottom w:val="single" w:sz="4" w:space="0" w:color="auto"/>
              <w:right w:val="single" w:sz="4" w:space="0" w:color="auto"/>
            </w:tcBorders>
            <w:shd w:val="clear" w:color="auto" w:fill="FFFF00"/>
            <w:noWrap/>
            <w:vAlign w:val="center"/>
            <w:hideMark/>
          </w:tcPr>
          <w:p w:rsidR="00BD5B7F" w:rsidRPr="00FF6562" w:rsidRDefault="00BD5B7F" w:rsidP="000E5961">
            <w:pPr>
              <w:jc w:val="center"/>
              <w:rPr>
                <w:rFonts w:ascii="Arial" w:hAnsi="Arial" w:cs="Arial"/>
                <w:color w:val="000000"/>
                <w:sz w:val="16"/>
                <w:szCs w:val="16"/>
                <w:lang w:eastAsia="it-IT"/>
              </w:rPr>
            </w:pPr>
            <w:r w:rsidRPr="00FF6562">
              <w:rPr>
                <w:rFonts w:ascii="Arial" w:hAnsi="Arial" w:cs="Arial"/>
                <w:color w:val="000000"/>
                <w:sz w:val="16"/>
                <w:szCs w:val="16"/>
                <w:lang w:eastAsia="it-IT"/>
              </w:rPr>
              <w:t>1</w:t>
            </w:r>
          </w:p>
        </w:tc>
        <w:tc>
          <w:tcPr>
            <w:tcW w:w="138" w:type="pct"/>
            <w:tcBorders>
              <w:top w:val="nil"/>
              <w:left w:val="nil"/>
              <w:bottom w:val="single" w:sz="4" w:space="0" w:color="auto"/>
              <w:right w:val="single" w:sz="4" w:space="0" w:color="auto"/>
            </w:tcBorders>
            <w:noWrap/>
            <w:vAlign w:val="center"/>
            <w:hideMark/>
          </w:tcPr>
          <w:p w:rsidR="00BD5B7F" w:rsidRPr="00FF6562" w:rsidRDefault="00BD5B7F" w:rsidP="000E5961">
            <w:pPr>
              <w:rPr>
                <w:rFonts w:ascii="Arial" w:hAnsi="Arial" w:cs="Arial"/>
                <w:color w:val="000000"/>
                <w:sz w:val="16"/>
                <w:szCs w:val="16"/>
                <w:lang w:eastAsia="it-IT"/>
              </w:rPr>
            </w:pPr>
          </w:p>
        </w:tc>
        <w:tc>
          <w:tcPr>
            <w:tcW w:w="113" w:type="pct"/>
            <w:tcBorders>
              <w:top w:val="nil"/>
              <w:left w:val="nil"/>
              <w:bottom w:val="single" w:sz="4" w:space="0" w:color="auto"/>
              <w:right w:val="single" w:sz="4" w:space="0" w:color="auto"/>
            </w:tcBorders>
            <w:noWrap/>
            <w:vAlign w:val="center"/>
            <w:hideMark/>
          </w:tcPr>
          <w:p w:rsidR="00BD5B7F" w:rsidRPr="00FF6562" w:rsidRDefault="00BD5B7F" w:rsidP="000E5961">
            <w:pPr>
              <w:rPr>
                <w:rFonts w:ascii="Arial" w:hAnsi="Arial" w:cs="Arial"/>
              </w:rPr>
            </w:pPr>
          </w:p>
        </w:tc>
        <w:tc>
          <w:tcPr>
            <w:tcW w:w="123" w:type="pct"/>
            <w:tcBorders>
              <w:top w:val="nil"/>
              <w:left w:val="nil"/>
              <w:bottom w:val="single" w:sz="4" w:space="0" w:color="auto"/>
              <w:right w:val="single" w:sz="4" w:space="0" w:color="auto"/>
            </w:tcBorders>
            <w:noWrap/>
            <w:vAlign w:val="center"/>
            <w:hideMark/>
          </w:tcPr>
          <w:p w:rsidR="00BD5B7F" w:rsidRPr="00FF6562" w:rsidRDefault="00BD5B7F" w:rsidP="000E5961">
            <w:pPr>
              <w:rPr>
                <w:rFonts w:ascii="Arial" w:hAnsi="Arial" w:cs="Arial"/>
              </w:rPr>
            </w:pPr>
          </w:p>
        </w:tc>
        <w:tc>
          <w:tcPr>
            <w:tcW w:w="131" w:type="pct"/>
            <w:tcBorders>
              <w:top w:val="nil"/>
              <w:left w:val="nil"/>
              <w:bottom w:val="single" w:sz="4" w:space="0" w:color="auto"/>
              <w:right w:val="single" w:sz="4" w:space="0" w:color="auto"/>
            </w:tcBorders>
            <w:noWrap/>
            <w:vAlign w:val="center"/>
            <w:hideMark/>
          </w:tcPr>
          <w:p w:rsidR="00BD5B7F" w:rsidRPr="00FF6562" w:rsidRDefault="00BD5B7F" w:rsidP="000E5961">
            <w:pPr>
              <w:rPr>
                <w:rFonts w:ascii="Arial" w:hAnsi="Arial" w:cs="Arial"/>
              </w:rPr>
            </w:pPr>
          </w:p>
        </w:tc>
        <w:tc>
          <w:tcPr>
            <w:tcW w:w="138" w:type="pct"/>
            <w:tcBorders>
              <w:top w:val="nil"/>
              <w:left w:val="nil"/>
              <w:bottom w:val="single" w:sz="4" w:space="0" w:color="auto"/>
              <w:right w:val="single" w:sz="4" w:space="0" w:color="auto"/>
            </w:tcBorders>
            <w:noWrap/>
            <w:vAlign w:val="center"/>
            <w:hideMark/>
          </w:tcPr>
          <w:p w:rsidR="00BD5B7F" w:rsidRPr="00FF6562" w:rsidRDefault="00BD5B7F" w:rsidP="000E5961">
            <w:pPr>
              <w:rPr>
                <w:rFonts w:ascii="Arial" w:hAnsi="Arial" w:cs="Arial"/>
              </w:rPr>
            </w:pPr>
          </w:p>
        </w:tc>
        <w:tc>
          <w:tcPr>
            <w:tcW w:w="111" w:type="pct"/>
            <w:tcBorders>
              <w:top w:val="nil"/>
              <w:left w:val="nil"/>
              <w:bottom w:val="single" w:sz="4" w:space="0" w:color="auto"/>
              <w:right w:val="single" w:sz="4" w:space="0" w:color="auto"/>
            </w:tcBorders>
            <w:noWrap/>
            <w:vAlign w:val="center"/>
            <w:hideMark/>
          </w:tcPr>
          <w:p w:rsidR="00BD5B7F" w:rsidRPr="00FF6562" w:rsidRDefault="00BD5B7F" w:rsidP="000E5961">
            <w:pPr>
              <w:rPr>
                <w:rFonts w:ascii="Arial" w:hAnsi="Arial" w:cs="Arial"/>
              </w:rPr>
            </w:pPr>
          </w:p>
        </w:tc>
        <w:tc>
          <w:tcPr>
            <w:tcW w:w="123" w:type="pct"/>
            <w:tcBorders>
              <w:top w:val="nil"/>
              <w:left w:val="nil"/>
              <w:bottom w:val="single" w:sz="4" w:space="0" w:color="auto"/>
              <w:right w:val="single" w:sz="4" w:space="0" w:color="auto"/>
            </w:tcBorders>
            <w:noWrap/>
            <w:vAlign w:val="center"/>
            <w:hideMark/>
          </w:tcPr>
          <w:p w:rsidR="00BD5B7F" w:rsidRPr="00FF6562" w:rsidRDefault="00BD5B7F" w:rsidP="000E5961">
            <w:pPr>
              <w:rPr>
                <w:rFonts w:ascii="Arial" w:hAnsi="Arial" w:cs="Arial"/>
              </w:rPr>
            </w:pPr>
          </w:p>
        </w:tc>
        <w:tc>
          <w:tcPr>
            <w:tcW w:w="131" w:type="pct"/>
            <w:noWrap/>
            <w:vAlign w:val="center"/>
            <w:hideMark/>
          </w:tcPr>
          <w:p w:rsidR="00BD5B7F" w:rsidRPr="00FF6562" w:rsidRDefault="00BD5B7F" w:rsidP="000E5961">
            <w:pPr>
              <w:rPr>
                <w:rFonts w:ascii="Arial" w:hAnsi="Arial" w:cs="Arial"/>
              </w:rPr>
            </w:pPr>
          </w:p>
        </w:tc>
        <w:tc>
          <w:tcPr>
            <w:tcW w:w="138" w:type="pct"/>
            <w:tcBorders>
              <w:top w:val="nil"/>
              <w:left w:val="single" w:sz="4" w:space="0" w:color="auto"/>
              <w:bottom w:val="single" w:sz="4" w:space="0" w:color="auto"/>
              <w:right w:val="single" w:sz="4" w:space="0" w:color="auto"/>
            </w:tcBorders>
            <w:noWrap/>
            <w:vAlign w:val="center"/>
            <w:hideMark/>
          </w:tcPr>
          <w:p w:rsidR="00BD5B7F" w:rsidRPr="00FF6562" w:rsidRDefault="00BD5B7F" w:rsidP="000E5961">
            <w:pPr>
              <w:rPr>
                <w:rFonts w:ascii="Arial" w:hAnsi="Arial" w:cs="Arial"/>
              </w:rPr>
            </w:pPr>
          </w:p>
        </w:tc>
        <w:tc>
          <w:tcPr>
            <w:tcW w:w="113" w:type="pct"/>
            <w:tcBorders>
              <w:top w:val="nil"/>
              <w:left w:val="nil"/>
              <w:bottom w:val="single" w:sz="4" w:space="0" w:color="auto"/>
              <w:right w:val="single" w:sz="4" w:space="0" w:color="auto"/>
            </w:tcBorders>
            <w:noWrap/>
            <w:vAlign w:val="center"/>
            <w:hideMark/>
          </w:tcPr>
          <w:p w:rsidR="00BD5B7F" w:rsidRPr="00FF6562" w:rsidRDefault="00BD5B7F" w:rsidP="000E5961">
            <w:pPr>
              <w:rPr>
                <w:rFonts w:ascii="Arial" w:hAnsi="Arial" w:cs="Arial"/>
              </w:rPr>
            </w:pPr>
          </w:p>
        </w:tc>
        <w:tc>
          <w:tcPr>
            <w:tcW w:w="123" w:type="pct"/>
            <w:tcBorders>
              <w:top w:val="nil"/>
              <w:left w:val="nil"/>
              <w:bottom w:val="single" w:sz="4" w:space="0" w:color="auto"/>
              <w:right w:val="single" w:sz="4" w:space="0" w:color="auto"/>
            </w:tcBorders>
            <w:noWrap/>
            <w:vAlign w:val="center"/>
            <w:hideMark/>
          </w:tcPr>
          <w:p w:rsidR="00BD5B7F" w:rsidRPr="00FF6562" w:rsidRDefault="00BD5B7F" w:rsidP="000E5961">
            <w:pPr>
              <w:rPr>
                <w:rFonts w:ascii="Arial" w:hAnsi="Arial" w:cs="Arial"/>
              </w:rPr>
            </w:pPr>
          </w:p>
        </w:tc>
        <w:tc>
          <w:tcPr>
            <w:tcW w:w="131" w:type="pct"/>
            <w:tcBorders>
              <w:top w:val="nil"/>
              <w:left w:val="nil"/>
              <w:bottom w:val="single" w:sz="4" w:space="0" w:color="auto"/>
              <w:right w:val="single" w:sz="4" w:space="0" w:color="auto"/>
            </w:tcBorders>
            <w:shd w:val="clear" w:color="auto" w:fill="FFFF00"/>
            <w:noWrap/>
            <w:vAlign w:val="center"/>
            <w:hideMark/>
          </w:tcPr>
          <w:p w:rsidR="00BD5B7F" w:rsidRPr="00FF6562" w:rsidRDefault="00BD5B7F" w:rsidP="000E5961">
            <w:pPr>
              <w:jc w:val="center"/>
              <w:rPr>
                <w:rFonts w:ascii="Arial" w:hAnsi="Arial" w:cs="Arial"/>
                <w:color w:val="000000"/>
                <w:sz w:val="16"/>
                <w:szCs w:val="16"/>
                <w:lang w:eastAsia="it-IT"/>
              </w:rPr>
            </w:pPr>
            <w:r w:rsidRPr="00FF6562">
              <w:rPr>
                <w:rFonts w:ascii="Arial" w:hAnsi="Arial" w:cs="Arial"/>
                <w:color w:val="000000"/>
                <w:sz w:val="16"/>
                <w:szCs w:val="16"/>
                <w:lang w:eastAsia="it-IT"/>
              </w:rPr>
              <w:t>2</w:t>
            </w:r>
          </w:p>
        </w:tc>
        <w:tc>
          <w:tcPr>
            <w:tcW w:w="17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r>
      <w:tr w:rsidR="00BD5B7F" w:rsidRPr="00FF6562" w:rsidTr="000E5961">
        <w:trPr>
          <w:trHeight w:val="285"/>
        </w:trPr>
        <w:tc>
          <w:tcPr>
            <w:tcW w:w="1429" w:type="pct"/>
            <w:noWrap/>
            <w:vAlign w:val="center"/>
            <w:hideMark/>
          </w:tcPr>
          <w:p w:rsidR="00BD5B7F" w:rsidRPr="00FF6562" w:rsidRDefault="00BD5B7F" w:rsidP="000E5961">
            <w:pPr>
              <w:rPr>
                <w:rFonts w:ascii="Arial" w:hAnsi="Arial" w:cs="Arial"/>
                <w:color w:val="000000"/>
                <w:sz w:val="16"/>
                <w:szCs w:val="16"/>
                <w:lang w:eastAsia="it-IT"/>
              </w:rPr>
            </w:pPr>
            <w:r w:rsidRPr="00FF6562">
              <w:rPr>
                <w:rFonts w:ascii="Arial" w:eastAsia="Arial" w:hAnsi="Arial" w:cs="Arial"/>
                <w:color w:val="000000"/>
                <w:sz w:val="16"/>
                <w:szCs w:val="16"/>
                <w:bdr w:val="none" w:sz="0" w:space="0" w:color="auto" w:frame="1"/>
                <w:lang w:eastAsia="it-IT"/>
              </w:rPr>
              <w:t>TAP</w:t>
            </w:r>
          </w:p>
        </w:tc>
        <w:tc>
          <w:tcPr>
            <w:tcW w:w="121" w:type="pct"/>
            <w:tcBorders>
              <w:top w:val="nil"/>
              <w:left w:val="single" w:sz="4" w:space="0" w:color="auto"/>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4"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shd w:val="clear" w:color="auto" w:fill="FFC00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0"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09"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2"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shd w:val="clear" w:color="auto" w:fill="FFC00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single" w:sz="4" w:space="0" w:color="auto"/>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7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r>
      <w:tr w:rsidR="00BD5B7F" w:rsidRPr="00FC42B0" w:rsidTr="000E5961">
        <w:trPr>
          <w:trHeight w:val="285"/>
        </w:trPr>
        <w:tc>
          <w:tcPr>
            <w:tcW w:w="1429" w:type="pct"/>
            <w:noWrap/>
            <w:vAlign w:val="center"/>
            <w:hideMark/>
          </w:tcPr>
          <w:p w:rsidR="00BD5B7F" w:rsidRPr="00865DA5" w:rsidRDefault="00BD5B7F" w:rsidP="000E5961">
            <w:pPr>
              <w:rPr>
                <w:rFonts w:ascii="Arial" w:hAnsi="Arial" w:cs="Arial"/>
                <w:color w:val="000000"/>
                <w:sz w:val="16"/>
                <w:szCs w:val="16"/>
                <w:lang w:val="fr-FR" w:eastAsia="it-IT"/>
              </w:rPr>
            </w:pPr>
            <w:r w:rsidRPr="00865DA5">
              <w:rPr>
                <w:rFonts w:ascii="Arial" w:eastAsia="Arial" w:hAnsi="Arial" w:cs="Arial"/>
                <w:color w:val="000000"/>
                <w:sz w:val="16"/>
                <w:szCs w:val="16"/>
                <w:bdr w:val="none" w:sz="0" w:space="0" w:color="auto" w:frame="1"/>
                <w:lang w:val="fr-FR" w:eastAsia="it-IT"/>
              </w:rPr>
              <w:t>Comité permanent Conv. de Berne</w:t>
            </w:r>
          </w:p>
        </w:tc>
        <w:tc>
          <w:tcPr>
            <w:tcW w:w="121" w:type="pct"/>
            <w:tcBorders>
              <w:top w:val="nil"/>
              <w:left w:val="single" w:sz="4" w:space="0" w:color="auto"/>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21"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31"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38" w:type="pct"/>
            <w:tcBorders>
              <w:top w:val="nil"/>
              <w:left w:val="nil"/>
              <w:bottom w:val="single" w:sz="4" w:space="0" w:color="auto"/>
              <w:right w:val="single" w:sz="4" w:space="0" w:color="auto"/>
            </w:tcBorders>
            <w:shd w:val="clear" w:color="auto" w:fill="0070C0"/>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18"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23"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34"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38" w:type="pct"/>
            <w:tcBorders>
              <w:top w:val="nil"/>
              <w:left w:val="nil"/>
              <w:bottom w:val="single" w:sz="4" w:space="0" w:color="auto"/>
              <w:right w:val="single" w:sz="4" w:space="0" w:color="auto"/>
            </w:tcBorders>
            <w:shd w:val="clear" w:color="auto" w:fill="0070C0"/>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10"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23"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31"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38" w:type="pct"/>
            <w:tcBorders>
              <w:top w:val="nil"/>
              <w:left w:val="nil"/>
              <w:bottom w:val="single" w:sz="4" w:space="0" w:color="auto"/>
              <w:right w:val="single" w:sz="4" w:space="0" w:color="auto"/>
            </w:tcBorders>
            <w:shd w:val="clear" w:color="auto" w:fill="0070C0"/>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09"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22"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31"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38" w:type="pct"/>
            <w:tcBorders>
              <w:top w:val="nil"/>
              <w:left w:val="nil"/>
              <w:bottom w:val="single" w:sz="4" w:space="0" w:color="auto"/>
              <w:right w:val="single" w:sz="4" w:space="0" w:color="auto"/>
            </w:tcBorders>
            <w:shd w:val="clear" w:color="auto" w:fill="0070C0"/>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13"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23"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31"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38" w:type="pct"/>
            <w:tcBorders>
              <w:top w:val="nil"/>
              <w:left w:val="nil"/>
              <w:bottom w:val="single" w:sz="4" w:space="0" w:color="auto"/>
              <w:right w:val="single" w:sz="4" w:space="0" w:color="auto"/>
            </w:tcBorders>
            <w:shd w:val="clear" w:color="auto" w:fill="0070C0"/>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11"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23"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31"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38" w:type="pct"/>
            <w:tcBorders>
              <w:top w:val="nil"/>
              <w:left w:val="nil"/>
              <w:bottom w:val="single" w:sz="4" w:space="0" w:color="auto"/>
              <w:right w:val="single" w:sz="4" w:space="0" w:color="auto"/>
            </w:tcBorders>
            <w:shd w:val="clear" w:color="auto" w:fill="0070C0"/>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13"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23"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31" w:type="pct"/>
            <w:tcBorders>
              <w:top w:val="nil"/>
              <w:left w:val="nil"/>
              <w:bottom w:val="single" w:sz="4" w:space="0" w:color="auto"/>
              <w:right w:val="single" w:sz="4" w:space="0" w:color="auto"/>
            </w:tcBorders>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c>
          <w:tcPr>
            <w:tcW w:w="173" w:type="pct"/>
            <w:tcBorders>
              <w:top w:val="nil"/>
              <w:left w:val="nil"/>
              <w:bottom w:val="single" w:sz="4" w:space="0" w:color="auto"/>
              <w:right w:val="single" w:sz="4" w:space="0" w:color="auto"/>
            </w:tcBorders>
            <w:shd w:val="clear" w:color="auto" w:fill="0070C0"/>
            <w:noWrap/>
            <w:vAlign w:val="bottom"/>
            <w:hideMark/>
          </w:tcPr>
          <w:p w:rsidR="00BD5B7F" w:rsidRPr="00865DA5" w:rsidRDefault="00BD5B7F" w:rsidP="000E5961">
            <w:pPr>
              <w:rPr>
                <w:rFonts w:ascii="Arial" w:hAnsi="Arial" w:cs="Arial"/>
                <w:color w:val="000000"/>
                <w:sz w:val="16"/>
                <w:szCs w:val="16"/>
                <w:lang w:val="fr-FR" w:eastAsia="it-IT"/>
              </w:rPr>
            </w:pPr>
            <w:r w:rsidRPr="00865DA5">
              <w:rPr>
                <w:rFonts w:ascii="Arial" w:hAnsi="Arial" w:cs="Arial"/>
                <w:color w:val="000000"/>
                <w:sz w:val="16"/>
                <w:szCs w:val="16"/>
                <w:lang w:val="fr-FR" w:eastAsia="it-IT"/>
              </w:rPr>
              <w:t> </w:t>
            </w:r>
          </w:p>
        </w:tc>
      </w:tr>
      <w:tr w:rsidR="00BD5B7F" w:rsidRPr="00FF6562" w:rsidTr="000E5961">
        <w:trPr>
          <w:trHeight w:val="285"/>
        </w:trPr>
        <w:tc>
          <w:tcPr>
            <w:tcW w:w="1429" w:type="pct"/>
            <w:noWrap/>
            <w:vAlign w:val="center"/>
            <w:hideMark/>
          </w:tcPr>
          <w:p w:rsidR="00BD5B7F" w:rsidRPr="00FF6562" w:rsidRDefault="00BD5B7F" w:rsidP="000E5961">
            <w:pPr>
              <w:rPr>
                <w:rFonts w:ascii="Arial" w:hAnsi="Arial" w:cs="Arial"/>
                <w:color w:val="000000"/>
                <w:sz w:val="16"/>
                <w:szCs w:val="16"/>
                <w:lang w:eastAsia="it-IT"/>
              </w:rPr>
            </w:pPr>
            <w:r w:rsidRPr="00FF6562">
              <w:rPr>
                <w:rFonts w:ascii="Arial" w:eastAsia="Arial" w:hAnsi="Arial" w:cs="Arial"/>
                <w:color w:val="000000"/>
                <w:sz w:val="16"/>
                <w:szCs w:val="16"/>
                <w:bdr w:val="none" w:sz="0" w:space="0" w:color="auto" w:frame="1"/>
                <w:lang w:eastAsia="it-IT"/>
              </w:rPr>
              <w:t>Réunion SFP</w:t>
            </w:r>
          </w:p>
        </w:tc>
        <w:tc>
          <w:tcPr>
            <w:tcW w:w="121" w:type="pct"/>
            <w:tcBorders>
              <w:top w:val="nil"/>
              <w:left w:val="single" w:sz="4" w:space="0" w:color="auto"/>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shd w:val="clear" w:color="auto" w:fill="00B0F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4" w:type="pct"/>
            <w:tcBorders>
              <w:top w:val="nil"/>
              <w:left w:val="nil"/>
              <w:bottom w:val="single" w:sz="4" w:space="0" w:color="auto"/>
              <w:right w:val="single" w:sz="4" w:space="0" w:color="auto"/>
            </w:tcBorders>
            <w:shd w:val="clear" w:color="auto" w:fill="00B0F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0"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shd w:val="clear" w:color="auto" w:fill="00B0F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09"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2"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shd w:val="clear" w:color="auto" w:fill="00B0F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shd w:val="clear" w:color="auto" w:fill="00B0F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shd w:val="clear" w:color="auto" w:fill="00B0F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shd w:val="clear" w:color="auto" w:fill="00B0F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7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r>
      <w:tr w:rsidR="00BD5B7F" w:rsidRPr="00FF6562" w:rsidTr="000E5961">
        <w:trPr>
          <w:trHeight w:val="285"/>
        </w:trPr>
        <w:tc>
          <w:tcPr>
            <w:tcW w:w="1429" w:type="pct"/>
            <w:noWrap/>
            <w:vAlign w:val="center"/>
            <w:hideMark/>
          </w:tcPr>
          <w:p w:rsidR="00BD5B7F" w:rsidRPr="00FF6562" w:rsidRDefault="00BD5B7F" w:rsidP="000E5961">
            <w:pPr>
              <w:rPr>
                <w:rFonts w:ascii="Arial" w:hAnsi="Arial" w:cs="Arial"/>
                <w:color w:val="000000"/>
                <w:sz w:val="16"/>
                <w:szCs w:val="16"/>
                <w:lang w:eastAsia="it-IT"/>
              </w:rPr>
            </w:pPr>
            <w:r w:rsidRPr="00FF6562">
              <w:rPr>
                <w:rFonts w:ascii="Arial" w:eastAsia="Arial" w:hAnsi="Arial" w:cs="Arial"/>
                <w:color w:val="000000"/>
                <w:sz w:val="16"/>
                <w:szCs w:val="16"/>
                <w:bdr w:val="none" w:sz="0" w:space="0" w:color="auto" w:frame="1"/>
                <w:lang w:eastAsia="it-IT"/>
              </w:rPr>
              <w:t>Réunion du MIKT</w:t>
            </w:r>
          </w:p>
        </w:tc>
        <w:tc>
          <w:tcPr>
            <w:tcW w:w="121" w:type="pct"/>
            <w:tcBorders>
              <w:top w:val="nil"/>
              <w:left w:val="single" w:sz="4" w:space="0" w:color="auto"/>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shd w:val="clear" w:color="auto" w:fill="92D05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4" w:type="pct"/>
            <w:tcBorders>
              <w:top w:val="nil"/>
              <w:left w:val="nil"/>
              <w:bottom w:val="single" w:sz="4" w:space="0" w:color="auto"/>
              <w:right w:val="single" w:sz="4" w:space="0" w:color="auto"/>
            </w:tcBorders>
            <w:shd w:val="clear" w:color="auto" w:fill="92D05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0"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shd w:val="clear" w:color="auto" w:fill="92D05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09"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2"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shd w:val="clear" w:color="auto" w:fill="92D05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shd w:val="clear" w:color="auto" w:fill="92D05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shd w:val="clear" w:color="auto" w:fill="92D05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shd w:val="clear" w:color="auto" w:fill="92D05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7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r>
      <w:tr w:rsidR="00BD5B7F" w:rsidRPr="00FF6562" w:rsidTr="000E5961">
        <w:trPr>
          <w:trHeight w:val="285"/>
        </w:trPr>
        <w:tc>
          <w:tcPr>
            <w:tcW w:w="1429" w:type="pct"/>
            <w:noWrap/>
            <w:vAlign w:val="center"/>
            <w:hideMark/>
          </w:tcPr>
          <w:p w:rsidR="00BD5B7F" w:rsidRPr="00FF6562" w:rsidRDefault="00BD5B7F" w:rsidP="000E5961">
            <w:pPr>
              <w:rPr>
                <w:rFonts w:ascii="Arial" w:hAnsi="Arial" w:cs="Arial"/>
                <w:color w:val="000000"/>
                <w:sz w:val="16"/>
                <w:szCs w:val="16"/>
                <w:lang w:eastAsia="it-IT"/>
              </w:rPr>
            </w:pPr>
            <w:r w:rsidRPr="00FF6562">
              <w:rPr>
                <w:rFonts w:ascii="Arial" w:eastAsia="Arial" w:hAnsi="Arial" w:cs="Arial"/>
                <w:color w:val="000000"/>
                <w:sz w:val="16"/>
                <w:szCs w:val="16"/>
                <w:bdr w:val="none" w:sz="0" w:space="0" w:color="auto" w:frame="1"/>
                <w:lang w:eastAsia="it-IT"/>
              </w:rPr>
              <w:t>COP de la CMS</w:t>
            </w:r>
          </w:p>
        </w:tc>
        <w:tc>
          <w:tcPr>
            <w:tcW w:w="121" w:type="pct"/>
            <w:tcBorders>
              <w:top w:val="nil"/>
              <w:left w:val="single" w:sz="4" w:space="0" w:color="auto"/>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shd w:val="clear" w:color="auto" w:fill="00B05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4"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0"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09"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2"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shd w:val="clear" w:color="auto" w:fill="00B05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73" w:type="pct"/>
            <w:tcBorders>
              <w:top w:val="nil"/>
              <w:left w:val="nil"/>
              <w:bottom w:val="single" w:sz="4" w:space="0" w:color="auto"/>
              <w:right w:val="single" w:sz="4" w:space="0" w:color="auto"/>
            </w:tcBorders>
            <w:shd w:val="clear" w:color="auto" w:fill="00B050"/>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r>
      <w:tr w:rsidR="00BD5B7F" w:rsidRPr="00FF6562" w:rsidTr="000E5961">
        <w:trPr>
          <w:trHeight w:val="285"/>
        </w:trPr>
        <w:tc>
          <w:tcPr>
            <w:tcW w:w="1429" w:type="pct"/>
            <w:noWrap/>
            <w:vAlign w:val="center"/>
            <w:hideMark/>
          </w:tcPr>
          <w:p w:rsidR="00BD5B7F" w:rsidRPr="00FF6562" w:rsidRDefault="00BD5B7F" w:rsidP="000E5961">
            <w:pPr>
              <w:rPr>
                <w:rFonts w:ascii="Arial" w:hAnsi="Arial" w:cs="Arial"/>
                <w:color w:val="000000"/>
                <w:sz w:val="16"/>
                <w:szCs w:val="16"/>
                <w:lang w:eastAsia="it-IT"/>
              </w:rPr>
            </w:pPr>
            <w:r w:rsidRPr="00FF6562">
              <w:rPr>
                <w:rFonts w:ascii="Arial" w:eastAsia="Arial" w:hAnsi="Arial" w:cs="Arial"/>
                <w:color w:val="000000"/>
                <w:sz w:val="16"/>
                <w:szCs w:val="16"/>
                <w:bdr w:val="none" w:sz="0" w:space="0" w:color="auto" w:frame="1"/>
                <w:lang w:eastAsia="it-IT"/>
              </w:rPr>
              <w:t>MOP de l’AEWA</w:t>
            </w:r>
          </w:p>
        </w:tc>
        <w:tc>
          <w:tcPr>
            <w:tcW w:w="121" w:type="pct"/>
            <w:tcBorders>
              <w:top w:val="nil"/>
              <w:left w:val="single" w:sz="4" w:space="0" w:color="auto"/>
              <w:bottom w:val="single" w:sz="4" w:space="0" w:color="auto"/>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p>
        </w:tc>
        <w:tc>
          <w:tcPr>
            <w:tcW w:w="12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1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34"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38" w:type="pct"/>
            <w:tcBorders>
              <w:top w:val="nil"/>
              <w:left w:val="nil"/>
              <w:bottom w:val="single" w:sz="4" w:space="0" w:color="auto"/>
              <w:right w:val="single" w:sz="4" w:space="0" w:color="auto"/>
            </w:tcBorders>
            <w:shd w:val="clear" w:color="auto" w:fill="76923C"/>
            <w:noWrap/>
            <w:vAlign w:val="bottom"/>
            <w:hideMark/>
          </w:tcPr>
          <w:p w:rsidR="00BD5B7F" w:rsidRPr="00FF6562" w:rsidRDefault="00BD5B7F" w:rsidP="000E5961">
            <w:pPr>
              <w:rPr>
                <w:rFonts w:ascii="Arial" w:hAnsi="Arial" w:cs="Arial"/>
              </w:rPr>
            </w:pPr>
          </w:p>
        </w:tc>
        <w:tc>
          <w:tcPr>
            <w:tcW w:w="110"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09"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22"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1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38" w:type="pct"/>
            <w:tcBorders>
              <w:top w:val="nil"/>
              <w:left w:val="nil"/>
              <w:bottom w:val="single" w:sz="4" w:space="0" w:color="auto"/>
              <w:right w:val="single" w:sz="4" w:space="0" w:color="auto"/>
            </w:tcBorders>
            <w:shd w:val="clear" w:color="auto" w:fill="76923C"/>
            <w:noWrap/>
            <w:vAlign w:val="bottom"/>
            <w:hideMark/>
          </w:tcPr>
          <w:p w:rsidR="00BD5B7F" w:rsidRPr="00FF6562" w:rsidRDefault="00BD5B7F" w:rsidP="000E5961">
            <w:pPr>
              <w:rPr>
                <w:rFonts w:ascii="Arial" w:hAnsi="Arial" w:cs="Arial"/>
              </w:rPr>
            </w:pPr>
          </w:p>
        </w:tc>
        <w:tc>
          <w:tcPr>
            <w:tcW w:w="11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38"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1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2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31"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c>
          <w:tcPr>
            <w:tcW w:w="173" w:type="pct"/>
            <w:tcBorders>
              <w:top w:val="nil"/>
              <w:left w:val="nil"/>
              <w:bottom w:val="single" w:sz="4" w:space="0" w:color="auto"/>
              <w:right w:val="single" w:sz="4" w:space="0" w:color="auto"/>
            </w:tcBorders>
            <w:noWrap/>
            <w:vAlign w:val="bottom"/>
            <w:hideMark/>
          </w:tcPr>
          <w:p w:rsidR="00BD5B7F" w:rsidRPr="00FF6562" w:rsidRDefault="00BD5B7F" w:rsidP="000E5961">
            <w:pPr>
              <w:rPr>
                <w:rFonts w:ascii="Arial" w:hAnsi="Arial" w:cs="Arial"/>
              </w:rPr>
            </w:pPr>
          </w:p>
        </w:tc>
      </w:tr>
      <w:tr w:rsidR="00BD5B7F" w:rsidRPr="00FF6562" w:rsidTr="000E5961">
        <w:trPr>
          <w:trHeight w:val="285"/>
        </w:trPr>
        <w:tc>
          <w:tcPr>
            <w:tcW w:w="1429" w:type="pct"/>
            <w:noWrap/>
            <w:vAlign w:val="center"/>
            <w:hideMark/>
          </w:tcPr>
          <w:p w:rsidR="00BD5B7F" w:rsidRPr="00FF6562" w:rsidRDefault="00BD5B7F" w:rsidP="000E5961">
            <w:pPr>
              <w:rPr>
                <w:rFonts w:ascii="Arial" w:hAnsi="Arial" w:cs="Arial"/>
                <w:color w:val="000000"/>
                <w:sz w:val="16"/>
                <w:szCs w:val="16"/>
                <w:lang w:eastAsia="it-IT"/>
              </w:rPr>
            </w:pPr>
            <w:r w:rsidRPr="00FF6562">
              <w:rPr>
                <w:rFonts w:ascii="Arial" w:eastAsia="Arial" w:hAnsi="Arial" w:cs="Arial"/>
                <w:color w:val="000000"/>
                <w:sz w:val="16"/>
                <w:szCs w:val="16"/>
                <w:bdr w:val="none" w:sz="0" w:space="0" w:color="auto" w:frame="1"/>
                <w:lang w:eastAsia="it-IT"/>
              </w:rPr>
              <w:t>Reporting art. 12 Directive Oiseaux</w:t>
            </w:r>
          </w:p>
        </w:tc>
        <w:tc>
          <w:tcPr>
            <w:tcW w:w="121" w:type="pct"/>
            <w:tcBorders>
              <w:top w:val="nil"/>
              <w:left w:val="single" w:sz="4" w:space="0" w:color="auto"/>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1"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8"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4"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0"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nil"/>
              <w:right w:val="single" w:sz="4" w:space="0" w:color="auto"/>
            </w:tcBorders>
            <w:shd w:val="clear" w:color="auto" w:fill="E46D0A"/>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09"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2"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3"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1"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8"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13"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23"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31"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c>
          <w:tcPr>
            <w:tcW w:w="173" w:type="pct"/>
            <w:tcBorders>
              <w:top w:val="nil"/>
              <w:left w:val="nil"/>
              <w:bottom w:val="nil"/>
              <w:right w:val="single" w:sz="4" w:space="0" w:color="auto"/>
            </w:tcBorders>
            <w:noWrap/>
            <w:vAlign w:val="bottom"/>
            <w:hideMark/>
          </w:tcPr>
          <w:p w:rsidR="00BD5B7F" w:rsidRPr="00FF6562" w:rsidRDefault="00BD5B7F" w:rsidP="000E5961">
            <w:pPr>
              <w:rPr>
                <w:rFonts w:ascii="Arial" w:hAnsi="Arial" w:cs="Arial"/>
                <w:color w:val="000000"/>
                <w:sz w:val="16"/>
                <w:szCs w:val="16"/>
                <w:lang w:eastAsia="it-IT"/>
              </w:rPr>
            </w:pPr>
            <w:r w:rsidRPr="00FF6562">
              <w:rPr>
                <w:rFonts w:ascii="Arial" w:hAnsi="Arial" w:cs="Arial"/>
                <w:color w:val="000000"/>
                <w:sz w:val="16"/>
                <w:szCs w:val="16"/>
                <w:lang w:eastAsia="it-IT"/>
              </w:rPr>
              <w:t> </w:t>
            </w:r>
          </w:p>
        </w:tc>
      </w:tr>
      <w:tr w:rsidR="00BD5B7F" w:rsidRPr="00FF6562" w:rsidTr="000E5961">
        <w:trPr>
          <w:trHeight w:val="285"/>
        </w:trPr>
        <w:tc>
          <w:tcPr>
            <w:tcW w:w="1429" w:type="pct"/>
            <w:noWrap/>
            <w:vAlign w:val="center"/>
          </w:tcPr>
          <w:p w:rsidR="00BD5B7F" w:rsidRPr="00FF6562" w:rsidRDefault="00BD5B7F" w:rsidP="000E5961">
            <w:pPr>
              <w:rPr>
                <w:rFonts w:ascii="Arial" w:hAnsi="Arial" w:cs="Arial"/>
                <w:color w:val="000000"/>
                <w:sz w:val="16"/>
                <w:szCs w:val="16"/>
                <w:lang w:eastAsia="it-IT"/>
              </w:rPr>
            </w:pPr>
          </w:p>
        </w:tc>
        <w:tc>
          <w:tcPr>
            <w:tcW w:w="121" w:type="pct"/>
            <w:tcBorders>
              <w:top w:val="nil"/>
              <w:left w:val="single" w:sz="4" w:space="0" w:color="auto"/>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21"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31"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38"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18"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23"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34"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38"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10"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23" w:type="pct"/>
            <w:tcBorders>
              <w:top w:val="nil"/>
              <w:left w:val="nil"/>
              <w:bottom w:val="single" w:sz="4" w:space="0" w:color="auto"/>
              <w:right w:val="single" w:sz="4" w:space="0" w:color="auto"/>
            </w:tcBorders>
            <w:shd w:val="clear" w:color="auto" w:fill="E46D0A"/>
            <w:noWrap/>
            <w:vAlign w:val="bottom"/>
          </w:tcPr>
          <w:p w:rsidR="00BD5B7F" w:rsidRPr="00FF6562" w:rsidRDefault="00BD5B7F" w:rsidP="000E5961">
            <w:pPr>
              <w:rPr>
                <w:rFonts w:ascii="Arial" w:hAnsi="Arial" w:cs="Arial"/>
                <w:color w:val="000000"/>
                <w:sz w:val="16"/>
                <w:szCs w:val="16"/>
                <w:lang w:eastAsia="it-IT"/>
              </w:rPr>
            </w:pPr>
          </w:p>
        </w:tc>
        <w:tc>
          <w:tcPr>
            <w:tcW w:w="131"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38"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09"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22"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31"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38"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13"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23"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31"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38"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11"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23"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31"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38"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13"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23"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31"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c>
          <w:tcPr>
            <w:tcW w:w="173" w:type="pct"/>
            <w:tcBorders>
              <w:top w:val="nil"/>
              <w:left w:val="nil"/>
              <w:bottom w:val="single" w:sz="4" w:space="0" w:color="auto"/>
              <w:right w:val="single" w:sz="4" w:space="0" w:color="auto"/>
            </w:tcBorders>
            <w:noWrap/>
            <w:vAlign w:val="bottom"/>
          </w:tcPr>
          <w:p w:rsidR="00BD5B7F" w:rsidRPr="00FF6562" w:rsidRDefault="00BD5B7F" w:rsidP="000E5961">
            <w:pPr>
              <w:rPr>
                <w:rFonts w:ascii="Arial" w:hAnsi="Arial" w:cs="Arial"/>
                <w:color w:val="000000"/>
                <w:sz w:val="16"/>
                <w:szCs w:val="16"/>
                <w:lang w:eastAsia="it-IT"/>
              </w:rPr>
            </w:pPr>
          </w:p>
        </w:tc>
      </w:tr>
    </w:tbl>
    <w:p w:rsidR="00BD5B7F" w:rsidRPr="00865DA5" w:rsidRDefault="00BD5B7F" w:rsidP="00BD5B7F">
      <w:pPr>
        <w:ind w:left="993" w:hanging="993"/>
        <w:jc w:val="both"/>
        <w:rPr>
          <w:rFonts w:ascii="Arial" w:eastAsia="Calibri" w:hAnsi="Arial" w:cs="Arial"/>
          <w:bCs/>
          <w:sz w:val="18"/>
          <w:szCs w:val="18"/>
          <w:lang w:val="fr-FR"/>
        </w:rPr>
      </w:pPr>
      <w:r w:rsidRPr="00865DA5">
        <w:rPr>
          <w:rFonts w:ascii="Arial" w:eastAsia="Arial" w:hAnsi="Arial" w:cs="Arial"/>
          <w:b/>
          <w:bCs/>
          <w:color w:val="4F81BD"/>
          <w:sz w:val="18"/>
          <w:szCs w:val="18"/>
          <w:bdr w:val="none" w:sz="0" w:space="0" w:color="auto" w:frame="1"/>
          <w:lang w:val="fr-FR"/>
        </w:rPr>
        <w:t xml:space="preserve">Tableau 3 </w:t>
      </w:r>
      <w:r w:rsidRPr="00865DA5">
        <w:rPr>
          <w:rFonts w:ascii="Arial" w:eastAsia="Arial" w:hAnsi="Arial" w:cs="Arial"/>
          <w:color w:val="4F81BD"/>
          <w:sz w:val="18"/>
          <w:szCs w:val="18"/>
          <w:bdr w:val="none" w:sz="0" w:space="0" w:color="auto" w:frame="1"/>
          <w:lang w:val="fr-FR"/>
        </w:rPr>
        <w:t xml:space="preserve">- </w:t>
      </w:r>
      <w:r w:rsidRPr="00865DA5">
        <w:rPr>
          <w:rFonts w:ascii="Arial" w:eastAsia="Arial" w:hAnsi="Arial" w:cs="Arial"/>
          <w:sz w:val="18"/>
          <w:szCs w:val="18"/>
          <w:bdr w:val="none" w:sz="0" w:space="0" w:color="auto" w:frame="1"/>
          <w:lang w:val="fr-FR"/>
        </w:rPr>
        <w:t>Réunions et reporting IKB. L’évaluation de base ‘B’ permettra de comparer la situation à l’échelle nationale, alors que le rapport n° 1 sera utilisé pour auto-évaluer les progrès relatifs au TAP et au programme de travail du MIKT. L’évaluation n° 2 et les suivantes auront lieu tous les 3 ans de manière synchrone avec les sessions de la COP de la CMS.</w:t>
      </w:r>
    </w:p>
    <w:p w:rsidR="00BD5B7F" w:rsidRPr="00865DA5" w:rsidRDefault="00BD5B7F" w:rsidP="00BD5B7F">
      <w:pPr>
        <w:keepNext/>
        <w:keepLines/>
        <w:spacing w:after="120"/>
        <w:outlineLvl w:val="2"/>
        <w:rPr>
          <w:rFonts w:ascii="Arial" w:eastAsia="Arial" w:hAnsi="Arial" w:cs="Arial"/>
          <w:b/>
          <w:bCs/>
          <w:i/>
          <w:iCs/>
          <w:color w:val="000000"/>
          <w:bdr w:val="none" w:sz="0" w:space="0" w:color="auto" w:frame="1"/>
          <w:lang w:val="fr-FR"/>
        </w:rPr>
      </w:pPr>
      <w:bookmarkStart w:id="19" w:name="_Toc491245227"/>
      <w:bookmarkStart w:id="20" w:name="_Toc491245053"/>
      <w:bookmarkStart w:id="21" w:name="_Toc486539564"/>
    </w:p>
    <w:p w:rsidR="00BD5B7F" w:rsidRPr="00865DA5" w:rsidRDefault="00BD5B7F" w:rsidP="00BD5B7F">
      <w:pPr>
        <w:keepNext/>
        <w:keepLines/>
        <w:spacing w:after="120"/>
        <w:outlineLvl w:val="2"/>
        <w:rPr>
          <w:rFonts w:ascii="Arial" w:eastAsia="Calibri" w:hAnsi="Arial" w:cs="Arial"/>
          <w:b/>
          <w:i/>
          <w:color w:val="000000"/>
          <w:sz w:val="28"/>
          <w:szCs w:val="26"/>
          <w:lang w:val="fr-FR"/>
        </w:rPr>
      </w:pPr>
      <w:r w:rsidRPr="00865DA5">
        <w:rPr>
          <w:rFonts w:ascii="Arial" w:eastAsia="Arial" w:hAnsi="Arial" w:cs="Arial"/>
          <w:b/>
          <w:bCs/>
          <w:i/>
          <w:iCs/>
          <w:color w:val="000000"/>
          <w:sz w:val="28"/>
          <w:szCs w:val="28"/>
          <w:bdr w:val="none" w:sz="0" w:space="0" w:color="auto" w:frame="1"/>
          <w:lang w:val="fr-FR"/>
        </w:rPr>
        <w:t>Utilisation d’indicateurs d’auto-évaluation au niveau national</w:t>
      </w:r>
      <w:bookmarkEnd w:id="19"/>
      <w:bookmarkEnd w:id="20"/>
      <w:bookmarkEnd w:id="21"/>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La plupart des indicateurs sont mesurés en utilisant des avis d’experts des agences de lutte contre la fraude nationales pertinentes et des autres parties prenantes, le cas échéant. Chacun de ces indicateurs d’évaluation à dire d’expert propose une question suivie d’une échelle de réponse en quatre parties, chaque réponse contenant généralement plusieurs composantes. Bien que liées, ces composantes sont répertoriées séparément pour que les experts puissent évaluer chacune d’elles individuellement afin d’identifier celles qui correspondent le mieux à la situation nationale. Après avoir examiné les différentes composantes d’une réponse, il est alors possible d’identifier lequel des quatre scores de réponse - de 0 à 3 - représente le mieux la situation nationale. Dans certains cas, le choix entre les quatre scores peut ne pas être évident. Une brève justification écrite des choix devra être inscrite dans les commentaires sous chaque indicateur. Des orientations pouvant être suivies dans ces situations sont fournies dans les scénarios suivants.</w:t>
      </w:r>
    </w:p>
    <w:p w:rsidR="00BD5B7F" w:rsidRPr="00865DA5" w:rsidRDefault="00BD5B7F" w:rsidP="00BD5B7F">
      <w:pPr>
        <w:keepNext/>
        <w:keepLines/>
        <w:outlineLvl w:val="3"/>
        <w:rPr>
          <w:rFonts w:ascii="Arial" w:eastAsia="Arial" w:hAnsi="Arial" w:cs="Arial"/>
          <w:b/>
          <w:bCs/>
          <w:iCs/>
          <w:color w:val="000000"/>
          <w:sz w:val="28"/>
          <w:szCs w:val="28"/>
          <w:bdr w:val="none" w:sz="0" w:space="0" w:color="auto" w:frame="1"/>
          <w:lang w:val="fr-FR"/>
        </w:rPr>
      </w:pPr>
      <w:bookmarkStart w:id="22" w:name="_Toc486539565"/>
    </w:p>
    <w:p w:rsidR="00BD5B7F" w:rsidRPr="00865DA5" w:rsidRDefault="00BD5B7F" w:rsidP="00BD5B7F">
      <w:pPr>
        <w:spacing w:after="160" w:line="259" w:lineRule="auto"/>
        <w:rPr>
          <w:rFonts w:ascii="Arial" w:eastAsia="Arial" w:hAnsi="Arial" w:cs="Arial"/>
          <w:b/>
          <w:bCs/>
          <w:iCs/>
          <w:color w:val="000000"/>
          <w:sz w:val="28"/>
          <w:szCs w:val="28"/>
          <w:bdr w:val="none" w:sz="0" w:space="0" w:color="auto" w:frame="1"/>
          <w:lang w:val="fr-FR"/>
        </w:rPr>
      </w:pPr>
      <w:bookmarkStart w:id="23" w:name="_Toc491245228"/>
      <w:r w:rsidRPr="00865DA5">
        <w:rPr>
          <w:rFonts w:ascii="Arial" w:eastAsia="Arial" w:hAnsi="Arial" w:cs="Arial"/>
          <w:b/>
          <w:bCs/>
          <w:iCs/>
          <w:color w:val="000000"/>
          <w:sz w:val="28"/>
          <w:szCs w:val="28"/>
          <w:bdr w:val="none" w:sz="0" w:space="0" w:color="auto" w:frame="1"/>
          <w:lang w:val="fr-FR"/>
        </w:rPr>
        <w:br w:type="page"/>
      </w:r>
    </w:p>
    <w:p w:rsidR="00BD5B7F" w:rsidRPr="00865DA5" w:rsidRDefault="00BD5B7F" w:rsidP="00BD5B7F">
      <w:pPr>
        <w:keepNext/>
        <w:keepLines/>
        <w:spacing w:after="120"/>
        <w:outlineLvl w:val="3"/>
        <w:rPr>
          <w:rFonts w:ascii="Arial" w:hAnsi="Arial" w:cs="Arial"/>
          <w:b/>
          <w:iCs/>
          <w:color w:val="000000"/>
          <w:sz w:val="28"/>
          <w:szCs w:val="22"/>
          <w:lang w:val="fr-FR"/>
        </w:rPr>
      </w:pPr>
      <w:r w:rsidRPr="00865DA5">
        <w:rPr>
          <w:rFonts w:ascii="Arial" w:eastAsia="Arial" w:hAnsi="Arial" w:cs="Arial"/>
          <w:b/>
          <w:bCs/>
          <w:iCs/>
          <w:color w:val="000000"/>
          <w:sz w:val="28"/>
          <w:szCs w:val="28"/>
          <w:bdr w:val="none" w:sz="0" w:space="0" w:color="auto" w:frame="1"/>
          <w:lang w:val="fr-FR"/>
        </w:rPr>
        <w:lastRenderedPageBreak/>
        <w:t>Scénario 1 : Score unique</w:t>
      </w:r>
      <w:bookmarkEnd w:id="22"/>
      <w:bookmarkEnd w:id="23"/>
    </w:p>
    <w:p w:rsidR="00BD5B7F" w:rsidRPr="00865DA5" w:rsidRDefault="00BD5B7F" w:rsidP="00BD5B7F">
      <w:pPr>
        <w:jc w:val="both"/>
        <w:rPr>
          <w:rFonts w:ascii="Arial" w:eastAsia="Arial" w:hAnsi="Arial" w:cs="Arial"/>
          <w:color w:val="000000"/>
          <w:sz w:val="22"/>
          <w:szCs w:val="22"/>
          <w:bdr w:val="none" w:sz="0" w:space="0" w:color="auto" w:frame="1"/>
          <w:lang w:val="fr-FR"/>
        </w:rPr>
      </w:pPr>
      <w:r w:rsidRPr="00865DA5">
        <w:rPr>
          <w:rFonts w:ascii="Arial" w:eastAsia="Arial" w:hAnsi="Arial" w:cs="Arial"/>
          <w:color w:val="000000"/>
          <w:sz w:val="22"/>
          <w:szCs w:val="22"/>
          <w:bdr w:val="none" w:sz="0" w:space="0" w:color="auto" w:frame="1"/>
          <w:lang w:val="fr-FR"/>
        </w:rPr>
        <w:t>Dans le scénario le plus simple, les experts participants choisiront des composantes correspondant toutes à un même score. Dans ce cas, ce score devra être choisi pour l’indicateur.</w:t>
      </w:r>
    </w:p>
    <w:p w:rsidR="00BD5B7F" w:rsidRPr="00FF6562" w:rsidRDefault="00BD5B7F" w:rsidP="00BD5B7F">
      <w:pPr>
        <w:rPr>
          <w:rFonts w:ascii="Arial" w:eastAsia="Calibri" w:hAnsi="Arial" w:cs="Arial"/>
          <w:color w:val="000000"/>
          <w:sz w:val="22"/>
          <w:szCs w:val="22"/>
        </w:rPr>
      </w:pPr>
      <w:r w:rsidRPr="00FF6562">
        <w:rPr>
          <w:rFonts w:ascii="Arial" w:eastAsia="Calibri" w:hAnsi="Arial" w:cs="Arial"/>
          <w:noProof/>
          <w:lang w:val="fr-FR" w:eastAsia="fr-FR"/>
        </w:rPr>
        <w:drawing>
          <wp:inline distT="0" distB="0" distL="0" distR="0" wp14:anchorId="404E5A80" wp14:editId="18F2C428">
            <wp:extent cx="5365819" cy="360171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56" cstate="print">
                      <a:extLst>
                        <a:ext uri="{28A0092B-C50C-407E-A947-70E740481C1C}">
                          <a14:useLocalDpi xmlns:a14="http://schemas.microsoft.com/office/drawing/2010/main" val="0"/>
                        </a:ext>
                      </a:extLst>
                    </a:blip>
                    <a:srcRect b="2199"/>
                    <a:stretch>
                      <a:fillRect/>
                    </a:stretch>
                  </pic:blipFill>
                  <pic:spPr bwMode="auto">
                    <a:xfrm>
                      <a:off x="0" y="0"/>
                      <a:ext cx="5361784" cy="3599006"/>
                    </a:xfrm>
                    <a:prstGeom prst="rect">
                      <a:avLst/>
                    </a:prstGeom>
                    <a:noFill/>
                    <a:ln>
                      <a:noFill/>
                    </a:ln>
                  </pic:spPr>
                </pic:pic>
              </a:graphicData>
            </a:graphic>
          </wp:inline>
        </w:drawing>
      </w:r>
    </w:p>
    <w:p w:rsidR="00BD5B7F" w:rsidRPr="00865DA5" w:rsidRDefault="00BD5B7F" w:rsidP="00BD5B7F">
      <w:pPr>
        <w:keepNext/>
        <w:keepLines/>
        <w:outlineLvl w:val="3"/>
        <w:rPr>
          <w:rFonts w:ascii="Arial" w:eastAsia="Arial" w:hAnsi="Arial" w:cs="Arial"/>
          <w:b/>
          <w:bCs/>
          <w:iCs/>
          <w:color w:val="000000"/>
          <w:sz w:val="28"/>
          <w:szCs w:val="28"/>
          <w:bdr w:val="none" w:sz="0" w:space="0" w:color="auto" w:frame="1"/>
          <w:lang w:val="fr-FR"/>
        </w:rPr>
      </w:pPr>
      <w:r w:rsidRPr="00865DA5">
        <w:rPr>
          <w:rFonts w:ascii="Arial" w:eastAsia="Arial" w:hAnsi="Arial" w:cs="Arial"/>
          <w:b/>
          <w:bCs/>
          <w:iCs/>
          <w:color w:val="000000"/>
          <w:sz w:val="28"/>
          <w:szCs w:val="28"/>
          <w:bdr w:val="none" w:sz="0" w:space="0" w:color="auto" w:frame="1"/>
          <w:lang w:val="fr-FR"/>
        </w:rPr>
        <w:t>Scénario 2 : Score multiple</w:t>
      </w:r>
    </w:p>
    <w:p w:rsidR="00BD5B7F" w:rsidRPr="00865DA5" w:rsidRDefault="00BD5B7F" w:rsidP="00BD5B7F">
      <w:pPr>
        <w:jc w:val="both"/>
        <w:rPr>
          <w:rFonts w:ascii="Arial" w:eastAsia="Arial" w:hAnsi="Arial" w:cs="Arial"/>
          <w:color w:val="000000"/>
          <w:sz w:val="22"/>
          <w:szCs w:val="22"/>
          <w:bdr w:val="none" w:sz="0" w:space="0" w:color="auto" w:frame="1"/>
          <w:lang w:val="fr-FR"/>
        </w:rPr>
      </w:pPr>
    </w:p>
    <w:p w:rsidR="00BD5B7F" w:rsidRPr="00865DA5" w:rsidRDefault="00BD5B7F" w:rsidP="00BD5B7F">
      <w:pPr>
        <w:jc w:val="both"/>
        <w:rPr>
          <w:rFonts w:ascii="Arial" w:eastAsia="Arial" w:hAnsi="Arial" w:cs="Arial"/>
          <w:color w:val="000000"/>
          <w:sz w:val="22"/>
          <w:szCs w:val="22"/>
          <w:bdr w:val="none" w:sz="0" w:space="0" w:color="auto" w:frame="1"/>
          <w:lang w:val="fr-FR"/>
        </w:rPr>
      </w:pPr>
      <w:r w:rsidRPr="00865DA5">
        <w:rPr>
          <w:rFonts w:ascii="Arial" w:eastAsia="Arial" w:hAnsi="Arial" w:cs="Arial"/>
          <w:color w:val="000000"/>
          <w:sz w:val="22"/>
          <w:szCs w:val="22"/>
          <w:bdr w:val="none" w:sz="0" w:space="0" w:color="auto" w:frame="1"/>
          <w:lang w:val="fr-FR"/>
        </w:rPr>
        <w:t>Pour certains indicateurs, les experts participants pourront choisir des composantes qui relèvent de plusieurs scores de réponse. Dans ces cas, le score correspondant au plus grand nombre de réponses sélectionnées devra être choisi pour cet indicateur.</w:t>
      </w:r>
    </w:p>
    <w:p w:rsidR="00BD5B7F" w:rsidRPr="00865DA5" w:rsidRDefault="00BD5B7F" w:rsidP="00BD5B7F">
      <w:pPr>
        <w:jc w:val="both"/>
        <w:rPr>
          <w:rFonts w:ascii="Arial" w:eastAsia="Calibri" w:hAnsi="Arial" w:cs="Arial"/>
          <w:color w:val="000000"/>
          <w:sz w:val="22"/>
          <w:szCs w:val="22"/>
          <w:lang w:val="fr-FR"/>
        </w:rPr>
      </w:pPr>
    </w:p>
    <w:p w:rsidR="00BD5B7F" w:rsidRPr="00FF6562" w:rsidRDefault="00BD5B7F" w:rsidP="00BD5B7F">
      <w:pPr>
        <w:rPr>
          <w:rFonts w:ascii="Arial" w:eastAsia="Calibri" w:hAnsi="Arial" w:cs="Arial"/>
          <w:color w:val="000000"/>
          <w:sz w:val="22"/>
          <w:szCs w:val="22"/>
        </w:rPr>
      </w:pPr>
      <w:r w:rsidRPr="00FF6562">
        <w:rPr>
          <w:rFonts w:ascii="Arial" w:hAnsi="Arial" w:cs="Arial"/>
          <w:noProof/>
          <w:lang w:val="fr-FR" w:eastAsia="fr-FR"/>
        </w:rPr>
        <w:drawing>
          <wp:inline distT="0" distB="0" distL="0" distR="0" wp14:anchorId="71BF3EF9" wp14:editId="50DFCC78">
            <wp:extent cx="5404491" cy="3507604"/>
            <wp:effectExtent l="0" t="0" r="571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57" cstate="print">
                      <a:extLst>
                        <a:ext uri="{28A0092B-C50C-407E-A947-70E740481C1C}">
                          <a14:useLocalDpi xmlns:a14="http://schemas.microsoft.com/office/drawing/2010/main" val="0"/>
                        </a:ext>
                      </a:extLst>
                    </a:blip>
                    <a:srcRect b="1938"/>
                    <a:stretch>
                      <a:fillRect/>
                    </a:stretch>
                  </pic:blipFill>
                  <pic:spPr bwMode="auto">
                    <a:xfrm>
                      <a:off x="0" y="0"/>
                      <a:ext cx="5448705" cy="3536300"/>
                    </a:xfrm>
                    <a:prstGeom prst="rect">
                      <a:avLst/>
                    </a:prstGeom>
                    <a:noFill/>
                    <a:ln>
                      <a:noFill/>
                    </a:ln>
                  </pic:spPr>
                </pic:pic>
              </a:graphicData>
            </a:graphic>
          </wp:inline>
        </w:drawing>
      </w:r>
    </w:p>
    <w:p w:rsidR="00BD5B7F" w:rsidRDefault="00BD5B7F" w:rsidP="00BD5B7F">
      <w:pPr>
        <w:jc w:val="both"/>
        <w:rPr>
          <w:rFonts w:ascii="Arial" w:eastAsia="Arial" w:hAnsi="Arial" w:cs="Arial"/>
          <w:color w:val="000000"/>
          <w:sz w:val="22"/>
          <w:szCs w:val="22"/>
          <w:bdr w:val="none" w:sz="0" w:space="0" w:color="auto" w:frame="1"/>
        </w:rPr>
      </w:pPr>
    </w:p>
    <w:p w:rsidR="00BD5B7F" w:rsidRPr="00865DA5" w:rsidRDefault="00BD5B7F" w:rsidP="00BD5B7F">
      <w:pPr>
        <w:jc w:val="both"/>
        <w:rPr>
          <w:rFonts w:ascii="Arial" w:eastAsia="Arial" w:hAnsi="Arial" w:cs="Arial"/>
          <w:color w:val="000000"/>
          <w:sz w:val="22"/>
          <w:szCs w:val="22"/>
          <w:bdr w:val="none" w:sz="0" w:space="0" w:color="auto" w:frame="1"/>
          <w:lang w:val="fr-FR"/>
        </w:rPr>
      </w:pPr>
      <w:r w:rsidRPr="00865DA5">
        <w:rPr>
          <w:rFonts w:ascii="Arial" w:eastAsia="Arial" w:hAnsi="Arial" w:cs="Arial"/>
          <w:color w:val="000000"/>
          <w:sz w:val="22"/>
          <w:szCs w:val="22"/>
          <w:bdr w:val="none" w:sz="0" w:space="0" w:color="auto" w:frame="1"/>
          <w:lang w:val="fr-FR"/>
        </w:rPr>
        <w:lastRenderedPageBreak/>
        <w:t>Si les composantes sont sélectionnées de manière égale entre deux (ou plusieurs) évaluations, une approche prudente devra être adoptée et le score le plus bas sera sélectionné pour cet indicateur.</w:t>
      </w:r>
    </w:p>
    <w:p w:rsidR="00BD5B7F" w:rsidRPr="00865DA5" w:rsidRDefault="00BD5B7F" w:rsidP="00BD5B7F">
      <w:pPr>
        <w:jc w:val="both"/>
        <w:rPr>
          <w:rFonts w:ascii="Arial" w:eastAsia="Arial" w:hAnsi="Arial" w:cs="Arial"/>
          <w:color w:val="000000"/>
          <w:sz w:val="22"/>
          <w:szCs w:val="22"/>
          <w:bdr w:val="none" w:sz="0" w:space="0" w:color="auto" w:frame="1"/>
          <w:lang w:val="fr-FR"/>
        </w:rPr>
      </w:pPr>
    </w:p>
    <w:p w:rsidR="00BD5B7F" w:rsidRPr="00FF6562" w:rsidRDefault="00BD5B7F" w:rsidP="00BD5B7F">
      <w:pPr>
        <w:jc w:val="both"/>
        <w:rPr>
          <w:rFonts w:ascii="Arial" w:eastAsia="Arial" w:hAnsi="Arial" w:cs="Arial"/>
          <w:color w:val="000000"/>
          <w:sz w:val="22"/>
          <w:szCs w:val="22"/>
          <w:bdr w:val="none" w:sz="0" w:space="0" w:color="auto" w:frame="1"/>
        </w:rPr>
      </w:pPr>
      <w:r w:rsidRPr="007A17EC">
        <w:rPr>
          <w:rFonts w:ascii="Arial" w:eastAsia="Arial" w:hAnsi="Arial" w:cs="Arial"/>
          <w:noProof/>
          <w:color w:val="000000"/>
          <w:sz w:val="22"/>
          <w:szCs w:val="22"/>
          <w:bdr w:val="none" w:sz="0" w:space="0" w:color="auto" w:frame="1"/>
          <w:lang w:val="fr-FR" w:eastAsia="fr-FR"/>
        </w:rPr>
        <w:drawing>
          <wp:inline distT="0" distB="0" distL="0" distR="0" wp14:anchorId="7243A051" wp14:editId="276A3AA3">
            <wp:extent cx="5880735" cy="5002763"/>
            <wp:effectExtent l="0" t="0" r="1206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90059" cy="5010695"/>
                    </a:xfrm>
                    <a:prstGeom prst="rect">
                      <a:avLst/>
                    </a:prstGeom>
                  </pic:spPr>
                </pic:pic>
              </a:graphicData>
            </a:graphic>
          </wp:inline>
        </w:drawing>
      </w:r>
    </w:p>
    <w:p w:rsidR="00BD5B7F" w:rsidRPr="00865DA5" w:rsidRDefault="00BD5B7F" w:rsidP="00BD5B7F">
      <w:pPr>
        <w:keepNext/>
        <w:keepLines/>
        <w:spacing w:after="120"/>
        <w:outlineLvl w:val="3"/>
        <w:rPr>
          <w:rFonts w:ascii="Arial" w:hAnsi="Arial" w:cs="Arial"/>
          <w:b/>
          <w:iCs/>
          <w:color w:val="000000"/>
          <w:sz w:val="28"/>
          <w:szCs w:val="22"/>
          <w:lang w:val="fr-FR"/>
        </w:rPr>
      </w:pPr>
      <w:bookmarkStart w:id="24" w:name="_Toc491245230"/>
      <w:bookmarkStart w:id="25" w:name="_Toc486539567"/>
      <w:r w:rsidRPr="00865DA5">
        <w:rPr>
          <w:rFonts w:ascii="Arial" w:eastAsia="Arial" w:hAnsi="Arial" w:cs="Arial"/>
          <w:b/>
          <w:bCs/>
          <w:iCs/>
          <w:color w:val="000000"/>
          <w:sz w:val="28"/>
          <w:szCs w:val="28"/>
          <w:bdr w:val="none" w:sz="0" w:space="0" w:color="auto" w:frame="1"/>
          <w:lang w:val="fr-FR"/>
        </w:rPr>
        <w:t>Scénario 3 : Absence de consensus</w:t>
      </w:r>
      <w:bookmarkEnd w:id="24"/>
      <w:r w:rsidRPr="00865DA5">
        <w:rPr>
          <w:rFonts w:ascii="Arial" w:eastAsia="Arial" w:hAnsi="Arial" w:cs="Arial"/>
          <w:b/>
          <w:bCs/>
          <w:iCs/>
          <w:color w:val="000000"/>
          <w:sz w:val="28"/>
          <w:szCs w:val="28"/>
          <w:bdr w:val="none" w:sz="0" w:space="0" w:color="auto" w:frame="1"/>
          <w:lang w:val="fr-FR"/>
        </w:rPr>
        <w:t xml:space="preserve"> </w:t>
      </w:r>
      <w:bookmarkEnd w:id="25"/>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La meilleure façon de conduire l’évaluation à dire d’expert fera appel à la participation d’experts de tous les organismes pertinents et il est recommandé qu’un groupe multipartite soit impliqué. Parfois, les experts n’arriveront pas à un consensus sur la situation nationale. Dans de telles situations, plusieurs approches peuvent être adoptées pour générer un score national unique, et il sera alors essentiel de documenter les diverses réponses pour chaque indicateur en fournissant des informations sur le contexte qui seront utiles pour l’analyse des résultats.</w:t>
      </w:r>
    </w:p>
    <w:p w:rsidR="00BD5B7F" w:rsidRPr="00865DA5" w:rsidRDefault="00BD5B7F" w:rsidP="00BD5B7F">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N w:val="0"/>
        <w:contextualSpacing/>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Si une agence de lutte contre la fraude a clairement un rôle dominant pour l’indicateur en question, il est suggéré d’adopter les composantes choisies par cette agence, et de décrire clairement les points de vue des autres agences dans la section des commentaires.</w:t>
      </w:r>
    </w:p>
    <w:p w:rsidR="00BD5B7F" w:rsidRPr="00865DA5" w:rsidRDefault="00BD5B7F" w:rsidP="00BD5B7F">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N w:val="0"/>
        <w:contextualSpacing/>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 S’il n’y a pas d’agence ayant clairement le leadership pour l’indicateur (p. ex. pour l’indicateur portant sur les besoins de formation de toutes les agences), il est suggéré d’adopter une approche prudente en choisissant le score global le plus faible, en prenant également soin de bien consigner les différents points de vue dans la section des commentaires. Pour ces indicateurs, il peut également être souhaitable de compléter l’évaluation au niveau de chaque agence afin de produire pour chacune d’elle un score distinct.</w:t>
      </w:r>
    </w:p>
    <w:p w:rsidR="00BD5B7F" w:rsidRPr="00865DA5" w:rsidRDefault="00BD5B7F" w:rsidP="00BD5B7F">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N w:val="0"/>
        <w:spacing w:after="120"/>
        <w:ind w:left="714" w:hanging="357"/>
        <w:contextualSpacing/>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Lorsqu’il existe un large éventail d’opinions d’experts et aucune issue claire, il est suggéré de ne pas produire de score pour l’indicateur et de documenter clairement </w:t>
      </w:r>
      <w:r w:rsidRPr="00865DA5">
        <w:rPr>
          <w:rFonts w:ascii="Arial" w:eastAsia="Arial" w:hAnsi="Arial" w:cs="Arial"/>
          <w:color w:val="000000"/>
          <w:sz w:val="22"/>
          <w:szCs w:val="22"/>
          <w:bdr w:val="none" w:sz="0" w:space="0" w:color="auto" w:frame="1"/>
          <w:lang w:val="fr-FR"/>
        </w:rPr>
        <w:lastRenderedPageBreak/>
        <w:t xml:space="preserve">les points de vue divergents en enregistrant le score minimal et le score maximal ainsi que leur justification. </w:t>
      </w:r>
      <w:bookmarkStart w:id="26" w:name="_Toc491245231"/>
      <w:bookmarkStart w:id="27" w:name="_Toc491245054"/>
      <w:bookmarkStart w:id="28" w:name="_Toc486539568"/>
    </w:p>
    <w:p w:rsidR="00BD5B7F" w:rsidRPr="00865DA5" w:rsidRDefault="00BD5B7F" w:rsidP="00BD5B7F">
      <w:pPr>
        <w:keepNext/>
        <w:keepLines/>
        <w:spacing w:after="120"/>
        <w:outlineLvl w:val="1"/>
        <w:rPr>
          <w:rFonts w:ascii="Arial" w:hAnsi="Arial" w:cs="Arial"/>
          <w:b/>
          <w:color w:val="000000"/>
          <w:sz w:val="30"/>
          <w:szCs w:val="30"/>
          <w:lang w:val="fr-FR"/>
        </w:rPr>
      </w:pPr>
      <w:r w:rsidRPr="00865DA5">
        <w:rPr>
          <w:rFonts w:ascii="Arial" w:eastAsia="Arial" w:hAnsi="Arial" w:cs="Arial"/>
          <w:b/>
          <w:bCs/>
          <w:color w:val="000000"/>
          <w:sz w:val="30"/>
          <w:szCs w:val="30"/>
          <w:bdr w:val="none" w:sz="0" w:space="0" w:color="auto" w:frame="1"/>
          <w:lang w:val="fr-FR"/>
        </w:rPr>
        <w:t>Attribution des scores et évaluation des résultats</w:t>
      </w:r>
      <w:bookmarkEnd w:id="26"/>
      <w:bookmarkEnd w:id="27"/>
      <w:bookmarkEnd w:id="28"/>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La plupart des indicateurs peuvent recevoir un score situé entre 0 et 3. Deux indicateurs (n° 12 et n° 16) comprennent l’option « non applicable » qui, si elle est utilisée, ne générera pas de score pour cet indicateur en particulier. Les États devront clairement indiquer pourquoi ils considèrent que l’indicateur n’est pas applicable dans leur pays. Le score maximal de l’évaluation au niveau national (c.-à-d. la somme des scores de tous les indicateurs) sera de 75. Il sera également utile d’examiner le score pour chaque groupe d’indicateurs en calculant le score moyen par groupe, car le nombre d’indicateurs produisant des scores varie dans chacun des cinq groupes.</w:t>
      </w:r>
    </w:p>
    <w:tbl>
      <w:tblPr>
        <w:tblW w:w="9923" w:type="dxa"/>
        <w:tblInd w:w="-10"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226"/>
        <w:gridCol w:w="3177"/>
        <w:gridCol w:w="2520"/>
      </w:tblGrid>
      <w:tr w:rsidR="00BD5B7F" w:rsidRPr="00FF6562" w:rsidTr="000E5961">
        <w:trPr>
          <w:trHeight w:val="307"/>
        </w:trPr>
        <w:tc>
          <w:tcPr>
            <w:tcW w:w="4226" w:type="dxa"/>
            <w:tcBorders>
              <w:top w:val="single" w:sz="8" w:space="0" w:color="4F81BD"/>
              <w:left w:val="single" w:sz="8" w:space="0" w:color="4F81BD"/>
              <w:bottom w:val="nil"/>
              <w:right w:val="nil"/>
            </w:tcBorders>
            <w:shd w:val="clear" w:color="auto" w:fill="4F81BD"/>
            <w:vAlign w:val="center"/>
            <w:hideMark/>
          </w:tcPr>
          <w:p w:rsidR="00BD5B7F" w:rsidRPr="00FF6562" w:rsidRDefault="00BD5B7F" w:rsidP="000E5961">
            <w:pPr>
              <w:rPr>
                <w:rFonts w:ascii="Arial" w:eastAsia="Calibri" w:hAnsi="Arial" w:cs="Arial"/>
                <w:b/>
                <w:bCs/>
                <w:i/>
                <w:iCs/>
                <w:color w:val="FFFFFF"/>
              </w:rPr>
            </w:pPr>
            <w:r w:rsidRPr="00FF6562">
              <w:rPr>
                <w:rFonts w:ascii="Arial" w:eastAsia="Calibri" w:hAnsi="Arial" w:cs="Arial"/>
                <w:b/>
                <w:bCs/>
                <w:i/>
                <w:iCs/>
                <w:color w:val="FFFFFF"/>
                <w:bdr w:val="none" w:sz="0" w:space="0" w:color="auto" w:frame="1"/>
              </w:rPr>
              <w:t>Indicateur</w:t>
            </w:r>
          </w:p>
        </w:tc>
        <w:tc>
          <w:tcPr>
            <w:tcW w:w="3177" w:type="dxa"/>
            <w:tcBorders>
              <w:top w:val="single" w:sz="8" w:space="0" w:color="4F81BD"/>
              <w:left w:val="nil"/>
              <w:bottom w:val="nil"/>
              <w:right w:val="nil"/>
            </w:tcBorders>
            <w:shd w:val="clear" w:color="auto" w:fill="4F81BD"/>
            <w:vAlign w:val="center"/>
            <w:hideMark/>
          </w:tcPr>
          <w:p w:rsidR="00BD5B7F" w:rsidRPr="00FF6562" w:rsidRDefault="00BD5B7F" w:rsidP="000E5961">
            <w:pPr>
              <w:rPr>
                <w:rFonts w:ascii="Arial" w:eastAsia="Calibri" w:hAnsi="Arial" w:cs="Arial"/>
                <w:b/>
                <w:bCs/>
                <w:i/>
                <w:iCs/>
                <w:color w:val="FFFFFF"/>
              </w:rPr>
            </w:pPr>
            <w:r w:rsidRPr="00FF6562">
              <w:rPr>
                <w:rFonts w:ascii="Arial" w:eastAsia="Calibri" w:hAnsi="Arial" w:cs="Arial"/>
                <w:b/>
                <w:bCs/>
                <w:i/>
                <w:iCs/>
                <w:color w:val="FFFFFF"/>
                <w:bdr w:val="none" w:sz="0" w:space="0" w:color="auto" w:frame="1"/>
              </w:rPr>
              <w:t>Groupe d’indicateurs</w:t>
            </w:r>
          </w:p>
        </w:tc>
        <w:tc>
          <w:tcPr>
            <w:tcW w:w="2520" w:type="dxa"/>
            <w:tcBorders>
              <w:top w:val="single" w:sz="8" w:space="0" w:color="4F81BD"/>
              <w:left w:val="nil"/>
              <w:bottom w:val="nil"/>
              <w:right w:val="single" w:sz="8" w:space="0" w:color="4F81BD"/>
            </w:tcBorders>
            <w:shd w:val="clear" w:color="auto" w:fill="4F81BD"/>
            <w:vAlign w:val="center"/>
            <w:hideMark/>
          </w:tcPr>
          <w:p w:rsidR="00BD5B7F" w:rsidRPr="00FF6562" w:rsidRDefault="00BD5B7F" w:rsidP="000E5961">
            <w:pPr>
              <w:rPr>
                <w:rFonts w:ascii="Arial" w:eastAsia="Calibri" w:hAnsi="Arial" w:cs="Arial"/>
                <w:b/>
                <w:bCs/>
                <w:i/>
                <w:iCs/>
                <w:color w:val="FFFFFF"/>
              </w:rPr>
            </w:pPr>
            <w:r w:rsidRPr="00FF6562">
              <w:rPr>
                <w:rFonts w:ascii="Arial" w:eastAsia="Calibri" w:hAnsi="Arial" w:cs="Arial"/>
                <w:b/>
                <w:bCs/>
                <w:i/>
                <w:iCs/>
                <w:color w:val="FFFFFF"/>
                <w:bdr w:val="none" w:sz="0" w:space="0" w:color="auto" w:frame="1"/>
              </w:rPr>
              <w:t xml:space="preserve">Score maximal du groupe </w:t>
            </w:r>
          </w:p>
        </w:tc>
      </w:tr>
      <w:tr w:rsidR="00BD5B7F" w:rsidRPr="00FF6562" w:rsidTr="000E5961">
        <w:trPr>
          <w:cantSplit/>
          <w:trHeight w:val="116"/>
        </w:trPr>
        <w:tc>
          <w:tcPr>
            <w:tcW w:w="4226" w:type="dxa"/>
            <w:tcBorders>
              <w:top w:val="single" w:sz="8" w:space="0" w:color="4F81BD"/>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lang w:val="fr-FR"/>
              </w:rPr>
            </w:pPr>
            <w:r w:rsidRPr="00865DA5">
              <w:rPr>
                <w:rFonts w:ascii="Arial" w:eastAsia="Calibri" w:hAnsi="Arial" w:cs="Arial"/>
                <w:b/>
                <w:bCs/>
                <w:iCs/>
                <w:color w:val="000000"/>
                <w:bdr w:val="none" w:sz="0" w:space="0" w:color="auto" w:frame="1"/>
                <w:lang w:val="fr-FR"/>
              </w:rPr>
              <w:t>1. Situation et échelle de l’IKB</w:t>
            </w:r>
          </w:p>
        </w:tc>
        <w:tc>
          <w:tcPr>
            <w:tcW w:w="3177" w:type="dxa"/>
            <w:vMerge w:val="restart"/>
            <w:tcBorders>
              <w:top w:val="single" w:sz="8" w:space="0" w:color="4F81BD"/>
              <w:left w:val="nil"/>
              <w:bottom w:val="nil"/>
              <w:right w:val="nil"/>
            </w:tcBorders>
            <w:vAlign w:val="center"/>
            <w:hideMark/>
          </w:tcPr>
          <w:p w:rsidR="00BD5B7F" w:rsidRPr="00865DA5" w:rsidRDefault="00BD5B7F" w:rsidP="000E5961">
            <w:pPr>
              <w:ind w:left="317" w:hanging="317"/>
              <w:rPr>
                <w:rFonts w:ascii="Arial" w:eastAsia="Calibri" w:hAnsi="Arial" w:cs="Arial"/>
                <w:iCs/>
                <w:color w:val="000000"/>
                <w:lang w:val="fr-FR"/>
              </w:rPr>
            </w:pPr>
            <w:r w:rsidRPr="00865DA5">
              <w:rPr>
                <w:rFonts w:ascii="Arial" w:eastAsia="Calibri" w:hAnsi="Arial" w:cs="Arial"/>
                <w:iCs/>
                <w:color w:val="000000"/>
                <w:bdr w:val="none" w:sz="0" w:space="0" w:color="auto" w:frame="1"/>
                <w:lang w:val="fr-FR"/>
              </w:rPr>
              <w:t>A. Suivi national de l’IKB (Gestion des données sur la portée et l’échelle de l’IKB)</w:t>
            </w:r>
          </w:p>
        </w:tc>
        <w:tc>
          <w:tcPr>
            <w:tcW w:w="2520" w:type="dxa"/>
            <w:vMerge w:val="restart"/>
            <w:tcBorders>
              <w:top w:val="single" w:sz="8" w:space="0" w:color="4F81BD"/>
              <w:left w:val="nil"/>
              <w:bottom w:val="nil"/>
              <w:right w:val="single" w:sz="8" w:space="0" w:color="4F81BD"/>
            </w:tcBorders>
            <w:vAlign w:val="center"/>
            <w:hideMark/>
          </w:tcPr>
          <w:p w:rsidR="00BD5B7F" w:rsidRPr="00FF6562" w:rsidRDefault="00BD5B7F" w:rsidP="000E5961">
            <w:pPr>
              <w:rPr>
                <w:rFonts w:ascii="Arial" w:eastAsia="Calibri" w:hAnsi="Arial" w:cs="Arial"/>
                <w:iCs/>
                <w:color w:val="000000"/>
              </w:rPr>
            </w:pPr>
            <w:r w:rsidRPr="00FF6562">
              <w:rPr>
                <w:rFonts w:ascii="Arial" w:eastAsia="Calibri" w:hAnsi="Arial" w:cs="Arial"/>
                <w:iCs/>
                <w:color w:val="000000"/>
              </w:rPr>
              <w:t>6</w:t>
            </w:r>
          </w:p>
          <w:p w:rsidR="00BD5B7F" w:rsidRPr="00FF6562" w:rsidRDefault="00BD5B7F" w:rsidP="000E5961">
            <w:pPr>
              <w:rPr>
                <w:rFonts w:ascii="Arial" w:eastAsia="Calibri" w:hAnsi="Arial" w:cs="Arial"/>
                <w:iCs/>
                <w:color w:val="000000"/>
              </w:rPr>
            </w:pPr>
            <w:r w:rsidRPr="00FF6562">
              <w:rPr>
                <w:rFonts w:ascii="Arial" w:eastAsia="Calibri" w:hAnsi="Arial" w:cs="Arial"/>
                <w:iCs/>
                <w:color w:val="000000"/>
                <w:bdr w:val="none" w:sz="0" w:space="0" w:color="auto" w:frame="1"/>
              </w:rPr>
              <w:t>+ données</w:t>
            </w:r>
          </w:p>
        </w:tc>
      </w:tr>
      <w:tr w:rsidR="00BD5B7F" w:rsidRPr="00FC42B0" w:rsidTr="000E5961">
        <w:trPr>
          <w:cantSplit/>
          <w:trHeight w:val="116"/>
        </w:trPr>
        <w:tc>
          <w:tcPr>
            <w:tcW w:w="4226" w:type="dxa"/>
            <w:tcBorders>
              <w:top w:val="nil"/>
              <w:left w:val="single" w:sz="8" w:space="0" w:color="4F81BD"/>
              <w:bottom w:val="nil"/>
              <w:right w:val="nil"/>
            </w:tcBorders>
            <w:vAlign w:val="center"/>
            <w:hideMark/>
          </w:tcPr>
          <w:p w:rsidR="00BD5B7F" w:rsidRPr="00865DA5" w:rsidRDefault="00BD5B7F" w:rsidP="000E5961">
            <w:pPr>
              <w:ind w:left="284" w:hanging="284"/>
              <w:rPr>
                <w:rFonts w:ascii="Arial" w:eastAsia="Calibri" w:hAnsi="Arial" w:cs="Arial"/>
                <w:b/>
                <w:bCs/>
                <w:iCs/>
                <w:color w:val="000000"/>
                <w:highlight w:val="green"/>
                <w:lang w:val="fr-FR"/>
              </w:rPr>
            </w:pPr>
            <w:r w:rsidRPr="00865DA5">
              <w:rPr>
                <w:rFonts w:ascii="Arial" w:eastAsia="Calibri" w:hAnsi="Arial" w:cs="Arial"/>
                <w:b/>
                <w:bCs/>
                <w:iCs/>
                <w:color w:val="000000"/>
                <w:bdr w:val="none" w:sz="0" w:space="0" w:color="auto" w:frame="1"/>
                <w:lang w:val="fr-FR"/>
              </w:rPr>
              <w:t xml:space="preserve">2. Nombre, répartition et tendance des oiseaux illégalement abattus, piégés ou commercialisés </w:t>
            </w:r>
          </w:p>
        </w:tc>
        <w:tc>
          <w:tcPr>
            <w:tcW w:w="0" w:type="auto"/>
            <w:vMerge/>
            <w:tcBorders>
              <w:top w:val="single" w:sz="8" w:space="0" w:color="4F81BD"/>
              <w:left w:val="nil"/>
              <w:bottom w:val="nil"/>
              <w:right w:val="nil"/>
            </w:tcBorders>
            <w:vAlign w:val="center"/>
            <w:hideMark/>
          </w:tcPr>
          <w:p w:rsidR="00BD5B7F" w:rsidRPr="00865DA5" w:rsidRDefault="00BD5B7F" w:rsidP="000E5961">
            <w:pPr>
              <w:rPr>
                <w:rFonts w:ascii="Arial" w:eastAsia="Calibri" w:hAnsi="Arial" w:cs="Arial"/>
                <w:iCs/>
                <w:color w:val="000000"/>
                <w:lang w:val="fr-FR"/>
              </w:rPr>
            </w:pPr>
          </w:p>
        </w:tc>
        <w:tc>
          <w:tcPr>
            <w:tcW w:w="2520" w:type="dxa"/>
            <w:vMerge/>
            <w:tcBorders>
              <w:top w:val="single" w:sz="8" w:space="0" w:color="4F81BD"/>
              <w:left w:val="nil"/>
              <w:bottom w:val="nil"/>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p>
        </w:tc>
      </w:tr>
      <w:tr w:rsidR="00BD5B7F" w:rsidRPr="00FC42B0" w:rsidTr="000E5961">
        <w:trPr>
          <w:cantSplit/>
          <w:trHeight w:val="116"/>
        </w:trPr>
        <w:tc>
          <w:tcPr>
            <w:tcW w:w="4226" w:type="dxa"/>
            <w:tcBorders>
              <w:top w:val="single" w:sz="8" w:space="0" w:color="4F81BD"/>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lang w:val="fr-FR"/>
              </w:rPr>
            </w:pPr>
            <w:r w:rsidRPr="00865DA5">
              <w:rPr>
                <w:rFonts w:ascii="Arial" w:eastAsia="Calibri" w:hAnsi="Arial" w:cs="Arial"/>
                <w:b/>
                <w:bCs/>
                <w:iCs/>
                <w:color w:val="000000"/>
                <w:bdr w:val="none" w:sz="0" w:space="0" w:color="auto" w:frame="1"/>
                <w:lang w:val="fr-FR"/>
              </w:rPr>
              <w:t>3. Connaissance de l’étendue des cas d’IKB par la justice</w:t>
            </w:r>
          </w:p>
        </w:tc>
        <w:tc>
          <w:tcPr>
            <w:tcW w:w="0" w:type="auto"/>
            <w:vMerge/>
            <w:tcBorders>
              <w:top w:val="single" w:sz="8" w:space="0" w:color="4F81BD"/>
              <w:left w:val="nil"/>
              <w:bottom w:val="nil"/>
              <w:right w:val="nil"/>
            </w:tcBorders>
            <w:vAlign w:val="center"/>
            <w:hideMark/>
          </w:tcPr>
          <w:p w:rsidR="00BD5B7F" w:rsidRPr="00865DA5" w:rsidRDefault="00BD5B7F" w:rsidP="000E5961">
            <w:pPr>
              <w:rPr>
                <w:rFonts w:ascii="Arial" w:eastAsia="Calibri" w:hAnsi="Arial" w:cs="Arial"/>
                <w:iCs/>
                <w:color w:val="000000"/>
                <w:lang w:val="fr-FR"/>
              </w:rPr>
            </w:pPr>
          </w:p>
        </w:tc>
        <w:tc>
          <w:tcPr>
            <w:tcW w:w="2520" w:type="dxa"/>
            <w:vMerge/>
            <w:tcBorders>
              <w:top w:val="single" w:sz="8" w:space="0" w:color="4F81BD"/>
              <w:left w:val="nil"/>
              <w:bottom w:val="nil"/>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p>
        </w:tc>
      </w:tr>
      <w:tr w:rsidR="00BD5B7F" w:rsidRPr="00FC42B0" w:rsidTr="000E5961">
        <w:trPr>
          <w:cantSplit/>
          <w:trHeight w:val="116"/>
        </w:trPr>
        <w:tc>
          <w:tcPr>
            <w:tcW w:w="4226" w:type="dxa"/>
            <w:tcBorders>
              <w:top w:val="nil"/>
              <w:left w:val="single" w:sz="8" w:space="0" w:color="4F81BD"/>
              <w:bottom w:val="nil"/>
              <w:right w:val="nil"/>
            </w:tcBorders>
            <w:vAlign w:val="center"/>
            <w:hideMark/>
          </w:tcPr>
          <w:p w:rsidR="00BD5B7F" w:rsidRPr="00865DA5" w:rsidRDefault="00BD5B7F" w:rsidP="000E5961">
            <w:pPr>
              <w:ind w:left="284" w:hanging="284"/>
              <w:rPr>
                <w:rFonts w:ascii="Arial" w:eastAsia="Calibri" w:hAnsi="Arial" w:cs="Arial"/>
                <w:b/>
                <w:bCs/>
                <w:iCs/>
                <w:color w:val="000000"/>
                <w:highlight w:val="green"/>
                <w:lang w:val="fr-FR"/>
              </w:rPr>
            </w:pPr>
            <w:r w:rsidRPr="00865DA5">
              <w:rPr>
                <w:rFonts w:ascii="Arial" w:eastAsia="Calibri" w:hAnsi="Arial" w:cs="Arial"/>
                <w:b/>
                <w:bCs/>
                <w:iCs/>
                <w:color w:val="000000"/>
                <w:bdr w:val="none" w:sz="0" w:space="0" w:color="auto" w:frame="1"/>
                <w:lang w:val="fr-FR"/>
              </w:rPr>
              <w:t>4. Nombre de cas d’IKB ayant fait l’objet de poursuites au cours de l’année précédente (données)</w:t>
            </w:r>
          </w:p>
        </w:tc>
        <w:tc>
          <w:tcPr>
            <w:tcW w:w="0" w:type="auto"/>
            <w:vMerge/>
            <w:tcBorders>
              <w:top w:val="single" w:sz="8" w:space="0" w:color="4F81BD"/>
              <w:left w:val="nil"/>
              <w:bottom w:val="nil"/>
              <w:right w:val="nil"/>
            </w:tcBorders>
            <w:vAlign w:val="center"/>
            <w:hideMark/>
          </w:tcPr>
          <w:p w:rsidR="00BD5B7F" w:rsidRPr="00865DA5" w:rsidRDefault="00BD5B7F" w:rsidP="000E5961">
            <w:pPr>
              <w:rPr>
                <w:rFonts w:ascii="Arial" w:eastAsia="Calibri" w:hAnsi="Arial" w:cs="Arial"/>
                <w:iCs/>
                <w:color w:val="000000"/>
                <w:lang w:val="fr-FR"/>
              </w:rPr>
            </w:pPr>
          </w:p>
        </w:tc>
        <w:tc>
          <w:tcPr>
            <w:tcW w:w="2520" w:type="dxa"/>
            <w:vMerge/>
            <w:tcBorders>
              <w:top w:val="single" w:sz="8" w:space="0" w:color="4F81BD"/>
              <w:left w:val="nil"/>
              <w:bottom w:val="nil"/>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p>
        </w:tc>
      </w:tr>
      <w:tr w:rsidR="00BD5B7F" w:rsidRPr="00FC42B0" w:rsidTr="000E5961">
        <w:trPr>
          <w:cantSplit/>
          <w:trHeight w:val="116"/>
        </w:trPr>
        <w:tc>
          <w:tcPr>
            <w:tcW w:w="4226" w:type="dxa"/>
            <w:tcBorders>
              <w:top w:val="single" w:sz="12" w:space="0" w:color="95B3D7"/>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lang w:val="fr-FR"/>
              </w:rPr>
            </w:pPr>
            <w:r w:rsidRPr="00865DA5">
              <w:rPr>
                <w:rFonts w:ascii="Arial" w:eastAsia="Calibri" w:hAnsi="Arial" w:cs="Arial"/>
                <w:b/>
                <w:bCs/>
                <w:iCs/>
                <w:color w:val="000000"/>
                <w:bdr w:val="none" w:sz="0" w:space="0" w:color="auto" w:frame="1"/>
                <w:lang w:val="fr-FR"/>
              </w:rPr>
              <w:t>5. Législation nationale sur la faune sauvage</w:t>
            </w:r>
          </w:p>
        </w:tc>
        <w:tc>
          <w:tcPr>
            <w:tcW w:w="3177" w:type="dxa"/>
            <w:vMerge w:val="restart"/>
            <w:tcBorders>
              <w:top w:val="single" w:sz="12" w:space="0" w:color="95B3D7"/>
              <w:left w:val="nil"/>
              <w:bottom w:val="single" w:sz="8" w:space="0" w:color="4F81BD"/>
              <w:right w:val="nil"/>
            </w:tcBorders>
            <w:vAlign w:val="center"/>
            <w:hideMark/>
          </w:tcPr>
          <w:p w:rsidR="00BD5B7F" w:rsidRPr="00865DA5" w:rsidRDefault="00BD5B7F" w:rsidP="000E5961">
            <w:pPr>
              <w:ind w:left="317" w:hanging="317"/>
              <w:rPr>
                <w:rFonts w:ascii="Arial" w:eastAsia="Calibri" w:hAnsi="Arial" w:cs="Arial"/>
                <w:iCs/>
                <w:color w:val="000000"/>
                <w:lang w:val="fr-FR"/>
              </w:rPr>
            </w:pPr>
            <w:r w:rsidRPr="00865DA5">
              <w:rPr>
                <w:rFonts w:ascii="Arial" w:eastAsia="Calibri" w:hAnsi="Arial" w:cs="Arial"/>
                <w:iCs/>
                <w:color w:val="000000"/>
                <w:bdr w:val="none" w:sz="0" w:space="0" w:color="auto" w:frame="1"/>
                <w:lang w:val="fr-FR"/>
              </w:rPr>
              <w:t>B. Niveau d’exhaustivité de la législation nationale</w:t>
            </w:r>
          </w:p>
        </w:tc>
        <w:tc>
          <w:tcPr>
            <w:tcW w:w="2520" w:type="dxa"/>
            <w:vMerge w:val="restart"/>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r w:rsidRPr="00865DA5">
              <w:rPr>
                <w:rFonts w:ascii="Arial" w:eastAsia="Calibri" w:hAnsi="Arial" w:cs="Arial"/>
                <w:iCs/>
                <w:color w:val="000000"/>
                <w:lang w:val="fr-FR"/>
              </w:rPr>
              <w:t xml:space="preserve">27 </w:t>
            </w:r>
          </w:p>
          <w:p w:rsidR="00BD5B7F" w:rsidRPr="00865DA5" w:rsidRDefault="00BD5B7F" w:rsidP="000E5961">
            <w:pPr>
              <w:rPr>
                <w:rFonts w:ascii="Arial" w:eastAsia="Calibri" w:hAnsi="Arial" w:cs="Arial"/>
                <w:iCs/>
                <w:color w:val="000000"/>
                <w:lang w:val="fr-FR"/>
              </w:rPr>
            </w:pPr>
            <w:r w:rsidRPr="00865DA5">
              <w:rPr>
                <w:rFonts w:ascii="Arial" w:eastAsia="Calibri" w:hAnsi="Arial" w:cs="Arial"/>
                <w:iCs/>
                <w:color w:val="000000"/>
                <w:bdr w:val="none" w:sz="0" w:space="0" w:color="auto" w:frame="1"/>
                <w:lang w:val="fr-FR"/>
              </w:rPr>
              <w:t>(24 si le score de l’indicateur n° 12 est « Non applicable »)</w:t>
            </w:r>
          </w:p>
        </w:tc>
      </w:tr>
      <w:tr w:rsidR="00BD5B7F" w:rsidRPr="00FF6562" w:rsidTr="000E5961">
        <w:trPr>
          <w:cantSplit/>
          <w:trHeight w:val="116"/>
        </w:trPr>
        <w:tc>
          <w:tcPr>
            <w:tcW w:w="4226" w:type="dxa"/>
            <w:tcBorders>
              <w:top w:val="nil"/>
              <w:left w:val="single" w:sz="8" w:space="0" w:color="4F81BD"/>
              <w:bottom w:val="nil"/>
              <w:right w:val="nil"/>
            </w:tcBorders>
            <w:vAlign w:val="center"/>
            <w:hideMark/>
          </w:tcPr>
          <w:p w:rsidR="00BD5B7F" w:rsidRPr="00FF6562" w:rsidRDefault="00BD5B7F" w:rsidP="000E5961">
            <w:pPr>
              <w:ind w:left="284" w:hanging="284"/>
              <w:rPr>
                <w:rFonts w:ascii="Arial" w:eastAsia="Calibri" w:hAnsi="Arial" w:cs="Arial"/>
                <w:b/>
                <w:bCs/>
                <w:iCs/>
                <w:color w:val="000000"/>
              </w:rPr>
            </w:pPr>
            <w:r w:rsidRPr="00FF6562">
              <w:rPr>
                <w:rFonts w:ascii="Arial" w:eastAsia="Calibri" w:hAnsi="Arial" w:cs="Arial"/>
                <w:b/>
                <w:bCs/>
                <w:iCs/>
                <w:color w:val="000000"/>
                <w:bdr w:val="none" w:sz="0" w:space="0" w:color="auto" w:frame="1"/>
              </w:rPr>
              <w:t>6. Utilisation réglementée</w:t>
            </w:r>
          </w:p>
        </w:tc>
        <w:tc>
          <w:tcPr>
            <w:tcW w:w="0" w:type="auto"/>
            <w:vMerge/>
            <w:tcBorders>
              <w:top w:val="single" w:sz="12" w:space="0" w:color="95B3D7"/>
              <w:left w:val="nil"/>
              <w:bottom w:val="single" w:sz="8" w:space="0" w:color="4F81BD"/>
              <w:right w:val="nil"/>
            </w:tcBorders>
            <w:vAlign w:val="center"/>
            <w:hideMark/>
          </w:tcPr>
          <w:p w:rsidR="00BD5B7F" w:rsidRPr="00FF6562" w:rsidRDefault="00BD5B7F" w:rsidP="000E5961">
            <w:pPr>
              <w:rPr>
                <w:rFonts w:ascii="Arial" w:eastAsia="Calibri" w:hAnsi="Arial" w:cs="Arial"/>
                <w:iCs/>
                <w:color w:val="000000"/>
              </w:rPr>
            </w:pPr>
          </w:p>
        </w:tc>
        <w:tc>
          <w:tcPr>
            <w:tcW w:w="2520" w:type="dxa"/>
            <w:vMerge/>
            <w:tcBorders>
              <w:top w:val="single" w:sz="12" w:space="0" w:color="95B3D7"/>
              <w:left w:val="nil"/>
              <w:bottom w:val="single" w:sz="8" w:space="0" w:color="4F81BD"/>
              <w:right w:val="single" w:sz="8" w:space="0" w:color="4F81BD"/>
            </w:tcBorders>
            <w:vAlign w:val="center"/>
            <w:hideMark/>
          </w:tcPr>
          <w:p w:rsidR="00BD5B7F" w:rsidRPr="00FF6562" w:rsidRDefault="00BD5B7F" w:rsidP="000E5961">
            <w:pPr>
              <w:rPr>
                <w:rFonts w:ascii="Arial" w:eastAsia="Calibri" w:hAnsi="Arial" w:cs="Arial"/>
                <w:iCs/>
                <w:color w:val="000000"/>
              </w:rPr>
            </w:pPr>
          </w:p>
        </w:tc>
      </w:tr>
      <w:tr w:rsidR="00BD5B7F" w:rsidRPr="00FC42B0" w:rsidTr="000E5961">
        <w:trPr>
          <w:cantSplit/>
          <w:trHeight w:val="236"/>
        </w:trPr>
        <w:tc>
          <w:tcPr>
            <w:tcW w:w="4226" w:type="dxa"/>
            <w:tcBorders>
              <w:top w:val="single" w:sz="8" w:space="0" w:color="4F81BD"/>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lang w:val="fr-FR"/>
              </w:rPr>
            </w:pPr>
            <w:r w:rsidRPr="00865DA5">
              <w:rPr>
                <w:rFonts w:ascii="Arial" w:eastAsia="Calibri" w:hAnsi="Arial" w:cs="Arial"/>
                <w:b/>
                <w:bCs/>
                <w:iCs/>
                <w:color w:val="000000"/>
                <w:bdr w:val="none" w:sz="0" w:space="0" w:color="auto" w:frame="1"/>
                <w:lang w:val="fr-FR"/>
              </w:rPr>
              <w:t>7. Interdictions en vertu de la législation nationale</w:t>
            </w: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lang w:val="fr-FR"/>
              </w:rPr>
            </w:pPr>
          </w:p>
        </w:tc>
        <w:tc>
          <w:tcPr>
            <w:tcW w:w="2520" w:type="dxa"/>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p>
        </w:tc>
      </w:tr>
      <w:tr w:rsidR="00BD5B7F" w:rsidRPr="00FC42B0" w:rsidTr="000E5961">
        <w:trPr>
          <w:cantSplit/>
          <w:trHeight w:val="116"/>
        </w:trPr>
        <w:tc>
          <w:tcPr>
            <w:tcW w:w="4226" w:type="dxa"/>
            <w:tcBorders>
              <w:top w:val="nil"/>
              <w:left w:val="single" w:sz="8" w:space="0" w:color="4F81BD"/>
              <w:bottom w:val="nil"/>
              <w:right w:val="nil"/>
            </w:tcBorders>
            <w:vAlign w:val="center"/>
            <w:hideMark/>
          </w:tcPr>
          <w:p w:rsidR="00BD5B7F" w:rsidRPr="00865DA5" w:rsidRDefault="00BD5B7F" w:rsidP="000E5961">
            <w:pPr>
              <w:ind w:left="284" w:hanging="284"/>
              <w:rPr>
                <w:rFonts w:ascii="Arial" w:eastAsia="Calibri" w:hAnsi="Arial" w:cs="Arial"/>
                <w:b/>
                <w:bCs/>
                <w:iCs/>
                <w:color w:val="000000"/>
                <w:lang w:val="fr-FR"/>
              </w:rPr>
            </w:pPr>
            <w:r w:rsidRPr="00865DA5">
              <w:rPr>
                <w:rFonts w:ascii="Arial" w:eastAsia="Calibri" w:hAnsi="Arial" w:cs="Arial"/>
                <w:b/>
                <w:bCs/>
                <w:iCs/>
                <w:color w:val="000000"/>
                <w:bdr w:val="none" w:sz="0" w:space="0" w:color="auto" w:frame="1"/>
                <w:lang w:val="fr-FR"/>
              </w:rPr>
              <w:t>8. Exceptions à la législation nationale</w:t>
            </w: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lang w:val="fr-FR"/>
              </w:rPr>
            </w:pPr>
          </w:p>
        </w:tc>
        <w:tc>
          <w:tcPr>
            <w:tcW w:w="2520" w:type="dxa"/>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p>
        </w:tc>
      </w:tr>
      <w:tr w:rsidR="00BD5B7F" w:rsidRPr="00FF6562" w:rsidTr="000E5961">
        <w:trPr>
          <w:cantSplit/>
          <w:trHeight w:val="116"/>
        </w:trPr>
        <w:tc>
          <w:tcPr>
            <w:tcW w:w="4226" w:type="dxa"/>
            <w:tcBorders>
              <w:top w:val="single" w:sz="8" w:space="0" w:color="4F81BD"/>
              <w:left w:val="single" w:sz="8" w:space="0" w:color="4F81BD"/>
              <w:bottom w:val="single" w:sz="8" w:space="0" w:color="4F81BD"/>
              <w:right w:val="nil"/>
            </w:tcBorders>
            <w:vAlign w:val="center"/>
            <w:hideMark/>
          </w:tcPr>
          <w:p w:rsidR="00BD5B7F" w:rsidRPr="00FF6562" w:rsidRDefault="00BD5B7F" w:rsidP="000E5961">
            <w:pPr>
              <w:ind w:left="284" w:hanging="284"/>
              <w:rPr>
                <w:rFonts w:ascii="Arial" w:eastAsia="Calibri" w:hAnsi="Arial" w:cs="Arial"/>
                <w:b/>
                <w:bCs/>
                <w:iCs/>
                <w:color w:val="000000"/>
              </w:rPr>
            </w:pPr>
            <w:r w:rsidRPr="00FF6562">
              <w:rPr>
                <w:rFonts w:ascii="Arial" w:eastAsia="Calibri" w:hAnsi="Arial" w:cs="Arial"/>
                <w:b/>
                <w:bCs/>
                <w:iCs/>
                <w:color w:val="000000"/>
                <w:bdr w:val="none" w:sz="0" w:space="0" w:color="auto" w:frame="1"/>
              </w:rPr>
              <w:t>9. Sanctions et peines</w:t>
            </w:r>
          </w:p>
        </w:tc>
        <w:tc>
          <w:tcPr>
            <w:tcW w:w="0" w:type="auto"/>
            <w:vMerge/>
            <w:tcBorders>
              <w:top w:val="single" w:sz="12" w:space="0" w:color="95B3D7"/>
              <w:left w:val="nil"/>
              <w:bottom w:val="single" w:sz="8" w:space="0" w:color="4F81BD"/>
              <w:right w:val="nil"/>
            </w:tcBorders>
            <w:vAlign w:val="center"/>
            <w:hideMark/>
          </w:tcPr>
          <w:p w:rsidR="00BD5B7F" w:rsidRPr="00FF6562" w:rsidRDefault="00BD5B7F" w:rsidP="000E5961">
            <w:pPr>
              <w:rPr>
                <w:rFonts w:ascii="Arial" w:eastAsia="Calibri" w:hAnsi="Arial" w:cs="Arial"/>
                <w:iCs/>
                <w:color w:val="000000"/>
              </w:rPr>
            </w:pPr>
          </w:p>
        </w:tc>
        <w:tc>
          <w:tcPr>
            <w:tcW w:w="2520" w:type="dxa"/>
            <w:vMerge/>
            <w:tcBorders>
              <w:top w:val="single" w:sz="12" w:space="0" w:color="95B3D7"/>
              <w:left w:val="nil"/>
              <w:bottom w:val="single" w:sz="8" w:space="0" w:color="4F81BD"/>
              <w:right w:val="single" w:sz="8" w:space="0" w:color="4F81BD"/>
            </w:tcBorders>
            <w:vAlign w:val="center"/>
            <w:hideMark/>
          </w:tcPr>
          <w:p w:rsidR="00BD5B7F" w:rsidRPr="00FF6562" w:rsidRDefault="00BD5B7F" w:rsidP="000E5961">
            <w:pPr>
              <w:rPr>
                <w:rFonts w:ascii="Arial" w:eastAsia="Calibri" w:hAnsi="Arial" w:cs="Arial"/>
                <w:iCs/>
                <w:color w:val="000000"/>
              </w:rPr>
            </w:pPr>
          </w:p>
        </w:tc>
      </w:tr>
      <w:tr w:rsidR="00BD5B7F" w:rsidRPr="00FF6562" w:rsidTr="000E5961">
        <w:trPr>
          <w:cantSplit/>
          <w:trHeight w:val="116"/>
        </w:trPr>
        <w:tc>
          <w:tcPr>
            <w:tcW w:w="4226" w:type="dxa"/>
            <w:tcBorders>
              <w:top w:val="nil"/>
              <w:left w:val="single" w:sz="8" w:space="0" w:color="4F81BD"/>
              <w:bottom w:val="nil"/>
              <w:right w:val="nil"/>
            </w:tcBorders>
            <w:vAlign w:val="center"/>
            <w:hideMark/>
          </w:tcPr>
          <w:p w:rsidR="00BD5B7F" w:rsidRPr="00FF6562" w:rsidRDefault="00BD5B7F" w:rsidP="000E5961">
            <w:pPr>
              <w:ind w:left="284" w:hanging="284"/>
              <w:rPr>
                <w:rFonts w:ascii="Arial" w:eastAsia="Calibri" w:hAnsi="Arial" w:cs="Arial"/>
                <w:b/>
                <w:bCs/>
                <w:iCs/>
                <w:color w:val="000000"/>
              </w:rPr>
            </w:pPr>
            <w:r w:rsidRPr="00FF6562">
              <w:rPr>
                <w:rFonts w:ascii="Arial" w:eastAsia="Calibri" w:hAnsi="Arial" w:cs="Arial"/>
                <w:b/>
                <w:bCs/>
                <w:iCs/>
                <w:color w:val="000000"/>
                <w:bdr w:val="none" w:sz="0" w:space="0" w:color="auto" w:frame="1"/>
              </w:rPr>
              <w:t>10. Proportionnalité des sanctions</w:t>
            </w:r>
          </w:p>
        </w:tc>
        <w:tc>
          <w:tcPr>
            <w:tcW w:w="0" w:type="auto"/>
            <w:vMerge/>
            <w:tcBorders>
              <w:top w:val="single" w:sz="12" w:space="0" w:color="95B3D7"/>
              <w:left w:val="nil"/>
              <w:bottom w:val="single" w:sz="8" w:space="0" w:color="4F81BD"/>
              <w:right w:val="nil"/>
            </w:tcBorders>
            <w:vAlign w:val="center"/>
            <w:hideMark/>
          </w:tcPr>
          <w:p w:rsidR="00BD5B7F" w:rsidRPr="00FF6562" w:rsidRDefault="00BD5B7F" w:rsidP="000E5961">
            <w:pPr>
              <w:rPr>
                <w:rFonts w:ascii="Arial" w:eastAsia="Calibri" w:hAnsi="Arial" w:cs="Arial"/>
                <w:iCs/>
                <w:color w:val="000000"/>
              </w:rPr>
            </w:pPr>
          </w:p>
        </w:tc>
        <w:tc>
          <w:tcPr>
            <w:tcW w:w="2520" w:type="dxa"/>
            <w:vMerge/>
            <w:tcBorders>
              <w:top w:val="single" w:sz="12" w:space="0" w:color="95B3D7"/>
              <w:left w:val="nil"/>
              <w:bottom w:val="single" w:sz="8" w:space="0" w:color="4F81BD"/>
              <w:right w:val="single" w:sz="8" w:space="0" w:color="4F81BD"/>
            </w:tcBorders>
            <w:vAlign w:val="center"/>
            <w:hideMark/>
          </w:tcPr>
          <w:p w:rsidR="00BD5B7F" w:rsidRPr="00FF6562" w:rsidRDefault="00BD5B7F" w:rsidP="000E5961">
            <w:pPr>
              <w:rPr>
                <w:rFonts w:ascii="Arial" w:eastAsia="Calibri" w:hAnsi="Arial" w:cs="Arial"/>
                <w:iCs/>
                <w:color w:val="000000"/>
              </w:rPr>
            </w:pPr>
          </w:p>
        </w:tc>
      </w:tr>
      <w:tr w:rsidR="00BD5B7F" w:rsidRPr="00FF6562" w:rsidTr="000E5961">
        <w:trPr>
          <w:cantSplit/>
          <w:trHeight w:val="116"/>
        </w:trPr>
        <w:tc>
          <w:tcPr>
            <w:tcW w:w="4226" w:type="dxa"/>
            <w:tcBorders>
              <w:top w:val="single" w:sz="8" w:space="0" w:color="4F81BD"/>
              <w:left w:val="single" w:sz="8" w:space="0" w:color="4F81BD"/>
              <w:bottom w:val="single" w:sz="8" w:space="0" w:color="4F81BD"/>
              <w:right w:val="nil"/>
            </w:tcBorders>
            <w:vAlign w:val="center"/>
            <w:hideMark/>
          </w:tcPr>
          <w:p w:rsidR="00BD5B7F" w:rsidRPr="00FF6562" w:rsidRDefault="00BD5B7F" w:rsidP="000E5961">
            <w:pPr>
              <w:ind w:left="284" w:hanging="284"/>
              <w:rPr>
                <w:rFonts w:ascii="Arial" w:eastAsia="Calibri" w:hAnsi="Arial" w:cs="Arial"/>
                <w:b/>
                <w:bCs/>
                <w:iCs/>
                <w:color w:val="000000"/>
              </w:rPr>
            </w:pPr>
            <w:r w:rsidRPr="00FF6562">
              <w:rPr>
                <w:rFonts w:ascii="Arial" w:eastAsia="Calibri" w:hAnsi="Arial" w:cs="Arial"/>
                <w:b/>
                <w:bCs/>
                <w:iCs/>
                <w:color w:val="000000"/>
                <w:bdr w:val="none" w:sz="0" w:space="0" w:color="auto" w:frame="1"/>
              </w:rPr>
              <w:t>11. Utilisation du droit pénal</w:t>
            </w:r>
            <w:r w:rsidRPr="00FF6562">
              <w:rPr>
                <w:rFonts w:ascii="Arial" w:eastAsia="Calibri" w:hAnsi="Arial" w:cs="Arial"/>
                <w:iCs/>
                <w:bdr w:val="none" w:sz="0" w:space="0" w:color="auto" w:frame="1"/>
              </w:rPr>
              <w:t xml:space="preserve"> </w:t>
            </w:r>
          </w:p>
        </w:tc>
        <w:tc>
          <w:tcPr>
            <w:tcW w:w="0" w:type="auto"/>
            <w:vMerge/>
            <w:tcBorders>
              <w:top w:val="single" w:sz="12" w:space="0" w:color="95B3D7"/>
              <w:left w:val="nil"/>
              <w:bottom w:val="single" w:sz="8" w:space="0" w:color="4F81BD"/>
              <w:right w:val="nil"/>
            </w:tcBorders>
            <w:vAlign w:val="center"/>
            <w:hideMark/>
          </w:tcPr>
          <w:p w:rsidR="00BD5B7F" w:rsidRPr="00FF6562" w:rsidRDefault="00BD5B7F" w:rsidP="000E5961">
            <w:pPr>
              <w:rPr>
                <w:rFonts w:ascii="Arial" w:eastAsia="Calibri" w:hAnsi="Arial" w:cs="Arial"/>
                <w:iCs/>
                <w:color w:val="000000"/>
              </w:rPr>
            </w:pPr>
          </w:p>
        </w:tc>
        <w:tc>
          <w:tcPr>
            <w:tcW w:w="2520" w:type="dxa"/>
            <w:vMerge/>
            <w:tcBorders>
              <w:top w:val="single" w:sz="12" w:space="0" w:color="95B3D7"/>
              <w:left w:val="nil"/>
              <w:bottom w:val="single" w:sz="8" w:space="0" w:color="4F81BD"/>
              <w:right w:val="single" w:sz="8" w:space="0" w:color="4F81BD"/>
            </w:tcBorders>
            <w:vAlign w:val="center"/>
            <w:hideMark/>
          </w:tcPr>
          <w:p w:rsidR="00BD5B7F" w:rsidRPr="00FF6562" w:rsidRDefault="00BD5B7F" w:rsidP="000E5961">
            <w:pPr>
              <w:rPr>
                <w:rFonts w:ascii="Arial" w:eastAsia="Calibri" w:hAnsi="Arial" w:cs="Arial"/>
                <w:iCs/>
                <w:color w:val="000000"/>
              </w:rPr>
            </w:pPr>
          </w:p>
        </w:tc>
      </w:tr>
      <w:tr w:rsidR="00BD5B7F" w:rsidRPr="00FC42B0" w:rsidTr="000E5961">
        <w:trPr>
          <w:cantSplit/>
          <w:trHeight w:val="116"/>
        </w:trPr>
        <w:tc>
          <w:tcPr>
            <w:tcW w:w="4226" w:type="dxa"/>
            <w:tcBorders>
              <w:top w:val="nil"/>
              <w:left w:val="single" w:sz="8" w:space="0" w:color="4F81BD"/>
              <w:bottom w:val="nil"/>
              <w:right w:val="nil"/>
            </w:tcBorders>
            <w:vAlign w:val="center"/>
            <w:hideMark/>
          </w:tcPr>
          <w:p w:rsidR="00BD5B7F" w:rsidRPr="00865DA5" w:rsidRDefault="00BD5B7F" w:rsidP="000E5961">
            <w:pPr>
              <w:ind w:left="284" w:hanging="284"/>
              <w:rPr>
                <w:rFonts w:ascii="Arial" w:eastAsia="Calibri" w:hAnsi="Arial" w:cs="Arial"/>
                <w:b/>
                <w:bCs/>
                <w:iCs/>
                <w:color w:val="000000"/>
                <w:lang w:val="fr-FR"/>
              </w:rPr>
            </w:pPr>
            <w:r w:rsidRPr="00865DA5">
              <w:rPr>
                <w:rFonts w:ascii="Arial" w:eastAsia="Calibri" w:hAnsi="Arial" w:cs="Arial"/>
                <w:b/>
                <w:bCs/>
                <w:iCs/>
                <w:color w:val="000000"/>
                <w:bdr w:val="none" w:sz="0" w:space="0" w:color="auto" w:frame="1"/>
                <w:lang w:val="fr-FR"/>
              </w:rPr>
              <w:t xml:space="preserve">12. Législation relative à la criminalité organisée </w:t>
            </w: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lang w:val="fr-FR"/>
              </w:rPr>
            </w:pPr>
          </w:p>
        </w:tc>
        <w:tc>
          <w:tcPr>
            <w:tcW w:w="2520" w:type="dxa"/>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p>
        </w:tc>
      </w:tr>
      <w:tr w:rsidR="00BD5B7F" w:rsidRPr="00FC42B0" w:rsidTr="000E5961">
        <w:trPr>
          <w:cantSplit/>
          <w:trHeight w:val="116"/>
        </w:trPr>
        <w:tc>
          <w:tcPr>
            <w:tcW w:w="4226" w:type="dxa"/>
            <w:tcBorders>
              <w:top w:val="single" w:sz="8" w:space="0" w:color="4F81BD"/>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lang w:val="fr-FR"/>
              </w:rPr>
            </w:pPr>
            <w:r w:rsidRPr="00865DA5">
              <w:rPr>
                <w:rFonts w:ascii="Arial" w:eastAsia="Calibri" w:hAnsi="Arial" w:cs="Arial"/>
                <w:b/>
                <w:bCs/>
                <w:iCs/>
                <w:color w:val="000000"/>
                <w:bdr w:val="none" w:sz="0" w:space="0" w:color="auto" w:frame="1"/>
                <w:lang w:val="fr-FR"/>
              </w:rPr>
              <w:t>13. Transposition du droit et des engagements internationaux dans la législation nationale</w:t>
            </w: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lang w:val="fr-FR"/>
              </w:rPr>
            </w:pPr>
          </w:p>
        </w:tc>
        <w:tc>
          <w:tcPr>
            <w:tcW w:w="2520" w:type="dxa"/>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p>
        </w:tc>
      </w:tr>
      <w:tr w:rsidR="00BD5B7F" w:rsidRPr="00FF6562" w:rsidTr="000E5961">
        <w:trPr>
          <w:cantSplit/>
          <w:trHeight w:val="189"/>
        </w:trPr>
        <w:tc>
          <w:tcPr>
            <w:tcW w:w="4226" w:type="dxa"/>
            <w:tcBorders>
              <w:top w:val="single" w:sz="12" w:space="0" w:color="95B3D7"/>
              <w:left w:val="single" w:sz="8" w:space="0" w:color="4F81BD"/>
              <w:bottom w:val="nil"/>
              <w:right w:val="nil"/>
            </w:tcBorders>
            <w:vAlign w:val="center"/>
            <w:hideMark/>
          </w:tcPr>
          <w:p w:rsidR="00BD5B7F" w:rsidRPr="00865DA5" w:rsidRDefault="00BD5B7F" w:rsidP="000E5961">
            <w:pPr>
              <w:ind w:left="284" w:hanging="284"/>
              <w:rPr>
                <w:rFonts w:ascii="Arial" w:eastAsia="Calibri" w:hAnsi="Arial" w:cs="Arial"/>
                <w:b/>
                <w:bCs/>
                <w:iCs/>
                <w:color w:val="000000"/>
                <w:lang w:val="fr-FR"/>
              </w:rPr>
            </w:pPr>
            <w:r w:rsidRPr="00865DA5">
              <w:rPr>
                <w:rFonts w:ascii="Arial" w:eastAsia="Calibri" w:hAnsi="Arial" w:cs="Arial"/>
                <w:b/>
                <w:bCs/>
                <w:iCs/>
                <w:color w:val="000000"/>
                <w:bdr w:val="none" w:sz="0" w:space="0" w:color="auto" w:frame="1"/>
                <w:lang w:val="fr-FR"/>
              </w:rPr>
              <w:t>14. Plan d’action national pour la lutte contre l’IKB</w:t>
            </w:r>
          </w:p>
        </w:tc>
        <w:tc>
          <w:tcPr>
            <w:tcW w:w="3177" w:type="dxa"/>
            <w:vMerge w:val="restart"/>
            <w:tcBorders>
              <w:top w:val="single" w:sz="12" w:space="0" w:color="95B3D7"/>
              <w:left w:val="nil"/>
              <w:bottom w:val="single" w:sz="8" w:space="0" w:color="4F81BD"/>
              <w:right w:val="nil"/>
            </w:tcBorders>
            <w:vAlign w:val="center"/>
            <w:hideMark/>
          </w:tcPr>
          <w:p w:rsidR="00BD5B7F" w:rsidRPr="00865DA5" w:rsidRDefault="00BD5B7F" w:rsidP="000E5961">
            <w:pPr>
              <w:ind w:left="318" w:hanging="318"/>
              <w:rPr>
                <w:rFonts w:ascii="Arial" w:eastAsia="Calibri" w:hAnsi="Arial" w:cs="Arial"/>
                <w:iCs/>
                <w:color w:val="000000"/>
                <w:lang w:val="fr-FR"/>
              </w:rPr>
            </w:pPr>
            <w:r w:rsidRPr="00865DA5">
              <w:rPr>
                <w:rFonts w:ascii="Arial" w:eastAsia="Calibri" w:hAnsi="Arial" w:cs="Arial"/>
                <w:iCs/>
                <w:color w:val="000000"/>
                <w:bdr w:val="none" w:sz="0" w:space="0" w:color="auto" w:frame="1"/>
                <w:lang w:val="fr-FR"/>
              </w:rPr>
              <w:t>C. Réponse en matière de lutte contre la fraude (Niveau de préparation des organes chargés de l’application des lois et de la lutte contre la fraude, et coordination des institutions nationales)</w:t>
            </w:r>
          </w:p>
        </w:tc>
        <w:tc>
          <w:tcPr>
            <w:tcW w:w="2520" w:type="dxa"/>
            <w:vMerge w:val="restart"/>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r w:rsidRPr="00865DA5">
              <w:rPr>
                <w:rFonts w:ascii="Arial" w:eastAsia="Calibri" w:hAnsi="Arial" w:cs="Arial"/>
                <w:iCs/>
                <w:color w:val="000000"/>
                <w:lang w:val="fr-FR"/>
              </w:rPr>
              <w:t xml:space="preserve">15 </w:t>
            </w:r>
          </w:p>
          <w:p w:rsidR="00BD5B7F" w:rsidRPr="00865DA5" w:rsidRDefault="00BD5B7F" w:rsidP="000E5961">
            <w:pPr>
              <w:rPr>
                <w:rFonts w:ascii="Arial" w:eastAsia="Calibri" w:hAnsi="Arial" w:cs="Arial"/>
                <w:iCs/>
                <w:color w:val="000000"/>
                <w:lang w:val="fr-FR"/>
              </w:rPr>
            </w:pPr>
            <w:r w:rsidRPr="00865DA5">
              <w:rPr>
                <w:rFonts w:ascii="Arial" w:eastAsia="Calibri" w:hAnsi="Arial" w:cs="Arial"/>
                <w:iCs/>
                <w:color w:val="000000"/>
                <w:bdr w:val="none" w:sz="0" w:space="0" w:color="auto" w:frame="1"/>
                <w:lang w:val="fr-FR"/>
              </w:rPr>
              <w:t>(12 si le score de l’indicateur n° 16 est « Non applicable »)</w:t>
            </w:r>
          </w:p>
          <w:p w:rsidR="00BD5B7F" w:rsidRPr="00FF6562" w:rsidRDefault="00BD5B7F" w:rsidP="000E5961">
            <w:pPr>
              <w:rPr>
                <w:rFonts w:ascii="Arial" w:eastAsia="Calibri" w:hAnsi="Arial" w:cs="Arial"/>
                <w:iCs/>
                <w:color w:val="000000"/>
              </w:rPr>
            </w:pPr>
            <w:r w:rsidRPr="00FF6562">
              <w:rPr>
                <w:rFonts w:ascii="Arial" w:eastAsia="Calibri" w:hAnsi="Arial" w:cs="Arial"/>
                <w:iCs/>
                <w:color w:val="000000"/>
                <w:bdr w:val="none" w:sz="0" w:space="0" w:color="auto" w:frame="1"/>
              </w:rPr>
              <w:t>+ données</w:t>
            </w:r>
          </w:p>
        </w:tc>
      </w:tr>
      <w:tr w:rsidR="00BD5B7F" w:rsidRPr="00FC42B0" w:rsidTr="000E5961">
        <w:trPr>
          <w:cantSplit/>
          <w:trHeight w:val="189"/>
        </w:trPr>
        <w:tc>
          <w:tcPr>
            <w:tcW w:w="4226" w:type="dxa"/>
            <w:tcBorders>
              <w:top w:val="single" w:sz="8" w:space="0" w:color="4F81BD"/>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lang w:val="fr-FR"/>
              </w:rPr>
            </w:pPr>
            <w:r w:rsidRPr="00865DA5">
              <w:rPr>
                <w:rFonts w:ascii="Arial" w:eastAsia="Calibri" w:hAnsi="Arial" w:cs="Arial"/>
                <w:b/>
                <w:bCs/>
                <w:iCs/>
                <w:color w:val="000000"/>
                <w:bdr w:val="none" w:sz="0" w:space="0" w:color="auto" w:frame="1"/>
                <w:lang w:val="fr-FR"/>
              </w:rPr>
              <w:t>15. Priorité de l’IKB dans la lutte contre la fraude</w:t>
            </w: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lang w:val="fr-FR"/>
              </w:rPr>
            </w:pPr>
          </w:p>
        </w:tc>
        <w:tc>
          <w:tcPr>
            <w:tcW w:w="2520" w:type="dxa"/>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p>
        </w:tc>
      </w:tr>
      <w:tr w:rsidR="00BD5B7F" w:rsidRPr="00FC42B0" w:rsidTr="000E5961">
        <w:trPr>
          <w:cantSplit/>
          <w:trHeight w:val="189"/>
        </w:trPr>
        <w:tc>
          <w:tcPr>
            <w:tcW w:w="4226" w:type="dxa"/>
            <w:tcBorders>
              <w:top w:val="nil"/>
              <w:left w:val="single" w:sz="8" w:space="0" w:color="4F81BD"/>
              <w:bottom w:val="single" w:sz="8" w:space="0" w:color="0070C0"/>
              <w:right w:val="nil"/>
            </w:tcBorders>
            <w:vAlign w:val="center"/>
            <w:hideMark/>
          </w:tcPr>
          <w:p w:rsidR="00BD5B7F" w:rsidRPr="00865DA5" w:rsidRDefault="00BD5B7F" w:rsidP="000E5961">
            <w:pPr>
              <w:ind w:left="284" w:hanging="284"/>
              <w:rPr>
                <w:rFonts w:ascii="Arial" w:eastAsia="Calibri" w:hAnsi="Arial" w:cs="Arial"/>
                <w:b/>
                <w:bCs/>
                <w:iCs/>
                <w:color w:val="000000"/>
                <w:lang w:val="fr-FR"/>
              </w:rPr>
            </w:pPr>
            <w:r w:rsidRPr="00865DA5">
              <w:rPr>
                <w:rFonts w:ascii="Arial" w:eastAsia="Calibri" w:hAnsi="Arial" w:cs="Arial"/>
                <w:b/>
                <w:bCs/>
                <w:iCs/>
                <w:color w:val="000000"/>
                <w:bdr w:val="none" w:sz="0" w:space="0" w:color="auto" w:frame="1"/>
                <w:lang w:val="fr-FR"/>
              </w:rPr>
              <w:t>16. Parties prenantes et élaboration des politiques</w:t>
            </w: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lang w:val="fr-FR"/>
              </w:rPr>
            </w:pPr>
          </w:p>
        </w:tc>
        <w:tc>
          <w:tcPr>
            <w:tcW w:w="2520" w:type="dxa"/>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p>
        </w:tc>
      </w:tr>
      <w:tr w:rsidR="00BD5B7F" w:rsidRPr="00FF6562" w:rsidTr="000E5961">
        <w:trPr>
          <w:cantSplit/>
          <w:trHeight w:val="189"/>
        </w:trPr>
        <w:tc>
          <w:tcPr>
            <w:tcW w:w="4226" w:type="dxa"/>
            <w:tcBorders>
              <w:top w:val="single" w:sz="8" w:space="0" w:color="0070C0"/>
              <w:left w:val="single" w:sz="8" w:space="0" w:color="4F81BD"/>
              <w:bottom w:val="single" w:sz="8" w:space="0" w:color="4F81BD"/>
              <w:right w:val="nil"/>
            </w:tcBorders>
            <w:vAlign w:val="center"/>
            <w:hideMark/>
          </w:tcPr>
          <w:p w:rsidR="00BD5B7F" w:rsidRPr="00FF6562" w:rsidRDefault="00BD5B7F" w:rsidP="000E5961">
            <w:pPr>
              <w:ind w:left="284" w:hanging="284"/>
              <w:rPr>
                <w:rFonts w:ascii="Arial" w:eastAsia="Calibri" w:hAnsi="Arial" w:cs="Arial"/>
                <w:b/>
                <w:bCs/>
                <w:iCs/>
                <w:color w:val="000000"/>
              </w:rPr>
            </w:pPr>
            <w:r w:rsidRPr="00FF6562">
              <w:rPr>
                <w:rFonts w:ascii="Arial" w:eastAsia="Calibri" w:hAnsi="Arial" w:cs="Arial"/>
                <w:b/>
                <w:bCs/>
                <w:iCs/>
                <w:color w:val="000000"/>
                <w:bdr w:val="none" w:sz="0" w:space="0" w:color="auto" w:frame="1"/>
              </w:rPr>
              <w:t>17. Personnel et recrutement</w:t>
            </w:r>
          </w:p>
        </w:tc>
        <w:tc>
          <w:tcPr>
            <w:tcW w:w="0" w:type="auto"/>
            <w:vMerge/>
            <w:tcBorders>
              <w:top w:val="single" w:sz="12" w:space="0" w:color="95B3D7"/>
              <w:left w:val="nil"/>
              <w:bottom w:val="single" w:sz="8" w:space="0" w:color="4F81BD"/>
              <w:right w:val="nil"/>
            </w:tcBorders>
            <w:vAlign w:val="center"/>
            <w:hideMark/>
          </w:tcPr>
          <w:p w:rsidR="00BD5B7F" w:rsidRPr="00FF6562" w:rsidRDefault="00BD5B7F" w:rsidP="000E5961">
            <w:pPr>
              <w:rPr>
                <w:rFonts w:ascii="Arial" w:eastAsia="Calibri" w:hAnsi="Arial" w:cs="Arial"/>
                <w:iCs/>
                <w:color w:val="000000"/>
              </w:rPr>
            </w:pPr>
          </w:p>
        </w:tc>
        <w:tc>
          <w:tcPr>
            <w:tcW w:w="2520" w:type="dxa"/>
            <w:vMerge/>
            <w:tcBorders>
              <w:top w:val="single" w:sz="12" w:space="0" w:color="95B3D7"/>
              <w:left w:val="nil"/>
              <w:bottom w:val="single" w:sz="8" w:space="0" w:color="4F81BD"/>
              <w:right w:val="single" w:sz="8" w:space="0" w:color="4F81BD"/>
            </w:tcBorders>
            <w:vAlign w:val="center"/>
            <w:hideMark/>
          </w:tcPr>
          <w:p w:rsidR="00BD5B7F" w:rsidRPr="00FF6562" w:rsidRDefault="00BD5B7F" w:rsidP="000E5961">
            <w:pPr>
              <w:rPr>
                <w:rFonts w:ascii="Arial" w:eastAsia="Calibri" w:hAnsi="Arial" w:cs="Arial"/>
                <w:iCs/>
                <w:color w:val="000000"/>
              </w:rPr>
            </w:pPr>
          </w:p>
        </w:tc>
      </w:tr>
      <w:tr w:rsidR="00BD5B7F" w:rsidRPr="00FF6562" w:rsidTr="000E5961">
        <w:trPr>
          <w:cantSplit/>
          <w:trHeight w:val="303"/>
        </w:trPr>
        <w:tc>
          <w:tcPr>
            <w:tcW w:w="4226" w:type="dxa"/>
            <w:tcBorders>
              <w:top w:val="nil"/>
              <w:left w:val="single" w:sz="8" w:space="0" w:color="4F81BD"/>
              <w:bottom w:val="nil"/>
              <w:right w:val="nil"/>
            </w:tcBorders>
            <w:vAlign w:val="center"/>
            <w:hideMark/>
          </w:tcPr>
          <w:p w:rsidR="00BD5B7F" w:rsidRPr="00FF6562" w:rsidRDefault="00BD5B7F" w:rsidP="000E5961">
            <w:pPr>
              <w:ind w:left="284" w:hanging="284"/>
              <w:rPr>
                <w:rFonts w:ascii="Arial" w:eastAsia="Calibri" w:hAnsi="Arial" w:cs="Arial"/>
                <w:b/>
                <w:bCs/>
                <w:iCs/>
                <w:color w:val="000000"/>
              </w:rPr>
            </w:pPr>
            <w:r w:rsidRPr="00FF6562">
              <w:rPr>
                <w:rFonts w:ascii="Arial" w:eastAsia="Calibri" w:hAnsi="Arial" w:cs="Arial"/>
                <w:b/>
                <w:bCs/>
                <w:iCs/>
                <w:color w:val="000000"/>
                <w:bdr w:val="none" w:sz="0" w:space="0" w:color="auto" w:frame="1"/>
              </w:rPr>
              <w:t>18. Formation spécifique</w:t>
            </w:r>
          </w:p>
        </w:tc>
        <w:tc>
          <w:tcPr>
            <w:tcW w:w="0" w:type="auto"/>
            <w:vMerge/>
            <w:tcBorders>
              <w:top w:val="single" w:sz="12" w:space="0" w:color="95B3D7"/>
              <w:left w:val="nil"/>
              <w:bottom w:val="single" w:sz="8" w:space="0" w:color="4F81BD"/>
              <w:right w:val="nil"/>
            </w:tcBorders>
            <w:vAlign w:val="center"/>
            <w:hideMark/>
          </w:tcPr>
          <w:p w:rsidR="00BD5B7F" w:rsidRPr="00FF6562" w:rsidRDefault="00BD5B7F" w:rsidP="000E5961">
            <w:pPr>
              <w:rPr>
                <w:rFonts w:ascii="Arial" w:eastAsia="Calibri" w:hAnsi="Arial" w:cs="Arial"/>
                <w:iCs/>
                <w:color w:val="000000"/>
              </w:rPr>
            </w:pPr>
          </w:p>
        </w:tc>
        <w:tc>
          <w:tcPr>
            <w:tcW w:w="2520" w:type="dxa"/>
            <w:vMerge/>
            <w:tcBorders>
              <w:top w:val="single" w:sz="12" w:space="0" w:color="95B3D7"/>
              <w:left w:val="nil"/>
              <w:bottom w:val="single" w:sz="8" w:space="0" w:color="4F81BD"/>
              <w:right w:val="single" w:sz="8" w:space="0" w:color="4F81BD"/>
            </w:tcBorders>
            <w:vAlign w:val="center"/>
            <w:hideMark/>
          </w:tcPr>
          <w:p w:rsidR="00BD5B7F" w:rsidRPr="00FF6562" w:rsidRDefault="00BD5B7F" w:rsidP="000E5961">
            <w:pPr>
              <w:rPr>
                <w:rFonts w:ascii="Arial" w:eastAsia="Calibri" w:hAnsi="Arial" w:cs="Arial"/>
                <w:iCs/>
                <w:color w:val="000000"/>
              </w:rPr>
            </w:pPr>
          </w:p>
        </w:tc>
      </w:tr>
      <w:tr w:rsidR="00BD5B7F" w:rsidRPr="00FC42B0" w:rsidTr="000E5961">
        <w:trPr>
          <w:cantSplit/>
          <w:trHeight w:val="384"/>
        </w:trPr>
        <w:tc>
          <w:tcPr>
            <w:tcW w:w="4226" w:type="dxa"/>
            <w:tcBorders>
              <w:top w:val="single" w:sz="8" w:space="0" w:color="4F81BD"/>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lang w:val="fr-FR"/>
              </w:rPr>
            </w:pPr>
            <w:r w:rsidRPr="00865DA5">
              <w:rPr>
                <w:rFonts w:ascii="Arial" w:eastAsia="Calibri" w:hAnsi="Arial" w:cs="Arial"/>
                <w:b/>
                <w:bCs/>
                <w:iCs/>
                <w:color w:val="000000"/>
                <w:bdr w:val="none" w:sz="0" w:space="0" w:color="auto" w:frame="1"/>
                <w:lang w:val="fr-FR"/>
              </w:rPr>
              <w:t>19. Effort de lutte contre l’IKB sur le terrain</w:t>
            </w: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lang w:val="fr-FR"/>
              </w:rPr>
            </w:pPr>
          </w:p>
        </w:tc>
        <w:tc>
          <w:tcPr>
            <w:tcW w:w="2520" w:type="dxa"/>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p>
        </w:tc>
      </w:tr>
      <w:tr w:rsidR="00BD5B7F" w:rsidRPr="00FF6562" w:rsidTr="000E5961">
        <w:trPr>
          <w:cantSplit/>
          <w:trHeight w:val="170"/>
        </w:trPr>
        <w:tc>
          <w:tcPr>
            <w:tcW w:w="4226" w:type="dxa"/>
            <w:tcBorders>
              <w:top w:val="single" w:sz="12" w:space="0" w:color="95B3D7"/>
              <w:left w:val="single" w:sz="8" w:space="0" w:color="4F81BD"/>
              <w:bottom w:val="nil"/>
              <w:right w:val="nil"/>
            </w:tcBorders>
            <w:vAlign w:val="center"/>
            <w:hideMark/>
          </w:tcPr>
          <w:p w:rsidR="00BD5B7F" w:rsidRPr="00FF6562" w:rsidRDefault="00BD5B7F" w:rsidP="000E5961">
            <w:pPr>
              <w:ind w:left="284" w:hanging="284"/>
              <w:rPr>
                <w:rFonts w:ascii="Arial" w:eastAsia="Calibri" w:hAnsi="Arial" w:cs="Arial"/>
                <w:b/>
                <w:bCs/>
                <w:iCs/>
                <w:color w:val="000000"/>
              </w:rPr>
            </w:pPr>
            <w:r w:rsidRPr="00FF6562">
              <w:rPr>
                <w:rFonts w:ascii="Arial" w:eastAsia="Calibri" w:hAnsi="Arial" w:cs="Arial"/>
                <w:b/>
                <w:bCs/>
                <w:iCs/>
                <w:color w:val="000000"/>
                <w:bdr w:val="none" w:sz="0" w:space="0" w:color="auto" w:frame="1"/>
              </w:rPr>
              <w:lastRenderedPageBreak/>
              <w:t>20. Qualité des procédures judiciaires</w:t>
            </w:r>
          </w:p>
        </w:tc>
        <w:tc>
          <w:tcPr>
            <w:tcW w:w="3177" w:type="dxa"/>
            <w:vMerge w:val="restart"/>
            <w:tcBorders>
              <w:top w:val="single" w:sz="12" w:space="0" w:color="95B3D7"/>
              <w:left w:val="nil"/>
              <w:bottom w:val="single" w:sz="8" w:space="0" w:color="4F81BD"/>
              <w:right w:val="nil"/>
            </w:tcBorders>
            <w:vAlign w:val="center"/>
            <w:hideMark/>
          </w:tcPr>
          <w:p w:rsidR="00BD5B7F" w:rsidRPr="00865DA5" w:rsidRDefault="00BD5B7F" w:rsidP="000E5961">
            <w:pPr>
              <w:ind w:left="317" w:hanging="317"/>
              <w:rPr>
                <w:rFonts w:ascii="Arial" w:eastAsia="Calibri" w:hAnsi="Arial" w:cs="Arial"/>
                <w:iCs/>
                <w:color w:val="000000"/>
                <w:lang w:val="fr-FR"/>
              </w:rPr>
            </w:pPr>
            <w:r w:rsidRPr="00865DA5">
              <w:rPr>
                <w:rFonts w:ascii="Arial" w:eastAsia="Calibri" w:hAnsi="Arial" w:cs="Arial"/>
                <w:iCs/>
                <w:color w:val="000000"/>
                <w:bdr w:val="none" w:sz="0" w:space="0" w:color="auto" w:frame="1"/>
                <w:lang w:val="fr-FR"/>
              </w:rPr>
              <w:t>D. Poursuites et condamnations (Efficacité des procédures judiciaires)</w:t>
            </w:r>
          </w:p>
        </w:tc>
        <w:tc>
          <w:tcPr>
            <w:tcW w:w="2520" w:type="dxa"/>
            <w:vMerge w:val="restart"/>
            <w:tcBorders>
              <w:top w:val="single" w:sz="12" w:space="0" w:color="95B3D7"/>
              <w:left w:val="nil"/>
              <w:bottom w:val="single" w:sz="8" w:space="0" w:color="4F81BD"/>
              <w:right w:val="single" w:sz="8" w:space="0" w:color="4F81BD"/>
            </w:tcBorders>
            <w:vAlign w:val="center"/>
            <w:hideMark/>
          </w:tcPr>
          <w:p w:rsidR="00BD5B7F" w:rsidRPr="00FF6562" w:rsidRDefault="00BD5B7F" w:rsidP="000E5961">
            <w:pPr>
              <w:rPr>
                <w:rFonts w:ascii="Arial" w:eastAsia="Calibri" w:hAnsi="Arial" w:cs="Arial"/>
                <w:iCs/>
                <w:color w:val="000000"/>
              </w:rPr>
            </w:pPr>
            <w:r w:rsidRPr="00FF6562">
              <w:rPr>
                <w:rFonts w:ascii="Arial" w:eastAsia="Calibri" w:hAnsi="Arial" w:cs="Arial"/>
                <w:iCs/>
                <w:color w:val="000000"/>
              </w:rPr>
              <w:t>12</w:t>
            </w:r>
          </w:p>
        </w:tc>
      </w:tr>
      <w:tr w:rsidR="00BD5B7F" w:rsidRPr="00FC42B0" w:rsidTr="000E5961">
        <w:trPr>
          <w:cantSplit/>
          <w:trHeight w:val="171"/>
        </w:trPr>
        <w:tc>
          <w:tcPr>
            <w:tcW w:w="4226" w:type="dxa"/>
            <w:tcBorders>
              <w:top w:val="single" w:sz="8" w:space="0" w:color="4F81BD"/>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lang w:val="fr-FR"/>
              </w:rPr>
            </w:pPr>
            <w:r w:rsidRPr="00865DA5">
              <w:rPr>
                <w:rFonts w:ascii="Arial" w:eastAsia="Calibri" w:hAnsi="Arial" w:cs="Arial"/>
                <w:b/>
                <w:bCs/>
                <w:iCs/>
                <w:color w:val="000000"/>
                <w:bdr w:val="none" w:sz="0" w:space="0" w:color="auto" w:frame="1"/>
                <w:lang w:val="fr-FR"/>
              </w:rPr>
              <w:t>21. Lignes directrices sur les condamnations</w:t>
            </w: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lang w:val="fr-FR"/>
              </w:rPr>
            </w:pPr>
          </w:p>
        </w:tc>
        <w:tc>
          <w:tcPr>
            <w:tcW w:w="2520" w:type="dxa"/>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p>
        </w:tc>
      </w:tr>
      <w:tr w:rsidR="00BD5B7F" w:rsidRPr="00FC42B0" w:rsidTr="000E5961">
        <w:trPr>
          <w:cantSplit/>
          <w:trHeight w:val="171"/>
        </w:trPr>
        <w:tc>
          <w:tcPr>
            <w:tcW w:w="4226" w:type="dxa"/>
            <w:tcBorders>
              <w:top w:val="nil"/>
              <w:left w:val="single" w:sz="8" w:space="0" w:color="4F81BD"/>
              <w:bottom w:val="nil"/>
              <w:right w:val="nil"/>
            </w:tcBorders>
            <w:vAlign w:val="center"/>
            <w:hideMark/>
          </w:tcPr>
          <w:p w:rsidR="00BD5B7F" w:rsidRPr="00865DA5" w:rsidRDefault="00BD5B7F" w:rsidP="000E5961">
            <w:pPr>
              <w:ind w:left="284" w:hanging="284"/>
              <w:rPr>
                <w:rFonts w:ascii="Arial" w:eastAsia="Calibri" w:hAnsi="Arial" w:cs="Arial"/>
                <w:b/>
                <w:bCs/>
                <w:iCs/>
                <w:color w:val="000000"/>
                <w:lang w:val="fr-FR"/>
              </w:rPr>
            </w:pPr>
            <w:r w:rsidRPr="00865DA5">
              <w:rPr>
                <w:rFonts w:ascii="Arial" w:eastAsia="Calibri" w:hAnsi="Arial" w:cs="Arial"/>
                <w:b/>
                <w:bCs/>
                <w:iCs/>
                <w:color w:val="000000"/>
                <w:bdr w:val="none" w:sz="0" w:space="0" w:color="auto" w:frame="1"/>
                <w:lang w:val="fr-FR"/>
              </w:rPr>
              <w:t>22. Prise de conscience au sein du système judiciaire</w:t>
            </w: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lang w:val="fr-FR"/>
              </w:rPr>
            </w:pPr>
          </w:p>
        </w:tc>
        <w:tc>
          <w:tcPr>
            <w:tcW w:w="2520" w:type="dxa"/>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p>
        </w:tc>
      </w:tr>
      <w:tr w:rsidR="00BD5B7F" w:rsidRPr="00FC42B0" w:rsidTr="000E5961">
        <w:trPr>
          <w:cantSplit/>
          <w:trHeight w:val="170"/>
        </w:trPr>
        <w:tc>
          <w:tcPr>
            <w:tcW w:w="4226" w:type="dxa"/>
            <w:tcBorders>
              <w:top w:val="single" w:sz="8" w:space="0" w:color="4F81BD"/>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lang w:val="fr-FR"/>
              </w:rPr>
            </w:pPr>
            <w:r w:rsidRPr="00865DA5">
              <w:rPr>
                <w:rFonts w:ascii="Arial" w:eastAsia="Calibri" w:hAnsi="Arial" w:cs="Arial"/>
                <w:b/>
                <w:bCs/>
                <w:iCs/>
                <w:color w:val="000000"/>
                <w:bdr w:val="none" w:sz="0" w:space="0" w:color="auto" w:frame="1"/>
                <w:lang w:val="fr-FR"/>
              </w:rPr>
              <w:t>23. Formation au sein du système judiciaire</w:t>
            </w: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lang w:val="fr-FR"/>
              </w:rPr>
            </w:pPr>
          </w:p>
        </w:tc>
        <w:tc>
          <w:tcPr>
            <w:tcW w:w="2520" w:type="dxa"/>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p>
        </w:tc>
      </w:tr>
      <w:tr w:rsidR="00BD5B7F" w:rsidRPr="00FF6562" w:rsidTr="000E5961">
        <w:trPr>
          <w:cantSplit/>
          <w:trHeight w:val="171"/>
        </w:trPr>
        <w:tc>
          <w:tcPr>
            <w:tcW w:w="4226" w:type="dxa"/>
            <w:tcBorders>
              <w:top w:val="single" w:sz="12" w:space="0" w:color="95B3D7"/>
              <w:left w:val="single" w:sz="8" w:space="0" w:color="4F81BD"/>
              <w:bottom w:val="single" w:sz="8" w:space="0" w:color="0070C0"/>
              <w:right w:val="nil"/>
            </w:tcBorders>
            <w:vAlign w:val="center"/>
            <w:hideMark/>
          </w:tcPr>
          <w:p w:rsidR="00BD5B7F" w:rsidRPr="00FF6562" w:rsidRDefault="00BD5B7F" w:rsidP="000E5961">
            <w:pPr>
              <w:ind w:left="284" w:hanging="284"/>
              <w:rPr>
                <w:rFonts w:ascii="Arial" w:eastAsia="Calibri" w:hAnsi="Arial" w:cs="Arial"/>
                <w:b/>
                <w:bCs/>
                <w:iCs/>
                <w:color w:val="000000"/>
              </w:rPr>
            </w:pPr>
            <w:r w:rsidRPr="00FF6562">
              <w:rPr>
                <w:rFonts w:ascii="Arial" w:eastAsia="Calibri" w:hAnsi="Arial" w:cs="Arial"/>
                <w:b/>
                <w:bCs/>
                <w:iCs/>
                <w:color w:val="000000"/>
                <w:bdr w:val="none" w:sz="0" w:space="0" w:color="auto" w:frame="1"/>
              </w:rPr>
              <w:t>24. Coopération internationale</w:t>
            </w:r>
          </w:p>
        </w:tc>
        <w:tc>
          <w:tcPr>
            <w:tcW w:w="3177" w:type="dxa"/>
            <w:vMerge w:val="restart"/>
            <w:tcBorders>
              <w:top w:val="single" w:sz="12" w:space="0" w:color="95B3D7"/>
              <w:left w:val="nil"/>
              <w:bottom w:val="nil"/>
              <w:right w:val="nil"/>
            </w:tcBorders>
            <w:vAlign w:val="center"/>
            <w:hideMark/>
          </w:tcPr>
          <w:p w:rsidR="00BD5B7F" w:rsidRPr="00865DA5" w:rsidRDefault="00BD5B7F" w:rsidP="000E5961">
            <w:pPr>
              <w:ind w:left="317" w:hanging="317"/>
              <w:rPr>
                <w:rFonts w:ascii="Arial" w:eastAsia="Calibri" w:hAnsi="Arial" w:cs="Arial"/>
                <w:iCs/>
                <w:color w:val="000000"/>
                <w:lang w:val="fr-FR"/>
              </w:rPr>
            </w:pPr>
            <w:r w:rsidRPr="00865DA5">
              <w:rPr>
                <w:rFonts w:ascii="Arial" w:eastAsia="Calibri" w:hAnsi="Arial" w:cs="Arial"/>
                <w:iCs/>
                <w:color w:val="000000"/>
                <w:bdr w:val="none" w:sz="0" w:space="0" w:color="auto" w:frame="1"/>
                <w:lang w:val="fr-FR"/>
              </w:rPr>
              <w:t>E. Prévention (Autres instruments utilisés pour lutter contre à l’IKB)</w:t>
            </w:r>
          </w:p>
        </w:tc>
        <w:tc>
          <w:tcPr>
            <w:tcW w:w="2520" w:type="dxa"/>
            <w:vMerge w:val="restart"/>
            <w:tcBorders>
              <w:top w:val="single" w:sz="12" w:space="0" w:color="95B3D7"/>
              <w:left w:val="nil"/>
              <w:bottom w:val="nil"/>
              <w:right w:val="single" w:sz="8" w:space="0" w:color="4F81BD"/>
            </w:tcBorders>
            <w:vAlign w:val="center"/>
            <w:hideMark/>
          </w:tcPr>
          <w:p w:rsidR="00BD5B7F" w:rsidRPr="00FF6562" w:rsidRDefault="00BD5B7F" w:rsidP="000E5961">
            <w:pPr>
              <w:rPr>
                <w:rFonts w:ascii="Arial" w:eastAsia="Calibri" w:hAnsi="Arial" w:cs="Arial"/>
                <w:iCs/>
                <w:color w:val="000000"/>
              </w:rPr>
            </w:pPr>
            <w:r w:rsidRPr="00FF6562">
              <w:rPr>
                <w:rFonts w:ascii="Arial" w:eastAsia="Calibri" w:hAnsi="Arial" w:cs="Arial"/>
                <w:iCs/>
                <w:color w:val="000000"/>
              </w:rPr>
              <w:t>15</w:t>
            </w:r>
          </w:p>
        </w:tc>
      </w:tr>
      <w:tr w:rsidR="00BD5B7F" w:rsidRPr="00FC42B0" w:rsidTr="000E5961">
        <w:trPr>
          <w:cantSplit/>
          <w:trHeight w:val="171"/>
        </w:trPr>
        <w:tc>
          <w:tcPr>
            <w:tcW w:w="4226" w:type="dxa"/>
            <w:tcBorders>
              <w:top w:val="single" w:sz="8" w:space="0" w:color="0070C0"/>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lang w:val="fr-FR"/>
              </w:rPr>
            </w:pPr>
            <w:r w:rsidRPr="00865DA5">
              <w:rPr>
                <w:rFonts w:ascii="Arial" w:eastAsia="Calibri" w:hAnsi="Arial" w:cs="Arial"/>
                <w:b/>
                <w:bCs/>
                <w:iCs/>
                <w:color w:val="000000"/>
                <w:bdr w:val="none" w:sz="0" w:space="0" w:color="auto" w:frame="1"/>
                <w:lang w:val="fr-FR"/>
              </w:rPr>
              <w:t>25. Moteurs de la criminalité liée aux espèces sauvages</w:t>
            </w:r>
          </w:p>
        </w:tc>
        <w:tc>
          <w:tcPr>
            <w:tcW w:w="0" w:type="auto"/>
            <w:vMerge/>
            <w:tcBorders>
              <w:top w:val="single" w:sz="12" w:space="0" w:color="95B3D7"/>
              <w:left w:val="nil"/>
              <w:bottom w:val="nil"/>
              <w:right w:val="nil"/>
            </w:tcBorders>
            <w:vAlign w:val="center"/>
            <w:hideMark/>
          </w:tcPr>
          <w:p w:rsidR="00BD5B7F" w:rsidRPr="00865DA5" w:rsidRDefault="00BD5B7F" w:rsidP="000E5961">
            <w:pPr>
              <w:rPr>
                <w:rFonts w:ascii="Arial" w:eastAsia="Calibri" w:hAnsi="Arial" w:cs="Arial"/>
                <w:iCs/>
                <w:color w:val="000000"/>
                <w:lang w:val="fr-FR"/>
              </w:rPr>
            </w:pPr>
          </w:p>
        </w:tc>
        <w:tc>
          <w:tcPr>
            <w:tcW w:w="2520" w:type="dxa"/>
            <w:vMerge/>
            <w:tcBorders>
              <w:top w:val="single" w:sz="12" w:space="0" w:color="95B3D7"/>
              <w:left w:val="nil"/>
              <w:bottom w:val="nil"/>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p>
        </w:tc>
      </w:tr>
      <w:tr w:rsidR="00BD5B7F" w:rsidRPr="00FC42B0" w:rsidTr="000E5961">
        <w:trPr>
          <w:cantSplit/>
          <w:trHeight w:val="170"/>
        </w:trPr>
        <w:tc>
          <w:tcPr>
            <w:tcW w:w="4226" w:type="dxa"/>
            <w:tcBorders>
              <w:top w:val="single" w:sz="4" w:space="0" w:color="95B3D7"/>
              <w:left w:val="single" w:sz="8" w:space="0" w:color="4F81BD"/>
              <w:bottom w:val="nil"/>
              <w:right w:val="nil"/>
            </w:tcBorders>
            <w:vAlign w:val="center"/>
            <w:hideMark/>
          </w:tcPr>
          <w:p w:rsidR="00BD5B7F" w:rsidRPr="00865DA5" w:rsidRDefault="00BD5B7F" w:rsidP="000E5961">
            <w:pPr>
              <w:ind w:left="284" w:hanging="284"/>
              <w:rPr>
                <w:rFonts w:ascii="Arial" w:eastAsia="Calibri" w:hAnsi="Arial" w:cs="Arial"/>
                <w:b/>
                <w:bCs/>
                <w:iCs/>
                <w:color w:val="000000"/>
                <w:lang w:val="fr-FR"/>
              </w:rPr>
            </w:pPr>
            <w:r w:rsidRPr="00865DA5">
              <w:rPr>
                <w:rFonts w:ascii="Arial" w:eastAsia="Calibri" w:hAnsi="Arial" w:cs="Arial"/>
                <w:b/>
                <w:bCs/>
                <w:iCs/>
                <w:color w:val="000000"/>
                <w:bdr w:val="none" w:sz="0" w:space="0" w:color="auto" w:frame="1"/>
                <w:lang w:val="fr-FR"/>
              </w:rPr>
              <w:t>26. Activités relatives à la demande</w:t>
            </w:r>
          </w:p>
        </w:tc>
        <w:tc>
          <w:tcPr>
            <w:tcW w:w="0" w:type="auto"/>
            <w:vMerge/>
            <w:tcBorders>
              <w:top w:val="single" w:sz="12" w:space="0" w:color="95B3D7"/>
              <w:left w:val="nil"/>
              <w:bottom w:val="nil"/>
              <w:right w:val="nil"/>
            </w:tcBorders>
            <w:vAlign w:val="center"/>
            <w:hideMark/>
          </w:tcPr>
          <w:p w:rsidR="00BD5B7F" w:rsidRPr="00865DA5" w:rsidRDefault="00BD5B7F" w:rsidP="000E5961">
            <w:pPr>
              <w:rPr>
                <w:rFonts w:ascii="Arial" w:eastAsia="Calibri" w:hAnsi="Arial" w:cs="Arial"/>
                <w:iCs/>
                <w:color w:val="000000"/>
                <w:lang w:val="fr-FR"/>
              </w:rPr>
            </w:pPr>
          </w:p>
        </w:tc>
        <w:tc>
          <w:tcPr>
            <w:tcW w:w="2520" w:type="dxa"/>
            <w:vMerge/>
            <w:tcBorders>
              <w:top w:val="single" w:sz="12" w:space="0" w:color="95B3D7"/>
              <w:left w:val="nil"/>
              <w:bottom w:val="nil"/>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p>
        </w:tc>
      </w:tr>
      <w:tr w:rsidR="00BD5B7F" w:rsidRPr="00FF6562" w:rsidTr="000E5961">
        <w:trPr>
          <w:cantSplit/>
          <w:trHeight w:val="171"/>
        </w:trPr>
        <w:tc>
          <w:tcPr>
            <w:tcW w:w="4226" w:type="dxa"/>
            <w:tcBorders>
              <w:top w:val="single" w:sz="8" w:space="0" w:color="4F81BD"/>
              <w:left w:val="single" w:sz="8" w:space="0" w:color="4F81BD"/>
              <w:bottom w:val="single" w:sz="8" w:space="0" w:color="4F81BD"/>
              <w:right w:val="nil"/>
            </w:tcBorders>
            <w:vAlign w:val="center"/>
            <w:hideMark/>
          </w:tcPr>
          <w:p w:rsidR="00BD5B7F" w:rsidRPr="00FF6562" w:rsidRDefault="00BD5B7F" w:rsidP="000E5961">
            <w:pPr>
              <w:ind w:left="284" w:hanging="284"/>
              <w:rPr>
                <w:rFonts w:ascii="Arial" w:eastAsia="Calibri" w:hAnsi="Arial" w:cs="Arial"/>
                <w:b/>
                <w:bCs/>
                <w:iCs/>
                <w:color w:val="000000"/>
              </w:rPr>
            </w:pPr>
            <w:r w:rsidRPr="00FF6562">
              <w:rPr>
                <w:rFonts w:ascii="Arial" w:eastAsia="Calibri" w:hAnsi="Arial" w:cs="Arial"/>
                <w:b/>
                <w:bCs/>
                <w:iCs/>
                <w:color w:val="000000"/>
                <w:bdr w:val="none" w:sz="0" w:space="0" w:color="auto" w:frame="1"/>
              </w:rPr>
              <w:t>27. Communauté soumise aux réglementations</w:t>
            </w:r>
          </w:p>
        </w:tc>
        <w:tc>
          <w:tcPr>
            <w:tcW w:w="0" w:type="auto"/>
            <w:vMerge/>
            <w:tcBorders>
              <w:top w:val="single" w:sz="12" w:space="0" w:color="95B3D7"/>
              <w:left w:val="nil"/>
              <w:bottom w:val="nil"/>
              <w:right w:val="nil"/>
            </w:tcBorders>
            <w:vAlign w:val="center"/>
            <w:hideMark/>
          </w:tcPr>
          <w:p w:rsidR="00BD5B7F" w:rsidRPr="00FF6562" w:rsidRDefault="00BD5B7F" w:rsidP="000E5961">
            <w:pPr>
              <w:rPr>
                <w:rFonts w:ascii="Arial" w:eastAsia="Calibri" w:hAnsi="Arial" w:cs="Arial"/>
                <w:iCs/>
                <w:color w:val="000000"/>
              </w:rPr>
            </w:pPr>
          </w:p>
        </w:tc>
        <w:tc>
          <w:tcPr>
            <w:tcW w:w="2520" w:type="dxa"/>
            <w:vMerge/>
            <w:tcBorders>
              <w:top w:val="single" w:sz="12" w:space="0" w:color="95B3D7"/>
              <w:left w:val="nil"/>
              <w:bottom w:val="nil"/>
              <w:right w:val="single" w:sz="8" w:space="0" w:color="4F81BD"/>
            </w:tcBorders>
            <w:vAlign w:val="center"/>
            <w:hideMark/>
          </w:tcPr>
          <w:p w:rsidR="00BD5B7F" w:rsidRPr="00FF6562" w:rsidRDefault="00BD5B7F" w:rsidP="000E5961">
            <w:pPr>
              <w:rPr>
                <w:rFonts w:ascii="Arial" w:eastAsia="Calibri" w:hAnsi="Arial" w:cs="Arial"/>
                <w:iCs/>
                <w:color w:val="000000"/>
              </w:rPr>
            </w:pPr>
          </w:p>
        </w:tc>
      </w:tr>
      <w:tr w:rsidR="00BD5B7F" w:rsidRPr="00FC42B0" w:rsidTr="000E5961">
        <w:trPr>
          <w:cantSplit/>
          <w:trHeight w:val="171"/>
        </w:trPr>
        <w:tc>
          <w:tcPr>
            <w:tcW w:w="4226" w:type="dxa"/>
            <w:tcBorders>
              <w:top w:val="nil"/>
              <w:left w:val="single" w:sz="8" w:space="0" w:color="4F81BD"/>
              <w:bottom w:val="nil"/>
              <w:right w:val="nil"/>
            </w:tcBorders>
            <w:vAlign w:val="center"/>
            <w:hideMark/>
          </w:tcPr>
          <w:p w:rsidR="00BD5B7F" w:rsidRPr="00865DA5" w:rsidRDefault="00BD5B7F" w:rsidP="000E5961">
            <w:pPr>
              <w:ind w:left="284" w:hanging="284"/>
              <w:rPr>
                <w:rFonts w:ascii="Arial" w:eastAsia="Calibri" w:hAnsi="Arial" w:cs="Arial"/>
                <w:b/>
                <w:bCs/>
                <w:iCs/>
                <w:color w:val="000000"/>
                <w:lang w:val="fr-FR"/>
              </w:rPr>
            </w:pPr>
            <w:r w:rsidRPr="00865DA5">
              <w:rPr>
                <w:rFonts w:ascii="Arial" w:eastAsia="Calibri" w:hAnsi="Arial" w:cs="Arial"/>
                <w:b/>
                <w:bCs/>
                <w:iCs/>
                <w:color w:val="000000"/>
                <w:bdr w:val="none" w:sz="0" w:space="0" w:color="auto" w:frame="1"/>
                <w:lang w:val="fr-FR"/>
              </w:rPr>
              <w:t>28. Actions de sensibilisation du public</w:t>
            </w:r>
          </w:p>
        </w:tc>
        <w:tc>
          <w:tcPr>
            <w:tcW w:w="0" w:type="auto"/>
            <w:vMerge/>
            <w:tcBorders>
              <w:top w:val="single" w:sz="12" w:space="0" w:color="95B3D7"/>
              <w:left w:val="nil"/>
              <w:bottom w:val="nil"/>
              <w:right w:val="nil"/>
            </w:tcBorders>
            <w:vAlign w:val="center"/>
            <w:hideMark/>
          </w:tcPr>
          <w:p w:rsidR="00BD5B7F" w:rsidRPr="00865DA5" w:rsidRDefault="00BD5B7F" w:rsidP="000E5961">
            <w:pPr>
              <w:rPr>
                <w:rFonts w:ascii="Arial" w:eastAsia="Calibri" w:hAnsi="Arial" w:cs="Arial"/>
                <w:iCs/>
                <w:color w:val="000000"/>
                <w:lang w:val="fr-FR"/>
              </w:rPr>
            </w:pPr>
          </w:p>
        </w:tc>
        <w:tc>
          <w:tcPr>
            <w:tcW w:w="2520" w:type="dxa"/>
            <w:vMerge/>
            <w:tcBorders>
              <w:top w:val="single" w:sz="12" w:space="0" w:color="95B3D7"/>
              <w:left w:val="nil"/>
              <w:bottom w:val="nil"/>
              <w:right w:val="single" w:sz="8" w:space="0" w:color="4F81BD"/>
            </w:tcBorders>
            <w:vAlign w:val="center"/>
            <w:hideMark/>
          </w:tcPr>
          <w:p w:rsidR="00BD5B7F" w:rsidRPr="00865DA5" w:rsidRDefault="00BD5B7F" w:rsidP="000E5961">
            <w:pPr>
              <w:rPr>
                <w:rFonts w:ascii="Arial" w:eastAsia="Calibri" w:hAnsi="Arial" w:cs="Arial"/>
                <w:iCs/>
                <w:color w:val="000000"/>
                <w:lang w:val="fr-FR"/>
              </w:rPr>
            </w:pPr>
          </w:p>
        </w:tc>
      </w:tr>
      <w:tr w:rsidR="00BD5B7F" w:rsidRPr="00FF6562" w:rsidTr="000E5961">
        <w:trPr>
          <w:trHeight w:val="145"/>
        </w:trPr>
        <w:tc>
          <w:tcPr>
            <w:tcW w:w="4226" w:type="dxa"/>
            <w:tcBorders>
              <w:top w:val="single" w:sz="8" w:space="0" w:color="4F81BD"/>
              <w:left w:val="single" w:sz="8" w:space="0" w:color="4F81BD"/>
              <w:bottom w:val="single" w:sz="8" w:space="0" w:color="4F81BD"/>
              <w:right w:val="nil"/>
            </w:tcBorders>
            <w:vAlign w:val="center"/>
            <w:hideMark/>
          </w:tcPr>
          <w:p w:rsidR="00BD5B7F" w:rsidRPr="00FF6562" w:rsidRDefault="00BD5B7F" w:rsidP="000E5961">
            <w:pPr>
              <w:jc w:val="right"/>
              <w:rPr>
                <w:rFonts w:ascii="Arial" w:eastAsia="Calibri" w:hAnsi="Arial" w:cs="Arial"/>
                <w:b/>
                <w:bCs/>
                <w:i/>
                <w:iCs/>
                <w:color w:val="000000"/>
              </w:rPr>
            </w:pPr>
            <w:r w:rsidRPr="00FF6562">
              <w:rPr>
                <w:rFonts w:ascii="Arial" w:eastAsia="Calibri" w:hAnsi="Arial" w:cs="Arial"/>
                <w:b/>
                <w:bCs/>
                <w:i/>
                <w:iCs/>
                <w:color w:val="000000"/>
                <w:bdr w:val="none" w:sz="0" w:space="0" w:color="auto" w:frame="1"/>
              </w:rPr>
              <w:t>SCORE TOTAL MAXIMUM</w:t>
            </w:r>
          </w:p>
        </w:tc>
        <w:tc>
          <w:tcPr>
            <w:tcW w:w="3177" w:type="dxa"/>
            <w:tcBorders>
              <w:top w:val="single" w:sz="8" w:space="0" w:color="4F81BD"/>
              <w:left w:val="nil"/>
              <w:bottom w:val="single" w:sz="8" w:space="0" w:color="4F81BD"/>
              <w:right w:val="nil"/>
            </w:tcBorders>
            <w:vAlign w:val="center"/>
          </w:tcPr>
          <w:p w:rsidR="00BD5B7F" w:rsidRPr="00FF6562" w:rsidRDefault="00BD5B7F" w:rsidP="000E5961">
            <w:pPr>
              <w:rPr>
                <w:rFonts w:ascii="Arial" w:eastAsia="Calibri" w:hAnsi="Arial" w:cs="Arial"/>
                <w:iCs/>
                <w:color w:val="000000"/>
              </w:rPr>
            </w:pPr>
          </w:p>
        </w:tc>
        <w:tc>
          <w:tcPr>
            <w:tcW w:w="2520" w:type="dxa"/>
            <w:tcBorders>
              <w:top w:val="single" w:sz="8" w:space="0" w:color="4F81BD"/>
              <w:left w:val="nil"/>
              <w:bottom w:val="single" w:sz="8" w:space="0" w:color="4F81BD"/>
              <w:right w:val="single" w:sz="8" w:space="0" w:color="4F81BD"/>
            </w:tcBorders>
            <w:vAlign w:val="center"/>
            <w:hideMark/>
          </w:tcPr>
          <w:p w:rsidR="00BD5B7F" w:rsidRPr="00FF6562" w:rsidRDefault="00BD5B7F" w:rsidP="000E5961">
            <w:pPr>
              <w:rPr>
                <w:rFonts w:ascii="Arial" w:eastAsia="Calibri" w:hAnsi="Arial" w:cs="Arial"/>
                <w:iCs/>
                <w:color w:val="000000"/>
              </w:rPr>
            </w:pPr>
            <w:r w:rsidRPr="00FF6562">
              <w:rPr>
                <w:rFonts w:ascii="Arial" w:eastAsia="Calibri" w:hAnsi="Arial" w:cs="Arial"/>
                <w:iCs/>
                <w:color w:val="000000"/>
                <w:bdr w:val="none" w:sz="0" w:space="0" w:color="auto" w:frame="1"/>
              </w:rPr>
              <w:t>75</w:t>
            </w:r>
          </w:p>
          <w:p w:rsidR="00BD5B7F" w:rsidRPr="00FF6562" w:rsidRDefault="00BD5B7F" w:rsidP="000E5961">
            <w:pPr>
              <w:rPr>
                <w:rFonts w:ascii="Arial" w:eastAsia="Calibri" w:hAnsi="Arial" w:cs="Arial"/>
                <w:iCs/>
                <w:color w:val="000000"/>
              </w:rPr>
            </w:pPr>
            <w:r w:rsidRPr="00FF6562">
              <w:rPr>
                <w:rFonts w:ascii="Arial" w:eastAsia="Calibri" w:hAnsi="Arial" w:cs="Arial"/>
                <w:iCs/>
                <w:color w:val="000000"/>
                <w:bdr w:val="none" w:sz="0" w:space="0" w:color="auto" w:frame="1"/>
              </w:rPr>
              <w:t>(72 ou 69)</w:t>
            </w:r>
          </w:p>
        </w:tc>
      </w:tr>
    </w:tbl>
    <w:p w:rsidR="00BD5B7F" w:rsidRPr="00FF6562" w:rsidRDefault="00BD5B7F" w:rsidP="00BD5B7F">
      <w:pPr>
        <w:jc w:val="both"/>
        <w:rPr>
          <w:rFonts w:ascii="Arial" w:eastAsia="Calibri" w:hAnsi="Arial" w:cs="Arial"/>
          <w:color w:val="000000"/>
          <w:sz w:val="22"/>
          <w:szCs w:val="22"/>
        </w:rPr>
      </w:pP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Trois indicateurs ne génèrent pas de score mais fournissent des données. Les données concernent en particulier : le nombre d’oiseaux illégalement abattus, piégés ou commercialisés (indicateur n° 2), le nombre de personnes poursuivies pour des faits d’IKB (indicateur n° 4) et l’effort de lutte contre l’IKB sur le terrain (indicateur n° 19). Les trois ensembles de données fournissent un aperçu important de l’étendue et de la tendance de l’IKB dans chaque pays.</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Des efforts seront probablement nécessaires pour générer l’estimation de la quantité d’oiseaux illégalement abattus, piégés ou commercialisés. Définir l’étendue d’une activité illégale est toujours une tâche complexe, qui nécessite une bonne connaissance des méthodes utilisées par les criminels et la participation d’un certain nombre de parties prenantes pertinentes. Aucun document d’orientation n’a été élaboré jusqu’à présent par la Convention de Berne ou la CMS et les seules lignes directrices spécifiques actuellement disponibles sont celles produites par BirdLife international et présentées lors de la première réunion du MIKT</w:t>
      </w:r>
      <w:r w:rsidRPr="00FF6562">
        <w:rPr>
          <w:rFonts w:ascii="Arial" w:eastAsia="Calibri" w:hAnsi="Arial" w:cs="Arial"/>
          <w:color w:val="000000"/>
          <w:sz w:val="22"/>
          <w:szCs w:val="22"/>
          <w:vertAlign w:val="superscript"/>
        </w:rPr>
        <w:footnoteReference w:id="6"/>
      </w:r>
      <w:r w:rsidRPr="00865DA5">
        <w:rPr>
          <w:rFonts w:ascii="Arial" w:eastAsia="Arial" w:hAnsi="Arial" w:cs="Arial"/>
          <w:color w:val="000000"/>
          <w:sz w:val="22"/>
          <w:szCs w:val="22"/>
          <w:bdr w:val="none" w:sz="0" w:space="0" w:color="auto" w:frame="1"/>
          <w:lang w:val="fr-FR"/>
        </w:rPr>
        <w:t>. Les autorités nationales sont invitées à fournir des informations sur la façon dont leurs estimations sont générées.</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Les données pour l’indicateur n° 4 devraient être disponibles via les bases de données gérées (ou alimentées) par le système judiciaire pour suivre ses activités. L’indicateur n° 19 peut être complété par des informations plus détaillées sur le nombre de membres du personnel (ou de journées de personnel) déployés sur le terrain, car ces informations peuvent être détenues par les agences de lutte contre la fraude et être utilisées pour rendre compte de leurs activités et résultats. </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La plupart des indicateurs enquêtent sur les réponses des autorités nationales face à l’IKB et sont essentiels pour suivre les progrès et informer les autorités nationales sur les domaines où de plus amples efforts sont nécessaires. En d’autres termes, les indicateurs n° 1 et n° 2 mesurent l’état et la tendance de l’IKB, tandis que les autres permettent à l’État d’auto-évaluer les mesures prises contre l’IKB. </w:t>
      </w:r>
    </w:p>
    <w:p w:rsidR="00BD5B7F" w:rsidRPr="00865DA5" w:rsidRDefault="00BD5B7F" w:rsidP="00BD5B7F">
      <w:pPr>
        <w:keepNext/>
        <w:keepLines/>
        <w:spacing w:after="120"/>
        <w:outlineLvl w:val="1"/>
        <w:rPr>
          <w:rFonts w:ascii="Arial" w:hAnsi="Arial" w:cs="Arial"/>
          <w:b/>
          <w:color w:val="000000"/>
          <w:sz w:val="30"/>
          <w:szCs w:val="30"/>
          <w:lang w:val="fr-FR"/>
        </w:rPr>
      </w:pPr>
      <w:bookmarkStart w:id="29" w:name="_Toc491245232"/>
      <w:bookmarkStart w:id="30" w:name="_Toc491245055"/>
      <w:bookmarkStart w:id="31" w:name="_Toc486539569"/>
      <w:r w:rsidRPr="00865DA5">
        <w:rPr>
          <w:rFonts w:ascii="Arial" w:eastAsia="Arial" w:hAnsi="Arial" w:cs="Arial"/>
          <w:b/>
          <w:bCs/>
          <w:color w:val="000000"/>
          <w:sz w:val="30"/>
          <w:szCs w:val="30"/>
          <w:bdr w:val="none" w:sz="0" w:space="0" w:color="auto" w:frame="1"/>
          <w:lang w:val="fr-FR"/>
        </w:rPr>
        <w:t>Présentation des résultats</w:t>
      </w:r>
      <w:bookmarkEnd w:id="29"/>
      <w:bookmarkEnd w:id="30"/>
      <w:bookmarkEnd w:id="31"/>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Le score total produit par les indicateurs permet à l’État de mesurer l’étendue de ses efforts de lutte contre l’IKB. Bien qu’une simple méthode de notation puisse apparaître comme un </w:t>
      </w:r>
      <w:r w:rsidRPr="00865DA5">
        <w:rPr>
          <w:rFonts w:ascii="Arial" w:eastAsia="Arial" w:hAnsi="Arial" w:cs="Arial"/>
          <w:color w:val="000000"/>
          <w:sz w:val="22"/>
          <w:szCs w:val="22"/>
          <w:bdr w:val="none" w:sz="0" w:space="0" w:color="auto" w:frame="1"/>
          <w:lang w:val="fr-FR"/>
        </w:rPr>
        <w:lastRenderedPageBreak/>
        <w:t xml:space="preserve">moyen simple d’auto-évaluation des mesures de l’IKB, elle ne fournit pas une image complète de la question complexe en jeu. </w:t>
      </w:r>
    </w:p>
    <w:p w:rsidR="00BD5B7F" w:rsidRPr="00865DA5" w:rsidRDefault="00BD5B7F" w:rsidP="00BD5B7F">
      <w:pPr>
        <w:spacing w:after="120"/>
        <w:jc w:val="both"/>
        <w:rPr>
          <w:rFonts w:ascii="Arial" w:eastAsia="Arial" w:hAnsi="Arial" w:cs="Arial"/>
          <w:color w:val="000000"/>
          <w:sz w:val="22"/>
          <w:szCs w:val="22"/>
          <w:bdr w:val="none" w:sz="0" w:space="0" w:color="auto" w:frame="1"/>
          <w:lang w:val="fr-FR"/>
        </w:rPr>
      </w:pPr>
      <w:r w:rsidRPr="00865DA5">
        <w:rPr>
          <w:rFonts w:ascii="Arial" w:eastAsia="Arial" w:hAnsi="Arial" w:cs="Arial"/>
          <w:color w:val="000000"/>
          <w:sz w:val="22"/>
          <w:szCs w:val="22"/>
          <w:bdr w:val="none" w:sz="0" w:space="0" w:color="auto" w:frame="1"/>
          <w:lang w:val="fr-FR"/>
        </w:rPr>
        <w:t xml:space="preserve">En outre, il est peu probable qu’un score unique fournisse des informations utiles sur les domaines sur lesquels chaque État devrait se concentrer pour développer une gamme complète de réponses à l’IKB appropriées. Par conséquent, les résultats agrégés peuvent être présentés sous une forme de tableau comparant les groupes d’indicateurs en fonction du score national par rapport au score maximal possible. Le score maximal possible pour les groupes B et C varie selon que l’option « non applicable » ait été utilisée ou non. Étant donné que les résultats nationaux sont exprimés en pourcentage du score total possible au niveau national, les résultats agrégés prennent en compte les pays qui répondent « non applicable » à l’un ou à l’autre des indicateurs. </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Chaque résultat recevra un code de couleur :</w:t>
      </w:r>
    </w:p>
    <w:p w:rsidR="00BD5B7F" w:rsidRPr="00865DA5" w:rsidRDefault="00BD5B7F" w:rsidP="00BD5B7F">
      <w:pPr>
        <w:ind w:left="567"/>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Rouge - Score national &lt; 25 % du score maximal possible </w:t>
      </w:r>
    </w:p>
    <w:p w:rsidR="00BD5B7F" w:rsidRPr="00865DA5" w:rsidRDefault="00BD5B7F" w:rsidP="00BD5B7F">
      <w:pPr>
        <w:ind w:left="567"/>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Jaune - Score national entre 25 % et 50 % du score maximal possible</w:t>
      </w:r>
    </w:p>
    <w:p w:rsidR="00BD5B7F" w:rsidRPr="00865DA5" w:rsidRDefault="00BD5B7F" w:rsidP="00BD5B7F">
      <w:pPr>
        <w:ind w:left="567"/>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Vert clair - Score national entre 50 % et 75 % du score maximal possible</w:t>
      </w:r>
    </w:p>
    <w:p w:rsidR="00BD5B7F" w:rsidRPr="00865DA5" w:rsidRDefault="00BD5B7F" w:rsidP="00BD5B7F">
      <w:pPr>
        <w:ind w:left="567"/>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Vert - Score national &gt; 75 % du score maximal possible</w:t>
      </w:r>
    </w:p>
    <w:p w:rsidR="00BD5B7F" w:rsidRPr="00865DA5" w:rsidRDefault="00BD5B7F" w:rsidP="00BD5B7F">
      <w:pPr>
        <w:ind w:left="567"/>
        <w:jc w:val="both"/>
        <w:rPr>
          <w:rFonts w:ascii="Arial" w:eastAsia="Calibri" w:hAnsi="Arial" w:cs="Arial"/>
          <w:color w:val="000000"/>
          <w:sz w:val="22"/>
          <w:szCs w:val="22"/>
          <w:lang w:val="fr-FR"/>
        </w:rPr>
      </w:pP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Cela permettra une évaluation, au niveau national, des domaines où un travail supplémentaire pourrait être nécessaire, et permettra aux États de partager des informations au niveau international et d’identifier les domaines où des conseils et un soutien pourraient être utiles.</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Enfin, les actions que chaque pays a mises en œuvre ou qu’il considère devoir développer davantage sont également directement liées à la gravité du problème de l’IKB. Par conséquent, les informations fournies par chaque pays par l’intermédiaire de l’indicateur n° 4 (estimation du nombre d’oiseaux abattus ou prélevés illégalement) seront affichées (en tant que classe de gravité) dans une autre colonne. </w:t>
      </w:r>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Les classes de gravité du problème IKB seront les suivantes :</w:t>
      </w:r>
    </w:p>
    <w:p w:rsidR="00BD5B7F" w:rsidRPr="00865DA5" w:rsidRDefault="00BD5B7F" w:rsidP="00BD5B7F">
      <w:pPr>
        <w:ind w:left="567"/>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Classe I (Rouge) - Estimation annuelle de l’IKB &gt; 2,5 millions ; </w:t>
      </w:r>
    </w:p>
    <w:p w:rsidR="00BD5B7F" w:rsidRPr="00865DA5" w:rsidRDefault="00BD5B7F" w:rsidP="00BD5B7F">
      <w:pPr>
        <w:ind w:left="567"/>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Classe II (Orange) - Estimation annuelle de l’IKB entre 750 000 et 2,5 millions ;</w:t>
      </w:r>
    </w:p>
    <w:p w:rsidR="00BD5B7F" w:rsidRPr="00865DA5" w:rsidRDefault="00BD5B7F" w:rsidP="00BD5B7F">
      <w:pPr>
        <w:ind w:left="567"/>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Classe III (Orange clair) - Estimation annuelle de l’IKB entre 100 000 et 750 000 ;</w:t>
      </w:r>
    </w:p>
    <w:p w:rsidR="00BD5B7F" w:rsidRPr="00865DA5" w:rsidRDefault="00BD5B7F" w:rsidP="00BD5B7F">
      <w:pPr>
        <w:ind w:left="567"/>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Classe IV (Jaune) - Estimation annuelle IKB &lt; 100 000.</w:t>
      </w:r>
    </w:p>
    <w:p w:rsidR="00BD5B7F" w:rsidRPr="00865DA5" w:rsidRDefault="00BD5B7F" w:rsidP="00BD5B7F">
      <w:pPr>
        <w:jc w:val="both"/>
        <w:rPr>
          <w:rFonts w:ascii="Arial" w:eastAsia="Arial" w:hAnsi="Arial" w:cs="Arial"/>
          <w:color w:val="000000"/>
          <w:sz w:val="22"/>
          <w:szCs w:val="22"/>
          <w:bdr w:val="none" w:sz="0" w:space="0" w:color="auto" w:frame="1"/>
          <w:lang w:val="fr-FR"/>
        </w:rPr>
      </w:pPr>
    </w:p>
    <w:p w:rsidR="00BD5B7F" w:rsidRPr="00865DA5" w:rsidRDefault="00BD5B7F" w:rsidP="00BD5B7F">
      <w:pPr>
        <w:jc w:val="both"/>
        <w:rPr>
          <w:rFonts w:ascii="Arial" w:eastAsia="Arial" w:hAnsi="Arial" w:cs="Arial"/>
          <w:color w:val="000000"/>
          <w:sz w:val="22"/>
          <w:szCs w:val="22"/>
          <w:bdr w:val="none" w:sz="0" w:space="0" w:color="auto" w:frame="1"/>
          <w:lang w:val="fr-FR"/>
        </w:rPr>
      </w:pPr>
      <w:r w:rsidRPr="00865DA5">
        <w:rPr>
          <w:rFonts w:ascii="Arial" w:eastAsia="Arial" w:hAnsi="Arial" w:cs="Arial"/>
          <w:color w:val="000000"/>
          <w:sz w:val="22"/>
          <w:szCs w:val="22"/>
          <w:bdr w:val="none" w:sz="0" w:space="0" w:color="auto" w:frame="1"/>
          <w:lang w:val="fr-FR"/>
        </w:rPr>
        <w:t xml:space="preserve">Cela situera les résultats présentés dans les premières colonnes dans le contexte de l’ampleur du problème de l’abattage illégal des oiseaux sauvages au niveau national. </w:t>
      </w:r>
    </w:p>
    <w:p w:rsidR="00BD5B7F" w:rsidRPr="00865DA5" w:rsidRDefault="00BD5B7F" w:rsidP="00BD5B7F">
      <w:pPr>
        <w:jc w:val="both"/>
        <w:rPr>
          <w:rFonts w:ascii="Arial" w:eastAsia="Arial" w:hAnsi="Arial" w:cs="Arial"/>
          <w:color w:val="000000"/>
          <w:sz w:val="22"/>
          <w:szCs w:val="22"/>
          <w:bdr w:val="none" w:sz="0" w:space="0" w:color="auto" w:frame="1"/>
          <w:lang w:val="fr-FR"/>
        </w:rPr>
      </w:pPr>
    </w:p>
    <w:tbl>
      <w:tblPr>
        <w:tblW w:w="95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6"/>
        <w:gridCol w:w="1305"/>
        <w:gridCol w:w="1922"/>
        <w:gridCol w:w="1623"/>
        <w:gridCol w:w="1448"/>
        <w:gridCol w:w="1134"/>
        <w:gridCol w:w="992"/>
      </w:tblGrid>
      <w:tr w:rsidR="00BD5B7F" w:rsidRPr="00FF6562" w:rsidTr="000E5961">
        <w:tc>
          <w:tcPr>
            <w:tcW w:w="1116" w:type="dxa"/>
            <w:tcBorders>
              <w:top w:val="single" w:sz="4" w:space="0" w:color="auto"/>
              <w:left w:val="single" w:sz="4" w:space="0" w:color="auto"/>
              <w:bottom w:val="single" w:sz="4" w:space="0" w:color="auto"/>
              <w:right w:val="single" w:sz="4" w:space="0" w:color="auto"/>
            </w:tcBorders>
            <w:vAlign w:val="center"/>
            <w:hideMark/>
          </w:tcPr>
          <w:p w:rsidR="00BD5B7F" w:rsidRPr="00FF6562" w:rsidRDefault="00BD5B7F" w:rsidP="000E5961">
            <w:pPr>
              <w:rPr>
                <w:rFonts w:ascii="Arial" w:eastAsia="Calibri" w:hAnsi="Arial" w:cs="Arial"/>
                <w:color w:val="000000"/>
                <w:sz w:val="22"/>
                <w:szCs w:val="22"/>
              </w:rPr>
            </w:pPr>
            <w:r w:rsidRPr="00FF6562">
              <w:rPr>
                <w:rFonts w:ascii="Arial" w:eastAsia="Arial" w:hAnsi="Arial" w:cs="Arial"/>
                <w:color w:val="000000"/>
                <w:sz w:val="22"/>
                <w:szCs w:val="22"/>
                <w:bdr w:val="none" w:sz="0" w:space="0" w:color="auto" w:frame="1"/>
              </w:rPr>
              <w:t>Pays</w:t>
            </w:r>
          </w:p>
        </w:tc>
        <w:tc>
          <w:tcPr>
            <w:tcW w:w="1304" w:type="dxa"/>
            <w:tcBorders>
              <w:top w:val="single" w:sz="4" w:space="0" w:color="auto"/>
              <w:left w:val="single" w:sz="4" w:space="0" w:color="auto"/>
              <w:bottom w:val="single" w:sz="4" w:space="0" w:color="auto"/>
              <w:right w:val="single" w:sz="4" w:space="0" w:color="auto"/>
            </w:tcBorders>
            <w:vAlign w:val="center"/>
            <w:hideMark/>
          </w:tcPr>
          <w:p w:rsidR="00BD5B7F" w:rsidRPr="00865DA5" w:rsidRDefault="00BD5B7F" w:rsidP="000E5961">
            <w:pPr>
              <w:jc w:val="center"/>
              <w:rPr>
                <w:rFonts w:ascii="Arial" w:eastAsia="Calibri" w:hAnsi="Arial" w:cs="Arial"/>
                <w:bCs/>
                <w:iCs/>
                <w:color w:val="000000"/>
                <w:sz w:val="18"/>
                <w:szCs w:val="18"/>
                <w:lang w:val="fr-FR"/>
              </w:rPr>
            </w:pPr>
            <w:r w:rsidRPr="00865DA5">
              <w:rPr>
                <w:rFonts w:ascii="Arial" w:eastAsia="Arial" w:hAnsi="Arial" w:cs="Arial"/>
                <w:bCs/>
                <w:iCs/>
                <w:color w:val="000000"/>
                <w:sz w:val="18"/>
                <w:szCs w:val="18"/>
                <w:bdr w:val="none" w:sz="0" w:space="0" w:color="auto" w:frame="1"/>
                <w:lang w:val="fr-FR"/>
              </w:rPr>
              <w:t>A. Suivi national de l’IKB</w:t>
            </w:r>
          </w:p>
        </w:tc>
        <w:tc>
          <w:tcPr>
            <w:tcW w:w="1921" w:type="dxa"/>
            <w:tcBorders>
              <w:top w:val="single" w:sz="4" w:space="0" w:color="auto"/>
              <w:left w:val="single" w:sz="4" w:space="0" w:color="auto"/>
              <w:bottom w:val="single" w:sz="4" w:space="0" w:color="auto"/>
              <w:right w:val="single" w:sz="4" w:space="0" w:color="auto"/>
            </w:tcBorders>
            <w:vAlign w:val="center"/>
            <w:hideMark/>
          </w:tcPr>
          <w:p w:rsidR="00BD5B7F" w:rsidRPr="00865DA5" w:rsidRDefault="00BD5B7F" w:rsidP="000E5961">
            <w:pPr>
              <w:ind w:firstLine="51"/>
              <w:jc w:val="center"/>
              <w:rPr>
                <w:rFonts w:ascii="Arial" w:eastAsia="Calibri" w:hAnsi="Arial" w:cs="Arial"/>
                <w:color w:val="000000"/>
                <w:sz w:val="18"/>
                <w:szCs w:val="18"/>
                <w:lang w:val="fr-FR"/>
              </w:rPr>
            </w:pPr>
            <w:r w:rsidRPr="00865DA5">
              <w:rPr>
                <w:rFonts w:ascii="Arial" w:eastAsia="Arial" w:hAnsi="Arial" w:cs="Arial"/>
                <w:bCs/>
                <w:iCs/>
                <w:color w:val="000000"/>
                <w:sz w:val="18"/>
                <w:szCs w:val="18"/>
                <w:bdr w:val="none" w:sz="0" w:space="0" w:color="auto" w:frame="1"/>
                <w:lang w:val="fr-FR"/>
              </w:rPr>
              <w:t>B. Niveau d’exhaustivité de la législation nationale</w:t>
            </w:r>
          </w:p>
        </w:tc>
        <w:tc>
          <w:tcPr>
            <w:tcW w:w="1622" w:type="dxa"/>
            <w:tcBorders>
              <w:top w:val="single" w:sz="4" w:space="0" w:color="auto"/>
              <w:left w:val="single" w:sz="4" w:space="0" w:color="auto"/>
              <w:bottom w:val="single" w:sz="4" w:space="0" w:color="auto"/>
              <w:right w:val="single" w:sz="4" w:space="0" w:color="auto"/>
            </w:tcBorders>
            <w:vAlign w:val="center"/>
            <w:hideMark/>
          </w:tcPr>
          <w:p w:rsidR="00BD5B7F" w:rsidRPr="00865DA5" w:rsidRDefault="00BD5B7F" w:rsidP="000E5961">
            <w:pPr>
              <w:jc w:val="center"/>
              <w:rPr>
                <w:rFonts w:ascii="Arial" w:eastAsia="Calibri" w:hAnsi="Arial" w:cs="Arial"/>
                <w:color w:val="000000"/>
                <w:sz w:val="18"/>
                <w:szCs w:val="18"/>
                <w:lang w:val="fr-FR"/>
              </w:rPr>
            </w:pPr>
            <w:r w:rsidRPr="00865DA5">
              <w:rPr>
                <w:rFonts w:ascii="Arial" w:eastAsia="Arial" w:hAnsi="Arial" w:cs="Arial"/>
                <w:bCs/>
                <w:iCs/>
                <w:color w:val="000000"/>
                <w:sz w:val="18"/>
                <w:szCs w:val="18"/>
                <w:bdr w:val="none" w:sz="0" w:space="0" w:color="auto" w:frame="1"/>
                <w:lang w:val="fr-FR"/>
              </w:rPr>
              <w:t>C. Réponse en matière de lutte contre la fraude</w:t>
            </w:r>
          </w:p>
        </w:tc>
        <w:tc>
          <w:tcPr>
            <w:tcW w:w="1447" w:type="dxa"/>
            <w:tcBorders>
              <w:top w:val="single" w:sz="4" w:space="0" w:color="auto"/>
              <w:left w:val="single" w:sz="4" w:space="0" w:color="auto"/>
              <w:bottom w:val="single" w:sz="4" w:space="0" w:color="auto"/>
              <w:right w:val="single" w:sz="4" w:space="0" w:color="auto"/>
            </w:tcBorders>
            <w:vAlign w:val="center"/>
            <w:hideMark/>
          </w:tcPr>
          <w:p w:rsidR="00BD5B7F" w:rsidRPr="00FF6562" w:rsidRDefault="00BD5B7F" w:rsidP="000E5961">
            <w:pPr>
              <w:jc w:val="center"/>
              <w:rPr>
                <w:rFonts w:ascii="Arial" w:eastAsia="Calibri" w:hAnsi="Arial" w:cs="Arial"/>
                <w:color w:val="000000"/>
                <w:sz w:val="18"/>
                <w:szCs w:val="18"/>
              </w:rPr>
            </w:pPr>
            <w:r w:rsidRPr="00FF6562">
              <w:rPr>
                <w:rFonts w:ascii="Arial" w:eastAsia="Arial" w:hAnsi="Arial" w:cs="Arial"/>
                <w:bCs/>
                <w:iCs/>
                <w:color w:val="000000"/>
                <w:sz w:val="18"/>
                <w:szCs w:val="18"/>
                <w:bdr w:val="none" w:sz="0" w:space="0" w:color="auto" w:frame="1"/>
              </w:rPr>
              <w:t>D. Poursuites et condamnation</w:t>
            </w:r>
          </w:p>
        </w:tc>
        <w:tc>
          <w:tcPr>
            <w:tcW w:w="1134" w:type="dxa"/>
            <w:tcBorders>
              <w:top w:val="single" w:sz="4" w:space="0" w:color="auto"/>
              <w:left w:val="single" w:sz="4" w:space="0" w:color="auto"/>
              <w:bottom w:val="single" w:sz="4" w:space="0" w:color="auto"/>
              <w:right w:val="single" w:sz="4" w:space="0" w:color="auto"/>
            </w:tcBorders>
            <w:vAlign w:val="center"/>
            <w:hideMark/>
          </w:tcPr>
          <w:p w:rsidR="00BD5B7F" w:rsidRPr="00FF6562" w:rsidRDefault="00BD5B7F" w:rsidP="000E5961">
            <w:pPr>
              <w:jc w:val="center"/>
              <w:rPr>
                <w:rFonts w:ascii="Arial" w:eastAsia="Calibri" w:hAnsi="Arial" w:cs="Arial"/>
                <w:color w:val="000000"/>
                <w:sz w:val="18"/>
                <w:szCs w:val="18"/>
              </w:rPr>
            </w:pPr>
            <w:r w:rsidRPr="00FF6562">
              <w:rPr>
                <w:rFonts w:ascii="Arial" w:eastAsia="Arial" w:hAnsi="Arial" w:cs="Arial"/>
                <w:bCs/>
                <w:iCs/>
                <w:color w:val="000000"/>
                <w:sz w:val="18"/>
                <w:szCs w:val="18"/>
                <w:bdr w:val="none" w:sz="0" w:space="0" w:color="auto" w:frame="1"/>
              </w:rPr>
              <w:t>E. Prévention</w:t>
            </w:r>
          </w:p>
        </w:tc>
        <w:tc>
          <w:tcPr>
            <w:tcW w:w="992" w:type="dxa"/>
            <w:tcBorders>
              <w:top w:val="single" w:sz="4" w:space="0" w:color="auto"/>
              <w:left w:val="single" w:sz="4" w:space="0" w:color="auto"/>
              <w:bottom w:val="single" w:sz="4" w:space="0" w:color="auto"/>
              <w:right w:val="single" w:sz="4" w:space="0" w:color="auto"/>
            </w:tcBorders>
            <w:vAlign w:val="center"/>
            <w:hideMark/>
          </w:tcPr>
          <w:p w:rsidR="00BD5B7F" w:rsidRPr="00FF6562" w:rsidRDefault="00BD5B7F" w:rsidP="000E5961">
            <w:pPr>
              <w:jc w:val="center"/>
              <w:rPr>
                <w:rFonts w:ascii="Arial" w:eastAsia="Calibri" w:hAnsi="Arial" w:cs="Arial"/>
                <w:color w:val="000000"/>
                <w:sz w:val="18"/>
                <w:szCs w:val="18"/>
              </w:rPr>
            </w:pPr>
            <w:r w:rsidRPr="00FF6562">
              <w:rPr>
                <w:rFonts w:ascii="Arial" w:eastAsia="Arial" w:hAnsi="Arial" w:cs="Arial"/>
                <w:color w:val="000000"/>
                <w:sz w:val="18"/>
                <w:szCs w:val="18"/>
                <w:bdr w:val="none" w:sz="0" w:space="0" w:color="auto" w:frame="1"/>
              </w:rPr>
              <w:t>Ampleur du problème IKB</w:t>
            </w:r>
          </w:p>
        </w:tc>
      </w:tr>
      <w:tr w:rsidR="00BD5B7F" w:rsidRPr="00FF6562" w:rsidTr="000E5961">
        <w:tc>
          <w:tcPr>
            <w:tcW w:w="1116" w:type="dxa"/>
            <w:tcBorders>
              <w:top w:val="single" w:sz="4" w:space="0" w:color="auto"/>
              <w:left w:val="single" w:sz="4" w:space="0" w:color="auto"/>
              <w:bottom w:val="single" w:sz="4" w:space="0" w:color="auto"/>
              <w:right w:val="single" w:sz="4" w:space="0" w:color="auto"/>
            </w:tcBorders>
            <w:hideMark/>
          </w:tcPr>
          <w:p w:rsidR="00BD5B7F" w:rsidRPr="00FF6562" w:rsidRDefault="00BD5B7F" w:rsidP="000E5961">
            <w:pPr>
              <w:rPr>
                <w:rFonts w:ascii="Arial" w:eastAsia="Calibri" w:hAnsi="Arial" w:cs="Arial"/>
                <w:color w:val="000000"/>
                <w:sz w:val="22"/>
                <w:szCs w:val="22"/>
              </w:rPr>
            </w:pPr>
            <w:r w:rsidRPr="00FF6562">
              <w:rPr>
                <w:rFonts w:ascii="Arial" w:eastAsia="Arial" w:hAnsi="Arial" w:cs="Arial"/>
                <w:color w:val="000000"/>
                <w:sz w:val="22"/>
                <w:szCs w:val="22"/>
                <w:bdr w:val="none" w:sz="0" w:space="0" w:color="auto" w:frame="1"/>
              </w:rPr>
              <w:t>XXX</w:t>
            </w:r>
          </w:p>
        </w:tc>
        <w:tc>
          <w:tcPr>
            <w:tcW w:w="1304" w:type="dxa"/>
            <w:tcBorders>
              <w:top w:val="single" w:sz="4" w:space="0" w:color="auto"/>
              <w:left w:val="single" w:sz="4" w:space="0" w:color="auto"/>
              <w:bottom w:val="single" w:sz="4" w:space="0" w:color="auto"/>
              <w:right w:val="single" w:sz="4" w:space="0" w:color="auto"/>
            </w:tcBorders>
            <w:shd w:val="clear" w:color="auto" w:fill="92D050"/>
          </w:tcPr>
          <w:p w:rsidR="00BD5B7F" w:rsidRPr="00FF6562" w:rsidRDefault="00BD5B7F" w:rsidP="000E5961">
            <w:pPr>
              <w:rPr>
                <w:rFonts w:ascii="Arial" w:eastAsia="Calibri" w:hAnsi="Arial" w:cs="Arial"/>
                <w:color w:val="000000"/>
                <w:sz w:val="22"/>
                <w:szCs w:val="22"/>
              </w:rPr>
            </w:pPr>
          </w:p>
        </w:tc>
        <w:tc>
          <w:tcPr>
            <w:tcW w:w="1921" w:type="dxa"/>
            <w:tcBorders>
              <w:top w:val="single" w:sz="4" w:space="0" w:color="auto"/>
              <w:left w:val="single" w:sz="4" w:space="0" w:color="auto"/>
              <w:bottom w:val="single" w:sz="4" w:space="0" w:color="auto"/>
              <w:right w:val="single" w:sz="4" w:space="0" w:color="auto"/>
            </w:tcBorders>
            <w:shd w:val="clear" w:color="auto" w:fill="00B050"/>
          </w:tcPr>
          <w:p w:rsidR="00BD5B7F" w:rsidRPr="00FF6562" w:rsidRDefault="00BD5B7F" w:rsidP="000E5961">
            <w:pPr>
              <w:rPr>
                <w:rFonts w:ascii="Arial" w:eastAsia="Calibri" w:hAnsi="Arial" w:cs="Arial"/>
                <w:color w:val="000000"/>
                <w:sz w:val="22"/>
                <w:szCs w:val="22"/>
              </w:rPr>
            </w:pPr>
          </w:p>
        </w:tc>
        <w:tc>
          <w:tcPr>
            <w:tcW w:w="1622" w:type="dxa"/>
            <w:tcBorders>
              <w:top w:val="single" w:sz="4" w:space="0" w:color="auto"/>
              <w:left w:val="single" w:sz="4" w:space="0" w:color="auto"/>
              <w:bottom w:val="single" w:sz="4" w:space="0" w:color="auto"/>
              <w:right w:val="single" w:sz="4" w:space="0" w:color="auto"/>
            </w:tcBorders>
            <w:shd w:val="clear" w:color="auto" w:fill="FF6600"/>
          </w:tcPr>
          <w:p w:rsidR="00BD5B7F" w:rsidRPr="00FF6562" w:rsidRDefault="00BD5B7F" w:rsidP="000E5961">
            <w:pPr>
              <w:rPr>
                <w:rFonts w:ascii="Arial" w:eastAsia="Calibri" w:hAnsi="Arial" w:cs="Arial"/>
                <w:color w:val="000000"/>
                <w:sz w:val="22"/>
                <w:szCs w:val="22"/>
                <w:highlight w:val="red"/>
              </w:rPr>
            </w:pPr>
          </w:p>
        </w:tc>
        <w:tc>
          <w:tcPr>
            <w:tcW w:w="1447" w:type="dxa"/>
            <w:tcBorders>
              <w:top w:val="single" w:sz="4" w:space="0" w:color="auto"/>
              <w:left w:val="single" w:sz="4" w:space="0" w:color="auto"/>
              <w:bottom w:val="single" w:sz="4" w:space="0" w:color="auto"/>
              <w:right w:val="single" w:sz="4" w:space="0" w:color="auto"/>
            </w:tcBorders>
            <w:shd w:val="clear" w:color="auto" w:fill="FFFF00"/>
          </w:tcPr>
          <w:p w:rsidR="00BD5B7F" w:rsidRPr="00FF6562" w:rsidRDefault="00BD5B7F" w:rsidP="000E5961">
            <w:pPr>
              <w:rPr>
                <w:rFonts w:ascii="Arial" w:eastAsia="Calibri" w:hAnsi="Arial" w:cs="Arial"/>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BD5B7F" w:rsidRPr="00FF6562" w:rsidRDefault="00BD5B7F" w:rsidP="000E5961">
            <w:pPr>
              <w:rPr>
                <w:rFonts w:ascii="Arial" w:eastAsia="Calibri" w:hAnsi="Arial" w:cs="Arial"/>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0000"/>
          </w:tcPr>
          <w:p w:rsidR="00BD5B7F" w:rsidRPr="00FF6562" w:rsidRDefault="00BD5B7F" w:rsidP="000E5961">
            <w:pPr>
              <w:rPr>
                <w:rFonts w:ascii="Arial" w:eastAsia="Calibri" w:hAnsi="Arial" w:cs="Arial"/>
                <w:color w:val="000000"/>
                <w:sz w:val="22"/>
                <w:szCs w:val="22"/>
              </w:rPr>
            </w:pPr>
          </w:p>
        </w:tc>
      </w:tr>
      <w:tr w:rsidR="00BD5B7F" w:rsidRPr="00FF6562" w:rsidTr="000E5961">
        <w:tc>
          <w:tcPr>
            <w:tcW w:w="1116" w:type="dxa"/>
            <w:tcBorders>
              <w:top w:val="single" w:sz="4" w:space="0" w:color="auto"/>
              <w:left w:val="single" w:sz="4" w:space="0" w:color="auto"/>
              <w:bottom w:val="single" w:sz="4" w:space="0" w:color="auto"/>
              <w:right w:val="single" w:sz="4" w:space="0" w:color="auto"/>
            </w:tcBorders>
            <w:hideMark/>
          </w:tcPr>
          <w:p w:rsidR="00BD5B7F" w:rsidRPr="00FF6562" w:rsidRDefault="00BD5B7F" w:rsidP="000E5961">
            <w:pPr>
              <w:rPr>
                <w:rFonts w:ascii="Arial" w:eastAsia="Calibri" w:hAnsi="Arial" w:cs="Arial"/>
                <w:color w:val="000000"/>
                <w:sz w:val="22"/>
                <w:szCs w:val="22"/>
              </w:rPr>
            </w:pPr>
            <w:r w:rsidRPr="00FF6562">
              <w:rPr>
                <w:rFonts w:ascii="Arial" w:eastAsia="Arial" w:hAnsi="Arial" w:cs="Arial"/>
                <w:color w:val="000000"/>
                <w:sz w:val="22"/>
                <w:szCs w:val="22"/>
                <w:bdr w:val="none" w:sz="0" w:space="0" w:color="auto" w:frame="1"/>
              </w:rPr>
              <w:t>YYY</w:t>
            </w:r>
          </w:p>
        </w:tc>
        <w:tc>
          <w:tcPr>
            <w:tcW w:w="1304" w:type="dxa"/>
            <w:tcBorders>
              <w:top w:val="single" w:sz="4" w:space="0" w:color="auto"/>
              <w:left w:val="single" w:sz="4" w:space="0" w:color="auto"/>
              <w:bottom w:val="single" w:sz="4" w:space="0" w:color="auto"/>
              <w:right w:val="single" w:sz="4" w:space="0" w:color="auto"/>
            </w:tcBorders>
            <w:shd w:val="clear" w:color="auto" w:fill="FF6600"/>
          </w:tcPr>
          <w:p w:rsidR="00BD5B7F" w:rsidRPr="00FF6562" w:rsidRDefault="00BD5B7F" w:rsidP="000E5961">
            <w:pPr>
              <w:rPr>
                <w:rFonts w:ascii="Arial" w:eastAsia="Calibri" w:hAnsi="Arial" w:cs="Arial"/>
                <w:color w:val="000000"/>
                <w:sz w:val="22"/>
                <w:szCs w:val="22"/>
              </w:rPr>
            </w:pPr>
          </w:p>
        </w:tc>
        <w:tc>
          <w:tcPr>
            <w:tcW w:w="1921" w:type="dxa"/>
            <w:tcBorders>
              <w:top w:val="single" w:sz="4" w:space="0" w:color="auto"/>
              <w:left w:val="single" w:sz="4" w:space="0" w:color="auto"/>
              <w:bottom w:val="single" w:sz="4" w:space="0" w:color="auto"/>
              <w:right w:val="single" w:sz="4" w:space="0" w:color="auto"/>
            </w:tcBorders>
            <w:shd w:val="clear" w:color="auto" w:fill="FFFF00"/>
          </w:tcPr>
          <w:p w:rsidR="00BD5B7F" w:rsidRPr="00FF6562" w:rsidRDefault="00BD5B7F" w:rsidP="000E5961">
            <w:pPr>
              <w:rPr>
                <w:rFonts w:ascii="Arial" w:eastAsia="Calibri" w:hAnsi="Arial" w:cs="Arial"/>
                <w:color w:val="000000"/>
                <w:sz w:val="22"/>
                <w:szCs w:val="22"/>
              </w:rPr>
            </w:pPr>
          </w:p>
        </w:tc>
        <w:tc>
          <w:tcPr>
            <w:tcW w:w="1622" w:type="dxa"/>
            <w:tcBorders>
              <w:top w:val="single" w:sz="4" w:space="0" w:color="auto"/>
              <w:left w:val="single" w:sz="4" w:space="0" w:color="auto"/>
              <w:bottom w:val="single" w:sz="4" w:space="0" w:color="auto"/>
              <w:right w:val="single" w:sz="4" w:space="0" w:color="auto"/>
            </w:tcBorders>
            <w:shd w:val="clear" w:color="auto" w:fill="FFFF00"/>
          </w:tcPr>
          <w:p w:rsidR="00BD5B7F" w:rsidRPr="00FF6562" w:rsidRDefault="00BD5B7F" w:rsidP="000E5961">
            <w:pPr>
              <w:rPr>
                <w:rFonts w:ascii="Arial" w:eastAsia="Calibri" w:hAnsi="Arial" w:cs="Arial"/>
                <w:color w:val="000000"/>
                <w:sz w:val="22"/>
                <w:szCs w:val="22"/>
              </w:rPr>
            </w:pPr>
          </w:p>
        </w:tc>
        <w:tc>
          <w:tcPr>
            <w:tcW w:w="1447" w:type="dxa"/>
            <w:tcBorders>
              <w:top w:val="single" w:sz="4" w:space="0" w:color="auto"/>
              <w:left w:val="single" w:sz="4" w:space="0" w:color="auto"/>
              <w:bottom w:val="single" w:sz="4" w:space="0" w:color="auto"/>
              <w:right w:val="single" w:sz="4" w:space="0" w:color="auto"/>
            </w:tcBorders>
            <w:shd w:val="clear" w:color="auto" w:fill="00B050"/>
          </w:tcPr>
          <w:p w:rsidR="00BD5B7F" w:rsidRPr="00FF6562" w:rsidRDefault="00BD5B7F" w:rsidP="000E5961">
            <w:pPr>
              <w:rPr>
                <w:rFonts w:ascii="Arial" w:eastAsia="Calibri" w:hAnsi="Arial" w:cs="Arial"/>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00B050"/>
          </w:tcPr>
          <w:p w:rsidR="00BD5B7F" w:rsidRPr="00FF6562" w:rsidRDefault="00BD5B7F" w:rsidP="000E5961">
            <w:pPr>
              <w:rPr>
                <w:rFonts w:ascii="Arial" w:eastAsia="Calibri" w:hAnsi="Arial" w:cs="Arial"/>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BD5B7F" w:rsidRPr="00FF6562" w:rsidRDefault="00BD5B7F" w:rsidP="000E5961">
            <w:pPr>
              <w:rPr>
                <w:rFonts w:ascii="Arial" w:eastAsia="Calibri" w:hAnsi="Arial" w:cs="Arial"/>
                <w:color w:val="000000"/>
                <w:sz w:val="22"/>
                <w:szCs w:val="22"/>
              </w:rPr>
            </w:pPr>
          </w:p>
        </w:tc>
      </w:tr>
      <w:tr w:rsidR="00BD5B7F" w:rsidRPr="00FF6562" w:rsidTr="000E5961">
        <w:tc>
          <w:tcPr>
            <w:tcW w:w="1116" w:type="dxa"/>
            <w:tcBorders>
              <w:top w:val="single" w:sz="4" w:space="0" w:color="auto"/>
              <w:left w:val="single" w:sz="4" w:space="0" w:color="auto"/>
              <w:bottom w:val="single" w:sz="4" w:space="0" w:color="auto"/>
              <w:right w:val="single" w:sz="4" w:space="0" w:color="auto"/>
            </w:tcBorders>
            <w:hideMark/>
          </w:tcPr>
          <w:p w:rsidR="00BD5B7F" w:rsidRPr="00FF6562" w:rsidRDefault="00BD5B7F" w:rsidP="000E5961">
            <w:pPr>
              <w:rPr>
                <w:rFonts w:ascii="Arial" w:eastAsia="Calibri" w:hAnsi="Arial" w:cs="Arial"/>
                <w:color w:val="000000"/>
                <w:sz w:val="22"/>
                <w:szCs w:val="22"/>
              </w:rPr>
            </w:pPr>
            <w:r w:rsidRPr="00FF6562">
              <w:rPr>
                <w:rFonts w:ascii="Arial" w:eastAsia="Arial" w:hAnsi="Arial" w:cs="Arial"/>
                <w:color w:val="000000"/>
                <w:sz w:val="22"/>
                <w:szCs w:val="22"/>
                <w:bdr w:val="none" w:sz="0" w:space="0" w:color="auto" w:frame="1"/>
              </w:rPr>
              <w:t>ZZZ</w:t>
            </w:r>
          </w:p>
        </w:tc>
        <w:tc>
          <w:tcPr>
            <w:tcW w:w="1304" w:type="dxa"/>
            <w:tcBorders>
              <w:top w:val="single" w:sz="4" w:space="0" w:color="auto"/>
              <w:left w:val="single" w:sz="4" w:space="0" w:color="auto"/>
              <w:bottom w:val="single" w:sz="4" w:space="0" w:color="auto"/>
              <w:right w:val="single" w:sz="4" w:space="0" w:color="auto"/>
            </w:tcBorders>
            <w:shd w:val="clear" w:color="auto" w:fill="00B050"/>
          </w:tcPr>
          <w:p w:rsidR="00BD5B7F" w:rsidRPr="00FF6562" w:rsidRDefault="00BD5B7F" w:rsidP="000E5961">
            <w:pPr>
              <w:rPr>
                <w:rFonts w:ascii="Arial" w:eastAsia="Calibri" w:hAnsi="Arial" w:cs="Arial"/>
                <w:color w:val="000000"/>
                <w:sz w:val="22"/>
                <w:szCs w:val="22"/>
              </w:rPr>
            </w:pPr>
          </w:p>
        </w:tc>
        <w:tc>
          <w:tcPr>
            <w:tcW w:w="1921" w:type="dxa"/>
            <w:tcBorders>
              <w:top w:val="single" w:sz="4" w:space="0" w:color="auto"/>
              <w:left w:val="single" w:sz="4" w:space="0" w:color="auto"/>
              <w:bottom w:val="single" w:sz="4" w:space="0" w:color="auto"/>
              <w:right w:val="single" w:sz="4" w:space="0" w:color="auto"/>
            </w:tcBorders>
            <w:shd w:val="clear" w:color="auto" w:fill="00B050"/>
          </w:tcPr>
          <w:p w:rsidR="00BD5B7F" w:rsidRPr="00FF6562" w:rsidRDefault="00BD5B7F" w:rsidP="000E5961">
            <w:pPr>
              <w:rPr>
                <w:rFonts w:ascii="Arial" w:eastAsia="Calibri" w:hAnsi="Arial" w:cs="Arial"/>
                <w:color w:val="000000"/>
                <w:sz w:val="22"/>
                <w:szCs w:val="22"/>
              </w:rPr>
            </w:pPr>
          </w:p>
        </w:tc>
        <w:tc>
          <w:tcPr>
            <w:tcW w:w="1622" w:type="dxa"/>
            <w:tcBorders>
              <w:top w:val="single" w:sz="4" w:space="0" w:color="auto"/>
              <w:left w:val="single" w:sz="4" w:space="0" w:color="auto"/>
              <w:bottom w:val="single" w:sz="4" w:space="0" w:color="auto"/>
              <w:right w:val="single" w:sz="4" w:space="0" w:color="auto"/>
            </w:tcBorders>
            <w:shd w:val="clear" w:color="auto" w:fill="FFFF00"/>
          </w:tcPr>
          <w:p w:rsidR="00BD5B7F" w:rsidRPr="00FF6562" w:rsidRDefault="00BD5B7F" w:rsidP="000E5961">
            <w:pPr>
              <w:rPr>
                <w:rFonts w:ascii="Arial" w:eastAsia="Calibri" w:hAnsi="Arial" w:cs="Arial"/>
                <w:color w:val="000000"/>
                <w:sz w:val="22"/>
                <w:szCs w:val="22"/>
              </w:rPr>
            </w:pPr>
          </w:p>
        </w:tc>
        <w:tc>
          <w:tcPr>
            <w:tcW w:w="1447" w:type="dxa"/>
            <w:tcBorders>
              <w:top w:val="single" w:sz="4" w:space="0" w:color="auto"/>
              <w:left w:val="single" w:sz="4" w:space="0" w:color="auto"/>
              <w:bottom w:val="single" w:sz="4" w:space="0" w:color="auto"/>
              <w:right w:val="single" w:sz="4" w:space="0" w:color="auto"/>
            </w:tcBorders>
            <w:shd w:val="clear" w:color="auto" w:fill="92D050"/>
          </w:tcPr>
          <w:p w:rsidR="00BD5B7F" w:rsidRPr="00FF6562" w:rsidRDefault="00BD5B7F" w:rsidP="000E5961">
            <w:pPr>
              <w:rPr>
                <w:rFonts w:ascii="Arial" w:eastAsia="Calibri" w:hAnsi="Arial" w:cs="Arial"/>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BD5B7F" w:rsidRPr="00FF6562" w:rsidRDefault="00BD5B7F" w:rsidP="000E5961">
            <w:pPr>
              <w:rPr>
                <w:rFonts w:ascii="Arial" w:eastAsia="Calibri" w:hAnsi="Arial" w:cs="Arial"/>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6600"/>
          </w:tcPr>
          <w:p w:rsidR="00BD5B7F" w:rsidRPr="00FF6562" w:rsidRDefault="00BD5B7F" w:rsidP="000E5961">
            <w:pPr>
              <w:rPr>
                <w:rFonts w:ascii="Arial" w:eastAsia="Calibri" w:hAnsi="Arial" w:cs="Arial"/>
                <w:color w:val="000000"/>
                <w:sz w:val="22"/>
                <w:szCs w:val="22"/>
              </w:rPr>
            </w:pPr>
          </w:p>
        </w:tc>
      </w:tr>
      <w:tr w:rsidR="00BD5B7F" w:rsidRPr="00FF6562" w:rsidTr="000E5961">
        <w:tc>
          <w:tcPr>
            <w:tcW w:w="1116" w:type="dxa"/>
            <w:tcBorders>
              <w:top w:val="single" w:sz="4" w:space="0" w:color="auto"/>
              <w:left w:val="single" w:sz="4" w:space="0" w:color="auto"/>
              <w:bottom w:val="single" w:sz="4" w:space="0" w:color="auto"/>
              <w:right w:val="single" w:sz="4" w:space="0" w:color="auto"/>
            </w:tcBorders>
            <w:hideMark/>
          </w:tcPr>
          <w:p w:rsidR="00BD5B7F" w:rsidRPr="00FF6562" w:rsidRDefault="00BD5B7F" w:rsidP="000E5961">
            <w:pPr>
              <w:rPr>
                <w:rFonts w:ascii="Arial" w:eastAsia="Calibri" w:hAnsi="Arial" w:cs="Arial"/>
                <w:color w:val="000000"/>
                <w:sz w:val="22"/>
                <w:szCs w:val="22"/>
              </w:rPr>
            </w:pPr>
            <w:r w:rsidRPr="00FF6562">
              <w:rPr>
                <w:rFonts w:ascii="Arial" w:eastAsia="Calibri" w:hAnsi="Arial" w:cs="Arial"/>
                <w:color w:val="000000"/>
                <w:sz w:val="22"/>
                <w:szCs w:val="22"/>
              </w:rPr>
              <w:t>....</w:t>
            </w:r>
          </w:p>
        </w:tc>
        <w:tc>
          <w:tcPr>
            <w:tcW w:w="1304" w:type="dxa"/>
            <w:tcBorders>
              <w:top w:val="single" w:sz="4" w:space="0" w:color="auto"/>
              <w:left w:val="single" w:sz="4" w:space="0" w:color="auto"/>
              <w:bottom w:val="single" w:sz="4" w:space="0" w:color="auto"/>
              <w:right w:val="single" w:sz="4" w:space="0" w:color="auto"/>
            </w:tcBorders>
          </w:tcPr>
          <w:p w:rsidR="00BD5B7F" w:rsidRPr="00FF6562" w:rsidRDefault="00BD5B7F" w:rsidP="000E5961">
            <w:pPr>
              <w:rPr>
                <w:rFonts w:ascii="Arial" w:eastAsia="Calibri" w:hAnsi="Arial" w:cs="Arial"/>
                <w:color w:val="000000"/>
                <w:sz w:val="22"/>
                <w:szCs w:val="22"/>
              </w:rPr>
            </w:pPr>
          </w:p>
        </w:tc>
        <w:tc>
          <w:tcPr>
            <w:tcW w:w="1921" w:type="dxa"/>
            <w:tcBorders>
              <w:top w:val="single" w:sz="4" w:space="0" w:color="auto"/>
              <w:left w:val="single" w:sz="4" w:space="0" w:color="auto"/>
              <w:bottom w:val="single" w:sz="4" w:space="0" w:color="auto"/>
              <w:right w:val="single" w:sz="4" w:space="0" w:color="auto"/>
            </w:tcBorders>
          </w:tcPr>
          <w:p w:rsidR="00BD5B7F" w:rsidRPr="00FF6562" w:rsidRDefault="00BD5B7F" w:rsidP="000E5961">
            <w:pPr>
              <w:rPr>
                <w:rFonts w:ascii="Arial" w:eastAsia="Calibri" w:hAnsi="Arial" w:cs="Arial"/>
                <w:color w:val="000000"/>
                <w:sz w:val="22"/>
                <w:szCs w:val="22"/>
              </w:rPr>
            </w:pPr>
          </w:p>
        </w:tc>
        <w:tc>
          <w:tcPr>
            <w:tcW w:w="1622" w:type="dxa"/>
            <w:tcBorders>
              <w:top w:val="single" w:sz="4" w:space="0" w:color="auto"/>
              <w:left w:val="single" w:sz="4" w:space="0" w:color="auto"/>
              <w:bottom w:val="single" w:sz="4" w:space="0" w:color="auto"/>
              <w:right w:val="single" w:sz="4" w:space="0" w:color="auto"/>
            </w:tcBorders>
          </w:tcPr>
          <w:p w:rsidR="00BD5B7F" w:rsidRPr="00FF6562" w:rsidRDefault="00BD5B7F" w:rsidP="000E5961">
            <w:pPr>
              <w:rPr>
                <w:rFonts w:ascii="Arial" w:eastAsia="Calibri" w:hAnsi="Arial" w:cs="Arial"/>
                <w:color w:val="000000"/>
                <w:sz w:val="22"/>
                <w:szCs w:val="22"/>
              </w:rPr>
            </w:pPr>
          </w:p>
        </w:tc>
        <w:tc>
          <w:tcPr>
            <w:tcW w:w="1447" w:type="dxa"/>
            <w:tcBorders>
              <w:top w:val="single" w:sz="4" w:space="0" w:color="auto"/>
              <w:left w:val="single" w:sz="4" w:space="0" w:color="auto"/>
              <w:bottom w:val="single" w:sz="4" w:space="0" w:color="auto"/>
              <w:right w:val="single" w:sz="4" w:space="0" w:color="auto"/>
            </w:tcBorders>
          </w:tcPr>
          <w:p w:rsidR="00BD5B7F" w:rsidRPr="00FF6562" w:rsidRDefault="00BD5B7F" w:rsidP="000E5961">
            <w:pPr>
              <w:rPr>
                <w:rFonts w:ascii="Arial" w:eastAsia="Calibri" w:hAnsi="Arial" w:cs="Arial"/>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rsidR="00BD5B7F" w:rsidRPr="00FF6562" w:rsidRDefault="00BD5B7F" w:rsidP="000E5961">
            <w:pPr>
              <w:rPr>
                <w:rFonts w:ascii="Arial" w:eastAsia="Calibri" w:hAnsi="Arial" w:cs="Arial"/>
                <w:color w:val="000000"/>
                <w:sz w:val="22"/>
                <w:szCs w:val="22"/>
              </w:rPr>
            </w:pPr>
          </w:p>
        </w:tc>
        <w:tc>
          <w:tcPr>
            <w:tcW w:w="992" w:type="dxa"/>
            <w:tcBorders>
              <w:top w:val="single" w:sz="4" w:space="0" w:color="auto"/>
              <w:left w:val="single" w:sz="4" w:space="0" w:color="auto"/>
              <w:bottom w:val="single" w:sz="4" w:space="0" w:color="auto"/>
              <w:right w:val="single" w:sz="4" w:space="0" w:color="auto"/>
            </w:tcBorders>
          </w:tcPr>
          <w:p w:rsidR="00BD5B7F" w:rsidRPr="00FF6562" w:rsidRDefault="00BD5B7F" w:rsidP="000E5961">
            <w:pPr>
              <w:rPr>
                <w:rFonts w:ascii="Arial" w:eastAsia="Calibri" w:hAnsi="Arial" w:cs="Arial"/>
                <w:color w:val="000000"/>
                <w:sz w:val="22"/>
                <w:szCs w:val="22"/>
              </w:rPr>
            </w:pPr>
          </w:p>
        </w:tc>
      </w:tr>
    </w:tbl>
    <w:p w:rsidR="00BD5B7F" w:rsidRPr="00FF6562" w:rsidRDefault="00BD5B7F" w:rsidP="00BD5B7F">
      <w:pPr>
        <w:jc w:val="both"/>
        <w:rPr>
          <w:rFonts w:ascii="Arial" w:eastAsia="Calibri" w:hAnsi="Arial" w:cs="Arial"/>
          <w:color w:val="000000"/>
          <w:sz w:val="22"/>
          <w:szCs w:val="22"/>
        </w:rPr>
      </w:pPr>
    </w:p>
    <w:p w:rsidR="00BD5B7F" w:rsidRPr="00865DA5" w:rsidRDefault="00BD5B7F" w:rsidP="00BD5B7F">
      <w:pPr>
        <w:jc w:val="both"/>
        <w:rPr>
          <w:rFonts w:ascii="Arial" w:eastAsia="Arial" w:hAnsi="Arial" w:cs="Arial"/>
          <w:color w:val="000000"/>
          <w:sz w:val="22"/>
          <w:szCs w:val="22"/>
          <w:bdr w:val="none" w:sz="0" w:space="0" w:color="auto" w:frame="1"/>
          <w:lang w:val="fr-FR"/>
        </w:rPr>
      </w:pPr>
      <w:r w:rsidRPr="00865DA5">
        <w:rPr>
          <w:rFonts w:ascii="Arial" w:eastAsia="Arial" w:hAnsi="Arial" w:cs="Arial"/>
          <w:color w:val="000000"/>
          <w:sz w:val="22"/>
          <w:szCs w:val="22"/>
          <w:bdr w:val="none" w:sz="0" w:space="0" w:color="auto" w:frame="1"/>
          <w:lang w:val="fr-FR"/>
        </w:rPr>
        <w:t xml:space="preserve">Les six scores ensemble permettront une meilleure auto-évaluation des efforts déployés et des succès de chaque pays pour lutter contre l’abattage illégal des oiseaux sauvages, et les icônes suivantes pourront être utilisées comme indicateurs des résultats auto-évalués : </w:t>
      </w:r>
    </w:p>
    <w:p w:rsidR="00BD5B7F" w:rsidRPr="00865DA5" w:rsidRDefault="00BD5B7F" w:rsidP="00BD5B7F">
      <w:pPr>
        <w:jc w:val="both"/>
        <w:rPr>
          <w:rFonts w:ascii="Arial" w:eastAsia="Calibri" w:hAnsi="Arial" w:cs="Arial"/>
          <w:color w:val="000000"/>
          <w:sz w:val="22"/>
          <w:szCs w:val="22"/>
          <w:lang w:val="fr-FR"/>
        </w:rPr>
      </w:pPr>
    </w:p>
    <w:tbl>
      <w:tblPr>
        <w:tblW w:w="0" w:type="auto"/>
        <w:tblInd w:w="628" w:type="dxa"/>
        <w:tblLook w:val="04A0" w:firstRow="1" w:lastRow="0" w:firstColumn="1" w:lastColumn="0" w:noHBand="0" w:noVBand="1"/>
      </w:tblPr>
      <w:tblGrid>
        <w:gridCol w:w="1507"/>
        <w:gridCol w:w="3421"/>
      </w:tblGrid>
      <w:tr w:rsidR="00BD5B7F" w:rsidRPr="00FC42B0" w:rsidTr="000E5961">
        <w:tc>
          <w:tcPr>
            <w:tcW w:w="1507" w:type="dxa"/>
            <w:vAlign w:val="center"/>
            <w:hideMark/>
          </w:tcPr>
          <w:p w:rsidR="00BD5B7F" w:rsidRPr="00FF6562" w:rsidRDefault="00BD5B7F" w:rsidP="000E5961">
            <w:pPr>
              <w:jc w:val="center"/>
              <w:rPr>
                <w:rFonts w:ascii="Arial" w:eastAsia="Calibri" w:hAnsi="Arial" w:cs="Arial"/>
                <w:color w:val="000000"/>
                <w:sz w:val="18"/>
                <w:szCs w:val="22"/>
              </w:rPr>
            </w:pPr>
            <w:r w:rsidRPr="00FF6562">
              <w:rPr>
                <w:rFonts w:ascii="Arial" w:eastAsia="Calibri" w:hAnsi="Arial" w:cs="Arial"/>
                <w:noProof/>
                <w:color w:val="000000"/>
                <w:sz w:val="18"/>
                <w:szCs w:val="22"/>
                <w:lang w:val="fr-FR" w:eastAsia="fr-FR"/>
              </w:rPr>
              <w:drawing>
                <wp:inline distT="0" distB="0" distL="0" distR="0" wp14:anchorId="45E3553F" wp14:editId="3D4A2E20">
                  <wp:extent cx="438150" cy="352425"/>
                  <wp:effectExtent l="0" t="0" r="0" b="9525"/>
                  <wp:docPr id="6" name="Picture 6" descr="deadbi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eadbird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150" cy="352425"/>
                          </a:xfrm>
                          <a:prstGeom prst="rect">
                            <a:avLst/>
                          </a:prstGeom>
                          <a:noFill/>
                          <a:ln>
                            <a:noFill/>
                          </a:ln>
                        </pic:spPr>
                      </pic:pic>
                    </a:graphicData>
                  </a:graphic>
                </wp:inline>
              </w:drawing>
            </w:r>
          </w:p>
        </w:tc>
        <w:tc>
          <w:tcPr>
            <w:tcW w:w="3421" w:type="dxa"/>
            <w:vAlign w:val="center"/>
            <w:hideMark/>
          </w:tcPr>
          <w:p w:rsidR="00BD5B7F" w:rsidRPr="00865DA5" w:rsidRDefault="00BD5B7F" w:rsidP="000E5961">
            <w:pPr>
              <w:rPr>
                <w:rFonts w:ascii="Arial" w:eastAsia="Calibri" w:hAnsi="Arial" w:cs="Arial"/>
                <w:color w:val="000000"/>
                <w:sz w:val="18"/>
                <w:szCs w:val="22"/>
                <w:lang w:val="fr-FR"/>
              </w:rPr>
            </w:pPr>
            <w:r w:rsidRPr="00865DA5">
              <w:rPr>
                <w:rFonts w:ascii="Arial" w:eastAsia="Arial" w:hAnsi="Arial" w:cs="Arial"/>
                <w:color w:val="000000"/>
                <w:sz w:val="18"/>
                <w:szCs w:val="22"/>
                <w:bdr w:val="none" w:sz="0" w:space="0" w:color="auto" w:frame="1"/>
                <w:lang w:val="fr-FR"/>
              </w:rPr>
              <w:t>Le problème de l’IKB nécessite toujours un effort important</w:t>
            </w:r>
          </w:p>
        </w:tc>
      </w:tr>
      <w:tr w:rsidR="00BD5B7F" w:rsidRPr="00FC42B0" w:rsidTr="000E5961">
        <w:tc>
          <w:tcPr>
            <w:tcW w:w="1507" w:type="dxa"/>
            <w:vAlign w:val="center"/>
            <w:hideMark/>
          </w:tcPr>
          <w:p w:rsidR="00BD5B7F" w:rsidRPr="00FF6562" w:rsidRDefault="00BD5B7F" w:rsidP="000E5961">
            <w:pPr>
              <w:jc w:val="center"/>
              <w:rPr>
                <w:rFonts w:ascii="Arial" w:eastAsia="Calibri" w:hAnsi="Arial" w:cs="Arial"/>
                <w:color w:val="000000"/>
                <w:sz w:val="18"/>
                <w:szCs w:val="22"/>
              </w:rPr>
            </w:pPr>
            <w:r w:rsidRPr="00FF6562">
              <w:rPr>
                <w:rFonts w:ascii="Arial" w:eastAsia="Calibri" w:hAnsi="Arial" w:cs="Arial"/>
                <w:noProof/>
                <w:color w:val="000000"/>
                <w:sz w:val="18"/>
                <w:szCs w:val="22"/>
                <w:lang w:val="fr-FR" w:eastAsia="fr-FR"/>
              </w:rPr>
              <w:drawing>
                <wp:inline distT="0" distB="0" distL="0" distR="0" wp14:anchorId="19D4C35C" wp14:editId="12576536">
                  <wp:extent cx="361950" cy="409575"/>
                  <wp:effectExtent l="0" t="0" r="0" b="9525"/>
                  <wp:docPr id="10" name="Picture 5" descr="Bird perched rever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Bird perched reversed.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inline>
              </w:drawing>
            </w:r>
          </w:p>
        </w:tc>
        <w:tc>
          <w:tcPr>
            <w:tcW w:w="3421" w:type="dxa"/>
            <w:vAlign w:val="center"/>
            <w:hideMark/>
          </w:tcPr>
          <w:p w:rsidR="00BD5B7F" w:rsidRPr="00865DA5" w:rsidRDefault="00BD5B7F" w:rsidP="000E5961">
            <w:pPr>
              <w:rPr>
                <w:rFonts w:ascii="Arial" w:eastAsia="Calibri" w:hAnsi="Arial" w:cs="Arial"/>
                <w:color w:val="000000"/>
                <w:sz w:val="18"/>
                <w:szCs w:val="22"/>
                <w:lang w:val="fr-FR"/>
              </w:rPr>
            </w:pPr>
            <w:r w:rsidRPr="00865DA5">
              <w:rPr>
                <w:rFonts w:ascii="Arial" w:eastAsia="Arial" w:hAnsi="Arial" w:cs="Arial"/>
                <w:color w:val="000000"/>
                <w:sz w:val="18"/>
                <w:szCs w:val="22"/>
                <w:bdr w:val="none" w:sz="0" w:space="0" w:color="auto" w:frame="1"/>
                <w:lang w:val="fr-FR"/>
              </w:rPr>
              <w:t xml:space="preserve">Le problème de l’IKB nécessite davantage d’efforts </w:t>
            </w:r>
          </w:p>
        </w:tc>
      </w:tr>
      <w:tr w:rsidR="00BD5B7F" w:rsidRPr="00FC42B0" w:rsidTr="000E5961">
        <w:tc>
          <w:tcPr>
            <w:tcW w:w="1507" w:type="dxa"/>
            <w:vAlign w:val="center"/>
            <w:hideMark/>
          </w:tcPr>
          <w:p w:rsidR="00BD5B7F" w:rsidRPr="00FF6562" w:rsidRDefault="00BD5B7F" w:rsidP="000E5961">
            <w:pPr>
              <w:jc w:val="center"/>
              <w:rPr>
                <w:rFonts w:ascii="Arial" w:eastAsia="Calibri" w:hAnsi="Arial" w:cs="Arial"/>
                <w:color w:val="000000"/>
                <w:sz w:val="18"/>
                <w:szCs w:val="22"/>
              </w:rPr>
            </w:pPr>
            <w:r w:rsidRPr="00FF6562">
              <w:rPr>
                <w:rFonts w:ascii="Arial" w:eastAsia="Calibri" w:hAnsi="Arial" w:cs="Arial"/>
                <w:noProof/>
                <w:color w:val="000000"/>
                <w:sz w:val="18"/>
                <w:szCs w:val="22"/>
                <w:lang w:val="fr-FR" w:eastAsia="fr-FR"/>
              </w:rPr>
              <w:lastRenderedPageBreak/>
              <w:drawing>
                <wp:inline distT="0" distB="0" distL="0" distR="0" wp14:anchorId="3743ADB6" wp14:editId="3A6BE853">
                  <wp:extent cx="457200" cy="390525"/>
                  <wp:effectExtent l="0" t="0" r="0" b="9525"/>
                  <wp:docPr id="12" name="Picture 4" descr="bird f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bird flying.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c>
          <w:tcPr>
            <w:tcW w:w="3421" w:type="dxa"/>
            <w:vAlign w:val="center"/>
            <w:hideMark/>
          </w:tcPr>
          <w:p w:rsidR="00BD5B7F" w:rsidRPr="00865DA5" w:rsidRDefault="00BD5B7F" w:rsidP="000E5961">
            <w:pPr>
              <w:rPr>
                <w:rFonts w:ascii="Arial" w:eastAsia="Calibri" w:hAnsi="Arial" w:cs="Arial"/>
                <w:color w:val="000000"/>
                <w:sz w:val="18"/>
                <w:szCs w:val="22"/>
                <w:lang w:val="fr-FR"/>
              </w:rPr>
            </w:pPr>
            <w:r w:rsidRPr="00865DA5">
              <w:rPr>
                <w:rFonts w:ascii="Arial" w:eastAsia="Arial" w:hAnsi="Arial" w:cs="Arial"/>
                <w:color w:val="000000"/>
                <w:sz w:val="18"/>
                <w:szCs w:val="22"/>
                <w:bdr w:val="none" w:sz="0" w:space="0" w:color="auto" w:frame="1"/>
                <w:lang w:val="fr-FR"/>
              </w:rPr>
              <w:t>Le problème de l’IKB est en grande partie traité</w:t>
            </w:r>
          </w:p>
        </w:tc>
      </w:tr>
    </w:tbl>
    <w:p w:rsidR="00BD5B7F" w:rsidRPr="00865DA5" w:rsidRDefault="00BD5B7F" w:rsidP="00BD5B7F">
      <w:pPr>
        <w:rPr>
          <w:rFonts w:ascii="Arial" w:eastAsia="Calibri" w:hAnsi="Arial" w:cs="Arial"/>
          <w:color w:val="4F81BD"/>
          <w:sz w:val="30"/>
          <w:szCs w:val="26"/>
          <w:highlight w:val="green"/>
          <w:lang w:val="fr-FR"/>
        </w:rPr>
      </w:pPr>
      <w:r w:rsidRPr="00865DA5">
        <w:rPr>
          <w:rFonts w:ascii="Arial" w:eastAsia="Calibri" w:hAnsi="Arial" w:cs="Arial"/>
          <w:color w:val="4F81BD"/>
          <w:sz w:val="30"/>
          <w:szCs w:val="26"/>
          <w:highlight w:val="green"/>
          <w:lang w:val="fr-FR"/>
        </w:rPr>
        <w:br w:type="page"/>
      </w:r>
    </w:p>
    <w:p w:rsidR="00BD5B7F" w:rsidRPr="00865DA5" w:rsidRDefault="00BD5B7F" w:rsidP="00BD5B7F">
      <w:pPr>
        <w:rPr>
          <w:rFonts w:ascii="Arial" w:eastAsia="Calibri" w:hAnsi="Arial" w:cs="Arial"/>
          <w:color w:val="4F81BD"/>
          <w:sz w:val="30"/>
          <w:szCs w:val="26"/>
          <w:highlight w:val="green"/>
          <w:lang w:val="fr-FR"/>
        </w:rPr>
      </w:pPr>
    </w:p>
    <w:p w:rsidR="00BD5B7F" w:rsidRPr="00865DA5" w:rsidRDefault="00BD5B7F" w:rsidP="00BD5B7F">
      <w:pPr>
        <w:rPr>
          <w:rFonts w:ascii="Arial" w:eastAsia="Calibri" w:hAnsi="Arial" w:cs="Arial"/>
          <w:color w:val="000000"/>
          <w:sz w:val="22"/>
          <w:szCs w:val="22"/>
          <w:lang w:val="fr-FR"/>
        </w:rPr>
      </w:pPr>
    </w:p>
    <w:p w:rsidR="00BD5B7F" w:rsidRPr="00865DA5" w:rsidRDefault="00BD5B7F" w:rsidP="00BD5B7F">
      <w:pPr>
        <w:jc w:val="center"/>
        <w:rPr>
          <w:rFonts w:ascii="Arial" w:eastAsia="Calibri" w:hAnsi="Arial" w:cs="Arial"/>
          <w:color w:val="000000"/>
          <w:sz w:val="22"/>
          <w:szCs w:val="22"/>
          <w:lang w:val="fr-FR"/>
        </w:rPr>
      </w:pPr>
      <w:r w:rsidRPr="00FF6562">
        <w:rPr>
          <w:rFonts w:ascii="Arial" w:eastAsia="Calibri" w:hAnsi="Arial" w:cs="Arial"/>
          <w:noProof/>
          <w:color w:val="000000"/>
          <w:sz w:val="22"/>
          <w:szCs w:val="22"/>
          <w:lang w:val="fr-FR" w:eastAsia="fr-FR"/>
        </w:rPr>
        <w:drawing>
          <wp:inline distT="0" distB="0" distL="0" distR="0" wp14:anchorId="16873F94" wp14:editId="5D9EC763">
            <wp:extent cx="1457325" cy="1104900"/>
            <wp:effectExtent l="0" t="0" r="9525" b="0"/>
            <wp:docPr id="13" name="Picture 3" descr="Berner Kon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erner Konventio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57325" cy="1104900"/>
                    </a:xfrm>
                    <a:prstGeom prst="rect">
                      <a:avLst/>
                    </a:prstGeom>
                    <a:noFill/>
                    <a:ln>
                      <a:noFill/>
                    </a:ln>
                  </pic:spPr>
                </pic:pic>
              </a:graphicData>
            </a:graphic>
          </wp:inline>
        </w:drawing>
      </w:r>
      <w:r w:rsidRPr="00865DA5">
        <w:rPr>
          <w:rFonts w:ascii="Arial" w:eastAsia="Calibri" w:hAnsi="Arial" w:cs="Arial"/>
          <w:color w:val="000000"/>
          <w:sz w:val="22"/>
          <w:szCs w:val="22"/>
          <w:lang w:val="fr-FR"/>
        </w:rPr>
        <w:t xml:space="preserve"> </w:t>
      </w:r>
      <w:r w:rsidRPr="00FF6562">
        <w:rPr>
          <w:rFonts w:ascii="Arial" w:eastAsia="Calibri" w:hAnsi="Arial" w:cs="Arial"/>
          <w:noProof/>
          <w:color w:val="000000"/>
          <w:sz w:val="22"/>
          <w:szCs w:val="22"/>
          <w:lang w:val="fr-FR" w:eastAsia="fr-FR"/>
        </w:rPr>
        <w:drawing>
          <wp:inline distT="0" distB="0" distL="0" distR="0" wp14:anchorId="2F540AC4" wp14:editId="462DC6F6">
            <wp:extent cx="1190625" cy="1190625"/>
            <wp:effectExtent l="0" t="0" r="9525" b="9525"/>
            <wp:docPr id="14" name="Picture 2" descr="CM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MS-logo.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sidRPr="00865DA5">
        <w:rPr>
          <w:rFonts w:ascii="Arial" w:eastAsia="Calibri" w:hAnsi="Arial" w:cs="Arial"/>
          <w:color w:val="000000"/>
          <w:sz w:val="22"/>
          <w:szCs w:val="22"/>
          <w:lang w:val="fr-FR"/>
        </w:rPr>
        <w:t xml:space="preserve"> </w:t>
      </w:r>
      <w:r w:rsidRPr="00FF6562">
        <w:rPr>
          <w:rFonts w:ascii="Arial" w:eastAsia="Calibri" w:hAnsi="Arial" w:cs="Arial"/>
          <w:noProof/>
          <w:color w:val="000000"/>
          <w:sz w:val="22"/>
          <w:szCs w:val="22"/>
          <w:lang w:val="fr-FR" w:eastAsia="fr-FR"/>
        </w:rPr>
        <w:drawing>
          <wp:inline distT="0" distB="0" distL="0" distR="0" wp14:anchorId="6536A953" wp14:editId="7D0ACCCF">
            <wp:extent cx="1914525" cy="1104900"/>
            <wp:effectExtent l="0" t="0" r="9525" b="0"/>
            <wp:docPr id="15" name="Picture 1" descr="mikt-logo_high-re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mikt-logo_high-res_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p w:rsidR="00BD5B7F" w:rsidRPr="00865DA5" w:rsidRDefault="00BD5B7F" w:rsidP="00BD5B7F">
      <w:pPr>
        <w:rPr>
          <w:rFonts w:ascii="Arial" w:eastAsia="Calibri" w:hAnsi="Arial" w:cs="Arial"/>
          <w:color w:val="000000"/>
          <w:sz w:val="22"/>
          <w:szCs w:val="22"/>
          <w:lang w:val="fr-FR"/>
        </w:rPr>
      </w:pPr>
    </w:p>
    <w:p w:rsidR="00BD5B7F" w:rsidRPr="00865DA5" w:rsidRDefault="00BD5B7F" w:rsidP="00BD5B7F">
      <w:pPr>
        <w:rPr>
          <w:rFonts w:ascii="Arial" w:eastAsia="Calibri" w:hAnsi="Arial" w:cs="Arial"/>
          <w:color w:val="000000"/>
          <w:sz w:val="22"/>
          <w:szCs w:val="22"/>
          <w:lang w:val="fr-FR"/>
        </w:rPr>
      </w:pPr>
    </w:p>
    <w:p w:rsidR="00BD5B7F" w:rsidRPr="00865DA5" w:rsidRDefault="00BD5B7F" w:rsidP="00BD5B7F">
      <w:pPr>
        <w:keepNext/>
        <w:keepLines/>
        <w:jc w:val="center"/>
        <w:outlineLvl w:val="0"/>
        <w:rPr>
          <w:rFonts w:ascii="Arial" w:hAnsi="Arial" w:cs="Arial"/>
          <w:b/>
          <w:sz w:val="28"/>
          <w:szCs w:val="32"/>
          <w:lang w:val="fr-FR"/>
        </w:rPr>
      </w:pPr>
      <w:bookmarkStart w:id="32" w:name="_Toc491245233"/>
      <w:bookmarkStart w:id="33" w:name="_Toc491245056"/>
      <w:r w:rsidRPr="00865DA5">
        <w:rPr>
          <w:rFonts w:ascii="Arial" w:eastAsia="Arial" w:hAnsi="Arial" w:cs="Arial"/>
          <w:b/>
          <w:bCs/>
          <w:sz w:val="28"/>
          <w:szCs w:val="28"/>
          <w:bdr w:val="none" w:sz="0" w:space="0" w:color="auto" w:frame="1"/>
          <w:lang w:val="fr-FR"/>
        </w:rPr>
        <w:t>Tableau de bord IKB</w:t>
      </w:r>
      <w:bookmarkEnd w:id="32"/>
      <w:bookmarkEnd w:id="33"/>
    </w:p>
    <w:p w:rsidR="00BD5B7F" w:rsidRPr="00865DA5" w:rsidRDefault="00BD5B7F" w:rsidP="00BD5B7F">
      <w:pPr>
        <w:jc w:val="center"/>
        <w:rPr>
          <w:rFonts w:ascii="Arial" w:eastAsia="Calibri" w:hAnsi="Arial" w:cs="Arial"/>
          <w:color w:val="000000"/>
          <w:sz w:val="22"/>
          <w:szCs w:val="22"/>
          <w:lang w:val="fr-FR"/>
        </w:rPr>
      </w:pPr>
    </w:p>
    <w:p w:rsidR="00BD5B7F" w:rsidRPr="00865DA5" w:rsidRDefault="00BD5B7F" w:rsidP="00BD5B7F">
      <w:pPr>
        <w:jc w:val="center"/>
        <w:rPr>
          <w:rFonts w:ascii="Arial" w:eastAsia="Calibri" w:hAnsi="Arial" w:cs="Arial"/>
          <w:b/>
          <w:color w:val="548DD4"/>
          <w:sz w:val="38"/>
          <w:szCs w:val="22"/>
          <w:lang w:val="fr-FR"/>
        </w:rPr>
      </w:pPr>
      <w:bookmarkStart w:id="34" w:name="_Toc477191908"/>
      <w:r w:rsidRPr="00865DA5">
        <w:rPr>
          <w:rFonts w:ascii="Arial" w:eastAsia="Arial" w:hAnsi="Arial" w:cs="Arial"/>
          <w:b/>
          <w:bCs/>
          <w:color w:val="548DD4"/>
          <w:sz w:val="38"/>
          <w:szCs w:val="38"/>
          <w:bdr w:val="none" w:sz="0" w:space="0" w:color="auto" w:frame="1"/>
          <w:lang w:val="fr-FR"/>
        </w:rPr>
        <w:t>Modèle d’évaluation</w:t>
      </w:r>
      <w:bookmarkEnd w:id="34"/>
      <w:r w:rsidRPr="00FF6562">
        <w:rPr>
          <w:rFonts w:ascii="Arial" w:eastAsia="Calibri" w:hAnsi="Arial" w:cs="Arial"/>
          <w:color w:val="548DD4"/>
          <w:sz w:val="28"/>
          <w:szCs w:val="22"/>
          <w:vertAlign w:val="superscript"/>
        </w:rPr>
        <w:footnoteReference w:id="7"/>
      </w:r>
    </w:p>
    <w:p w:rsidR="00BD5B7F" w:rsidRPr="00865DA5" w:rsidRDefault="00BD5B7F" w:rsidP="00BD5B7F">
      <w:pPr>
        <w:jc w:val="center"/>
        <w:rPr>
          <w:rFonts w:ascii="Arial" w:eastAsia="Calibri" w:hAnsi="Arial" w:cs="Arial"/>
          <w:color w:val="000000"/>
          <w:sz w:val="22"/>
          <w:szCs w:val="22"/>
          <w:lang w:val="fr-FR"/>
        </w:rPr>
      </w:pPr>
    </w:p>
    <w:p w:rsidR="00BD5B7F" w:rsidRPr="00865DA5" w:rsidRDefault="00BD5B7F" w:rsidP="00BD5B7F">
      <w:pPr>
        <w:jc w:val="center"/>
        <w:rPr>
          <w:rFonts w:ascii="Arial" w:eastAsia="Calibri" w:hAnsi="Arial" w:cs="Arial"/>
          <w:color w:val="000000"/>
          <w:sz w:val="22"/>
          <w:szCs w:val="22"/>
          <w:lang w:val="fr-FR"/>
        </w:rPr>
      </w:pPr>
    </w:p>
    <w:p w:rsidR="00BD5B7F" w:rsidRPr="00865DA5" w:rsidRDefault="00BD5B7F" w:rsidP="00BD5B7F">
      <w:pPr>
        <w:jc w:val="center"/>
        <w:rPr>
          <w:rFonts w:ascii="Arial" w:eastAsia="Calibri" w:hAnsi="Arial" w:cs="Arial"/>
          <w:color w:val="000000"/>
          <w:sz w:val="22"/>
          <w:szCs w:val="22"/>
          <w:lang w:val="fr-FR"/>
        </w:rPr>
      </w:pPr>
    </w:p>
    <w:tbl>
      <w:tblPr>
        <w:tblW w:w="0" w:type="auto"/>
        <w:jc w:val="center"/>
        <w:tblBorders>
          <w:insideH w:val="single" w:sz="4" w:space="0" w:color="FFFFFF"/>
        </w:tblBorders>
        <w:tblLook w:val="04A0" w:firstRow="1" w:lastRow="0" w:firstColumn="1" w:lastColumn="0" w:noHBand="0" w:noVBand="1"/>
      </w:tblPr>
      <w:tblGrid>
        <w:gridCol w:w="2869"/>
        <w:gridCol w:w="6417"/>
      </w:tblGrid>
      <w:tr w:rsidR="00BD5B7F" w:rsidRPr="00FC42B0" w:rsidTr="000E5961">
        <w:trPr>
          <w:jc w:val="center"/>
        </w:trPr>
        <w:tc>
          <w:tcPr>
            <w:tcW w:w="2943" w:type="dxa"/>
            <w:tcBorders>
              <w:top w:val="nil"/>
              <w:left w:val="nil"/>
              <w:bottom w:val="single" w:sz="4" w:space="0" w:color="FFFFFF"/>
              <w:right w:val="nil"/>
            </w:tcBorders>
            <w:shd w:val="clear" w:color="auto" w:fill="B8CCE4" w:themeFill="accent1" w:themeFillTint="66"/>
          </w:tcPr>
          <w:p w:rsidR="00BD5B7F" w:rsidRPr="00865DA5" w:rsidRDefault="00BD5B7F" w:rsidP="000E5961">
            <w:pPr>
              <w:rPr>
                <w:rFonts w:ascii="Arial" w:eastAsia="Calibri" w:hAnsi="Arial" w:cs="Arial"/>
                <w:b/>
                <w:bCs/>
                <w:color w:val="FFFFFF"/>
                <w:sz w:val="16"/>
                <w:szCs w:val="16"/>
                <w:lang w:val="fr-FR"/>
              </w:rPr>
            </w:pPr>
          </w:p>
        </w:tc>
        <w:tc>
          <w:tcPr>
            <w:tcW w:w="6835" w:type="dxa"/>
            <w:tcBorders>
              <w:top w:val="nil"/>
              <w:left w:val="nil"/>
              <w:bottom w:val="single" w:sz="4" w:space="0" w:color="FFFFFF"/>
              <w:right w:val="nil"/>
            </w:tcBorders>
            <w:shd w:val="clear" w:color="auto" w:fill="B8CCE4" w:themeFill="accent1" w:themeFillTint="66"/>
          </w:tcPr>
          <w:p w:rsidR="00BD5B7F" w:rsidRPr="00865DA5" w:rsidRDefault="00BD5B7F" w:rsidP="000E5961">
            <w:pPr>
              <w:rPr>
                <w:rFonts w:ascii="Arial" w:eastAsia="Calibri" w:hAnsi="Arial" w:cs="Arial"/>
                <w:b/>
                <w:bCs/>
                <w:color w:val="000000"/>
                <w:sz w:val="4"/>
                <w:szCs w:val="4"/>
                <w:lang w:val="fr-FR"/>
              </w:rPr>
            </w:pPr>
          </w:p>
        </w:tc>
      </w:tr>
      <w:tr w:rsidR="00BD5B7F" w:rsidRPr="00FF6562" w:rsidTr="000E5961">
        <w:trPr>
          <w:jc w:val="center"/>
        </w:trPr>
        <w:tc>
          <w:tcPr>
            <w:tcW w:w="2943" w:type="dxa"/>
            <w:tcBorders>
              <w:top w:val="single" w:sz="4" w:space="0" w:color="FFFFFF"/>
              <w:left w:val="nil"/>
              <w:bottom w:val="single" w:sz="4" w:space="0" w:color="FFFFFF"/>
              <w:right w:val="nil"/>
            </w:tcBorders>
            <w:shd w:val="clear" w:color="auto" w:fill="244061" w:themeFill="accent1" w:themeFillShade="80"/>
            <w:hideMark/>
          </w:tcPr>
          <w:p w:rsidR="00BD5B7F" w:rsidRPr="00FF6562" w:rsidRDefault="00BD5B7F" w:rsidP="000E5961">
            <w:pPr>
              <w:rPr>
                <w:rFonts w:ascii="Arial" w:eastAsia="Calibri" w:hAnsi="Arial" w:cs="Arial"/>
                <w:color w:val="FFFFFF"/>
                <w:sz w:val="26"/>
                <w:szCs w:val="26"/>
              </w:rPr>
            </w:pPr>
            <w:r w:rsidRPr="00FF6562">
              <w:rPr>
                <w:rFonts w:ascii="Arial" w:eastAsia="Arial" w:hAnsi="Arial" w:cs="Arial"/>
                <w:color w:val="FFFFFF"/>
                <w:sz w:val="26"/>
                <w:szCs w:val="26"/>
                <w:bdr w:val="none" w:sz="0" w:space="0" w:color="auto" w:frame="1"/>
              </w:rPr>
              <w:t>Pays</w:t>
            </w:r>
          </w:p>
        </w:tc>
        <w:tc>
          <w:tcPr>
            <w:tcW w:w="6835" w:type="dxa"/>
            <w:tcBorders>
              <w:top w:val="single" w:sz="4" w:space="0" w:color="FFFFFF"/>
              <w:left w:val="nil"/>
              <w:bottom w:val="single" w:sz="4" w:space="0" w:color="FFFFFF"/>
              <w:right w:val="nil"/>
            </w:tcBorders>
            <w:shd w:val="clear" w:color="auto" w:fill="92CDDC" w:themeFill="accent5" w:themeFillTint="99"/>
          </w:tcPr>
          <w:p w:rsidR="00BD5B7F" w:rsidRPr="00FF6562" w:rsidRDefault="00BD5B7F" w:rsidP="000E5961">
            <w:pPr>
              <w:rPr>
                <w:rFonts w:ascii="Arial" w:eastAsia="Calibri" w:hAnsi="Arial" w:cs="Arial"/>
                <w:color w:val="000000"/>
                <w:sz w:val="22"/>
                <w:szCs w:val="22"/>
              </w:rPr>
            </w:pPr>
          </w:p>
        </w:tc>
      </w:tr>
      <w:tr w:rsidR="00BD5B7F" w:rsidRPr="00FF6562" w:rsidTr="000E5961">
        <w:trPr>
          <w:jc w:val="center"/>
        </w:trPr>
        <w:tc>
          <w:tcPr>
            <w:tcW w:w="2943" w:type="dxa"/>
            <w:tcBorders>
              <w:top w:val="single" w:sz="4" w:space="0" w:color="FFFFFF"/>
              <w:left w:val="nil"/>
              <w:bottom w:val="single" w:sz="4" w:space="0" w:color="FFFFFF"/>
              <w:right w:val="nil"/>
            </w:tcBorders>
            <w:shd w:val="clear" w:color="auto" w:fill="244061" w:themeFill="accent1" w:themeFillShade="80"/>
            <w:hideMark/>
          </w:tcPr>
          <w:p w:rsidR="00BD5B7F" w:rsidRPr="00FF6562" w:rsidRDefault="00BD5B7F" w:rsidP="000E5961">
            <w:pPr>
              <w:rPr>
                <w:rFonts w:ascii="Arial" w:eastAsia="Calibri" w:hAnsi="Arial" w:cs="Arial"/>
                <w:color w:val="FFFFFF"/>
                <w:sz w:val="26"/>
                <w:szCs w:val="26"/>
              </w:rPr>
            </w:pPr>
            <w:r w:rsidRPr="00FF6562">
              <w:rPr>
                <w:rFonts w:ascii="Arial" w:eastAsia="Arial" w:hAnsi="Arial" w:cs="Arial"/>
                <w:color w:val="FFFFFF"/>
                <w:sz w:val="26"/>
                <w:szCs w:val="26"/>
                <w:bdr w:val="none" w:sz="0" w:space="0" w:color="auto" w:frame="1"/>
              </w:rPr>
              <w:t>Date de l’évaluation</w:t>
            </w:r>
          </w:p>
        </w:tc>
        <w:tc>
          <w:tcPr>
            <w:tcW w:w="6835" w:type="dxa"/>
            <w:tcBorders>
              <w:top w:val="single" w:sz="4" w:space="0" w:color="FFFFFF"/>
              <w:left w:val="nil"/>
              <w:bottom w:val="single" w:sz="4" w:space="0" w:color="FFFFFF"/>
              <w:right w:val="nil"/>
            </w:tcBorders>
            <w:shd w:val="clear" w:color="auto" w:fill="B8CCE4" w:themeFill="accent1" w:themeFillTint="66"/>
          </w:tcPr>
          <w:p w:rsidR="00BD5B7F" w:rsidRPr="00FF6562" w:rsidRDefault="00BD5B7F" w:rsidP="000E5961">
            <w:pPr>
              <w:rPr>
                <w:rFonts w:ascii="Arial" w:eastAsia="Calibri" w:hAnsi="Arial" w:cs="Arial"/>
                <w:color w:val="000000"/>
                <w:sz w:val="22"/>
                <w:szCs w:val="22"/>
              </w:rPr>
            </w:pPr>
          </w:p>
        </w:tc>
      </w:tr>
      <w:tr w:rsidR="00BD5B7F" w:rsidRPr="00FF6562" w:rsidTr="000E5961">
        <w:trPr>
          <w:jc w:val="center"/>
        </w:trPr>
        <w:tc>
          <w:tcPr>
            <w:tcW w:w="2943" w:type="dxa"/>
            <w:tcBorders>
              <w:top w:val="single" w:sz="4" w:space="0" w:color="FFFFFF"/>
              <w:left w:val="nil"/>
              <w:bottom w:val="single" w:sz="4" w:space="0" w:color="FFFFFF"/>
              <w:right w:val="nil"/>
            </w:tcBorders>
            <w:shd w:val="clear" w:color="auto" w:fill="244061" w:themeFill="accent1" w:themeFillShade="80"/>
            <w:hideMark/>
          </w:tcPr>
          <w:p w:rsidR="00BD5B7F" w:rsidRPr="00FF6562" w:rsidRDefault="00BD5B7F" w:rsidP="000E5961">
            <w:pPr>
              <w:rPr>
                <w:rFonts w:ascii="Arial" w:eastAsia="Calibri" w:hAnsi="Arial" w:cs="Arial"/>
                <w:color w:val="FFFFFF"/>
                <w:sz w:val="26"/>
                <w:szCs w:val="26"/>
              </w:rPr>
            </w:pPr>
            <w:r w:rsidRPr="00FF6562">
              <w:rPr>
                <w:rFonts w:ascii="Arial" w:eastAsia="Arial" w:hAnsi="Arial" w:cs="Arial"/>
                <w:color w:val="FFFFFF"/>
                <w:sz w:val="26"/>
                <w:szCs w:val="26"/>
                <w:bdr w:val="none" w:sz="0" w:space="0" w:color="auto" w:frame="1"/>
              </w:rPr>
              <w:t>Période de rapport </w:t>
            </w:r>
          </w:p>
        </w:tc>
        <w:tc>
          <w:tcPr>
            <w:tcW w:w="6835" w:type="dxa"/>
            <w:tcBorders>
              <w:top w:val="single" w:sz="4" w:space="0" w:color="FFFFFF"/>
              <w:left w:val="nil"/>
              <w:bottom w:val="single" w:sz="4" w:space="0" w:color="FFFFFF"/>
              <w:right w:val="nil"/>
            </w:tcBorders>
            <w:shd w:val="clear" w:color="auto" w:fill="92CDDC" w:themeFill="accent5" w:themeFillTint="99"/>
          </w:tcPr>
          <w:p w:rsidR="00BD5B7F" w:rsidRPr="00FF6562" w:rsidRDefault="00BD5B7F" w:rsidP="000E5961">
            <w:pPr>
              <w:rPr>
                <w:rFonts w:ascii="Arial" w:eastAsia="Calibri" w:hAnsi="Arial" w:cs="Arial"/>
                <w:color w:val="000000"/>
                <w:sz w:val="22"/>
                <w:szCs w:val="22"/>
              </w:rPr>
            </w:pPr>
          </w:p>
        </w:tc>
      </w:tr>
      <w:tr w:rsidR="00BD5B7F" w:rsidRPr="00FF6562" w:rsidTr="000E5961">
        <w:trPr>
          <w:jc w:val="center"/>
        </w:trPr>
        <w:tc>
          <w:tcPr>
            <w:tcW w:w="2943" w:type="dxa"/>
            <w:tcBorders>
              <w:top w:val="single" w:sz="4" w:space="0" w:color="FFFFFF"/>
              <w:left w:val="nil"/>
              <w:bottom w:val="single" w:sz="4" w:space="0" w:color="FFFFFF"/>
              <w:right w:val="nil"/>
            </w:tcBorders>
            <w:shd w:val="clear" w:color="auto" w:fill="244061" w:themeFill="accent1" w:themeFillShade="80"/>
            <w:hideMark/>
          </w:tcPr>
          <w:p w:rsidR="00BD5B7F" w:rsidRPr="00FF6562" w:rsidRDefault="00BD5B7F" w:rsidP="000E5961">
            <w:pPr>
              <w:rPr>
                <w:rFonts w:ascii="Arial" w:eastAsia="Calibri" w:hAnsi="Arial" w:cs="Arial"/>
                <w:color w:val="FFFFFF"/>
                <w:sz w:val="26"/>
                <w:szCs w:val="26"/>
              </w:rPr>
            </w:pPr>
            <w:r w:rsidRPr="00FF6562">
              <w:rPr>
                <w:rFonts w:ascii="Arial" w:eastAsia="Arial" w:hAnsi="Arial" w:cs="Arial"/>
                <w:color w:val="FFFFFF"/>
                <w:sz w:val="26"/>
                <w:szCs w:val="26"/>
                <w:bdr w:val="none" w:sz="0" w:space="0" w:color="auto" w:frame="1"/>
              </w:rPr>
              <w:t>Personne contact</w:t>
            </w:r>
          </w:p>
        </w:tc>
        <w:tc>
          <w:tcPr>
            <w:tcW w:w="6835" w:type="dxa"/>
            <w:tcBorders>
              <w:top w:val="single" w:sz="4" w:space="0" w:color="FFFFFF"/>
              <w:left w:val="nil"/>
              <w:bottom w:val="single" w:sz="4" w:space="0" w:color="FFFFFF"/>
              <w:right w:val="nil"/>
            </w:tcBorders>
            <w:shd w:val="clear" w:color="auto" w:fill="B8CCE4" w:themeFill="accent1" w:themeFillTint="66"/>
          </w:tcPr>
          <w:p w:rsidR="00BD5B7F" w:rsidRPr="00FF6562" w:rsidRDefault="00BD5B7F" w:rsidP="000E5961">
            <w:pPr>
              <w:rPr>
                <w:rFonts w:ascii="Arial" w:eastAsia="Calibri" w:hAnsi="Arial" w:cs="Arial"/>
                <w:color w:val="000000"/>
                <w:sz w:val="22"/>
                <w:szCs w:val="22"/>
              </w:rPr>
            </w:pPr>
          </w:p>
        </w:tc>
      </w:tr>
      <w:tr w:rsidR="00BD5B7F" w:rsidRPr="00FF6562" w:rsidTr="000E5961">
        <w:trPr>
          <w:jc w:val="center"/>
        </w:trPr>
        <w:tc>
          <w:tcPr>
            <w:tcW w:w="2943" w:type="dxa"/>
            <w:tcBorders>
              <w:top w:val="single" w:sz="4" w:space="0" w:color="FFFFFF"/>
              <w:left w:val="nil"/>
              <w:bottom w:val="nil"/>
              <w:right w:val="nil"/>
            </w:tcBorders>
            <w:shd w:val="clear" w:color="auto" w:fill="244061" w:themeFill="accent1" w:themeFillShade="80"/>
          </w:tcPr>
          <w:p w:rsidR="00BD5B7F" w:rsidRPr="00FF6562" w:rsidRDefault="00BD5B7F" w:rsidP="000E5961">
            <w:pPr>
              <w:rPr>
                <w:rFonts w:ascii="Arial" w:eastAsia="Calibri" w:hAnsi="Arial" w:cs="Arial"/>
                <w:color w:val="FFFFFF"/>
                <w:sz w:val="26"/>
                <w:szCs w:val="26"/>
              </w:rPr>
            </w:pPr>
            <w:r w:rsidRPr="00FF6562">
              <w:rPr>
                <w:rFonts w:ascii="Arial" w:eastAsia="Arial" w:hAnsi="Arial" w:cs="Arial"/>
                <w:color w:val="FFFFFF"/>
                <w:sz w:val="26"/>
                <w:szCs w:val="26"/>
                <w:bdr w:val="none" w:sz="0" w:space="0" w:color="auto" w:frame="1"/>
              </w:rPr>
              <w:t>Coordonnées</w:t>
            </w:r>
          </w:p>
          <w:p w:rsidR="00BD5B7F" w:rsidRPr="00FF6562" w:rsidRDefault="00BD5B7F" w:rsidP="000E5961">
            <w:pPr>
              <w:rPr>
                <w:rFonts w:ascii="Arial" w:eastAsia="Calibri" w:hAnsi="Arial" w:cs="Arial"/>
                <w:color w:val="FFFFFF"/>
                <w:sz w:val="28"/>
                <w:szCs w:val="28"/>
              </w:rPr>
            </w:pPr>
          </w:p>
          <w:p w:rsidR="00BD5B7F" w:rsidRPr="00FF6562" w:rsidRDefault="00BD5B7F" w:rsidP="000E5961">
            <w:pPr>
              <w:rPr>
                <w:rFonts w:ascii="Arial" w:eastAsia="Calibri" w:hAnsi="Arial" w:cs="Arial"/>
                <w:color w:val="FFFFFF"/>
                <w:sz w:val="28"/>
                <w:szCs w:val="28"/>
              </w:rPr>
            </w:pPr>
          </w:p>
        </w:tc>
        <w:tc>
          <w:tcPr>
            <w:tcW w:w="6835" w:type="dxa"/>
            <w:tcBorders>
              <w:top w:val="single" w:sz="4" w:space="0" w:color="FFFFFF"/>
              <w:left w:val="nil"/>
              <w:bottom w:val="nil"/>
              <w:right w:val="nil"/>
            </w:tcBorders>
            <w:shd w:val="clear" w:color="auto" w:fill="92CDDC" w:themeFill="accent5" w:themeFillTint="99"/>
          </w:tcPr>
          <w:p w:rsidR="00BD5B7F" w:rsidRPr="00FF6562" w:rsidRDefault="00BD5B7F" w:rsidP="000E5961">
            <w:pPr>
              <w:rPr>
                <w:rFonts w:ascii="Arial" w:eastAsia="Calibri" w:hAnsi="Arial" w:cs="Arial"/>
                <w:color w:val="000000"/>
                <w:sz w:val="22"/>
                <w:szCs w:val="22"/>
              </w:rPr>
            </w:pPr>
          </w:p>
        </w:tc>
      </w:tr>
    </w:tbl>
    <w:p w:rsidR="00BD5B7F" w:rsidRPr="00FF6562" w:rsidRDefault="00BD5B7F" w:rsidP="00BD5B7F">
      <w:pPr>
        <w:rPr>
          <w:rFonts w:ascii="Arial" w:hAnsi="Arial" w:cs="Arial"/>
          <w:b/>
          <w:bCs/>
          <w:color w:val="4F81BD"/>
          <w:sz w:val="32"/>
          <w:szCs w:val="26"/>
        </w:rPr>
      </w:pPr>
      <w:r w:rsidRPr="00FF6562">
        <w:rPr>
          <w:rFonts w:ascii="Arial" w:eastAsia="Calibri" w:hAnsi="Arial" w:cs="Arial"/>
          <w:color w:val="000000"/>
          <w:sz w:val="32"/>
          <w:szCs w:val="22"/>
        </w:rPr>
        <w:br w:type="page"/>
      </w:r>
    </w:p>
    <w:p w:rsidR="00BD5B7F" w:rsidRPr="00865DA5" w:rsidRDefault="00BD5B7F" w:rsidP="00BD5B7F">
      <w:pPr>
        <w:keepNext/>
        <w:keepLines/>
        <w:spacing w:after="120"/>
        <w:outlineLvl w:val="1"/>
        <w:rPr>
          <w:rFonts w:ascii="Arial" w:hAnsi="Arial" w:cs="Arial"/>
          <w:b/>
          <w:color w:val="000000"/>
          <w:sz w:val="30"/>
          <w:szCs w:val="30"/>
          <w:lang w:val="fr-FR"/>
        </w:rPr>
      </w:pPr>
      <w:bookmarkStart w:id="35" w:name="_Toc491245234"/>
      <w:bookmarkStart w:id="36" w:name="_Toc491245057"/>
      <w:bookmarkStart w:id="37" w:name="_Toc486539571"/>
      <w:r w:rsidRPr="00865DA5">
        <w:rPr>
          <w:rFonts w:ascii="Arial" w:eastAsia="Arial" w:hAnsi="Arial" w:cs="Arial"/>
          <w:b/>
          <w:bCs/>
          <w:color w:val="000000"/>
          <w:sz w:val="30"/>
          <w:szCs w:val="30"/>
          <w:bdr w:val="none" w:sz="0" w:space="0" w:color="auto" w:frame="1"/>
          <w:lang w:val="fr-FR"/>
        </w:rPr>
        <w:lastRenderedPageBreak/>
        <w:t>A. Suivi national de l’IKB - Gestion des données sur la portée et l’échelle de l’IKB.</w:t>
      </w:r>
      <w:bookmarkEnd w:id="35"/>
      <w:bookmarkEnd w:id="36"/>
      <w:bookmarkEnd w:id="37"/>
    </w:p>
    <w:p w:rsidR="00BD5B7F" w:rsidRPr="00865DA5" w:rsidRDefault="00BD5B7F" w:rsidP="00BD5B7F">
      <w:pPr>
        <w:keepNext/>
        <w:keepLines/>
        <w:spacing w:after="120"/>
        <w:outlineLvl w:val="3"/>
        <w:rPr>
          <w:rFonts w:ascii="Arial" w:hAnsi="Arial" w:cs="Arial"/>
          <w:b/>
          <w:i/>
          <w:iCs/>
          <w:color w:val="000000"/>
          <w:sz w:val="28"/>
          <w:szCs w:val="22"/>
          <w:lang w:val="fr-FR"/>
        </w:rPr>
      </w:pPr>
      <w:bookmarkStart w:id="38" w:name="_Toc491245235"/>
      <w:bookmarkStart w:id="39" w:name="_Toc486539572"/>
      <w:r w:rsidRPr="00865DA5">
        <w:rPr>
          <w:rFonts w:ascii="Arial" w:eastAsia="Arial" w:hAnsi="Arial" w:cs="Arial"/>
          <w:b/>
          <w:bCs/>
          <w:iCs/>
          <w:color w:val="000000"/>
          <w:sz w:val="28"/>
          <w:szCs w:val="28"/>
          <w:bdr w:val="none" w:sz="0" w:space="0" w:color="auto" w:frame="1"/>
          <w:lang w:val="fr-FR"/>
        </w:rPr>
        <w:t>1. Situation et échelle de l’IKB</w:t>
      </w:r>
      <w:bookmarkEnd w:id="38"/>
      <w:bookmarkEnd w:id="39"/>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Le niveau de disponibilité des données sur les activités illégales à l’échelle nationale.</w:t>
      </w:r>
    </w:p>
    <w:p w:rsidR="00BD5B7F" w:rsidRPr="00865DA5" w:rsidRDefault="00BD5B7F" w:rsidP="00BD5B7F">
      <w:pPr>
        <w:rPr>
          <w:rFonts w:ascii="Arial" w:eastAsia="Calibri" w:hAnsi="Arial" w:cs="Arial"/>
          <w:color w:val="000000"/>
          <w:sz w:val="22"/>
          <w:szCs w:val="22"/>
          <w:lang w:val="fr-FR"/>
        </w:rPr>
      </w:pPr>
    </w:p>
    <w:p w:rsidR="00BD5B7F" w:rsidRPr="00865DA5" w:rsidRDefault="00BD5B7F" w:rsidP="00BD5B7F">
      <w:pPr>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 xml:space="preserve">Question : Quelle est la nature des données nationales sur l’IKB ? </w:t>
      </w:r>
    </w:p>
    <w:p w:rsidR="00BD5B7F" w:rsidRPr="00865DA5" w:rsidRDefault="00BD5B7F" w:rsidP="00BD5B7F">
      <w:pPr>
        <w:rPr>
          <w:rFonts w:ascii="Arial" w:eastAsia="Calibri" w:hAnsi="Arial" w:cs="Arial"/>
          <w:b/>
          <w:bCs/>
          <w:i/>
          <w:iCs/>
          <w:color w:val="000000"/>
          <w:sz w:val="22"/>
          <w:szCs w:val="22"/>
          <w:lang w:val="fr-FR"/>
        </w:rPr>
      </w:pPr>
    </w:p>
    <w:p w:rsidR="00BD5B7F" w:rsidRPr="00FF6562" w:rsidRDefault="00BD5B7F" w:rsidP="00BD5B7F">
      <w:pPr>
        <w:rPr>
          <w:rFonts w:ascii="Arial" w:eastAsia="Calibri" w:hAnsi="Arial" w:cs="Arial"/>
          <w:i/>
          <w:iCs/>
          <w:color w:val="000000"/>
          <w:sz w:val="22"/>
          <w:szCs w:val="22"/>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2264"/>
        <w:gridCol w:w="2284"/>
        <w:gridCol w:w="2275"/>
      </w:tblGrid>
      <w:tr w:rsidR="00BD5B7F" w:rsidRPr="00FF6562" w:rsidTr="000E5961">
        <w:tc>
          <w:tcPr>
            <w:tcW w:w="2246"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26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28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275"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trHeight w:val="2346"/>
        </w:trPr>
        <w:tc>
          <w:tcPr>
            <w:tcW w:w="2246"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 données et informations sur le nombre total d’oiseaux abattus ou prélevés illégalement imputable à l’IKB </w:t>
            </w:r>
            <w:r w:rsidRPr="00865DA5">
              <w:rPr>
                <w:rFonts w:ascii="Arial" w:eastAsia="Arial" w:hAnsi="Arial" w:cs="Arial"/>
                <w:b/>
                <w:bCs/>
                <w:color w:val="000000"/>
                <w:sz w:val="18"/>
                <w:szCs w:val="18"/>
                <w:bdr w:val="none" w:sz="0" w:space="0" w:color="auto" w:frame="1"/>
                <w:lang w:val="fr-FR"/>
              </w:rPr>
              <w:t>ne sont pas disponibles</w:t>
            </w:r>
          </w:p>
        </w:tc>
        <w:tc>
          <w:tcPr>
            <w:tcW w:w="2264" w:type="dxa"/>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 </w:t>
            </w: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L’estimation nationale du nombre d’oiseaux abattus ou prélevés illégalement imputable à l’IKB est basée </w:t>
            </w:r>
            <w:r w:rsidRPr="00865DA5">
              <w:rPr>
                <w:rFonts w:ascii="Arial" w:eastAsia="Arial" w:hAnsi="Arial" w:cs="Arial"/>
                <w:b/>
                <w:bCs/>
                <w:color w:val="000000"/>
                <w:sz w:val="18"/>
                <w:szCs w:val="18"/>
                <w:bdr w:val="none" w:sz="0" w:space="0" w:color="auto" w:frame="1"/>
                <w:lang w:val="fr-FR"/>
              </w:rPr>
              <w:t>sur des avis d’experts</w:t>
            </w:r>
            <w:r w:rsidRPr="00FF6562">
              <w:rPr>
                <w:rFonts w:ascii="Arial" w:eastAsia="Calibri" w:hAnsi="Arial" w:cs="Arial"/>
                <w:color w:val="000000"/>
                <w:sz w:val="18"/>
                <w:szCs w:val="18"/>
                <w:vertAlign w:val="superscript"/>
              </w:rPr>
              <w:footnoteReference w:id="8"/>
            </w:r>
            <w:r w:rsidRPr="00865DA5">
              <w:rPr>
                <w:rFonts w:ascii="Arial" w:eastAsia="Arial" w:hAnsi="Arial" w:cs="Arial"/>
                <w:color w:val="000000"/>
                <w:sz w:val="18"/>
                <w:szCs w:val="18"/>
                <w:bdr w:val="none" w:sz="0" w:space="0" w:color="auto" w:frame="1"/>
                <w:lang w:val="fr-FR"/>
              </w:rPr>
              <w:t xml:space="preserve"> et des informations ponctuelles </w:t>
            </w:r>
          </w:p>
          <w:p w:rsidR="00BD5B7F" w:rsidRPr="00865DA5" w:rsidRDefault="00BD5B7F" w:rsidP="000E5961">
            <w:pPr>
              <w:rPr>
                <w:rFonts w:ascii="Arial" w:eastAsia="Calibri" w:hAnsi="Arial" w:cs="Arial"/>
                <w:color w:val="000000"/>
                <w:sz w:val="18"/>
                <w:szCs w:val="18"/>
                <w:lang w:val="fr-FR"/>
              </w:rPr>
            </w:pPr>
          </w:p>
        </w:tc>
        <w:tc>
          <w:tcPr>
            <w:tcW w:w="2284"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 </w:t>
            </w: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L’estimation nationale du nombre d’oiseaux abattus ou prélevés illégalement imputable à l’IKB est </w:t>
            </w:r>
            <w:r w:rsidRPr="00865DA5">
              <w:rPr>
                <w:rFonts w:ascii="Arial" w:eastAsia="Arial" w:hAnsi="Arial" w:cs="Arial"/>
                <w:b/>
                <w:bCs/>
                <w:color w:val="000000"/>
                <w:sz w:val="18"/>
                <w:szCs w:val="18"/>
                <w:bdr w:val="none" w:sz="0" w:space="0" w:color="auto" w:frame="1"/>
                <w:lang w:val="fr-FR"/>
              </w:rPr>
              <w:t xml:space="preserve">partiellement basée sur des données quantitatives </w:t>
            </w:r>
            <w:r w:rsidRPr="00865DA5">
              <w:rPr>
                <w:rFonts w:ascii="Arial" w:eastAsia="Arial" w:hAnsi="Arial" w:cs="Arial"/>
                <w:color w:val="000000"/>
                <w:sz w:val="18"/>
                <w:szCs w:val="18"/>
                <w:bdr w:val="none" w:sz="0" w:space="0" w:color="auto" w:frame="1"/>
                <w:lang w:val="fr-FR"/>
              </w:rPr>
              <w:t>et des mentions, et partiellement sur des estimations et extrapolations</w:t>
            </w:r>
          </w:p>
        </w:tc>
        <w:tc>
          <w:tcPr>
            <w:tcW w:w="2275" w:type="dxa"/>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 </w:t>
            </w: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L’estimation nationale du nombre d’oiseaux abattus ou prélevés illégalement imputable à l’IKB est </w:t>
            </w:r>
            <w:r w:rsidRPr="00865DA5">
              <w:rPr>
                <w:rFonts w:ascii="Arial" w:eastAsia="Arial" w:hAnsi="Arial" w:cs="Arial"/>
                <w:b/>
                <w:bCs/>
                <w:color w:val="000000"/>
                <w:sz w:val="18"/>
                <w:szCs w:val="18"/>
                <w:bdr w:val="none" w:sz="0" w:space="0" w:color="auto" w:frame="1"/>
                <w:lang w:val="fr-FR"/>
              </w:rPr>
              <w:t xml:space="preserve">largement basée sur des données quantitatives </w:t>
            </w:r>
            <w:r w:rsidRPr="00865DA5">
              <w:rPr>
                <w:rFonts w:ascii="Arial" w:eastAsia="Arial" w:hAnsi="Arial" w:cs="Arial"/>
                <w:color w:val="000000"/>
                <w:sz w:val="18"/>
                <w:szCs w:val="18"/>
                <w:bdr w:val="none" w:sz="0" w:space="0" w:color="auto" w:frame="1"/>
                <w:lang w:val="fr-FR"/>
              </w:rPr>
              <w:t>et des mentions</w:t>
            </w:r>
          </w:p>
          <w:p w:rsidR="00BD5B7F" w:rsidRPr="00865DA5" w:rsidRDefault="00BD5B7F" w:rsidP="000E5961">
            <w:pPr>
              <w:rPr>
                <w:rFonts w:ascii="Arial" w:eastAsia="Calibri" w:hAnsi="Arial" w:cs="Arial"/>
                <w:color w:val="000000"/>
                <w:sz w:val="18"/>
                <w:szCs w:val="18"/>
                <w:lang w:val="fr-FR"/>
              </w:rPr>
            </w:pPr>
          </w:p>
        </w:tc>
      </w:tr>
    </w:tbl>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rPr>
          <w:rFonts w:ascii="Arial" w:eastAsia="Calibri" w:hAnsi="Arial" w:cs="Arial"/>
          <w:color w:val="000000"/>
          <w:sz w:val="22"/>
          <w:szCs w:val="22"/>
          <w:lang w:val="fr-FR"/>
        </w:rPr>
      </w:pPr>
      <w:r w:rsidRPr="00865DA5">
        <w:rPr>
          <w:rFonts w:ascii="Arial" w:eastAsia="Calibri" w:hAnsi="Arial" w:cs="Arial"/>
          <w:color w:val="000000"/>
          <w:sz w:val="22"/>
          <w:szCs w:val="22"/>
          <w:lang w:val="fr-FR"/>
        </w:rPr>
        <w:br w:type="page"/>
      </w:r>
    </w:p>
    <w:p w:rsidR="00BD5B7F" w:rsidRPr="00865DA5" w:rsidRDefault="00BD5B7F" w:rsidP="00BD5B7F">
      <w:pPr>
        <w:keepNext/>
        <w:keepLines/>
        <w:spacing w:after="120"/>
        <w:jc w:val="both"/>
        <w:outlineLvl w:val="3"/>
        <w:rPr>
          <w:rFonts w:ascii="Arial" w:hAnsi="Arial" w:cs="Arial"/>
          <w:b/>
          <w:iCs/>
          <w:color w:val="000000"/>
          <w:sz w:val="28"/>
          <w:szCs w:val="22"/>
          <w:lang w:val="fr-FR"/>
        </w:rPr>
      </w:pPr>
      <w:bookmarkStart w:id="40" w:name="_Toc491245236"/>
      <w:bookmarkStart w:id="41" w:name="_Toc486539573"/>
      <w:r w:rsidRPr="00865DA5">
        <w:rPr>
          <w:rFonts w:ascii="Arial" w:eastAsia="Arial" w:hAnsi="Arial" w:cs="Arial"/>
          <w:b/>
          <w:bCs/>
          <w:iCs/>
          <w:color w:val="000000"/>
          <w:sz w:val="28"/>
          <w:szCs w:val="28"/>
          <w:bdr w:val="none" w:sz="0" w:space="0" w:color="auto" w:frame="1"/>
          <w:lang w:val="fr-FR"/>
        </w:rPr>
        <w:lastRenderedPageBreak/>
        <w:t>2. Nombre, répartition et tendance des oiseaux illégalement abattus, piégés ou commercialisés</w:t>
      </w:r>
      <w:bookmarkEnd w:id="40"/>
      <w:r w:rsidRPr="00865DA5">
        <w:rPr>
          <w:rFonts w:ascii="Arial" w:eastAsia="Arial" w:hAnsi="Arial" w:cs="Arial"/>
          <w:b/>
          <w:bCs/>
          <w:iCs/>
          <w:color w:val="000000"/>
          <w:sz w:val="28"/>
          <w:szCs w:val="28"/>
          <w:bdr w:val="none" w:sz="0" w:space="0" w:color="auto" w:frame="1"/>
          <w:lang w:val="fr-FR"/>
        </w:rPr>
        <w:t xml:space="preserve"> </w:t>
      </w:r>
      <w:bookmarkEnd w:id="41"/>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Le nombre, la tendance, la répartition saisonnière et géographique des oiseaux illégalement abattus, piégés ou commercialisés dans votre pays, y compris dans les territoires d’outre-mer</w:t>
      </w:r>
      <w:r w:rsidRPr="00FF6562">
        <w:rPr>
          <w:rFonts w:ascii="Arial" w:eastAsia="Calibri" w:hAnsi="Arial" w:cs="Arial"/>
          <w:color w:val="000000"/>
          <w:sz w:val="22"/>
          <w:szCs w:val="22"/>
          <w:vertAlign w:val="superscript"/>
        </w:rPr>
        <w:footnoteReference w:id="9"/>
      </w:r>
      <w:r w:rsidRPr="00865DA5">
        <w:rPr>
          <w:rFonts w:ascii="Arial" w:eastAsia="Arial" w:hAnsi="Arial" w:cs="Arial"/>
          <w:color w:val="000000"/>
          <w:sz w:val="22"/>
          <w:szCs w:val="22"/>
          <w:bdr w:val="none" w:sz="0" w:space="0" w:color="auto" w:frame="1"/>
          <w:lang w:val="fr-FR"/>
        </w:rPr>
        <w:t xml:space="preserve">. </w:t>
      </w:r>
    </w:p>
    <w:p w:rsidR="00BD5B7F" w:rsidRPr="00865DA5" w:rsidRDefault="00BD5B7F" w:rsidP="00BD5B7F">
      <w:pPr>
        <w:spacing w:after="120"/>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Quel est le nombre estimé d’oiseaux illégalement abattus, piégés ou commercialisés chaque année dans votre pays, y compris dans les territoires d’outre-mer concernés, et à quelle saison ? Quelle est la tendance ?</w:t>
      </w:r>
    </w:p>
    <w:p w:rsidR="00BD5B7F" w:rsidRPr="00865DA5" w:rsidRDefault="00BD5B7F" w:rsidP="00BD5B7F">
      <w:pPr>
        <w:spacing w:after="120"/>
        <w:rPr>
          <w:rFonts w:ascii="Arial" w:eastAsia="Calibri" w:hAnsi="Arial" w:cs="Arial"/>
          <w:b/>
          <w:bCs/>
          <w:i/>
          <w:iCs/>
          <w:color w:val="000000"/>
          <w:sz w:val="22"/>
          <w:szCs w:val="22"/>
          <w:lang w:val="fr-FR"/>
        </w:rPr>
      </w:pPr>
    </w:p>
    <w:p w:rsidR="00BD5B7F" w:rsidRPr="00865DA5" w:rsidRDefault="00BD5B7F" w:rsidP="00BD5B7F">
      <w:pPr>
        <w:spacing w:after="120"/>
        <w:jc w:val="both"/>
        <w:rPr>
          <w:rFonts w:ascii="Arial" w:eastAsia="Calibri" w:hAnsi="Arial" w:cs="Arial"/>
          <w:i/>
          <w:iCs/>
          <w:color w:val="000000"/>
          <w:sz w:val="22"/>
          <w:szCs w:val="22"/>
          <w:lang w:val="fr-FR"/>
        </w:rPr>
      </w:pPr>
      <w:r w:rsidRPr="00865DA5">
        <w:rPr>
          <w:rFonts w:ascii="Arial" w:eastAsia="Arial" w:hAnsi="Arial" w:cs="Arial"/>
          <w:i/>
          <w:iCs/>
          <w:color w:val="000000"/>
          <w:sz w:val="22"/>
          <w:szCs w:val="22"/>
          <w:bdr w:val="none" w:sz="0" w:space="0" w:color="auto" w:frame="1"/>
          <w:lang w:val="fr-FR"/>
        </w:rPr>
        <w:t xml:space="preserve">Mesure : Estimation du nombre d’oiseaux illégalement abattus, piégés ou commercialisés chaque année </w:t>
      </w:r>
    </w:p>
    <w:tbl>
      <w:tblPr>
        <w:tblW w:w="0" w:type="auto"/>
        <w:tblBorders>
          <w:top w:val="single" w:sz="18" w:space="0" w:color="auto"/>
          <w:bottom w:val="single" w:sz="18" w:space="0" w:color="auto"/>
        </w:tblBorders>
        <w:tblLook w:val="04A0" w:firstRow="1" w:lastRow="0" w:firstColumn="1" w:lastColumn="0" w:noHBand="0" w:noVBand="1"/>
      </w:tblPr>
      <w:tblGrid>
        <w:gridCol w:w="2857"/>
        <w:gridCol w:w="1150"/>
        <w:gridCol w:w="1188"/>
        <w:gridCol w:w="1457"/>
        <w:gridCol w:w="1463"/>
        <w:gridCol w:w="1171"/>
      </w:tblGrid>
      <w:tr w:rsidR="00BD5B7F" w:rsidRPr="00FF6562" w:rsidTr="000E5961">
        <w:tc>
          <w:tcPr>
            <w:tcW w:w="2307" w:type="dxa"/>
            <w:tcBorders>
              <w:top w:val="single" w:sz="18" w:space="0" w:color="auto"/>
              <w:left w:val="nil"/>
              <w:bottom w:val="single" w:sz="18" w:space="0" w:color="auto"/>
              <w:right w:val="nil"/>
            </w:tcBorders>
            <w:shd w:val="clear" w:color="auto" w:fill="4F81BD"/>
            <w:vAlign w:val="center"/>
          </w:tcPr>
          <w:p w:rsidR="00BD5B7F" w:rsidRPr="00865DA5" w:rsidRDefault="00BD5B7F" w:rsidP="000E5961">
            <w:pPr>
              <w:jc w:val="center"/>
              <w:rPr>
                <w:rFonts w:ascii="Arial" w:eastAsia="Calibri" w:hAnsi="Arial" w:cs="Arial"/>
                <w:b/>
                <w:bCs/>
                <w:color w:val="FFFFFF"/>
                <w:szCs w:val="22"/>
                <w:lang w:val="fr-FR"/>
              </w:rPr>
            </w:pPr>
          </w:p>
        </w:tc>
        <w:tc>
          <w:tcPr>
            <w:tcW w:w="1527" w:type="dxa"/>
            <w:tcBorders>
              <w:top w:val="single" w:sz="18" w:space="0" w:color="auto"/>
              <w:left w:val="nil"/>
              <w:bottom w:val="single" w:sz="18" w:space="0" w:color="auto"/>
              <w:right w:val="nil"/>
            </w:tcBorders>
            <w:shd w:val="clear" w:color="auto" w:fill="4F81BD"/>
            <w:vAlign w:val="center"/>
            <w:hideMark/>
          </w:tcPr>
          <w:p w:rsidR="00BD5B7F" w:rsidRPr="00FF6562" w:rsidRDefault="00BD5B7F" w:rsidP="000E5961">
            <w:pPr>
              <w:jc w:val="center"/>
              <w:rPr>
                <w:rFonts w:ascii="Arial" w:eastAsia="Calibri" w:hAnsi="Arial" w:cs="Arial"/>
                <w:b/>
                <w:bCs/>
                <w:color w:val="FFFFFF"/>
                <w:szCs w:val="22"/>
              </w:rPr>
            </w:pPr>
            <w:r w:rsidRPr="00FF6562">
              <w:rPr>
                <w:rFonts w:ascii="Arial" w:eastAsia="Arial" w:hAnsi="Arial" w:cs="Arial"/>
                <w:b/>
                <w:bCs/>
                <w:color w:val="FFFFFF"/>
                <w:szCs w:val="22"/>
                <w:bdr w:val="none" w:sz="0" w:space="0" w:color="auto" w:frame="1"/>
              </w:rPr>
              <w:t>Mars / Mai</w:t>
            </w:r>
          </w:p>
        </w:tc>
        <w:tc>
          <w:tcPr>
            <w:tcW w:w="1618" w:type="dxa"/>
            <w:tcBorders>
              <w:top w:val="single" w:sz="18" w:space="0" w:color="auto"/>
              <w:left w:val="nil"/>
              <w:bottom w:val="single" w:sz="18" w:space="0" w:color="auto"/>
              <w:right w:val="nil"/>
            </w:tcBorders>
            <w:shd w:val="clear" w:color="auto" w:fill="4F81BD"/>
            <w:vAlign w:val="center"/>
            <w:hideMark/>
          </w:tcPr>
          <w:p w:rsidR="00BD5B7F" w:rsidRPr="00FF6562" w:rsidRDefault="00BD5B7F" w:rsidP="000E5961">
            <w:pPr>
              <w:jc w:val="center"/>
              <w:rPr>
                <w:rFonts w:ascii="Arial" w:eastAsia="Calibri" w:hAnsi="Arial" w:cs="Arial"/>
                <w:b/>
                <w:bCs/>
                <w:color w:val="FFFFFF"/>
                <w:szCs w:val="22"/>
              </w:rPr>
            </w:pPr>
            <w:r w:rsidRPr="00FF6562">
              <w:rPr>
                <w:rFonts w:ascii="Arial" w:eastAsia="Arial" w:hAnsi="Arial" w:cs="Arial"/>
                <w:b/>
                <w:bCs/>
                <w:color w:val="FFFFFF"/>
                <w:szCs w:val="22"/>
                <w:bdr w:val="none" w:sz="0" w:space="0" w:color="auto" w:frame="1"/>
              </w:rPr>
              <w:t>Juin / Août</w:t>
            </w:r>
          </w:p>
        </w:tc>
        <w:tc>
          <w:tcPr>
            <w:tcW w:w="1363" w:type="dxa"/>
            <w:tcBorders>
              <w:top w:val="single" w:sz="18" w:space="0" w:color="auto"/>
              <w:left w:val="nil"/>
              <w:bottom w:val="single" w:sz="18" w:space="0" w:color="auto"/>
              <w:right w:val="nil"/>
            </w:tcBorders>
            <w:shd w:val="clear" w:color="auto" w:fill="4F81BD"/>
            <w:vAlign w:val="center"/>
            <w:hideMark/>
          </w:tcPr>
          <w:p w:rsidR="00BD5B7F" w:rsidRPr="00FF6562" w:rsidRDefault="00BD5B7F" w:rsidP="000E5961">
            <w:pPr>
              <w:jc w:val="center"/>
              <w:rPr>
                <w:rFonts w:ascii="Arial" w:eastAsia="Calibri" w:hAnsi="Arial" w:cs="Arial"/>
                <w:b/>
                <w:bCs/>
                <w:color w:val="FFFFFF"/>
                <w:szCs w:val="22"/>
              </w:rPr>
            </w:pPr>
            <w:r w:rsidRPr="00FF6562">
              <w:rPr>
                <w:rFonts w:ascii="Arial" w:eastAsia="Arial" w:hAnsi="Arial" w:cs="Arial"/>
                <w:b/>
                <w:bCs/>
                <w:color w:val="FFFFFF"/>
                <w:szCs w:val="22"/>
                <w:bdr w:val="none" w:sz="0" w:space="0" w:color="auto" w:frame="1"/>
              </w:rPr>
              <w:t>Septembre / Novembre</w:t>
            </w:r>
          </w:p>
        </w:tc>
        <w:tc>
          <w:tcPr>
            <w:tcW w:w="1550" w:type="dxa"/>
            <w:tcBorders>
              <w:top w:val="single" w:sz="18" w:space="0" w:color="auto"/>
              <w:left w:val="nil"/>
              <w:bottom w:val="single" w:sz="18" w:space="0" w:color="auto"/>
              <w:right w:val="nil"/>
            </w:tcBorders>
            <w:shd w:val="clear" w:color="auto" w:fill="4F81BD"/>
            <w:vAlign w:val="center"/>
            <w:hideMark/>
          </w:tcPr>
          <w:p w:rsidR="00BD5B7F" w:rsidRPr="00FF6562" w:rsidRDefault="00BD5B7F" w:rsidP="000E5961">
            <w:pPr>
              <w:jc w:val="center"/>
              <w:rPr>
                <w:rFonts w:ascii="Arial" w:eastAsia="Calibri" w:hAnsi="Arial" w:cs="Arial"/>
                <w:b/>
                <w:bCs/>
                <w:color w:val="FFFFFF"/>
                <w:szCs w:val="22"/>
              </w:rPr>
            </w:pPr>
            <w:r w:rsidRPr="00FF6562">
              <w:rPr>
                <w:rFonts w:ascii="Arial" w:eastAsia="Arial" w:hAnsi="Arial" w:cs="Arial"/>
                <w:b/>
                <w:bCs/>
                <w:color w:val="FFFFFF"/>
                <w:szCs w:val="22"/>
                <w:bdr w:val="none" w:sz="0" w:space="0" w:color="auto" w:frame="1"/>
              </w:rPr>
              <w:t>Décembre / Février</w:t>
            </w:r>
          </w:p>
        </w:tc>
        <w:tc>
          <w:tcPr>
            <w:tcW w:w="1489" w:type="dxa"/>
            <w:tcBorders>
              <w:top w:val="single" w:sz="18" w:space="0" w:color="auto"/>
              <w:left w:val="nil"/>
              <w:bottom w:val="single" w:sz="18" w:space="0" w:color="auto"/>
              <w:right w:val="nil"/>
            </w:tcBorders>
            <w:shd w:val="clear" w:color="auto" w:fill="4F81BD"/>
            <w:vAlign w:val="center"/>
            <w:hideMark/>
          </w:tcPr>
          <w:p w:rsidR="00BD5B7F" w:rsidRPr="00FF6562" w:rsidRDefault="00BD5B7F" w:rsidP="000E5961">
            <w:pPr>
              <w:jc w:val="center"/>
              <w:rPr>
                <w:rFonts w:ascii="Arial" w:eastAsia="Calibri" w:hAnsi="Arial" w:cs="Arial"/>
                <w:b/>
                <w:bCs/>
                <w:color w:val="FFFFFF"/>
                <w:szCs w:val="22"/>
              </w:rPr>
            </w:pPr>
            <w:r w:rsidRPr="00FF6562">
              <w:rPr>
                <w:rFonts w:ascii="Arial" w:eastAsia="Arial" w:hAnsi="Arial" w:cs="Arial"/>
                <w:b/>
                <w:bCs/>
                <w:color w:val="FFFFFF"/>
                <w:szCs w:val="22"/>
                <w:bdr w:val="none" w:sz="0" w:space="0" w:color="auto" w:frame="1"/>
              </w:rPr>
              <w:t>Total </w:t>
            </w:r>
          </w:p>
        </w:tc>
      </w:tr>
      <w:tr w:rsidR="00BD5B7F" w:rsidRPr="00FF6562" w:rsidTr="000E5961">
        <w:tc>
          <w:tcPr>
            <w:tcW w:w="2307" w:type="dxa"/>
            <w:tcBorders>
              <w:top w:val="nil"/>
              <w:left w:val="nil"/>
              <w:bottom w:val="nil"/>
              <w:right w:val="nil"/>
            </w:tcBorders>
            <w:shd w:val="clear" w:color="auto" w:fill="4F81BD"/>
            <w:hideMark/>
          </w:tcPr>
          <w:p w:rsidR="00BD5B7F" w:rsidRPr="00FF6562" w:rsidRDefault="00BD5B7F" w:rsidP="000E5961">
            <w:pPr>
              <w:rPr>
                <w:rFonts w:ascii="Arial" w:eastAsia="Calibri" w:hAnsi="Arial" w:cs="Arial"/>
                <w:b/>
                <w:bCs/>
                <w:color w:val="FFFFFF"/>
                <w:szCs w:val="22"/>
              </w:rPr>
            </w:pPr>
            <w:r w:rsidRPr="00FF6562">
              <w:rPr>
                <w:rFonts w:ascii="Arial" w:eastAsia="Arial" w:hAnsi="Arial" w:cs="Arial"/>
                <w:b/>
                <w:bCs/>
                <w:color w:val="FFFFFF"/>
                <w:szCs w:val="22"/>
                <w:bdr w:val="none" w:sz="0" w:space="0" w:color="auto" w:frame="1"/>
              </w:rPr>
              <w:t>Niveau national</w:t>
            </w:r>
          </w:p>
        </w:tc>
        <w:tc>
          <w:tcPr>
            <w:tcW w:w="1527" w:type="dxa"/>
            <w:tcBorders>
              <w:top w:val="nil"/>
              <w:left w:val="nil"/>
              <w:bottom w:val="nil"/>
              <w:right w:val="nil"/>
            </w:tcBorders>
            <w:shd w:val="clear" w:color="auto" w:fill="D8D8D8"/>
          </w:tcPr>
          <w:p w:rsidR="00BD5B7F" w:rsidRPr="00FF6562" w:rsidRDefault="00BD5B7F" w:rsidP="000E5961">
            <w:pPr>
              <w:rPr>
                <w:rFonts w:ascii="Arial" w:eastAsia="Calibri" w:hAnsi="Arial" w:cs="Arial"/>
                <w:color w:val="000000"/>
                <w:szCs w:val="22"/>
              </w:rPr>
            </w:pPr>
          </w:p>
        </w:tc>
        <w:tc>
          <w:tcPr>
            <w:tcW w:w="1618" w:type="dxa"/>
            <w:tcBorders>
              <w:top w:val="nil"/>
              <w:left w:val="nil"/>
              <w:bottom w:val="nil"/>
              <w:right w:val="nil"/>
            </w:tcBorders>
            <w:shd w:val="clear" w:color="auto" w:fill="D8D8D8"/>
          </w:tcPr>
          <w:p w:rsidR="00BD5B7F" w:rsidRPr="00FF6562" w:rsidRDefault="00BD5B7F" w:rsidP="000E5961">
            <w:pPr>
              <w:rPr>
                <w:rFonts w:ascii="Arial" w:eastAsia="Calibri" w:hAnsi="Arial" w:cs="Arial"/>
                <w:color w:val="000000"/>
                <w:szCs w:val="22"/>
              </w:rPr>
            </w:pPr>
          </w:p>
        </w:tc>
        <w:tc>
          <w:tcPr>
            <w:tcW w:w="1363" w:type="dxa"/>
            <w:tcBorders>
              <w:top w:val="nil"/>
              <w:left w:val="nil"/>
              <w:bottom w:val="nil"/>
              <w:right w:val="nil"/>
            </w:tcBorders>
            <w:shd w:val="clear" w:color="auto" w:fill="D8D8D8"/>
          </w:tcPr>
          <w:p w:rsidR="00BD5B7F" w:rsidRPr="00FF6562" w:rsidRDefault="00BD5B7F" w:rsidP="000E5961">
            <w:pPr>
              <w:rPr>
                <w:rFonts w:ascii="Arial" w:eastAsia="Calibri" w:hAnsi="Arial" w:cs="Arial"/>
                <w:color w:val="000000"/>
                <w:szCs w:val="22"/>
              </w:rPr>
            </w:pPr>
          </w:p>
        </w:tc>
        <w:tc>
          <w:tcPr>
            <w:tcW w:w="1550" w:type="dxa"/>
            <w:tcBorders>
              <w:top w:val="nil"/>
              <w:left w:val="nil"/>
              <w:bottom w:val="nil"/>
              <w:right w:val="nil"/>
            </w:tcBorders>
            <w:shd w:val="clear" w:color="auto" w:fill="D8D8D8"/>
          </w:tcPr>
          <w:p w:rsidR="00BD5B7F" w:rsidRPr="00FF6562" w:rsidRDefault="00BD5B7F" w:rsidP="000E5961">
            <w:pPr>
              <w:rPr>
                <w:rFonts w:ascii="Arial" w:eastAsia="Calibri" w:hAnsi="Arial" w:cs="Arial"/>
                <w:color w:val="000000"/>
                <w:szCs w:val="22"/>
              </w:rPr>
            </w:pPr>
          </w:p>
        </w:tc>
        <w:tc>
          <w:tcPr>
            <w:tcW w:w="1489" w:type="dxa"/>
            <w:tcBorders>
              <w:top w:val="nil"/>
              <w:left w:val="nil"/>
              <w:bottom w:val="nil"/>
              <w:right w:val="nil"/>
            </w:tcBorders>
            <w:shd w:val="clear" w:color="auto" w:fill="D8D8D8"/>
          </w:tcPr>
          <w:p w:rsidR="00BD5B7F" w:rsidRPr="00FF6562" w:rsidRDefault="00BD5B7F" w:rsidP="000E5961">
            <w:pPr>
              <w:rPr>
                <w:rFonts w:ascii="Arial" w:eastAsia="Calibri" w:hAnsi="Arial" w:cs="Arial"/>
                <w:color w:val="000000"/>
                <w:szCs w:val="22"/>
              </w:rPr>
            </w:pPr>
          </w:p>
        </w:tc>
      </w:tr>
      <w:tr w:rsidR="00BD5B7F" w:rsidRPr="00FF6562" w:rsidTr="000E5961">
        <w:tc>
          <w:tcPr>
            <w:tcW w:w="2307" w:type="dxa"/>
            <w:tcBorders>
              <w:top w:val="nil"/>
              <w:left w:val="nil"/>
              <w:bottom w:val="nil"/>
              <w:right w:val="nil"/>
            </w:tcBorders>
            <w:shd w:val="clear" w:color="auto" w:fill="4F81BD"/>
            <w:hideMark/>
          </w:tcPr>
          <w:p w:rsidR="00BD5B7F" w:rsidRPr="00FF6562" w:rsidRDefault="00BD5B7F" w:rsidP="000E5961">
            <w:pPr>
              <w:rPr>
                <w:rFonts w:ascii="Arial" w:eastAsia="Calibri" w:hAnsi="Arial" w:cs="Arial"/>
                <w:b/>
                <w:bCs/>
                <w:color w:val="FFFFFF"/>
                <w:szCs w:val="22"/>
              </w:rPr>
            </w:pPr>
            <w:r w:rsidRPr="00FF6562">
              <w:rPr>
                <w:rFonts w:ascii="Arial" w:eastAsia="Arial" w:hAnsi="Arial" w:cs="Arial"/>
                <w:b/>
                <w:bCs/>
                <w:color w:val="FFFFFF"/>
                <w:szCs w:val="22"/>
                <w:bdr w:val="none" w:sz="0" w:space="0" w:color="auto" w:frame="1"/>
              </w:rPr>
              <w:t>(Région/zone/territoire)</w:t>
            </w:r>
          </w:p>
        </w:tc>
        <w:tc>
          <w:tcPr>
            <w:tcW w:w="1527" w:type="dxa"/>
            <w:tcBorders>
              <w:top w:val="nil"/>
              <w:left w:val="nil"/>
              <w:bottom w:val="nil"/>
              <w:right w:val="nil"/>
            </w:tcBorders>
          </w:tcPr>
          <w:p w:rsidR="00BD5B7F" w:rsidRPr="00FF6562" w:rsidRDefault="00BD5B7F" w:rsidP="000E5961">
            <w:pPr>
              <w:rPr>
                <w:rFonts w:ascii="Arial" w:eastAsia="Calibri" w:hAnsi="Arial" w:cs="Arial"/>
                <w:color w:val="000000"/>
                <w:szCs w:val="22"/>
              </w:rPr>
            </w:pPr>
          </w:p>
        </w:tc>
        <w:tc>
          <w:tcPr>
            <w:tcW w:w="1618" w:type="dxa"/>
            <w:tcBorders>
              <w:top w:val="nil"/>
              <w:left w:val="nil"/>
              <w:bottom w:val="nil"/>
              <w:right w:val="nil"/>
            </w:tcBorders>
          </w:tcPr>
          <w:p w:rsidR="00BD5B7F" w:rsidRPr="00FF6562" w:rsidRDefault="00BD5B7F" w:rsidP="000E5961">
            <w:pPr>
              <w:rPr>
                <w:rFonts w:ascii="Arial" w:eastAsia="Calibri" w:hAnsi="Arial" w:cs="Arial"/>
                <w:color w:val="000000"/>
                <w:szCs w:val="22"/>
              </w:rPr>
            </w:pPr>
          </w:p>
        </w:tc>
        <w:tc>
          <w:tcPr>
            <w:tcW w:w="1363" w:type="dxa"/>
            <w:tcBorders>
              <w:top w:val="nil"/>
              <w:left w:val="nil"/>
              <w:bottom w:val="nil"/>
              <w:right w:val="nil"/>
            </w:tcBorders>
          </w:tcPr>
          <w:p w:rsidR="00BD5B7F" w:rsidRPr="00FF6562" w:rsidRDefault="00BD5B7F" w:rsidP="000E5961">
            <w:pPr>
              <w:rPr>
                <w:rFonts w:ascii="Arial" w:eastAsia="Calibri" w:hAnsi="Arial" w:cs="Arial"/>
                <w:color w:val="000000"/>
                <w:szCs w:val="22"/>
              </w:rPr>
            </w:pPr>
          </w:p>
        </w:tc>
        <w:tc>
          <w:tcPr>
            <w:tcW w:w="1550" w:type="dxa"/>
            <w:tcBorders>
              <w:top w:val="nil"/>
              <w:left w:val="nil"/>
              <w:bottom w:val="nil"/>
              <w:right w:val="nil"/>
            </w:tcBorders>
          </w:tcPr>
          <w:p w:rsidR="00BD5B7F" w:rsidRPr="00FF6562" w:rsidRDefault="00BD5B7F" w:rsidP="000E5961">
            <w:pPr>
              <w:rPr>
                <w:rFonts w:ascii="Arial" w:eastAsia="Calibri" w:hAnsi="Arial" w:cs="Arial"/>
                <w:color w:val="000000"/>
                <w:szCs w:val="22"/>
              </w:rPr>
            </w:pPr>
          </w:p>
        </w:tc>
        <w:tc>
          <w:tcPr>
            <w:tcW w:w="1489" w:type="dxa"/>
            <w:tcBorders>
              <w:top w:val="nil"/>
              <w:left w:val="nil"/>
              <w:bottom w:val="nil"/>
              <w:right w:val="nil"/>
            </w:tcBorders>
          </w:tcPr>
          <w:p w:rsidR="00BD5B7F" w:rsidRPr="00FF6562" w:rsidRDefault="00BD5B7F" w:rsidP="000E5961">
            <w:pPr>
              <w:rPr>
                <w:rFonts w:ascii="Arial" w:eastAsia="Calibri" w:hAnsi="Arial" w:cs="Arial"/>
                <w:color w:val="000000"/>
                <w:szCs w:val="22"/>
              </w:rPr>
            </w:pPr>
          </w:p>
        </w:tc>
      </w:tr>
      <w:tr w:rsidR="00BD5B7F" w:rsidRPr="00FC42B0" w:rsidTr="000E5961">
        <w:tc>
          <w:tcPr>
            <w:tcW w:w="2307" w:type="dxa"/>
            <w:tcBorders>
              <w:top w:val="nil"/>
              <w:left w:val="nil"/>
              <w:bottom w:val="nil"/>
              <w:right w:val="nil"/>
            </w:tcBorders>
            <w:shd w:val="clear" w:color="auto" w:fill="4F81BD"/>
            <w:hideMark/>
          </w:tcPr>
          <w:p w:rsidR="00BD5B7F" w:rsidRPr="00865DA5" w:rsidRDefault="00BD5B7F" w:rsidP="000E5961">
            <w:pPr>
              <w:rPr>
                <w:rFonts w:ascii="Arial" w:eastAsia="Calibri" w:hAnsi="Arial" w:cs="Arial"/>
                <w:b/>
                <w:bCs/>
                <w:color w:val="FFFFFF"/>
                <w:sz w:val="16"/>
                <w:szCs w:val="16"/>
                <w:lang w:val="fr-FR"/>
              </w:rPr>
            </w:pPr>
            <w:r w:rsidRPr="00865DA5">
              <w:rPr>
                <w:rFonts w:ascii="Arial" w:eastAsia="Arial" w:hAnsi="Arial" w:cs="Arial"/>
                <w:b/>
                <w:bCs/>
                <w:color w:val="FFFFFF"/>
                <w:sz w:val="16"/>
                <w:szCs w:val="16"/>
                <w:bdr w:val="none" w:sz="0" w:space="0" w:color="auto" w:frame="1"/>
                <w:lang w:val="fr-FR"/>
              </w:rPr>
              <w:t>[Ajouter des lignes pour chaque région pour laquelle des données ou des estimations sont disponibles]</w:t>
            </w:r>
          </w:p>
        </w:tc>
        <w:tc>
          <w:tcPr>
            <w:tcW w:w="1527" w:type="dxa"/>
            <w:tcBorders>
              <w:top w:val="nil"/>
              <w:left w:val="nil"/>
              <w:bottom w:val="nil"/>
              <w:right w:val="nil"/>
            </w:tcBorders>
            <w:shd w:val="clear" w:color="auto" w:fill="D8D8D8"/>
          </w:tcPr>
          <w:p w:rsidR="00BD5B7F" w:rsidRPr="00865DA5" w:rsidRDefault="00BD5B7F" w:rsidP="000E5961">
            <w:pPr>
              <w:rPr>
                <w:rFonts w:ascii="Arial" w:eastAsia="Calibri" w:hAnsi="Arial" w:cs="Arial"/>
                <w:color w:val="000000"/>
                <w:sz w:val="22"/>
                <w:szCs w:val="22"/>
                <w:lang w:val="fr-FR"/>
              </w:rPr>
            </w:pPr>
          </w:p>
        </w:tc>
        <w:tc>
          <w:tcPr>
            <w:tcW w:w="1618" w:type="dxa"/>
            <w:tcBorders>
              <w:top w:val="nil"/>
              <w:left w:val="nil"/>
              <w:bottom w:val="nil"/>
              <w:right w:val="nil"/>
            </w:tcBorders>
            <w:shd w:val="clear" w:color="auto" w:fill="D8D8D8"/>
          </w:tcPr>
          <w:p w:rsidR="00BD5B7F" w:rsidRPr="00865DA5" w:rsidRDefault="00BD5B7F" w:rsidP="000E5961">
            <w:pPr>
              <w:rPr>
                <w:rFonts w:ascii="Arial" w:eastAsia="Calibri" w:hAnsi="Arial" w:cs="Arial"/>
                <w:color w:val="000000"/>
                <w:sz w:val="22"/>
                <w:szCs w:val="22"/>
                <w:lang w:val="fr-FR"/>
              </w:rPr>
            </w:pPr>
          </w:p>
        </w:tc>
        <w:tc>
          <w:tcPr>
            <w:tcW w:w="1363" w:type="dxa"/>
            <w:tcBorders>
              <w:top w:val="nil"/>
              <w:left w:val="nil"/>
              <w:bottom w:val="nil"/>
              <w:right w:val="nil"/>
            </w:tcBorders>
            <w:shd w:val="clear" w:color="auto" w:fill="D8D8D8"/>
          </w:tcPr>
          <w:p w:rsidR="00BD5B7F" w:rsidRPr="00865DA5" w:rsidRDefault="00BD5B7F" w:rsidP="000E5961">
            <w:pPr>
              <w:rPr>
                <w:rFonts w:ascii="Arial" w:eastAsia="Calibri" w:hAnsi="Arial" w:cs="Arial"/>
                <w:color w:val="000000"/>
                <w:sz w:val="22"/>
                <w:szCs w:val="22"/>
                <w:lang w:val="fr-FR"/>
              </w:rPr>
            </w:pPr>
          </w:p>
        </w:tc>
        <w:tc>
          <w:tcPr>
            <w:tcW w:w="1550" w:type="dxa"/>
            <w:tcBorders>
              <w:top w:val="nil"/>
              <w:left w:val="nil"/>
              <w:bottom w:val="nil"/>
              <w:right w:val="nil"/>
            </w:tcBorders>
            <w:shd w:val="clear" w:color="auto" w:fill="D8D8D8"/>
          </w:tcPr>
          <w:p w:rsidR="00BD5B7F" w:rsidRPr="00865DA5" w:rsidRDefault="00BD5B7F" w:rsidP="000E5961">
            <w:pPr>
              <w:rPr>
                <w:rFonts w:ascii="Arial" w:eastAsia="Calibri" w:hAnsi="Arial" w:cs="Arial"/>
                <w:color w:val="000000"/>
                <w:sz w:val="22"/>
                <w:szCs w:val="22"/>
                <w:lang w:val="fr-FR"/>
              </w:rPr>
            </w:pPr>
          </w:p>
        </w:tc>
        <w:tc>
          <w:tcPr>
            <w:tcW w:w="1489" w:type="dxa"/>
            <w:tcBorders>
              <w:top w:val="nil"/>
              <w:left w:val="nil"/>
              <w:bottom w:val="nil"/>
              <w:right w:val="nil"/>
            </w:tcBorders>
            <w:shd w:val="clear" w:color="auto" w:fill="D8D8D8"/>
          </w:tcPr>
          <w:p w:rsidR="00BD5B7F" w:rsidRPr="00865DA5" w:rsidRDefault="00BD5B7F" w:rsidP="000E5961">
            <w:pPr>
              <w:rPr>
                <w:rFonts w:ascii="Arial" w:eastAsia="Calibri" w:hAnsi="Arial" w:cs="Arial"/>
                <w:color w:val="000000"/>
                <w:sz w:val="22"/>
                <w:szCs w:val="22"/>
                <w:lang w:val="fr-FR"/>
              </w:rPr>
            </w:pPr>
          </w:p>
        </w:tc>
      </w:tr>
      <w:tr w:rsidR="00BD5B7F" w:rsidRPr="00FC42B0" w:rsidTr="000E5961">
        <w:tc>
          <w:tcPr>
            <w:tcW w:w="2307" w:type="dxa"/>
            <w:tcBorders>
              <w:top w:val="nil"/>
              <w:left w:val="nil"/>
              <w:bottom w:val="nil"/>
              <w:right w:val="nil"/>
            </w:tcBorders>
            <w:shd w:val="clear" w:color="auto" w:fill="4F81BD"/>
          </w:tcPr>
          <w:p w:rsidR="00BD5B7F" w:rsidRPr="00865DA5" w:rsidRDefault="00BD5B7F" w:rsidP="000E5961">
            <w:pPr>
              <w:rPr>
                <w:rFonts w:ascii="Arial" w:eastAsia="Calibri" w:hAnsi="Arial" w:cs="Arial"/>
                <w:b/>
                <w:bCs/>
                <w:color w:val="FFFFFF"/>
                <w:sz w:val="16"/>
                <w:szCs w:val="16"/>
                <w:lang w:val="fr-FR"/>
              </w:rPr>
            </w:pPr>
          </w:p>
        </w:tc>
        <w:tc>
          <w:tcPr>
            <w:tcW w:w="1527" w:type="dxa"/>
            <w:tcBorders>
              <w:top w:val="nil"/>
              <w:left w:val="nil"/>
              <w:bottom w:val="nil"/>
              <w:right w:val="nil"/>
            </w:tcBorders>
            <w:shd w:val="clear" w:color="auto" w:fill="FFFFFF"/>
          </w:tcPr>
          <w:p w:rsidR="00BD5B7F" w:rsidRPr="00865DA5" w:rsidRDefault="00BD5B7F" w:rsidP="000E5961">
            <w:pPr>
              <w:rPr>
                <w:rFonts w:ascii="Arial" w:eastAsia="Calibri" w:hAnsi="Arial" w:cs="Arial"/>
                <w:color w:val="000000"/>
                <w:sz w:val="22"/>
                <w:szCs w:val="22"/>
                <w:lang w:val="fr-FR"/>
              </w:rPr>
            </w:pPr>
          </w:p>
        </w:tc>
        <w:tc>
          <w:tcPr>
            <w:tcW w:w="1618" w:type="dxa"/>
            <w:tcBorders>
              <w:top w:val="nil"/>
              <w:left w:val="nil"/>
              <w:bottom w:val="nil"/>
              <w:right w:val="nil"/>
            </w:tcBorders>
            <w:shd w:val="clear" w:color="auto" w:fill="FFFFFF"/>
          </w:tcPr>
          <w:p w:rsidR="00BD5B7F" w:rsidRPr="00865DA5" w:rsidRDefault="00BD5B7F" w:rsidP="000E5961">
            <w:pPr>
              <w:rPr>
                <w:rFonts w:ascii="Arial" w:eastAsia="Calibri" w:hAnsi="Arial" w:cs="Arial"/>
                <w:color w:val="000000"/>
                <w:sz w:val="22"/>
                <w:szCs w:val="22"/>
                <w:lang w:val="fr-FR"/>
              </w:rPr>
            </w:pPr>
          </w:p>
        </w:tc>
        <w:tc>
          <w:tcPr>
            <w:tcW w:w="1363" w:type="dxa"/>
            <w:tcBorders>
              <w:top w:val="nil"/>
              <w:left w:val="nil"/>
              <w:bottom w:val="nil"/>
              <w:right w:val="nil"/>
            </w:tcBorders>
            <w:shd w:val="clear" w:color="auto" w:fill="FFFFFF"/>
          </w:tcPr>
          <w:p w:rsidR="00BD5B7F" w:rsidRPr="00865DA5" w:rsidRDefault="00BD5B7F" w:rsidP="000E5961">
            <w:pPr>
              <w:rPr>
                <w:rFonts w:ascii="Arial" w:eastAsia="Calibri" w:hAnsi="Arial" w:cs="Arial"/>
                <w:color w:val="000000"/>
                <w:sz w:val="22"/>
                <w:szCs w:val="22"/>
                <w:lang w:val="fr-FR"/>
              </w:rPr>
            </w:pPr>
          </w:p>
        </w:tc>
        <w:tc>
          <w:tcPr>
            <w:tcW w:w="1550" w:type="dxa"/>
            <w:tcBorders>
              <w:top w:val="nil"/>
              <w:left w:val="nil"/>
              <w:bottom w:val="nil"/>
              <w:right w:val="nil"/>
            </w:tcBorders>
            <w:shd w:val="clear" w:color="auto" w:fill="FFFFFF"/>
          </w:tcPr>
          <w:p w:rsidR="00BD5B7F" w:rsidRPr="00865DA5" w:rsidRDefault="00BD5B7F" w:rsidP="000E5961">
            <w:pPr>
              <w:rPr>
                <w:rFonts w:ascii="Arial" w:eastAsia="Calibri" w:hAnsi="Arial" w:cs="Arial"/>
                <w:color w:val="000000"/>
                <w:sz w:val="22"/>
                <w:szCs w:val="22"/>
                <w:lang w:val="fr-FR"/>
              </w:rPr>
            </w:pPr>
          </w:p>
        </w:tc>
        <w:tc>
          <w:tcPr>
            <w:tcW w:w="1489" w:type="dxa"/>
            <w:tcBorders>
              <w:top w:val="nil"/>
              <w:left w:val="nil"/>
              <w:bottom w:val="nil"/>
              <w:right w:val="nil"/>
            </w:tcBorders>
            <w:shd w:val="clear" w:color="auto" w:fill="FFFFFF"/>
          </w:tcPr>
          <w:p w:rsidR="00BD5B7F" w:rsidRPr="00865DA5" w:rsidRDefault="00BD5B7F" w:rsidP="000E5961">
            <w:pPr>
              <w:rPr>
                <w:rFonts w:ascii="Arial" w:eastAsia="Calibri" w:hAnsi="Arial" w:cs="Arial"/>
                <w:color w:val="000000"/>
                <w:sz w:val="22"/>
                <w:szCs w:val="22"/>
                <w:lang w:val="fr-FR"/>
              </w:rPr>
            </w:pPr>
          </w:p>
        </w:tc>
      </w:tr>
      <w:tr w:rsidR="00BD5B7F" w:rsidRPr="00FC42B0" w:rsidTr="000E5961">
        <w:tc>
          <w:tcPr>
            <w:tcW w:w="2307" w:type="dxa"/>
            <w:tcBorders>
              <w:top w:val="nil"/>
              <w:left w:val="nil"/>
              <w:bottom w:val="single" w:sz="18" w:space="0" w:color="auto"/>
              <w:right w:val="nil"/>
            </w:tcBorders>
            <w:shd w:val="clear" w:color="auto" w:fill="4F81BD"/>
          </w:tcPr>
          <w:p w:rsidR="00BD5B7F" w:rsidRPr="00865DA5" w:rsidRDefault="00BD5B7F" w:rsidP="000E5961">
            <w:pPr>
              <w:rPr>
                <w:rFonts w:ascii="Arial" w:eastAsia="Calibri" w:hAnsi="Arial" w:cs="Arial"/>
                <w:b/>
                <w:bCs/>
                <w:color w:val="FFFFFF"/>
                <w:sz w:val="16"/>
                <w:szCs w:val="16"/>
                <w:lang w:val="fr-FR"/>
              </w:rPr>
            </w:pPr>
          </w:p>
        </w:tc>
        <w:tc>
          <w:tcPr>
            <w:tcW w:w="1527" w:type="dxa"/>
            <w:tcBorders>
              <w:top w:val="nil"/>
              <w:left w:val="nil"/>
              <w:bottom w:val="single" w:sz="18" w:space="0" w:color="auto"/>
              <w:right w:val="nil"/>
            </w:tcBorders>
            <w:shd w:val="clear" w:color="auto" w:fill="D8D8D8"/>
          </w:tcPr>
          <w:p w:rsidR="00BD5B7F" w:rsidRPr="00865DA5" w:rsidRDefault="00BD5B7F" w:rsidP="000E5961">
            <w:pPr>
              <w:rPr>
                <w:rFonts w:ascii="Arial" w:eastAsia="Calibri" w:hAnsi="Arial" w:cs="Arial"/>
                <w:color w:val="000000"/>
                <w:sz w:val="22"/>
                <w:szCs w:val="22"/>
                <w:lang w:val="fr-FR"/>
              </w:rPr>
            </w:pPr>
          </w:p>
        </w:tc>
        <w:tc>
          <w:tcPr>
            <w:tcW w:w="1618" w:type="dxa"/>
            <w:tcBorders>
              <w:top w:val="nil"/>
              <w:left w:val="nil"/>
              <w:bottom w:val="single" w:sz="18" w:space="0" w:color="auto"/>
              <w:right w:val="nil"/>
            </w:tcBorders>
            <w:shd w:val="clear" w:color="auto" w:fill="D8D8D8"/>
          </w:tcPr>
          <w:p w:rsidR="00BD5B7F" w:rsidRPr="00865DA5" w:rsidRDefault="00BD5B7F" w:rsidP="000E5961">
            <w:pPr>
              <w:rPr>
                <w:rFonts w:ascii="Arial" w:eastAsia="Calibri" w:hAnsi="Arial" w:cs="Arial"/>
                <w:color w:val="000000"/>
                <w:sz w:val="22"/>
                <w:szCs w:val="22"/>
                <w:lang w:val="fr-FR"/>
              </w:rPr>
            </w:pPr>
          </w:p>
        </w:tc>
        <w:tc>
          <w:tcPr>
            <w:tcW w:w="1363" w:type="dxa"/>
            <w:tcBorders>
              <w:top w:val="nil"/>
              <w:left w:val="nil"/>
              <w:bottom w:val="single" w:sz="18" w:space="0" w:color="auto"/>
              <w:right w:val="nil"/>
            </w:tcBorders>
            <w:shd w:val="clear" w:color="auto" w:fill="D8D8D8"/>
          </w:tcPr>
          <w:p w:rsidR="00BD5B7F" w:rsidRPr="00865DA5" w:rsidRDefault="00BD5B7F" w:rsidP="000E5961">
            <w:pPr>
              <w:rPr>
                <w:rFonts w:ascii="Arial" w:eastAsia="Calibri" w:hAnsi="Arial" w:cs="Arial"/>
                <w:color w:val="000000"/>
                <w:sz w:val="22"/>
                <w:szCs w:val="22"/>
                <w:lang w:val="fr-FR"/>
              </w:rPr>
            </w:pPr>
          </w:p>
        </w:tc>
        <w:tc>
          <w:tcPr>
            <w:tcW w:w="1550" w:type="dxa"/>
            <w:tcBorders>
              <w:top w:val="nil"/>
              <w:left w:val="nil"/>
              <w:bottom w:val="single" w:sz="18" w:space="0" w:color="auto"/>
              <w:right w:val="nil"/>
            </w:tcBorders>
            <w:shd w:val="clear" w:color="auto" w:fill="D8D8D8"/>
          </w:tcPr>
          <w:p w:rsidR="00BD5B7F" w:rsidRPr="00865DA5" w:rsidRDefault="00BD5B7F" w:rsidP="000E5961">
            <w:pPr>
              <w:rPr>
                <w:rFonts w:ascii="Arial" w:eastAsia="Calibri" w:hAnsi="Arial" w:cs="Arial"/>
                <w:color w:val="000000"/>
                <w:sz w:val="22"/>
                <w:szCs w:val="22"/>
                <w:lang w:val="fr-FR"/>
              </w:rPr>
            </w:pPr>
          </w:p>
        </w:tc>
        <w:tc>
          <w:tcPr>
            <w:tcW w:w="1489" w:type="dxa"/>
            <w:tcBorders>
              <w:top w:val="nil"/>
              <w:left w:val="nil"/>
              <w:bottom w:val="single" w:sz="18" w:space="0" w:color="auto"/>
              <w:right w:val="nil"/>
            </w:tcBorders>
            <w:shd w:val="clear" w:color="auto" w:fill="D8D8D8"/>
          </w:tcPr>
          <w:p w:rsidR="00BD5B7F" w:rsidRPr="00865DA5" w:rsidRDefault="00BD5B7F" w:rsidP="000E5961">
            <w:pPr>
              <w:rPr>
                <w:rFonts w:ascii="Arial" w:eastAsia="Calibri" w:hAnsi="Arial" w:cs="Arial"/>
                <w:color w:val="000000"/>
                <w:sz w:val="22"/>
                <w:szCs w:val="22"/>
                <w:lang w:val="fr-FR"/>
              </w:rPr>
            </w:pPr>
          </w:p>
        </w:tc>
      </w:tr>
    </w:tbl>
    <w:p w:rsidR="00BD5B7F" w:rsidRPr="00865DA5" w:rsidRDefault="00BD5B7F" w:rsidP="00BD5B7F">
      <w:pPr>
        <w:rPr>
          <w:rFonts w:ascii="Arial" w:eastAsia="Calibri" w:hAnsi="Arial" w:cs="Arial"/>
          <w:color w:val="000000"/>
          <w:sz w:val="22"/>
          <w:szCs w:val="22"/>
          <w:lang w:val="fr-FR"/>
        </w:rPr>
      </w:pPr>
    </w:p>
    <w:p w:rsidR="00BD5B7F" w:rsidRPr="00865DA5" w:rsidRDefault="00BD5B7F" w:rsidP="00BD5B7F">
      <w:pPr>
        <w:rPr>
          <w:rFonts w:ascii="Arial" w:eastAsia="Calibri" w:hAnsi="Arial" w:cs="Arial"/>
          <w:color w:val="000000"/>
          <w:sz w:val="22"/>
          <w:szCs w:val="22"/>
          <w:lang w:val="fr-FR"/>
        </w:rPr>
      </w:pPr>
    </w:p>
    <w:tbl>
      <w:tblPr>
        <w:tblW w:w="0" w:type="auto"/>
        <w:tblBorders>
          <w:top w:val="single" w:sz="18" w:space="0" w:color="auto"/>
          <w:bottom w:val="single" w:sz="18" w:space="0" w:color="auto"/>
        </w:tblBorders>
        <w:tblLook w:val="04A0" w:firstRow="1" w:lastRow="0" w:firstColumn="1" w:lastColumn="0" w:noHBand="0" w:noVBand="1"/>
      </w:tblPr>
      <w:tblGrid>
        <w:gridCol w:w="1639"/>
        <w:gridCol w:w="1830"/>
        <w:gridCol w:w="1905"/>
        <w:gridCol w:w="1999"/>
        <w:gridCol w:w="1913"/>
      </w:tblGrid>
      <w:tr w:rsidR="00BD5B7F" w:rsidRPr="00FC42B0" w:rsidTr="000E5961">
        <w:tc>
          <w:tcPr>
            <w:tcW w:w="1664" w:type="dxa"/>
            <w:tcBorders>
              <w:top w:val="single" w:sz="18" w:space="0" w:color="auto"/>
              <w:left w:val="nil"/>
              <w:bottom w:val="single" w:sz="18" w:space="0" w:color="auto"/>
              <w:right w:val="nil"/>
            </w:tcBorders>
            <w:shd w:val="clear" w:color="auto" w:fill="4F81BD"/>
            <w:hideMark/>
          </w:tcPr>
          <w:p w:rsidR="00BD5B7F" w:rsidRPr="00865DA5" w:rsidRDefault="00BD5B7F" w:rsidP="000E5961">
            <w:pPr>
              <w:jc w:val="center"/>
              <w:rPr>
                <w:rFonts w:ascii="Arial" w:eastAsia="Calibri" w:hAnsi="Arial" w:cs="Arial"/>
                <w:b/>
                <w:bCs/>
                <w:color w:val="FFFFFF"/>
                <w:szCs w:val="22"/>
                <w:lang w:val="fr-FR"/>
              </w:rPr>
            </w:pPr>
            <w:r w:rsidRPr="00865DA5">
              <w:rPr>
                <w:rFonts w:ascii="Arial" w:eastAsia="Arial" w:hAnsi="Arial" w:cs="Arial"/>
                <w:b/>
                <w:bCs/>
                <w:color w:val="FFFFFF"/>
                <w:szCs w:val="22"/>
                <w:bdr w:val="none" w:sz="0" w:space="0" w:color="auto" w:frame="1"/>
                <w:lang w:val="fr-FR"/>
              </w:rPr>
              <w:t>Tendance de l’IKB au cours des 3 dernières années</w:t>
            </w:r>
          </w:p>
        </w:tc>
        <w:tc>
          <w:tcPr>
            <w:tcW w:w="1485" w:type="dxa"/>
            <w:tcBorders>
              <w:top w:val="single" w:sz="18" w:space="0" w:color="auto"/>
              <w:left w:val="nil"/>
              <w:bottom w:val="single" w:sz="18" w:space="0" w:color="auto"/>
              <w:right w:val="nil"/>
            </w:tcBorders>
            <w:shd w:val="clear" w:color="auto" w:fill="D9D9D9"/>
            <w:vAlign w:val="center"/>
            <w:hideMark/>
          </w:tcPr>
          <w:p w:rsidR="00BD5B7F" w:rsidRPr="00FF6562" w:rsidRDefault="00BD5B7F" w:rsidP="000E5961">
            <w:pPr>
              <w:jc w:val="center"/>
              <w:rPr>
                <w:rFonts w:ascii="Arial" w:eastAsia="Calibri" w:hAnsi="Arial" w:cs="Arial"/>
                <w:b/>
                <w:bCs/>
                <w:color w:val="FFFFFF"/>
                <w:szCs w:val="22"/>
              </w:rPr>
            </w:pPr>
            <w:r w:rsidRPr="00FF6562">
              <w:rPr>
                <w:rFonts w:ascii="Arial" w:eastAsia="Arial" w:hAnsi="Arial" w:cs="Arial"/>
                <w:b/>
                <w:bCs/>
                <w:color w:val="FFFFFF"/>
                <w:szCs w:val="22"/>
                <w:bdr w:val="none" w:sz="0" w:space="0" w:color="auto" w:frame="1"/>
              </w:rPr>
              <w:t>Augmentation</w:t>
            </w:r>
          </w:p>
          <w:p w:rsidR="00BD5B7F" w:rsidRPr="00FF6562" w:rsidRDefault="00BD5B7F" w:rsidP="000E5961">
            <w:pPr>
              <w:jc w:val="center"/>
              <w:rPr>
                <w:rFonts w:ascii="Arial" w:eastAsia="Calibri" w:hAnsi="Arial" w:cs="Arial"/>
                <w:b/>
                <w:bCs/>
                <w:color w:val="FFFFFF"/>
                <w:szCs w:val="22"/>
              </w:rPr>
            </w:pPr>
            <w:r w:rsidRPr="00FF6562">
              <w:rPr>
                <w:rFonts w:ascii="Arial" w:eastAsia="Arial" w:hAnsi="Arial" w:cs="Arial"/>
                <w:b/>
                <w:bCs/>
                <w:color w:val="000000"/>
                <w:szCs w:val="22"/>
              </w:rPr>
              <w:t>􀜆</w:t>
            </w:r>
          </w:p>
        </w:tc>
        <w:tc>
          <w:tcPr>
            <w:tcW w:w="2034" w:type="dxa"/>
            <w:tcBorders>
              <w:top w:val="single" w:sz="18" w:space="0" w:color="auto"/>
              <w:left w:val="nil"/>
              <w:bottom w:val="single" w:sz="18" w:space="0" w:color="auto"/>
              <w:right w:val="nil"/>
            </w:tcBorders>
            <w:shd w:val="clear" w:color="auto" w:fill="D9D9D9"/>
            <w:vAlign w:val="center"/>
            <w:hideMark/>
          </w:tcPr>
          <w:p w:rsidR="00BD5B7F" w:rsidRPr="00FF6562" w:rsidRDefault="00BD5B7F" w:rsidP="000E5961">
            <w:pPr>
              <w:jc w:val="center"/>
              <w:rPr>
                <w:rFonts w:ascii="Arial" w:eastAsia="Calibri" w:hAnsi="Arial" w:cs="Arial"/>
                <w:b/>
                <w:bCs/>
                <w:color w:val="FFFFFF"/>
                <w:szCs w:val="22"/>
              </w:rPr>
            </w:pPr>
            <w:r w:rsidRPr="00FF6562">
              <w:rPr>
                <w:rFonts w:ascii="Arial" w:eastAsia="Arial" w:hAnsi="Arial" w:cs="Arial"/>
                <w:b/>
                <w:bCs/>
                <w:color w:val="FFFFFF"/>
                <w:szCs w:val="22"/>
                <w:bdr w:val="none" w:sz="0" w:space="0" w:color="auto" w:frame="1"/>
              </w:rPr>
              <w:t>Stabilité</w:t>
            </w:r>
          </w:p>
          <w:p w:rsidR="00BD5B7F" w:rsidRPr="00FF6562" w:rsidRDefault="00BD5B7F" w:rsidP="000E5961">
            <w:pPr>
              <w:jc w:val="center"/>
              <w:rPr>
                <w:rFonts w:ascii="Arial" w:eastAsia="Calibri" w:hAnsi="Arial" w:cs="Arial"/>
                <w:b/>
                <w:bCs/>
                <w:color w:val="FFFFFF"/>
                <w:szCs w:val="22"/>
              </w:rPr>
            </w:pPr>
            <w:r w:rsidRPr="00FF6562">
              <w:rPr>
                <w:rFonts w:ascii="Arial" w:eastAsia="Arial" w:hAnsi="Arial" w:cs="Arial"/>
                <w:b/>
                <w:bCs/>
                <w:color w:val="000000"/>
                <w:szCs w:val="22"/>
              </w:rPr>
              <w:t>􀜆</w:t>
            </w:r>
          </w:p>
        </w:tc>
        <w:tc>
          <w:tcPr>
            <w:tcW w:w="2089" w:type="dxa"/>
            <w:tcBorders>
              <w:top w:val="single" w:sz="18" w:space="0" w:color="auto"/>
              <w:left w:val="nil"/>
              <w:bottom w:val="single" w:sz="18" w:space="0" w:color="auto"/>
              <w:right w:val="nil"/>
            </w:tcBorders>
            <w:shd w:val="clear" w:color="auto" w:fill="D9D9D9"/>
            <w:vAlign w:val="center"/>
            <w:hideMark/>
          </w:tcPr>
          <w:p w:rsidR="00BD5B7F" w:rsidRPr="00FF6562" w:rsidRDefault="00BD5B7F" w:rsidP="000E5961">
            <w:pPr>
              <w:jc w:val="center"/>
              <w:rPr>
                <w:rFonts w:ascii="Arial" w:eastAsia="Calibri" w:hAnsi="Arial" w:cs="Arial"/>
                <w:b/>
                <w:bCs/>
                <w:color w:val="FFFFFF"/>
                <w:szCs w:val="22"/>
              </w:rPr>
            </w:pPr>
            <w:r w:rsidRPr="00FF6562">
              <w:rPr>
                <w:rFonts w:ascii="Arial" w:eastAsia="Arial" w:hAnsi="Arial" w:cs="Arial"/>
                <w:b/>
                <w:bCs/>
                <w:color w:val="FFFFFF"/>
                <w:szCs w:val="22"/>
                <w:bdr w:val="none" w:sz="0" w:space="0" w:color="auto" w:frame="1"/>
              </w:rPr>
              <w:t>Diminution</w:t>
            </w:r>
          </w:p>
          <w:p w:rsidR="00BD5B7F" w:rsidRPr="00FF6562" w:rsidRDefault="00BD5B7F" w:rsidP="000E5961">
            <w:pPr>
              <w:jc w:val="center"/>
              <w:rPr>
                <w:rFonts w:ascii="Arial" w:eastAsia="Calibri" w:hAnsi="Arial" w:cs="Arial"/>
                <w:b/>
                <w:bCs/>
                <w:color w:val="FFFFFF"/>
                <w:szCs w:val="22"/>
              </w:rPr>
            </w:pPr>
            <w:r w:rsidRPr="00FF6562">
              <w:rPr>
                <w:rFonts w:ascii="Arial" w:eastAsia="Arial" w:hAnsi="Arial" w:cs="Arial"/>
                <w:b/>
                <w:bCs/>
                <w:color w:val="000000"/>
                <w:szCs w:val="22"/>
              </w:rPr>
              <w:t>􀜆</w:t>
            </w:r>
          </w:p>
        </w:tc>
        <w:tc>
          <w:tcPr>
            <w:tcW w:w="2023" w:type="dxa"/>
            <w:tcBorders>
              <w:top w:val="single" w:sz="18" w:space="0" w:color="auto"/>
              <w:left w:val="nil"/>
              <w:bottom w:val="single" w:sz="18" w:space="0" w:color="auto"/>
              <w:right w:val="nil"/>
            </w:tcBorders>
            <w:shd w:val="clear" w:color="auto" w:fill="D9D9D9"/>
            <w:vAlign w:val="center"/>
            <w:hideMark/>
          </w:tcPr>
          <w:p w:rsidR="00BD5B7F" w:rsidRPr="00865DA5" w:rsidRDefault="00BD5B7F" w:rsidP="000E5961">
            <w:pPr>
              <w:jc w:val="center"/>
              <w:rPr>
                <w:rFonts w:ascii="Arial" w:eastAsia="Calibri" w:hAnsi="Arial" w:cs="Arial"/>
                <w:b/>
                <w:bCs/>
                <w:color w:val="FFFFFF"/>
                <w:szCs w:val="22"/>
                <w:lang w:val="fr-FR"/>
              </w:rPr>
            </w:pPr>
            <w:r w:rsidRPr="00865DA5">
              <w:rPr>
                <w:rFonts w:ascii="Arial" w:eastAsia="Arial" w:hAnsi="Arial" w:cs="Arial"/>
                <w:b/>
                <w:bCs/>
                <w:color w:val="FFFFFF"/>
                <w:szCs w:val="22"/>
                <w:bdr w:val="none" w:sz="0" w:space="0" w:color="auto" w:frame="1"/>
                <w:lang w:val="fr-FR"/>
              </w:rPr>
              <w:t>Pas de tendance claire</w:t>
            </w:r>
          </w:p>
          <w:p w:rsidR="00BD5B7F" w:rsidRPr="00865DA5" w:rsidRDefault="00BD5B7F" w:rsidP="000E5961">
            <w:pPr>
              <w:jc w:val="center"/>
              <w:rPr>
                <w:rFonts w:ascii="Arial" w:eastAsia="Calibri" w:hAnsi="Arial" w:cs="Arial"/>
                <w:b/>
                <w:bCs/>
                <w:color w:val="FFFFFF"/>
                <w:szCs w:val="22"/>
                <w:lang w:val="fr-FR"/>
              </w:rPr>
            </w:pPr>
            <w:r w:rsidRPr="00FF6562">
              <w:rPr>
                <w:rFonts w:ascii="Arial" w:eastAsia="Arial" w:hAnsi="Arial" w:cs="Arial"/>
                <w:b/>
                <w:bCs/>
                <w:color w:val="000000"/>
                <w:szCs w:val="22"/>
              </w:rPr>
              <w:t>􀜆</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w:t>
      </w:r>
      <w:r w:rsidRPr="00FF6562">
        <w:rPr>
          <w:rFonts w:ascii="Arial" w:eastAsia="Calibri" w:hAnsi="Arial" w:cs="Arial"/>
          <w:color w:val="000000"/>
          <w:sz w:val="22"/>
          <w:szCs w:val="22"/>
          <w:vertAlign w:val="superscript"/>
        </w:rPr>
        <w:footnoteReference w:id="10"/>
      </w:r>
      <w:r w:rsidRPr="00865DA5">
        <w:rPr>
          <w:rFonts w:ascii="Arial" w:eastAsia="Arial" w:hAnsi="Arial" w:cs="Arial"/>
          <w:color w:val="000000"/>
          <w:sz w:val="22"/>
          <w:szCs w:val="22"/>
          <w:bdr w:val="none" w:sz="0" w:space="0" w:color="auto" w:frame="1"/>
          <w:lang w:val="fr-FR"/>
        </w:rPr>
        <w:t> :</w:t>
      </w:r>
    </w:p>
    <w:p w:rsidR="00BD5B7F" w:rsidRPr="00865DA5" w:rsidRDefault="00BD5B7F" w:rsidP="00BD5B7F">
      <w:pPr>
        <w:rPr>
          <w:rFonts w:ascii="Arial" w:eastAsia="Calibri" w:hAnsi="Arial" w:cs="Arial"/>
          <w:color w:val="000000"/>
          <w:sz w:val="22"/>
          <w:szCs w:val="22"/>
          <w:lang w:val="fr-FR"/>
        </w:rPr>
      </w:pPr>
    </w:p>
    <w:p w:rsidR="00BD5B7F" w:rsidRPr="00865DA5" w:rsidRDefault="00BD5B7F" w:rsidP="00BD5B7F">
      <w:pPr>
        <w:rPr>
          <w:rFonts w:ascii="Arial" w:eastAsia="Calibri" w:hAnsi="Arial" w:cs="Arial"/>
          <w:b/>
          <w:bCs/>
          <w:color w:val="000000"/>
          <w:sz w:val="23"/>
          <w:szCs w:val="23"/>
          <w:lang w:val="fr-FR"/>
        </w:rPr>
      </w:pPr>
      <w:r w:rsidRPr="00865DA5">
        <w:rPr>
          <w:rFonts w:ascii="Arial" w:eastAsia="Calibri" w:hAnsi="Arial" w:cs="Arial"/>
          <w:b/>
          <w:bCs/>
          <w:color w:val="000000"/>
          <w:sz w:val="23"/>
          <w:szCs w:val="23"/>
          <w:lang w:val="fr-FR"/>
        </w:rPr>
        <w:br w:type="page"/>
      </w:r>
    </w:p>
    <w:p w:rsidR="00BD5B7F" w:rsidRPr="00865DA5" w:rsidRDefault="00BD5B7F" w:rsidP="00BD5B7F">
      <w:pPr>
        <w:keepNext/>
        <w:keepLines/>
        <w:spacing w:after="120"/>
        <w:jc w:val="both"/>
        <w:outlineLvl w:val="3"/>
        <w:rPr>
          <w:rFonts w:ascii="Arial" w:hAnsi="Arial" w:cs="Arial"/>
          <w:b/>
          <w:iCs/>
          <w:color w:val="000000"/>
          <w:sz w:val="28"/>
          <w:szCs w:val="18"/>
          <w:lang w:val="fr-FR"/>
        </w:rPr>
      </w:pPr>
      <w:bookmarkStart w:id="42" w:name="_Toc486539574"/>
      <w:bookmarkStart w:id="43" w:name="_Toc491245237"/>
      <w:r w:rsidRPr="00865DA5">
        <w:rPr>
          <w:rFonts w:ascii="Arial" w:eastAsia="Arial" w:hAnsi="Arial" w:cs="Arial"/>
          <w:b/>
          <w:bCs/>
          <w:iCs/>
          <w:color w:val="000000"/>
          <w:sz w:val="28"/>
          <w:szCs w:val="28"/>
          <w:bdr w:val="none" w:sz="0" w:space="0" w:color="auto" w:frame="1"/>
          <w:lang w:val="fr-FR"/>
        </w:rPr>
        <w:lastRenderedPageBreak/>
        <w:t xml:space="preserve">3. Connaissance de l’étendue des cas d’IKB par les </w:t>
      </w:r>
      <w:bookmarkEnd w:id="42"/>
      <w:r w:rsidRPr="00865DA5">
        <w:rPr>
          <w:rFonts w:ascii="Arial" w:eastAsia="Arial" w:hAnsi="Arial" w:cs="Arial"/>
          <w:b/>
          <w:bCs/>
          <w:iCs/>
          <w:color w:val="000000"/>
          <w:sz w:val="28"/>
          <w:szCs w:val="28"/>
          <w:bdr w:val="none" w:sz="0" w:space="0" w:color="auto" w:frame="1"/>
          <w:lang w:val="fr-FR"/>
        </w:rPr>
        <w:t>autorités nationales</w:t>
      </w:r>
      <w:bookmarkEnd w:id="43"/>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Le niveau de disponibilité des données sur les activités illégales à l’échelle nationale.</w:t>
      </w:r>
    </w:p>
    <w:p w:rsidR="00BD5B7F" w:rsidRPr="00865DA5" w:rsidRDefault="00BD5B7F" w:rsidP="00BD5B7F">
      <w:pPr>
        <w:spacing w:after="120"/>
        <w:jc w:val="both"/>
        <w:rPr>
          <w:rFonts w:ascii="Arial" w:eastAsia="Calibri" w:hAnsi="Arial" w:cs="Arial"/>
          <w:color w:val="000000"/>
          <w:sz w:val="22"/>
          <w:szCs w:val="22"/>
          <w:lang w:val="fr-FR"/>
        </w:rPr>
      </w:pPr>
    </w:p>
    <w:p w:rsidR="00BD5B7F" w:rsidRPr="00865DA5" w:rsidRDefault="00BD5B7F" w:rsidP="00BD5B7F">
      <w:pPr>
        <w:spacing w:after="120"/>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Des données sur la situation et l’échelle des cas d’IKB sont-elles disponibles ?</w:t>
      </w:r>
    </w:p>
    <w:p w:rsidR="00BD5B7F" w:rsidRPr="00865DA5" w:rsidRDefault="00BD5B7F" w:rsidP="00BD5B7F">
      <w:pPr>
        <w:spacing w:after="120"/>
        <w:jc w:val="both"/>
        <w:rPr>
          <w:rFonts w:ascii="Arial" w:eastAsia="Calibri" w:hAnsi="Arial" w:cs="Arial"/>
          <w:b/>
          <w:bCs/>
          <w:i/>
          <w:iCs/>
          <w:color w:val="000000"/>
          <w:sz w:val="22"/>
          <w:szCs w:val="22"/>
          <w:lang w:val="fr-FR"/>
        </w:rPr>
      </w:pPr>
    </w:p>
    <w:p w:rsidR="00BD5B7F" w:rsidRPr="00FF6562" w:rsidRDefault="00BD5B7F" w:rsidP="00BD5B7F">
      <w:pPr>
        <w:spacing w:after="120"/>
        <w:rPr>
          <w:rFonts w:ascii="Arial" w:eastAsia="Calibri" w:hAnsi="Arial" w:cs="Arial"/>
          <w:i/>
          <w:iCs/>
          <w:color w:val="000000"/>
          <w:sz w:val="22"/>
          <w:szCs w:val="22"/>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2304"/>
        <w:gridCol w:w="15"/>
        <w:gridCol w:w="2310"/>
        <w:gridCol w:w="24"/>
        <w:gridCol w:w="2327"/>
      </w:tblGrid>
      <w:tr w:rsidR="00BD5B7F" w:rsidRPr="00FF6562" w:rsidTr="000E5961">
        <w:tc>
          <w:tcPr>
            <w:tcW w:w="2310"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2"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3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30"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trHeight w:val="2346"/>
        </w:trPr>
        <w:tc>
          <w:tcPr>
            <w:tcW w:w="2310"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 données sur le nombre et la répartition des cas d’IKB </w:t>
            </w:r>
            <w:r w:rsidRPr="00865DA5">
              <w:rPr>
                <w:rFonts w:ascii="Arial" w:eastAsia="Arial" w:hAnsi="Arial" w:cs="Arial"/>
                <w:b/>
                <w:bCs/>
                <w:color w:val="000000"/>
                <w:sz w:val="18"/>
                <w:szCs w:val="18"/>
                <w:bdr w:val="none" w:sz="0" w:space="0" w:color="auto" w:frame="1"/>
                <w:lang w:val="fr-FR"/>
              </w:rPr>
              <w:t>ne sont pas</w:t>
            </w:r>
            <w:r w:rsidRPr="00865DA5">
              <w:rPr>
                <w:rFonts w:ascii="Arial" w:eastAsia="Arial" w:hAnsi="Arial" w:cs="Arial"/>
                <w:color w:val="000000"/>
                <w:sz w:val="18"/>
                <w:szCs w:val="18"/>
                <w:bdr w:val="none" w:sz="0" w:space="0" w:color="auto" w:frame="1"/>
                <w:lang w:val="fr-FR"/>
              </w:rPr>
              <w:t xml:space="preserve"> </w:t>
            </w:r>
            <w:r w:rsidRPr="00865DA5">
              <w:rPr>
                <w:rFonts w:ascii="Arial" w:eastAsia="Arial" w:hAnsi="Arial" w:cs="Arial"/>
                <w:b/>
                <w:bCs/>
                <w:color w:val="000000"/>
                <w:sz w:val="18"/>
                <w:szCs w:val="18"/>
                <w:bdr w:val="none" w:sz="0" w:space="0" w:color="auto" w:frame="1"/>
                <w:lang w:val="fr-FR"/>
              </w:rPr>
              <w:t>disponibles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 données sur le nombre et la répartition des cas d’IKB sont disponibles mais </w:t>
            </w:r>
            <w:r w:rsidRPr="00865DA5">
              <w:rPr>
                <w:rFonts w:ascii="Arial" w:eastAsia="Arial" w:hAnsi="Arial" w:cs="Arial"/>
                <w:b/>
                <w:bCs/>
                <w:color w:val="000000"/>
                <w:sz w:val="18"/>
                <w:szCs w:val="18"/>
                <w:bdr w:val="none" w:sz="0" w:space="0" w:color="auto" w:frame="1"/>
                <w:lang w:val="fr-FR"/>
              </w:rPr>
              <w:t>n’ont pas été utilisées</w:t>
            </w:r>
            <w:r w:rsidRPr="00865DA5">
              <w:rPr>
                <w:rFonts w:ascii="Arial" w:eastAsia="Arial" w:hAnsi="Arial" w:cs="Arial"/>
                <w:color w:val="000000"/>
                <w:sz w:val="18"/>
                <w:szCs w:val="18"/>
                <w:bdr w:val="none" w:sz="0" w:space="0" w:color="auto" w:frame="1"/>
                <w:lang w:val="fr-FR"/>
              </w:rPr>
              <w:t xml:space="preserve"> pour évaluer l’échelle et la répartition de l’IKB</w:t>
            </w:r>
          </w:p>
        </w:tc>
        <w:tc>
          <w:tcPr>
            <w:tcW w:w="2307"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L’estimation nationale du nombre et de la répartition des cas d’IKB </w:t>
            </w:r>
            <w:r w:rsidRPr="00865DA5">
              <w:rPr>
                <w:rFonts w:ascii="Arial" w:eastAsia="Arial" w:hAnsi="Arial" w:cs="Arial"/>
                <w:b/>
                <w:bCs/>
                <w:color w:val="000000"/>
                <w:sz w:val="18"/>
                <w:szCs w:val="18"/>
                <w:bdr w:val="none" w:sz="0" w:space="0" w:color="auto" w:frame="1"/>
                <w:lang w:val="fr-FR"/>
              </w:rPr>
              <w:t>est entièrement basée sur des avis d’experts</w:t>
            </w:r>
            <w:r w:rsidRPr="00865DA5">
              <w:rPr>
                <w:rFonts w:ascii="Arial" w:eastAsia="Arial" w:hAnsi="Arial" w:cs="Arial"/>
                <w:color w:val="000000"/>
                <w:sz w:val="18"/>
                <w:szCs w:val="18"/>
                <w:bdr w:val="none" w:sz="0" w:space="0" w:color="auto" w:frame="1"/>
                <w:lang w:val="fr-FR"/>
              </w:rPr>
              <w:t xml:space="preserve"> / la modélisation / d’autres méthodes indirectes </w:t>
            </w:r>
          </w:p>
        </w:tc>
        <w:tc>
          <w:tcPr>
            <w:tcW w:w="2328"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L’estimation nationale de l’échelle et de la répartition des cas d’IKB </w:t>
            </w:r>
            <w:r w:rsidRPr="00865DA5">
              <w:rPr>
                <w:rFonts w:ascii="Arial" w:eastAsia="Arial" w:hAnsi="Arial" w:cs="Arial"/>
                <w:b/>
                <w:bCs/>
                <w:color w:val="000000"/>
                <w:sz w:val="18"/>
                <w:szCs w:val="18"/>
                <w:bdr w:val="none" w:sz="0" w:space="0" w:color="auto" w:frame="1"/>
                <w:lang w:val="fr-FR"/>
              </w:rPr>
              <w:t>est extrapolée</w:t>
            </w:r>
            <w:r w:rsidRPr="00865DA5">
              <w:rPr>
                <w:rFonts w:ascii="Arial" w:eastAsia="Arial" w:hAnsi="Arial" w:cs="Arial"/>
                <w:color w:val="000000"/>
                <w:sz w:val="18"/>
                <w:szCs w:val="18"/>
                <w:bdr w:val="none" w:sz="0" w:space="0" w:color="auto" w:frame="1"/>
                <w:lang w:val="fr-FR"/>
              </w:rPr>
              <w:t xml:space="preserve"> sur la base de statistiques</w:t>
            </w:r>
            <w:r w:rsidRPr="00865DA5">
              <w:rPr>
                <w:rFonts w:ascii="Arial" w:eastAsia="Arial" w:hAnsi="Arial" w:cs="Arial"/>
                <w:b/>
                <w:bCs/>
                <w:color w:val="000000"/>
                <w:sz w:val="18"/>
                <w:szCs w:val="18"/>
                <w:bdr w:val="none" w:sz="0" w:space="0" w:color="auto" w:frame="1"/>
                <w:lang w:val="fr-FR"/>
              </w:rPr>
              <w:t xml:space="preserve"> partielles</w:t>
            </w:r>
            <w:r w:rsidRPr="00865DA5">
              <w:rPr>
                <w:rFonts w:ascii="Arial" w:eastAsia="Arial" w:hAnsi="Arial" w:cs="Arial"/>
                <w:color w:val="000000"/>
                <w:sz w:val="18"/>
                <w:szCs w:val="18"/>
                <w:bdr w:val="none" w:sz="0" w:space="0" w:color="auto" w:frame="1"/>
                <w:lang w:val="fr-FR"/>
              </w:rPr>
              <w:t>, rendues publiques, portant sur la criminalité et notamment sur l’IKB</w:t>
            </w:r>
          </w:p>
        </w:tc>
        <w:tc>
          <w:tcPr>
            <w:tcW w:w="2354"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 données nationales sur les cas d’IKB sont disponibles et sont </w:t>
            </w:r>
            <w:r w:rsidRPr="00865DA5">
              <w:rPr>
                <w:rFonts w:ascii="Arial" w:eastAsia="Arial" w:hAnsi="Arial" w:cs="Arial"/>
                <w:b/>
                <w:bCs/>
                <w:color w:val="000000"/>
                <w:sz w:val="18"/>
                <w:szCs w:val="18"/>
                <w:bdr w:val="none" w:sz="0" w:space="0" w:color="auto" w:frame="1"/>
                <w:lang w:val="fr-FR"/>
              </w:rPr>
              <w:t>basées sur des statistiques officielles complètes</w:t>
            </w:r>
            <w:r w:rsidRPr="00865DA5">
              <w:rPr>
                <w:rFonts w:ascii="Arial" w:eastAsia="Arial" w:hAnsi="Arial" w:cs="Arial"/>
                <w:color w:val="000000"/>
                <w:sz w:val="18"/>
                <w:szCs w:val="18"/>
                <w:bdr w:val="none" w:sz="0" w:space="0" w:color="auto" w:frame="1"/>
                <w:lang w:val="fr-FR"/>
              </w:rPr>
              <w:t xml:space="preserve"> et rendues publiques, portant sur la criminalité et notamment sur l’IKB</w:t>
            </w:r>
          </w:p>
        </w:tc>
      </w:tr>
    </w:tbl>
    <w:p w:rsidR="00BD5B7F" w:rsidRPr="00865DA5" w:rsidRDefault="00BD5B7F" w:rsidP="00BD5B7F">
      <w:pPr>
        <w:rPr>
          <w:rFonts w:ascii="Arial" w:eastAsia="Calibri" w:hAnsi="Arial" w:cs="Arial"/>
          <w:color w:val="000000"/>
          <w:sz w:val="22"/>
          <w:szCs w:val="22"/>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rPr>
          <w:rFonts w:ascii="Arial" w:eastAsia="Calibri" w:hAnsi="Arial" w:cs="Arial"/>
          <w:color w:val="000000"/>
          <w:sz w:val="22"/>
          <w:szCs w:val="22"/>
          <w:lang w:val="fr-FR"/>
        </w:rPr>
      </w:pPr>
      <w:r w:rsidRPr="00865DA5">
        <w:rPr>
          <w:rFonts w:ascii="Arial" w:eastAsia="Calibri" w:hAnsi="Arial" w:cs="Arial"/>
          <w:color w:val="000000"/>
          <w:sz w:val="22"/>
          <w:szCs w:val="22"/>
          <w:lang w:val="fr-FR"/>
        </w:rPr>
        <w:br w:type="page"/>
      </w:r>
    </w:p>
    <w:p w:rsidR="00BD5B7F" w:rsidRPr="00865DA5" w:rsidRDefault="00BD5B7F" w:rsidP="00BD5B7F">
      <w:pPr>
        <w:keepNext/>
        <w:keepLines/>
        <w:spacing w:after="120"/>
        <w:jc w:val="both"/>
        <w:outlineLvl w:val="3"/>
        <w:rPr>
          <w:rFonts w:ascii="Arial" w:hAnsi="Arial" w:cs="Arial"/>
          <w:b/>
          <w:iCs/>
          <w:color w:val="000000"/>
          <w:sz w:val="28"/>
          <w:szCs w:val="22"/>
          <w:lang w:val="fr-FR"/>
        </w:rPr>
      </w:pPr>
      <w:bookmarkStart w:id="44" w:name="_Toc491245238"/>
      <w:bookmarkStart w:id="45" w:name="_Toc486539575"/>
      <w:r w:rsidRPr="00865DA5">
        <w:rPr>
          <w:rFonts w:ascii="Arial" w:eastAsia="Arial" w:hAnsi="Arial" w:cs="Arial"/>
          <w:b/>
          <w:bCs/>
          <w:iCs/>
          <w:color w:val="000000"/>
          <w:sz w:val="28"/>
          <w:szCs w:val="28"/>
          <w:bdr w:val="none" w:sz="0" w:space="0" w:color="auto" w:frame="1"/>
          <w:lang w:val="fr-FR"/>
        </w:rPr>
        <w:lastRenderedPageBreak/>
        <w:t>4. Nombre de cas d’IKB ayant fait l’objet de poursuites au cours de la période considérée</w:t>
      </w:r>
      <w:bookmarkEnd w:id="44"/>
      <w:bookmarkEnd w:id="45"/>
    </w:p>
    <w:p w:rsidR="00BD5B7F" w:rsidRPr="00865DA5" w:rsidRDefault="00BD5B7F" w:rsidP="00BD5B7F">
      <w:pPr>
        <w:spacing w:after="120"/>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Le nombre cas d’IKB ayant fait l’objet de poursuites au cours de la période considérée.</w:t>
      </w:r>
    </w:p>
    <w:p w:rsidR="00BD5B7F" w:rsidRPr="00865DA5" w:rsidRDefault="00BD5B7F" w:rsidP="00BD5B7F">
      <w:pPr>
        <w:spacing w:after="120"/>
        <w:jc w:val="both"/>
        <w:rPr>
          <w:rFonts w:ascii="Arial" w:eastAsia="Calibri" w:hAnsi="Arial" w:cs="Arial"/>
          <w:color w:val="000000"/>
          <w:sz w:val="22"/>
          <w:szCs w:val="22"/>
          <w:lang w:val="fr-FR"/>
        </w:rPr>
      </w:pPr>
    </w:p>
    <w:p w:rsidR="00BD5B7F" w:rsidRPr="00865DA5" w:rsidRDefault="00BD5B7F" w:rsidP="00BD5B7F">
      <w:pPr>
        <w:spacing w:after="120"/>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Combien de cas d’IKB ont fait l’objet de poursuites dans votre pays au cours de la période considérée ?</w:t>
      </w:r>
    </w:p>
    <w:p w:rsidR="00BD5B7F" w:rsidRPr="00865DA5" w:rsidRDefault="00BD5B7F" w:rsidP="00BD5B7F">
      <w:pPr>
        <w:spacing w:after="120"/>
        <w:ind w:left="851" w:hanging="851"/>
        <w:jc w:val="both"/>
        <w:rPr>
          <w:rFonts w:ascii="Arial" w:eastAsia="Calibri" w:hAnsi="Arial" w:cs="Arial"/>
          <w:b/>
          <w:bCs/>
          <w:i/>
          <w:iCs/>
          <w:color w:val="000000"/>
          <w:sz w:val="22"/>
          <w:szCs w:val="22"/>
          <w:lang w:val="fr-FR"/>
        </w:rPr>
      </w:pPr>
    </w:p>
    <w:p w:rsidR="00BD5B7F" w:rsidRPr="00865DA5" w:rsidRDefault="00BD5B7F" w:rsidP="00BD5B7F">
      <w:pPr>
        <w:spacing w:after="120"/>
        <w:jc w:val="both"/>
        <w:rPr>
          <w:rFonts w:ascii="Arial" w:eastAsia="Calibri" w:hAnsi="Arial" w:cs="Arial"/>
          <w:i/>
          <w:iCs/>
          <w:color w:val="000000"/>
          <w:sz w:val="22"/>
          <w:szCs w:val="22"/>
          <w:lang w:val="fr-FR"/>
        </w:rPr>
      </w:pPr>
      <w:r w:rsidRPr="00865DA5">
        <w:rPr>
          <w:rFonts w:ascii="Arial" w:eastAsia="Arial" w:hAnsi="Arial" w:cs="Arial"/>
          <w:i/>
          <w:iCs/>
          <w:color w:val="000000"/>
          <w:sz w:val="22"/>
          <w:szCs w:val="22"/>
          <w:bdr w:val="none" w:sz="0" w:space="0" w:color="auto" w:frame="1"/>
          <w:lang w:val="fr-FR"/>
        </w:rPr>
        <w:t>Renseignements sur le nombre de cas d’IKB ayant fait l’objet de poursuites au cours de la période d’évaluation</w:t>
      </w:r>
    </w:p>
    <w:tbl>
      <w:tblPr>
        <w:tblW w:w="0" w:type="auto"/>
        <w:tblBorders>
          <w:top w:val="single" w:sz="18" w:space="0" w:color="auto"/>
          <w:bottom w:val="single" w:sz="18" w:space="0" w:color="auto"/>
        </w:tblBorders>
        <w:tblLook w:val="04A0" w:firstRow="1" w:lastRow="0" w:firstColumn="1" w:lastColumn="0" w:noHBand="0" w:noVBand="1"/>
      </w:tblPr>
      <w:tblGrid>
        <w:gridCol w:w="4729"/>
        <w:gridCol w:w="2298"/>
        <w:gridCol w:w="2259"/>
      </w:tblGrid>
      <w:tr w:rsidR="00BD5B7F" w:rsidRPr="00FC42B0" w:rsidTr="000E5961">
        <w:tc>
          <w:tcPr>
            <w:tcW w:w="5070" w:type="dxa"/>
            <w:tcBorders>
              <w:top w:val="inset" w:sz="6" w:space="0" w:color="auto"/>
              <w:left w:val="nil"/>
              <w:bottom w:val="inset" w:sz="6" w:space="0" w:color="auto"/>
              <w:right w:val="nil"/>
            </w:tcBorders>
            <w:shd w:val="clear" w:color="auto" w:fill="4F81BD"/>
            <w:vAlign w:val="center"/>
            <w:hideMark/>
          </w:tcPr>
          <w:p w:rsidR="00BD5B7F" w:rsidRPr="00FF6562" w:rsidRDefault="00BD5B7F" w:rsidP="000E5961">
            <w:pPr>
              <w:rPr>
                <w:rFonts w:ascii="Arial" w:eastAsia="Calibri" w:hAnsi="Arial" w:cs="Arial"/>
                <w:b/>
                <w:bCs/>
                <w:iCs/>
                <w:color w:val="FFFFFF"/>
                <w:sz w:val="22"/>
                <w:szCs w:val="22"/>
              </w:rPr>
            </w:pPr>
            <w:r w:rsidRPr="00FF6562">
              <w:rPr>
                <w:rFonts w:ascii="Arial" w:eastAsia="Arial" w:hAnsi="Arial" w:cs="Arial"/>
                <w:b/>
                <w:bCs/>
                <w:iCs/>
                <w:color w:val="FFFFFF"/>
                <w:sz w:val="22"/>
                <w:szCs w:val="22"/>
                <w:bdr w:val="none" w:sz="0" w:space="0" w:color="auto" w:frame="1"/>
              </w:rPr>
              <w:t>Catégorie d’infraction IKB</w:t>
            </w:r>
          </w:p>
        </w:tc>
        <w:tc>
          <w:tcPr>
            <w:tcW w:w="2409" w:type="dxa"/>
            <w:tcBorders>
              <w:top w:val="inset" w:sz="6" w:space="0" w:color="auto"/>
              <w:left w:val="nil"/>
              <w:bottom w:val="inset" w:sz="6" w:space="0" w:color="auto"/>
              <w:right w:val="nil"/>
            </w:tcBorders>
            <w:shd w:val="clear" w:color="auto" w:fill="4F81BD"/>
            <w:vAlign w:val="center"/>
            <w:hideMark/>
          </w:tcPr>
          <w:p w:rsidR="00BD5B7F" w:rsidRPr="00865DA5" w:rsidRDefault="00BD5B7F" w:rsidP="000E5961">
            <w:pPr>
              <w:jc w:val="center"/>
              <w:rPr>
                <w:rFonts w:ascii="Arial" w:eastAsia="Calibri" w:hAnsi="Arial" w:cs="Arial"/>
                <w:b/>
                <w:bCs/>
                <w:iCs/>
                <w:color w:val="FFFFFF"/>
                <w:sz w:val="22"/>
                <w:szCs w:val="22"/>
                <w:lang w:val="fr-FR"/>
              </w:rPr>
            </w:pPr>
            <w:r w:rsidRPr="00865DA5">
              <w:rPr>
                <w:rFonts w:ascii="Arial" w:eastAsia="Arial" w:hAnsi="Arial" w:cs="Arial"/>
                <w:b/>
                <w:bCs/>
                <w:iCs/>
                <w:color w:val="FFFFFF"/>
                <w:sz w:val="22"/>
                <w:szCs w:val="22"/>
                <w:bdr w:val="none" w:sz="0" w:space="0" w:color="auto" w:frame="1"/>
                <w:lang w:val="fr-FR"/>
              </w:rPr>
              <w:t xml:space="preserve">Nombre de personnes poursuivies au cours de la période d’évaluation </w:t>
            </w:r>
          </w:p>
        </w:tc>
        <w:tc>
          <w:tcPr>
            <w:tcW w:w="2375" w:type="dxa"/>
            <w:tcBorders>
              <w:top w:val="inset" w:sz="6" w:space="0" w:color="auto"/>
              <w:left w:val="nil"/>
              <w:bottom w:val="inset" w:sz="6" w:space="0" w:color="auto"/>
              <w:right w:val="nil"/>
            </w:tcBorders>
            <w:shd w:val="clear" w:color="auto" w:fill="4F81BD"/>
            <w:vAlign w:val="center"/>
            <w:hideMark/>
          </w:tcPr>
          <w:p w:rsidR="00BD5B7F" w:rsidRPr="00865DA5" w:rsidRDefault="00BD5B7F" w:rsidP="000E5961">
            <w:pPr>
              <w:jc w:val="center"/>
              <w:rPr>
                <w:rFonts w:ascii="Arial" w:eastAsia="Calibri" w:hAnsi="Arial" w:cs="Arial"/>
                <w:b/>
                <w:bCs/>
                <w:iCs/>
                <w:color w:val="FFFFFF"/>
                <w:sz w:val="22"/>
                <w:szCs w:val="22"/>
                <w:lang w:val="fr-FR"/>
              </w:rPr>
            </w:pPr>
            <w:r w:rsidRPr="00865DA5">
              <w:rPr>
                <w:rFonts w:ascii="Arial" w:eastAsia="Arial" w:hAnsi="Arial" w:cs="Arial"/>
                <w:b/>
                <w:bCs/>
                <w:iCs/>
                <w:color w:val="FFFFFF"/>
                <w:sz w:val="22"/>
                <w:szCs w:val="22"/>
                <w:bdr w:val="none" w:sz="0" w:space="0" w:color="auto" w:frame="1"/>
                <w:lang w:val="fr-FR"/>
              </w:rPr>
              <w:t>Nombre de spécimens d’oiseaux faisant l’objet de l’infraction (spécimens saisis)</w:t>
            </w:r>
          </w:p>
        </w:tc>
      </w:tr>
      <w:tr w:rsidR="00BD5B7F" w:rsidRPr="00FC42B0" w:rsidTr="000E5961">
        <w:tc>
          <w:tcPr>
            <w:tcW w:w="5070" w:type="dxa"/>
            <w:tcBorders>
              <w:top w:val="inset" w:sz="6" w:space="0" w:color="auto"/>
              <w:left w:val="nil"/>
              <w:bottom w:val="nil"/>
              <w:right w:val="nil"/>
            </w:tcBorders>
            <w:shd w:val="clear" w:color="auto" w:fill="4F81BD"/>
            <w:hideMark/>
          </w:tcPr>
          <w:p w:rsidR="00BD5B7F" w:rsidRPr="00865DA5" w:rsidRDefault="00BD5B7F" w:rsidP="000E5961">
            <w:pPr>
              <w:rPr>
                <w:rFonts w:ascii="Arial" w:eastAsia="Calibri" w:hAnsi="Arial" w:cs="Arial"/>
                <w:b/>
                <w:bCs/>
                <w:iCs/>
                <w:color w:val="FFFFFF"/>
                <w:szCs w:val="18"/>
                <w:lang w:val="fr-FR"/>
              </w:rPr>
            </w:pPr>
            <w:r w:rsidRPr="00865DA5">
              <w:rPr>
                <w:rFonts w:ascii="Arial" w:eastAsia="Arial" w:hAnsi="Arial" w:cs="Arial"/>
                <w:b/>
                <w:bCs/>
                <w:iCs/>
                <w:color w:val="FFFFFF"/>
                <w:bdr w:val="none" w:sz="0" w:space="0" w:color="auto" w:frame="1"/>
                <w:lang w:val="fr-FR"/>
              </w:rPr>
              <w:t>Abattage illégal d’oiseaux protégés (tir, empoisonnement, autres méthodes d’abattage)</w:t>
            </w:r>
          </w:p>
        </w:tc>
        <w:tc>
          <w:tcPr>
            <w:tcW w:w="2409" w:type="dxa"/>
            <w:tcBorders>
              <w:top w:val="inset" w:sz="6" w:space="0" w:color="auto"/>
              <w:left w:val="nil"/>
              <w:bottom w:val="nil"/>
              <w:right w:val="nil"/>
            </w:tcBorders>
            <w:shd w:val="clear" w:color="auto" w:fill="D8D8D8"/>
            <w:vAlign w:val="center"/>
          </w:tcPr>
          <w:p w:rsidR="00BD5B7F" w:rsidRPr="00865DA5" w:rsidRDefault="00BD5B7F" w:rsidP="000E5961">
            <w:pPr>
              <w:jc w:val="center"/>
              <w:rPr>
                <w:rFonts w:ascii="Arial" w:eastAsia="Calibri" w:hAnsi="Arial" w:cs="Arial"/>
                <w:i/>
                <w:iCs/>
                <w:color w:val="000000"/>
                <w:sz w:val="18"/>
                <w:szCs w:val="18"/>
                <w:lang w:val="fr-FR"/>
              </w:rPr>
            </w:pPr>
          </w:p>
        </w:tc>
        <w:tc>
          <w:tcPr>
            <w:tcW w:w="2375" w:type="dxa"/>
            <w:tcBorders>
              <w:top w:val="inset" w:sz="6" w:space="0" w:color="auto"/>
              <w:left w:val="nil"/>
              <w:bottom w:val="nil"/>
              <w:right w:val="nil"/>
            </w:tcBorders>
            <w:shd w:val="clear" w:color="auto" w:fill="D8D8D8"/>
            <w:vAlign w:val="center"/>
          </w:tcPr>
          <w:p w:rsidR="00BD5B7F" w:rsidRPr="00865DA5" w:rsidRDefault="00BD5B7F" w:rsidP="000E5961">
            <w:pPr>
              <w:jc w:val="center"/>
              <w:rPr>
                <w:rFonts w:ascii="Arial" w:eastAsia="Calibri" w:hAnsi="Arial" w:cs="Arial"/>
                <w:i/>
                <w:iCs/>
                <w:color w:val="000000"/>
                <w:sz w:val="18"/>
                <w:szCs w:val="18"/>
                <w:lang w:val="fr-FR"/>
              </w:rPr>
            </w:pPr>
          </w:p>
        </w:tc>
      </w:tr>
      <w:tr w:rsidR="00BD5B7F" w:rsidRPr="00FC42B0" w:rsidTr="000E5961">
        <w:tc>
          <w:tcPr>
            <w:tcW w:w="5070" w:type="dxa"/>
            <w:tcBorders>
              <w:top w:val="nil"/>
              <w:left w:val="nil"/>
              <w:bottom w:val="nil"/>
              <w:right w:val="nil"/>
            </w:tcBorders>
            <w:shd w:val="clear" w:color="auto" w:fill="4F81BD"/>
            <w:hideMark/>
          </w:tcPr>
          <w:p w:rsidR="00BD5B7F" w:rsidRPr="00865DA5" w:rsidRDefault="00BD5B7F" w:rsidP="000E5961">
            <w:pPr>
              <w:rPr>
                <w:rFonts w:ascii="Arial" w:eastAsia="Calibri" w:hAnsi="Arial" w:cs="Arial"/>
                <w:b/>
                <w:bCs/>
                <w:iCs/>
                <w:color w:val="FFFFFF"/>
                <w:szCs w:val="18"/>
                <w:lang w:val="fr-FR"/>
              </w:rPr>
            </w:pPr>
            <w:r w:rsidRPr="00865DA5">
              <w:rPr>
                <w:rFonts w:ascii="Arial" w:eastAsia="Arial" w:hAnsi="Arial" w:cs="Arial"/>
                <w:b/>
                <w:bCs/>
                <w:iCs/>
                <w:color w:val="FFFFFF"/>
                <w:bdr w:val="none" w:sz="0" w:space="0" w:color="auto" w:frame="1"/>
                <w:lang w:val="fr-FR"/>
              </w:rPr>
              <w:t>Prélèvement illégal d’oiseaux protégés (piégeage par tout moyen)</w:t>
            </w:r>
          </w:p>
        </w:tc>
        <w:tc>
          <w:tcPr>
            <w:tcW w:w="2409" w:type="dxa"/>
            <w:tcBorders>
              <w:top w:val="nil"/>
              <w:left w:val="nil"/>
              <w:bottom w:val="nil"/>
              <w:right w:val="nil"/>
            </w:tcBorders>
            <w:vAlign w:val="center"/>
          </w:tcPr>
          <w:p w:rsidR="00BD5B7F" w:rsidRPr="00865DA5" w:rsidRDefault="00BD5B7F" w:rsidP="000E5961">
            <w:pPr>
              <w:jc w:val="center"/>
              <w:rPr>
                <w:rFonts w:ascii="Arial" w:eastAsia="Calibri" w:hAnsi="Arial" w:cs="Arial"/>
                <w:i/>
                <w:iCs/>
                <w:color w:val="000000"/>
                <w:sz w:val="18"/>
                <w:szCs w:val="18"/>
                <w:lang w:val="fr-FR"/>
              </w:rPr>
            </w:pPr>
          </w:p>
        </w:tc>
        <w:tc>
          <w:tcPr>
            <w:tcW w:w="2375" w:type="dxa"/>
            <w:tcBorders>
              <w:top w:val="nil"/>
              <w:left w:val="nil"/>
              <w:bottom w:val="nil"/>
              <w:right w:val="nil"/>
            </w:tcBorders>
            <w:vAlign w:val="center"/>
          </w:tcPr>
          <w:p w:rsidR="00BD5B7F" w:rsidRPr="00865DA5" w:rsidRDefault="00BD5B7F" w:rsidP="000E5961">
            <w:pPr>
              <w:jc w:val="center"/>
              <w:rPr>
                <w:rFonts w:ascii="Arial" w:eastAsia="Calibri" w:hAnsi="Arial" w:cs="Arial"/>
                <w:i/>
                <w:iCs/>
                <w:color w:val="000000"/>
                <w:sz w:val="18"/>
                <w:szCs w:val="18"/>
                <w:lang w:val="fr-FR"/>
              </w:rPr>
            </w:pPr>
          </w:p>
        </w:tc>
      </w:tr>
      <w:tr w:rsidR="00BD5B7F" w:rsidRPr="00FC42B0" w:rsidTr="000E5961">
        <w:tc>
          <w:tcPr>
            <w:tcW w:w="5070" w:type="dxa"/>
            <w:tcBorders>
              <w:top w:val="nil"/>
              <w:left w:val="nil"/>
              <w:bottom w:val="nil"/>
              <w:right w:val="nil"/>
            </w:tcBorders>
            <w:shd w:val="clear" w:color="auto" w:fill="4F81BD"/>
            <w:hideMark/>
          </w:tcPr>
          <w:p w:rsidR="00BD5B7F" w:rsidRPr="00865DA5" w:rsidRDefault="00BD5B7F" w:rsidP="000E5961">
            <w:pPr>
              <w:rPr>
                <w:rFonts w:ascii="Arial" w:eastAsia="Calibri" w:hAnsi="Arial" w:cs="Arial"/>
                <w:b/>
                <w:bCs/>
                <w:iCs/>
                <w:color w:val="FFFFFF"/>
                <w:szCs w:val="18"/>
                <w:lang w:val="fr-FR"/>
              </w:rPr>
            </w:pPr>
            <w:r w:rsidRPr="00865DA5">
              <w:rPr>
                <w:rFonts w:ascii="Arial" w:eastAsia="Arial" w:hAnsi="Arial" w:cs="Arial"/>
                <w:b/>
                <w:bCs/>
                <w:iCs/>
                <w:color w:val="FFFFFF"/>
                <w:bdr w:val="none" w:sz="0" w:space="0" w:color="auto" w:frame="1"/>
                <w:lang w:val="fr-FR"/>
              </w:rPr>
              <w:t>Possession illégale d’oiseaux protégés vivants ou morts</w:t>
            </w:r>
          </w:p>
        </w:tc>
        <w:tc>
          <w:tcPr>
            <w:tcW w:w="2409" w:type="dxa"/>
            <w:tcBorders>
              <w:top w:val="nil"/>
              <w:left w:val="nil"/>
              <w:bottom w:val="nil"/>
              <w:right w:val="nil"/>
            </w:tcBorders>
            <w:shd w:val="clear" w:color="auto" w:fill="D8D8D8"/>
            <w:vAlign w:val="center"/>
          </w:tcPr>
          <w:p w:rsidR="00BD5B7F" w:rsidRPr="00865DA5" w:rsidRDefault="00BD5B7F" w:rsidP="000E5961">
            <w:pPr>
              <w:jc w:val="center"/>
              <w:rPr>
                <w:rFonts w:ascii="Arial" w:eastAsia="Calibri" w:hAnsi="Arial" w:cs="Arial"/>
                <w:i/>
                <w:iCs/>
                <w:color w:val="000000"/>
                <w:sz w:val="18"/>
                <w:szCs w:val="18"/>
                <w:lang w:val="fr-FR"/>
              </w:rPr>
            </w:pPr>
          </w:p>
        </w:tc>
        <w:tc>
          <w:tcPr>
            <w:tcW w:w="2375" w:type="dxa"/>
            <w:tcBorders>
              <w:top w:val="nil"/>
              <w:left w:val="nil"/>
              <w:bottom w:val="nil"/>
              <w:right w:val="nil"/>
            </w:tcBorders>
            <w:shd w:val="clear" w:color="auto" w:fill="D8D8D8"/>
            <w:vAlign w:val="center"/>
          </w:tcPr>
          <w:p w:rsidR="00BD5B7F" w:rsidRPr="00865DA5" w:rsidRDefault="00BD5B7F" w:rsidP="000E5961">
            <w:pPr>
              <w:jc w:val="center"/>
              <w:rPr>
                <w:rFonts w:ascii="Arial" w:eastAsia="Calibri" w:hAnsi="Arial" w:cs="Arial"/>
                <w:i/>
                <w:iCs/>
                <w:color w:val="000000"/>
                <w:sz w:val="18"/>
                <w:szCs w:val="18"/>
                <w:lang w:val="fr-FR"/>
              </w:rPr>
            </w:pPr>
          </w:p>
        </w:tc>
      </w:tr>
      <w:tr w:rsidR="00BD5B7F" w:rsidRPr="00FC42B0" w:rsidTr="000E5961">
        <w:tc>
          <w:tcPr>
            <w:tcW w:w="5070" w:type="dxa"/>
            <w:tcBorders>
              <w:top w:val="nil"/>
              <w:left w:val="nil"/>
              <w:bottom w:val="nil"/>
              <w:right w:val="nil"/>
            </w:tcBorders>
            <w:shd w:val="clear" w:color="auto" w:fill="4F81BD"/>
            <w:hideMark/>
          </w:tcPr>
          <w:p w:rsidR="00BD5B7F" w:rsidRPr="00865DA5" w:rsidRDefault="00BD5B7F" w:rsidP="000E5961">
            <w:pPr>
              <w:rPr>
                <w:rFonts w:ascii="Arial" w:eastAsia="Calibri" w:hAnsi="Arial" w:cs="Arial"/>
                <w:b/>
                <w:bCs/>
                <w:iCs/>
                <w:color w:val="FFFFFF"/>
                <w:szCs w:val="18"/>
                <w:lang w:val="fr-FR"/>
              </w:rPr>
            </w:pPr>
            <w:r w:rsidRPr="00865DA5">
              <w:rPr>
                <w:rFonts w:ascii="Arial" w:eastAsia="Arial" w:hAnsi="Arial" w:cs="Arial"/>
                <w:b/>
                <w:bCs/>
                <w:iCs/>
                <w:color w:val="FFFFFF"/>
                <w:bdr w:val="none" w:sz="0" w:space="0" w:color="auto" w:frame="1"/>
                <w:lang w:val="fr-FR"/>
              </w:rPr>
              <w:t>Importation ou transport illégal d’oiseaux protégés vivants ou morts</w:t>
            </w:r>
          </w:p>
        </w:tc>
        <w:tc>
          <w:tcPr>
            <w:tcW w:w="2409" w:type="dxa"/>
            <w:tcBorders>
              <w:top w:val="nil"/>
              <w:left w:val="nil"/>
              <w:bottom w:val="nil"/>
              <w:right w:val="nil"/>
            </w:tcBorders>
            <w:vAlign w:val="center"/>
          </w:tcPr>
          <w:p w:rsidR="00BD5B7F" w:rsidRPr="00865DA5" w:rsidRDefault="00BD5B7F" w:rsidP="000E5961">
            <w:pPr>
              <w:jc w:val="center"/>
              <w:rPr>
                <w:rFonts w:ascii="Arial" w:eastAsia="Calibri" w:hAnsi="Arial" w:cs="Arial"/>
                <w:i/>
                <w:iCs/>
                <w:color w:val="000000"/>
                <w:sz w:val="18"/>
                <w:szCs w:val="18"/>
                <w:lang w:val="fr-FR"/>
              </w:rPr>
            </w:pPr>
          </w:p>
        </w:tc>
        <w:tc>
          <w:tcPr>
            <w:tcW w:w="2375" w:type="dxa"/>
            <w:tcBorders>
              <w:top w:val="nil"/>
              <w:left w:val="nil"/>
              <w:bottom w:val="nil"/>
              <w:right w:val="nil"/>
            </w:tcBorders>
            <w:vAlign w:val="center"/>
          </w:tcPr>
          <w:p w:rsidR="00BD5B7F" w:rsidRPr="00865DA5" w:rsidRDefault="00BD5B7F" w:rsidP="000E5961">
            <w:pPr>
              <w:jc w:val="center"/>
              <w:rPr>
                <w:rFonts w:ascii="Arial" w:eastAsia="Calibri" w:hAnsi="Arial" w:cs="Arial"/>
                <w:i/>
                <w:iCs/>
                <w:color w:val="000000"/>
                <w:sz w:val="18"/>
                <w:szCs w:val="18"/>
                <w:lang w:val="fr-FR"/>
              </w:rPr>
            </w:pPr>
          </w:p>
        </w:tc>
      </w:tr>
      <w:tr w:rsidR="00BD5B7F" w:rsidRPr="00FF6562" w:rsidTr="000E5961">
        <w:tc>
          <w:tcPr>
            <w:tcW w:w="5070" w:type="dxa"/>
            <w:tcBorders>
              <w:top w:val="nil"/>
              <w:left w:val="nil"/>
              <w:bottom w:val="nil"/>
              <w:right w:val="nil"/>
            </w:tcBorders>
            <w:shd w:val="clear" w:color="auto" w:fill="4F81BD"/>
            <w:hideMark/>
          </w:tcPr>
          <w:p w:rsidR="00BD5B7F" w:rsidRPr="00FF6562" w:rsidRDefault="00BD5B7F" w:rsidP="000E5961">
            <w:pPr>
              <w:rPr>
                <w:rFonts w:ascii="Arial" w:eastAsia="Calibri" w:hAnsi="Arial" w:cs="Arial"/>
                <w:b/>
                <w:bCs/>
                <w:iCs/>
                <w:color w:val="FFFFFF"/>
                <w:szCs w:val="18"/>
              </w:rPr>
            </w:pPr>
            <w:r w:rsidRPr="00FF6562">
              <w:rPr>
                <w:rFonts w:ascii="Arial" w:eastAsia="Arial" w:hAnsi="Arial" w:cs="Arial"/>
                <w:b/>
                <w:bCs/>
                <w:iCs/>
                <w:color w:val="FFFFFF"/>
                <w:bdr w:val="none" w:sz="0" w:space="0" w:color="auto" w:frame="1"/>
              </w:rPr>
              <w:t>Taxidermie illégale d’oiseaux protégés</w:t>
            </w:r>
          </w:p>
        </w:tc>
        <w:tc>
          <w:tcPr>
            <w:tcW w:w="2409" w:type="dxa"/>
            <w:tcBorders>
              <w:top w:val="nil"/>
              <w:left w:val="nil"/>
              <w:bottom w:val="nil"/>
              <w:right w:val="nil"/>
            </w:tcBorders>
            <w:shd w:val="clear" w:color="auto" w:fill="D8D8D8"/>
            <w:vAlign w:val="center"/>
          </w:tcPr>
          <w:p w:rsidR="00BD5B7F" w:rsidRPr="00FF6562" w:rsidRDefault="00BD5B7F" w:rsidP="000E5961">
            <w:pPr>
              <w:jc w:val="center"/>
              <w:rPr>
                <w:rFonts w:ascii="Arial" w:eastAsia="Calibri" w:hAnsi="Arial" w:cs="Arial"/>
                <w:i/>
                <w:iCs/>
                <w:color w:val="000000"/>
                <w:sz w:val="18"/>
                <w:szCs w:val="18"/>
              </w:rPr>
            </w:pPr>
          </w:p>
        </w:tc>
        <w:tc>
          <w:tcPr>
            <w:tcW w:w="2375" w:type="dxa"/>
            <w:tcBorders>
              <w:top w:val="nil"/>
              <w:left w:val="nil"/>
              <w:bottom w:val="nil"/>
              <w:right w:val="nil"/>
            </w:tcBorders>
            <w:shd w:val="clear" w:color="auto" w:fill="D8D8D8"/>
            <w:vAlign w:val="center"/>
          </w:tcPr>
          <w:p w:rsidR="00BD5B7F" w:rsidRPr="00FF6562" w:rsidRDefault="00BD5B7F" w:rsidP="000E5961">
            <w:pPr>
              <w:jc w:val="center"/>
              <w:rPr>
                <w:rFonts w:ascii="Arial" w:eastAsia="Calibri" w:hAnsi="Arial" w:cs="Arial"/>
                <w:i/>
                <w:iCs/>
                <w:color w:val="000000"/>
                <w:sz w:val="18"/>
                <w:szCs w:val="18"/>
              </w:rPr>
            </w:pPr>
          </w:p>
        </w:tc>
      </w:tr>
      <w:tr w:rsidR="00BD5B7F" w:rsidRPr="00FC42B0" w:rsidTr="000E5961">
        <w:tc>
          <w:tcPr>
            <w:tcW w:w="5070" w:type="dxa"/>
            <w:tcBorders>
              <w:top w:val="nil"/>
              <w:left w:val="nil"/>
              <w:bottom w:val="nil"/>
              <w:right w:val="nil"/>
            </w:tcBorders>
            <w:shd w:val="clear" w:color="auto" w:fill="4F81BD"/>
            <w:hideMark/>
          </w:tcPr>
          <w:p w:rsidR="00BD5B7F" w:rsidRPr="00865DA5" w:rsidRDefault="00BD5B7F" w:rsidP="000E5961">
            <w:pPr>
              <w:rPr>
                <w:rFonts w:ascii="Arial" w:eastAsia="Calibri" w:hAnsi="Arial" w:cs="Arial"/>
                <w:b/>
                <w:bCs/>
                <w:iCs/>
                <w:color w:val="FFFFFF"/>
                <w:szCs w:val="18"/>
                <w:lang w:val="fr-FR"/>
              </w:rPr>
            </w:pPr>
            <w:r w:rsidRPr="00865DA5">
              <w:rPr>
                <w:rFonts w:ascii="Arial" w:eastAsia="Arial" w:hAnsi="Arial" w:cs="Arial"/>
                <w:b/>
                <w:bCs/>
                <w:iCs/>
                <w:color w:val="FFFFFF"/>
                <w:bdr w:val="none" w:sz="0" w:space="0" w:color="auto" w:frame="1"/>
                <w:lang w:val="fr-FR"/>
              </w:rPr>
              <w:t>Commerce illégal d’oiseaux protégés (y compris le trafic ou la publicité pour la vente de tout oiseau protégé vivant ou mort ou de ses parties)</w:t>
            </w:r>
          </w:p>
        </w:tc>
        <w:tc>
          <w:tcPr>
            <w:tcW w:w="2409" w:type="dxa"/>
            <w:tcBorders>
              <w:top w:val="nil"/>
              <w:left w:val="nil"/>
              <w:bottom w:val="nil"/>
              <w:right w:val="nil"/>
            </w:tcBorders>
            <w:vAlign w:val="center"/>
          </w:tcPr>
          <w:p w:rsidR="00BD5B7F" w:rsidRPr="00865DA5" w:rsidRDefault="00BD5B7F" w:rsidP="000E5961">
            <w:pPr>
              <w:jc w:val="center"/>
              <w:rPr>
                <w:rFonts w:ascii="Arial" w:eastAsia="Calibri" w:hAnsi="Arial" w:cs="Arial"/>
                <w:i/>
                <w:iCs/>
                <w:color w:val="000000"/>
                <w:sz w:val="18"/>
                <w:szCs w:val="18"/>
                <w:lang w:val="fr-FR"/>
              </w:rPr>
            </w:pPr>
          </w:p>
        </w:tc>
        <w:tc>
          <w:tcPr>
            <w:tcW w:w="2375" w:type="dxa"/>
            <w:tcBorders>
              <w:top w:val="nil"/>
              <w:left w:val="nil"/>
              <w:bottom w:val="nil"/>
              <w:right w:val="nil"/>
            </w:tcBorders>
            <w:vAlign w:val="center"/>
          </w:tcPr>
          <w:p w:rsidR="00BD5B7F" w:rsidRPr="00865DA5" w:rsidRDefault="00BD5B7F" w:rsidP="000E5961">
            <w:pPr>
              <w:jc w:val="center"/>
              <w:rPr>
                <w:rFonts w:ascii="Arial" w:eastAsia="Calibri" w:hAnsi="Arial" w:cs="Arial"/>
                <w:i/>
                <w:iCs/>
                <w:color w:val="000000"/>
                <w:sz w:val="18"/>
                <w:szCs w:val="18"/>
                <w:lang w:val="fr-FR"/>
              </w:rPr>
            </w:pPr>
          </w:p>
        </w:tc>
      </w:tr>
      <w:tr w:rsidR="00BD5B7F" w:rsidRPr="00FC42B0" w:rsidTr="000E5961">
        <w:tc>
          <w:tcPr>
            <w:tcW w:w="5070" w:type="dxa"/>
            <w:tcBorders>
              <w:top w:val="nil"/>
              <w:left w:val="nil"/>
              <w:bottom w:val="nil"/>
              <w:right w:val="nil"/>
            </w:tcBorders>
            <w:shd w:val="clear" w:color="auto" w:fill="4F81BD"/>
            <w:hideMark/>
          </w:tcPr>
          <w:p w:rsidR="00BD5B7F" w:rsidRPr="00865DA5" w:rsidRDefault="00BD5B7F" w:rsidP="000E5961">
            <w:pPr>
              <w:rPr>
                <w:rFonts w:ascii="Arial" w:eastAsia="Calibri" w:hAnsi="Arial" w:cs="Arial"/>
                <w:b/>
                <w:bCs/>
                <w:iCs/>
                <w:color w:val="FFFFFF"/>
                <w:szCs w:val="18"/>
                <w:lang w:val="fr-FR"/>
              </w:rPr>
            </w:pPr>
            <w:r w:rsidRPr="00865DA5">
              <w:rPr>
                <w:rFonts w:ascii="Arial" w:eastAsia="Arial" w:hAnsi="Arial" w:cs="Arial"/>
                <w:b/>
                <w:bCs/>
                <w:iCs/>
                <w:color w:val="FFFFFF"/>
                <w:bdr w:val="none" w:sz="0" w:space="0" w:color="auto" w:frame="1"/>
                <w:lang w:val="fr-FR"/>
              </w:rPr>
              <w:t>Proposition d’espèces protégées dans les restaurants</w:t>
            </w:r>
          </w:p>
        </w:tc>
        <w:tc>
          <w:tcPr>
            <w:tcW w:w="2409" w:type="dxa"/>
            <w:tcBorders>
              <w:top w:val="nil"/>
              <w:left w:val="nil"/>
              <w:bottom w:val="nil"/>
              <w:right w:val="nil"/>
            </w:tcBorders>
            <w:shd w:val="clear" w:color="auto" w:fill="D8D8D8"/>
            <w:vAlign w:val="center"/>
          </w:tcPr>
          <w:p w:rsidR="00BD5B7F" w:rsidRPr="00865DA5" w:rsidRDefault="00BD5B7F" w:rsidP="000E5961">
            <w:pPr>
              <w:jc w:val="center"/>
              <w:rPr>
                <w:rFonts w:ascii="Arial" w:eastAsia="Calibri" w:hAnsi="Arial" w:cs="Arial"/>
                <w:i/>
                <w:iCs/>
                <w:color w:val="000000"/>
                <w:sz w:val="18"/>
                <w:szCs w:val="18"/>
                <w:lang w:val="fr-FR"/>
              </w:rPr>
            </w:pPr>
          </w:p>
        </w:tc>
        <w:tc>
          <w:tcPr>
            <w:tcW w:w="2375" w:type="dxa"/>
            <w:tcBorders>
              <w:top w:val="nil"/>
              <w:left w:val="nil"/>
              <w:bottom w:val="nil"/>
              <w:right w:val="nil"/>
            </w:tcBorders>
            <w:shd w:val="clear" w:color="auto" w:fill="D8D8D8"/>
            <w:vAlign w:val="center"/>
          </w:tcPr>
          <w:p w:rsidR="00BD5B7F" w:rsidRPr="00865DA5" w:rsidRDefault="00BD5B7F" w:rsidP="000E5961">
            <w:pPr>
              <w:jc w:val="center"/>
              <w:rPr>
                <w:rFonts w:ascii="Arial" w:eastAsia="Calibri" w:hAnsi="Arial" w:cs="Arial"/>
                <w:i/>
                <w:iCs/>
                <w:color w:val="000000"/>
                <w:sz w:val="18"/>
                <w:szCs w:val="18"/>
                <w:lang w:val="fr-FR"/>
              </w:rPr>
            </w:pPr>
          </w:p>
        </w:tc>
      </w:tr>
      <w:tr w:rsidR="00BD5B7F" w:rsidRPr="00FC42B0" w:rsidTr="000E5961">
        <w:tc>
          <w:tcPr>
            <w:tcW w:w="5070" w:type="dxa"/>
            <w:tcBorders>
              <w:top w:val="nil"/>
              <w:left w:val="nil"/>
              <w:bottom w:val="nil"/>
              <w:right w:val="nil"/>
            </w:tcBorders>
            <w:shd w:val="clear" w:color="auto" w:fill="4F81BD"/>
            <w:hideMark/>
          </w:tcPr>
          <w:p w:rsidR="00BD5B7F" w:rsidRPr="00865DA5" w:rsidRDefault="00BD5B7F" w:rsidP="000E5961">
            <w:pPr>
              <w:rPr>
                <w:rFonts w:ascii="Arial" w:eastAsia="Calibri" w:hAnsi="Arial" w:cs="Arial"/>
                <w:b/>
                <w:bCs/>
                <w:iCs/>
                <w:color w:val="FFFFFF"/>
                <w:szCs w:val="18"/>
                <w:lang w:val="fr-FR"/>
              </w:rPr>
            </w:pPr>
            <w:r w:rsidRPr="00865DA5">
              <w:rPr>
                <w:rFonts w:ascii="Arial" w:eastAsia="Arial" w:hAnsi="Arial" w:cs="Arial"/>
                <w:b/>
                <w:bCs/>
                <w:iCs/>
                <w:color w:val="FFFFFF"/>
                <w:bdr w:val="none" w:sz="0" w:space="0" w:color="auto" w:frame="1"/>
                <w:lang w:val="fr-FR"/>
              </w:rPr>
              <w:t>Utilisation de méthodes de chasse interdites (appelants, pièges, filets, lumières, gaz, etc.)</w:t>
            </w:r>
          </w:p>
        </w:tc>
        <w:tc>
          <w:tcPr>
            <w:tcW w:w="2409" w:type="dxa"/>
            <w:tcBorders>
              <w:top w:val="nil"/>
              <w:left w:val="nil"/>
              <w:bottom w:val="nil"/>
              <w:right w:val="nil"/>
            </w:tcBorders>
            <w:vAlign w:val="center"/>
          </w:tcPr>
          <w:p w:rsidR="00BD5B7F" w:rsidRPr="00865DA5" w:rsidRDefault="00BD5B7F" w:rsidP="000E5961">
            <w:pPr>
              <w:jc w:val="center"/>
              <w:rPr>
                <w:rFonts w:ascii="Arial" w:eastAsia="Calibri" w:hAnsi="Arial" w:cs="Arial"/>
                <w:i/>
                <w:iCs/>
                <w:color w:val="000000"/>
                <w:sz w:val="18"/>
                <w:szCs w:val="18"/>
                <w:lang w:val="fr-FR"/>
              </w:rPr>
            </w:pPr>
          </w:p>
        </w:tc>
        <w:tc>
          <w:tcPr>
            <w:tcW w:w="2375" w:type="dxa"/>
            <w:tcBorders>
              <w:top w:val="nil"/>
              <w:left w:val="nil"/>
              <w:bottom w:val="nil"/>
              <w:right w:val="nil"/>
            </w:tcBorders>
            <w:vAlign w:val="center"/>
          </w:tcPr>
          <w:p w:rsidR="00BD5B7F" w:rsidRPr="00865DA5" w:rsidRDefault="00BD5B7F" w:rsidP="000E5961">
            <w:pPr>
              <w:jc w:val="center"/>
              <w:rPr>
                <w:rFonts w:ascii="Arial" w:eastAsia="Calibri" w:hAnsi="Arial" w:cs="Arial"/>
                <w:i/>
                <w:iCs/>
                <w:color w:val="000000"/>
                <w:sz w:val="18"/>
                <w:szCs w:val="18"/>
                <w:lang w:val="fr-FR"/>
              </w:rPr>
            </w:pPr>
          </w:p>
        </w:tc>
      </w:tr>
      <w:tr w:rsidR="00BD5B7F" w:rsidRPr="00FC42B0" w:rsidTr="000E5961">
        <w:tc>
          <w:tcPr>
            <w:tcW w:w="5070" w:type="dxa"/>
            <w:tcBorders>
              <w:top w:val="nil"/>
              <w:left w:val="nil"/>
              <w:bottom w:val="nil"/>
              <w:right w:val="nil"/>
            </w:tcBorders>
            <w:shd w:val="clear" w:color="auto" w:fill="4F81BD"/>
            <w:hideMark/>
          </w:tcPr>
          <w:p w:rsidR="00BD5B7F" w:rsidRPr="00865DA5" w:rsidRDefault="00BD5B7F" w:rsidP="000E5961">
            <w:pPr>
              <w:rPr>
                <w:rFonts w:ascii="Arial" w:eastAsia="Calibri" w:hAnsi="Arial" w:cs="Arial"/>
                <w:b/>
                <w:bCs/>
                <w:iCs/>
                <w:color w:val="FFFFFF"/>
                <w:szCs w:val="18"/>
                <w:lang w:val="fr-FR"/>
              </w:rPr>
            </w:pPr>
            <w:r w:rsidRPr="00865DA5">
              <w:rPr>
                <w:rFonts w:ascii="Arial" w:eastAsia="Arial" w:hAnsi="Arial" w:cs="Arial"/>
                <w:b/>
                <w:bCs/>
                <w:iCs/>
                <w:color w:val="FFFFFF"/>
                <w:bdr w:val="none" w:sz="0" w:space="0" w:color="auto" w:frame="1"/>
                <w:lang w:val="fr-FR"/>
              </w:rPr>
              <w:t>Chasse en dehors de la saison d’ouverture ou en dehors des horaires autorisés</w:t>
            </w:r>
          </w:p>
        </w:tc>
        <w:tc>
          <w:tcPr>
            <w:tcW w:w="2409" w:type="dxa"/>
            <w:tcBorders>
              <w:top w:val="nil"/>
              <w:left w:val="nil"/>
              <w:bottom w:val="nil"/>
              <w:right w:val="nil"/>
            </w:tcBorders>
            <w:shd w:val="clear" w:color="auto" w:fill="D8D8D8"/>
            <w:vAlign w:val="center"/>
          </w:tcPr>
          <w:p w:rsidR="00BD5B7F" w:rsidRPr="00865DA5" w:rsidRDefault="00BD5B7F" w:rsidP="000E5961">
            <w:pPr>
              <w:jc w:val="center"/>
              <w:rPr>
                <w:rFonts w:ascii="Arial" w:eastAsia="Calibri" w:hAnsi="Arial" w:cs="Arial"/>
                <w:i/>
                <w:iCs/>
                <w:color w:val="000000"/>
                <w:sz w:val="18"/>
                <w:szCs w:val="18"/>
                <w:lang w:val="fr-FR"/>
              </w:rPr>
            </w:pPr>
          </w:p>
        </w:tc>
        <w:tc>
          <w:tcPr>
            <w:tcW w:w="2375" w:type="dxa"/>
            <w:tcBorders>
              <w:top w:val="nil"/>
              <w:left w:val="nil"/>
              <w:bottom w:val="nil"/>
              <w:right w:val="nil"/>
            </w:tcBorders>
            <w:shd w:val="clear" w:color="auto" w:fill="D8D8D8"/>
            <w:vAlign w:val="center"/>
          </w:tcPr>
          <w:p w:rsidR="00BD5B7F" w:rsidRPr="00865DA5" w:rsidRDefault="00BD5B7F" w:rsidP="000E5961">
            <w:pPr>
              <w:jc w:val="center"/>
              <w:rPr>
                <w:rFonts w:ascii="Arial" w:eastAsia="Calibri" w:hAnsi="Arial" w:cs="Arial"/>
                <w:i/>
                <w:iCs/>
                <w:color w:val="000000"/>
                <w:sz w:val="18"/>
                <w:szCs w:val="18"/>
                <w:lang w:val="fr-FR"/>
              </w:rPr>
            </w:pPr>
          </w:p>
        </w:tc>
      </w:tr>
      <w:tr w:rsidR="00BD5B7F" w:rsidRPr="00FC42B0" w:rsidTr="000E5961">
        <w:tc>
          <w:tcPr>
            <w:tcW w:w="5070" w:type="dxa"/>
            <w:tcBorders>
              <w:top w:val="nil"/>
              <w:left w:val="nil"/>
              <w:bottom w:val="nil"/>
              <w:right w:val="nil"/>
            </w:tcBorders>
            <w:shd w:val="clear" w:color="auto" w:fill="4F81BD"/>
            <w:hideMark/>
          </w:tcPr>
          <w:p w:rsidR="00BD5B7F" w:rsidRPr="00865DA5" w:rsidRDefault="00BD5B7F" w:rsidP="000E5961">
            <w:pPr>
              <w:rPr>
                <w:rFonts w:ascii="Arial" w:eastAsia="Calibri" w:hAnsi="Arial" w:cs="Arial"/>
                <w:b/>
                <w:bCs/>
                <w:iCs/>
                <w:color w:val="FFFFFF"/>
                <w:szCs w:val="18"/>
                <w:lang w:val="fr-FR"/>
              </w:rPr>
            </w:pPr>
            <w:r w:rsidRPr="00865DA5">
              <w:rPr>
                <w:rFonts w:ascii="Arial" w:eastAsia="Arial" w:hAnsi="Arial" w:cs="Arial"/>
                <w:b/>
                <w:bCs/>
                <w:iCs/>
                <w:color w:val="FFFFFF"/>
                <w:bdr w:val="none" w:sz="0" w:space="0" w:color="auto" w:frame="1"/>
                <w:lang w:val="fr-FR"/>
              </w:rPr>
              <w:t>Chasse sans permis, violation des conditions de permis (p. ex. dépassement des quotas de chasse, défaut de déclaration des oiseaux capturés, etc.)</w:t>
            </w:r>
          </w:p>
        </w:tc>
        <w:tc>
          <w:tcPr>
            <w:tcW w:w="2409" w:type="dxa"/>
            <w:tcBorders>
              <w:top w:val="nil"/>
              <w:left w:val="nil"/>
              <w:bottom w:val="nil"/>
              <w:right w:val="nil"/>
            </w:tcBorders>
            <w:vAlign w:val="center"/>
          </w:tcPr>
          <w:p w:rsidR="00BD5B7F" w:rsidRPr="00865DA5" w:rsidRDefault="00BD5B7F" w:rsidP="000E5961">
            <w:pPr>
              <w:jc w:val="center"/>
              <w:rPr>
                <w:rFonts w:ascii="Arial" w:eastAsia="Calibri" w:hAnsi="Arial" w:cs="Arial"/>
                <w:i/>
                <w:iCs/>
                <w:color w:val="000000"/>
                <w:sz w:val="18"/>
                <w:szCs w:val="18"/>
                <w:lang w:val="fr-FR"/>
              </w:rPr>
            </w:pPr>
          </w:p>
        </w:tc>
        <w:tc>
          <w:tcPr>
            <w:tcW w:w="2375" w:type="dxa"/>
            <w:tcBorders>
              <w:top w:val="nil"/>
              <w:left w:val="nil"/>
              <w:bottom w:val="nil"/>
              <w:right w:val="nil"/>
            </w:tcBorders>
            <w:vAlign w:val="center"/>
          </w:tcPr>
          <w:p w:rsidR="00BD5B7F" w:rsidRPr="00865DA5" w:rsidRDefault="00BD5B7F" w:rsidP="000E5961">
            <w:pPr>
              <w:jc w:val="center"/>
              <w:rPr>
                <w:rFonts w:ascii="Arial" w:eastAsia="Calibri" w:hAnsi="Arial" w:cs="Arial"/>
                <w:i/>
                <w:iCs/>
                <w:color w:val="000000"/>
                <w:sz w:val="18"/>
                <w:szCs w:val="18"/>
                <w:lang w:val="fr-FR"/>
              </w:rPr>
            </w:pPr>
          </w:p>
        </w:tc>
      </w:tr>
      <w:tr w:rsidR="00BD5B7F" w:rsidRPr="00FC42B0" w:rsidTr="000E5961">
        <w:tc>
          <w:tcPr>
            <w:tcW w:w="5070" w:type="dxa"/>
            <w:tcBorders>
              <w:top w:val="nil"/>
              <w:left w:val="nil"/>
              <w:bottom w:val="nil"/>
              <w:right w:val="nil"/>
            </w:tcBorders>
            <w:shd w:val="clear" w:color="auto" w:fill="4F81BD"/>
            <w:hideMark/>
          </w:tcPr>
          <w:p w:rsidR="00BD5B7F" w:rsidRPr="00865DA5" w:rsidRDefault="00BD5B7F" w:rsidP="000E5961">
            <w:pPr>
              <w:rPr>
                <w:rFonts w:ascii="Arial" w:eastAsia="Calibri" w:hAnsi="Arial" w:cs="Arial"/>
                <w:b/>
                <w:bCs/>
                <w:iCs/>
                <w:color w:val="FFFFFF"/>
                <w:szCs w:val="18"/>
                <w:lang w:val="fr-FR"/>
              </w:rPr>
            </w:pPr>
            <w:r w:rsidRPr="00865DA5">
              <w:rPr>
                <w:rFonts w:ascii="Arial" w:eastAsia="Arial" w:hAnsi="Arial" w:cs="Arial"/>
                <w:b/>
                <w:bCs/>
                <w:iCs/>
                <w:color w:val="FFFFFF"/>
                <w:bdr w:val="none" w:sz="0" w:space="0" w:color="auto" w:frame="1"/>
                <w:lang w:val="fr-FR"/>
              </w:rPr>
              <w:t>Chasse dans les zones interdites (réserves de chasse)</w:t>
            </w:r>
          </w:p>
        </w:tc>
        <w:tc>
          <w:tcPr>
            <w:tcW w:w="2409" w:type="dxa"/>
            <w:tcBorders>
              <w:top w:val="nil"/>
              <w:left w:val="nil"/>
              <w:bottom w:val="nil"/>
              <w:right w:val="nil"/>
            </w:tcBorders>
            <w:shd w:val="clear" w:color="auto" w:fill="D8D8D8"/>
            <w:vAlign w:val="center"/>
          </w:tcPr>
          <w:p w:rsidR="00BD5B7F" w:rsidRPr="00865DA5" w:rsidRDefault="00BD5B7F" w:rsidP="000E5961">
            <w:pPr>
              <w:jc w:val="center"/>
              <w:rPr>
                <w:rFonts w:ascii="Arial" w:eastAsia="Calibri" w:hAnsi="Arial" w:cs="Arial"/>
                <w:i/>
                <w:iCs/>
                <w:color w:val="000000"/>
                <w:sz w:val="18"/>
                <w:szCs w:val="18"/>
                <w:lang w:val="fr-FR"/>
              </w:rPr>
            </w:pPr>
          </w:p>
        </w:tc>
        <w:tc>
          <w:tcPr>
            <w:tcW w:w="2375" w:type="dxa"/>
            <w:tcBorders>
              <w:top w:val="nil"/>
              <w:left w:val="nil"/>
              <w:bottom w:val="nil"/>
              <w:right w:val="nil"/>
            </w:tcBorders>
            <w:shd w:val="clear" w:color="auto" w:fill="D8D8D8"/>
            <w:vAlign w:val="center"/>
          </w:tcPr>
          <w:p w:rsidR="00BD5B7F" w:rsidRPr="00865DA5" w:rsidRDefault="00BD5B7F" w:rsidP="000E5961">
            <w:pPr>
              <w:jc w:val="center"/>
              <w:rPr>
                <w:rFonts w:ascii="Arial" w:eastAsia="Calibri" w:hAnsi="Arial" w:cs="Arial"/>
                <w:i/>
                <w:iCs/>
                <w:color w:val="000000"/>
                <w:sz w:val="18"/>
                <w:szCs w:val="18"/>
                <w:lang w:val="fr-FR"/>
              </w:rPr>
            </w:pPr>
          </w:p>
        </w:tc>
      </w:tr>
      <w:tr w:rsidR="00BD5B7F" w:rsidRPr="00FF6562" w:rsidTr="000E5961">
        <w:tc>
          <w:tcPr>
            <w:tcW w:w="5070" w:type="dxa"/>
            <w:tcBorders>
              <w:top w:val="nil"/>
              <w:left w:val="nil"/>
              <w:bottom w:val="inset" w:sz="6" w:space="0" w:color="auto"/>
              <w:right w:val="nil"/>
            </w:tcBorders>
            <w:shd w:val="clear" w:color="auto" w:fill="4F81BD"/>
            <w:hideMark/>
          </w:tcPr>
          <w:p w:rsidR="00BD5B7F" w:rsidRPr="00FF6562" w:rsidRDefault="00BD5B7F" w:rsidP="000E5961">
            <w:pPr>
              <w:rPr>
                <w:rFonts w:ascii="Arial" w:eastAsia="Calibri" w:hAnsi="Arial" w:cs="Arial"/>
                <w:b/>
                <w:bCs/>
                <w:iCs/>
                <w:color w:val="FFFFFF"/>
                <w:szCs w:val="18"/>
              </w:rPr>
            </w:pPr>
            <w:r w:rsidRPr="00FF6562">
              <w:rPr>
                <w:rFonts w:ascii="Arial" w:eastAsia="Arial" w:hAnsi="Arial" w:cs="Arial"/>
                <w:b/>
                <w:bCs/>
                <w:iCs/>
                <w:color w:val="FFFFFF"/>
                <w:bdr w:val="none" w:sz="0" w:space="0" w:color="auto" w:frame="1"/>
              </w:rPr>
              <w:t>Prélèvements d’œufs</w:t>
            </w:r>
          </w:p>
        </w:tc>
        <w:tc>
          <w:tcPr>
            <w:tcW w:w="2409" w:type="dxa"/>
            <w:tcBorders>
              <w:top w:val="nil"/>
              <w:left w:val="nil"/>
              <w:bottom w:val="inset" w:sz="6" w:space="0" w:color="auto"/>
              <w:right w:val="nil"/>
            </w:tcBorders>
            <w:vAlign w:val="center"/>
          </w:tcPr>
          <w:p w:rsidR="00BD5B7F" w:rsidRPr="00FF6562" w:rsidRDefault="00BD5B7F" w:rsidP="000E5961">
            <w:pPr>
              <w:jc w:val="center"/>
              <w:rPr>
                <w:rFonts w:ascii="Arial" w:eastAsia="Calibri" w:hAnsi="Arial" w:cs="Arial"/>
                <w:i/>
                <w:iCs/>
                <w:color w:val="000000"/>
                <w:sz w:val="18"/>
                <w:szCs w:val="18"/>
              </w:rPr>
            </w:pPr>
          </w:p>
        </w:tc>
        <w:tc>
          <w:tcPr>
            <w:tcW w:w="2375" w:type="dxa"/>
            <w:tcBorders>
              <w:top w:val="nil"/>
              <w:left w:val="nil"/>
              <w:bottom w:val="inset" w:sz="6" w:space="0" w:color="auto"/>
              <w:right w:val="nil"/>
            </w:tcBorders>
            <w:vAlign w:val="center"/>
          </w:tcPr>
          <w:p w:rsidR="00BD5B7F" w:rsidRPr="00FF6562" w:rsidRDefault="00BD5B7F" w:rsidP="000E5961">
            <w:pPr>
              <w:jc w:val="center"/>
              <w:rPr>
                <w:rFonts w:ascii="Arial" w:eastAsia="Calibri" w:hAnsi="Arial" w:cs="Arial"/>
                <w:i/>
                <w:iCs/>
                <w:color w:val="000000"/>
                <w:sz w:val="18"/>
                <w:szCs w:val="18"/>
              </w:rPr>
            </w:pPr>
          </w:p>
        </w:tc>
      </w:tr>
      <w:tr w:rsidR="00BD5B7F" w:rsidRPr="00FF6562" w:rsidTr="000E5961">
        <w:tc>
          <w:tcPr>
            <w:tcW w:w="5070" w:type="dxa"/>
            <w:tcBorders>
              <w:top w:val="inset" w:sz="6" w:space="0" w:color="auto"/>
              <w:left w:val="nil"/>
              <w:bottom w:val="inset" w:sz="6" w:space="0" w:color="auto"/>
              <w:right w:val="nil"/>
            </w:tcBorders>
            <w:shd w:val="clear" w:color="auto" w:fill="4F81BD"/>
            <w:hideMark/>
          </w:tcPr>
          <w:p w:rsidR="00BD5B7F" w:rsidRPr="00FF6562" w:rsidRDefault="00BD5B7F" w:rsidP="000E5961">
            <w:pPr>
              <w:jc w:val="center"/>
              <w:rPr>
                <w:rFonts w:ascii="Arial" w:eastAsia="Calibri" w:hAnsi="Arial" w:cs="Arial"/>
                <w:b/>
                <w:bCs/>
                <w:iCs/>
                <w:color w:val="FFFFFF"/>
                <w:sz w:val="22"/>
                <w:szCs w:val="18"/>
              </w:rPr>
            </w:pPr>
            <w:r w:rsidRPr="00FF6562">
              <w:rPr>
                <w:rFonts w:ascii="Arial" w:eastAsia="Arial" w:hAnsi="Arial" w:cs="Arial"/>
                <w:b/>
                <w:bCs/>
                <w:iCs/>
                <w:color w:val="FFFFFF"/>
                <w:sz w:val="22"/>
                <w:szCs w:val="22"/>
                <w:bdr w:val="none" w:sz="0" w:space="0" w:color="auto" w:frame="1"/>
              </w:rPr>
              <w:t>Totaux</w:t>
            </w:r>
          </w:p>
        </w:tc>
        <w:tc>
          <w:tcPr>
            <w:tcW w:w="2409" w:type="dxa"/>
            <w:tcBorders>
              <w:top w:val="inset" w:sz="6" w:space="0" w:color="auto"/>
              <w:left w:val="nil"/>
              <w:bottom w:val="inset" w:sz="6" w:space="0" w:color="auto"/>
              <w:right w:val="nil"/>
            </w:tcBorders>
            <w:shd w:val="clear" w:color="auto" w:fill="D8D8D8"/>
            <w:vAlign w:val="center"/>
          </w:tcPr>
          <w:p w:rsidR="00BD5B7F" w:rsidRPr="00FF6562" w:rsidRDefault="00BD5B7F" w:rsidP="000E5961">
            <w:pPr>
              <w:jc w:val="center"/>
              <w:rPr>
                <w:rFonts w:ascii="Arial" w:eastAsia="Calibri" w:hAnsi="Arial" w:cs="Arial"/>
                <w:i/>
                <w:iCs/>
                <w:color w:val="000000"/>
                <w:sz w:val="22"/>
                <w:szCs w:val="18"/>
              </w:rPr>
            </w:pPr>
          </w:p>
        </w:tc>
        <w:tc>
          <w:tcPr>
            <w:tcW w:w="2375" w:type="dxa"/>
            <w:tcBorders>
              <w:top w:val="inset" w:sz="6" w:space="0" w:color="auto"/>
              <w:left w:val="nil"/>
              <w:bottom w:val="inset" w:sz="6" w:space="0" w:color="auto"/>
              <w:right w:val="nil"/>
            </w:tcBorders>
            <w:shd w:val="clear" w:color="auto" w:fill="D8D8D8"/>
            <w:vAlign w:val="center"/>
          </w:tcPr>
          <w:p w:rsidR="00BD5B7F" w:rsidRPr="00FF6562" w:rsidRDefault="00BD5B7F" w:rsidP="000E5961">
            <w:pPr>
              <w:jc w:val="center"/>
              <w:rPr>
                <w:rFonts w:ascii="Arial" w:eastAsia="Calibri" w:hAnsi="Arial" w:cs="Arial"/>
                <w:i/>
                <w:iCs/>
                <w:color w:val="000000"/>
                <w:sz w:val="22"/>
                <w:szCs w:val="18"/>
              </w:rPr>
            </w:pPr>
          </w:p>
        </w:tc>
      </w:tr>
    </w:tbl>
    <w:p w:rsidR="00BD5B7F" w:rsidRPr="00FF6562" w:rsidRDefault="00BD5B7F" w:rsidP="00BD5B7F">
      <w:pPr>
        <w:rPr>
          <w:rFonts w:ascii="Arial" w:eastAsia="Calibri" w:hAnsi="Arial" w:cs="Arial"/>
          <w:i/>
          <w:iCs/>
          <w:color w:val="000000"/>
          <w:sz w:val="22"/>
          <w:szCs w:val="22"/>
        </w:rPr>
      </w:pPr>
    </w:p>
    <w:p w:rsidR="00BD5B7F" w:rsidRPr="00865DA5" w:rsidRDefault="00BD5B7F" w:rsidP="00BD5B7F">
      <w:pPr>
        <w:jc w:val="both"/>
        <w:rPr>
          <w:rFonts w:ascii="Arial" w:eastAsia="Calibri" w:hAnsi="Arial" w:cs="Arial"/>
          <w:iCs/>
          <w:color w:val="000000"/>
          <w:sz w:val="22"/>
          <w:szCs w:val="22"/>
          <w:lang w:val="fr-FR"/>
        </w:rPr>
      </w:pPr>
      <w:r w:rsidRPr="00865DA5">
        <w:rPr>
          <w:rFonts w:ascii="Arial" w:eastAsia="Arial" w:hAnsi="Arial" w:cs="Arial"/>
          <w:iCs/>
          <w:color w:val="000000"/>
          <w:sz w:val="22"/>
          <w:szCs w:val="22"/>
          <w:bdr w:val="none" w:sz="0" w:space="0" w:color="auto" w:frame="1"/>
          <w:lang w:val="fr-FR"/>
        </w:rPr>
        <w:t>Après avoir consulté le projet de formulaire de déclaration de la Convention de Berne pour l’enregistrement des cas de criminalité contre les oiseaux sauvages</w:t>
      </w:r>
      <w:r w:rsidRPr="00FF6562">
        <w:rPr>
          <w:rFonts w:ascii="Arial" w:eastAsia="Calibri" w:hAnsi="Arial" w:cs="Arial"/>
          <w:iCs/>
          <w:color w:val="000000"/>
          <w:sz w:val="22"/>
          <w:szCs w:val="22"/>
          <w:vertAlign w:val="superscript"/>
        </w:rPr>
        <w:footnoteReference w:id="11"/>
      </w:r>
      <w:r w:rsidRPr="00865DA5">
        <w:rPr>
          <w:rFonts w:ascii="Arial" w:eastAsia="Arial" w:hAnsi="Arial" w:cs="Arial"/>
          <w:iCs/>
          <w:color w:val="000000"/>
          <w:sz w:val="22"/>
          <w:szCs w:val="22"/>
          <w:bdr w:val="none" w:sz="0" w:space="0" w:color="auto" w:frame="1"/>
          <w:vertAlign w:val="superscript"/>
          <w:lang w:val="fr-FR"/>
        </w:rPr>
        <w:t>,</w:t>
      </w:r>
      <w:r w:rsidRPr="00865DA5">
        <w:rPr>
          <w:rFonts w:ascii="Arial" w:eastAsia="Arial" w:hAnsi="Arial" w:cs="Arial"/>
          <w:iCs/>
          <w:color w:val="000000"/>
          <w:sz w:val="22"/>
          <w:szCs w:val="22"/>
          <w:bdr w:val="none" w:sz="0" w:space="0" w:color="auto" w:frame="1"/>
          <w:lang w:val="fr-FR"/>
        </w:rPr>
        <w:t xml:space="preserve"> ainsi que la définition </w:t>
      </w:r>
      <w:r w:rsidRPr="00865DA5">
        <w:rPr>
          <w:rFonts w:ascii="Arial" w:eastAsia="Arial" w:hAnsi="Arial" w:cs="Arial"/>
          <w:iCs/>
          <w:color w:val="000000"/>
          <w:sz w:val="22"/>
          <w:szCs w:val="22"/>
          <w:bdr w:val="none" w:sz="0" w:space="0" w:color="auto" w:frame="1"/>
          <w:lang w:val="fr-FR"/>
        </w:rPr>
        <w:lastRenderedPageBreak/>
        <w:t>de travail suivante de l’IKB : « les activités illégales</w:t>
      </w:r>
      <w:r w:rsidRPr="00FF6562">
        <w:rPr>
          <w:rFonts w:ascii="Arial" w:eastAsia="Calibri" w:hAnsi="Arial" w:cs="Arial"/>
          <w:iCs/>
          <w:color w:val="000000"/>
          <w:sz w:val="22"/>
          <w:szCs w:val="22"/>
          <w:vertAlign w:val="superscript"/>
        </w:rPr>
        <w:footnoteReference w:id="12"/>
      </w:r>
      <w:r w:rsidRPr="00865DA5">
        <w:rPr>
          <w:rFonts w:ascii="Arial" w:eastAsia="Arial" w:hAnsi="Arial" w:cs="Arial"/>
          <w:iCs/>
          <w:color w:val="000000"/>
          <w:sz w:val="22"/>
          <w:szCs w:val="22"/>
          <w:bdr w:val="none" w:sz="0" w:space="0" w:color="auto" w:frame="1"/>
          <w:lang w:val="fr-FR"/>
        </w:rPr>
        <w:t xml:space="preserve"> </w:t>
      </w:r>
      <w:r w:rsidRPr="00865DA5">
        <w:rPr>
          <w:rFonts w:ascii="Arial" w:eastAsia="Arial" w:hAnsi="Arial" w:cs="Arial"/>
          <w:iCs/>
          <w:color w:val="000000"/>
          <w:sz w:val="22"/>
          <w:szCs w:val="22"/>
          <w:u w:val="single"/>
          <w:bdr w:val="none" w:sz="0" w:space="0" w:color="auto" w:frame="1"/>
          <w:lang w:val="fr-FR"/>
        </w:rPr>
        <w:t>commises intentionnellement</w:t>
      </w:r>
      <w:r w:rsidRPr="00865DA5">
        <w:rPr>
          <w:rFonts w:ascii="Arial" w:eastAsia="Arial" w:hAnsi="Arial" w:cs="Arial"/>
          <w:iCs/>
          <w:color w:val="000000"/>
          <w:sz w:val="22"/>
          <w:szCs w:val="22"/>
          <w:bdr w:val="none" w:sz="0" w:space="0" w:color="auto" w:frame="1"/>
          <w:lang w:val="fr-FR"/>
        </w:rPr>
        <w:t xml:space="preserve"> pouvant entraîner la mort, des blessures ou le prélèvement dans la nature de spécimens</w:t>
      </w:r>
      <w:r w:rsidRPr="00FF6562">
        <w:rPr>
          <w:rFonts w:ascii="Arial" w:eastAsia="Calibri" w:hAnsi="Arial" w:cs="Arial"/>
          <w:iCs/>
          <w:color w:val="000000"/>
          <w:sz w:val="22"/>
          <w:szCs w:val="22"/>
          <w:vertAlign w:val="superscript"/>
        </w:rPr>
        <w:footnoteReference w:id="13"/>
      </w:r>
      <w:r w:rsidRPr="00865DA5">
        <w:rPr>
          <w:rFonts w:ascii="Arial" w:eastAsia="Arial" w:hAnsi="Arial" w:cs="Arial"/>
          <w:iCs/>
          <w:color w:val="000000"/>
          <w:sz w:val="22"/>
          <w:szCs w:val="22"/>
          <w:bdr w:val="none" w:sz="0" w:space="0" w:color="auto" w:frame="1"/>
          <w:lang w:val="fr-FR"/>
        </w:rPr>
        <w:t xml:space="preserve"> d’oiseaux sauvages morts ou vivants, y compris leurs parties ou produits », les répondants devront indiquer le nombre de cas d’infractions relatives à l’IKB pour chaque catégorie d’infraction rendue publique</w:t>
      </w:r>
      <w:r w:rsidRPr="00FF6562">
        <w:rPr>
          <w:rFonts w:ascii="Arial" w:eastAsia="Calibri" w:hAnsi="Arial" w:cs="Arial"/>
          <w:iCs/>
          <w:color w:val="000000"/>
          <w:sz w:val="22"/>
          <w:szCs w:val="22"/>
          <w:vertAlign w:val="superscript"/>
        </w:rPr>
        <w:footnoteReference w:id="14"/>
      </w:r>
      <w:r w:rsidRPr="00865DA5">
        <w:rPr>
          <w:rFonts w:ascii="Arial" w:eastAsia="Arial" w:hAnsi="Arial" w:cs="Arial"/>
          <w:iCs/>
          <w:color w:val="000000"/>
          <w:sz w:val="22"/>
          <w:szCs w:val="22"/>
          <w:bdr w:val="none" w:sz="0" w:space="0" w:color="auto" w:frame="1"/>
          <w:lang w:val="fr-FR"/>
        </w:rPr>
        <w:t xml:space="preserve"> au cours de la période d’évaluation ainsi que, le cas échéant, le nombre de spécimens d’oiseaux faisant l’objet de l’infraction.</w:t>
      </w:r>
    </w:p>
    <w:p w:rsidR="00BD5B7F" w:rsidRPr="00865DA5" w:rsidRDefault="00BD5B7F" w:rsidP="00BD5B7F">
      <w:pPr>
        <w:jc w:val="both"/>
        <w:rPr>
          <w:rFonts w:ascii="Arial" w:eastAsia="Calibri" w:hAnsi="Arial" w:cs="Arial"/>
          <w:iCs/>
          <w:color w:val="000000"/>
          <w:sz w:val="22"/>
          <w:szCs w:val="22"/>
          <w:lang w:val="fr-FR"/>
        </w:rPr>
      </w:pPr>
    </w:p>
    <w:p w:rsidR="00BD5B7F" w:rsidRPr="00865DA5" w:rsidRDefault="00BD5B7F" w:rsidP="00BD5B7F">
      <w:pPr>
        <w:jc w:val="both"/>
        <w:rPr>
          <w:rFonts w:ascii="Arial" w:eastAsia="Calibri" w:hAnsi="Arial" w:cs="Arial"/>
          <w:iCs/>
          <w:color w:val="000000"/>
          <w:sz w:val="22"/>
          <w:szCs w:val="22"/>
          <w:lang w:val="fr-FR"/>
        </w:rPr>
      </w:pPr>
      <w:r w:rsidRPr="00865DA5">
        <w:rPr>
          <w:rFonts w:ascii="Arial" w:eastAsia="Arial" w:hAnsi="Arial" w:cs="Arial"/>
          <w:iCs/>
          <w:color w:val="000000"/>
          <w:sz w:val="22"/>
          <w:szCs w:val="22"/>
          <w:bdr w:val="none" w:sz="0" w:space="0" w:color="auto" w:frame="1"/>
          <w:lang w:val="fr-FR"/>
        </w:rPr>
        <w:t xml:space="preserve">Dans le cas où une infraction a été commise par un groupe de personnes, le nombre d’infractions à déclarer dans la deuxième colonne du tableau ci-dessus devra être multiplié par le nombre de personnes impliquées/poursuivies pour cette infraction. </w:t>
      </w:r>
    </w:p>
    <w:p w:rsidR="00BD5B7F" w:rsidRPr="00865DA5" w:rsidRDefault="00BD5B7F" w:rsidP="00BD5B7F">
      <w:pPr>
        <w:jc w:val="both"/>
        <w:rPr>
          <w:rFonts w:ascii="Arial" w:eastAsia="Calibri" w:hAnsi="Arial" w:cs="Arial"/>
          <w:iCs/>
          <w:color w:val="000000"/>
          <w:sz w:val="22"/>
          <w:szCs w:val="22"/>
          <w:lang w:val="fr-FR"/>
        </w:rPr>
      </w:pPr>
    </w:p>
    <w:p w:rsidR="00BD5B7F" w:rsidRPr="00865DA5" w:rsidRDefault="00BD5B7F" w:rsidP="00BD5B7F">
      <w:pPr>
        <w:jc w:val="both"/>
        <w:rPr>
          <w:rFonts w:ascii="Arial" w:eastAsia="Calibri" w:hAnsi="Arial" w:cs="Arial"/>
          <w:color w:val="000000"/>
          <w:sz w:val="22"/>
          <w:szCs w:val="22"/>
          <w:lang w:val="fr-FR"/>
        </w:rPr>
      </w:pPr>
      <w:r w:rsidRPr="00865DA5">
        <w:rPr>
          <w:rFonts w:ascii="Arial" w:eastAsia="Arial" w:hAnsi="Arial" w:cs="Arial"/>
          <w:iCs/>
          <w:color w:val="000000"/>
          <w:sz w:val="22"/>
          <w:szCs w:val="22"/>
          <w:bdr w:val="none" w:sz="0" w:space="0" w:color="auto" w:frame="1"/>
          <w:lang w:val="fr-FR"/>
        </w:rPr>
        <w:t>Dans le cas où une seule personne a fait l’objet de plusieurs accusations pour différentes catégories d’infractions (par exemple l’abattage illégal d’un oiseau protégé et l’utilisation de méthodes de chasse interdites), le cas devra être signalé dans chaque catégorie d’infraction dont cette personne a été accusée/poursuivie.</w:t>
      </w:r>
    </w:p>
    <w:p w:rsidR="00BD5B7F" w:rsidRPr="00865DA5" w:rsidRDefault="00BD5B7F" w:rsidP="00BD5B7F">
      <w:pPr>
        <w:rPr>
          <w:rFonts w:ascii="Arial" w:eastAsia="Calibri" w:hAnsi="Arial" w:cs="Arial"/>
          <w:color w:val="000000"/>
          <w:sz w:val="22"/>
          <w:szCs w:val="22"/>
          <w:lang w:val="fr-FR"/>
        </w:rPr>
      </w:pPr>
      <w:r w:rsidRPr="00865DA5">
        <w:rPr>
          <w:rFonts w:ascii="Arial" w:eastAsia="Calibri" w:hAnsi="Arial" w:cs="Arial"/>
          <w:color w:val="000000"/>
          <w:sz w:val="22"/>
          <w:szCs w:val="22"/>
          <w:lang w:val="fr-FR"/>
        </w:rPr>
        <w:br w:type="page"/>
      </w:r>
    </w:p>
    <w:p w:rsidR="00BD5B7F" w:rsidRPr="00865DA5" w:rsidRDefault="00BD5B7F" w:rsidP="00BD5B7F">
      <w:pPr>
        <w:keepNext/>
        <w:keepLines/>
        <w:jc w:val="both"/>
        <w:outlineLvl w:val="1"/>
        <w:rPr>
          <w:rFonts w:ascii="Arial" w:hAnsi="Arial" w:cs="Arial"/>
          <w:b/>
          <w:color w:val="000000"/>
          <w:sz w:val="30"/>
          <w:szCs w:val="30"/>
          <w:lang w:val="fr-FR"/>
        </w:rPr>
      </w:pPr>
      <w:bookmarkStart w:id="46" w:name="_Toc491245239"/>
      <w:bookmarkStart w:id="47" w:name="_Toc491245058"/>
      <w:bookmarkStart w:id="48" w:name="_Toc486539576"/>
      <w:r w:rsidRPr="00865DA5">
        <w:rPr>
          <w:rFonts w:ascii="Arial" w:eastAsia="Arial" w:hAnsi="Arial" w:cs="Arial"/>
          <w:b/>
          <w:bCs/>
          <w:color w:val="000000"/>
          <w:sz w:val="30"/>
          <w:szCs w:val="30"/>
          <w:bdr w:val="none" w:sz="0" w:space="0" w:color="auto" w:frame="1"/>
          <w:lang w:val="fr-FR"/>
        </w:rPr>
        <w:lastRenderedPageBreak/>
        <w:t>B. Niveau d’exhaustivité de la législation nationale</w:t>
      </w:r>
      <w:bookmarkEnd w:id="46"/>
      <w:bookmarkEnd w:id="47"/>
      <w:bookmarkEnd w:id="48"/>
      <w:r w:rsidRPr="00865DA5">
        <w:rPr>
          <w:rFonts w:ascii="Arial" w:eastAsia="Arial" w:hAnsi="Arial" w:cs="Arial"/>
          <w:b/>
          <w:bCs/>
          <w:color w:val="000000"/>
          <w:sz w:val="30"/>
          <w:szCs w:val="30"/>
          <w:bdr w:val="none" w:sz="0" w:space="0" w:color="auto" w:frame="1"/>
          <w:lang w:val="fr-FR"/>
        </w:rPr>
        <w:t xml:space="preserve"> </w:t>
      </w:r>
    </w:p>
    <w:p w:rsidR="00BD5B7F" w:rsidRPr="00865DA5" w:rsidRDefault="00BD5B7F" w:rsidP="00BD5B7F">
      <w:pPr>
        <w:jc w:val="both"/>
        <w:rPr>
          <w:rFonts w:ascii="Arial" w:eastAsia="Calibri" w:hAnsi="Arial" w:cs="Arial"/>
          <w:color w:val="000000"/>
          <w:sz w:val="22"/>
          <w:szCs w:val="22"/>
          <w:lang w:val="fr-FR"/>
        </w:rPr>
      </w:pPr>
    </w:p>
    <w:p w:rsidR="00BD5B7F" w:rsidRPr="00865DA5" w:rsidRDefault="00BD5B7F" w:rsidP="00BD5B7F">
      <w:pPr>
        <w:keepNext/>
        <w:keepLines/>
        <w:spacing w:after="120"/>
        <w:jc w:val="both"/>
        <w:outlineLvl w:val="3"/>
        <w:rPr>
          <w:rFonts w:ascii="Arial" w:hAnsi="Arial" w:cs="Arial"/>
          <w:b/>
          <w:iCs/>
          <w:color w:val="000000"/>
          <w:sz w:val="28"/>
          <w:szCs w:val="22"/>
          <w:lang w:val="fr-FR"/>
        </w:rPr>
      </w:pPr>
      <w:bookmarkStart w:id="49" w:name="_Toc491245240"/>
      <w:bookmarkStart w:id="50" w:name="_Toc486539577"/>
      <w:r w:rsidRPr="00865DA5">
        <w:rPr>
          <w:rFonts w:ascii="Arial" w:eastAsia="Arial" w:hAnsi="Arial" w:cs="Arial"/>
          <w:b/>
          <w:bCs/>
          <w:iCs/>
          <w:color w:val="000000"/>
          <w:sz w:val="28"/>
          <w:szCs w:val="28"/>
          <w:bdr w:val="none" w:sz="0" w:space="0" w:color="auto" w:frame="1"/>
          <w:lang w:val="fr-FR"/>
        </w:rPr>
        <w:t>5. Législation nationale sur la faune sauvage</w:t>
      </w:r>
      <w:r w:rsidRPr="00FF6562">
        <w:rPr>
          <w:rFonts w:ascii="Arial" w:hAnsi="Arial" w:cs="Arial"/>
          <w:b/>
          <w:iCs/>
          <w:color w:val="000000"/>
          <w:sz w:val="28"/>
          <w:szCs w:val="22"/>
          <w:vertAlign w:val="superscript"/>
        </w:rPr>
        <w:footnoteReference w:id="15"/>
      </w:r>
      <w:bookmarkEnd w:id="49"/>
      <w:bookmarkEnd w:id="50"/>
      <w:r w:rsidRPr="00865DA5">
        <w:rPr>
          <w:rFonts w:ascii="Arial" w:eastAsia="Arial" w:hAnsi="Arial" w:cs="Arial"/>
          <w:b/>
          <w:bCs/>
          <w:iCs/>
          <w:color w:val="000000"/>
          <w:sz w:val="28"/>
          <w:szCs w:val="28"/>
          <w:bdr w:val="none" w:sz="0" w:space="0" w:color="auto" w:frame="1"/>
          <w:lang w:val="fr-FR"/>
        </w:rPr>
        <w:t xml:space="preserve"> </w:t>
      </w:r>
    </w:p>
    <w:p w:rsidR="00BD5B7F" w:rsidRPr="00865DA5" w:rsidRDefault="00BD5B7F" w:rsidP="00BD5B7F">
      <w:pPr>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 xml:space="preserve">Le niveau d’exhaustivité des dispositions législatives nationales en vigueur pour la conservation, la gestion et l’utilisation de la faune sauvage, y compris l’interdiction de l’IKB. </w:t>
      </w:r>
    </w:p>
    <w:p w:rsidR="00BD5B7F" w:rsidRPr="00865DA5" w:rsidRDefault="00BD5B7F" w:rsidP="00BD5B7F">
      <w:pPr>
        <w:jc w:val="both"/>
        <w:rPr>
          <w:rFonts w:ascii="Arial" w:eastAsia="Calibri" w:hAnsi="Arial" w:cs="Arial"/>
          <w:color w:val="000000"/>
          <w:sz w:val="22"/>
          <w:szCs w:val="22"/>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Existe-t-il une législation nationale complète</w:t>
      </w:r>
      <w:r w:rsidRPr="00FF6562">
        <w:rPr>
          <w:rFonts w:ascii="Arial" w:eastAsia="Calibri" w:hAnsi="Arial" w:cs="Arial"/>
          <w:color w:val="000000"/>
          <w:sz w:val="22"/>
          <w:szCs w:val="22"/>
          <w:vertAlign w:val="superscript"/>
        </w:rPr>
        <w:footnoteReference w:id="16"/>
      </w:r>
      <w:r w:rsidRPr="00865DA5">
        <w:rPr>
          <w:rFonts w:ascii="Arial" w:eastAsia="Arial" w:hAnsi="Arial" w:cs="Arial"/>
          <w:b/>
          <w:bCs/>
          <w:i/>
          <w:iCs/>
          <w:color w:val="000000"/>
          <w:sz w:val="22"/>
          <w:szCs w:val="22"/>
          <w:bdr w:val="none" w:sz="0" w:space="0" w:color="auto" w:frame="1"/>
          <w:lang w:val="fr-FR"/>
        </w:rPr>
        <w:t xml:space="preserve"> sur la conservation de la faune sauvage, incluant des dispositions pour la réglementation du commerce international de la faune sauvage ou de ses produits ?</w:t>
      </w:r>
    </w:p>
    <w:p w:rsidR="00BD5B7F" w:rsidRPr="00865DA5" w:rsidRDefault="00BD5B7F" w:rsidP="00BD5B7F">
      <w:pPr>
        <w:rPr>
          <w:rFonts w:ascii="Arial" w:eastAsia="Calibri" w:hAnsi="Arial" w:cs="Arial"/>
          <w:i/>
          <w:iCs/>
          <w:color w:val="000000"/>
          <w:sz w:val="22"/>
          <w:szCs w:val="22"/>
          <w:lang w:val="fr-FR"/>
        </w:rPr>
      </w:pPr>
    </w:p>
    <w:p w:rsidR="00BD5B7F" w:rsidRPr="00FF6562" w:rsidRDefault="00BD5B7F" w:rsidP="00BD5B7F">
      <w:pPr>
        <w:spacing w:after="120"/>
        <w:rPr>
          <w:rFonts w:ascii="Arial" w:eastAsia="Calibri" w:hAnsi="Arial" w:cs="Arial"/>
          <w:i/>
          <w:iCs/>
          <w:color w:val="000000"/>
          <w:sz w:val="22"/>
          <w:szCs w:val="22"/>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2"/>
        <w:gridCol w:w="2306"/>
        <w:gridCol w:w="15"/>
        <w:gridCol w:w="2322"/>
        <w:gridCol w:w="2326"/>
      </w:tblGrid>
      <w:tr w:rsidR="00BD5B7F" w:rsidRPr="00FF6562" w:rsidTr="000E5961">
        <w:tc>
          <w:tcPr>
            <w:tcW w:w="2309"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1"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40"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2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c>
          <w:tcPr>
            <w:tcW w:w="2321"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législation nationale sur la faune sauvage :</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N’a pas été adoptée</w:t>
            </w:r>
          </w:p>
        </w:tc>
        <w:tc>
          <w:tcPr>
            <w:tcW w:w="2324"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législation nationale sur la faune sauvage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b/>
                <w:bCs/>
                <w:color w:val="000000"/>
                <w:sz w:val="18"/>
                <w:szCs w:val="18"/>
                <w:bdr w:val="none" w:sz="0" w:space="0" w:color="auto" w:frame="1"/>
                <w:lang w:val="fr-FR"/>
              </w:rPr>
              <w:t>N’inclut pas</w:t>
            </w:r>
            <w:r w:rsidRPr="00865DA5">
              <w:rPr>
                <w:rFonts w:ascii="Arial" w:eastAsia="Arial" w:hAnsi="Arial" w:cs="Arial"/>
                <w:color w:val="000000"/>
                <w:sz w:val="18"/>
                <w:szCs w:val="18"/>
                <w:bdr w:val="none" w:sz="0" w:space="0" w:color="auto" w:frame="1"/>
                <w:lang w:val="fr-FR"/>
              </w:rPr>
              <w:t xml:space="preserve"> de dispositions adéquates pour dissuader et combattre l’IKB</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b/>
                <w:bCs/>
                <w:color w:val="000000"/>
                <w:sz w:val="18"/>
                <w:szCs w:val="18"/>
                <w:bdr w:val="none" w:sz="0" w:space="0" w:color="auto" w:frame="1"/>
                <w:lang w:val="fr-FR"/>
              </w:rPr>
              <w:t>N’est pas</w:t>
            </w:r>
            <w:r w:rsidRPr="00865DA5">
              <w:rPr>
                <w:rFonts w:ascii="Arial" w:eastAsia="Arial" w:hAnsi="Arial" w:cs="Arial"/>
                <w:color w:val="000000"/>
                <w:sz w:val="18"/>
                <w:szCs w:val="18"/>
                <w:bdr w:val="none" w:sz="0" w:space="0" w:color="auto" w:frame="1"/>
                <w:lang w:val="fr-FR"/>
              </w:rPr>
              <w:t xml:space="preserve"> soutenue par des réglementations et/ou un cadre législatif adapté</w:t>
            </w:r>
          </w:p>
        </w:tc>
        <w:tc>
          <w:tcPr>
            <w:tcW w:w="2325"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législation nationale sur la faune sauvage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b/>
                <w:bCs/>
                <w:color w:val="000000"/>
                <w:sz w:val="18"/>
                <w:szCs w:val="18"/>
                <w:bdr w:val="none" w:sz="0" w:space="0" w:color="auto" w:frame="1"/>
                <w:lang w:val="fr-FR"/>
              </w:rPr>
              <w:t>Inclut</w:t>
            </w:r>
            <w:r w:rsidRPr="00865DA5">
              <w:rPr>
                <w:rFonts w:ascii="Arial" w:eastAsia="Arial" w:hAnsi="Arial" w:cs="Arial"/>
                <w:color w:val="000000"/>
                <w:sz w:val="18"/>
                <w:szCs w:val="18"/>
                <w:bdr w:val="none" w:sz="0" w:space="0" w:color="auto" w:frame="1"/>
                <w:lang w:val="fr-FR"/>
              </w:rPr>
              <w:t xml:space="preserve"> des dispositions adéquates pour dissuader et combattre l’IKB</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b/>
                <w:bCs/>
                <w:color w:val="000000"/>
                <w:sz w:val="18"/>
                <w:szCs w:val="18"/>
                <w:bdr w:val="none" w:sz="0" w:space="0" w:color="auto" w:frame="1"/>
                <w:lang w:val="fr-FR"/>
              </w:rPr>
              <w:t>N’est pas</w:t>
            </w:r>
            <w:r w:rsidRPr="00865DA5">
              <w:rPr>
                <w:rFonts w:ascii="Arial" w:eastAsia="Arial" w:hAnsi="Arial" w:cs="Arial"/>
                <w:color w:val="000000"/>
                <w:sz w:val="18"/>
                <w:szCs w:val="18"/>
                <w:bdr w:val="none" w:sz="0" w:space="0" w:color="auto" w:frame="1"/>
                <w:lang w:val="fr-FR"/>
              </w:rPr>
              <w:t xml:space="preserve"> soutenue par des réglementations et/ou un cadre législatif adapté</w:t>
            </w:r>
          </w:p>
        </w:tc>
        <w:tc>
          <w:tcPr>
            <w:tcW w:w="2329"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législation nationale sur la faune sauvage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b/>
                <w:color w:val="000000"/>
                <w:sz w:val="18"/>
                <w:szCs w:val="18"/>
                <w:bdr w:val="none" w:sz="0" w:space="0" w:color="auto" w:frame="1"/>
                <w:lang w:val="fr-FR"/>
              </w:rPr>
              <w:t>Inclut</w:t>
            </w:r>
            <w:r w:rsidRPr="00865DA5">
              <w:rPr>
                <w:rFonts w:ascii="Arial" w:eastAsia="Arial" w:hAnsi="Arial" w:cs="Arial"/>
                <w:color w:val="000000"/>
                <w:sz w:val="18"/>
                <w:szCs w:val="18"/>
                <w:bdr w:val="none" w:sz="0" w:space="0" w:color="auto" w:frame="1"/>
                <w:lang w:val="fr-FR"/>
              </w:rPr>
              <w:t xml:space="preserve"> des dispositions adéquates pour dissuader et combattre l’IKB</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b/>
                <w:bCs/>
                <w:color w:val="000000"/>
                <w:sz w:val="18"/>
                <w:szCs w:val="18"/>
                <w:bdr w:val="none" w:sz="0" w:space="0" w:color="auto" w:frame="1"/>
                <w:lang w:val="fr-FR"/>
              </w:rPr>
              <w:t xml:space="preserve">Est </w:t>
            </w:r>
            <w:r w:rsidRPr="00865DA5">
              <w:rPr>
                <w:rFonts w:ascii="Arial" w:eastAsia="Arial" w:hAnsi="Arial" w:cs="Arial"/>
                <w:color w:val="000000"/>
                <w:sz w:val="18"/>
                <w:szCs w:val="18"/>
                <w:bdr w:val="none" w:sz="0" w:space="0" w:color="auto" w:frame="1"/>
                <w:lang w:val="fr-FR"/>
              </w:rPr>
              <w:t>soutenue par des réglementations et/ou un cadre législatif adapté</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Calibri" w:hAnsi="Arial" w:cs="Arial"/>
          <w:color w:val="000000"/>
          <w:sz w:val="22"/>
          <w:szCs w:val="22"/>
          <w:lang w:val="fr-FR"/>
        </w:rPr>
        <w:br w:type="page"/>
      </w:r>
    </w:p>
    <w:p w:rsidR="00BD5B7F" w:rsidRPr="00865DA5" w:rsidRDefault="00BD5B7F" w:rsidP="00BD5B7F">
      <w:pPr>
        <w:keepNext/>
        <w:keepLines/>
        <w:outlineLvl w:val="3"/>
        <w:rPr>
          <w:rFonts w:ascii="Arial" w:hAnsi="Arial" w:cs="Arial"/>
          <w:b/>
          <w:iCs/>
          <w:color w:val="000000"/>
          <w:sz w:val="28"/>
          <w:szCs w:val="22"/>
          <w:lang w:val="fr-FR"/>
        </w:rPr>
      </w:pPr>
      <w:bookmarkStart w:id="51" w:name="_Toc491245241"/>
      <w:bookmarkStart w:id="52" w:name="_Toc486539578"/>
      <w:r w:rsidRPr="00865DA5">
        <w:rPr>
          <w:rFonts w:ascii="Arial" w:eastAsia="Arial" w:hAnsi="Arial" w:cs="Arial"/>
          <w:b/>
          <w:bCs/>
          <w:iCs/>
          <w:color w:val="000000"/>
          <w:sz w:val="28"/>
          <w:szCs w:val="28"/>
          <w:bdr w:val="none" w:sz="0" w:space="0" w:color="auto" w:frame="1"/>
          <w:lang w:val="fr-FR"/>
        </w:rPr>
        <w:lastRenderedPageBreak/>
        <w:t>6. Utilisation réglementée</w:t>
      </w:r>
      <w:bookmarkEnd w:id="51"/>
      <w:bookmarkEnd w:id="52"/>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Le niveau d’exhaustivité de la législation nationale concernant l’utilisation durable de la faune sauvage, y compris la chasse.</w:t>
      </w:r>
    </w:p>
    <w:p w:rsidR="00BD5B7F" w:rsidRPr="00865DA5" w:rsidRDefault="00BD5B7F" w:rsidP="00BD5B7F">
      <w:pPr>
        <w:jc w:val="both"/>
        <w:rPr>
          <w:rFonts w:ascii="Arial" w:eastAsia="Calibri" w:hAnsi="Arial" w:cs="Arial"/>
          <w:b/>
          <w:bCs/>
          <w:color w:val="000000"/>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Par quelles mesures et quels contrôles, la législation nationale règlemente-t-elle l’abattage et le prélèvement des oiseaux sauvages ?</w:t>
      </w:r>
    </w:p>
    <w:p w:rsidR="00BD5B7F" w:rsidRPr="00FF6562" w:rsidRDefault="00BD5B7F" w:rsidP="00BD5B7F">
      <w:pPr>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2301"/>
        <w:gridCol w:w="18"/>
        <w:gridCol w:w="2321"/>
        <w:gridCol w:w="13"/>
        <w:gridCol w:w="2327"/>
      </w:tblGrid>
      <w:tr w:rsidR="00BD5B7F" w:rsidRPr="00FF6562" w:rsidTr="000E5961">
        <w:tc>
          <w:tcPr>
            <w:tcW w:w="2310"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2"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3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30"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c>
          <w:tcPr>
            <w:tcW w:w="2310"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législation nationale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Ne réglemente </w:t>
            </w:r>
            <w:r w:rsidRPr="00865DA5">
              <w:rPr>
                <w:rFonts w:ascii="Arial" w:eastAsia="Arial" w:hAnsi="Arial" w:cs="Arial"/>
                <w:b/>
                <w:bCs/>
                <w:color w:val="000000"/>
                <w:sz w:val="18"/>
                <w:szCs w:val="18"/>
                <w:bdr w:val="none" w:sz="0" w:space="0" w:color="auto" w:frame="1"/>
                <w:lang w:val="fr-FR"/>
              </w:rPr>
              <w:t>pas spécifiquement</w:t>
            </w:r>
            <w:r w:rsidRPr="00865DA5">
              <w:rPr>
                <w:rFonts w:ascii="Arial" w:eastAsia="Arial" w:hAnsi="Arial" w:cs="Arial"/>
                <w:color w:val="000000"/>
                <w:sz w:val="18"/>
                <w:szCs w:val="18"/>
                <w:bdr w:val="none" w:sz="0" w:space="0" w:color="auto" w:frame="1"/>
                <w:lang w:val="fr-FR"/>
              </w:rPr>
              <w:t xml:space="preserve"> la chasse des oiseaux du point de vue de la conservation / de l’utilisation durable. Certaines législations concernant la chasse des oiseaux peuvent exister, mais elles considèrent l’activité principalement du point de vue du contrôle des armes et de la sécurité publique, et ne traitent pas les problèmes de conservation de la faune sauvage</w:t>
            </w:r>
          </w:p>
        </w:tc>
        <w:tc>
          <w:tcPr>
            <w:tcW w:w="2304" w:type="dxa"/>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législation nationale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En ce qui concerne la chasse, existe et fixe </w:t>
            </w:r>
            <w:r w:rsidRPr="00865DA5">
              <w:rPr>
                <w:rFonts w:ascii="Arial" w:eastAsia="Arial" w:hAnsi="Arial" w:cs="Arial"/>
                <w:b/>
                <w:bCs/>
                <w:color w:val="000000"/>
                <w:sz w:val="18"/>
                <w:szCs w:val="18"/>
                <w:bdr w:val="none" w:sz="0" w:space="0" w:color="auto" w:frame="1"/>
                <w:lang w:val="fr-FR"/>
              </w:rPr>
              <w:t>des paramètres de base</w:t>
            </w:r>
            <w:r w:rsidRPr="00865DA5">
              <w:rPr>
                <w:rFonts w:ascii="Arial" w:eastAsia="Arial" w:hAnsi="Arial" w:cs="Arial"/>
                <w:color w:val="000000"/>
                <w:sz w:val="18"/>
                <w:szCs w:val="18"/>
                <w:bdr w:val="none" w:sz="0" w:space="0" w:color="auto" w:frame="1"/>
                <w:lang w:val="fr-FR"/>
              </w:rPr>
              <w:t xml:space="preserve"> qui s’appliquent à diverses espèces chassables, y compris les oiseaux, tels que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hAnsi="Arial" w:cs="Arial"/>
                <w:color w:val="000000"/>
                <w:sz w:val="16"/>
                <w:szCs w:val="16"/>
                <w:lang w:val="fr-FR"/>
              </w:rPr>
              <w:t xml:space="preserve"> </w:t>
            </w:r>
            <w:r w:rsidRPr="00865DA5">
              <w:rPr>
                <w:rFonts w:ascii="Arial" w:eastAsia="Arial" w:hAnsi="Arial" w:cs="Arial"/>
                <w:color w:val="000000"/>
                <w:sz w:val="18"/>
                <w:szCs w:val="18"/>
                <w:bdr w:val="none" w:sz="0" w:space="0" w:color="auto" w:frame="1"/>
                <w:lang w:val="fr-FR"/>
              </w:rPr>
              <w:t>L’établissement et la définition des saisons de chasse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hAnsi="Arial" w:cs="Arial"/>
                <w:color w:val="000000"/>
                <w:sz w:val="16"/>
                <w:szCs w:val="16"/>
                <w:lang w:val="fr-FR"/>
              </w:rPr>
              <w:t xml:space="preserve"> </w:t>
            </w:r>
            <w:r w:rsidRPr="00865DA5">
              <w:rPr>
                <w:rFonts w:ascii="Arial" w:eastAsia="Arial" w:hAnsi="Arial" w:cs="Arial"/>
                <w:color w:val="000000"/>
                <w:sz w:val="18"/>
                <w:szCs w:val="18"/>
                <w:bdr w:val="none" w:sz="0" w:space="0" w:color="auto" w:frame="1"/>
                <w:lang w:val="fr-FR"/>
              </w:rPr>
              <w:t>L’établissement de la liste des espèces chassables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La réglementation des méthodes de chasse</w:t>
            </w:r>
          </w:p>
          <w:p w:rsidR="00BD5B7F" w:rsidRPr="00865DA5" w:rsidRDefault="00BD5B7F" w:rsidP="000E5961">
            <w:pPr>
              <w:rPr>
                <w:rFonts w:ascii="Arial" w:eastAsia="Calibri" w:hAnsi="Arial" w:cs="Arial"/>
                <w:color w:val="000000"/>
                <w:sz w:val="18"/>
                <w:szCs w:val="18"/>
                <w:lang w:val="fr-FR"/>
              </w:rPr>
            </w:pPr>
          </w:p>
        </w:tc>
        <w:tc>
          <w:tcPr>
            <w:tcW w:w="2342"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La législation nationale :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En ce qui concerne la chasse, existe séparément de la législation nationale concernant la conservation de la faune sauvage et définit des </w:t>
            </w:r>
            <w:r w:rsidRPr="00865DA5">
              <w:rPr>
                <w:rFonts w:ascii="Arial" w:eastAsia="Arial" w:hAnsi="Arial" w:cs="Arial"/>
                <w:b/>
                <w:bCs/>
                <w:color w:val="000000"/>
                <w:sz w:val="18"/>
                <w:szCs w:val="18"/>
                <w:bdr w:val="none" w:sz="0" w:space="0" w:color="auto" w:frame="1"/>
                <w:lang w:val="fr-FR"/>
              </w:rPr>
              <w:t>dispositions complètes</w:t>
            </w:r>
            <w:r w:rsidRPr="00865DA5">
              <w:rPr>
                <w:rFonts w:ascii="Arial" w:eastAsia="Arial" w:hAnsi="Arial" w:cs="Arial"/>
                <w:color w:val="000000"/>
                <w:sz w:val="18"/>
                <w:szCs w:val="18"/>
                <w:bdr w:val="none" w:sz="0" w:space="0" w:color="auto" w:frame="1"/>
                <w:lang w:val="fr-FR"/>
              </w:rPr>
              <w:t xml:space="preserve"> concernant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L’établissement et la définition des saisons de chasse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L’établissement de la liste des espèces chassables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La définition des zones de chasse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La réglementation et la définition des méthodes autorisées pour la chasse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La mise en œuvre d’un mécanisme d’autorisation efficace et de critères pour l’obtention des permis/ licences de chasse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L’établissement des limites et quotas de prélèvement pour les espèces chassables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La réponse aux exigences de base en matière de rapport sur les tableaux de chasse</w:t>
            </w:r>
          </w:p>
          <w:p w:rsidR="00BD5B7F" w:rsidRPr="00865DA5" w:rsidRDefault="00BD5B7F" w:rsidP="000E5961">
            <w:pPr>
              <w:rPr>
                <w:rFonts w:ascii="Arial" w:eastAsia="Calibri" w:hAnsi="Arial" w:cs="Arial"/>
                <w:i/>
                <w:iCs/>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Des contrôles relatifs à la mise en œuvre</w:t>
            </w:r>
          </w:p>
        </w:tc>
        <w:tc>
          <w:tcPr>
            <w:tcW w:w="2343"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législation nationale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En ce qui concerne la chasse, est </w:t>
            </w:r>
            <w:r w:rsidRPr="00865DA5">
              <w:rPr>
                <w:rFonts w:ascii="Arial" w:eastAsia="Arial" w:hAnsi="Arial" w:cs="Arial"/>
                <w:b/>
                <w:bCs/>
                <w:color w:val="000000"/>
                <w:sz w:val="18"/>
                <w:szCs w:val="18"/>
                <w:bdr w:val="none" w:sz="0" w:space="0" w:color="auto" w:frame="1"/>
                <w:lang w:val="fr-FR"/>
              </w:rPr>
              <w:t xml:space="preserve">complètement intégrée </w:t>
            </w:r>
            <w:r w:rsidRPr="00865DA5">
              <w:rPr>
                <w:rFonts w:ascii="Arial" w:eastAsia="Arial" w:hAnsi="Arial" w:cs="Arial"/>
                <w:color w:val="000000"/>
                <w:sz w:val="18"/>
                <w:szCs w:val="18"/>
                <w:bdr w:val="none" w:sz="0" w:space="0" w:color="auto" w:frame="1"/>
                <w:lang w:val="fr-FR"/>
              </w:rPr>
              <w:t xml:space="preserve">dans le cadre de la législation nationale sur la conservation de la faune sauvage, ce qui garantit la prise en compte des aspects biologiques et de conservation dans les décisions relatives à la chasse et définit des </w:t>
            </w:r>
            <w:r w:rsidRPr="00865DA5">
              <w:rPr>
                <w:rFonts w:ascii="Arial" w:eastAsia="Arial" w:hAnsi="Arial" w:cs="Arial"/>
                <w:b/>
                <w:bCs/>
                <w:color w:val="000000"/>
                <w:sz w:val="18"/>
                <w:szCs w:val="18"/>
                <w:bdr w:val="none" w:sz="0" w:space="0" w:color="auto" w:frame="1"/>
                <w:lang w:val="fr-FR"/>
              </w:rPr>
              <w:t>dispositions complètes</w:t>
            </w:r>
            <w:r w:rsidRPr="00865DA5">
              <w:rPr>
                <w:rFonts w:ascii="Arial" w:eastAsia="Arial" w:hAnsi="Arial" w:cs="Arial"/>
                <w:color w:val="000000"/>
                <w:sz w:val="18"/>
                <w:szCs w:val="18"/>
                <w:bdr w:val="none" w:sz="0" w:space="0" w:color="auto" w:frame="1"/>
                <w:lang w:val="fr-FR"/>
              </w:rPr>
              <w:t xml:space="preserve"> concernant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L’établissement et la définition des saisons de chasse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L’établissement de la liste des espèces chassables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La définition des zones de chasse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La réglementation et la définition des méthodes autorisées pour la chasse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Les dispositions pour un mécanisme d’autorisation approprié et des critères pour l’obtention des permis/licences de chasse, y compris des exigences pour l’examen obligatoire des demandeurs de permis de chasser</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L’établissement de limites et des quotas de prélèvement pour les espèces chassables sur la base de considérations biologiques et de conservation</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La collecte en temps opportun des données des tableaux de chasse et les mécanismes de déclaration</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Les contrôles liés à la mise en œuvre, y compris l’application des lois et la lutte contre la fraude (par exemple, en fournissant des pouvoirs d’application des lois aux gardes chasse, gardes des parcs, etc.)</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Calibri" w:hAnsi="Arial" w:cs="Arial"/>
          <w:color w:val="000000"/>
          <w:sz w:val="22"/>
          <w:szCs w:val="22"/>
          <w:lang w:val="fr-FR"/>
        </w:rPr>
        <w:br w:type="page"/>
      </w:r>
    </w:p>
    <w:p w:rsidR="00BD5B7F" w:rsidRPr="00865DA5" w:rsidRDefault="00BD5B7F" w:rsidP="00BD5B7F">
      <w:pPr>
        <w:keepNext/>
        <w:keepLines/>
        <w:spacing w:after="120"/>
        <w:outlineLvl w:val="3"/>
        <w:rPr>
          <w:rFonts w:ascii="Arial" w:hAnsi="Arial" w:cs="Arial"/>
          <w:b/>
          <w:iCs/>
          <w:color w:val="000000"/>
          <w:sz w:val="28"/>
          <w:szCs w:val="22"/>
          <w:lang w:val="fr-FR"/>
        </w:rPr>
      </w:pPr>
      <w:bookmarkStart w:id="53" w:name="_Toc491245242"/>
      <w:bookmarkStart w:id="54" w:name="_Toc486539579"/>
      <w:r w:rsidRPr="00865DA5">
        <w:rPr>
          <w:rFonts w:ascii="Arial" w:eastAsia="Arial" w:hAnsi="Arial" w:cs="Arial"/>
          <w:b/>
          <w:bCs/>
          <w:iCs/>
          <w:color w:val="000000"/>
          <w:sz w:val="28"/>
          <w:szCs w:val="28"/>
          <w:bdr w:val="none" w:sz="0" w:space="0" w:color="auto" w:frame="1"/>
          <w:lang w:val="fr-FR"/>
        </w:rPr>
        <w:lastRenderedPageBreak/>
        <w:t>7. Interdictions en vertu de la législation nationale</w:t>
      </w:r>
      <w:bookmarkEnd w:id="53"/>
      <w:bookmarkEnd w:id="54"/>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 xml:space="preserve">L’étendue des activités interdites par la législation nationale. </w:t>
      </w:r>
    </w:p>
    <w:p w:rsidR="00BD5B7F" w:rsidRPr="00865DA5" w:rsidRDefault="00BD5B7F" w:rsidP="00BD5B7F">
      <w:pPr>
        <w:jc w:val="both"/>
        <w:rPr>
          <w:rFonts w:ascii="Arial" w:eastAsia="Calibri" w:hAnsi="Arial" w:cs="Arial"/>
          <w:color w:val="000000"/>
          <w:sz w:val="28"/>
          <w:szCs w:val="22"/>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Dans quelle mesure la législation nationale prévoit-elle l’illégalité de l’abattage, du prélèvement et du commerce d’oiseaux sauvages ?</w:t>
      </w:r>
    </w:p>
    <w:p w:rsidR="00BD5B7F" w:rsidRPr="00865DA5" w:rsidRDefault="00BD5B7F" w:rsidP="00BD5B7F">
      <w:pPr>
        <w:rPr>
          <w:rFonts w:ascii="Arial" w:eastAsia="Calibri" w:hAnsi="Arial" w:cs="Arial"/>
          <w:color w:val="000000"/>
          <w:sz w:val="28"/>
          <w:szCs w:val="22"/>
          <w:lang w:val="fr-FR"/>
        </w:rPr>
      </w:pPr>
    </w:p>
    <w:p w:rsidR="00BD5B7F" w:rsidRPr="00FF6562" w:rsidRDefault="00BD5B7F" w:rsidP="00BD5B7F">
      <w:pPr>
        <w:spacing w:after="120"/>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48"/>
        <w:gridCol w:w="2271"/>
        <w:gridCol w:w="28"/>
        <w:gridCol w:w="2306"/>
        <w:gridCol w:w="10"/>
        <w:gridCol w:w="2317"/>
      </w:tblGrid>
      <w:tr w:rsidR="00BD5B7F" w:rsidRPr="00FF6562" w:rsidTr="000E5961">
        <w:tc>
          <w:tcPr>
            <w:tcW w:w="2310"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2"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3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30" w:type="dxa"/>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trHeight w:val="2346"/>
        </w:trPr>
        <w:tc>
          <w:tcPr>
            <w:tcW w:w="2358"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La législation nationale </w:t>
            </w:r>
            <w:r w:rsidRPr="00865DA5">
              <w:rPr>
                <w:rFonts w:ascii="Arial" w:eastAsia="Arial" w:hAnsi="Arial" w:cs="Arial"/>
                <w:b/>
                <w:color w:val="000000"/>
                <w:sz w:val="18"/>
                <w:szCs w:val="18"/>
                <w:bdr w:val="none" w:sz="0" w:space="0" w:color="auto" w:frame="1"/>
                <w:lang w:val="fr-FR"/>
              </w:rPr>
              <w:t xml:space="preserve">n’interdit </w:t>
            </w:r>
            <w:r w:rsidRPr="00865DA5">
              <w:rPr>
                <w:rFonts w:ascii="Arial" w:eastAsia="Arial" w:hAnsi="Arial" w:cs="Arial"/>
                <w:b/>
                <w:bCs/>
                <w:color w:val="000000"/>
                <w:sz w:val="18"/>
                <w:szCs w:val="18"/>
                <w:bdr w:val="none" w:sz="0" w:space="0" w:color="auto" w:frame="1"/>
                <w:lang w:val="fr-FR"/>
              </w:rPr>
              <w:t>généralement pas</w:t>
            </w:r>
            <w:r w:rsidRPr="00FF6562">
              <w:rPr>
                <w:rFonts w:ascii="Arial" w:eastAsia="Calibri" w:hAnsi="Arial" w:cs="Arial"/>
                <w:b/>
                <w:color w:val="000000"/>
                <w:sz w:val="18"/>
                <w:szCs w:val="18"/>
                <w:vertAlign w:val="superscript"/>
              </w:rPr>
              <w:footnoteReference w:id="17"/>
            </w:r>
            <w:r w:rsidRPr="00865DA5">
              <w:rPr>
                <w:rFonts w:ascii="Arial" w:eastAsia="Arial" w:hAnsi="Arial" w:cs="Arial"/>
                <w:color w:val="000000"/>
                <w:sz w:val="18"/>
                <w:szCs w:val="18"/>
                <w:bdr w:val="none" w:sz="0" w:space="0" w:color="auto" w:frame="1"/>
                <w:lang w:val="fr-FR"/>
              </w:rPr>
              <w:t>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L’abattage délibéré d’oiseaux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Le prélèvement d’oiseaux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L’utilisation de moyens tels que les filets, pièges, bâtons enduits de glu, dispositifs sonores, etc. pour capturer des oiseaux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La possession</w:t>
            </w:r>
            <w:r w:rsidRPr="00FF6562">
              <w:rPr>
                <w:rFonts w:ascii="Arial" w:eastAsia="Calibri" w:hAnsi="Arial" w:cs="Arial"/>
                <w:color w:val="000000"/>
                <w:sz w:val="18"/>
                <w:szCs w:val="18"/>
                <w:vertAlign w:val="superscript"/>
              </w:rPr>
              <w:footnoteReference w:id="18"/>
            </w:r>
            <w:r w:rsidRPr="00865DA5">
              <w:rPr>
                <w:rFonts w:ascii="Arial" w:eastAsia="Arial" w:hAnsi="Arial" w:cs="Arial"/>
                <w:color w:val="000000"/>
                <w:sz w:val="18"/>
                <w:szCs w:val="18"/>
                <w:bdr w:val="none" w:sz="0" w:space="0" w:color="auto" w:frame="1"/>
                <w:vertAlign w:val="superscript"/>
                <w:lang w:val="fr-FR"/>
              </w:rPr>
              <w:t xml:space="preserve"> </w:t>
            </w:r>
            <w:r w:rsidRPr="00865DA5">
              <w:rPr>
                <w:rFonts w:ascii="Arial" w:eastAsia="Arial" w:hAnsi="Arial" w:cs="Arial"/>
                <w:color w:val="000000"/>
                <w:sz w:val="18"/>
                <w:szCs w:val="18"/>
                <w:bdr w:val="none" w:sz="0" w:space="0" w:color="auto" w:frame="1"/>
                <w:lang w:val="fr-FR"/>
              </w:rPr>
              <w:t>d’oiseaux sauvages vivants ou morts ou de parties d’oiseaux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L’importation ou le transport d’oiseaux sauvages ou de leurs parties et produits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La vente d’oiseaux sauvages</w:t>
            </w:r>
          </w:p>
        </w:tc>
        <w:tc>
          <w:tcPr>
            <w:tcW w:w="2302"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La législation nationale </w:t>
            </w:r>
            <w:r w:rsidRPr="00865DA5">
              <w:rPr>
                <w:rFonts w:ascii="Arial" w:eastAsia="Arial" w:hAnsi="Arial" w:cs="Arial"/>
                <w:b/>
                <w:bCs/>
                <w:color w:val="000000"/>
                <w:sz w:val="18"/>
                <w:szCs w:val="18"/>
                <w:bdr w:val="none" w:sz="0" w:space="0" w:color="auto" w:frame="1"/>
                <w:lang w:val="fr-FR"/>
              </w:rPr>
              <w:t>interdit généralement</w:t>
            </w:r>
            <w:r w:rsidRPr="00865DA5">
              <w:rPr>
                <w:rFonts w:ascii="Arial" w:eastAsia="Arial" w:hAnsi="Arial" w:cs="Arial"/>
                <w:color w:val="000000"/>
                <w:sz w:val="18"/>
                <w:szCs w:val="18"/>
                <w:bdr w:val="none" w:sz="0" w:space="0" w:color="auto" w:frame="1"/>
                <w:lang w:val="fr-FR"/>
              </w:rPr>
              <w:t>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L’abattage délibéré d’oiseaux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Le prélèvement d’oiseaux sauvages</w:t>
            </w:r>
          </w:p>
        </w:tc>
        <w:tc>
          <w:tcPr>
            <w:tcW w:w="2319"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La législation nationale </w:t>
            </w:r>
            <w:r w:rsidRPr="00865DA5">
              <w:rPr>
                <w:rFonts w:ascii="Arial" w:eastAsia="Arial" w:hAnsi="Arial" w:cs="Arial"/>
                <w:b/>
                <w:bCs/>
                <w:color w:val="000000"/>
                <w:sz w:val="18"/>
                <w:szCs w:val="18"/>
                <w:bdr w:val="none" w:sz="0" w:space="0" w:color="auto" w:frame="1"/>
                <w:lang w:val="fr-FR"/>
              </w:rPr>
              <w:t>interdit généralement</w:t>
            </w:r>
            <w:r w:rsidRPr="00865DA5">
              <w:rPr>
                <w:rFonts w:ascii="Arial" w:eastAsia="Arial" w:hAnsi="Arial" w:cs="Arial"/>
                <w:color w:val="000000"/>
                <w:sz w:val="18"/>
                <w:szCs w:val="18"/>
                <w:bdr w:val="none" w:sz="0" w:space="0" w:color="auto" w:frame="1"/>
                <w:lang w:val="fr-FR"/>
              </w:rPr>
              <w:t xml:space="preserve"> :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L’abattage délibéré d’oiseaux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Le prélèvement d’oiseaux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L’utilisation de moyens tels que les filets, pièges, bâtons enduis de glu, dispositifs sonores, etc. pour capturer des oiseaux</w:t>
            </w:r>
          </w:p>
          <w:p w:rsidR="00BD5B7F" w:rsidRPr="00865DA5" w:rsidRDefault="00BD5B7F" w:rsidP="000E5961">
            <w:pPr>
              <w:rPr>
                <w:rFonts w:ascii="Arial" w:eastAsia="Calibri" w:hAnsi="Arial" w:cs="Arial"/>
                <w:i/>
                <w:iCs/>
                <w:color w:val="000000"/>
                <w:sz w:val="18"/>
                <w:szCs w:val="18"/>
                <w:lang w:val="fr-FR"/>
              </w:rPr>
            </w:pPr>
          </w:p>
        </w:tc>
        <w:tc>
          <w:tcPr>
            <w:tcW w:w="2320"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La législation nationale </w:t>
            </w:r>
            <w:r w:rsidRPr="00865DA5">
              <w:rPr>
                <w:rFonts w:ascii="Arial" w:eastAsia="Arial" w:hAnsi="Arial" w:cs="Arial"/>
                <w:b/>
                <w:bCs/>
                <w:color w:val="000000"/>
                <w:sz w:val="18"/>
                <w:szCs w:val="18"/>
                <w:bdr w:val="none" w:sz="0" w:space="0" w:color="auto" w:frame="1"/>
                <w:lang w:val="fr-FR"/>
              </w:rPr>
              <w:t>interdit généralement</w:t>
            </w:r>
            <w:r w:rsidRPr="00865DA5">
              <w:rPr>
                <w:rFonts w:ascii="Arial" w:eastAsia="Arial" w:hAnsi="Arial" w:cs="Arial"/>
                <w:color w:val="000000"/>
                <w:sz w:val="18"/>
                <w:szCs w:val="18"/>
                <w:bdr w:val="none" w:sz="0" w:space="0" w:color="auto" w:frame="1"/>
                <w:lang w:val="fr-FR"/>
              </w:rPr>
              <w:t>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L’abattage délibéré d’oiseaux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Le prélèvement d’oiseaux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L’utilisation de moyens tels que les filets, pièges, bâtons enduits de glu, dispositifs sonores, etc. pour capturer des oiseaux</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La possession d’oiseaux sauvages vivants ou morts ou de parties d’oiseaux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L’importation ou le transport d’oiseaux sauvages ou de leurs parties et produits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La vente d’oiseaux sauvages</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eastAsia="Calibri" w:hAnsi="Arial" w:cs="Arial"/>
          <w:b/>
          <w:bCs/>
          <w:color w:val="000000"/>
          <w:sz w:val="23"/>
          <w:szCs w:val="23"/>
          <w:lang w:val="fr-FR"/>
        </w:rPr>
      </w:pPr>
      <w:r w:rsidRPr="00865DA5">
        <w:rPr>
          <w:rFonts w:ascii="Arial" w:eastAsia="Calibri" w:hAnsi="Arial" w:cs="Arial"/>
          <w:b/>
          <w:bCs/>
          <w:color w:val="000000"/>
          <w:sz w:val="23"/>
          <w:szCs w:val="23"/>
          <w:lang w:val="fr-FR"/>
        </w:rPr>
        <w:br w:type="page"/>
      </w:r>
    </w:p>
    <w:p w:rsidR="00BD5B7F" w:rsidRPr="00865DA5" w:rsidRDefault="00BD5B7F" w:rsidP="00BD5B7F">
      <w:pPr>
        <w:keepNext/>
        <w:keepLines/>
        <w:spacing w:after="120"/>
        <w:outlineLvl w:val="3"/>
        <w:rPr>
          <w:rFonts w:ascii="Arial" w:hAnsi="Arial" w:cs="Arial"/>
          <w:b/>
          <w:iCs/>
          <w:color w:val="000000"/>
          <w:sz w:val="28"/>
          <w:szCs w:val="22"/>
          <w:lang w:val="fr-FR"/>
        </w:rPr>
      </w:pPr>
      <w:bookmarkStart w:id="55" w:name="_Toc491245243"/>
      <w:bookmarkStart w:id="56" w:name="_Toc486539580"/>
      <w:r w:rsidRPr="00865DA5">
        <w:rPr>
          <w:rFonts w:ascii="Arial" w:eastAsia="Arial" w:hAnsi="Arial" w:cs="Arial"/>
          <w:b/>
          <w:bCs/>
          <w:iCs/>
          <w:color w:val="000000"/>
          <w:sz w:val="28"/>
          <w:szCs w:val="28"/>
          <w:bdr w:val="none" w:sz="0" w:space="0" w:color="auto" w:frame="1"/>
          <w:lang w:val="fr-FR"/>
        </w:rPr>
        <w:lastRenderedPageBreak/>
        <w:t>8. Exceptions à la législation nationale</w:t>
      </w:r>
      <w:bookmarkEnd w:id="55"/>
      <w:bookmarkEnd w:id="56"/>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 xml:space="preserve">L’étendue du contrôle réglementaire concernant toute autorisation de dérogation. </w:t>
      </w:r>
    </w:p>
    <w:p w:rsidR="00BD5B7F" w:rsidRPr="00865DA5" w:rsidRDefault="00BD5B7F" w:rsidP="00BD5B7F">
      <w:pPr>
        <w:jc w:val="both"/>
        <w:rPr>
          <w:rFonts w:ascii="Arial" w:eastAsia="Calibri" w:hAnsi="Arial" w:cs="Arial"/>
          <w:color w:val="000000"/>
          <w:sz w:val="18"/>
          <w:szCs w:val="18"/>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Dans quelle mesure la législation nationale prévoit-elle d’autoriser des dérogations aux interdictions générales énoncées dans la réponse à la question précédente ?</w:t>
      </w:r>
    </w:p>
    <w:p w:rsidR="00BD5B7F" w:rsidRPr="00865DA5" w:rsidRDefault="00BD5B7F" w:rsidP="00BD5B7F">
      <w:pPr>
        <w:ind w:left="993" w:hanging="993"/>
        <w:jc w:val="both"/>
        <w:rPr>
          <w:rFonts w:ascii="Arial" w:eastAsia="Calibri" w:hAnsi="Arial" w:cs="Arial"/>
          <w:color w:val="000000"/>
          <w:sz w:val="18"/>
          <w:szCs w:val="18"/>
          <w:lang w:val="fr-FR"/>
        </w:rPr>
      </w:pPr>
    </w:p>
    <w:p w:rsidR="00BD5B7F" w:rsidRPr="00FF6562" w:rsidRDefault="00BD5B7F" w:rsidP="00BD5B7F">
      <w:pPr>
        <w:spacing w:after="120"/>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08"/>
        <w:gridCol w:w="13"/>
        <w:gridCol w:w="2327"/>
        <w:gridCol w:w="9"/>
        <w:gridCol w:w="2568"/>
      </w:tblGrid>
      <w:tr w:rsidR="00BD5B7F" w:rsidRPr="00FF6562" w:rsidTr="000E5961">
        <w:tc>
          <w:tcPr>
            <w:tcW w:w="2310"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1"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36"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568"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trHeight w:val="982"/>
        </w:trPr>
        <w:tc>
          <w:tcPr>
            <w:tcW w:w="2310"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législation nationale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Prévoit l’autorisation de dérogations impliquant </w:t>
            </w:r>
            <w:r w:rsidRPr="00865DA5">
              <w:rPr>
                <w:rFonts w:ascii="Arial" w:eastAsia="Arial" w:hAnsi="Arial" w:cs="Arial"/>
                <w:b/>
                <w:bCs/>
                <w:color w:val="000000"/>
                <w:sz w:val="18"/>
                <w:szCs w:val="18"/>
                <w:bdr w:val="none" w:sz="0" w:space="0" w:color="auto" w:frame="1"/>
                <w:lang w:val="fr-FR"/>
              </w:rPr>
              <w:t>une ou plusieurs</w:t>
            </w:r>
            <w:r w:rsidRPr="00865DA5">
              <w:rPr>
                <w:rFonts w:ascii="Arial" w:eastAsia="Arial" w:hAnsi="Arial" w:cs="Arial"/>
                <w:color w:val="000000"/>
                <w:sz w:val="18"/>
                <w:szCs w:val="18"/>
                <w:bdr w:val="none" w:sz="0" w:space="0" w:color="auto" w:frame="1"/>
                <w:lang w:val="fr-FR"/>
              </w:rPr>
              <w:t xml:space="preserve"> activités généralement interdites par la législation nationale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Ne comprend pas de critères ni de processus spécifiques pour l’octroi / le suivi de telles dérogations</w:t>
            </w:r>
            <w:r w:rsidRPr="00865DA5">
              <w:rPr>
                <w:rFonts w:ascii="Arial" w:eastAsia="Arial" w:hAnsi="Arial" w:cs="Arial"/>
                <w:color w:val="000000"/>
                <w:sz w:val="18"/>
                <w:szCs w:val="18"/>
                <w:bdr w:val="none" w:sz="0" w:space="0" w:color="auto" w:frame="1"/>
                <w:vertAlign w:val="superscript"/>
                <w:lang w:val="fr-FR"/>
              </w:rPr>
              <w:t xml:space="preserve"> </w:t>
            </w:r>
          </w:p>
        </w:tc>
        <w:tc>
          <w:tcPr>
            <w:tcW w:w="2308"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législation nationale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Prévoit l’autorisation de dérogations impliquant </w:t>
            </w:r>
            <w:r w:rsidRPr="00865DA5">
              <w:rPr>
                <w:rFonts w:ascii="Arial" w:eastAsia="Arial" w:hAnsi="Arial" w:cs="Arial"/>
                <w:b/>
                <w:bCs/>
                <w:color w:val="000000"/>
                <w:sz w:val="18"/>
                <w:szCs w:val="18"/>
                <w:bdr w:val="none" w:sz="0" w:space="0" w:color="auto" w:frame="1"/>
                <w:lang w:val="fr-FR"/>
              </w:rPr>
              <w:t>certaines</w:t>
            </w:r>
            <w:r w:rsidRPr="00865DA5">
              <w:rPr>
                <w:rFonts w:ascii="Arial" w:eastAsia="Arial" w:hAnsi="Arial" w:cs="Arial"/>
                <w:color w:val="000000"/>
                <w:sz w:val="18"/>
                <w:szCs w:val="18"/>
                <w:bdr w:val="none" w:sz="0" w:space="0" w:color="auto" w:frame="1"/>
                <w:lang w:val="fr-FR"/>
              </w:rPr>
              <w:t xml:space="preserve"> activités généralement interdites par la législation nationale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Définit les critères de base selon lesquels ces dérogations peuvent être accordées par l’autorité responsable ; toutefois, ces critères d’octroi de dérogation </w:t>
            </w:r>
            <w:r w:rsidRPr="00865DA5">
              <w:rPr>
                <w:rFonts w:ascii="Arial" w:eastAsia="Arial" w:hAnsi="Arial" w:cs="Arial"/>
                <w:b/>
                <w:bCs/>
                <w:color w:val="000000"/>
                <w:sz w:val="18"/>
                <w:szCs w:val="18"/>
                <w:bdr w:val="none" w:sz="0" w:space="0" w:color="auto" w:frame="1"/>
                <w:lang w:val="fr-FR"/>
              </w:rPr>
              <w:t>ne correspondent pas</w:t>
            </w:r>
            <w:r w:rsidRPr="00865DA5">
              <w:rPr>
                <w:rFonts w:ascii="Arial" w:eastAsia="Arial" w:hAnsi="Arial" w:cs="Arial"/>
                <w:color w:val="000000"/>
                <w:sz w:val="18"/>
                <w:szCs w:val="18"/>
                <w:bdr w:val="none" w:sz="0" w:space="0" w:color="auto" w:frame="1"/>
                <w:lang w:val="fr-FR"/>
              </w:rPr>
              <w:t xml:space="preserve"> aux critères prévus par la Convention de Berne</w:t>
            </w:r>
            <w:r w:rsidRPr="00FF6562">
              <w:rPr>
                <w:rFonts w:ascii="Arial" w:eastAsia="Calibri" w:hAnsi="Arial" w:cs="Arial"/>
                <w:color w:val="000000"/>
                <w:sz w:val="18"/>
                <w:szCs w:val="18"/>
                <w:vertAlign w:val="superscript"/>
              </w:rPr>
              <w:footnoteReference w:id="19"/>
            </w:r>
            <w:r w:rsidRPr="00865DA5">
              <w:rPr>
                <w:rFonts w:ascii="Arial" w:eastAsia="Arial" w:hAnsi="Arial" w:cs="Arial"/>
                <w:color w:val="000000"/>
                <w:sz w:val="18"/>
                <w:szCs w:val="18"/>
                <w:bdr w:val="none" w:sz="0" w:space="0" w:color="auto" w:frame="1"/>
                <w:lang w:val="fr-FR"/>
              </w:rPr>
              <w:t xml:space="preserve"> / la CMS</w:t>
            </w:r>
            <w:r w:rsidRPr="00FF6562">
              <w:rPr>
                <w:rFonts w:ascii="Arial" w:eastAsia="Calibri" w:hAnsi="Arial" w:cs="Arial"/>
                <w:color w:val="000000"/>
                <w:sz w:val="18"/>
                <w:szCs w:val="18"/>
                <w:vertAlign w:val="superscript"/>
              </w:rPr>
              <w:footnoteReference w:id="20"/>
            </w:r>
            <w:r w:rsidRPr="00865DA5">
              <w:rPr>
                <w:rFonts w:ascii="Arial" w:eastAsia="Arial" w:hAnsi="Arial" w:cs="Arial"/>
                <w:color w:val="000000"/>
                <w:sz w:val="18"/>
                <w:szCs w:val="18"/>
                <w:bdr w:val="none" w:sz="0" w:space="0" w:color="auto" w:frame="1"/>
                <w:lang w:val="fr-FR"/>
              </w:rPr>
              <w:t xml:space="preserve"> / la Directive Oiseaux de l’UE</w:t>
            </w:r>
            <w:r w:rsidRPr="00FF6562">
              <w:rPr>
                <w:rFonts w:ascii="Arial" w:eastAsia="Calibri" w:hAnsi="Arial" w:cs="Arial"/>
                <w:color w:val="000000"/>
                <w:sz w:val="18"/>
                <w:szCs w:val="18"/>
                <w:vertAlign w:val="superscript"/>
              </w:rPr>
              <w:footnoteReference w:id="21"/>
            </w:r>
            <w:r w:rsidRPr="00865DA5">
              <w:rPr>
                <w:rFonts w:ascii="Arial" w:eastAsia="Arial" w:hAnsi="Arial" w:cs="Arial"/>
                <w:color w:val="000000"/>
                <w:sz w:val="18"/>
                <w:szCs w:val="18"/>
                <w:bdr w:val="none" w:sz="0" w:space="0" w:color="auto" w:frame="1"/>
                <w:vertAlign w:val="superscript"/>
                <w:lang w:val="fr-FR"/>
              </w:rPr>
              <w:t xml:space="preserve"> </w:t>
            </w:r>
            <w:r w:rsidRPr="00865DA5">
              <w:rPr>
                <w:rFonts w:ascii="Arial" w:eastAsia="Arial" w:hAnsi="Arial" w:cs="Arial"/>
                <w:color w:val="000000"/>
                <w:sz w:val="18"/>
                <w:szCs w:val="18"/>
                <w:bdr w:val="none" w:sz="0" w:space="0" w:color="auto" w:frame="1"/>
                <w:lang w:val="fr-FR"/>
              </w:rPr>
              <w:t>(pour les États membres de l’UE seulement)</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N’inclut pas de mécanisme de réglementation spécifique pour le suivi / le rapport sur les dérogations accordées</w:t>
            </w:r>
          </w:p>
        </w:tc>
        <w:tc>
          <w:tcPr>
            <w:tcW w:w="2340"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législation nationale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Prévoit l’autorisation de dérogations impliquant </w:t>
            </w:r>
            <w:r w:rsidRPr="00865DA5">
              <w:rPr>
                <w:rFonts w:ascii="Arial" w:eastAsia="Arial" w:hAnsi="Arial" w:cs="Arial"/>
                <w:b/>
                <w:bCs/>
                <w:color w:val="000000"/>
                <w:sz w:val="18"/>
                <w:szCs w:val="18"/>
                <w:bdr w:val="none" w:sz="0" w:space="0" w:color="auto" w:frame="1"/>
                <w:lang w:val="fr-FR"/>
              </w:rPr>
              <w:t>certaines</w:t>
            </w:r>
            <w:r w:rsidRPr="00865DA5">
              <w:rPr>
                <w:rFonts w:ascii="Arial" w:eastAsia="Arial" w:hAnsi="Arial" w:cs="Arial"/>
                <w:color w:val="000000"/>
                <w:sz w:val="18"/>
                <w:szCs w:val="18"/>
                <w:bdr w:val="none" w:sz="0" w:space="0" w:color="auto" w:frame="1"/>
                <w:lang w:val="fr-FR"/>
              </w:rPr>
              <w:t xml:space="preserve"> activités généralement interdites par la législation nationale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Définit </w:t>
            </w:r>
            <w:r w:rsidRPr="00865DA5">
              <w:rPr>
                <w:rFonts w:ascii="Arial" w:eastAsia="Arial" w:hAnsi="Arial" w:cs="Arial"/>
                <w:b/>
                <w:bCs/>
                <w:color w:val="000000"/>
                <w:sz w:val="18"/>
                <w:szCs w:val="18"/>
                <w:bdr w:val="none" w:sz="0" w:space="0" w:color="auto" w:frame="1"/>
                <w:lang w:val="fr-FR"/>
              </w:rPr>
              <w:t>des critères complets</w:t>
            </w:r>
            <w:r w:rsidRPr="00865DA5">
              <w:rPr>
                <w:rFonts w:ascii="Arial" w:eastAsia="Arial" w:hAnsi="Arial" w:cs="Arial"/>
                <w:color w:val="000000"/>
                <w:sz w:val="18"/>
                <w:szCs w:val="18"/>
                <w:bdr w:val="none" w:sz="0" w:space="0" w:color="auto" w:frame="1"/>
                <w:lang w:val="fr-FR"/>
              </w:rPr>
              <w:t xml:space="preserve"> selon lesquels ces dérogations peuvent être accordées par l’autorité responsable ; de tels critères </w:t>
            </w:r>
            <w:r w:rsidRPr="00865DA5">
              <w:rPr>
                <w:rFonts w:ascii="Arial" w:eastAsia="Arial" w:hAnsi="Arial" w:cs="Arial"/>
                <w:b/>
                <w:bCs/>
                <w:color w:val="000000"/>
                <w:sz w:val="18"/>
                <w:szCs w:val="18"/>
                <w:bdr w:val="none" w:sz="0" w:space="0" w:color="auto" w:frame="1"/>
                <w:lang w:val="fr-FR"/>
              </w:rPr>
              <w:t>correspondent</w:t>
            </w:r>
            <w:r w:rsidRPr="00865DA5">
              <w:rPr>
                <w:rFonts w:ascii="Arial" w:eastAsia="Arial" w:hAnsi="Arial" w:cs="Arial"/>
                <w:color w:val="000000"/>
                <w:sz w:val="18"/>
                <w:szCs w:val="18"/>
                <w:bdr w:val="none" w:sz="0" w:space="0" w:color="auto" w:frame="1"/>
                <w:lang w:val="fr-FR"/>
              </w:rPr>
              <w:t xml:space="preserve"> aux critères prévus par la Convention de Berne / la CMS / la Directive Oiseaux de l’UE (pour les États membres de l’UE seulement)</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N’inclut pas de mécanisme de réglementation spécifique pour le suivi / le rapport sur les dérogations accordées</w:t>
            </w:r>
          </w:p>
        </w:tc>
        <w:tc>
          <w:tcPr>
            <w:tcW w:w="2577"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législation nationale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Permet l’autorisation de dérogations impliquant </w:t>
            </w:r>
            <w:r w:rsidRPr="00865DA5">
              <w:rPr>
                <w:rFonts w:ascii="Arial" w:eastAsia="Arial" w:hAnsi="Arial" w:cs="Arial"/>
                <w:b/>
                <w:bCs/>
                <w:color w:val="000000"/>
                <w:sz w:val="18"/>
                <w:szCs w:val="18"/>
                <w:bdr w:val="none" w:sz="0" w:space="0" w:color="auto" w:frame="1"/>
                <w:lang w:val="fr-FR"/>
              </w:rPr>
              <w:t>certaines</w:t>
            </w:r>
            <w:r w:rsidRPr="00865DA5">
              <w:rPr>
                <w:rFonts w:ascii="Arial" w:eastAsia="Arial" w:hAnsi="Arial" w:cs="Arial"/>
                <w:color w:val="000000"/>
                <w:sz w:val="18"/>
                <w:szCs w:val="18"/>
                <w:bdr w:val="none" w:sz="0" w:space="0" w:color="auto" w:frame="1"/>
                <w:lang w:val="fr-FR"/>
              </w:rPr>
              <w:t xml:space="preserve"> activités généralement interdites par la législation nationale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Définit </w:t>
            </w:r>
            <w:r w:rsidRPr="00865DA5">
              <w:rPr>
                <w:rFonts w:ascii="Arial" w:eastAsia="Arial" w:hAnsi="Arial" w:cs="Arial"/>
                <w:b/>
                <w:bCs/>
                <w:color w:val="000000"/>
                <w:sz w:val="18"/>
                <w:szCs w:val="18"/>
                <w:bdr w:val="none" w:sz="0" w:space="0" w:color="auto" w:frame="1"/>
                <w:lang w:val="fr-FR"/>
              </w:rPr>
              <w:t>des critères complets</w:t>
            </w:r>
            <w:r w:rsidRPr="00865DA5">
              <w:rPr>
                <w:rFonts w:ascii="Arial" w:eastAsia="Arial" w:hAnsi="Arial" w:cs="Arial"/>
                <w:color w:val="000000"/>
                <w:sz w:val="18"/>
                <w:szCs w:val="18"/>
                <w:bdr w:val="none" w:sz="0" w:space="0" w:color="auto" w:frame="1"/>
                <w:lang w:val="fr-FR"/>
              </w:rPr>
              <w:t xml:space="preserve"> selon lesquels ces dérogations peuvent être accordées par l’autorité responsable ; de tels critères </w:t>
            </w:r>
            <w:r w:rsidRPr="00865DA5">
              <w:rPr>
                <w:rFonts w:ascii="Arial" w:eastAsia="Arial" w:hAnsi="Arial" w:cs="Arial"/>
                <w:b/>
                <w:bCs/>
                <w:color w:val="000000"/>
                <w:sz w:val="18"/>
                <w:szCs w:val="18"/>
                <w:bdr w:val="none" w:sz="0" w:space="0" w:color="auto" w:frame="1"/>
                <w:lang w:val="fr-FR"/>
              </w:rPr>
              <w:t>correspondent</w:t>
            </w:r>
            <w:r w:rsidRPr="00865DA5">
              <w:rPr>
                <w:rFonts w:ascii="Arial" w:eastAsia="Arial" w:hAnsi="Arial" w:cs="Arial"/>
                <w:color w:val="000000"/>
                <w:sz w:val="18"/>
                <w:szCs w:val="18"/>
                <w:bdr w:val="none" w:sz="0" w:space="0" w:color="auto" w:frame="1"/>
                <w:lang w:val="fr-FR"/>
              </w:rPr>
              <w:t xml:space="preserve"> aux critères prévus par la Convention de Berne / la CMS / la Directive Oiseaux de l’UE (pour les États membres de l’UE seulement)</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Établit, pour </w:t>
            </w:r>
            <w:r w:rsidRPr="00865DA5">
              <w:rPr>
                <w:rFonts w:ascii="Arial" w:eastAsia="Arial" w:hAnsi="Arial" w:cs="Arial"/>
                <w:b/>
                <w:bCs/>
                <w:color w:val="000000"/>
                <w:sz w:val="18"/>
                <w:szCs w:val="18"/>
                <w:bdr w:val="none" w:sz="0" w:space="0" w:color="auto" w:frame="1"/>
                <w:lang w:val="fr-FR"/>
              </w:rPr>
              <w:t>chaque</w:t>
            </w:r>
            <w:r w:rsidRPr="00865DA5">
              <w:rPr>
                <w:rFonts w:ascii="Arial" w:eastAsia="Arial" w:hAnsi="Arial" w:cs="Arial"/>
                <w:color w:val="000000"/>
                <w:sz w:val="18"/>
                <w:szCs w:val="18"/>
                <w:bdr w:val="none" w:sz="0" w:space="0" w:color="auto" w:frame="1"/>
                <w:lang w:val="fr-FR"/>
              </w:rPr>
              <w:t xml:space="preserve"> dérogation accordée annuellement, un</w:t>
            </w:r>
            <w:r w:rsidRPr="00865DA5">
              <w:rPr>
                <w:rFonts w:ascii="Arial" w:eastAsia="Arial" w:hAnsi="Arial" w:cs="Arial"/>
                <w:b/>
                <w:bCs/>
                <w:color w:val="000000"/>
                <w:sz w:val="18"/>
                <w:szCs w:val="18"/>
                <w:bdr w:val="none" w:sz="0" w:space="0" w:color="auto" w:frame="1"/>
                <w:lang w:val="fr-FR"/>
              </w:rPr>
              <w:t xml:space="preserve"> </w:t>
            </w:r>
            <w:r w:rsidRPr="00865DA5">
              <w:rPr>
                <w:rFonts w:ascii="Arial" w:eastAsia="Arial" w:hAnsi="Arial" w:cs="Arial"/>
                <w:color w:val="000000"/>
                <w:sz w:val="18"/>
                <w:szCs w:val="18"/>
                <w:bdr w:val="none" w:sz="0" w:space="0" w:color="auto" w:frame="1"/>
                <w:lang w:val="fr-FR"/>
              </w:rPr>
              <w:t>mécanisme de réglementation spécifique qui assure une supervision stricte de son respect, du suivi et de la déclaration</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Nécessite que les données sur toutes les dérogations accordées soient compilées chaque année et soient disponibles publiquement, incluant des informations sur les espèces concernées, le nombre de spécimens, la justification, les autorités responsables, les procédures d’octroi de licences et permis, le suivi et la supervision du respect des règlementations </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b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eastAsia="Calibri" w:hAnsi="Arial" w:cs="Arial"/>
          <w:b/>
          <w:bCs/>
          <w:color w:val="000000"/>
          <w:sz w:val="23"/>
          <w:szCs w:val="23"/>
          <w:lang w:val="fr-FR"/>
        </w:rPr>
      </w:pPr>
      <w:r w:rsidRPr="00865DA5">
        <w:rPr>
          <w:rFonts w:ascii="Arial" w:eastAsia="Calibri" w:hAnsi="Arial" w:cs="Arial"/>
          <w:color w:val="000000"/>
          <w:sz w:val="22"/>
          <w:szCs w:val="22"/>
          <w:lang w:val="fr-FR"/>
        </w:rPr>
        <w:br w:type="page"/>
      </w:r>
    </w:p>
    <w:p w:rsidR="00BD5B7F" w:rsidRPr="00865DA5" w:rsidRDefault="00BD5B7F" w:rsidP="00BD5B7F">
      <w:pPr>
        <w:keepNext/>
        <w:keepLines/>
        <w:spacing w:after="120"/>
        <w:outlineLvl w:val="3"/>
        <w:rPr>
          <w:rFonts w:ascii="Arial" w:hAnsi="Arial" w:cs="Arial"/>
          <w:b/>
          <w:iCs/>
          <w:color w:val="000000"/>
          <w:sz w:val="28"/>
          <w:szCs w:val="22"/>
          <w:lang w:val="fr-FR"/>
        </w:rPr>
      </w:pPr>
      <w:bookmarkStart w:id="57" w:name="_Toc491245244"/>
      <w:bookmarkStart w:id="58" w:name="_Toc486539581"/>
      <w:r w:rsidRPr="00865DA5">
        <w:rPr>
          <w:rFonts w:ascii="Arial" w:eastAsia="Arial" w:hAnsi="Arial" w:cs="Arial"/>
          <w:b/>
          <w:bCs/>
          <w:iCs/>
          <w:color w:val="000000"/>
          <w:sz w:val="28"/>
          <w:szCs w:val="28"/>
          <w:bdr w:val="none" w:sz="0" w:space="0" w:color="auto" w:frame="1"/>
          <w:lang w:val="fr-FR"/>
        </w:rPr>
        <w:lastRenderedPageBreak/>
        <w:t>9. Sanctions et peines</w:t>
      </w:r>
      <w:bookmarkEnd w:id="57"/>
      <w:bookmarkEnd w:id="58"/>
    </w:p>
    <w:p w:rsidR="00BD5B7F" w:rsidRPr="00865DA5" w:rsidRDefault="00BD5B7F" w:rsidP="00BD5B7F">
      <w:pPr>
        <w:jc w:val="both"/>
        <w:rPr>
          <w:rFonts w:ascii="Arial" w:eastAsia="Arial" w:hAnsi="Arial" w:cs="Arial"/>
          <w:color w:val="000000"/>
          <w:sz w:val="22"/>
          <w:szCs w:val="22"/>
          <w:bdr w:val="none" w:sz="0" w:space="0" w:color="auto" w:frame="1"/>
          <w:lang w:val="fr-FR"/>
        </w:rPr>
      </w:pPr>
      <w:r w:rsidRPr="00865DA5">
        <w:rPr>
          <w:rFonts w:ascii="Arial" w:eastAsia="Arial" w:hAnsi="Arial" w:cs="Arial"/>
          <w:color w:val="000000"/>
          <w:sz w:val="22"/>
          <w:szCs w:val="22"/>
          <w:bdr w:val="none" w:sz="0" w:space="0" w:color="auto" w:frame="1"/>
          <w:lang w:val="fr-FR"/>
        </w:rPr>
        <w:t>Le niveau d’exhaustivité des sanctions relatives à l’IKB.</w:t>
      </w:r>
    </w:p>
    <w:p w:rsidR="00BD5B7F" w:rsidRPr="00865DA5" w:rsidRDefault="00BD5B7F" w:rsidP="00BD5B7F">
      <w:pPr>
        <w:jc w:val="both"/>
        <w:rPr>
          <w:rFonts w:ascii="Arial" w:eastAsia="Calibri" w:hAnsi="Arial" w:cs="Arial"/>
          <w:b/>
          <w:bCs/>
          <w:color w:val="000000"/>
          <w:sz w:val="28"/>
          <w:szCs w:val="23"/>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Quelles peines et sanctions sont imposées par la loi en ce qui concerne l’abattage, le prélèvement et le commerce illégaux des oiseaux sauvages ?</w:t>
      </w:r>
    </w:p>
    <w:p w:rsidR="00BD5B7F" w:rsidRPr="00865DA5" w:rsidRDefault="00BD5B7F" w:rsidP="00BD5B7F">
      <w:pPr>
        <w:rPr>
          <w:rFonts w:ascii="Arial" w:eastAsia="Calibri" w:hAnsi="Arial" w:cs="Arial"/>
          <w:color w:val="000000"/>
          <w:sz w:val="28"/>
          <w:szCs w:val="22"/>
          <w:lang w:val="fr-FR"/>
        </w:rPr>
      </w:pPr>
    </w:p>
    <w:p w:rsidR="00BD5B7F" w:rsidRPr="00FF6562" w:rsidRDefault="00BD5B7F" w:rsidP="00BD5B7F">
      <w:pPr>
        <w:spacing w:after="120"/>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27"/>
        <w:gridCol w:w="2302"/>
        <w:gridCol w:w="18"/>
        <w:gridCol w:w="2324"/>
        <w:gridCol w:w="11"/>
        <w:gridCol w:w="2327"/>
      </w:tblGrid>
      <w:tr w:rsidR="00BD5B7F" w:rsidRPr="00FF6562" w:rsidTr="000E5961">
        <w:tc>
          <w:tcPr>
            <w:tcW w:w="2310" w:type="dxa"/>
            <w:gridSpan w:val="2"/>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2"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3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30"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trHeight w:val="2346"/>
        </w:trPr>
        <w:tc>
          <w:tcPr>
            <w:tcW w:w="2283"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La législation nationale :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Ne décrit </w:t>
            </w:r>
            <w:r w:rsidRPr="00865DA5">
              <w:rPr>
                <w:rFonts w:ascii="Arial" w:eastAsia="Arial" w:hAnsi="Arial" w:cs="Arial"/>
                <w:b/>
                <w:bCs/>
                <w:color w:val="000000"/>
                <w:sz w:val="18"/>
                <w:szCs w:val="18"/>
                <w:bdr w:val="none" w:sz="0" w:space="0" w:color="auto" w:frame="1"/>
                <w:lang w:val="fr-FR"/>
              </w:rPr>
              <w:t>pas spécifiquement</w:t>
            </w:r>
            <w:r w:rsidRPr="00865DA5">
              <w:rPr>
                <w:rFonts w:ascii="Arial" w:eastAsia="Arial" w:hAnsi="Arial" w:cs="Arial"/>
                <w:color w:val="000000"/>
                <w:sz w:val="18"/>
                <w:szCs w:val="18"/>
                <w:bdr w:val="none" w:sz="0" w:space="0" w:color="auto" w:frame="1"/>
                <w:lang w:val="fr-FR"/>
              </w:rPr>
              <w:t xml:space="preserve"> les infractions relatives à l’IKB et ne prévoit pas de sanctions spécifiques pour ces infractions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Ne sanctionne </w:t>
            </w:r>
            <w:r w:rsidRPr="00865DA5">
              <w:rPr>
                <w:rFonts w:ascii="Arial" w:eastAsia="Arial" w:hAnsi="Arial" w:cs="Arial"/>
                <w:b/>
                <w:bCs/>
                <w:color w:val="000000"/>
                <w:sz w:val="18"/>
                <w:szCs w:val="18"/>
                <w:bdr w:val="none" w:sz="0" w:space="0" w:color="auto" w:frame="1"/>
                <w:lang w:val="fr-FR"/>
              </w:rPr>
              <w:t>pas spécifiquement</w:t>
            </w:r>
            <w:r w:rsidRPr="00865DA5">
              <w:rPr>
                <w:rFonts w:ascii="Arial" w:eastAsia="Arial" w:hAnsi="Arial" w:cs="Arial"/>
                <w:color w:val="000000"/>
                <w:sz w:val="18"/>
                <w:szCs w:val="18"/>
                <w:bdr w:val="none" w:sz="0" w:space="0" w:color="auto" w:frame="1"/>
                <w:lang w:val="fr-FR"/>
              </w:rPr>
              <w:t xml:space="preserve"> les infractions relatives à l’IKB à moins qu’elles ne soient associées à des infractions à d’autres lois, telles que les lois sur le contrôle des armes</w:t>
            </w:r>
          </w:p>
        </w:tc>
        <w:tc>
          <w:tcPr>
            <w:tcW w:w="2331"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La législation nationale :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Fournit </w:t>
            </w:r>
            <w:r w:rsidRPr="00865DA5">
              <w:rPr>
                <w:rFonts w:ascii="Arial" w:eastAsia="Arial" w:hAnsi="Arial" w:cs="Arial"/>
                <w:b/>
                <w:bCs/>
                <w:color w:val="000000"/>
                <w:sz w:val="18"/>
                <w:szCs w:val="18"/>
                <w:bdr w:val="none" w:sz="0" w:space="0" w:color="auto" w:frame="1"/>
                <w:lang w:val="fr-FR"/>
              </w:rPr>
              <w:t xml:space="preserve">une description de base </w:t>
            </w:r>
            <w:r w:rsidRPr="00865DA5">
              <w:rPr>
                <w:rFonts w:ascii="Arial" w:eastAsia="Arial" w:hAnsi="Arial" w:cs="Arial"/>
                <w:color w:val="000000"/>
                <w:sz w:val="18"/>
                <w:szCs w:val="18"/>
                <w:bdr w:val="none" w:sz="0" w:space="0" w:color="auto" w:frame="1"/>
                <w:lang w:val="fr-FR"/>
              </w:rPr>
              <w:t xml:space="preserve">des infractions relatives à l’IKB englobant l’abattage, le piégeage et le commerce illégaux d’oiseaux sauvages </w:t>
            </w:r>
          </w:p>
          <w:p w:rsidR="00BD5B7F" w:rsidRPr="00865DA5" w:rsidRDefault="00BD5B7F" w:rsidP="000E5961">
            <w:pPr>
              <w:rPr>
                <w:rFonts w:ascii="Arial" w:eastAsia="Calibri" w:hAnsi="Arial" w:cs="Arial"/>
                <w:b/>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Prévoit des sanctions </w:t>
            </w:r>
            <w:r w:rsidRPr="00865DA5">
              <w:rPr>
                <w:rFonts w:ascii="Arial" w:eastAsia="Arial" w:hAnsi="Arial" w:cs="Arial"/>
                <w:b/>
                <w:bCs/>
                <w:color w:val="000000"/>
                <w:sz w:val="18"/>
                <w:szCs w:val="18"/>
                <w:bdr w:val="none" w:sz="0" w:space="0" w:color="auto" w:frame="1"/>
                <w:lang w:val="fr-FR"/>
              </w:rPr>
              <w:t>maximales</w:t>
            </w:r>
            <w:r w:rsidRPr="00865DA5">
              <w:rPr>
                <w:rFonts w:ascii="Arial" w:eastAsia="Arial" w:hAnsi="Arial" w:cs="Arial"/>
                <w:color w:val="000000"/>
                <w:sz w:val="18"/>
                <w:szCs w:val="18"/>
                <w:bdr w:val="none" w:sz="0" w:space="0" w:color="auto" w:frame="1"/>
                <w:lang w:val="fr-FR"/>
              </w:rPr>
              <w:t xml:space="preserve"> pour la plupart des infractions relatives à l’IKB </w:t>
            </w:r>
            <w:r w:rsidRPr="00865DA5">
              <w:rPr>
                <w:rFonts w:ascii="Arial" w:eastAsia="Arial" w:hAnsi="Arial" w:cs="Arial"/>
                <w:b/>
                <w:bCs/>
                <w:color w:val="000000"/>
                <w:sz w:val="18"/>
                <w:szCs w:val="18"/>
                <w:bdr w:val="none" w:sz="0" w:space="0" w:color="auto" w:frame="1"/>
                <w:lang w:val="fr-FR"/>
              </w:rPr>
              <w:t xml:space="preserve">mais ne prévoit pas de sanction minimale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Fournit un </w:t>
            </w:r>
            <w:r w:rsidRPr="00865DA5">
              <w:rPr>
                <w:rFonts w:ascii="Arial" w:eastAsia="Arial" w:hAnsi="Arial" w:cs="Arial"/>
                <w:b/>
                <w:bCs/>
                <w:color w:val="000000"/>
                <w:sz w:val="18"/>
                <w:szCs w:val="18"/>
                <w:bdr w:val="none" w:sz="0" w:space="0" w:color="auto" w:frame="1"/>
                <w:lang w:val="fr-FR"/>
              </w:rPr>
              <w:t>spectre limité</w:t>
            </w:r>
            <w:r w:rsidRPr="00865DA5">
              <w:rPr>
                <w:rFonts w:ascii="Arial" w:eastAsia="Arial" w:hAnsi="Arial" w:cs="Arial"/>
                <w:color w:val="000000"/>
                <w:sz w:val="18"/>
                <w:szCs w:val="18"/>
                <w:bdr w:val="none" w:sz="0" w:space="0" w:color="auto" w:frame="1"/>
                <w:lang w:val="fr-FR"/>
              </w:rPr>
              <w:t xml:space="preserve"> de sanctions pénales et administratives incluant :</w:t>
            </w:r>
          </w:p>
          <w:p w:rsidR="00BD5B7F" w:rsidRPr="00865DA5" w:rsidRDefault="00BD5B7F" w:rsidP="000E5961">
            <w:pPr>
              <w:ind w:left="323"/>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Des amendes</w:t>
            </w:r>
          </w:p>
          <w:p w:rsidR="00BD5B7F" w:rsidRPr="00865DA5" w:rsidRDefault="00BD5B7F" w:rsidP="000E5961">
            <w:pPr>
              <w:ind w:left="323"/>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Des peines d’emprisonnement (habituellement des peines avec sursis dans les cas d’IKB les plus graves)</w:t>
            </w:r>
          </w:p>
          <w:p w:rsidR="00BD5B7F" w:rsidRPr="00865DA5" w:rsidRDefault="00BD5B7F" w:rsidP="000E5961">
            <w:pPr>
              <w:ind w:left="323"/>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Des suspensions de licence/permis</w:t>
            </w:r>
          </w:p>
          <w:p w:rsidR="00BD5B7F" w:rsidRPr="00865DA5" w:rsidRDefault="00BD5B7F" w:rsidP="000E5961">
            <w:pPr>
              <w:ind w:left="323"/>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La confiscation du </w:t>
            </w:r>
            <w:r w:rsidRPr="00865DA5">
              <w:rPr>
                <w:rFonts w:ascii="Arial" w:eastAsia="Arial" w:hAnsi="Arial" w:cs="Arial"/>
                <w:i/>
                <w:iCs/>
                <w:color w:val="000000"/>
                <w:sz w:val="18"/>
                <w:szCs w:val="18"/>
                <w:bdr w:val="none" w:sz="0" w:space="0" w:color="auto" w:frame="1"/>
                <w:lang w:val="fr-FR"/>
              </w:rPr>
              <w:t>corpus delicti</w:t>
            </w:r>
          </w:p>
          <w:p w:rsidR="00BD5B7F" w:rsidRPr="00865DA5" w:rsidRDefault="00BD5B7F" w:rsidP="000E5961">
            <w:pPr>
              <w:rPr>
                <w:rFonts w:ascii="Arial" w:eastAsia="Calibri" w:hAnsi="Arial" w:cs="Arial"/>
                <w:color w:val="000000"/>
                <w:sz w:val="18"/>
                <w:szCs w:val="18"/>
                <w:lang w:val="fr-FR"/>
              </w:rPr>
            </w:pPr>
          </w:p>
        </w:tc>
        <w:tc>
          <w:tcPr>
            <w:tcW w:w="2344"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La législation nationale :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Fournit </w:t>
            </w:r>
            <w:r w:rsidRPr="00865DA5">
              <w:rPr>
                <w:rFonts w:ascii="Arial" w:eastAsia="Arial" w:hAnsi="Arial" w:cs="Arial"/>
                <w:b/>
                <w:bCs/>
                <w:color w:val="000000"/>
                <w:sz w:val="18"/>
                <w:szCs w:val="18"/>
                <w:bdr w:val="none" w:sz="0" w:space="0" w:color="auto" w:frame="1"/>
                <w:lang w:val="fr-FR"/>
              </w:rPr>
              <w:t xml:space="preserve">une description complète </w:t>
            </w:r>
            <w:r w:rsidRPr="00865DA5">
              <w:rPr>
                <w:rFonts w:ascii="Arial" w:eastAsia="Arial" w:hAnsi="Arial" w:cs="Arial"/>
                <w:color w:val="000000"/>
                <w:sz w:val="18"/>
                <w:szCs w:val="18"/>
                <w:bdr w:val="none" w:sz="0" w:space="0" w:color="auto" w:frame="1"/>
                <w:lang w:val="fr-FR"/>
              </w:rPr>
              <w:t>des infractions relatives à l’IKB englobant les pratiques illégales d’abattage, piégeage, commerce, possession, transport, importation et taxidermie d’oiseaux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Prévoit </w:t>
            </w:r>
            <w:r w:rsidRPr="00865DA5">
              <w:rPr>
                <w:rFonts w:ascii="Arial" w:eastAsia="Arial" w:hAnsi="Arial" w:cs="Arial"/>
                <w:b/>
                <w:bCs/>
                <w:color w:val="000000"/>
                <w:sz w:val="18"/>
                <w:szCs w:val="18"/>
                <w:bdr w:val="none" w:sz="0" w:space="0" w:color="auto" w:frame="1"/>
                <w:lang w:val="fr-FR"/>
              </w:rPr>
              <w:t>à la fois une sanction minimale et une sanction maximale</w:t>
            </w:r>
            <w:r w:rsidRPr="00865DA5">
              <w:rPr>
                <w:rFonts w:ascii="Arial" w:eastAsia="Arial" w:hAnsi="Arial" w:cs="Arial"/>
                <w:color w:val="000000"/>
                <w:sz w:val="18"/>
                <w:szCs w:val="18"/>
                <w:bdr w:val="none" w:sz="0" w:space="0" w:color="auto" w:frame="1"/>
                <w:lang w:val="fr-FR"/>
              </w:rPr>
              <w:t xml:space="preserve"> pour certaines catégories d’infraction</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Fournit un </w:t>
            </w:r>
            <w:r w:rsidRPr="00865DA5">
              <w:rPr>
                <w:rFonts w:ascii="Arial" w:eastAsia="Arial" w:hAnsi="Arial" w:cs="Arial"/>
                <w:b/>
                <w:bCs/>
                <w:color w:val="000000"/>
                <w:sz w:val="18"/>
                <w:szCs w:val="18"/>
                <w:bdr w:val="none" w:sz="0" w:space="0" w:color="auto" w:frame="1"/>
                <w:lang w:val="fr-FR"/>
              </w:rPr>
              <w:t>large spectre</w:t>
            </w:r>
            <w:r w:rsidRPr="00865DA5">
              <w:rPr>
                <w:rFonts w:ascii="Arial" w:eastAsia="Arial" w:hAnsi="Arial" w:cs="Arial"/>
                <w:color w:val="000000"/>
                <w:sz w:val="18"/>
                <w:szCs w:val="18"/>
                <w:bdr w:val="none" w:sz="0" w:space="0" w:color="auto" w:frame="1"/>
                <w:lang w:val="fr-FR"/>
              </w:rPr>
              <w:t xml:space="preserve"> de sanctions pénales et administratives incluant :</w:t>
            </w:r>
          </w:p>
          <w:p w:rsidR="00BD5B7F" w:rsidRPr="00865DA5" w:rsidRDefault="00BD5B7F" w:rsidP="000E5961">
            <w:pPr>
              <w:ind w:left="356"/>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Des amendes</w:t>
            </w:r>
          </w:p>
          <w:p w:rsidR="00BD5B7F" w:rsidRPr="00865DA5" w:rsidRDefault="00BD5B7F" w:rsidP="000E5961">
            <w:pPr>
              <w:ind w:left="357"/>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Des peines d’emprisonnement (habituellement des peines avec sursis dans les cas d’IKB les plus graves)</w:t>
            </w:r>
          </w:p>
          <w:p w:rsidR="00BD5B7F" w:rsidRPr="00865DA5" w:rsidRDefault="00BD5B7F" w:rsidP="000E5961">
            <w:pPr>
              <w:ind w:left="356"/>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Des suspensions de licence/permis</w:t>
            </w:r>
          </w:p>
          <w:p w:rsidR="00BD5B7F" w:rsidRPr="00865DA5" w:rsidRDefault="00BD5B7F" w:rsidP="000E5961">
            <w:pPr>
              <w:ind w:left="356"/>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La confiscation du </w:t>
            </w:r>
            <w:r w:rsidRPr="00865DA5">
              <w:rPr>
                <w:rFonts w:ascii="Arial" w:eastAsia="Arial" w:hAnsi="Arial" w:cs="Arial"/>
                <w:i/>
                <w:iCs/>
                <w:color w:val="000000"/>
                <w:sz w:val="18"/>
                <w:szCs w:val="18"/>
                <w:bdr w:val="none" w:sz="0" w:space="0" w:color="auto" w:frame="1"/>
                <w:lang w:val="fr-FR"/>
              </w:rPr>
              <w:t>corpus delicti</w:t>
            </w:r>
          </w:p>
          <w:p w:rsidR="00BD5B7F" w:rsidRPr="00865DA5" w:rsidRDefault="00BD5B7F" w:rsidP="000E5961">
            <w:pPr>
              <w:ind w:left="356"/>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Le retrait permanent de la licence / du permis</w:t>
            </w:r>
          </w:p>
          <w:p w:rsidR="00BD5B7F" w:rsidRPr="00865DA5" w:rsidRDefault="00BD5B7F" w:rsidP="000E5961">
            <w:pPr>
              <w:ind w:left="356"/>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Des travaux d’intérêt général</w:t>
            </w:r>
          </w:p>
          <w:p w:rsidR="00BD5B7F" w:rsidRPr="00865DA5" w:rsidRDefault="00BD5B7F" w:rsidP="000E5961">
            <w:pPr>
              <w:ind w:left="356"/>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D’autres sanctions</w:t>
            </w:r>
          </w:p>
        </w:tc>
        <w:tc>
          <w:tcPr>
            <w:tcW w:w="2341"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La législation nationale :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Fournit </w:t>
            </w:r>
            <w:r w:rsidRPr="00865DA5">
              <w:rPr>
                <w:rFonts w:ascii="Arial" w:eastAsia="Arial" w:hAnsi="Arial" w:cs="Arial"/>
                <w:b/>
                <w:bCs/>
                <w:color w:val="000000"/>
                <w:sz w:val="18"/>
                <w:szCs w:val="18"/>
                <w:bdr w:val="none" w:sz="0" w:space="0" w:color="auto" w:frame="1"/>
                <w:lang w:val="fr-FR"/>
              </w:rPr>
              <w:t xml:space="preserve">une description complète </w:t>
            </w:r>
            <w:r w:rsidRPr="00865DA5">
              <w:rPr>
                <w:rFonts w:ascii="Arial" w:eastAsia="Arial" w:hAnsi="Arial" w:cs="Arial"/>
                <w:color w:val="000000"/>
                <w:sz w:val="18"/>
                <w:szCs w:val="18"/>
                <w:bdr w:val="none" w:sz="0" w:space="0" w:color="auto" w:frame="1"/>
                <w:lang w:val="fr-FR"/>
              </w:rPr>
              <w:t>des infractions relatives à l’IKB englobant les pratiques illégales d’abattage, piégeage, commerce, possession, transport, importation, et taxidermie d’oiseaux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Prévoit </w:t>
            </w:r>
            <w:r w:rsidRPr="00865DA5">
              <w:rPr>
                <w:rFonts w:ascii="Arial" w:eastAsia="Arial" w:hAnsi="Arial" w:cs="Arial"/>
                <w:b/>
                <w:bCs/>
                <w:color w:val="000000"/>
                <w:sz w:val="18"/>
                <w:szCs w:val="18"/>
                <w:bdr w:val="none" w:sz="0" w:space="0" w:color="auto" w:frame="1"/>
                <w:lang w:val="fr-FR"/>
              </w:rPr>
              <w:t>à la fois une sanction minimale et une sanction maximale</w:t>
            </w:r>
            <w:r w:rsidRPr="00865DA5">
              <w:rPr>
                <w:rFonts w:ascii="Arial" w:eastAsia="Arial" w:hAnsi="Arial" w:cs="Arial"/>
                <w:color w:val="000000"/>
                <w:sz w:val="18"/>
                <w:szCs w:val="18"/>
                <w:bdr w:val="none" w:sz="0" w:space="0" w:color="auto" w:frame="1"/>
                <w:lang w:val="fr-FR"/>
              </w:rPr>
              <w:t xml:space="preserve"> </w:t>
            </w:r>
            <w:r w:rsidRPr="00865DA5">
              <w:rPr>
                <w:rFonts w:ascii="Arial" w:eastAsia="Arial" w:hAnsi="Arial" w:cs="Arial"/>
                <w:b/>
                <w:bCs/>
                <w:color w:val="000000"/>
                <w:sz w:val="18"/>
                <w:szCs w:val="18"/>
                <w:bdr w:val="none" w:sz="0" w:space="0" w:color="auto" w:frame="1"/>
                <w:lang w:val="fr-FR"/>
              </w:rPr>
              <w:t>pour toute catégorie</w:t>
            </w:r>
            <w:r w:rsidRPr="00865DA5">
              <w:rPr>
                <w:rFonts w:ascii="Arial" w:eastAsia="Arial" w:hAnsi="Arial" w:cs="Arial"/>
                <w:color w:val="000000"/>
                <w:sz w:val="18"/>
                <w:szCs w:val="18"/>
                <w:bdr w:val="none" w:sz="0" w:space="0" w:color="auto" w:frame="1"/>
                <w:lang w:val="fr-FR"/>
              </w:rPr>
              <w:t xml:space="preserve"> d’infraction sauf celles pour lesquelles un niveau de sanction est fixé de manière permanente par la loi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Fournit un </w:t>
            </w:r>
            <w:r w:rsidRPr="00865DA5">
              <w:rPr>
                <w:rFonts w:ascii="Arial" w:eastAsia="Arial" w:hAnsi="Arial" w:cs="Arial"/>
                <w:b/>
                <w:bCs/>
                <w:color w:val="000000"/>
                <w:sz w:val="18"/>
                <w:szCs w:val="18"/>
                <w:bdr w:val="none" w:sz="0" w:space="0" w:color="auto" w:frame="1"/>
                <w:lang w:val="fr-FR"/>
              </w:rPr>
              <w:t>spectre complet</w:t>
            </w:r>
            <w:r w:rsidRPr="00865DA5">
              <w:rPr>
                <w:rFonts w:ascii="Arial" w:eastAsia="Arial" w:hAnsi="Arial" w:cs="Arial"/>
                <w:color w:val="000000"/>
                <w:sz w:val="18"/>
                <w:szCs w:val="18"/>
                <w:bdr w:val="none" w:sz="0" w:space="0" w:color="auto" w:frame="1"/>
                <w:lang w:val="fr-FR"/>
              </w:rPr>
              <w:t xml:space="preserve"> de sanctions pénales et administratives incluant :</w:t>
            </w:r>
          </w:p>
          <w:p w:rsidR="00BD5B7F" w:rsidRPr="00865DA5" w:rsidRDefault="00BD5B7F" w:rsidP="000E5961">
            <w:pPr>
              <w:ind w:left="323"/>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Des amendes</w:t>
            </w:r>
          </w:p>
          <w:p w:rsidR="00BD5B7F" w:rsidRPr="00865DA5" w:rsidRDefault="00BD5B7F" w:rsidP="000E5961">
            <w:pPr>
              <w:ind w:left="323"/>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Des peines d’emprisonnement (des peines d’emprisonnement ferme et avec sursis sont habituellement automatiques pour les cas les plus sévères d’IKB)</w:t>
            </w:r>
          </w:p>
          <w:p w:rsidR="00BD5B7F" w:rsidRPr="00865DA5" w:rsidRDefault="00BD5B7F" w:rsidP="000E5961">
            <w:pPr>
              <w:ind w:left="323"/>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Des suspensions de licence/permis</w:t>
            </w:r>
          </w:p>
          <w:p w:rsidR="00BD5B7F" w:rsidRPr="00865DA5" w:rsidRDefault="00BD5B7F" w:rsidP="000E5961">
            <w:pPr>
              <w:ind w:left="323"/>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La confiscation du </w:t>
            </w:r>
            <w:r w:rsidRPr="00865DA5">
              <w:rPr>
                <w:rFonts w:ascii="Arial" w:eastAsia="Arial" w:hAnsi="Arial" w:cs="Arial"/>
                <w:i/>
                <w:iCs/>
                <w:color w:val="000000"/>
                <w:sz w:val="18"/>
                <w:szCs w:val="18"/>
                <w:bdr w:val="none" w:sz="0" w:space="0" w:color="auto" w:frame="1"/>
                <w:lang w:val="fr-FR"/>
              </w:rPr>
              <w:t>corpus delicti</w:t>
            </w:r>
          </w:p>
          <w:p w:rsidR="00BD5B7F" w:rsidRPr="00865DA5" w:rsidRDefault="00BD5B7F" w:rsidP="000E5961">
            <w:pPr>
              <w:ind w:left="323"/>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Le retrait permanent de la licence / du permis dans le cas d’IKB impliquant des oiseaux strictement protégés</w:t>
            </w:r>
          </w:p>
          <w:p w:rsidR="00BD5B7F" w:rsidRPr="00865DA5" w:rsidRDefault="00BD5B7F" w:rsidP="000E5961">
            <w:pPr>
              <w:ind w:left="323"/>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Des travaux d’intérêt général</w:t>
            </w:r>
          </w:p>
          <w:p w:rsidR="00BD5B7F" w:rsidRPr="00865DA5" w:rsidRDefault="00BD5B7F" w:rsidP="000E5961">
            <w:pPr>
              <w:ind w:left="323"/>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D’autres sanctions</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spacing w:after="160" w:line="259" w:lineRule="auto"/>
        <w:rPr>
          <w:rFonts w:ascii="Arial" w:eastAsia="Arial" w:hAnsi="Arial" w:cs="Arial"/>
          <w:color w:val="000000"/>
          <w:sz w:val="22"/>
          <w:szCs w:val="22"/>
          <w:bdr w:val="none" w:sz="0" w:space="0" w:color="auto" w:frame="1"/>
          <w:lang w:val="fr-FR"/>
        </w:rPr>
      </w:pPr>
      <w:r w:rsidRPr="00865DA5">
        <w:rPr>
          <w:rFonts w:ascii="Arial" w:eastAsia="Arial" w:hAnsi="Arial" w:cs="Arial"/>
          <w:color w:val="000000"/>
          <w:sz w:val="22"/>
          <w:szCs w:val="22"/>
          <w:bdr w:val="none" w:sz="0" w:space="0" w:color="auto" w:frame="1"/>
          <w:lang w:val="fr-FR"/>
        </w:rPr>
        <w:br w:type="page"/>
      </w: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lastRenderedPageBreak/>
        <w:t>Commentaires :</w:t>
      </w:r>
    </w:p>
    <w:p w:rsidR="00BD5B7F" w:rsidRPr="00865DA5" w:rsidRDefault="00BD5B7F" w:rsidP="00BD5B7F">
      <w:pPr>
        <w:rPr>
          <w:rFonts w:ascii="Arial" w:eastAsia="Calibri" w:hAnsi="Arial" w:cs="Arial"/>
          <w:b/>
          <w:bCs/>
          <w:color w:val="000000"/>
          <w:sz w:val="23"/>
          <w:szCs w:val="23"/>
          <w:lang w:val="fr-FR"/>
        </w:rPr>
      </w:pPr>
      <w:r w:rsidRPr="00865DA5">
        <w:rPr>
          <w:rFonts w:ascii="Arial" w:eastAsia="Calibri" w:hAnsi="Arial" w:cs="Arial"/>
          <w:b/>
          <w:bCs/>
          <w:color w:val="000000"/>
          <w:sz w:val="23"/>
          <w:szCs w:val="23"/>
          <w:lang w:val="fr-FR"/>
        </w:rPr>
        <w:br w:type="page"/>
      </w:r>
    </w:p>
    <w:p w:rsidR="00BD5B7F" w:rsidRPr="00865DA5" w:rsidRDefault="00BD5B7F" w:rsidP="00BD5B7F">
      <w:pPr>
        <w:keepNext/>
        <w:keepLines/>
        <w:spacing w:after="120"/>
        <w:outlineLvl w:val="3"/>
        <w:rPr>
          <w:rFonts w:ascii="Arial" w:hAnsi="Arial" w:cs="Arial"/>
          <w:b/>
          <w:i/>
          <w:iCs/>
          <w:color w:val="000000"/>
          <w:sz w:val="18"/>
          <w:szCs w:val="18"/>
          <w:lang w:val="fr-FR"/>
        </w:rPr>
      </w:pPr>
      <w:bookmarkStart w:id="59" w:name="_Toc491245245"/>
      <w:bookmarkStart w:id="60" w:name="_Toc486539582"/>
      <w:r w:rsidRPr="00865DA5">
        <w:rPr>
          <w:rFonts w:ascii="Arial" w:eastAsia="Arial" w:hAnsi="Arial" w:cs="Arial"/>
          <w:b/>
          <w:bCs/>
          <w:iCs/>
          <w:color w:val="000000"/>
          <w:sz w:val="28"/>
          <w:szCs w:val="28"/>
          <w:bdr w:val="none" w:sz="0" w:space="0" w:color="auto" w:frame="1"/>
          <w:lang w:val="fr-FR"/>
        </w:rPr>
        <w:lastRenderedPageBreak/>
        <w:t>10. Proportionnalité des sanctions</w:t>
      </w:r>
      <w:r w:rsidRPr="00FF6562">
        <w:rPr>
          <w:rFonts w:ascii="Arial" w:hAnsi="Arial" w:cs="Arial"/>
          <w:b/>
          <w:iCs/>
          <w:color w:val="000000"/>
          <w:sz w:val="28"/>
          <w:szCs w:val="22"/>
          <w:vertAlign w:val="superscript"/>
        </w:rPr>
        <w:footnoteReference w:id="22"/>
      </w:r>
      <w:bookmarkEnd w:id="59"/>
      <w:bookmarkEnd w:id="60"/>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Le niveau de prise en compte de la gravité des cas d’IKB dans la législation nationale pertinente.</w:t>
      </w:r>
    </w:p>
    <w:p w:rsidR="00BD5B7F" w:rsidRPr="00865DA5" w:rsidRDefault="00BD5B7F" w:rsidP="00BD5B7F">
      <w:pPr>
        <w:jc w:val="both"/>
        <w:rPr>
          <w:rFonts w:ascii="Arial" w:eastAsia="Calibri" w:hAnsi="Arial" w:cs="Arial"/>
          <w:b/>
          <w:bCs/>
          <w:i/>
          <w:iCs/>
          <w:color w:val="000000"/>
          <w:sz w:val="22"/>
          <w:szCs w:val="18"/>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La législation nationale punit-elle de manière adéquate les infractions relatives à l’IKB ?</w:t>
      </w:r>
    </w:p>
    <w:p w:rsidR="00BD5B7F" w:rsidRPr="00865DA5" w:rsidRDefault="00BD5B7F" w:rsidP="00BD5B7F">
      <w:pPr>
        <w:rPr>
          <w:rFonts w:ascii="Arial" w:eastAsia="Calibri" w:hAnsi="Arial" w:cs="Arial"/>
          <w:i/>
          <w:iCs/>
          <w:color w:val="000000"/>
          <w:sz w:val="22"/>
          <w:szCs w:val="18"/>
          <w:lang w:val="fr-FR"/>
        </w:rPr>
      </w:pPr>
    </w:p>
    <w:p w:rsidR="00BD5B7F" w:rsidRPr="00FF6562" w:rsidRDefault="00BD5B7F" w:rsidP="00BD5B7F">
      <w:pPr>
        <w:spacing w:after="120"/>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24"/>
        <w:gridCol w:w="2294"/>
        <w:gridCol w:w="22"/>
        <w:gridCol w:w="2312"/>
        <w:gridCol w:w="2328"/>
      </w:tblGrid>
      <w:tr w:rsidR="00BD5B7F" w:rsidRPr="00FF6562" w:rsidTr="000E5961">
        <w:tc>
          <w:tcPr>
            <w:tcW w:w="2309"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2"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38"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30"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trHeight w:val="2346"/>
        </w:trPr>
        <w:tc>
          <w:tcPr>
            <w:tcW w:w="2333"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sanctions relatives à l’IKB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Ne comprennent que des sanctions </w:t>
            </w:r>
            <w:r w:rsidRPr="00865DA5">
              <w:rPr>
                <w:rFonts w:ascii="Arial" w:eastAsia="Arial" w:hAnsi="Arial" w:cs="Arial"/>
                <w:b/>
                <w:bCs/>
                <w:color w:val="000000"/>
                <w:sz w:val="18"/>
                <w:szCs w:val="18"/>
                <w:bdr w:val="none" w:sz="0" w:space="0" w:color="auto" w:frame="1"/>
                <w:lang w:val="fr-FR"/>
              </w:rPr>
              <w:t>administratives</w:t>
            </w:r>
            <w:r w:rsidRPr="00865DA5">
              <w:rPr>
                <w:rFonts w:ascii="Arial" w:eastAsia="Arial" w:hAnsi="Arial" w:cs="Arial"/>
                <w:color w:val="000000"/>
                <w:sz w:val="18"/>
                <w:szCs w:val="18"/>
                <w:bdr w:val="none" w:sz="0" w:space="0" w:color="auto" w:frame="1"/>
                <w:lang w:val="fr-FR"/>
              </w:rPr>
              <w:t xml:space="preserve"> (p. ex. amendes, interdictions, suspensions)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Ne sont </w:t>
            </w:r>
            <w:r w:rsidRPr="00865DA5">
              <w:rPr>
                <w:rFonts w:ascii="Arial" w:eastAsia="Arial" w:hAnsi="Arial" w:cs="Arial"/>
                <w:b/>
                <w:bCs/>
                <w:color w:val="000000"/>
                <w:sz w:val="18"/>
                <w:szCs w:val="18"/>
                <w:bdr w:val="none" w:sz="0" w:space="0" w:color="auto" w:frame="1"/>
                <w:lang w:val="fr-FR"/>
              </w:rPr>
              <w:t>pas proportionnelles</w:t>
            </w:r>
            <w:r w:rsidRPr="00865DA5">
              <w:rPr>
                <w:rFonts w:ascii="Arial" w:eastAsia="Arial" w:hAnsi="Arial" w:cs="Arial"/>
                <w:color w:val="000000"/>
                <w:sz w:val="18"/>
                <w:szCs w:val="18"/>
                <w:bdr w:val="none" w:sz="0" w:space="0" w:color="auto" w:frame="1"/>
                <w:lang w:val="fr-FR"/>
              </w:rPr>
              <w:t xml:space="preserve"> à la nature ni à la gravité des infractions relatives à l’IKB</w:t>
            </w:r>
          </w:p>
          <w:p w:rsidR="00BD5B7F" w:rsidRPr="00865DA5" w:rsidRDefault="00BD5B7F" w:rsidP="000E5961">
            <w:pPr>
              <w:rPr>
                <w:rFonts w:ascii="Arial" w:eastAsia="Calibri" w:hAnsi="Arial" w:cs="Arial"/>
                <w:color w:val="000000"/>
                <w:sz w:val="18"/>
                <w:szCs w:val="18"/>
                <w:vertAlign w:val="superscript"/>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w:t>
            </w:r>
            <w:r w:rsidRPr="00865DA5">
              <w:rPr>
                <w:rFonts w:ascii="Arial" w:eastAsia="Arial" w:hAnsi="Arial" w:cs="Arial"/>
                <w:b/>
                <w:bCs/>
                <w:color w:val="000000"/>
                <w:sz w:val="18"/>
                <w:szCs w:val="18"/>
                <w:bdr w:val="none" w:sz="0" w:space="0" w:color="auto" w:frame="1"/>
                <w:lang w:val="fr-FR"/>
              </w:rPr>
              <w:t>insuffisantes</w:t>
            </w:r>
            <w:r w:rsidRPr="00865DA5">
              <w:rPr>
                <w:rFonts w:ascii="Arial" w:eastAsia="Arial" w:hAnsi="Arial" w:cs="Arial"/>
                <w:color w:val="000000"/>
                <w:sz w:val="18"/>
                <w:szCs w:val="18"/>
                <w:bdr w:val="none" w:sz="0" w:space="0" w:color="auto" w:frame="1"/>
                <w:lang w:val="fr-FR"/>
              </w:rPr>
              <w:t xml:space="preserve"> car elles ne fournissent pas de moyens de dissuasion efficaces</w:t>
            </w:r>
            <w:r w:rsidRPr="00FF6562">
              <w:rPr>
                <w:rFonts w:ascii="Arial" w:eastAsia="Calibri" w:hAnsi="Arial" w:cs="Arial"/>
                <w:color w:val="000000"/>
                <w:sz w:val="18"/>
                <w:szCs w:val="18"/>
                <w:vertAlign w:val="superscript"/>
              </w:rPr>
              <w:footnoteReference w:id="23"/>
            </w:r>
          </w:p>
          <w:p w:rsidR="00BD5B7F" w:rsidRPr="00865DA5" w:rsidRDefault="00BD5B7F" w:rsidP="000E5961">
            <w:pPr>
              <w:rPr>
                <w:rFonts w:ascii="Arial" w:eastAsia="Calibri" w:hAnsi="Arial" w:cs="Arial"/>
                <w:color w:val="000000"/>
                <w:sz w:val="18"/>
                <w:szCs w:val="18"/>
                <w:lang w:val="fr-FR"/>
              </w:rPr>
            </w:pPr>
          </w:p>
        </w:tc>
        <w:tc>
          <w:tcPr>
            <w:tcW w:w="2320"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sanctions relatives à l’IKB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Sont prévues par la législation et comprennent des poursuites pénales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b/>
                <w:bCs/>
                <w:color w:val="000000"/>
                <w:sz w:val="18"/>
                <w:szCs w:val="18"/>
                <w:bdr w:val="none" w:sz="0" w:space="0" w:color="auto" w:frame="1"/>
                <w:lang w:val="fr-FR"/>
              </w:rPr>
              <w:t>Ne font pas de distinction entre</w:t>
            </w:r>
            <w:r w:rsidRPr="00865DA5">
              <w:rPr>
                <w:rFonts w:ascii="Arial" w:eastAsia="Arial" w:hAnsi="Arial" w:cs="Arial"/>
                <w:color w:val="000000"/>
                <w:sz w:val="18"/>
                <w:szCs w:val="18"/>
                <w:bdr w:val="none" w:sz="0" w:space="0" w:color="auto" w:frame="1"/>
                <w:lang w:val="fr-FR"/>
              </w:rPr>
              <w:t xml:space="preserve"> les infractions en fonction des facteurs de gravité, laissant une large marge de manœuvre en matière de pouvoir judiciaire dans la détermination de l’ampleur des sanctions infligées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w:t>
            </w:r>
            <w:r w:rsidRPr="00865DA5">
              <w:rPr>
                <w:rFonts w:ascii="Arial" w:eastAsia="Arial" w:hAnsi="Arial" w:cs="Arial"/>
                <w:b/>
                <w:bCs/>
                <w:color w:val="000000"/>
                <w:sz w:val="18"/>
                <w:szCs w:val="18"/>
                <w:bdr w:val="none" w:sz="0" w:space="0" w:color="auto" w:frame="1"/>
                <w:lang w:val="fr-FR"/>
              </w:rPr>
              <w:t>insuffisantes</w:t>
            </w:r>
            <w:r w:rsidRPr="00865DA5">
              <w:rPr>
                <w:rFonts w:ascii="Arial" w:eastAsia="Arial" w:hAnsi="Arial" w:cs="Arial"/>
                <w:color w:val="000000"/>
                <w:sz w:val="18"/>
                <w:szCs w:val="18"/>
                <w:bdr w:val="none" w:sz="0" w:space="0" w:color="auto" w:frame="1"/>
                <w:lang w:val="fr-FR"/>
              </w:rPr>
              <w:t xml:space="preserve"> car elles ne fournissent pas de moyens de dissuasion efficaces</w:t>
            </w:r>
          </w:p>
        </w:tc>
        <w:tc>
          <w:tcPr>
            <w:tcW w:w="2316"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Les sanctions relatives à l’IKB :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Sont prévues par la législation et comprennent des poursuites pénales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Fournissent une structure de sanction qui reflète </w:t>
            </w:r>
            <w:r w:rsidRPr="00865DA5">
              <w:rPr>
                <w:rFonts w:ascii="Arial" w:eastAsia="Arial" w:hAnsi="Arial" w:cs="Arial"/>
                <w:b/>
                <w:bCs/>
                <w:color w:val="000000"/>
                <w:sz w:val="18"/>
                <w:szCs w:val="18"/>
                <w:bdr w:val="none" w:sz="0" w:space="0" w:color="auto" w:frame="1"/>
                <w:lang w:val="fr-FR"/>
              </w:rPr>
              <w:t>d’une certaine manière</w:t>
            </w:r>
            <w:r w:rsidRPr="00865DA5">
              <w:rPr>
                <w:rFonts w:ascii="Arial" w:eastAsia="Arial" w:hAnsi="Arial" w:cs="Arial"/>
                <w:color w:val="000000"/>
                <w:sz w:val="18"/>
                <w:szCs w:val="18"/>
                <w:bdr w:val="none" w:sz="0" w:space="0" w:color="auto" w:frame="1"/>
                <w:lang w:val="fr-FR"/>
              </w:rPr>
              <w:t xml:space="preserve"> la gravité des infractions en fonction des facteurs de gravité ; laissant cependant une large marge de manœuvre en matière de pouvoir judiciaire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généralement considérées comme fournissant un moyen de dissuasion </w:t>
            </w:r>
            <w:r w:rsidRPr="00865DA5">
              <w:rPr>
                <w:rFonts w:ascii="Arial" w:eastAsia="Arial" w:hAnsi="Arial" w:cs="Arial"/>
                <w:b/>
                <w:bCs/>
                <w:color w:val="000000"/>
                <w:sz w:val="18"/>
                <w:szCs w:val="18"/>
                <w:bdr w:val="none" w:sz="0" w:space="0" w:color="auto" w:frame="1"/>
                <w:lang w:val="fr-FR"/>
              </w:rPr>
              <w:t>adéquat</w:t>
            </w:r>
            <w:r w:rsidRPr="00865DA5">
              <w:rPr>
                <w:rFonts w:ascii="Arial" w:eastAsia="Arial" w:hAnsi="Arial" w:cs="Arial"/>
                <w:color w:val="000000"/>
                <w:sz w:val="18"/>
                <w:szCs w:val="18"/>
                <w:bdr w:val="none" w:sz="0" w:space="0" w:color="auto" w:frame="1"/>
                <w:lang w:val="fr-FR"/>
              </w:rPr>
              <w:t xml:space="preserve"> et proportionné pour la plupart des cas d’IKB</w:t>
            </w:r>
          </w:p>
        </w:tc>
        <w:tc>
          <w:tcPr>
            <w:tcW w:w="2330"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Les sanctions relatives à l’IKB :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Sont prévues par la législation et comprennent des poursuites pénales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Reflètent </w:t>
            </w:r>
            <w:r w:rsidRPr="00865DA5">
              <w:rPr>
                <w:rFonts w:ascii="Arial" w:eastAsia="Arial" w:hAnsi="Arial" w:cs="Arial"/>
                <w:b/>
                <w:bCs/>
                <w:color w:val="000000"/>
                <w:sz w:val="18"/>
                <w:szCs w:val="18"/>
                <w:bdr w:val="none" w:sz="0" w:space="0" w:color="auto" w:frame="1"/>
                <w:lang w:val="fr-FR"/>
              </w:rPr>
              <w:t>pleinement</w:t>
            </w:r>
            <w:r w:rsidRPr="00865DA5">
              <w:rPr>
                <w:rFonts w:ascii="Arial" w:eastAsia="Arial" w:hAnsi="Arial" w:cs="Arial"/>
                <w:color w:val="000000"/>
                <w:sz w:val="18"/>
                <w:szCs w:val="18"/>
                <w:bdr w:val="none" w:sz="0" w:space="0" w:color="auto" w:frame="1"/>
                <w:lang w:val="fr-FR"/>
              </w:rPr>
              <w:t xml:space="preserve"> la gravité des infractions en fonction des facteurs de gravité recommandés dans le cadre du Plan d’action de Tunis de la Convention de Berne</w:t>
            </w:r>
            <w:r w:rsidRPr="00FF6562">
              <w:rPr>
                <w:rFonts w:ascii="Arial" w:eastAsia="Calibri" w:hAnsi="Arial" w:cs="Arial"/>
                <w:color w:val="000000"/>
                <w:sz w:val="18"/>
                <w:szCs w:val="18"/>
                <w:vertAlign w:val="superscript"/>
              </w:rPr>
              <w:footnoteReference w:id="24"/>
            </w:r>
            <w:r w:rsidRPr="00865DA5">
              <w:rPr>
                <w:rFonts w:ascii="Arial" w:eastAsia="Arial" w:hAnsi="Arial" w:cs="Arial"/>
                <w:color w:val="000000"/>
                <w:sz w:val="18"/>
                <w:szCs w:val="18"/>
                <w:bdr w:val="none" w:sz="0" w:space="0" w:color="auto" w:frame="1"/>
                <w:lang w:val="fr-FR"/>
              </w:rPr>
              <w:t xml:space="preserv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généralement considérés comme fournissant un moyen de dissuasion </w:t>
            </w:r>
            <w:r w:rsidRPr="00865DA5">
              <w:rPr>
                <w:rFonts w:ascii="Arial" w:eastAsia="Arial" w:hAnsi="Arial" w:cs="Arial"/>
                <w:b/>
                <w:bCs/>
                <w:color w:val="000000"/>
                <w:sz w:val="18"/>
                <w:szCs w:val="18"/>
                <w:bdr w:val="none" w:sz="0" w:space="0" w:color="auto" w:frame="1"/>
                <w:lang w:val="fr-FR"/>
              </w:rPr>
              <w:t>adéquat</w:t>
            </w:r>
            <w:r w:rsidRPr="00865DA5">
              <w:rPr>
                <w:rFonts w:ascii="Arial" w:eastAsia="Arial" w:hAnsi="Arial" w:cs="Arial"/>
                <w:color w:val="000000"/>
                <w:sz w:val="18"/>
                <w:szCs w:val="18"/>
                <w:bdr w:val="none" w:sz="0" w:space="0" w:color="auto" w:frame="1"/>
                <w:lang w:val="fr-FR"/>
              </w:rPr>
              <w:t xml:space="preserve"> et </w:t>
            </w:r>
            <w:r w:rsidRPr="00865DA5">
              <w:rPr>
                <w:rFonts w:ascii="Arial" w:eastAsia="Arial" w:hAnsi="Arial" w:cs="Arial"/>
                <w:b/>
                <w:bCs/>
                <w:color w:val="000000"/>
                <w:sz w:val="18"/>
                <w:szCs w:val="18"/>
                <w:bdr w:val="none" w:sz="0" w:space="0" w:color="auto" w:frame="1"/>
                <w:lang w:val="fr-FR"/>
              </w:rPr>
              <w:t>proportionné</w:t>
            </w:r>
            <w:r w:rsidRPr="00865DA5">
              <w:rPr>
                <w:rFonts w:ascii="Arial" w:eastAsia="Arial" w:hAnsi="Arial" w:cs="Arial"/>
                <w:color w:val="000000"/>
                <w:sz w:val="18"/>
                <w:szCs w:val="18"/>
                <w:bdr w:val="none" w:sz="0" w:space="0" w:color="auto" w:frame="1"/>
                <w:lang w:val="fr-FR"/>
              </w:rPr>
              <w:t xml:space="preserve"> pour tous les cas d’IKB, comme en témoigne le déclin soutenu de la criminalité IKB (déclin soutenu des cas d’IKB observés pendant au moins 3 ans)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Traitent les infractions relatives aux espèces sauvages impliquant des groupes criminels organisés comme étant des infractions graves</w:t>
            </w:r>
            <w:r w:rsidRPr="00FF6562">
              <w:rPr>
                <w:rFonts w:ascii="Arial" w:eastAsia="Calibri" w:hAnsi="Arial" w:cs="Arial"/>
                <w:color w:val="000000"/>
                <w:sz w:val="18"/>
                <w:szCs w:val="18"/>
                <w:vertAlign w:val="superscript"/>
              </w:rPr>
              <w:footnoteReference w:id="25"/>
            </w:r>
            <w:r w:rsidRPr="00865DA5">
              <w:rPr>
                <w:rFonts w:ascii="Arial" w:eastAsia="Arial" w:hAnsi="Arial" w:cs="Arial"/>
                <w:color w:val="000000"/>
                <w:sz w:val="18"/>
                <w:szCs w:val="18"/>
                <w:bdr w:val="none" w:sz="0" w:space="0" w:color="auto" w:frame="1"/>
                <w:lang w:val="fr-FR"/>
              </w:rPr>
              <w:t xml:space="preserve"> passibles d’au moins quatre ans d’emprisonnement</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eastAsia="Calibri" w:hAnsi="Arial" w:cs="Arial"/>
          <w:color w:val="000000"/>
          <w:sz w:val="12"/>
          <w:szCs w:val="12"/>
          <w:lang w:val="fr-FR"/>
        </w:rPr>
      </w:pPr>
    </w:p>
    <w:p w:rsidR="00BD5B7F" w:rsidRPr="00865DA5" w:rsidRDefault="00BD5B7F" w:rsidP="00BD5B7F">
      <w:pPr>
        <w:rPr>
          <w:rFonts w:ascii="Arial" w:eastAsia="Calibri" w:hAnsi="Arial" w:cs="Arial"/>
          <w:color w:val="000000"/>
          <w:sz w:val="12"/>
          <w:szCs w:val="12"/>
          <w:lang w:val="fr-FR"/>
        </w:rPr>
      </w:pPr>
      <w:r w:rsidRPr="00865DA5">
        <w:rPr>
          <w:rFonts w:ascii="Arial" w:eastAsia="Calibri" w:hAnsi="Arial" w:cs="Arial"/>
          <w:color w:val="000000"/>
          <w:sz w:val="12"/>
          <w:szCs w:val="12"/>
          <w:lang w:val="fr-FR"/>
        </w:rPr>
        <w:br w:type="page"/>
      </w:r>
    </w:p>
    <w:p w:rsidR="00BD5B7F" w:rsidRPr="00865DA5" w:rsidRDefault="00BD5B7F" w:rsidP="00BD5B7F">
      <w:pPr>
        <w:keepNext/>
        <w:keepLines/>
        <w:spacing w:after="120"/>
        <w:outlineLvl w:val="3"/>
        <w:rPr>
          <w:rFonts w:ascii="Arial" w:hAnsi="Arial" w:cs="Arial"/>
          <w:b/>
          <w:i/>
          <w:iCs/>
          <w:color w:val="000000"/>
          <w:sz w:val="28"/>
          <w:szCs w:val="22"/>
          <w:lang w:val="fr-FR"/>
        </w:rPr>
      </w:pPr>
      <w:bookmarkStart w:id="61" w:name="_Toc491245246"/>
      <w:bookmarkStart w:id="62" w:name="_Toc486539583"/>
      <w:r w:rsidRPr="00865DA5">
        <w:rPr>
          <w:rFonts w:ascii="Arial" w:eastAsia="Arial" w:hAnsi="Arial" w:cs="Arial"/>
          <w:b/>
          <w:bCs/>
          <w:iCs/>
          <w:color w:val="000000"/>
          <w:sz w:val="28"/>
          <w:szCs w:val="28"/>
          <w:bdr w:val="none" w:sz="0" w:space="0" w:color="auto" w:frame="1"/>
          <w:lang w:val="fr-FR"/>
        </w:rPr>
        <w:lastRenderedPageBreak/>
        <w:t>11. Utilisation du droit pénal</w:t>
      </w:r>
      <w:r w:rsidRPr="00FF6562">
        <w:rPr>
          <w:rFonts w:ascii="Arial" w:hAnsi="Arial" w:cs="Arial"/>
          <w:b/>
          <w:iCs/>
          <w:color w:val="000000"/>
          <w:sz w:val="28"/>
          <w:szCs w:val="22"/>
          <w:vertAlign w:val="superscript"/>
        </w:rPr>
        <w:footnoteReference w:id="26"/>
      </w:r>
      <w:bookmarkEnd w:id="61"/>
      <w:bookmarkEnd w:id="62"/>
      <w:r w:rsidRPr="00865DA5">
        <w:rPr>
          <w:rFonts w:ascii="Arial" w:eastAsia="Arial" w:hAnsi="Arial" w:cs="Arial"/>
          <w:b/>
          <w:bCs/>
          <w:iCs/>
          <w:color w:val="000000"/>
          <w:sz w:val="28"/>
          <w:szCs w:val="28"/>
          <w:bdr w:val="none" w:sz="0" w:space="0" w:color="auto" w:frame="1"/>
          <w:lang w:val="fr-FR"/>
        </w:rPr>
        <w:t xml:space="preserve"> </w:t>
      </w:r>
    </w:p>
    <w:p w:rsidR="00BD5B7F" w:rsidRPr="00865DA5" w:rsidRDefault="00BD5B7F" w:rsidP="00BD5B7F">
      <w:pPr>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La mesure dans laquelle une combinaison entre la législation nationale pertinente et le droit pénal est utilisée pour poursuivre les infractions relatives à l’IKB à l’appui de la législation promulguée pour lutter contre la criminalité liée aux espèces sauvages.</w:t>
      </w:r>
    </w:p>
    <w:p w:rsidR="00BD5B7F" w:rsidRPr="00865DA5" w:rsidRDefault="00BD5B7F" w:rsidP="00BD5B7F">
      <w:pPr>
        <w:jc w:val="both"/>
        <w:rPr>
          <w:rFonts w:ascii="Arial" w:eastAsia="Calibri" w:hAnsi="Arial" w:cs="Arial"/>
          <w:color w:val="000000"/>
          <w:sz w:val="22"/>
          <w:szCs w:val="22"/>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La poursuite des infractions relatives à l’IKB au niveau national assure-t-elle les sanctions les plus élevées en tenant compte d’éléments croisés avec d’autres infractions à travers le droit pénal</w:t>
      </w:r>
      <w:r w:rsidRPr="00FF6562">
        <w:rPr>
          <w:rFonts w:ascii="Arial" w:eastAsia="Calibri" w:hAnsi="Arial" w:cs="Arial"/>
          <w:b/>
          <w:color w:val="000000"/>
          <w:sz w:val="22"/>
          <w:szCs w:val="22"/>
          <w:vertAlign w:val="superscript"/>
        </w:rPr>
        <w:footnoteReference w:id="27"/>
      </w:r>
      <w:r w:rsidRPr="00865DA5">
        <w:rPr>
          <w:rFonts w:ascii="Arial" w:eastAsia="Arial" w:hAnsi="Arial" w:cs="Arial"/>
          <w:b/>
          <w:bCs/>
          <w:i/>
          <w:iCs/>
          <w:color w:val="000000"/>
          <w:sz w:val="22"/>
          <w:szCs w:val="22"/>
          <w:bdr w:val="none" w:sz="0" w:space="0" w:color="auto" w:frame="1"/>
          <w:lang w:val="fr-FR"/>
        </w:rPr>
        <w:t> ?</w:t>
      </w:r>
    </w:p>
    <w:p w:rsidR="00BD5B7F" w:rsidRPr="00865DA5" w:rsidRDefault="00BD5B7F" w:rsidP="00BD5B7F">
      <w:pPr>
        <w:rPr>
          <w:rFonts w:ascii="Arial" w:eastAsia="Calibri" w:hAnsi="Arial" w:cs="Arial"/>
          <w:i/>
          <w:iCs/>
          <w:color w:val="000000"/>
          <w:sz w:val="22"/>
          <w:szCs w:val="22"/>
          <w:lang w:val="fr-FR"/>
        </w:rPr>
      </w:pPr>
    </w:p>
    <w:p w:rsidR="00BD5B7F" w:rsidRPr="00FF6562" w:rsidRDefault="00BD5B7F" w:rsidP="00BD5B7F">
      <w:pPr>
        <w:spacing w:after="120"/>
        <w:rPr>
          <w:rFonts w:ascii="Arial" w:eastAsia="Calibri" w:hAnsi="Arial" w:cs="Arial"/>
          <w:i/>
          <w:iCs/>
          <w:color w:val="000000"/>
          <w:sz w:val="22"/>
          <w:szCs w:val="22"/>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33"/>
        <w:gridCol w:w="2286"/>
        <w:gridCol w:w="40"/>
        <w:gridCol w:w="2293"/>
        <w:gridCol w:w="16"/>
        <w:gridCol w:w="2311"/>
      </w:tblGrid>
      <w:tr w:rsidR="00BD5B7F" w:rsidRPr="00FF6562" w:rsidTr="000E5961">
        <w:tc>
          <w:tcPr>
            <w:tcW w:w="2310"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2"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3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30" w:type="dxa"/>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trHeight w:val="2346"/>
        </w:trPr>
        <w:tc>
          <w:tcPr>
            <w:tcW w:w="2343"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 droit pénal pertinent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b/>
                <w:bCs/>
                <w:color w:val="000000"/>
                <w:sz w:val="18"/>
                <w:szCs w:val="18"/>
                <w:bdr w:val="none" w:sz="0" w:space="0" w:color="auto" w:frame="1"/>
                <w:lang w:val="fr-FR"/>
              </w:rPr>
              <w:t>Ne peux pas</w:t>
            </w:r>
            <w:r w:rsidRPr="00865DA5">
              <w:rPr>
                <w:rFonts w:ascii="Arial" w:eastAsia="Arial" w:hAnsi="Arial" w:cs="Arial"/>
                <w:color w:val="000000"/>
                <w:sz w:val="18"/>
                <w:szCs w:val="18"/>
                <w:bdr w:val="none" w:sz="0" w:space="0" w:color="auto" w:frame="1"/>
                <w:lang w:val="fr-FR"/>
              </w:rPr>
              <w:t xml:space="preserve"> être appliqué aux infractions relatives à l’IKB</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 infractions relatives à l’IKB ne sont </w:t>
            </w:r>
            <w:r w:rsidRPr="00865DA5">
              <w:rPr>
                <w:rFonts w:ascii="Arial" w:eastAsia="Arial" w:hAnsi="Arial" w:cs="Arial"/>
                <w:b/>
                <w:bCs/>
                <w:color w:val="000000"/>
                <w:sz w:val="18"/>
                <w:szCs w:val="18"/>
                <w:bdr w:val="none" w:sz="0" w:space="0" w:color="auto" w:frame="1"/>
                <w:lang w:val="fr-FR"/>
              </w:rPr>
              <w:t>pas du tout sanctionnées</w:t>
            </w:r>
            <w:r w:rsidRPr="00865DA5">
              <w:rPr>
                <w:rFonts w:ascii="Arial" w:eastAsia="Arial" w:hAnsi="Arial" w:cs="Arial"/>
                <w:color w:val="000000"/>
                <w:sz w:val="18"/>
                <w:szCs w:val="18"/>
                <w:bdr w:val="none" w:sz="0" w:space="0" w:color="auto" w:frame="1"/>
                <w:lang w:val="fr-FR"/>
              </w:rPr>
              <w:t xml:space="preserve"> ou </w:t>
            </w:r>
            <w:r w:rsidRPr="00865DA5">
              <w:rPr>
                <w:rFonts w:ascii="Arial" w:eastAsia="Arial" w:hAnsi="Arial" w:cs="Arial"/>
                <w:b/>
                <w:bCs/>
                <w:color w:val="000000"/>
                <w:sz w:val="18"/>
                <w:szCs w:val="18"/>
                <w:bdr w:val="none" w:sz="0" w:space="0" w:color="auto" w:frame="1"/>
                <w:lang w:val="fr-FR"/>
              </w:rPr>
              <w:t xml:space="preserve">seulement </w:t>
            </w:r>
            <w:r w:rsidRPr="00865DA5">
              <w:rPr>
                <w:rFonts w:ascii="Arial" w:eastAsia="Arial" w:hAnsi="Arial" w:cs="Arial"/>
                <w:bCs/>
                <w:color w:val="000000"/>
                <w:sz w:val="18"/>
                <w:szCs w:val="18"/>
                <w:bdr w:val="none" w:sz="0" w:space="0" w:color="auto" w:frame="1"/>
                <w:lang w:val="fr-FR"/>
              </w:rPr>
              <w:t>l’objet de</w:t>
            </w:r>
            <w:r w:rsidRPr="00865DA5">
              <w:rPr>
                <w:rFonts w:ascii="Arial" w:eastAsia="Arial" w:hAnsi="Arial" w:cs="Arial"/>
                <w:b/>
                <w:bCs/>
                <w:color w:val="000000"/>
                <w:sz w:val="18"/>
                <w:szCs w:val="18"/>
                <w:bdr w:val="none" w:sz="0" w:space="0" w:color="auto" w:frame="1"/>
                <w:lang w:val="fr-FR"/>
              </w:rPr>
              <w:t xml:space="preserve"> sanctions administratives</w:t>
            </w:r>
          </w:p>
          <w:p w:rsidR="00BD5B7F" w:rsidRPr="00865DA5" w:rsidRDefault="00BD5B7F" w:rsidP="000E5961">
            <w:pPr>
              <w:rPr>
                <w:rFonts w:ascii="Arial" w:eastAsia="Calibri" w:hAnsi="Arial" w:cs="Arial"/>
                <w:color w:val="000000"/>
                <w:sz w:val="18"/>
                <w:szCs w:val="18"/>
                <w:lang w:val="fr-FR"/>
              </w:rPr>
            </w:pPr>
          </w:p>
        </w:tc>
        <w:tc>
          <w:tcPr>
            <w:tcW w:w="2329"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 droit pénal pertinent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w:t>
            </w:r>
            <w:r w:rsidRPr="00865DA5">
              <w:rPr>
                <w:rFonts w:ascii="Arial" w:eastAsia="Arial" w:hAnsi="Arial" w:cs="Arial"/>
                <w:b/>
                <w:bCs/>
                <w:color w:val="000000"/>
                <w:sz w:val="18"/>
                <w:szCs w:val="18"/>
                <w:bdr w:val="none" w:sz="0" w:space="0" w:color="auto" w:frame="1"/>
                <w:lang w:val="fr-FR"/>
              </w:rPr>
              <w:t>rarement</w:t>
            </w:r>
            <w:r w:rsidRPr="00865DA5">
              <w:rPr>
                <w:rFonts w:ascii="Arial" w:eastAsia="Arial" w:hAnsi="Arial" w:cs="Arial"/>
                <w:color w:val="000000"/>
                <w:sz w:val="18"/>
                <w:szCs w:val="18"/>
                <w:bdr w:val="none" w:sz="0" w:space="0" w:color="auto" w:frame="1"/>
                <w:lang w:val="fr-FR"/>
              </w:rPr>
              <w:t xml:space="preserve"> appliqué aux infractions relatives à l’IKB</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La plupart des cas d’IKB </w:t>
            </w:r>
            <w:r w:rsidRPr="00865DA5">
              <w:rPr>
                <w:rFonts w:ascii="Arial" w:eastAsia="Arial" w:hAnsi="Arial" w:cs="Arial"/>
                <w:b/>
                <w:bCs/>
                <w:color w:val="000000"/>
                <w:sz w:val="18"/>
                <w:szCs w:val="18"/>
                <w:bdr w:val="none" w:sz="0" w:space="0" w:color="auto" w:frame="1"/>
                <w:lang w:val="fr-FR"/>
              </w:rPr>
              <w:t>sauf les plus graves</w:t>
            </w:r>
            <w:r w:rsidRPr="00865DA5">
              <w:rPr>
                <w:rFonts w:ascii="Arial" w:eastAsia="Arial" w:hAnsi="Arial" w:cs="Arial"/>
                <w:color w:val="000000"/>
                <w:sz w:val="18"/>
                <w:szCs w:val="18"/>
                <w:bdr w:val="none" w:sz="0" w:space="0" w:color="auto" w:frame="1"/>
                <w:lang w:val="fr-FR"/>
              </w:rPr>
              <w:t xml:space="preserve"> sont </w:t>
            </w:r>
            <w:r w:rsidRPr="00865DA5">
              <w:rPr>
                <w:rFonts w:ascii="Arial" w:eastAsia="Arial" w:hAnsi="Arial" w:cs="Arial"/>
                <w:bCs/>
                <w:color w:val="000000"/>
                <w:sz w:val="18"/>
                <w:szCs w:val="18"/>
                <w:bdr w:val="none" w:sz="0" w:space="0" w:color="auto" w:frame="1"/>
                <w:lang w:val="fr-FR"/>
              </w:rPr>
              <w:t>l’objet de</w:t>
            </w:r>
            <w:r w:rsidRPr="00865DA5">
              <w:rPr>
                <w:rFonts w:ascii="Arial" w:eastAsia="Arial" w:hAnsi="Arial" w:cs="Arial"/>
                <w:b/>
                <w:bCs/>
                <w:color w:val="000000"/>
                <w:sz w:val="18"/>
                <w:szCs w:val="18"/>
                <w:bdr w:val="none" w:sz="0" w:space="0" w:color="auto" w:frame="1"/>
                <w:lang w:val="fr-FR"/>
              </w:rPr>
              <w:t xml:space="preserve"> sanctions administratives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Partout où le droit pénal est évoqué dans les affaires d’IKB les </w:t>
            </w:r>
            <w:r w:rsidRPr="00865DA5">
              <w:rPr>
                <w:rFonts w:ascii="Arial" w:eastAsia="Arial" w:hAnsi="Arial" w:cs="Arial"/>
                <w:b/>
                <w:bCs/>
                <w:color w:val="000000"/>
                <w:sz w:val="18"/>
                <w:szCs w:val="18"/>
                <w:bdr w:val="none" w:sz="0" w:space="0" w:color="auto" w:frame="1"/>
                <w:lang w:val="fr-FR"/>
              </w:rPr>
              <w:t>plus graves</w:t>
            </w:r>
            <w:r w:rsidRPr="00865DA5">
              <w:rPr>
                <w:rFonts w:ascii="Arial" w:eastAsia="Arial" w:hAnsi="Arial" w:cs="Arial"/>
                <w:color w:val="000000"/>
                <w:sz w:val="18"/>
                <w:szCs w:val="18"/>
                <w:bdr w:val="none" w:sz="0" w:space="0" w:color="auto" w:frame="1"/>
                <w:lang w:val="fr-FR"/>
              </w:rPr>
              <w:t>, cela provient généralement de lois non liées à la conservation de la faune sauvage, telles que les lois relatives au contrôle des armes ou à la sécurité publique</w:t>
            </w:r>
          </w:p>
        </w:tc>
        <w:tc>
          <w:tcPr>
            <w:tcW w:w="2313"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 droit pénal pertinent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w:t>
            </w:r>
            <w:r w:rsidRPr="00865DA5">
              <w:rPr>
                <w:rFonts w:ascii="Arial" w:eastAsia="Arial" w:hAnsi="Arial" w:cs="Arial"/>
                <w:b/>
                <w:bCs/>
                <w:color w:val="000000"/>
                <w:sz w:val="18"/>
                <w:szCs w:val="18"/>
                <w:bdr w:val="none" w:sz="0" w:space="0" w:color="auto" w:frame="1"/>
                <w:lang w:val="fr-FR"/>
              </w:rPr>
              <w:t>parfois</w:t>
            </w:r>
            <w:r w:rsidRPr="00865DA5">
              <w:rPr>
                <w:rFonts w:ascii="Arial" w:eastAsia="Arial" w:hAnsi="Arial" w:cs="Arial"/>
                <w:color w:val="000000"/>
                <w:sz w:val="18"/>
                <w:szCs w:val="18"/>
                <w:bdr w:val="none" w:sz="0" w:space="0" w:color="auto" w:frame="1"/>
                <w:lang w:val="fr-FR"/>
              </w:rPr>
              <w:t xml:space="preserve"> appliqué aux infractions relatives à l’IKB</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Décrit </w:t>
            </w:r>
            <w:r w:rsidRPr="00865DA5">
              <w:rPr>
                <w:rFonts w:ascii="Arial" w:eastAsia="Arial" w:hAnsi="Arial" w:cs="Arial"/>
                <w:b/>
                <w:bCs/>
                <w:color w:val="000000"/>
                <w:sz w:val="18"/>
                <w:szCs w:val="18"/>
                <w:bdr w:val="none" w:sz="0" w:space="0" w:color="auto" w:frame="1"/>
                <w:lang w:val="fr-FR"/>
              </w:rPr>
              <w:t>généralement</w:t>
            </w:r>
            <w:r w:rsidRPr="00865DA5">
              <w:rPr>
                <w:rFonts w:ascii="Arial" w:eastAsia="Arial" w:hAnsi="Arial" w:cs="Arial"/>
                <w:color w:val="000000"/>
                <w:sz w:val="18"/>
                <w:szCs w:val="18"/>
                <w:bdr w:val="none" w:sz="0" w:space="0" w:color="auto" w:frame="1"/>
                <w:lang w:val="fr-FR"/>
              </w:rPr>
              <w:t xml:space="preserve"> les catégories d’infractions relatives à l’IKB qui relèvent d’une responsabilité pénale et les catégories soumises à des sanctions administratives</w:t>
            </w:r>
          </w:p>
        </w:tc>
        <w:tc>
          <w:tcPr>
            <w:tcW w:w="2314"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 droit pénal pertinent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w:t>
            </w:r>
            <w:r w:rsidRPr="00865DA5">
              <w:rPr>
                <w:rFonts w:ascii="Arial" w:eastAsia="Arial" w:hAnsi="Arial" w:cs="Arial"/>
                <w:b/>
                <w:bCs/>
                <w:color w:val="000000"/>
                <w:sz w:val="18"/>
                <w:szCs w:val="18"/>
                <w:bdr w:val="none" w:sz="0" w:space="0" w:color="auto" w:frame="1"/>
                <w:lang w:val="fr-FR"/>
              </w:rPr>
              <w:t>généralement</w:t>
            </w:r>
            <w:r w:rsidRPr="00865DA5">
              <w:rPr>
                <w:rFonts w:ascii="Arial" w:eastAsia="Arial" w:hAnsi="Arial" w:cs="Arial"/>
                <w:color w:val="000000"/>
                <w:sz w:val="18"/>
                <w:szCs w:val="18"/>
                <w:bdr w:val="none" w:sz="0" w:space="0" w:color="auto" w:frame="1"/>
                <w:lang w:val="fr-FR"/>
              </w:rPr>
              <w:t xml:space="preserve"> appliqué à la plupart des infractions relatives à l’IKB, selon les besoins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Décrit </w:t>
            </w:r>
            <w:r w:rsidRPr="00865DA5">
              <w:rPr>
                <w:rFonts w:ascii="Arial" w:eastAsia="Arial" w:hAnsi="Arial" w:cs="Arial"/>
                <w:b/>
                <w:bCs/>
                <w:color w:val="000000"/>
                <w:sz w:val="18"/>
                <w:szCs w:val="18"/>
                <w:bdr w:val="none" w:sz="0" w:space="0" w:color="auto" w:frame="1"/>
                <w:lang w:val="fr-FR"/>
              </w:rPr>
              <w:t>clairement</w:t>
            </w:r>
            <w:r w:rsidRPr="00865DA5">
              <w:rPr>
                <w:rFonts w:ascii="Arial" w:eastAsia="Arial" w:hAnsi="Arial" w:cs="Arial"/>
                <w:color w:val="000000"/>
                <w:sz w:val="18"/>
                <w:szCs w:val="18"/>
                <w:bdr w:val="none" w:sz="0" w:space="0" w:color="auto" w:frame="1"/>
                <w:lang w:val="fr-FR"/>
              </w:rPr>
              <w:t xml:space="preserve"> les catégories d’infractions qui font l’objet d’une responsabilité pénale plutôt qu’administrative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soutenu par </w:t>
            </w:r>
            <w:r w:rsidRPr="00865DA5">
              <w:rPr>
                <w:rFonts w:ascii="Arial" w:eastAsia="Arial" w:hAnsi="Arial" w:cs="Arial"/>
                <w:b/>
                <w:bCs/>
                <w:color w:val="000000"/>
                <w:sz w:val="18"/>
                <w:szCs w:val="18"/>
                <w:bdr w:val="none" w:sz="0" w:space="0" w:color="auto" w:frame="1"/>
                <w:lang w:val="fr-FR"/>
              </w:rPr>
              <w:t>des mécanismes qui harmonisent</w:t>
            </w:r>
            <w:r w:rsidRPr="00865DA5">
              <w:rPr>
                <w:rFonts w:ascii="Arial" w:eastAsia="Arial" w:hAnsi="Arial" w:cs="Arial"/>
                <w:color w:val="000000"/>
                <w:sz w:val="18"/>
                <w:szCs w:val="18"/>
                <w:bdr w:val="none" w:sz="0" w:space="0" w:color="auto" w:frame="1"/>
                <w:lang w:val="fr-FR"/>
              </w:rPr>
              <w:t xml:space="preserve"> les législations relatives aux espèces sauvages et les autres législations nationales clés telles que le droit pénal</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eastAsia="Calibri" w:hAnsi="Arial" w:cs="Arial"/>
          <w:b/>
          <w:bCs/>
          <w:color w:val="000000"/>
          <w:sz w:val="23"/>
          <w:szCs w:val="23"/>
          <w:lang w:val="fr-FR"/>
        </w:rPr>
      </w:pPr>
      <w:r w:rsidRPr="00865DA5">
        <w:rPr>
          <w:rFonts w:ascii="Arial" w:eastAsia="Calibri" w:hAnsi="Arial" w:cs="Arial"/>
          <w:b/>
          <w:bCs/>
          <w:color w:val="000000"/>
          <w:sz w:val="23"/>
          <w:szCs w:val="23"/>
          <w:lang w:val="fr-FR"/>
        </w:rPr>
        <w:br w:type="page"/>
      </w:r>
    </w:p>
    <w:p w:rsidR="00BD5B7F" w:rsidRPr="00865DA5" w:rsidRDefault="00BD5B7F" w:rsidP="00BD5B7F">
      <w:pPr>
        <w:keepNext/>
        <w:keepLines/>
        <w:spacing w:after="120"/>
        <w:outlineLvl w:val="3"/>
        <w:rPr>
          <w:rFonts w:ascii="Arial" w:hAnsi="Arial" w:cs="Arial"/>
          <w:b/>
          <w:iCs/>
          <w:color w:val="000000"/>
          <w:sz w:val="28"/>
          <w:szCs w:val="18"/>
          <w:lang w:val="fr-FR"/>
        </w:rPr>
      </w:pPr>
      <w:bookmarkStart w:id="63" w:name="_Toc491245247"/>
      <w:bookmarkStart w:id="64" w:name="_Toc486539584"/>
      <w:r w:rsidRPr="00865DA5">
        <w:rPr>
          <w:rFonts w:ascii="Arial" w:eastAsia="Arial" w:hAnsi="Arial" w:cs="Arial"/>
          <w:b/>
          <w:bCs/>
          <w:iCs/>
          <w:color w:val="000000"/>
          <w:sz w:val="28"/>
          <w:szCs w:val="28"/>
          <w:bdr w:val="none" w:sz="0" w:space="0" w:color="auto" w:frame="1"/>
          <w:lang w:val="fr-FR"/>
        </w:rPr>
        <w:lastRenderedPageBreak/>
        <w:t>12. Législation relative à la criminalité organisée</w:t>
      </w:r>
      <w:bookmarkEnd w:id="63"/>
      <w:bookmarkEnd w:id="64"/>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La mesure dans laquelle une législation spécifique visant à lutter contre la criminalité organisée</w:t>
      </w:r>
      <w:r w:rsidRPr="00FF6562">
        <w:rPr>
          <w:rFonts w:ascii="Arial" w:eastAsia="Calibri" w:hAnsi="Arial" w:cs="Arial"/>
          <w:color w:val="000000"/>
          <w:sz w:val="22"/>
          <w:szCs w:val="18"/>
          <w:vertAlign w:val="superscript"/>
        </w:rPr>
        <w:footnoteReference w:id="28"/>
      </w:r>
      <w:r w:rsidRPr="00865DA5">
        <w:rPr>
          <w:rFonts w:ascii="Arial" w:eastAsia="Arial" w:hAnsi="Arial" w:cs="Arial"/>
          <w:color w:val="000000"/>
          <w:sz w:val="22"/>
          <w:szCs w:val="22"/>
          <w:bdr w:val="none" w:sz="0" w:space="0" w:color="auto" w:frame="1"/>
          <w:lang w:val="fr-FR"/>
        </w:rPr>
        <w:t xml:space="preserve"> est utilisée pour lutter contre l’IKB.</w:t>
      </w:r>
    </w:p>
    <w:p w:rsidR="00BD5B7F" w:rsidRPr="00865DA5" w:rsidRDefault="00BD5B7F" w:rsidP="00BD5B7F">
      <w:pPr>
        <w:jc w:val="both"/>
        <w:rPr>
          <w:rFonts w:ascii="Arial" w:eastAsia="Calibri" w:hAnsi="Arial" w:cs="Arial"/>
          <w:color w:val="000000"/>
          <w:sz w:val="22"/>
          <w:szCs w:val="18"/>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 xml:space="preserve">Question : Comment la législation nationale relative à la criminalité organisée peut-elle être utilisée dans les enquêtes et les poursuites relatives à l’IKB ? </w:t>
      </w:r>
    </w:p>
    <w:p w:rsidR="00BD5B7F" w:rsidRPr="00FF6562" w:rsidRDefault="00BD5B7F" w:rsidP="00BD5B7F">
      <w:pPr>
        <w:spacing w:after="120"/>
        <w:rPr>
          <w:rFonts w:ascii="Arial" w:eastAsia="Calibri" w:hAnsi="Arial" w:cs="Arial"/>
          <w:i/>
          <w:iCs/>
          <w:color w:val="000000"/>
          <w:sz w:val="18"/>
          <w:szCs w:val="18"/>
        </w:rPr>
      </w:pPr>
      <w:proofErr w:type="gramStart"/>
      <w:r w:rsidRPr="00FF6562">
        <w:rPr>
          <w:rFonts w:ascii="Arial" w:eastAsia="Arial" w:hAnsi="Arial" w:cs="Arial"/>
          <w:i/>
          <w:iCs/>
          <w:color w:val="000000"/>
          <w:sz w:val="22"/>
          <w:szCs w:val="22"/>
          <w:bdr w:val="none" w:sz="0" w:space="0" w:color="auto" w:frame="1"/>
        </w:rPr>
        <w:t>Mesure</w:t>
      </w:r>
      <w:r w:rsidRPr="00FF6562">
        <w:rPr>
          <w:rFonts w:ascii="Arial" w:eastAsia="Arial" w:hAnsi="Arial" w:cs="Arial"/>
          <w:i/>
          <w:iCs/>
          <w:color w:val="000000"/>
          <w:sz w:val="18"/>
          <w:szCs w:val="18"/>
          <w:bdr w:val="none" w:sz="0" w:space="0" w:color="auto" w:frame="1"/>
        </w:rPr>
        <w:t>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880"/>
        <w:gridCol w:w="1879"/>
        <w:gridCol w:w="1880"/>
        <w:gridCol w:w="1583"/>
      </w:tblGrid>
      <w:tr w:rsidR="00BD5B7F" w:rsidRPr="00FF6562" w:rsidTr="000E5961">
        <w:tc>
          <w:tcPr>
            <w:tcW w:w="1851"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color w:val="000000"/>
                <w:sz w:val="22"/>
              </w:rPr>
            </w:pPr>
            <w:r w:rsidRPr="00FF6562">
              <w:rPr>
                <w:rFonts w:ascii="Arial" w:eastAsia="Calibri" w:hAnsi="Arial" w:cs="Arial"/>
                <w:b/>
                <w:bCs/>
                <w:color w:val="000000"/>
                <w:sz w:val="22"/>
              </w:rPr>
              <w:t xml:space="preserve">0 </w:t>
            </w:r>
            <w:r w:rsidRPr="00FF6562">
              <w:rPr>
                <w:rFonts w:ascii="Arial" w:eastAsia="Arial" w:hAnsi="Arial" w:cs="Arial"/>
                <w:color w:val="000000"/>
                <w:sz w:val="22"/>
                <w:szCs w:val="22"/>
              </w:rPr>
              <w:t>􀜆</w:t>
            </w:r>
          </w:p>
        </w:tc>
        <w:tc>
          <w:tcPr>
            <w:tcW w:w="188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rPr>
            </w:pPr>
            <w:r w:rsidRPr="00FF6562">
              <w:rPr>
                <w:rFonts w:ascii="Arial" w:eastAsia="Calibri" w:hAnsi="Arial" w:cs="Arial"/>
                <w:b/>
                <w:bCs/>
                <w:color w:val="000000"/>
                <w:sz w:val="22"/>
                <w:szCs w:val="22"/>
              </w:rPr>
              <w:t>1</w:t>
            </w:r>
            <w:r w:rsidRPr="00FF6562">
              <w:rPr>
                <w:rFonts w:ascii="Arial" w:eastAsia="Calibri" w:hAnsi="Arial" w:cs="Arial"/>
                <w:b/>
                <w:bCs/>
                <w:color w:val="000000"/>
                <w:sz w:val="22"/>
              </w:rPr>
              <w:t xml:space="preserve"> </w:t>
            </w:r>
            <w:r w:rsidRPr="00FF6562">
              <w:rPr>
                <w:rFonts w:ascii="Arial" w:eastAsia="Arial" w:hAnsi="Arial" w:cs="Arial"/>
                <w:color w:val="000000"/>
                <w:sz w:val="22"/>
                <w:szCs w:val="22"/>
              </w:rPr>
              <w:t>􀜆</w:t>
            </w:r>
          </w:p>
        </w:tc>
        <w:tc>
          <w:tcPr>
            <w:tcW w:w="187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rPr>
            </w:pPr>
            <w:r w:rsidRPr="00FF6562">
              <w:rPr>
                <w:rFonts w:ascii="Arial" w:eastAsia="Calibri" w:hAnsi="Arial" w:cs="Arial"/>
                <w:b/>
                <w:bCs/>
                <w:color w:val="000000"/>
                <w:sz w:val="22"/>
                <w:szCs w:val="22"/>
              </w:rPr>
              <w:t>2</w:t>
            </w:r>
            <w:r w:rsidRPr="00FF6562">
              <w:rPr>
                <w:rFonts w:ascii="Arial" w:eastAsia="Calibri" w:hAnsi="Arial" w:cs="Arial"/>
                <w:b/>
                <w:bCs/>
                <w:color w:val="000000"/>
                <w:sz w:val="22"/>
              </w:rPr>
              <w:t xml:space="preserve"> </w:t>
            </w:r>
            <w:r w:rsidRPr="00FF6562">
              <w:rPr>
                <w:rFonts w:ascii="Arial" w:eastAsia="Arial" w:hAnsi="Arial" w:cs="Arial"/>
                <w:color w:val="000000"/>
                <w:sz w:val="22"/>
                <w:szCs w:val="22"/>
              </w:rPr>
              <w:t>􀜆</w:t>
            </w:r>
          </w:p>
        </w:tc>
        <w:tc>
          <w:tcPr>
            <w:tcW w:w="1880"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c>
          <w:tcPr>
            <w:tcW w:w="158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BD5B7F" w:rsidRPr="00FF6562" w:rsidRDefault="00BD5B7F" w:rsidP="000E5961">
            <w:pPr>
              <w:jc w:val="center"/>
              <w:rPr>
                <w:rFonts w:ascii="Arial" w:eastAsia="Calibri" w:hAnsi="Arial" w:cs="Arial"/>
                <w:b/>
                <w:bCs/>
                <w:color w:val="000000"/>
                <w:sz w:val="22"/>
              </w:rPr>
            </w:pPr>
            <w:r w:rsidRPr="00FF6562">
              <w:rPr>
                <w:rFonts w:ascii="Arial" w:eastAsia="Calibri" w:hAnsi="Arial" w:cs="Arial"/>
                <w:b/>
                <w:bCs/>
                <w:color w:val="000000"/>
                <w:sz w:val="22"/>
                <w:szCs w:val="22"/>
                <w:bdr w:val="none" w:sz="0" w:space="0" w:color="auto" w:frame="1"/>
              </w:rPr>
              <w:t>Non applicable</w:t>
            </w:r>
            <w:r w:rsidRPr="00FF6562">
              <w:rPr>
                <w:rFonts w:ascii="Arial" w:eastAsia="Arial" w:hAnsi="Arial" w:cs="Arial"/>
                <w:b/>
                <w:bCs/>
                <w:color w:val="000000"/>
                <w:sz w:val="22"/>
                <w:szCs w:val="22"/>
                <w:bdr w:val="none" w:sz="0" w:space="0" w:color="auto" w:frame="1"/>
              </w:rPr>
              <w:t xml:space="preserve"> </w:t>
            </w:r>
          </w:p>
        </w:tc>
      </w:tr>
      <w:tr w:rsidR="00BD5B7F" w:rsidRPr="00FC42B0" w:rsidTr="000E5961">
        <w:tc>
          <w:tcPr>
            <w:tcW w:w="1851"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législation relative à la criminalité organisée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N’a pas été adoptée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Ne peut pas être utilisée pour les poursuites relatives à l’IKB</w:t>
            </w:r>
          </w:p>
        </w:tc>
        <w:tc>
          <w:tcPr>
            <w:tcW w:w="1880"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législation relative à la criminalité organisée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en vigueur mais est </w:t>
            </w:r>
            <w:r w:rsidRPr="00865DA5">
              <w:rPr>
                <w:rFonts w:ascii="Arial" w:eastAsia="Arial" w:hAnsi="Arial" w:cs="Arial"/>
                <w:b/>
                <w:bCs/>
                <w:color w:val="000000"/>
                <w:sz w:val="18"/>
                <w:szCs w:val="18"/>
                <w:bdr w:val="none" w:sz="0" w:space="0" w:color="auto" w:frame="1"/>
                <w:lang w:val="fr-FR"/>
              </w:rPr>
              <w:t>rarement</w:t>
            </w:r>
            <w:r w:rsidRPr="00865DA5">
              <w:rPr>
                <w:rFonts w:ascii="Arial" w:eastAsia="Arial" w:hAnsi="Arial" w:cs="Arial"/>
                <w:color w:val="000000"/>
                <w:sz w:val="18"/>
                <w:szCs w:val="18"/>
                <w:bdr w:val="none" w:sz="0" w:space="0" w:color="auto" w:frame="1"/>
                <w:lang w:val="fr-FR"/>
              </w:rPr>
              <w:t xml:space="preserve"> </w:t>
            </w:r>
            <w:r w:rsidRPr="00865DA5">
              <w:rPr>
                <w:rFonts w:ascii="Arial" w:eastAsia="Arial" w:hAnsi="Arial" w:cs="Arial"/>
                <w:b/>
                <w:color w:val="000000"/>
                <w:sz w:val="18"/>
                <w:szCs w:val="18"/>
                <w:bdr w:val="none" w:sz="0" w:space="0" w:color="auto" w:frame="1"/>
                <w:lang w:val="fr-FR"/>
              </w:rPr>
              <w:t>utilisée</w:t>
            </w:r>
            <w:r w:rsidRPr="00865DA5">
              <w:rPr>
                <w:rFonts w:ascii="Arial" w:eastAsia="Arial" w:hAnsi="Arial" w:cs="Arial"/>
                <w:color w:val="000000"/>
                <w:sz w:val="18"/>
                <w:szCs w:val="18"/>
                <w:bdr w:val="none" w:sz="0" w:space="0" w:color="auto" w:frame="1"/>
                <w:lang w:val="fr-FR"/>
              </w:rPr>
              <w:t xml:space="preserve"> dans les affaires d’IKB</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Ne prévoit </w:t>
            </w:r>
            <w:r w:rsidRPr="00865DA5">
              <w:rPr>
                <w:rFonts w:ascii="Arial" w:eastAsia="Arial" w:hAnsi="Arial" w:cs="Arial"/>
                <w:b/>
                <w:bCs/>
                <w:color w:val="000000"/>
                <w:sz w:val="18"/>
                <w:szCs w:val="18"/>
                <w:bdr w:val="none" w:sz="0" w:space="0" w:color="auto" w:frame="1"/>
                <w:lang w:val="fr-FR"/>
              </w:rPr>
              <w:t xml:space="preserve">pas </w:t>
            </w:r>
            <w:r w:rsidRPr="00865DA5">
              <w:rPr>
                <w:rFonts w:ascii="Arial" w:eastAsia="Arial" w:hAnsi="Arial" w:cs="Arial"/>
                <w:color w:val="000000"/>
                <w:sz w:val="18"/>
                <w:szCs w:val="18"/>
                <w:bdr w:val="none" w:sz="0" w:space="0" w:color="auto" w:frame="1"/>
                <w:lang w:val="fr-FR"/>
              </w:rPr>
              <w:t>de méthodes d’enquête spéciales</w:t>
            </w:r>
          </w:p>
        </w:tc>
        <w:tc>
          <w:tcPr>
            <w:tcW w:w="1879"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législation relative à la criminalité organisée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en vigueur et est </w:t>
            </w:r>
            <w:r w:rsidRPr="00865DA5">
              <w:rPr>
                <w:rFonts w:ascii="Arial" w:eastAsia="Arial" w:hAnsi="Arial" w:cs="Arial"/>
                <w:b/>
                <w:bCs/>
                <w:color w:val="000000"/>
                <w:sz w:val="18"/>
                <w:szCs w:val="18"/>
                <w:bdr w:val="none" w:sz="0" w:space="0" w:color="auto" w:frame="1"/>
                <w:lang w:val="fr-FR"/>
              </w:rPr>
              <w:t>parfois</w:t>
            </w:r>
            <w:r w:rsidRPr="00865DA5">
              <w:rPr>
                <w:rFonts w:ascii="Arial" w:eastAsia="Arial" w:hAnsi="Arial" w:cs="Arial"/>
                <w:color w:val="000000"/>
                <w:sz w:val="18"/>
                <w:szCs w:val="18"/>
                <w:bdr w:val="none" w:sz="0" w:space="0" w:color="auto" w:frame="1"/>
                <w:lang w:val="fr-FR"/>
              </w:rPr>
              <w:t xml:space="preserve"> </w:t>
            </w:r>
            <w:r w:rsidRPr="00865DA5">
              <w:rPr>
                <w:rFonts w:ascii="Arial" w:eastAsia="Arial" w:hAnsi="Arial" w:cs="Arial"/>
                <w:b/>
                <w:color w:val="000000"/>
                <w:sz w:val="18"/>
                <w:szCs w:val="18"/>
                <w:bdr w:val="none" w:sz="0" w:space="0" w:color="auto" w:frame="1"/>
                <w:lang w:val="fr-FR"/>
              </w:rPr>
              <w:t>utilisée</w:t>
            </w:r>
            <w:r w:rsidRPr="00865DA5">
              <w:rPr>
                <w:rFonts w:ascii="Arial" w:eastAsia="Arial" w:hAnsi="Arial" w:cs="Arial"/>
                <w:color w:val="000000"/>
                <w:sz w:val="18"/>
                <w:szCs w:val="18"/>
                <w:bdr w:val="none" w:sz="0" w:space="0" w:color="auto" w:frame="1"/>
                <w:lang w:val="fr-FR"/>
              </w:rPr>
              <w:t xml:space="preserve"> dans les affaires d’IKB</w:t>
            </w:r>
          </w:p>
          <w:p w:rsidR="00BD5B7F" w:rsidRPr="00865DA5" w:rsidRDefault="00BD5B7F" w:rsidP="000E5961">
            <w:pPr>
              <w:rPr>
                <w:rFonts w:ascii="Arial" w:eastAsia="Calibri" w:hAnsi="Arial" w:cs="Arial"/>
                <w:i/>
                <w:iCs/>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 méthodes d’enquête spéciales utilisées pour la criminalité organisée ne sont </w:t>
            </w:r>
            <w:r w:rsidRPr="00865DA5">
              <w:rPr>
                <w:rFonts w:ascii="Arial" w:eastAsia="Arial" w:hAnsi="Arial" w:cs="Arial"/>
                <w:b/>
                <w:bCs/>
                <w:color w:val="000000"/>
                <w:sz w:val="18"/>
                <w:szCs w:val="18"/>
                <w:bdr w:val="none" w:sz="0" w:space="0" w:color="auto" w:frame="1"/>
                <w:lang w:val="fr-FR"/>
              </w:rPr>
              <w:t>pas disponibles</w:t>
            </w:r>
            <w:r w:rsidRPr="00865DA5">
              <w:rPr>
                <w:rFonts w:ascii="Arial" w:eastAsia="Arial" w:hAnsi="Arial" w:cs="Arial"/>
                <w:color w:val="000000"/>
                <w:sz w:val="18"/>
                <w:szCs w:val="18"/>
                <w:bdr w:val="none" w:sz="0" w:space="0" w:color="auto" w:frame="1"/>
                <w:lang w:val="fr-FR"/>
              </w:rPr>
              <w:t xml:space="preserve"> pour les affaires d’IKB</w:t>
            </w:r>
          </w:p>
        </w:tc>
        <w:tc>
          <w:tcPr>
            <w:tcW w:w="1880"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législation relative à la criminalité organisée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en vigueur et est </w:t>
            </w:r>
            <w:r w:rsidRPr="00865DA5">
              <w:rPr>
                <w:rFonts w:ascii="Arial" w:eastAsia="Arial" w:hAnsi="Arial" w:cs="Arial"/>
                <w:b/>
                <w:bCs/>
                <w:color w:val="000000"/>
                <w:sz w:val="18"/>
                <w:szCs w:val="18"/>
                <w:bdr w:val="none" w:sz="0" w:space="0" w:color="auto" w:frame="1"/>
                <w:lang w:val="fr-FR"/>
              </w:rPr>
              <w:t>utilisée de manière appropriée</w:t>
            </w:r>
            <w:r w:rsidRPr="00865DA5">
              <w:rPr>
                <w:rFonts w:ascii="Arial" w:eastAsia="Arial" w:hAnsi="Arial" w:cs="Arial"/>
                <w:color w:val="000000"/>
                <w:sz w:val="18"/>
                <w:szCs w:val="18"/>
                <w:bdr w:val="none" w:sz="0" w:space="0" w:color="auto" w:frame="1"/>
                <w:lang w:val="fr-FR"/>
              </w:rPr>
              <w:t xml:space="preserve"> dans les affaires d’IKB</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 méthodes d’enquête spéciales utilisées pour la criminalité organisée sont </w:t>
            </w:r>
            <w:r w:rsidRPr="00865DA5">
              <w:rPr>
                <w:rFonts w:ascii="Arial" w:eastAsia="Arial" w:hAnsi="Arial" w:cs="Arial"/>
                <w:b/>
                <w:bCs/>
                <w:color w:val="000000"/>
                <w:sz w:val="18"/>
                <w:szCs w:val="18"/>
                <w:bdr w:val="none" w:sz="0" w:space="0" w:color="auto" w:frame="1"/>
                <w:lang w:val="fr-FR"/>
              </w:rPr>
              <w:t>appliquées</w:t>
            </w:r>
            <w:r w:rsidRPr="00865DA5">
              <w:rPr>
                <w:rFonts w:ascii="Arial" w:eastAsia="Arial" w:hAnsi="Arial" w:cs="Arial"/>
                <w:color w:val="000000"/>
                <w:sz w:val="18"/>
                <w:szCs w:val="18"/>
                <w:bdr w:val="none" w:sz="0" w:space="0" w:color="auto" w:frame="1"/>
                <w:lang w:val="fr-FR"/>
              </w:rPr>
              <w:t xml:space="preserve"> aux affaires d’IKB</w:t>
            </w:r>
          </w:p>
        </w:tc>
        <w:tc>
          <w:tcPr>
            <w:tcW w:w="1583"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Non applicable car le pays n’a pas connu de cas de criminalité organisée</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hAnsi="Arial" w:cs="Arial"/>
          <w:b/>
          <w:bCs/>
          <w:iCs/>
          <w:color w:val="000000"/>
          <w:szCs w:val="22"/>
          <w:lang w:val="fr-FR"/>
        </w:rPr>
      </w:pPr>
      <w:r w:rsidRPr="00865DA5">
        <w:rPr>
          <w:rFonts w:ascii="Arial" w:eastAsia="Calibri" w:hAnsi="Arial" w:cs="Arial"/>
          <w:color w:val="000000"/>
          <w:sz w:val="22"/>
          <w:szCs w:val="22"/>
          <w:lang w:val="fr-FR"/>
        </w:rPr>
        <w:br w:type="page"/>
      </w:r>
    </w:p>
    <w:p w:rsidR="00BD5B7F" w:rsidRPr="00865DA5" w:rsidRDefault="00BD5B7F" w:rsidP="00BD5B7F">
      <w:pPr>
        <w:keepNext/>
        <w:keepLines/>
        <w:spacing w:after="120"/>
        <w:jc w:val="both"/>
        <w:outlineLvl w:val="3"/>
        <w:rPr>
          <w:rFonts w:ascii="Arial" w:hAnsi="Arial" w:cs="Arial"/>
          <w:b/>
          <w:iCs/>
          <w:color w:val="000000"/>
          <w:sz w:val="28"/>
          <w:szCs w:val="22"/>
          <w:lang w:val="fr-FR"/>
        </w:rPr>
      </w:pPr>
      <w:bookmarkStart w:id="65" w:name="_Toc491245248"/>
      <w:bookmarkStart w:id="66" w:name="_Toc486539585"/>
      <w:r w:rsidRPr="00865DA5">
        <w:rPr>
          <w:rFonts w:ascii="Arial" w:eastAsia="Arial" w:hAnsi="Arial" w:cs="Arial"/>
          <w:b/>
          <w:bCs/>
          <w:iCs/>
          <w:color w:val="000000"/>
          <w:sz w:val="28"/>
          <w:szCs w:val="28"/>
          <w:bdr w:val="none" w:sz="0" w:space="0" w:color="auto" w:frame="1"/>
          <w:lang w:val="fr-FR"/>
        </w:rPr>
        <w:lastRenderedPageBreak/>
        <w:t>13. Transposition du droit et des engagements internationaux dans la législation nationale</w:t>
      </w:r>
      <w:bookmarkEnd w:id="65"/>
      <w:bookmarkEnd w:id="66"/>
      <w:r w:rsidRPr="00865DA5">
        <w:rPr>
          <w:rFonts w:ascii="Arial" w:eastAsia="Arial" w:hAnsi="Arial" w:cs="Arial"/>
          <w:b/>
          <w:bCs/>
          <w:iCs/>
          <w:color w:val="000000"/>
          <w:sz w:val="28"/>
          <w:szCs w:val="28"/>
          <w:bdr w:val="none" w:sz="0" w:space="0" w:color="auto" w:frame="1"/>
          <w:lang w:val="fr-FR"/>
        </w:rPr>
        <w:t xml:space="preserve"> </w:t>
      </w:r>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Le niveau d’exhaustivité des dispositions législatives nationales pour transposer les obligations de la CMS et de la Convention de Berne concernant l’IKB, lorsque celles-ci sont applicables.</w:t>
      </w:r>
    </w:p>
    <w:p w:rsidR="00BD5B7F" w:rsidRPr="00865DA5" w:rsidRDefault="00BD5B7F" w:rsidP="00BD5B7F">
      <w:pPr>
        <w:jc w:val="both"/>
        <w:rPr>
          <w:rFonts w:ascii="Arial" w:eastAsia="Calibri" w:hAnsi="Arial" w:cs="Arial"/>
          <w:color w:val="000000"/>
          <w:sz w:val="28"/>
          <w:szCs w:val="22"/>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 xml:space="preserve">Question : Dans quelle mesure la législation nationale transpose les obligations internationales concernant l’IKB et découlant de la ratification de la Convention sur les espèces migratrices et/ou de la Convention de Berne ? </w:t>
      </w:r>
    </w:p>
    <w:p w:rsidR="00BD5B7F" w:rsidRPr="00FF6562" w:rsidRDefault="00BD5B7F" w:rsidP="00BD5B7F">
      <w:pPr>
        <w:spacing w:after="120"/>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14"/>
        <w:gridCol w:w="1941"/>
        <w:gridCol w:w="1920"/>
        <w:gridCol w:w="1917"/>
        <w:gridCol w:w="1530"/>
      </w:tblGrid>
      <w:tr w:rsidR="00BD5B7F" w:rsidRPr="00FF6562" w:rsidTr="000E5961">
        <w:tc>
          <w:tcPr>
            <w:tcW w:w="1761" w:type="dxa"/>
            <w:gridSpan w:val="2"/>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194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192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1917"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c>
          <w:tcPr>
            <w:tcW w:w="1530" w:type="dxa"/>
            <w:tcBorders>
              <w:top w:val="single" w:sz="4" w:space="0" w:color="auto"/>
              <w:left w:val="single" w:sz="4" w:space="0" w:color="auto"/>
              <w:bottom w:val="single" w:sz="4" w:space="0" w:color="auto"/>
              <w:right w:val="single" w:sz="4" w:space="0" w:color="auto"/>
            </w:tcBorders>
            <w:shd w:val="clear" w:color="auto" w:fill="BFBFBF"/>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bdr w:val="none" w:sz="0" w:space="0" w:color="auto" w:frame="1"/>
              </w:rPr>
              <w:t>Non applicable</w:t>
            </w:r>
          </w:p>
        </w:tc>
      </w:tr>
      <w:tr w:rsidR="00BD5B7F" w:rsidRPr="00FC42B0" w:rsidTr="000E5961">
        <w:tc>
          <w:tcPr>
            <w:tcW w:w="1747"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 pays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N’est </w:t>
            </w:r>
            <w:r w:rsidRPr="00865DA5">
              <w:rPr>
                <w:rFonts w:ascii="Arial" w:eastAsia="Arial" w:hAnsi="Arial" w:cs="Arial"/>
                <w:b/>
                <w:bCs/>
                <w:color w:val="000000"/>
                <w:sz w:val="18"/>
                <w:szCs w:val="18"/>
                <w:bdr w:val="none" w:sz="0" w:space="0" w:color="auto" w:frame="1"/>
                <w:lang w:val="fr-FR"/>
              </w:rPr>
              <w:t>pas Partie</w:t>
            </w:r>
            <w:r w:rsidRPr="00865DA5">
              <w:rPr>
                <w:rFonts w:ascii="Arial" w:eastAsia="Arial" w:hAnsi="Arial" w:cs="Arial"/>
                <w:color w:val="000000"/>
                <w:sz w:val="18"/>
                <w:szCs w:val="18"/>
                <w:bdr w:val="none" w:sz="0" w:space="0" w:color="auto" w:frame="1"/>
                <w:lang w:val="fr-FR"/>
              </w:rPr>
              <w:t xml:space="preserve"> à la CMS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N’est </w:t>
            </w:r>
            <w:r w:rsidRPr="00865DA5">
              <w:rPr>
                <w:rFonts w:ascii="Arial" w:eastAsia="Arial" w:hAnsi="Arial" w:cs="Arial"/>
                <w:b/>
                <w:bCs/>
                <w:color w:val="000000"/>
                <w:sz w:val="18"/>
                <w:szCs w:val="18"/>
                <w:bdr w:val="none" w:sz="0" w:space="0" w:color="auto" w:frame="1"/>
                <w:lang w:val="fr-FR"/>
              </w:rPr>
              <w:t>pas Partie</w:t>
            </w:r>
            <w:r w:rsidRPr="00865DA5">
              <w:rPr>
                <w:rFonts w:ascii="Arial" w:eastAsia="Arial" w:hAnsi="Arial" w:cs="Arial"/>
                <w:color w:val="000000"/>
                <w:sz w:val="18"/>
                <w:szCs w:val="18"/>
                <w:bdr w:val="none" w:sz="0" w:space="0" w:color="auto" w:frame="1"/>
                <w:lang w:val="fr-FR"/>
              </w:rPr>
              <w:t xml:space="preserve"> à la Convention de Berne</w:t>
            </w:r>
          </w:p>
        </w:tc>
        <w:tc>
          <w:tcPr>
            <w:tcW w:w="1955"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législation nationale relative à la CMS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N’a </w:t>
            </w:r>
            <w:r w:rsidRPr="00865DA5">
              <w:rPr>
                <w:rFonts w:ascii="Arial" w:eastAsia="Arial" w:hAnsi="Arial" w:cs="Arial"/>
                <w:b/>
                <w:bCs/>
                <w:color w:val="000000"/>
                <w:sz w:val="18"/>
                <w:szCs w:val="18"/>
                <w:bdr w:val="none" w:sz="0" w:space="0" w:color="auto" w:frame="1"/>
                <w:lang w:val="fr-FR"/>
              </w:rPr>
              <w:t>pas</w:t>
            </w:r>
            <w:r w:rsidRPr="00865DA5">
              <w:rPr>
                <w:rFonts w:ascii="Arial" w:eastAsia="Arial" w:hAnsi="Arial" w:cs="Arial"/>
                <w:color w:val="000000"/>
                <w:sz w:val="18"/>
                <w:szCs w:val="18"/>
                <w:bdr w:val="none" w:sz="0" w:space="0" w:color="auto" w:frame="1"/>
                <w:lang w:val="fr-FR"/>
              </w:rPr>
              <w:t xml:space="preserve"> été adoptée</w:t>
            </w:r>
          </w:p>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législation nationale relative à la Convention de Berne :</w:t>
            </w:r>
          </w:p>
          <w:p w:rsidR="00BD5B7F" w:rsidRPr="00FF6562" w:rsidRDefault="00BD5B7F" w:rsidP="000E5961">
            <w:pPr>
              <w:rPr>
                <w:rFonts w:ascii="Arial" w:eastAsia="Calibri" w:hAnsi="Arial" w:cs="Arial"/>
                <w:color w:val="000000"/>
                <w:sz w:val="18"/>
                <w:szCs w:val="18"/>
              </w:rPr>
            </w:pPr>
            <w:r w:rsidRPr="00FF6562">
              <w:rPr>
                <w:rFonts w:ascii="Arial" w:eastAsia="Arial" w:hAnsi="Arial" w:cs="Arial"/>
                <w:color w:val="000000"/>
                <w:sz w:val="16"/>
                <w:szCs w:val="16"/>
              </w:rPr>
              <w:t>􁃱</w:t>
            </w:r>
            <w:r w:rsidRPr="00FF6562">
              <w:rPr>
                <w:rFonts w:ascii="Arial" w:eastAsia="Calibri" w:hAnsi="Arial" w:cs="Arial"/>
                <w:color w:val="000000"/>
                <w:sz w:val="18"/>
                <w:szCs w:val="18"/>
              </w:rPr>
              <w:t xml:space="preserve"> </w:t>
            </w:r>
            <w:r w:rsidRPr="00FF6562">
              <w:rPr>
                <w:rFonts w:ascii="Arial" w:eastAsia="Arial" w:hAnsi="Arial" w:cs="Arial"/>
                <w:color w:val="000000"/>
                <w:sz w:val="18"/>
                <w:szCs w:val="18"/>
                <w:bdr w:val="none" w:sz="0" w:space="0" w:color="auto" w:frame="1"/>
              </w:rPr>
              <w:t xml:space="preserve">N’a </w:t>
            </w:r>
            <w:r w:rsidRPr="00FF6562">
              <w:rPr>
                <w:rFonts w:ascii="Arial" w:eastAsia="Arial" w:hAnsi="Arial" w:cs="Arial"/>
                <w:b/>
                <w:bCs/>
                <w:color w:val="000000"/>
                <w:sz w:val="18"/>
                <w:szCs w:val="18"/>
                <w:bdr w:val="none" w:sz="0" w:space="0" w:color="auto" w:frame="1"/>
              </w:rPr>
              <w:t>pas</w:t>
            </w:r>
            <w:r w:rsidRPr="00FF6562">
              <w:rPr>
                <w:rFonts w:ascii="Arial" w:eastAsia="Arial" w:hAnsi="Arial" w:cs="Arial"/>
                <w:color w:val="000000"/>
                <w:sz w:val="18"/>
                <w:szCs w:val="18"/>
                <w:bdr w:val="none" w:sz="0" w:space="0" w:color="auto" w:frame="1"/>
              </w:rPr>
              <w:t xml:space="preserve"> été adoptée</w:t>
            </w:r>
          </w:p>
          <w:p w:rsidR="00BD5B7F" w:rsidRPr="00FF6562" w:rsidRDefault="00BD5B7F" w:rsidP="000E5961">
            <w:pPr>
              <w:rPr>
                <w:rFonts w:ascii="Arial" w:eastAsia="Calibri" w:hAnsi="Arial" w:cs="Arial"/>
                <w:color w:val="000000"/>
                <w:sz w:val="18"/>
                <w:szCs w:val="18"/>
              </w:rPr>
            </w:pPr>
          </w:p>
          <w:p w:rsidR="00BD5B7F" w:rsidRPr="00FF6562" w:rsidRDefault="00BD5B7F" w:rsidP="000E5961">
            <w:pPr>
              <w:rPr>
                <w:rFonts w:ascii="Arial" w:eastAsia="Calibri" w:hAnsi="Arial" w:cs="Arial"/>
                <w:color w:val="000000"/>
                <w:sz w:val="18"/>
                <w:szCs w:val="18"/>
              </w:rPr>
            </w:pPr>
          </w:p>
        </w:tc>
        <w:tc>
          <w:tcPr>
            <w:tcW w:w="1920" w:type="dxa"/>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 engagements de la CMS concernant la lutte contre l’IKB ont été </w:t>
            </w:r>
            <w:r w:rsidRPr="00865DA5">
              <w:rPr>
                <w:rFonts w:ascii="Arial" w:eastAsia="Arial" w:hAnsi="Arial" w:cs="Arial"/>
                <w:b/>
                <w:bCs/>
                <w:color w:val="000000"/>
                <w:sz w:val="18"/>
                <w:szCs w:val="18"/>
                <w:bdr w:val="none" w:sz="0" w:space="0" w:color="auto" w:frame="1"/>
                <w:lang w:val="fr-FR"/>
              </w:rPr>
              <w:t>partiellement</w:t>
            </w:r>
            <w:r w:rsidRPr="00865DA5">
              <w:rPr>
                <w:rFonts w:ascii="Arial" w:eastAsia="Arial" w:hAnsi="Arial" w:cs="Arial"/>
                <w:color w:val="000000"/>
                <w:sz w:val="18"/>
                <w:szCs w:val="18"/>
                <w:bdr w:val="none" w:sz="0" w:space="0" w:color="auto" w:frame="1"/>
                <w:lang w:val="fr-FR"/>
              </w:rPr>
              <w:t xml:space="preserve"> transposés dans la législation nationale existante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 engagements de la Convention de Berne concernant la lutte contre l’IKB ont été </w:t>
            </w:r>
            <w:r w:rsidRPr="00865DA5">
              <w:rPr>
                <w:rFonts w:ascii="Arial" w:eastAsia="Arial" w:hAnsi="Arial" w:cs="Arial"/>
                <w:b/>
                <w:bCs/>
                <w:color w:val="000000"/>
                <w:sz w:val="18"/>
                <w:szCs w:val="18"/>
                <w:bdr w:val="none" w:sz="0" w:space="0" w:color="auto" w:frame="1"/>
                <w:lang w:val="fr-FR"/>
              </w:rPr>
              <w:t>partiellement</w:t>
            </w:r>
            <w:r w:rsidRPr="00865DA5">
              <w:rPr>
                <w:rFonts w:ascii="Arial" w:eastAsia="Arial" w:hAnsi="Arial" w:cs="Arial"/>
                <w:color w:val="000000"/>
                <w:sz w:val="18"/>
                <w:szCs w:val="18"/>
                <w:bdr w:val="none" w:sz="0" w:space="0" w:color="auto" w:frame="1"/>
                <w:lang w:val="fr-FR"/>
              </w:rPr>
              <w:t xml:space="preserve"> transposés dans la législation nationale existante</w:t>
            </w:r>
          </w:p>
          <w:p w:rsidR="00BD5B7F" w:rsidRPr="00865DA5" w:rsidRDefault="00BD5B7F" w:rsidP="000E5961">
            <w:pPr>
              <w:rPr>
                <w:rFonts w:ascii="Arial" w:eastAsia="Calibri" w:hAnsi="Arial" w:cs="Arial"/>
                <w:i/>
                <w:iCs/>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 pays </w:t>
            </w:r>
            <w:r w:rsidRPr="00865DA5">
              <w:rPr>
                <w:rFonts w:ascii="Arial" w:eastAsia="Arial" w:hAnsi="Arial" w:cs="Arial"/>
                <w:b/>
                <w:bCs/>
                <w:color w:val="000000"/>
                <w:sz w:val="18"/>
                <w:szCs w:val="18"/>
                <w:bdr w:val="none" w:sz="0" w:space="0" w:color="auto" w:frame="1"/>
                <w:lang w:val="fr-FR"/>
              </w:rPr>
              <w:t>a</w:t>
            </w:r>
            <w:r w:rsidRPr="00865DA5">
              <w:rPr>
                <w:rFonts w:ascii="Arial" w:eastAsia="Arial" w:hAnsi="Arial" w:cs="Arial"/>
                <w:color w:val="000000"/>
                <w:sz w:val="18"/>
                <w:szCs w:val="18"/>
                <w:bdr w:val="none" w:sz="0" w:space="0" w:color="auto" w:frame="1"/>
                <w:lang w:val="fr-FR"/>
              </w:rPr>
              <w:t xml:space="preserve"> des affaires/plaintes en suspens/non résolues en vertu de la Convention de Berne concernant la transposition incorrecte ou incomplète des dispositions de la Convention dans le droit national</w:t>
            </w:r>
          </w:p>
          <w:p w:rsidR="00BD5B7F" w:rsidRPr="00865DA5" w:rsidRDefault="00BD5B7F" w:rsidP="000E5961">
            <w:pPr>
              <w:rPr>
                <w:rFonts w:ascii="Arial" w:eastAsia="Calibri" w:hAnsi="Arial" w:cs="Arial"/>
                <w:i/>
                <w:iCs/>
                <w:color w:val="000000"/>
                <w:sz w:val="18"/>
                <w:szCs w:val="18"/>
                <w:lang w:val="fr-FR"/>
              </w:rPr>
            </w:pPr>
          </w:p>
        </w:tc>
        <w:tc>
          <w:tcPr>
            <w:tcW w:w="1917" w:type="dxa"/>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 engagements de la CMS concernant la lutte contre l’IKB ont été </w:t>
            </w:r>
            <w:r w:rsidRPr="00865DA5">
              <w:rPr>
                <w:rFonts w:ascii="Arial" w:eastAsia="Arial" w:hAnsi="Arial" w:cs="Arial"/>
                <w:b/>
                <w:bCs/>
                <w:color w:val="000000"/>
                <w:sz w:val="18"/>
                <w:szCs w:val="18"/>
                <w:bdr w:val="none" w:sz="0" w:space="0" w:color="auto" w:frame="1"/>
                <w:lang w:val="fr-FR"/>
              </w:rPr>
              <w:t>pleinement</w:t>
            </w:r>
            <w:r w:rsidRPr="00865DA5">
              <w:rPr>
                <w:rFonts w:ascii="Arial" w:eastAsia="Arial" w:hAnsi="Arial" w:cs="Arial"/>
                <w:color w:val="000000"/>
                <w:sz w:val="18"/>
                <w:szCs w:val="18"/>
                <w:bdr w:val="none" w:sz="0" w:space="0" w:color="auto" w:frame="1"/>
                <w:lang w:val="fr-FR"/>
              </w:rPr>
              <w:t xml:space="preserve"> transposés dans la législation nationale existante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 engagements de la Convention de Berne concernant la lutte contre l’IKB ont été </w:t>
            </w:r>
            <w:r w:rsidRPr="00865DA5">
              <w:rPr>
                <w:rFonts w:ascii="Arial" w:eastAsia="Arial" w:hAnsi="Arial" w:cs="Arial"/>
                <w:b/>
                <w:bCs/>
                <w:color w:val="000000"/>
                <w:sz w:val="18"/>
                <w:szCs w:val="18"/>
                <w:bdr w:val="none" w:sz="0" w:space="0" w:color="auto" w:frame="1"/>
                <w:lang w:val="fr-FR"/>
              </w:rPr>
              <w:t>pleinement</w:t>
            </w:r>
            <w:r w:rsidRPr="00865DA5">
              <w:rPr>
                <w:rFonts w:ascii="Arial" w:eastAsia="Arial" w:hAnsi="Arial" w:cs="Arial"/>
                <w:color w:val="000000"/>
                <w:sz w:val="18"/>
                <w:szCs w:val="18"/>
                <w:bdr w:val="none" w:sz="0" w:space="0" w:color="auto" w:frame="1"/>
                <w:lang w:val="fr-FR"/>
              </w:rPr>
              <w:t xml:space="preserve"> transposés dans la législation nationale existante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 pays </w:t>
            </w:r>
            <w:r w:rsidRPr="00865DA5">
              <w:rPr>
                <w:rFonts w:ascii="Arial" w:eastAsia="Arial" w:hAnsi="Arial" w:cs="Arial"/>
                <w:b/>
                <w:bCs/>
                <w:color w:val="000000"/>
                <w:sz w:val="18"/>
                <w:szCs w:val="18"/>
                <w:bdr w:val="none" w:sz="0" w:space="0" w:color="auto" w:frame="1"/>
                <w:lang w:val="fr-FR"/>
              </w:rPr>
              <w:t>n’a pas</w:t>
            </w:r>
            <w:r w:rsidRPr="00865DA5">
              <w:rPr>
                <w:rFonts w:ascii="Arial" w:eastAsia="Arial" w:hAnsi="Arial" w:cs="Arial"/>
                <w:color w:val="000000"/>
                <w:sz w:val="18"/>
                <w:szCs w:val="18"/>
                <w:bdr w:val="none" w:sz="0" w:space="0" w:color="auto" w:frame="1"/>
                <w:lang w:val="fr-FR"/>
              </w:rPr>
              <w:t xml:space="preserve"> d’affaires/plaintes en suspens/non résolues en vertu de la Convention de Berne concernant la transposition incorrecte des dispositions de la Convention dans le droit national</w:t>
            </w:r>
          </w:p>
          <w:p w:rsidR="00BD5B7F" w:rsidRPr="00865DA5" w:rsidRDefault="00BD5B7F" w:rsidP="000E5961">
            <w:pPr>
              <w:rPr>
                <w:rFonts w:ascii="Arial" w:eastAsia="Calibri" w:hAnsi="Arial" w:cs="Arial"/>
                <w:color w:val="000000"/>
                <w:sz w:val="18"/>
                <w:szCs w:val="18"/>
                <w:lang w:val="fr-FR"/>
              </w:rPr>
            </w:pPr>
          </w:p>
        </w:tc>
        <w:tc>
          <w:tcPr>
            <w:tcW w:w="1530" w:type="dxa"/>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 pays n’est pas Partie d’un ou des deux Traités </w:t>
            </w:r>
          </w:p>
          <w:p w:rsidR="00BD5B7F" w:rsidRPr="00865DA5" w:rsidRDefault="00BD5B7F" w:rsidP="000E5961">
            <w:pPr>
              <w:rPr>
                <w:rFonts w:ascii="Arial" w:eastAsia="Calibri" w:hAnsi="Arial" w:cs="Arial"/>
                <w:color w:val="000000"/>
                <w:sz w:val="18"/>
                <w:szCs w:val="18"/>
                <w:lang w:val="fr-FR"/>
              </w:rPr>
            </w:pP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eastAsia="Calibri" w:hAnsi="Arial" w:cs="Arial"/>
          <w:color w:val="000000"/>
          <w:sz w:val="22"/>
          <w:szCs w:val="22"/>
          <w:lang w:val="fr-FR"/>
        </w:rPr>
      </w:pPr>
    </w:p>
    <w:p w:rsidR="00BD5B7F" w:rsidRPr="00865DA5" w:rsidRDefault="00BD5B7F" w:rsidP="00BD5B7F">
      <w:pPr>
        <w:rPr>
          <w:rFonts w:ascii="Arial" w:eastAsia="Calibri" w:hAnsi="Arial" w:cs="Arial"/>
          <w:color w:val="000000"/>
          <w:sz w:val="12"/>
          <w:szCs w:val="12"/>
          <w:lang w:val="fr-FR"/>
        </w:rPr>
      </w:pPr>
      <w:r w:rsidRPr="00865DA5">
        <w:rPr>
          <w:rFonts w:ascii="Arial" w:eastAsia="Calibri" w:hAnsi="Arial" w:cs="Arial"/>
          <w:color w:val="000000"/>
          <w:sz w:val="12"/>
          <w:szCs w:val="12"/>
          <w:lang w:val="fr-FR"/>
        </w:rPr>
        <w:br w:type="page"/>
      </w:r>
    </w:p>
    <w:p w:rsidR="00BD5B7F" w:rsidRPr="00865DA5" w:rsidRDefault="00BD5B7F" w:rsidP="00BD5B7F">
      <w:pPr>
        <w:keepNext/>
        <w:keepLines/>
        <w:jc w:val="both"/>
        <w:outlineLvl w:val="1"/>
        <w:rPr>
          <w:rFonts w:ascii="Arial" w:hAnsi="Arial" w:cs="Arial"/>
          <w:b/>
          <w:color w:val="000000"/>
          <w:sz w:val="30"/>
          <w:szCs w:val="30"/>
          <w:lang w:val="fr-FR"/>
        </w:rPr>
      </w:pPr>
      <w:bookmarkStart w:id="67" w:name="_Toc491245249"/>
      <w:bookmarkStart w:id="68" w:name="_Toc491245059"/>
      <w:bookmarkStart w:id="69" w:name="_Toc486539586"/>
      <w:r w:rsidRPr="00865DA5">
        <w:rPr>
          <w:rFonts w:ascii="Arial" w:eastAsia="Arial" w:hAnsi="Arial" w:cs="Arial"/>
          <w:b/>
          <w:bCs/>
          <w:color w:val="000000"/>
          <w:sz w:val="30"/>
          <w:szCs w:val="30"/>
          <w:bdr w:val="none" w:sz="0" w:space="0" w:color="auto" w:frame="1"/>
          <w:lang w:val="fr-FR"/>
        </w:rPr>
        <w:lastRenderedPageBreak/>
        <w:t>C. Réponse en matière de lutte contre la fraude : Niveau de préparation des organes chargés de l’application des lois et de la lutte contre la fraude, et coordination des institutions nationales</w:t>
      </w:r>
      <w:bookmarkEnd w:id="67"/>
      <w:bookmarkEnd w:id="68"/>
      <w:bookmarkEnd w:id="69"/>
    </w:p>
    <w:p w:rsidR="00BD5B7F" w:rsidRPr="00865DA5" w:rsidRDefault="00BD5B7F" w:rsidP="00BD5B7F">
      <w:pPr>
        <w:jc w:val="both"/>
        <w:rPr>
          <w:rFonts w:ascii="Arial" w:eastAsia="Calibri" w:hAnsi="Arial" w:cs="Arial"/>
          <w:color w:val="000000"/>
          <w:sz w:val="12"/>
          <w:szCs w:val="12"/>
          <w:lang w:val="fr-FR"/>
        </w:rPr>
      </w:pPr>
    </w:p>
    <w:p w:rsidR="00BD5B7F" w:rsidRPr="00865DA5" w:rsidRDefault="00BD5B7F" w:rsidP="00BD5B7F">
      <w:pPr>
        <w:keepNext/>
        <w:keepLines/>
        <w:spacing w:after="120"/>
        <w:jc w:val="both"/>
        <w:outlineLvl w:val="3"/>
        <w:rPr>
          <w:rFonts w:ascii="Arial" w:hAnsi="Arial" w:cs="Arial"/>
          <w:b/>
          <w:i/>
          <w:iCs/>
          <w:color w:val="000000"/>
          <w:sz w:val="18"/>
          <w:szCs w:val="18"/>
          <w:lang w:val="fr-FR"/>
        </w:rPr>
      </w:pPr>
      <w:bookmarkStart w:id="70" w:name="_Toc491245250"/>
      <w:bookmarkStart w:id="71" w:name="_Toc486539587"/>
      <w:r w:rsidRPr="00865DA5">
        <w:rPr>
          <w:rFonts w:ascii="Arial" w:eastAsia="Arial" w:hAnsi="Arial" w:cs="Arial"/>
          <w:b/>
          <w:bCs/>
          <w:iCs/>
          <w:color w:val="000000"/>
          <w:sz w:val="28"/>
          <w:szCs w:val="28"/>
          <w:bdr w:val="none" w:sz="0" w:space="0" w:color="auto" w:frame="1"/>
          <w:lang w:val="fr-FR"/>
        </w:rPr>
        <w:t>14. Plan d’action national pour la lutte contre l’IKB</w:t>
      </w:r>
      <w:r w:rsidRPr="00FF6562">
        <w:rPr>
          <w:rFonts w:ascii="Arial" w:hAnsi="Arial" w:cs="Arial"/>
          <w:b/>
          <w:iCs/>
          <w:color w:val="000000"/>
          <w:sz w:val="28"/>
          <w:szCs w:val="22"/>
          <w:vertAlign w:val="superscript"/>
        </w:rPr>
        <w:footnoteReference w:id="29"/>
      </w:r>
      <w:bookmarkEnd w:id="70"/>
      <w:bookmarkEnd w:id="71"/>
      <w:r w:rsidRPr="00865DA5">
        <w:rPr>
          <w:rFonts w:ascii="Arial" w:eastAsia="Arial" w:hAnsi="Arial" w:cs="Arial"/>
          <w:b/>
          <w:bCs/>
          <w:iCs/>
          <w:color w:val="000000"/>
          <w:sz w:val="28"/>
          <w:szCs w:val="28"/>
          <w:bdr w:val="none" w:sz="0" w:space="0" w:color="auto" w:frame="1"/>
          <w:vertAlign w:val="superscript"/>
          <w:lang w:val="fr-FR"/>
        </w:rPr>
        <w:t xml:space="preserve"> </w:t>
      </w:r>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L’existence d’une stratégie nationale ou d’un plan d’action relatif à l’IKB.</w:t>
      </w:r>
    </w:p>
    <w:p w:rsidR="00BD5B7F" w:rsidRPr="00865DA5" w:rsidRDefault="00BD5B7F" w:rsidP="00BD5B7F">
      <w:pPr>
        <w:jc w:val="both"/>
        <w:rPr>
          <w:rFonts w:ascii="Arial" w:eastAsia="Calibri" w:hAnsi="Arial" w:cs="Arial"/>
          <w:color w:val="000000"/>
          <w:sz w:val="22"/>
          <w:szCs w:val="18"/>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 xml:space="preserve">Question : Existe-t-il un plan </w:t>
      </w:r>
      <w:proofErr w:type="gramStart"/>
      <w:r w:rsidRPr="00865DA5">
        <w:rPr>
          <w:rFonts w:ascii="Arial" w:eastAsia="Arial" w:hAnsi="Arial" w:cs="Arial"/>
          <w:b/>
          <w:bCs/>
          <w:i/>
          <w:iCs/>
          <w:color w:val="000000"/>
          <w:sz w:val="22"/>
          <w:szCs w:val="22"/>
          <w:bdr w:val="none" w:sz="0" w:space="0" w:color="auto" w:frame="1"/>
          <w:lang w:val="fr-FR"/>
        </w:rPr>
        <w:t>d’action national</w:t>
      </w:r>
      <w:proofErr w:type="gramEnd"/>
      <w:r w:rsidRPr="00865DA5">
        <w:rPr>
          <w:rFonts w:ascii="Arial" w:eastAsia="Arial" w:hAnsi="Arial" w:cs="Arial"/>
          <w:b/>
          <w:bCs/>
          <w:i/>
          <w:iCs/>
          <w:color w:val="000000"/>
          <w:sz w:val="22"/>
          <w:szCs w:val="22"/>
          <w:bdr w:val="none" w:sz="0" w:space="0" w:color="auto" w:frame="1"/>
          <w:lang w:val="fr-FR"/>
        </w:rPr>
        <w:t xml:space="preserve"> ou un document équivalent pour lutter contre l’IKB ?</w:t>
      </w:r>
    </w:p>
    <w:p w:rsidR="00BD5B7F" w:rsidRPr="00865DA5" w:rsidRDefault="00BD5B7F" w:rsidP="00BD5B7F">
      <w:pPr>
        <w:rPr>
          <w:rFonts w:ascii="Arial" w:eastAsia="Calibri" w:hAnsi="Arial" w:cs="Arial"/>
          <w:b/>
          <w:bCs/>
          <w:i/>
          <w:iCs/>
          <w:color w:val="000000"/>
          <w:sz w:val="22"/>
          <w:szCs w:val="18"/>
          <w:lang w:val="fr-FR"/>
        </w:rPr>
      </w:pPr>
    </w:p>
    <w:p w:rsidR="00BD5B7F" w:rsidRPr="00FF6562" w:rsidRDefault="00BD5B7F" w:rsidP="00BD5B7F">
      <w:pPr>
        <w:spacing w:after="120"/>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2"/>
        <w:gridCol w:w="2305"/>
        <w:gridCol w:w="14"/>
        <w:gridCol w:w="2322"/>
        <w:gridCol w:w="2326"/>
      </w:tblGrid>
      <w:tr w:rsidR="00BD5B7F" w:rsidRPr="00FF6562" w:rsidTr="000E5961">
        <w:tc>
          <w:tcPr>
            <w:tcW w:w="2310"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1"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39"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2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trHeight w:val="2346"/>
        </w:trPr>
        <w:tc>
          <w:tcPr>
            <w:tcW w:w="2322"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Un plan d’action national IKB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N’a </w:t>
            </w:r>
            <w:r w:rsidRPr="00865DA5">
              <w:rPr>
                <w:rFonts w:ascii="Arial" w:eastAsia="Arial" w:hAnsi="Arial" w:cs="Arial"/>
                <w:b/>
                <w:bCs/>
                <w:color w:val="000000"/>
                <w:sz w:val="18"/>
                <w:szCs w:val="18"/>
                <w:bdr w:val="none" w:sz="0" w:space="0" w:color="auto" w:frame="1"/>
                <w:lang w:val="fr-FR"/>
              </w:rPr>
              <w:t xml:space="preserve">pas </w:t>
            </w:r>
            <w:r w:rsidRPr="00865DA5">
              <w:rPr>
                <w:rFonts w:ascii="Arial" w:eastAsia="Arial" w:hAnsi="Arial" w:cs="Arial"/>
                <w:color w:val="000000"/>
                <w:sz w:val="18"/>
                <w:szCs w:val="18"/>
                <w:bdr w:val="none" w:sz="0" w:space="0" w:color="auto" w:frame="1"/>
                <w:lang w:val="fr-FR"/>
              </w:rPr>
              <w:t>été élaboré</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L’IKB </w:t>
            </w:r>
            <w:r w:rsidRPr="00865DA5">
              <w:rPr>
                <w:rFonts w:ascii="Arial" w:eastAsia="Arial" w:hAnsi="Arial" w:cs="Arial"/>
                <w:b/>
                <w:bCs/>
                <w:color w:val="000000"/>
                <w:sz w:val="18"/>
                <w:szCs w:val="18"/>
                <w:bdr w:val="none" w:sz="0" w:space="0" w:color="auto" w:frame="1"/>
                <w:lang w:val="fr-FR"/>
              </w:rPr>
              <w:t>n’est pas</w:t>
            </w:r>
            <w:r w:rsidRPr="00865DA5">
              <w:rPr>
                <w:rFonts w:ascii="Arial" w:eastAsia="Arial" w:hAnsi="Arial" w:cs="Arial"/>
                <w:color w:val="000000"/>
                <w:sz w:val="18"/>
                <w:szCs w:val="18"/>
                <w:bdr w:val="none" w:sz="0" w:space="0" w:color="auto" w:frame="1"/>
                <w:lang w:val="fr-FR"/>
              </w:rPr>
              <w:t xml:space="preserve"> couvert par d’autres stratégies de lutte contre la fraude ou plans d’action pertinents</w:t>
            </w:r>
          </w:p>
        </w:tc>
        <w:tc>
          <w:tcPr>
            <w:tcW w:w="2323"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Un plan d’action national IKB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w:t>
            </w:r>
            <w:r w:rsidRPr="00865DA5">
              <w:rPr>
                <w:rFonts w:ascii="Arial" w:eastAsia="Arial" w:hAnsi="Arial" w:cs="Arial"/>
                <w:b/>
                <w:color w:val="000000"/>
                <w:sz w:val="18"/>
                <w:szCs w:val="18"/>
                <w:bdr w:val="none" w:sz="0" w:space="0" w:color="auto" w:frame="1"/>
                <w:lang w:val="fr-FR"/>
              </w:rPr>
              <w:t>en train</w:t>
            </w:r>
            <w:r w:rsidRPr="00865DA5">
              <w:rPr>
                <w:rFonts w:ascii="Arial" w:eastAsia="Arial" w:hAnsi="Arial" w:cs="Arial"/>
                <w:color w:val="000000"/>
                <w:sz w:val="18"/>
                <w:szCs w:val="18"/>
                <w:bdr w:val="none" w:sz="0" w:space="0" w:color="auto" w:frame="1"/>
                <w:lang w:val="fr-FR"/>
              </w:rPr>
              <w:t xml:space="preserve"> d’être élaboré</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L’IKB est couvert par d’autres stratégies de lutte contre la fraude ou plans d’action pertinents</w:t>
            </w:r>
          </w:p>
        </w:tc>
        <w:tc>
          <w:tcPr>
            <w:tcW w:w="2325"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Un plan d’action national IKB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A été élaboré</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A été adopté par certaines agences nationales pertinentes de lutte contre la fraude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N’est </w:t>
            </w:r>
            <w:r w:rsidRPr="00865DA5">
              <w:rPr>
                <w:rFonts w:ascii="Arial" w:eastAsia="Arial" w:hAnsi="Arial" w:cs="Arial"/>
                <w:b/>
                <w:bCs/>
                <w:color w:val="000000"/>
                <w:sz w:val="18"/>
                <w:szCs w:val="18"/>
                <w:bdr w:val="none" w:sz="0" w:space="0" w:color="auto" w:frame="1"/>
                <w:lang w:val="fr-FR"/>
              </w:rPr>
              <w:t>pas activement</w:t>
            </w:r>
            <w:r w:rsidRPr="00865DA5">
              <w:rPr>
                <w:rFonts w:ascii="Arial" w:eastAsia="Arial" w:hAnsi="Arial" w:cs="Arial"/>
                <w:color w:val="000000"/>
                <w:sz w:val="18"/>
                <w:szCs w:val="18"/>
                <w:bdr w:val="none" w:sz="0" w:space="0" w:color="auto" w:frame="1"/>
                <w:lang w:val="fr-FR"/>
              </w:rPr>
              <w:t xml:space="preserve"> mis en œuvre par toutes les agences pertinentes de lutte contre la fraude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N’a </w:t>
            </w:r>
            <w:r w:rsidRPr="00865DA5">
              <w:rPr>
                <w:rFonts w:ascii="Arial" w:eastAsia="Arial" w:hAnsi="Arial" w:cs="Arial"/>
                <w:b/>
                <w:bCs/>
                <w:color w:val="000000"/>
                <w:sz w:val="18"/>
                <w:szCs w:val="18"/>
                <w:bdr w:val="none" w:sz="0" w:space="0" w:color="auto" w:frame="1"/>
                <w:lang w:val="fr-FR"/>
              </w:rPr>
              <w:t>pas</w:t>
            </w:r>
            <w:r w:rsidRPr="00865DA5">
              <w:rPr>
                <w:rFonts w:ascii="Arial" w:eastAsia="Arial" w:hAnsi="Arial" w:cs="Arial"/>
                <w:color w:val="000000"/>
                <w:sz w:val="18"/>
                <w:szCs w:val="18"/>
                <w:bdr w:val="none" w:sz="0" w:space="0" w:color="auto" w:frame="1"/>
                <w:lang w:val="fr-FR"/>
              </w:rPr>
              <w:t xml:space="preserve"> été régulièrement mis à jour</w:t>
            </w:r>
          </w:p>
        </w:tc>
        <w:tc>
          <w:tcPr>
            <w:tcW w:w="2329"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Un plan d’action national IKB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A été élaboré</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A été adopté par toutes les agences nationales pertinentes de lutte contre la fraude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w:t>
            </w:r>
            <w:r w:rsidRPr="00865DA5">
              <w:rPr>
                <w:rFonts w:ascii="Arial" w:eastAsia="Arial" w:hAnsi="Arial" w:cs="Arial"/>
                <w:b/>
                <w:color w:val="000000"/>
                <w:sz w:val="18"/>
                <w:szCs w:val="18"/>
                <w:bdr w:val="none" w:sz="0" w:space="0" w:color="auto" w:frame="1"/>
                <w:lang w:val="fr-FR"/>
              </w:rPr>
              <w:t>activement</w:t>
            </w:r>
            <w:r w:rsidRPr="00865DA5">
              <w:rPr>
                <w:rFonts w:ascii="Arial" w:eastAsia="Arial" w:hAnsi="Arial" w:cs="Arial"/>
                <w:color w:val="000000"/>
                <w:sz w:val="18"/>
                <w:szCs w:val="18"/>
                <w:bdr w:val="none" w:sz="0" w:space="0" w:color="auto" w:frame="1"/>
                <w:lang w:val="fr-FR"/>
              </w:rPr>
              <w:t xml:space="preserve"> mis en œuvre par toutes les agences pertinentes de lutte contre la fraude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Est suivi et révisé pour veiller à ce qu’il reste à jour</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eastAsia="Calibri" w:hAnsi="Arial" w:cs="Arial"/>
          <w:b/>
          <w:bCs/>
          <w:color w:val="000000"/>
          <w:sz w:val="23"/>
          <w:szCs w:val="23"/>
          <w:lang w:val="fr-FR"/>
        </w:rPr>
      </w:pPr>
      <w:r w:rsidRPr="00865DA5">
        <w:rPr>
          <w:rFonts w:ascii="Arial" w:eastAsia="Calibri" w:hAnsi="Arial" w:cs="Arial"/>
          <w:b/>
          <w:bCs/>
          <w:color w:val="000000"/>
          <w:sz w:val="23"/>
          <w:szCs w:val="23"/>
          <w:lang w:val="fr-FR"/>
        </w:rPr>
        <w:br w:type="page"/>
      </w:r>
    </w:p>
    <w:p w:rsidR="00BD5B7F" w:rsidRPr="00865DA5" w:rsidRDefault="00BD5B7F" w:rsidP="00BD5B7F">
      <w:pPr>
        <w:keepNext/>
        <w:keepLines/>
        <w:spacing w:after="120"/>
        <w:outlineLvl w:val="3"/>
        <w:rPr>
          <w:rFonts w:ascii="Arial" w:hAnsi="Arial" w:cs="Arial"/>
          <w:b/>
          <w:i/>
          <w:iCs/>
          <w:color w:val="000000"/>
          <w:sz w:val="18"/>
          <w:szCs w:val="18"/>
          <w:lang w:val="fr-FR"/>
        </w:rPr>
      </w:pPr>
      <w:bookmarkStart w:id="72" w:name="_Toc491245251"/>
      <w:bookmarkStart w:id="73" w:name="_Toc486539588"/>
      <w:r w:rsidRPr="00865DA5">
        <w:rPr>
          <w:rFonts w:ascii="Arial" w:eastAsia="Arial" w:hAnsi="Arial" w:cs="Arial"/>
          <w:b/>
          <w:bCs/>
          <w:iCs/>
          <w:color w:val="000000"/>
          <w:sz w:val="28"/>
          <w:szCs w:val="28"/>
          <w:bdr w:val="none" w:sz="0" w:space="0" w:color="auto" w:frame="1"/>
          <w:lang w:val="fr-FR"/>
        </w:rPr>
        <w:lastRenderedPageBreak/>
        <w:t>15. Priorité de l’IKB dans la lutte contre la fraude</w:t>
      </w:r>
      <w:r w:rsidRPr="00FF6562">
        <w:rPr>
          <w:rFonts w:ascii="Arial" w:hAnsi="Arial" w:cs="Arial"/>
          <w:b/>
          <w:iCs/>
          <w:color w:val="000000"/>
          <w:sz w:val="28"/>
          <w:szCs w:val="22"/>
          <w:vertAlign w:val="superscript"/>
        </w:rPr>
        <w:footnoteReference w:id="30"/>
      </w:r>
      <w:bookmarkEnd w:id="72"/>
      <w:bookmarkEnd w:id="73"/>
      <w:r w:rsidRPr="00865DA5">
        <w:rPr>
          <w:rFonts w:ascii="Arial" w:eastAsia="Arial" w:hAnsi="Arial" w:cs="Arial"/>
          <w:b/>
          <w:bCs/>
          <w:iCs/>
          <w:color w:val="000000"/>
          <w:sz w:val="28"/>
          <w:szCs w:val="28"/>
          <w:bdr w:val="none" w:sz="0" w:space="0" w:color="auto" w:frame="1"/>
          <w:vertAlign w:val="superscript"/>
          <w:lang w:val="fr-FR"/>
        </w:rPr>
        <w:t xml:space="preserve"> </w:t>
      </w:r>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La reconnaissance de la lutte contre la criminalité liée aux espèces sauvages comme une priorité élevée au niveau national.</w:t>
      </w:r>
    </w:p>
    <w:p w:rsidR="00BD5B7F" w:rsidRPr="00865DA5" w:rsidRDefault="00BD5B7F" w:rsidP="00BD5B7F">
      <w:pPr>
        <w:jc w:val="both"/>
        <w:rPr>
          <w:rFonts w:ascii="Arial" w:eastAsia="Calibri" w:hAnsi="Arial" w:cs="Arial"/>
          <w:color w:val="000000"/>
          <w:sz w:val="22"/>
          <w:szCs w:val="18"/>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La lutte contre l’IKB est-elle identifiée comme une priorité élevée au niveau national ?</w:t>
      </w:r>
    </w:p>
    <w:p w:rsidR="00BD5B7F" w:rsidRPr="00865DA5" w:rsidRDefault="00BD5B7F" w:rsidP="00BD5B7F">
      <w:pPr>
        <w:jc w:val="both"/>
        <w:rPr>
          <w:rFonts w:ascii="Arial" w:eastAsia="Calibri" w:hAnsi="Arial" w:cs="Arial"/>
          <w:i/>
          <w:iCs/>
          <w:color w:val="000000"/>
          <w:sz w:val="22"/>
          <w:szCs w:val="18"/>
          <w:lang w:val="fr-FR"/>
        </w:rPr>
      </w:pPr>
    </w:p>
    <w:p w:rsidR="00BD5B7F" w:rsidRPr="00FF6562" w:rsidRDefault="00BD5B7F" w:rsidP="00BD5B7F">
      <w:pPr>
        <w:spacing w:after="120"/>
        <w:jc w:val="both"/>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7"/>
        <w:gridCol w:w="2312"/>
        <w:gridCol w:w="2333"/>
        <w:gridCol w:w="2329"/>
      </w:tblGrid>
      <w:tr w:rsidR="00BD5B7F" w:rsidRPr="00FF6562" w:rsidTr="000E5961">
        <w:tc>
          <w:tcPr>
            <w:tcW w:w="2308"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3"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3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32"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trHeight w:val="2346"/>
        </w:trPr>
        <w:tc>
          <w:tcPr>
            <w:tcW w:w="2315"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criminalité relative à l’IKB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w:t>
            </w:r>
            <w:r w:rsidRPr="00865DA5">
              <w:rPr>
                <w:rFonts w:ascii="Arial" w:eastAsia="Arial" w:hAnsi="Arial" w:cs="Arial"/>
                <w:b/>
                <w:bCs/>
                <w:color w:val="000000"/>
                <w:sz w:val="18"/>
                <w:szCs w:val="18"/>
                <w:bdr w:val="none" w:sz="0" w:space="0" w:color="auto" w:frame="1"/>
                <w:lang w:val="fr-FR"/>
              </w:rPr>
              <w:t>rarement</w:t>
            </w:r>
            <w:r w:rsidRPr="00865DA5">
              <w:rPr>
                <w:rFonts w:ascii="Arial" w:eastAsia="Arial" w:hAnsi="Arial" w:cs="Arial"/>
                <w:color w:val="000000"/>
                <w:sz w:val="18"/>
                <w:szCs w:val="18"/>
                <w:bdr w:val="none" w:sz="0" w:space="0" w:color="auto" w:frame="1"/>
                <w:lang w:val="fr-FR"/>
              </w:rPr>
              <w:t xml:space="preserve"> identifiée comme une priorité élevée pour les agences d’application des lois et de lutte contre la fraude</w:t>
            </w:r>
          </w:p>
        </w:tc>
        <w:tc>
          <w:tcPr>
            <w:tcW w:w="2316"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criminalité relative à l’IKB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w:t>
            </w:r>
            <w:r w:rsidRPr="00865DA5">
              <w:rPr>
                <w:rFonts w:ascii="Arial" w:eastAsia="Arial" w:hAnsi="Arial" w:cs="Arial"/>
                <w:b/>
                <w:bCs/>
                <w:color w:val="000000"/>
                <w:sz w:val="18"/>
                <w:szCs w:val="18"/>
                <w:bdr w:val="none" w:sz="0" w:space="0" w:color="auto" w:frame="1"/>
                <w:lang w:val="fr-FR"/>
              </w:rPr>
              <w:t>parfois</w:t>
            </w:r>
            <w:r w:rsidRPr="00865DA5">
              <w:rPr>
                <w:rFonts w:ascii="Arial" w:eastAsia="Arial" w:hAnsi="Arial" w:cs="Arial"/>
                <w:color w:val="000000"/>
                <w:sz w:val="18"/>
                <w:szCs w:val="18"/>
                <w:bdr w:val="none" w:sz="0" w:space="0" w:color="auto" w:frame="1"/>
                <w:lang w:val="fr-FR"/>
              </w:rPr>
              <w:t xml:space="preserve"> identifiée comme une priorité élevée pour les agences d’application des lois et de lutte contre la fraude</w:t>
            </w:r>
          </w:p>
        </w:tc>
        <w:tc>
          <w:tcPr>
            <w:tcW w:w="2336"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criminalité relative à l’IKB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w:t>
            </w:r>
            <w:r w:rsidRPr="00865DA5">
              <w:rPr>
                <w:rFonts w:ascii="Arial" w:eastAsia="Arial" w:hAnsi="Arial" w:cs="Arial"/>
                <w:b/>
                <w:bCs/>
                <w:color w:val="000000"/>
                <w:sz w:val="18"/>
                <w:szCs w:val="18"/>
                <w:bdr w:val="none" w:sz="0" w:space="0" w:color="auto" w:frame="1"/>
                <w:lang w:val="fr-FR"/>
              </w:rPr>
              <w:t>généralement</w:t>
            </w:r>
            <w:r w:rsidRPr="00865DA5">
              <w:rPr>
                <w:rFonts w:ascii="Arial" w:eastAsia="Arial" w:hAnsi="Arial" w:cs="Arial"/>
                <w:color w:val="000000"/>
                <w:sz w:val="18"/>
                <w:szCs w:val="18"/>
                <w:bdr w:val="none" w:sz="0" w:space="0" w:color="auto" w:frame="1"/>
                <w:lang w:val="fr-FR"/>
              </w:rPr>
              <w:t xml:space="preserve"> identifiée comme une priorité élevée pour les agences d’application des lois et de lutte contre la fraude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N’a </w:t>
            </w:r>
            <w:r w:rsidRPr="00865DA5">
              <w:rPr>
                <w:rFonts w:ascii="Arial" w:eastAsia="Arial" w:hAnsi="Arial" w:cs="Arial"/>
                <w:b/>
                <w:bCs/>
                <w:color w:val="000000"/>
                <w:sz w:val="18"/>
                <w:szCs w:val="18"/>
                <w:bdr w:val="none" w:sz="0" w:space="0" w:color="auto" w:frame="1"/>
                <w:lang w:val="fr-FR"/>
              </w:rPr>
              <w:t>pas</w:t>
            </w:r>
            <w:r w:rsidRPr="00865DA5">
              <w:rPr>
                <w:rFonts w:ascii="Arial" w:eastAsia="Arial" w:hAnsi="Arial" w:cs="Arial"/>
                <w:color w:val="000000"/>
                <w:sz w:val="18"/>
                <w:szCs w:val="18"/>
                <w:bdr w:val="none" w:sz="0" w:space="0" w:color="auto" w:frame="1"/>
                <w:lang w:val="fr-FR"/>
              </w:rPr>
              <w:t xml:space="preserve"> été officiellement</w:t>
            </w:r>
            <w:r w:rsidRPr="00FF6562">
              <w:rPr>
                <w:rFonts w:ascii="Arial" w:eastAsia="Calibri" w:hAnsi="Arial" w:cs="Arial"/>
                <w:color w:val="000000"/>
                <w:sz w:val="18"/>
                <w:szCs w:val="18"/>
                <w:vertAlign w:val="superscript"/>
              </w:rPr>
              <w:footnoteReference w:id="31"/>
            </w:r>
            <w:r w:rsidRPr="00865DA5">
              <w:rPr>
                <w:rFonts w:ascii="Arial" w:eastAsia="Arial" w:hAnsi="Arial" w:cs="Arial"/>
                <w:color w:val="000000"/>
                <w:sz w:val="18"/>
                <w:szCs w:val="18"/>
                <w:bdr w:val="none" w:sz="0" w:space="0" w:color="auto" w:frame="1"/>
                <w:lang w:val="fr-FR"/>
              </w:rPr>
              <w:t xml:space="preserve"> adoptée et/ou reconnue comme une priorité élevée</w:t>
            </w:r>
          </w:p>
        </w:tc>
        <w:tc>
          <w:tcPr>
            <w:tcW w:w="2332"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criminalité relative à l’IKB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w:t>
            </w:r>
            <w:r w:rsidRPr="00865DA5">
              <w:rPr>
                <w:rFonts w:ascii="Arial" w:eastAsia="Arial" w:hAnsi="Arial" w:cs="Arial"/>
                <w:b/>
                <w:bCs/>
                <w:color w:val="000000"/>
                <w:sz w:val="18"/>
                <w:szCs w:val="18"/>
                <w:bdr w:val="none" w:sz="0" w:space="0" w:color="auto" w:frame="1"/>
                <w:lang w:val="fr-FR"/>
              </w:rPr>
              <w:t>généralement</w:t>
            </w:r>
            <w:r w:rsidRPr="00865DA5">
              <w:rPr>
                <w:rFonts w:ascii="Arial" w:eastAsia="Arial" w:hAnsi="Arial" w:cs="Arial"/>
                <w:color w:val="000000"/>
                <w:sz w:val="18"/>
                <w:szCs w:val="18"/>
                <w:bdr w:val="none" w:sz="0" w:space="0" w:color="auto" w:frame="1"/>
                <w:lang w:val="fr-FR"/>
              </w:rPr>
              <w:t xml:space="preserve"> identifiée comme une priorité élevée pour les agences d’application des lois et de lutte contre la fraude</w:t>
            </w:r>
          </w:p>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 </w:t>
            </w: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A été officiellement adoptée et/ou reconnue comme une priorité élevée</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eastAsia="Calibri" w:hAnsi="Arial" w:cs="Arial"/>
          <w:b/>
          <w:bCs/>
          <w:color w:val="000000"/>
          <w:sz w:val="23"/>
          <w:szCs w:val="23"/>
          <w:lang w:val="fr-FR"/>
        </w:rPr>
      </w:pPr>
      <w:r w:rsidRPr="00865DA5">
        <w:rPr>
          <w:rFonts w:ascii="Arial" w:eastAsia="Calibri" w:hAnsi="Arial" w:cs="Arial"/>
          <w:b/>
          <w:bCs/>
          <w:color w:val="000000"/>
          <w:sz w:val="23"/>
          <w:szCs w:val="23"/>
          <w:lang w:val="fr-FR"/>
        </w:rPr>
        <w:br w:type="page"/>
      </w:r>
    </w:p>
    <w:p w:rsidR="00BD5B7F" w:rsidRPr="00865DA5" w:rsidRDefault="00BD5B7F" w:rsidP="00BD5B7F">
      <w:pPr>
        <w:keepNext/>
        <w:keepLines/>
        <w:spacing w:after="120"/>
        <w:outlineLvl w:val="3"/>
        <w:rPr>
          <w:rFonts w:ascii="Arial" w:hAnsi="Arial" w:cs="Arial"/>
          <w:b/>
          <w:iCs/>
          <w:color w:val="000000"/>
          <w:sz w:val="28"/>
          <w:szCs w:val="22"/>
          <w:lang w:val="fr-FR"/>
        </w:rPr>
      </w:pPr>
      <w:bookmarkStart w:id="74" w:name="_Toc491245252"/>
      <w:bookmarkStart w:id="75" w:name="_Toc486539589"/>
      <w:r w:rsidRPr="00865DA5">
        <w:rPr>
          <w:rFonts w:ascii="Arial" w:eastAsia="Arial" w:hAnsi="Arial" w:cs="Arial"/>
          <w:b/>
          <w:bCs/>
          <w:iCs/>
          <w:color w:val="000000"/>
          <w:sz w:val="28"/>
          <w:szCs w:val="28"/>
          <w:bdr w:val="none" w:sz="0" w:space="0" w:color="auto" w:frame="1"/>
          <w:lang w:val="fr-FR"/>
        </w:rPr>
        <w:lastRenderedPageBreak/>
        <w:t>16. Parties prenantes et élaboration des politiques</w:t>
      </w:r>
      <w:bookmarkEnd w:id="74"/>
      <w:bookmarkEnd w:id="75"/>
    </w:p>
    <w:p w:rsidR="00BD5B7F" w:rsidRPr="00865DA5" w:rsidRDefault="00BD5B7F" w:rsidP="00BD5B7F">
      <w:pPr>
        <w:jc w:val="both"/>
        <w:rPr>
          <w:rFonts w:ascii="Arial" w:eastAsia="Arial" w:hAnsi="Arial" w:cs="Arial"/>
          <w:color w:val="000000"/>
          <w:sz w:val="22"/>
          <w:szCs w:val="22"/>
          <w:bdr w:val="none" w:sz="0" w:space="0" w:color="auto" w:frame="1"/>
          <w:lang w:val="fr-FR"/>
        </w:rPr>
      </w:pPr>
      <w:r w:rsidRPr="00865DA5">
        <w:rPr>
          <w:rFonts w:ascii="Arial" w:eastAsia="Arial" w:hAnsi="Arial" w:cs="Arial"/>
          <w:color w:val="000000"/>
          <w:sz w:val="22"/>
          <w:szCs w:val="22"/>
          <w:bdr w:val="none" w:sz="0" w:space="0" w:color="auto" w:frame="1"/>
          <w:lang w:val="fr-FR"/>
        </w:rPr>
        <w:t>Le niveau de participation des parties prenantes à l’élaboration des politiques relatives à l’IKB.</w:t>
      </w:r>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 xml:space="preserve"> </w:t>
      </w: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Dans quelle mesure et avec quels moyens les parties prenantes</w:t>
      </w:r>
      <w:r w:rsidRPr="00FF6562">
        <w:rPr>
          <w:rFonts w:ascii="Arial" w:eastAsia="Calibri" w:hAnsi="Arial" w:cs="Arial"/>
          <w:b/>
          <w:bCs/>
          <w:i/>
          <w:iCs/>
          <w:color w:val="000000"/>
          <w:sz w:val="22"/>
          <w:szCs w:val="22"/>
          <w:vertAlign w:val="superscript"/>
        </w:rPr>
        <w:footnoteReference w:id="32"/>
      </w:r>
      <w:r w:rsidRPr="00865DA5">
        <w:rPr>
          <w:rFonts w:ascii="Arial" w:eastAsia="Arial" w:hAnsi="Arial" w:cs="Arial"/>
          <w:b/>
          <w:bCs/>
          <w:i/>
          <w:iCs/>
          <w:color w:val="000000"/>
          <w:sz w:val="22"/>
          <w:szCs w:val="22"/>
          <w:bdr w:val="none" w:sz="0" w:space="0" w:color="auto" w:frame="1"/>
          <w:lang w:val="fr-FR"/>
        </w:rPr>
        <w:t xml:space="preserve"> participent à l’élaboration des politiques de lutte contre l’IKB ?</w:t>
      </w:r>
    </w:p>
    <w:p w:rsidR="00BD5B7F" w:rsidRPr="00865DA5" w:rsidRDefault="00BD5B7F" w:rsidP="00BD5B7F">
      <w:pPr>
        <w:jc w:val="both"/>
        <w:rPr>
          <w:rFonts w:ascii="Arial" w:eastAsia="Calibri" w:hAnsi="Arial" w:cs="Arial"/>
          <w:b/>
          <w:bCs/>
          <w:i/>
          <w:iCs/>
          <w:color w:val="000000"/>
          <w:sz w:val="22"/>
          <w:szCs w:val="18"/>
          <w:lang w:val="fr-FR"/>
        </w:rPr>
      </w:pPr>
    </w:p>
    <w:p w:rsidR="00BD5B7F" w:rsidRPr="00FF6562" w:rsidRDefault="00BD5B7F" w:rsidP="00BD5B7F">
      <w:pPr>
        <w:spacing w:after="120"/>
        <w:jc w:val="both"/>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38"/>
        <w:gridCol w:w="2338"/>
        <w:gridCol w:w="42"/>
        <w:gridCol w:w="2333"/>
        <w:gridCol w:w="48"/>
        <w:gridCol w:w="2328"/>
        <w:gridCol w:w="53"/>
      </w:tblGrid>
      <w:tr w:rsidR="00BD5B7F" w:rsidRPr="00FF6562" w:rsidTr="000E5961">
        <w:trPr>
          <w:gridAfter w:val="1"/>
          <w:wAfter w:w="53" w:type="dxa"/>
          <w:trHeight w:val="485"/>
        </w:trPr>
        <w:tc>
          <w:tcPr>
            <w:tcW w:w="2341"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color w:val="000000"/>
                <w:sz w:val="22"/>
              </w:rPr>
            </w:pPr>
            <w:r w:rsidRPr="00FF6562">
              <w:rPr>
                <w:rFonts w:ascii="Arial" w:eastAsia="Calibri" w:hAnsi="Arial" w:cs="Arial"/>
                <w:b/>
                <w:bCs/>
                <w:color w:val="000000"/>
                <w:sz w:val="22"/>
              </w:rPr>
              <w:t xml:space="preserve">0 </w:t>
            </w:r>
            <w:r w:rsidRPr="00FF6562">
              <w:rPr>
                <w:rFonts w:ascii="Arial" w:eastAsia="Arial" w:hAnsi="Arial" w:cs="Arial"/>
                <w:color w:val="000000"/>
                <w:sz w:val="22"/>
                <w:szCs w:val="22"/>
              </w:rPr>
              <w:t>􀜆</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rPr>
            </w:pPr>
            <w:r w:rsidRPr="00FF6562">
              <w:rPr>
                <w:rFonts w:ascii="Arial" w:eastAsia="Calibri" w:hAnsi="Arial" w:cs="Arial"/>
                <w:b/>
                <w:bCs/>
                <w:color w:val="000000"/>
                <w:sz w:val="22"/>
                <w:szCs w:val="22"/>
              </w:rPr>
              <w:t>1</w:t>
            </w:r>
            <w:r w:rsidRPr="00FF6562">
              <w:rPr>
                <w:rFonts w:ascii="Arial" w:eastAsia="Calibri" w:hAnsi="Arial" w:cs="Arial"/>
                <w:b/>
                <w:bCs/>
                <w:color w:val="000000"/>
                <w:sz w:val="22"/>
              </w:rPr>
              <w:t xml:space="preserve"> </w:t>
            </w:r>
            <w:r w:rsidRPr="00FF6562">
              <w:rPr>
                <w:rFonts w:ascii="Arial" w:eastAsia="Arial" w:hAnsi="Arial" w:cs="Arial"/>
                <w:color w:val="000000"/>
                <w:sz w:val="22"/>
                <w:szCs w:val="22"/>
              </w:rPr>
              <w:t>􀜆</w:t>
            </w:r>
          </w:p>
        </w:tc>
        <w:tc>
          <w:tcPr>
            <w:tcW w:w="2375"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rPr>
            </w:pPr>
            <w:r w:rsidRPr="00FF6562">
              <w:rPr>
                <w:rFonts w:ascii="Arial" w:eastAsia="Calibri" w:hAnsi="Arial" w:cs="Arial"/>
                <w:b/>
                <w:bCs/>
                <w:color w:val="000000"/>
                <w:sz w:val="22"/>
                <w:szCs w:val="22"/>
              </w:rPr>
              <w:t>2</w:t>
            </w:r>
            <w:r w:rsidRPr="00FF6562">
              <w:rPr>
                <w:rFonts w:ascii="Arial" w:eastAsia="Calibri" w:hAnsi="Arial" w:cs="Arial"/>
                <w:b/>
                <w:bCs/>
                <w:color w:val="000000"/>
                <w:sz w:val="22"/>
              </w:rPr>
              <w:t xml:space="preserve"> </w:t>
            </w:r>
            <w:r w:rsidRPr="00FF6562">
              <w:rPr>
                <w:rFonts w:ascii="Arial" w:eastAsia="Arial" w:hAnsi="Arial" w:cs="Arial"/>
                <w:color w:val="000000"/>
                <w:sz w:val="22"/>
                <w:szCs w:val="22"/>
              </w:rPr>
              <w:t>􀜆</w:t>
            </w:r>
          </w:p>
        </w:tc>
        <w:tc>
          <w:tcPr>
            <w:tcW w:w="2376" w:type="dxa"/>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trHeight w:val="5876"/>
        </w:trPr>
        <w:tc>
          <w:tcPr>
            <w:tcW w:w="2379"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La participation des parties prenantes </w:t>
            </w:r>
            <w:r w:rsidRPr="00865DA5">
              <w:rPr>
                <w:rFonts w:ascii="Arial" w:eastAsia="Arial" w:hAnsi="Arial" w:cs="Arial"/>
                <w:b/>
                <w:bCs/>
                <w:color w:val="000000"/>
                <w:sz w:val="18"/>
                <w:szCs w:val="18"/>
                <w:bdr w:val="none" w:sz="0" w:space="0" w:color="auto" w:frame="1"/>
                <w:lang w:val="fr-FR"/>
              </w:rPr>
              <w:t>aux décisions politiques concernant l’IKB</w:t>
            </w:r>
            <w:r w:rsidRPr="00865DA5">
              <w:rPr>
                <w:rFonts w:ascii="Arial" w:eastAsia="Arial" w:hAnsi="Arial" w:cs="Arial"/>
                <w:color w:val="000000"/>
                <w:sz w:val="18"/>
                <w:szCs w:val="18"/>
                <w:bdr w:val="none" w:sz="0" w:space="0" w:color="auto" w:frame="1"/>
                <w:lang w:val="fr-FR"/>
              </w:rPr>
              <w:t> :</w:t>
            </w:r>
          </w:p>
          <w:p w:rsidR="00BD5B7F" w:rsidRPr="00865DA5" w:rsidRDefault="00BD5B7F" w:rsidP="000E5961">
            <w:pPr>
              <w:rPr>
                <w:rFonts w:ascii="Arial" w:eastAsia="Calibri" w:hAnsi="Arial" w:cs="Arial"/>
                <w:b/>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b/>
                <w:bCs/>
                <w:color w:val="000000"/>
                <w:sz w:val="18"/>
                <w:szCs w:val="18"/>
                <w:bdr w:val="none" w:sz="0" w:space="0" w:color="auto" w:frame="1"/>
                <w:lang w:val="fr-FR"/>
              </w:rPr>
              <w:t>N’est pas envisagée ou prévue dans la législation nationale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b/>
                <w:bCs/>
                <w:color w:val="000000"/>
                <w:sz w:val="18"/>
                <w:szCs w:val="18"/>
                <w:bdr w:val="none" w:sz="0" w:space="0" w:color="auto" w:frame="1"/>
                <w:lang w:val="fr-FR"/>
              </w:rPr>
              <w:t>Est</w:t>
            </w:r>
            <w:r w:rsidRPr="00865DA5">
              <w:rPr>
                <w:rFonts w:ascii="Arial" w:eastAsia="Arial" w:hAnsi="Arial" w:cs="Arial"/>
                <w:color w:val="000000"/>
                <w:sz w:val="18"/>
                <w:szCs w:val="18"/>
                <w:bdr w:val="none" w:sz="0" w:space="0" w:color="auto" w:frame="1"/>
                <w:lang w:val="fr-FR"/>
              </w:rPr>
              <w:t xml:space="preserve"> limitée et informelle, </w:t>
            </w:r>
            <w:r w:rsidRPr="00865DA5">
              <w:rPr>
                <w:rFonts w:ascii="Arial" w:eastAsia="Arial" w:hAnsi="Arial" w:cs="Arial"/>
                <w:b/>
                <w:bCs/>
                <w:color w:val="000000"/>
                <w:sz w:val="18"/>
                <w:szCs w:val="18"/>
                <w:bdr w:val="none" w:sz="0" w:space="0" w:color="auto" w:frame="1"/>
                <w:lang w:val="fr-FR"/>
              </w:rPr>
              <w:t>chaque fois qu’elle a lieu de manière ponctuelle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b/>
                <w:bCs/>
                <w:color w:val="000000"/>
                <w:sz w:val="18"/>
                <w:szCs w:val="18"/>
                <w:bdr w:val="none" w:sz="0" w:space="0" w:color="auto" w:frame="1"/>
                <w:lang w:val="fr-FR"/>
              </w:rPr>
              <w:t xml:space="preserve">Est </w:t>
            </w:r>
            <w:r w:rsidRPr="00865DA5">
              <w:rPr>
                <w:rFonts w:ascii="Arial" w:eastAsia="Arial" w:hAnsi="Arial" w:cs="Arial"/>
                <w:color w:val="000000"/>
                <w:sz w:val="18"/>
                <w:szCs w:val="18"/>
                <w:bdr w:val="none" w:sz="0" w:space="0" w:color="auto" w:frame="1"/>
                <w:lang w:val="fr-FR"/>
              </w:rPr>
              <w:t xml:space="preserve">largement limitée à </w:t>
            </w:r>
            <w:r w:rsidRPr="00865DA5">
              <w:rPr>
                <w:rFonts w:ascii="Arial" w:eastAsia="Arial" w:hAnsi="Arial" w:cs="Arial"/>
                <w:b/>
                <w:bCs/>
                <w:color w:val="000000"/>
                <w:sz w:val="18"/>
                <w:szCs w:val="18"/>
                <w:bdr w:val="none" w:sz="0" w:space="0" w:color="auto" w:frame="1"/>
                <w:lang w:val="fr-FR"/>
              </w:rPr>
              <w:t>la fourniture</w:t>
            </w:r>
            <w:r w:rsidRPr="00865DA5">
              <w:rPr>
                <w:rFonts w:ascii="Arial" w:eastAsia="Arial" w:hAnsi="Arial" w:cs="Arial"/>
                <w:color w:val="000000"/>
                <w:sz w:val="18"/>
                <w:szCs w:val="18"/>
                <w:bdr w:val="none" w:sz="0" w:space="0" w:color="auto" w:frame="1"/>
                <w:lang w:val="fr-FR"/>
              </w:rPr>
              <w:t xml:space="preserve"> d’informations de base sur les politiques qui </w:t>
            </w:r>
            <w:r w:rsidRPr="00865DA5">
              <w:rPr>
                <w:rFonts w:ascii="Arial" w:eastAsia="Arial" w:hAnsi="Arial" w:cs="Arial"/>
                <w:b/>
                <w:bCs/>
                <w:color w:val="000000"/>
                <w:sz w:val="18"/>
                <w:szCs w:val="18"/>
                <w:bdr w:val="none" w:sz="0" w:space="0" w:color="auto" w:frame="1"/>
                <w:lang w:val="fr-FR"/>
              </w:rPr>
              <w:t>sont en cours</w:t>
            </w:r>
            <w:r w:rsidRPr="00865DA5">
              <w:rPr>
                <w:rFonts w:ascii="Arial" w:eastAsia="Arial" w:hAnsi="Arial" w:cs="Arial"/>
                <w:color w:val="000000"/>
                <w:sz w:val="18"/>
                <w:szCs w:val="18"/>
                <w:bdr w:val="none" w:sz="0" w:space="0" w:color="auto" w:frame="1"/>
                <w:lang w:val="fr-FR"/>
              </w:rPr>
              <w:t xml:space="preserve"> d’élaboration</w:t>
            </w:r>
          </w:p>
        </w:tc>
        <w:tc>
          <w:tcPr>
            <w:tcW w:w="2380"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La participation des parties prenantes </w:t>
            </w:r>
            <w:r w:rsidRPr="00865DA5">
              <w:rPr>
                <w:rFonts w:ascii="Arial" w:eastAsia="Arial" w:hAnsi="Arial" w:cs="Arial"/>
                <w:b/>
                <w:bCs/>
                <w:color w:val="000000"/>
                <w:sz w:val="18"/>
                <w:szCs w:val="18"/>
                <w:bdr w:val="none" w:sz="0" w:space="0" w:color="auto" w:frame="1"/>
                <w:lang w:val="fr-FR"/>
              </w:rPr>
              <w:t>aux décisions politiques concernant l’IKB</w:t>
            </w:r>
            <w:r w:rsidRPr="00865DA5">
              <w:rPr>
                <w:rFonts w:ascii="Arial" w:eastAsia="Arial" w:hAnsi="Arial" w:cs="Arial"/>
                <w:color w:val="000000"/>
                <w:sz w:val="18"/>
                <w:szCs w:val="18"/>
                <w:bdr w:val="none" w:sz="0" w:space="0" w:color="auto" w:frame="1"/>
                <w:lang w:val="fr-FR"/>
              </w:rPr>
              <w:t> :</w:t>
            </w:r>
          </w:p>
          <w:p w:rsidR="00BD5B7F" w:rsidRPr="00865DA5" w:rsidRDefault="00BD5B7F" w:rsidP="000E5961">
            <w:pPr>
              <w:rPr>
                <w:rFonts w:ascii="Arial" w:eastAsia="Calibri" w:hAnsi="Arial" w:cs="Arial"/>
                <w:b/>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b/>
                <w:bCs/>
                <w:color w:val="000000"/>
                <w:sz w:val="18"/>
                <w:szCs w:val="18"/>
                <w:bdr w:val="none" w:sz="0" w:space="0" w:color="auto" w:frame="1"/>
                <w:lang w:val="fr-FR"/>
              </w:rPr>
              <w:t xml:space="preserve">Est envisagée ou prévue dans la législation nationale, </w:t>
            </w:r>
            <w:r w:rsidRPr="00865DA5">
              <w:rPr>
                <w:rFonts w:ascii="Arial" w:eastAsia="Arial" w:hAnsi="Arial" w:cs="Arial"/>
                <w:b/>
                <w:bCs/>
                <w:color w:val="000000"/>
                <w:sz w:val="18"/>
                <w:szCs w:val="18"/>
                <w:u w:val="single"/>
                <w:bdr w:val="none" w:sz="0" w:space="0" w:color="auto" w:frame="1"/>
                <w:lang w:val="fr-FR"/>
              </w:rPr>
              <w:t>mais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limitée à la consultation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réalisée à travers des réunions ponctuelles car aucun comité formel n’est établi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réalisée à travers des consultations avec des universitaires à travers l’agence nationale chargée de la faune sauvage (ou d’un organisme technique similaire) </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p>
        </w:tc>
        <w:tc>
          <w:tcPr>
            <w:tcW w:w="2381"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La participation des parties prenantes </w:t>
            </w:r>
            <w:r w:rsidRPr="00865DA5">
              <w:rPr>
                <w:rFonts w:ascii="Arial" w:eastAsia="Arial" w:hAnsi="Arial" w:cs="Arial"/>
                <w:b/>
                <w:bCs/>
                <w:color w:val="000000"/>
                <w:sz w:val="18"/>
                <w:szCs w:val="18"/>
                <w:bdr w:val="none" w:sz="0" w:space="0" w:color="auto" w:frame="1"/>
                <w:lang w:val="fr-FR"/>
              </w:rPr>
              <w:t>aux décisions politiques concernant l’IKB</w:t>
            </w:r>
            <w:r w:rsidRPr="00865DA5">
              <w:rPr>
                <w:rFonts w:ascii="Arial" w:eastAsia="Arial" w:hAnsi="Arial" w:cs="Arial"/>
                <w:color w:val="000000"/>
                <w:sz w:val="18"/>
                <w:szCs w:val="18"/>
                <w:bdr w:val="none" w:sz="0" w:space="0" w:color="auto" w:frame="1"/>
                <w:lang w:val="fr-FR"/>
              </w:rPr>
              <w:t> :</w:t>
            </w:r>
          </w:p>
          <w:p w:rsidR="00BD5B7F" w:rsidRPr="00865DA5" w:rsidRDefault="00BD5B7F" w:rsidP="000E5961">
            <w:pPr>
              <w:rPr>
                <w:rFonts w:ascii="Arial" w:eastAsia="Calibri" w:hAnsi="Arial" w:cs="Arial"/>
                <w:b/>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b/>
                <w:bCs/>
                <w:color w:val="000000"/>
                <w:sz w:val="18"/>
                <w:szCs w:val="18"/>
                <w:bdr w:val="none" w:sz="0" w:space="0" w:color="auto" w:frame="1"/>
                <w:lang w:val="fr-FR"/>
              </w:rPr>
              <w:t xml:space="preserve">Est envisagée ou prévue dans la législation nationale, </w:t>
            </w:r>
            <w:r w:rsidRPr="00865DA5">
              <w:rPr>
                <w:rFonts w:ascii="Arial" w:eastAsia="Arial" w:hAnsi="Arial" w:cs="Arial"/>
                <w:b/>
                <w:bCs/>
                <w:color w:val="000000"/>
                <w:sz w:val="18"/>
                <w:szCs w:val="18"/>
                <w:u w:val="single"/>
                <w:bdr w:val="none" w:sz="0" w:space="0" w:color="auto" w:frame="1"/>
                <w:lang w:val="fr-FR"/>
              </w:rPr>
              <w:t>et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Assure que leurs contributions sont traitées comme des avis et sont prises en compte dans le processus d’élaboration des politiques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Est réalisé à travers des structures et comités formels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b/>
                <w:bCs/>
                <w:color w:val="000000"/>
                <w:sz w:val="18"/>
                <w:szCs w:val="18"/>
                <w:bdr w:val="none" w:sz="0" w:space="0" w:color="auto" w:frame="1"/>
                <w:lang w:val="fr-FR"/>
              </w:rPr>
              <w:t>Mais est cependant</w:t>
            </w:r>
            <w:r w:rsidRPr="00865DA5">
              <w:rPr>
                <w:rFonts w:ascii="Arial" w:eastAsia="Arial" w:hAnsi="Arial" w:cs="Arial"/>
                <w:color w:val="000000"/>
                <w:sz w:val="18"/>
                <w:szCs w:val="18"/>
                <w:bdr w:val="none" w:sz="0" w:space="0" w:color="auto" w:frame="1"/>
                <w:lang w:val="fr-FR"/>
              </w:rPr>
              <w:t xml:space="preserve"> incomplète car un ou plusieurs groupes de parties prenantes ne sont pas impliqués ou ne veulent pas participer</w:t>
            </w:r>
          </w:p>
        </w:tc>
        <w:tc>
          <w:tcPr>
            <w:tcW w:w="2381"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La participation des parties prenantes </w:t>
            </w:r>
            <w:r w:rsidRPr="00865DA5">
              <w:rPr>
                <w:rFonts w:ascii="Arial" w:eastAsia="Arial" w:hAnsi="Arial" w:cs="Arial"/>
                <w:b/>
                <w:bCs/>
                <w:color w:val="000000"/>
                <w:sz w:val="18"/>
                <w:szCs w:val="18"/>
                <w:bdr w:val="none" w:sz="0" w:space="0" w:color="auto" w:frame="1"/>
                <w:lang w:val="fr-FR"/>
              </w:rPr>
              <w:t>aux décisions politiques concernant l’IKB</w:t>
            </w:r>
            <w:r w:rsidRPr="00865DA5">
              <w:rPr>
                <w:rFonts w:ascii="Arial" w:eastAsia="Arial" w:hAnsi="Arial" w:cs="Arial"/>
                <w:color w:val="000000"/>
                <w:sz w:val="18"/>
                <w:szCs w:val="18"/>
                <w:bdr w:val="none" w:sz="0" w:space="0" w:color="auto" w:frame="1"/>
                <w:lang w:val="fr-FR"/>
              </w:rPr>
              <w:t> :</w:t>
            </w:r>
          </w:p>
          <w:p w:rsidR="00BD5B7F" w:rsidRPr="00865DA5" w:rsidRDefault="00BD5B7F" w:rsidP="000E5961">
            <w:pPr>
              <w:rPr>
                <w:rFonts w:ascii="Arial" w:eastAsia="Calibri" w:hAnsi="Arial" w:cs="Arial"/>
                <w:b/>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b/>
                <w:bCs/>
                <w:color w:val="000000"/>
                <w:sz w:val="18"/>
                <w:szCs w:val="18"/>
                <w:bdr w:val="none" w:sz="0" w:space="0" w:color="auto" w:frame="1"/>
                <w:lang w:val="fr-FR"/>
              </w:rPr>
              <w:t xml:space="preserve">Est envisagée ou prévue dans la législation nationale, </w:t>
            </w:r>
            <w:r w:rsidRPr="00865DA5">
              <w:rPr>
                <w:rFonts w:ascii="Arial" w:eastAsia="Arial" w:hAnsi="Arial" w:cs="Arial"/>
                <w:b/>
                <w:bCs/>
                <w:color w:val="000000"/>
                <w:sz w:val="18"/>
                <w:szCs w:val="18"/>
                <w:u w:val="single"/>
                <w:bdr w:val="none" w:sz="0" w:space="0" w:color="auto" w:frame="1"/>
                <w:lang w:val="fr-FR"/>
              </w:rPr>
              <w:t>et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Assure qu’elles sont </w:t>
            </w:r>
            <w:r w:rsidRPr="00865DA5">
              <w:rPr>
                <w:rFonts w:ascii="Arial" w:eastAsia="Arial" w:hAnsi="Arial" w:cs="Arial"/>
                <w:b/>
                <w:bCs/>
                <w:color w:val="000000"/>
                <w:sz w:val="18"/>
                <w:szCs w:val="18"/>
                <w:bdr w:val="none" w:sz="0" w:space="0" w:color="auto" w:frame="1"/>
                <w:lang w:val="fr-FR"/>
              </w:rPr>
              <w:t>pleinement consultées sur les changements de politique clés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Est assurée par des structures formelles et des comités qui se rencontrent avec une fréquence appropriée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complète, toutes les </w:t>
            </w:r>
            <w:r w:rsidRPr="00865DA5">
              <w:rPr>
                <w:rFonts w:ascii="Arial" w:eastAsia="Arial" w:hAnsi="Arial" w:cs="Arial"/>
                <w:b/>
                <w:bCs/>
                <w:color w:val="000000"/>
                <w:sz w:val="18"/>
                <w:szCs w:val="18"/>
                <w:bdr w:val="none" w:sz="0" w:space="0" w:color="auto" w:frame="1"/>
                <w:lang w:val="fr-FR"/>
              </w:rPr>
              <w:t>principales</w:t>
            </w:r>
            <w:r w:rsidRPr="00865DA5">
              <w:rPr>
                <w:rFonts w:ascii="Arial" w:eastAsia="Arial" w:hAnsi="Arial" w:cs="Arial"/>
                <w:color w:val="000000"/>
                <w:sz w:val="18"/>
                <w:szCs w:val="18"/>
                <w:bdr w:val="none" w:sz="0" w:space="0" w:color="auto" w:frame="1"/>
                <w:lang w:val="fr-FR"/>
              </w:rPr>
              <w:t xml:space="preserve"> parties prenantes étant impliquées</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eastAsia="Calibri" w:hAnsi="Arial" w:cs="Arial"/>
          <w:b/>
          <w:bCs/>
          <w:color w:val="000000"/>
          <w:sz w:val="23"/>
          <w:szCs w:val="23"/>
          <w:lang w:val="fr-FR"/>
        </w:rPr>
      </w:pPr>
      <w:r w:rsidRPr="00865DA5">
        <w:rPr>
          <w:rFonts w:ascii="Arial" w:eastAsia="Calibri" w:hAnsi="Arial" w:cs="Arial"/>
          <w:color w:val="000000"/>
          <w:sz w:val="32"/>
          <w:szCs w:val="32"/>
          <w:lang w:val="fr-FR"/>
        </w:rPr>
        <w:br w:type="page"/>
      </w:r>
    </w:p>
    <w:p w:rsidR="00BD5B7F" w:rsidRPr="00865DA5" w:rsidRDefault="00BD5B7F" w:rsidP="00BD5B7F">
      <w:pPr>
        <w:keepNext/>
        <w:keepLines/>
        <w:spacing w:after="120"/>
        <w:outlineLvl w:val="3"/>
        <w:rPr>
          <w:rFonts w:ascii="Arial" w:hAnsi="Arial" w:cs="Arial"/>
          <w:b/>
          <w:i/>
          <w:iCs/>
          <w:color w:val="000000"/>
          <w:sz w:val="18"/>
          <w:szCs w:val="18"/>
          <w:lang w:val="fr-FR"/>
        </w:rPr>
      </w:pPr>
      <w:bookmarkStart w:id="76" w:name="_Toc491245253"/>
      <w:bookmarkStart w:id="77" w:name="_Toc486539590"/>
      <w:r w:rsidRPr="00865DA5">
        <w:rPr>
          <w:rFonts w:ascii="Arial" w:eastAsia="Arial" w:hAnsi="Arial" w:cs="Arial"/>
          <w:b/>
          <w:bCs/>
          <w:iCs/>
          <w:color w:val="000000"/>
          <w:sz w:val="28"/>
          <w:szCs w:val="28"/>
          <w:bdr w:val="none" w:sz="0" w:space="0" w:color="auto" w:frame="1"/>
          <w:lang w:val="fr-FR"/>
        </w:rPr>
        <w:lastRenderedPageBreak/>
        <w:t>17. Personnel et recrutement</w:t>
      </w:r>
      <w:r w:rsidRPr="00FF6562">
        <w:rPr>
          <w:rFonts w:ascii="Arial" w:hAnsi="Arial" w:cs="Arial"/>
          <w:b/>
          <w:iCs/>
          <w:color w:val="000000"/>
          <w:sz w:val="28"/>
          <w:szCs w:val="22"/>
          <w:vertAlign w:val="superscript"/>
        </w:rPr>
        <w:footnoteReference w:id="33"/>
      </w:r>
      <w:bookmarkEnd w:id="76"/>
      <w:bookmarkEnd w:id="77"/>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Le niveau des ressources humaines</w:t>
      </w:r>
      <w:r w:rsidRPr="00FF6562">
        <w:rPr>
          <w:rFonts w:ascii="Arial" w:eastAsia="Calibri" w:hAnsi="Arial" w:cs="Arial"/>
          <w:color w:val="000000"/>
          <w:sz w:val="22"/>
          <w:szCs w:val="18"/>
          <w:vertAlign w:val="superscript"/>
        </w:rPr>
        <w:footnoteReference w:id="34"/>
      </w:r>
      <w:r w:rsidRPr="00865DA5">
        <w:rPr>
          <w:rFonts w:ascii="Arial" w:eastAsia="Arial" w:hAnsi="Arial" w:cs="Arial"/>
          <w:color w:val="000000"/>
          <w:sz w:val="22"/>
          <w:szCs w:val="22"/>
          <w:bdr w:val="none" w:sz="0" w:space="0" w:color="auto" w:frame="1"/>
          <w:lang w:val="fr-FR"/>
        </w:rPr>
        <w:t xml:space="preserve"> dans les agences nationales de lutte contre la fraude et d’application des lois pour lutter contre la criminalité liée aux espèces sauvages.</w:t>
      </w:r>
    </w:p>
    <w:p w:rsidR="00BD5B7F" w:rsidRPr="00865DA5" w:rsidRDefault="00BD5B7F" w:rsidP="00BD5B7F">
      <w:pPr>
        <w:jc w:val="both"/>
        <w:rPr>
          <w:rFonts w:ascii="Arial" w:eastAsia="Calibri" w:hAnsi="Arial" w:cs="Arial"/>
          <w:b/>
          <w:bCs/>
          <w:i/>
          <w:iCs/>
          <w:color w:val="000000"/>
          <w:sz w:val="22"/>
          <w:szCs w:val="18"/>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De quelles ressources humaines disposent les agences nationales de lutte contre la fraude et d’application des lois pour combattre l’IKB ?</w:t>
      </w:r>
    </w:p>
    <w:p w:rsidR="00BD5B7F" w:rsidRPr="00865DA5" w:rsidRDefault="00BD5B7F" w:rsidP="00BD5B7F">
      <w:pPr>
        <w:jc w:val="both"/>
        <w:rPr>
          <w:rFonts w:ascii="Arial" w:eastAsia="Calibri" w:hAnsi="Arial" w:cs="Arial"/>
          <w:i/>
          <w:iCs/>
          <w:color w:val="000000"/>
          <w:sz w:val="22"/>
          <w:szCs w:val="18"/>
          <w:lang w:val="fr-FR"/>
        </w:rPr>
      </w:pPr>
    </w:p>
    <w:p w:rsidR="00BD5B7F" w:rsidRPr="00FF6562" w:rsidRDefault="00BD5B7F" w:rsidP="00BD5B7F">
      <w:pPr>
        <w:spacing w:after="120"/>
        <w:jc w:val="both"/>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18"/>
        <w:gridCol w:w="2300"/>
        <w:gridCol w:w="20"/>
        <w:gridCol w:w="2313"/>
        <w:gridCol w:w="6"/>
        <w:gridCol w:w="2320"/>
      </w:tblGrid>
      <w:tr w:rsidR="00BD5B7F" w:rsidRPr="00FF6562" w:rsidTr="000E5961">
        <w:tc>
          <w:tcPr>
            <w:tcW w:w="2310"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2"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3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30" w:type="dxa"/>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cantSplit/>
          <w:trHeight w:val="2346"/>
        </w:trPr>
        <w:tc>
          <w:tcPr>
            <w:tcW w:w="2328"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agences de lutte contre la fraude</w:t>
            </w:r>
            <w:r w:rsidRPr="00865DA5">
              <w:rPr>
                <w:rFonts w:ascii="Arial" w:eastAsia="Arial" w:hAnsi="Arial" w:cs="Arial"/>
                <w:color w:val="000000"/>
                <w:sz w:val="22"/>
                <w:szCs w:val="22"/>
                <w:bdr w:val="none" w:sz="0" w:space="0" w:color="auto" w:frame="1"/>
                <w:lang w:val="fr-FR"/>
              </w:rPr>
              <w:t xml:space="preserve"> </w:t>
            </w:r>
            <w:r w:rsidRPr="00865DA5">
              <w:rPr>
                <w:rFonts w:ascii="Arial" w:eastAsia="Arial" w:hAnsi="Arial" w:cs="Arial"/>
                <w:color w:val="000000"/>
                <w:sz w:val="18"/>
                <w:szCs w:val="18"/>
                <w:bdr w:val="none" w:sz="0" w:space="0" w:color="auto" w:frame="1"/>
                <w:lang w:val="fr-FR"/>
              </w:rPr>
              <w:t>et d’application des lois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w:t>
            </w:r>
            <w:r w:rsidRPr="00865DA5">
              <w:rPr>
                <w:rFonts w:ascii="Arial" w:eastAsia="Arial" w:hAnsi="Arial" w:cs="Arial"/>
                <w:b/>
                <w:bCs/>
                <w:color w:val="000000"/>
                <w:sz w:val="18"/>
                <w:szCs w:val="18"/>
                <w:bdr w:val="none" w:sz="0" w:space="0" w:color="auto" w:frame="1"/>
                <w:lang w:val="fr-FR"/>
              </w:rPr>
              <w:t>significativement</w:t>
            </w:r>
            <w:r w:rsidRPr="00865DA5">
              <w:rPr>
                <w:rFonts w:ascii="Arial" w:eastAsia="Arial" w:hAnsi="Arial" w:cs="Arial"/>
                <w:color w:val="000000"/>
                <w:sz w:val="18"/>
                <w:szCs w:val="18"/>
                <w:bdr w:val="none" w:sz="0" w:space="0" w:color="auto" w:frame="1"/>
                <w:lang w:val="fr-FR"/>
              </w:rPr>
              <w:t xml:space="preserve"> en sous-effectif</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w:t>
            </w:r>
            <w:r w:rsidRPr="00865DA5">
              <w:rPr>
                <w:rFonts w:ascii="Arial" w:eastAsia="Arial" w:hAnsi="Arial" w:cs="Arial"/>
                <w:b/>
                <w:bCs/>
                <w:color w:val="000000"/>
                <w:sz w:val="18"/>
                <w:szCs w:val="18"/>
                <w:bdr w:val="none" w:sz="0" w:space="0" w:color="auto" w:frame="1"/>
                <w:lang w:val="fr-FR"/>
              </w:rPr>
              <w:t>rarement</w:t>
            </w:r>
            <w:r w:rsidRPr="00865DA5">
              <w:rPr>
                <w:rFonts w:ascii="Arial" w:eastAsia="Arial" w:hAnsi="Arial" w:cs="Arial"/>
                <w:color w:val="000000"/>
                <w:sz w:val="18"/>
                <w:szCs w:val="18"/>
                <w:bdr w:val="none" w:sz="0" w:space="0" w:color="auto" w:frame="1"/>
                <w:lang w:val="fr-FR"/>
              </w:rPr>
              <w:t xml:space="preserve"> en mesure de recruter et/ou d’attirer du personnel supplémentaire</w:t>
            </w:r>
          </w:p>
        </w:tc>
        <w:tc>
          <w:tcPr>
            <w:tcW w:w="2324"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agences de lutte contre la fraude</w:t>
            </w:r>
            <w:r w:rsidRPr="00865DA5">
              <w:rPr>
                <w:rFonts w:ascii="Arial" w:eastAsia="Arial" w:hAnsi="Arial" w:cs="Arial"/>
                <w:color w:val="000000"/>
                <w:sz w:val="22"/>
                <w:szCs w:val="22"/>
                <w:bdr w:val="none" w:sz="0" w:space="0" w:color="auto" w:frame="1"/>
                <w:lang w:val="fr-FR"/>
              </w:rPr>
              <w:t xml:space="preserve"> </w:t>
            </w:r>
            <w:r w:rsidRPr="00865DA5">
              <w:rPr>
                <w:rFonts w:ascii="Arial" w:eastAsia="Arial" w:hAnsi="Arial" w:cs="Arial"/>
                <w:color w:val="000000"/>
                <w:sz w:val="18"/>
                <w:szCs w:val="18"/>
                <w:bdr w:val="none" w:sz="0" w:space="0" w:color="auto" w:frame="1"/>
                <w:lang w:val="fr-FR"/>
              </w:rPr>
              <w:t>et d’application des lois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Disposent </w:t>
            </w:r>
            <w:r w:rsidRPr="00865DA5">
              <w:rPr>
                <w:rFonts w:ascii="Arial" w:eastAsia="Arial" w:hAnsi="Arial" w:cs="Arial"/>
                <w:b/>
                <w:bCs/>
                <w:color w:val="000000"/>
                <w:sz w:val="18"/>
                <w:szCs w:val="18"/>
                <w:bdr w:val="none" w:sz="0" w:space="0" w:color="auto" w:frame="1"/>
                <w:lang w:val="fr-FR"/>
              </w:rPr>
              <w:t>parfois</w:t>
            </w:r>
            <w:r w:rsidRPr="00865DA5">
              <w:rPr>
                <w:rFonts w:ascii="Arial" w:eastAsia="Arial" w:hAnsi="Arial" w:cs="Arial"/>
                <w:color w:val="000000"/>
                <w:sz w:val="18"/>
                <w:szCs w:val="18"/>
                <w:bdr w:val="none" w:sz="0" w:space="0" w:color="auto" w:frame="1"/>
                <w:lang w:val="fr-FR"/>
              </w:rPr>
              <w:t xml:space="preserve"> d’un personnel au complet</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N’ont </w:t>
            </w:r>
            <w:r w:rsidRPr="00865DA5">
              <w:rPr>
                <w:rFonts w:ascii="Arial" w:eastAsia="Arial" w:hAnsi="Arial" w:cs="Arial"/>
                <w:b/>
                <w:bCs/>
                <w:color w:val="000000"/>
                <w:sz w:val="18"/>
                <w:szCs w:val="18"/>
                <w:bdr w:val="none" w:sz="0" w:space="0" w:color="auto" w:frame="1"/>
                <w:lang w:val="fr-FR"/>
              </w:rPr>
              <w:t>généralement</w:t>
            </w:r>
            <w:r w:rsidRPr="00865DA5">
              <w:rPr>
                <w:rFonts w:ascii="Arial" w:eastAsia="Arial" w:hAnsi="Arial" w:cs="Arial"/>
                <w:color w:val="000000"/>
                <w:sz w:val="18"/>
                <w:szCs w:val="18"/>
                <w:bdr w:val="none" w:sz="0" w:space="0" w:color="auto" w:frame="1"/>
                <w:lang w:val="fr-FR"/>
              </w:rPr>
              <w:t xml:space="preserve"> pas suffisamment de personnel</w:t>
            </w:r>
            <w:r w:rsidRPr="00FF6562">
              <w:rPr>
                <w:rFonts w:ascii="Arial" w:eastAsia="Calibri" w:hAnsi="Arial" w:cs="Arial"/>
                <w:color w:val="000000"/>
                <w:sz w:val="18"/>
                <w:szCs w:val="18"/>
                <w:vertAlign w:val="superscript"/>
              </w:rPr>
              <w:footnoteReference w:id="35"/>
            </w:r>
            <w:r w:rsidRPr="00865DA5">
              <w:rPr>
                <w:rFonts w:ascii="Arial" w:eastAsia="Arial" w:hAnsi="Arial" w:cs="Arial"/>
                <w:color w:val="000000"/>
                <w:sz w:val="18"/>
                <w:szCs w:val="18"/>
                <w:bdr w:val="none" w:sz="0" w:space="0" w:color="auto" w:frame="1"/>
                <w:vertAlign w:val="superscript"/>
                <w:lang w:val="fr-FR"/>
              </w:rPr>
              <w:t xml:space="preserve"> </w:t>
            </w:r>
            <w:r w:rsidRPr="00865DA5">
              <w:rPr>
                <w:rFonts w:ascii="Arial" w:eastAsia="Arial" w:hAnsi="Arial" w:cs="Arial"/>
                <w:color w:val="000000"/>
                <w:sz w:val="18"/>
                <w:szCs w:val="18"/>
                <w:bdr w:val="none" w:sz="0" w:space="0" w:color="auto" w:frame="1"/>
                <w:lang w:val="fr-FR"/>
              </w:rPr>
              <w:t>et/ou de compétences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Rencontrent généralement des retards et/ou des difficultés de recrutement</w:t>
            </w:r>
          </w:p>
        </w:tc>
        <w:tc>
          <w:tcPr>
            <w:tcW w:w="2323"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agences de lutte contre la fraude</w:t>
            </w:r>
            <w:r w:rsidRPr="00865DA5">
              <w:rPr>
                <w:rFonts w:ascii="Arial" w:eastAsia="Arial" w:hAnsi="Arial" w:cs="Arial"/>
                <w:color w:val="000000"/>
                <w:sz w:val="22"/>
                <w:szCs w:val="22"/>
                <w:bdr w:val="none" w:sz="0" w:space="0" w:color="auto" w:frame="1"/>
                <w:lang w:val="fr-FR"/>
              </w:rPr>
              <w:t xml:space="preserve"> </w:t>
            </w:r>
            <w:r w:rsidRPr="00865DA5">
              <w:rPr>
                <w:rFonts w:ascii="Arial" w:eastAsia="Arial" w:hAnsi="Arial" w:cs="Arial"/>
                <w:color w:val="000000"/>
                <w:sz w:val="18"/>
                <w:szCs w:val="18"/>
                <w:bdr w:val="none" w:sz="0" w:space="0" w:color="auto" w:frame="1"/>
                <w:lang w:val="fr-FR"/>
              </w:rPr>
              <w:t>et d’application des lois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Disposent </w:t>
            </w:r>
            <w:r w:rsidRPr="00865DA5">
              <w:rPr>
                <w:rFonts w:ascii="Arial" w:eastAsia="Arial" w:hAnsi="Arial" w:cs="Arial"/>
                <w:b/>
                <w:bCs/>
                <w:color w:val="000000"/>
                <w:sz w:val="18"/>
                <w:szCs w:val="18"/>
                <w:bdr w:val="none" w:sz="0" w:space="0" w:color="auto" w:frame="1"/>
                <w:lang w:val="fr-FR"/>
              </w:rPr>
              <w:t xml:space="preserve">généralement </w:t>
            </w:r>
            <w:r w:rsidRPr="00865DA5">
              <w:rPr>
                <w:rFonts w:ascii="Arial" w:eastAsia="Arial" w:hAnsi="Arial" w:cs="Arial"/>
                <w:color w:val="000000"/>
                <w:sz w:val="18"/>
                <w:szCs w:val="18"/>
                <w:bdr w:val="none" w:sz="0" w:space="0" w:color="auto" w:frame="1"/>
                <w:lang w:val="fr-FR"/>
              </w:rPr>
              <w:t>d’un personnel au complet mais qui n’est pas toujours informé de l’évolution des tendances de la criminalité liée aux espèces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N’ont </w:t>
            </w:r>
            <w:r w:rsidRPr="00865DA5">
              <w:rPr>
                <w:rFonts w:ascii="Arial" w:eastAsia="Arial" w:hAnsi="Arial" w:cs="Arial"/>
                <w:b/>
                <w:bCs/>
                <w:color w:val="000000"/>
                <w:sz w:val="18"/>
                <w:szCs w:val="18"/>
                <w:bdr w:val="none" w:sz="0" w:space="0" w:color="auto" w:frame="1"/>
                <w:lang w:val="fr-FR"/>
              </w:rPr>
              <w:t>parfois</w:t>
            </w:r>
            <w:r w:rsidRPr="00865DA5">
              <w:rPr>
                <w:rFonts w:ascii="Arial" w:eastAsia="Arial" w:hAnsi="Arial" w:cs="Arial"/>
                <w:color w:val="000000"/>
                <w:sz w:val="18"/>
                <w:szCs w:val="18"/>
                <w:bdr w:val="none" w:sz="0" w:space="0" w:color="auto" w:frame="1"/>
                <w:lang w:val="fr-FR"/>
              </w:rPr>
              <w:t xml:space="preserve"> pas suffisamment de personnel et/ou de compétences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Rencontrent </w:t>
            </w:r>
            <w:r w:rsidRPr="00865DA5">
              <w:rPr>
                <w:rFonts w:ascii="Arial" w:eastAsia="Arial" w:hAnsi="Arial" w:cs="Arial"/>
                <w:b/>
                <w:bCs/>
                <w:color w:val="000000"/>
                <w:sz w:val="18"/>
                <w:szCs w:val="18"/>
                <w:bdr w:val="none" w:sz="0" w:space="0" w:color="auto" w:frame="1"/>
                <w:lang w:val="fr-FR"/>
              </w:rPr>
              <w:t>parfois</w:t>
            </w:r>
            <w:r w:rsidRPr="00865DA5">
              <w:rPr>
                <w:rFonts w:ascii="Arial" w:eastAsia="Arial" w:hAnsi="Arial" w:cs="Arial"/>
                <w:color w:val="000000"/>
                <w:sz w:val="18"/>
                <w:szCs w:val="18"/>
                <w:bdr w:val="none" w:sz="0" w:space="0" w:color="auto" w:frame="1"/>
                <w:lang w:val="fr-FR"/>
              </w:rPr>
              <w:t xml:space="preserve"> des retards et/ou des difficultés pour recruter des candidats suffisamment qualifiés</w:t>
            </w:r>
          </w:p>
        </w:tc>
        <w:tc>
          <w:tcPr>
            <w:tcW w:w="2324"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agences de lutte contre la fraude</w:t>
            </w:r>
            <w:r w:rsidRPr="00865DA5">
              <w:rPr>
                <w:rFonts w:ascii="Arial" w:eastAsia="Arial" w:hAnsi="Arial" w:cs="Arial"/>
                <w:color w:val="000000"/>
                <w:sz w:val="22"/>
                <w:szCs w:val="22"/>
                <w:bdr w:val="none" w:sz="0" w:space="0" w:color="auto" w:frame="1"/>
                <w:lang w:val="fr-FR"/>
              </w:rPr>
              <w:t xml:space="preserve"> </w:t>
            </w:r>
            <w:r w:rsidRPr="00865DA5">
              <w:rPr>
                <w:rFonts w:ascii="Arial" w:eastAsia="Arial" w:hAnsi="Arial" w:cs="Arial"/>
                <w:color w:val="000000"/>
                <w:sz w:val="18"/>
                <w:szCs w:val="18"/>
                <w:bdr w:val="none" w:sz="0" w:space="0" w:color="auto" w:frame="1"/>
                <w:lang w:val="fr-FR"/>
              </w:rPr>
              <w:t>et d’application des lois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Disposent</w:t>
            </w:r>
            <w:r w:rsidRPr="00865DA5">
              <w:rPr>
                <w:rFonts w:ascii="Arial" w:eastAsia="Arial" w:hAnsi="Arial" w:cs="Arial"/>
                <w:b/>
                <w:bCs/>
                <w:color w:val="000000"/>
                <w:sz w:val="18"/>
                <w:szCs w:val="18"/>
                <w:bdr w:val="none" w:sz="0" w:space="0" w:color="auto" w:frame="1"/>
                <w:lang w:val="fr-FR"/>
              </w:rPr>
              <w:t xml:space="preserve"> généralement</w:t>
            </w:r>
            <w:r w:rsidRPr="00865DA5">
              <w:rPr>
                <w:rFonts w:ascii="Arial" w:eastAsia="Arial" w:hAnsi="Arial" w:cs="Arial"/>
                <w:color w:val="000000"/>
                <w:sz w:val="18"/>
                <w:szCs w:val="18"/>
                <w:bdr w:val="none" w:sz="0" w:space="0" w:color="auto" w:frame="1"/>
                <w:lang w:val="fr-FR"/>
              </w:rPr>
              <w:t xml:space="preserve"> d’un personnel au complet qui est généralement informé de l’évolution des tendances de la criminalité liée aux espèces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Disposent </w:t>
            </w:r>
            <w:r w:rsidRPr="00865DA5">
              <w:rPr>
                <w:rFonts w:ascii="Arial" w:eastAsia="Arial" w:hAnsi="Arial" w:cs="Arial"/>
                <w:b/>
                <w:bCs/>
                <w:color w:val="000000"/>
                <w:sz w:val="18"/>
                <w:szCs w:val="18"/>
                <w:bdr w:val="none" w:sz="0" w:space="0" w:color="auto" w:frame="1"/>
                <w:lang w:val="fr-FR"/>
              </w:rPr>
              <w:t>généralement</w:t>
            </w:r>
            <w:r w:rsidRPr="00865DA5">
              <w:rPr>
                <w:rFonts w:ascii="Arial" w:eastAsia="Arial" w:hAnsi="Arial" w:cs="Arial"/>
                <w:color w:val="000000"/>
                <w:sz w:val="18"/>
                <w:szCs w:val="18"/>
                <w:bdr w:val="none" w:sz="0" w:space="0" w:color="auto" w:frame="1"/>
                <w:lang w:val="fr-FR"/>
              </w:rPr>
              <w:t xml:space="preserve"> d’un personnel et de compétences diversifiées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Procèdent </w:t>
            </w:r>
            <w:r w:rsidRPr="00865DA5">
              <w:rPr>
                <w:rFonts w:ascii="Arial" w:eastAsia="Arial" w:hAnsi="Arial" w:cs="Arial"/>
                <w:b/>
                <w:bCs/>
                <w:color w:val="000000"/>
                <w:sz w:val="18"/>
                <w:szCs w:val="18"/>
                <w:bdr w:val="none" w:sz="0" w:space="0" w:color="auto" w:frame="1"/>
                <w:lang w:val="fr-FR"/>
              </w:rPr>
              <w:t>généralement</w:t>
            </w:r>
            <w:r w:rsidRPr="00865DA5">
              <w:rPr>
                <w:rFonts w:ascii="Arial" w:eastAsia="Arial" w:hAnsi="Arial" w:cs="Arial"/>
                <w:color w:val="000000"/>
                <w:sz w:val="18"/>
                <w:szCs w:val="18"/>
                <w:bdr w:val="none" w:sz="0" w:space="0" w:color="auto" w:frame="1"/>
                <w:lang w:val="fr-FR"/>
              </w:rPr>
              <w:t xml:space="preserve"> à des recrutements de candidats dûment qualifiés lorsque nécessaire</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eastAsia="Calibri" w:hAnsi="Arial" w:cs="Arial"/>
          <w:b/>
          <w:bCs/>
          <w:color w:val="000000"/>
          <w:sz w:val="23"/>
          <w:szCs w:val="23"/>
          <w:lang w:val="fr-FR"/>
        </w:rPr>
      </w:pPr>
      <w:r w:rsidRPr="00865DA5">
        <w:rPr>
          <w:rFonts w:ascii="Arial" w:eastAsia="Calibri" w:hAnsi="Arial" w:cs="Arial"/>
          <w:b/>
          <w:bCs/>
          <w:color w:val="000000"/>
          <w:sz w:val="23"/>
          <w:szCs w:val="23"/>
          <w:lang w:val="fr-FR"/>
        </w:rPr>
        <w:br w:type="page"/>
      </w:r>
    </w:p>
    <w:p w:rsidR="00BD5B7F" w:rsidRPr="00865DA5" w:rsidRDefault="00BD5B7F" w:rsidP="00BD5B7F">
      <w:pPr>
        <w:keepNext/>
        <w:keepLines/>
        <w:spacing w:after="120"/>
        <w:outlineLvl w:val="3"/>
        <w:rPr>
          <w:rFonts w:ascii="Arial" w:hAnsi="Arial" w:cs="Arial"/>
          <w:b/>
          <w:i/>
          <w:iCs/>
          <w:color w:val="000000"/>
          <w:sz w:val="18"/>
          <w:szCs w:val="18"/>
          <w:lang w:val="fr-FR"/>
        </w:rPr>
      </w:pPr>
      <w:bookmarkStart w:id="78" w:name="_Toc491245254"/>
      <w:bookmarkStart w:id="79" w:name="_Toc486539591"/>
      <w:r w:rsidRPr="00865DA5">
        <w:rPr>
          <w:rFonts w:ascii="Arial" w:eastAsia="Arial" w:hAnsi="Arial" w:cs="Arial"/>
          <w:b/>
          <w:bCs/>
          <w:iCs/>
          <w:color w:val="000000"/>
          <w:sz w:val="28"/>
          <w:szCs w:val="28"/>
          <w:bdr w:val="none" w:sz="0" w:space="0" w:color="auto" w:frame="1"/>
          <w:lang w:val="fr-FR"/>
        </w:rPr>
        <w:lastRenderedPageBreak/>
        <w:t>18. Formation spécifique</w:t>
      </w:r>
      <w:bookmarkEnd w:id="78"/>
      <w:bookmarkEnd w:id="79"/>
      <w:r w:rsidRPr="00865DA5">
        <w:rPr>
          <w:rFonts w:ascii="Arial" w:eastAsia="Arial" w:hAnsi="Arial" w:cs="Arial"/>
          <w:b/>
          <w:bCs/>
          <w:iCs/>
          <w:color w:val="000000"/>
          <w:sz w:val="28"/>
          <w:szCs w:val="28"/>
          <w:bdr w:val="none" w:sz="0" w:space="0" w:color="auto" w:frame="1"/>
          <w:lang w:val="fr-FR"/>
        </w:rPr>
        <w:t xml:space="preserve"> </w:t>
      </w:r>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Le pourcentage d’agents chargés de la lutte contre la fraude et de l’application des lois formés chaque année sur les questions relatives à l’IKB.</w:t>
      </w:r>
    </w:p>
    <w:p w:rsidR="00BD5B7F" w:rsidRPr="00865DA5" w:rsidRDefault="00BD5B7F" w:rsidP="00BD5B7F">
      <w:pPr>
        <w:jc w:val="both"/>
        <w:rPr>
          <w:rFonts w:ascii="Arial" w:eastAsia="Calibri" w:hAnsi="Arial" w:cs="Arial"/>
          <w:b/>
          <w:bCs/>
          <w:i/>
          <w:iCs/>
          <w:color w:val="000000"/>
          <w:sz w:val="22"/>
          <w:szCs w:val="18"/>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Combien d’agents chargés de la lutte contre la fraude et de l’application des lois</w:t>
      </w:r>
      <w:r w:rsidRPr="00FF6562">
        <w:rPr>
          <w:rFonts w:ascii="Arial" w:eastAsia="Calibri" w:hAnsi="Arial" w:cs="Arial"/>
          <w:color w:val="000000"/>
          <w:sz w:val="22"/>
          <w:szCs w:val="22"/>
          <w:vertAlign w:val="superscript"/>
        </w:rPr>
        <w:footnoteReference w:id="36"/>
      </w:r>
      <w:r w:rsidRPr="00865DA5">
        <w:rPr>
          <w:rFonts w:ascii="Arial" w:eastAsia="Arial" w:hAnsi="Arial" w:cs="Arial"/>
          <w:b/>
          <w:bCs/>
          <w:i/>
          <w:iCs/>
          <w:color w:val="000000"/>
          <w:sz w:val="22"/>
          <w:szCs w:val="22"/>
          <w:bdr w:val="none" w:sz="0" w:space="0" w:color="auto" w:frame="1"/>
          <w:lang w:val="fr-FR"/>
        </w:rPr>
        <w:t xml:space="preserve"> ont reçu une formation régulière sur les questions relatives à l’IKB ?</w:t>
      </w:r>
    </w:p>
    <w:p w:rsidR="00BD5B7F" w:rsidRPr="00865DA5" w:rsidRDefault="00BD5B7F" w:rsidP="00BD5B7F">
      <w:pPr>
        <w:jc w:val="both"/>
        <w:rPr>
          <w:rFonts w:ascii="Arial" w:eastAsia="Calibri" w:hAnsi="Arial" w:cs="Arial"/>
          <w:i/>
          <w:iCs/>
          <w:color w:val="000000"/>
          <w:sz w:val="22"/>
          <w:szCs w:val="18"/>
          <w:lang w:val="fr-FR"/>
        </w:rPr>
      </w:pPr>
    </w:p>
    <w:p w:rsidR="00BD5B7F" w:rsidRPr="00FF6562" w:rsidRDefault="00BD5B7F" w:rsidP="00BD5B7F">
      <w:pPr>
        <w:spacing w:after="120"/>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2"/>
        <w:gridCol w:w="2307"/>
        <w:gridCol w:w="8"/>
        <w:gridCol w:w="2326"/>
        <w:gridCol w:w="10"/>
        <w:gridCol w:w="2317"/>
      </w:tblGrid>
      <w:tr w:rsidR="00BD5B7F" w:rsidRPr="00FF6562" w:rsidTr="000E5961">
        <w:tc>
          <w:tcPr>
            <w:tcW w:w="2310"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2"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3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30" w:type="dxa"/>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F6562" w:rsidTr="000E5961">
        <w:trPr>
          <w:cantSplit/>
        </w:trPr>
        <w:tc>
          <w:tcPr>
            <w:tcW w:w="2322" w:type="dxa"/>
            <w:gridSpan w:val="2"/>
            <w:tcBorders>
              <w:top w:val="single" w:sz="4" w:space="0" w:color="auto"/>
              <w:left w:val="single" w:sz="4" w:space="0" w:color="auto"/>
              <w:bottom w:val="single" w:sz="4" w:space="0" w:color="auto"/>
              <w:right w:val="single" w:sz="4" w:space="0" w:color="auto"/>
            </w:tcBorders>
          </w:tcPr>
          <w:p w:rsidR="00BD5B7F" w:rsidRPr="00FF6562" w:rsidRDefault="00BD5B7F" w:rsidP="000E5961">
            <w:pPr>
              <w:rPr>
                <w:rFonts w:ascii="Arial" w:eastAsia="Calibri" w:hAnsi="Arial" w:cs="Arial"/>
                <w:color w:val="000000"/>
                <w:sz w:val="18"/>
                <w:szCs w:val="18"/>
              </w:rPr>
            </w:pPr>
          </w:p>
          <w:p w:rsidR="00BD5B7F" w:rsidRPr="00FF6562" w:rsidRDefault="00BD5B7F" w:rsidP="000E5961">
            <w:pPr>
              <w:rPr>
                <w:rFonts w:ascii="Arial" w:eastAsia="Calibri" w:hAnsi="Arial" w:cs="Arial"/>
                <w:color w:val="000000"/>
                <w:sz w:val="18"/>
                <w:szCs w:val="18"/>
              </w:rPr>
            </w:pPr>
            <w:r w:rsidRPr="00FF6562">
              <w:rPr>
                <w:rFonts w:ascii="Arial" w:eastAsia="Arial" w:hAnsi="Arial" w:cs="Arial"/>
                <w:color w:val="000000"/>
                <w:sz w:val="18"/>
                <w:szCs w:val="18"/>
                <w:bdr w:val="none" w:sz="0" w:space="0" w:color="auto" w:frame="1"/>
              </w:rPr>
              <w:t xml:space="preserve"> </w:t>
            </w:r>
            <w:r w:rsidRPr="00FF6562">
              <w:rPr>
                <w:rFonts w:ascii="Arial" w:eastAsia="Arial" w:hAnsi="Arial" w:cs="Arial"/>
                <w:color w:val="000000"/>
                <w:sz w:val="18"/>
                <w:szCs w:val="18"/>
              </w:rPr>
              <w:t>􀜆</w:t>
            </w:r>
            <w:r w:rsidRPr="00FF6562">
              <w:rPr>
                <w:rFonts w:ascii="Arial" w:eastAsia="Calibri" w:hAnsi="Arial" w:cs="Arial"/>
                <w:color w:val="000000"/>
                <w:sz w:val="18"/>
                <w:szCs w:val="18"/>
              </w:rPr>
              <w:t xml:space="preserve"> </w:t>
            </w:r>
            <w:r w:rsidRPr="00FF6562">
              <w:rPr>
                <w:rFonts w:ascii="Arial" w:eastAsia="Arial" w:hAnsi="Arial" w:cs="Arial"/>
                <w:color w:val="000000"/>
                <w:sz w:val="18"/>
                <w:szCs w:val="18"/>
                <w:bdr w:val="none" w:sz="0" w:space="0" w:color="auto" w:frame="1"/>
              </w:rPr>
              <w:t>Aucun</w:t>
            </w:r>
          </w:p>
          <w:p w:rsidR="00BD5B7F" w:rsidRPr="00FF6562" w:rsidRDefault="00BD5B7F" w:rsidP="000E5961">
            <w:pPr>
              <w:rPr>
                <w:rFonts w:ascii="Arial" w:eastAsia="Calibri" w:hAnsi="Arial" w:cs="Arial"/>
                <w:color w:val="000000"/>
                <w:sz w:val="18"/>
                <w:szCs w:val="18"/>
              </w:rPr>
            </w:pPr>
          </w:p>
          <w:p w:rsidR="00BD5B7F" w:rsidRPr="00FF6562" w:rsidRDefault="00BD5B7F" w:rsidP="000E5961">
            <w:pPr>
              <w:rPr>
                <w:rFonts w:ascii="Arial" w:eastAsia="Calibri" w:hAnsi="Arial" w:cs="Arial"/>
                <w:color w:val="000000"/>
                <w:sz w:val="18"/>
                <w:szCs w:val="18"/>
              </w:rPr>
            </w:pPr>
          </w:p>
        </w:tc>
        <w:tc>
          <w:tcPr>
            <w:tcW w:w="2318" w:type="dxa"/>
            <w:gridSpan w:val="2"/>
            <w:tcBorders>
              <w:top w:val="single" w:sz="4" w:space="0" w:color="auto"/>
              <w:left w:val="single" w:sz="4" w:space="0" w:color="auto"/>
              <w:bottom w:val="single" w:sz="4" w:space="0" w:color="auto"/>
              <w:right w:val="single" w:sz="4" w:space="0" w:color="auto"/>
            </w:tcBorders>
          </w:tcPr>
          <w:p w:rsidR="00BD5B7F" w:rsidRPr="00FF6562" w:rsidRDefault="00BD5B7F" w:rsidP="000E5961">
            <w:pPr>
              <w:rPr>
                <w:rFonts w:ascii="Arial" w:eastAsia="Calibri" w:hAnsi="Arial" w:cs="Arial"/>
                <w:color w:val="000000"/>
                <w:sz w:val="18"/>
                <w:szCs w:val="18"/>
              </w:rPr>
            </w:pPr>
          </w:p>
          <w:p w:rsidR="00BD5B7F" w:rsidRPr="00FF6562" w:rsidRDefault="00BD5B7F" w:rsidP="000E5961">
            <w:pPr>
              <w:rPr>
                <w:rFonts w:ascii="Arial" w:eastAsia="Calibri" w:hAnsi="Arial" w:cs="Arial"/>
                <w:color w:val="000000"/>
                <w:sz w:val="18"/>
                <w:szCs w:val="18"/>
              </w:rPr>
            </w:pPr>
            <w:r w:rsidRPr="00FF6562">
              <w:rPr>
                <w:rFonts w:ascii="Arial" w:eastAsia="Arial" w:hAnsi="Arial" w:cs="Arial"/>
                <w:color w:val="000000"/>
                <w:sz w:val="18"/>
                <w:szCs w:val="18"/>
                <w:bdr w:val="none" w:sz="0" w:space="0" w:color="auto" w:frame="1"/>
              </w:rPr>
              <w:t xml:space="preserve"> </w:t>
            </w:r>
            <w:r w:rsidRPr="00FF6562">
              <w:rPr>
                <w:rFonts w:ascii="Arial" w:eastAsia="Arial" w:hAnsi="Arial" w:cs="Arial"/>
                <w:color w:val="000000"/>
                <w:sz w:val="18"/>
                <w:szCs w:val="18"/>
              </w:rPr>
              <w:t>􀜆</w:t>
            </w:r>
            <w:r w:rsidRPr="00FF6562">
              <w:rPr>
                <w:rFonts w:ascii="Arial" w:eastAsia="Calibri" w:hAnsi="Arial" w:cs="Arial"/>
                <w:color w:val="000000"/>
                <w:sz w:val="18"/>
                <w:szCs w:val="18"/>
              </w:rPr>
              <w:t xml:space="preserve"> </w:t>
            </w:r>
            <w:r w:rsidRPr="00FF6562">
              <w:rPr>
                <w:rFonts w:ascii="Arial" w:eastAsia="Arial" w:hAnsi="Arial" w:cs="Arial"/>
                <w:color w:val="000000"/>
                <w:sz w:val="18"/>
                <w:szCs w:val="18"/>
                <w:bdr w:val="none" w:sz="0" w:space="0" w:color="auto" w:frame="1"/>
              </w:rPr>
              <w:t>Moins de 10 %</w:t>
            </w:r>
          </w:p>
        </w:tc>
        <w:tc>
          <w:tcPr>
            <w:tcW w:w="2339" w:type="dxa"/>
            <w:gridSpan w:val="2"/>
            <w:tcBorders>
              <w:top w:val="single" w:sz="4" w:space="0" w:color="auto"/>
              <w:left w:val="single" w:sz="4" w:space="0" w:color="auto"/>
              <w:bottom w:val="single" w:sz="4" w:space="0" w:color="auto"/>
              <w:right w:val="single" w:sz="4" w:space="0" w:color="auto"/>
            </w:tcBorders>
          </w:tcPr>
          <w:p w:rsidR="00BD5B7F" w:rsidRPr="00FF6562" w:rsidRDefault="00BD5B7F" w:rsidP="000E5961">
            <w:pPr>
              <w:rPr>
                <w:rFonts w:ascii="Arial" w:eastAsia="Calibri" w:hAnsi="Arial" w:cs="Arial"/>
                <w:color w:val="000000"/>
                <w:sz w:val="18"/>
                <w:szCs w:val="18"/>
              </w:rPr>
            </w:pPr>
          </w:p>
          <w:p w:rsidR="00BD5B7F" w:rsidRPr="00FF6562" w:rsidRDefault="00BD5B7F" w:rsidP="000E5961">
            <w:pPr>
              <w:rPr>
                <w:rFonts w:ascii="Arial" w:eastAsia="Calibri" w:hAnsi="Arial" w:cs="Arial"/>
                <w:color w:val="000000"/>
                <w:sz w:val="18"/>
                <w:szCs w:val="18"/>
              </w:rPr>
            </w:pPr>
            <w:r w:rsidRPr="00FF6562">
              <w:rPr>
                <w:rFonts w:ascii="Arial" w:eastAsia="Arial" w:hAnsi="Arial" w:cs="Arial"/>
                <w:color w:val="000000"/>
                <w:sz w:val="18"/>
                <w:szCs w:val="18"/>
                <w:bdr w:val="none" w:sz="0" w:space="0" w:color="auto" w:frame="1"/>
              </w:rPr>
              <w:t xml:space="preserve"> </w:t>
            </w:r>
            <w:r w:rsidRPr="00FF6562">
              <w:rPr>
                <w:rFonts w:ascii="Arial" w:eastAsia="Arial" w:hAnsi="Arial" w:cs="Arial"/>
                <w:color w:val="000000"/>
                <w:sz w:val="18"/>
                <w:szCs w:val="18"/>
              </w:rPr>
              <w:t>􀜆</w:t>
            </w:r>
            <w:r w:rsidRPr="00FF6562">
              <w:rPr>
                <w:rFonts w:ascii="Arial" w:eastAsia="Calibri" w:hAnsi="Arial" w:cs="Arial"/>
                <w:color w:val="000000"/>
                <w:sz w:val="18"/>
                <w:szCs w:val="18"/>
              </w:rPr>
              <w:t xml:space="preserve"> </w:t>
            </w:r>
            <w:r w:rsidRPr="00FF6562">
              <w:rPr>
                <w:rFonts w:ascii="Arial" w:eastAsia="Arial" w:hAnsi="Arial" w:cs="Arial"/>
                <w:color w:val="000000"/>
                <w:sz w:val="18"/>
                <w:szCs w:val="18"/>
                <w:bdr w:val="none" w:sz="0" w:space="0" w:color="auto" w:frame="1"/>
              </w:rPr>
              <w:t>Entre 10 % et 50 %</w:t>
            </w:r>
          </w:p>
          <w:p w:rsidR="00BD5B7F" w:rsidRPr="00FF6562" w:rsidRDefault="00BD5B7F" w:rsidP="000E5961">
            <w:pPr>
              <w:rPr>
                <w:rFonts w:ascii="Arial" w:eastAsia="Calibri" w:hAnsi="Arial" w:cs="Arial"/>
                <w:color w:val="000000"/>
                <w:sz w:val="18"/>
                <w:szCs w:val="18"/>
              </w:rPr>
            </w:pPr>
          </w:p>
          <w:p w:rsidR="00BD5B7F" w:rsidRPr="00FF6562" w:rsidRDefault="00BD5B7F" w:rsidP="000E5961">
            <w:pPr>
              <w:rPr>
                <w:rFonts w:ascii="Arial" w:eastAsia="Calibri" w:hAnsi="Arial" w:cs="Arial"/>
                <w:color w:val="000000"/>
                <w:sz w:val="18"/>
                <w:szCs w:val="18"/>
              </w:rPr>
            </w:pPr>
          </w:p>
        </w:tc>
        <w:tc>
          <w:tcPr>
            <w:tcW w:w="2320" w:type="dxa"/>
            <w:tcBorders>
              <w:top w:val="single" w:sz="4" w:space="0" w:color="auto"/>
              <w:left w:val="single" w:sz="4" w:space="0" w:color="auto"/>
              <w:bottom w:val="single" w:sz="4" w:space="0" w:color="auto"/>
              <w:right w:val="single" w:sz="4" w:space="0" w:color="auto"/>
            </w:tcBorders>
          </w:tcPr>
          <w:p w:rsidR="00BD5B7F" w:rsidRPr="00FF6562" w:rsidRDefault="00BD5B7F" w:rsidP="000E5961">
            <w:pPr>
              <w:rPr>
                <w:rFonts w:ascii="Arial" w:eastAsia="Calibri" w:hAnsi="Arial" w:cs="Arial"/>
                <w:color w:val="000000"/>
                <w:sz w:val="18"/>
                <w:szCs w:val="18"/>
              </w:rPr>
            </w:pPr>
          </w:p>
          <w:p w:rsidR="00BD5B7F" w:rsidRPr="00FF6562" w:rsidRDefault="00BD5B7F" w:rsidP="000E5961">
            <w:pPr>
              <w:rPr>
                <w:rFonts w:ascii="Arial" w:eastAsia="Calibri" w:hAnsi="Arial" w:cs="Arial"/>
                <w:color w:val="000000"/>
                <w:sz w:val="18"/>
                <w:szCs w:val="18"/>
              </w:rPr>
            </w:pPr>
            <w:r w:rsidRPr="00FF6562">
              <w:rPr>
                <w:rFonts w:ascii="Arial" w:eastAsia="Arial" w:hAnsi="Arial" w:cs="Arial"/>
                <w:color w:val="000000"/>
                <w:sz w:val="18"/>
                <w:szCs w:val="18"/>
                <w:bdr w:val="none" w:sz="0" w:space="0" w:color="auto" w:frame="1"/>
              </w:rPr>
              <w:t xml:space="preserve"> </w:t>
            </w:r>
            <w:r w:rsidRPr="00FF6562">
              <w:rPr>
                <w:rFonts w:ascii="Arial" w:eastAsia="Arial" w:hAnsi="Arial" w:cs="Arial"/>
                <w:color w:val="000000"/>
                <w:sz w:val="18"/>
                <w:szCs w:val="18"/>
              </w:rPr>
              <w:t>􀜆</w:t>
            </w:r>
            <w:r w:rsidRPr="00FF6562">
              <w:rPr>
                <w:rFonts w:ascii="Arial" w:eastAsia="Calibri" w:hAnsi="Arial" w:cs="Arial"/>
                <w:color w:val="000000"/>
                <w:sz w:val="18"/>
                <w:szCs w:val="18"/>
              </w:rPr>
              <w:t xml:space="preserve"> </w:t>
            </w:r>
            <w:r w:rsidRPr="00FF6562">
              <w:rPr>
                <w:rFonts w:ascii="Arial" w:eastAsia="Arial" w:hAnsi="Arial" w:cs="Arial"/>
                <w:color w:val="000000"/>
                <w:sz w:val="18"/>
                <w:szCs w:val="18"/>
                <w:bdr w:val="none" w:sz="0" w:space="0" w:color="auto" w:frame="1"/>
              </w:rPr>
              <w:t>Plus de 50 %</w:t>
            </w:r>
          </w:p>
          <w:p w:rsidR="00BD5B7F" w:rsidRPr="00FF6562" w:rsidRDefault="00BD5B7F" w:rsidP="000E5961">
            <w:pPr>
              <w:rPr>
                <w:rFonts w:ascii="Arial" w:eastAsia="Calibri" w:hAnsi="Arial" w:cs="Arial"/>
                <w:color w:val="000000"/>
                <w:sz w:val="18"/>
                <w:szCs w:val="18"/>
              </w:rPr>
            </w:pPr>
          </w:p>
        </w:tc>
      </w:tr>
    </w:tbl>
    <w:p w:rsidR="00BD5B7F" w:rsidRPr="00FF6562" w:rsidRDefault="00BD5B7F" w:rsidP="00BD5B7F">
      <w:pPr>
        <w:rPr>
          <w:rFonts w:ascii="Arial" w:eastAsia="Calibri" w:hAnsi="Arial" w:cs="Arial"/>
          <w:b/>
          <w:bCs/>
          <w:color w:val="000000"/>
          <w:sz w:val="23"/>
          <w:szCs w:val="23"/>
        </w:rPr>
      </w:pPr>
    </w:p>
    <w:p w:rsidR="00BD5B7F" w:rsidRPr="00FF6562" w:rsidRDefault="00BD5B7F" w:rsidP="00BD5B7F">
      <w:pPr>
        <w:rPr>
          <w:rFonts w:ascii="Arial" w:eastAsia="Calibri" w:hAnsi="Arial" w:cs="Arial"/>
          <w:color w:val="000000"/>
          <w:sz w:val="22"/>
          <w:szCs w:val="22"/>
        </w:rPr>
      </w:pPr>
      <w:r w:rsidRPr="00FF6562">
        <w:rPr>
          <w:rFonts w:ascii="Arial" w:eastAsia="Arial" w:hAnsi="Arial" w:cs="Arial"/>
          <w:color w:val="000000"/>
          <w:sz w:val="22"/>
          <w:szCs w:val="22"/>
          <w:bdr w:val="none" w:sz="0" w:space="0" w:color="auto" w:frame="1"/>
        </w:rPr>
        <w:t>Commentaires</w:t>
      </w:r>
      <w:r w:rsidRPr="00FF6562">
        <w:rPr>
          <w:rFonts w:ascii="Arial" w:eastAsia="Calibri" w:hAnsi="Arial" w:cs="Arial"/>
          <w:color w:val="000000"/>
          <w:sz w:val="22"/>
          <w:szCs w:val="22"/>
          <w:vertAlign w:val="superscript"/>
        </w:rPr>
        <w:footnoteReference w:id="37"/>
      </w:r>
      <w:r w:rsidRPr="00FF6562">
        <w:rPr>
          <w:rFonts w:ascii="Arial" w:eastAsia="Arial" w:hAnsi="Arial" w:cs="Arial"/>
          <w:color w:val="000000"/>
          <w:sz w:val="22"/>
          <w:szCs w:val="22"/>
          <w:bdr w:val="none" w:sz="0" w:space="0" w:color="auto" w:frame="1"/>
        </w:rPr>
        <w:t> :</w:t>
      </w:r>
    </w:p>
    <w:p w:rsidR="00BD5B7F" w:rsidRPr="00FF6562" w:rsidRDefault="00BD5B7F" w:rsidP="00BD5B7F">
      <w:pPr>
        <w:ind w:firstLine="708"/>
        <w:rPr>
          <w:rFonts w:ascii="Arial" w:eastAsia="Calibri" w:hAnsi="Arial" w:cs="Arial"/>
          <w:color w:val="000000"/>
          <w:sz w:val="22"/>
          <w:szCs w:val="22"/>
        </w:rPr>
      </w:pPr>
    </w:p>
    <w:p w:rsidR="00BD5B7F" w:rsidRPr="00FF6562" w:rsidRDefault="00BD5B7F" w:rsidP="00BD5B7F">
      <w:pPr>
        <w:rPr>
          <w:rFonts w:ascii="Arial" w:eastAsia="Calibri" w:hAnsi="Arial" w:cs="Arial"/>
          <w:color w:val="000000"/>
          <w:sz w:val="18"/>
          <w:szCs w:val="18"/>
        </w:rPr>
      </w:pPr>
      <w:r w:rsidRPr="00FF6562">
        <w:rPr>
          <w:rFonts w:ascii="Arial" w:eastAsia="Calibri" w:hAnsi="Arial" w:cs="Arial"/>
          <w:color w:val="000000"/>
          <w:sz w:val="18"/>
          <w:szCs w:val="18"/>
        </w:rPr>
        <w:br w:type="page"/>
      </w:r>
    </w:p>
    <w:p w:rsidR="00BD5B7F" w:rsidRPr="00865DA5" w:rsidRDefault="00BD5B7F" w:rsidP="00BD5B7F">
      <w:pPr>
        <w:keepNext/>
        <w:keepLines/>
        <w:spacing w:after="120"/>
        <w:outlineLvl w:val="3"/>
        <w:rPr>
          <w:rFonts w:ascii="Arial" w:hAnsi="Arial" w:cs="Arial"/>
          <w:b/>
          <w:i/>
          <w:iCs/>
          <w:color w:val="000000"/>
          <w:sz w:val="18"/>
          <w:szCs w:val="18"/>
          <w:lang w:val="fr-FR"/>
        </w:rPr>
      </w:pPr>
      <w:bookmarkStart w:id="80" w:name="_Toc491245255"/>
      <w:bookmarkStart w:id="81" w:name="_Toc486539592"/>
      <w:r w:rsidRPr="00865DA5">
        <w:rPr>
          <w:rFonts w:ascii="Arial" w:eastAsia="Arial" w:hAnsi="Arial" w:cs="Arial"/>
          <w:b/>
          <w:bCs/>
          <w:iCs/>
          <w:color w:val="000000"/>
          <w:sz w:val="28"/>
          <w:szCs w:val="28"/>
          <w:bdr w:val="none" w:sz="0" w:space="0" w:color="auto" w:frame="1"/>
          <w:lang w:val="fr-FR"/>
        </w:rPr>
        <w:lastRenderedPageBreak/>
        <w:t>19. Effort de lutte contre l’IKB sur le terrain</w:t>
      </w:r>
      <w:bookmarkEnd w:id="80"/>
      <w:bookmarkEnd w:id="81"/>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L’intensité des efforts déployés par les agences de lutte contre la fraude et d’application des lois pour lutter contre l’IKB.</w:t>
      </w:r>
    </w:p>
    <w:p w:rsidR="00BD5B7F" w:rsidRPr="00865DA5" w:rsidRDefault="00BD5B7F" w:rsidP="00BD5B7F">
      <w:pPr>
        <w:jc w:val="both"/>
        <w:rPr>
          <w:rFonts w:ascii="Arial" w:eastAsia="Calibri" w:hAnsi="Arial" w:cs="Arial"/>
          <w:b/>
          <w:bCs/>
          <w:i/>
          <w:iCs/>
          <w:color w:val="000000"/>
          <w:sz w:val="22"/>
          <w:szCs w:val="18"/>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Les efforts de surveillance déployés pour lutter contre l’IKB sont-ils jugés suffisants ?</w:t>
      </w:r>
    </w:p>
    <w:p w:rsidR="00BD5B7F" w:rsidRPr="00865DA5" w:rsidRDefault="00BD5B7F" w:rsidP="00BD5B7F">
      <w:pPr>
        <w:jc w:val="both"/>
        <w:rPr>
          <w:rFonts w:ascii="Arial" w:eastAsia="Calibri" w:hAnsi="Arial" w:cs="Arial"/>
          <w:b/>
          <w:bCs/>
          <w:i/>
          <w:iCs/>
          <w:color w:val="000000"/>
          <w:sz w:val="22"/>
          <w:szCs w:val="18"/>
          <w:lang w:val="fr-FR"/>
        </w:rPr>
      </w:pPr>
    </w:p>
    <w:p w:rsidR="00BD5B7F" w:rsidRPr="00865DA5" w:rsidRDefault="00BD5B7F" w:rsidP="00BD5B7F">
      <w:pPr>
        <w:jc w:val="both"/>
        <w:rPr>
          <w:rFonts w:ascii="Arial" w:eastAsia="Calibri" w:hAnsi="Arial" w:cs="Arial"/>
          <w:i/>
          <w:iCs/>
          <w:color w:val="000000"/>
          <w:sz w:val="22"/>
          <w:szCs w:val="18"/>
          <w:lang w:val="fr-FR"/>
        </w:rPr>
      </w:pPr>
      <w:r w:rsidRPr="00865DA5">
        <w:rPr>
          <w:rFonts w:ascii="Arial" w:eastAsia="Arial" w:hAnsi="Arial" w:cs="Arial"/>
          <w:i/>
          <w:iCs/>
          <w:color w:val="000000"/>
          <w:sz w:val="22"/>
          <w:szCs w:val="22"/>
          <w:bdr w:val="none" w:sz="0" w:space="0" w:color="auto" w:frame="1"/>
          <w:lang w:val="fr-FR"/>
        </w:rPr>
        <w:t>Mesure : Sur une échelle de 1 à 5 - 5 étant le score le plus positif - veuillez attribuer un score à l’effort de lutte contre l’IKB sur le terrain déployé par les agences de lutte contre la fraude et d’application des lois dans votre pays.</w:t>
      </w:r>
    </w:p>
    <w:p w:rsidR="00BD5B7F" w:rsidRPr="00865DA5" w:rsidRDefault="00BD5B7F" w:rsidP="00BD5B7F">
      <w:pPr>
        <w:rPr>
          <w:rFonts w:ascii="Arial" w:eastAsia="Calibri" w:hAnsi="Arial" w:cs="Arial"/>
          <w:i/>
          <w:iCs/>
          <w:color w:val="000000"/>
          <w:sz w:val="18"/>
          <w:szCs w:val="18"/>
          <w:lang w:val="fr-FR"/>
        </w:rPr>
      </w:pPr>
    </w:p>
    <w:p w:rsidR="00BD5B7F" w:rsidRPr="00865DA5" w:rsidRDefault="00BD5B7F" w:rsidP="00BD5B7F">
      <w:pPr>
        <w:rPr>
          <w:rFonts w:ascii="Arial" w:eastAsia="Calibri" w:hAnsi="Arial" w:cs="Arial"/>
          <w:i/>
          <w:iCs/>
          <w:color w:val="000000"/>
          <w:sz w:val="18"/>
          <w:szCs w:val="18"/>
          <w:lang w:val="fr-FR"/>
        </w:rPr>
      </w:pP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858"/>
        <w:gridCol w:w="1857"/>
        <w:gridCol w:w="1857"/>
        <w:gridCol w:w="1857"/>
        <w:gridCol w:w="1857"/>
      </w:tblGrid>
      <w:tr w:rsidR="00BD5B7F" w:rsidRPr="00FC42B0" w:rsidTr="000E5961">
        <w:tc>
          <w:tcPr>
            <w:tcW w:w="1000" w:type="pct"/>
            <w:tcBorders>
              <w:top w:val="single" w:sz="8" w:space="0" w:color="4F81BD"/>
              <w:left w:val="single" w:sz="8" w:space="0" w:color="4F81BD"/>
              <w:bottom w:val="nil"/>
              <w:right w:val="nil"/>
            </w:tcBorders>
            <w:shd w:val="clear" w:color="auto" w:fill="4F81BD"/>
            <w:vAlign w:val="center"/>
            <w:hideMark/>
          </w:tcPr>
          <w:p w:rsidR="00BD5B7F" w:rsidRPr="00865DA5" w:rsidRDefault="00BD5B7F" w:rsidP="000E5961">
            <w:pPr>
              <w:jc w:val="center"/>
              <w:rPr>
                <w:rFonts w:ascii="Arial" w:eastAsia="Calibri" w:hAnsi="Arial" w:cs="Arial"/>
                <w:b/>
                <w:bCs/>
                <w:i/>
                <w:iCs/>
                <w:color w:val="FFFFFF"/>
                <w:sz w:val="18"/>
                <w:szCs w:val="18"/>
                <w:lang w:val="fr-FR"/>
              </w:rPr>
            </w:pPr>
            <w:r w:rsidRPr="00865DA5">
              <w:rPr>
                <w:rFonts w:ascii="Arial" w:eastAsia="Arial" w:hAnsi="Arial" w:cs="Arial"/>
                <w:b/>
                <w:bCs/>
                <w:i/>
                <w:iCs/>
                <w:color w:val="FFFFFF"/>
                <w:sz w:val="18"/>
                <w:szCs w:val="18"/>
                <w:bdr w:val="none" w:sz="0" w:space="0" w:color="auto" w:frame="1"/>
                <w:lang w:val="fr-FR"/>
              </w:rPr>
              <w:t xml:space="preserve">Insuffisant </w:t>
            </w:r>
          </w:p>
          <w:p w:rsidR="00BD5B7F" w:rsidRPr="00865DA5" w:rsidRDefault="00BD5B7F" w:rsidP="000E5961">
            <w:pPr>
              <w:jc w:val="center"/>
              <w:rPr>
                <w:rFonts w:ascii="Arial" w:eastAsia="Calibri" w:hAnsi="Arial" w:cs="Arial"/>
                <w:b/>
                <w:bCs/>
                <w:i/>
                <w:iCs/>
                <w:color w:val="FFFFFF"/>
                <w:sz w:val="18"/>
                <w:szCs w:val="18"/>
                <w:lang w:val="fr-FR"/>
              </w:rPr>
            </w:pPr>
            <w:r w:rsidRPr="00865DA5">
              <w:rPr>
                <w:rFonts w:ascii="Arial" w:eastAsia="Arial" w:hAnsi="Arial" w:cs="Arial"/>
                <w:b/>
                <w:bCs/>
                <w:i/>
                <w:iCs/>
                <w:color w:val="FFFFFF"/>
                <w:sz w:val="18"/>
                <w:szCs w:val="18"/>
                <w:bdr w:val="none" w:sz="0" w:space="0" w:color="auto" w:frame="1"/>
                <w:lang w:val="fr-FR"/>
              </w:rPr>
              <w:t>pour lutter contre l’IKB</w:t>
            </w:r>
          </w:p>
        </w:tc>
        <w:tc>
          <w:tcPr>
            <w:tcW w:w="1000" w:type="pct"/>
            <w:tcBorders>
              <w:top w:val="single" w:sz="8" w:space="0" w:color="4F81BD"/>
              <w:left w:val="nil"/>
              <w:bottom w:val="nil"/>
              <w:right w:val="nil"/>
            </w:tcBorders>
            <w:shd w:val="clear" w:color="auto" w:fill="4F81BD"/>
            <w:vAlign w:val="center"/>
          </w:tcPr>
          <w:p w:rsidR="00BD5B7F" w:rsidRPr="00865DA5" w:rsidRDefault="00BD5B7F" w:rsidP="000E5961">
            <w:pPr>
              <w:jc w:val="center"/>
              <w:rPr>
                <w:rFonts w:ascii="Arial" w:eastAsia="Calibri" w:hAnsi="Arial" w:cs="Arial"/>
                <w:b/>
                <w:bCs/>
                <w:i/>
                <w:iCs/>
                <w:color w:val="FFFFFF"/>
                <w:sz w:val="18"/>
                <w:szCs w:val="18"/>
                <w:lang w:val="fr-FR"/>
              </w:rPr>
            </w:pPr>
          </w:p>
        </w:tc>
        <w:tc>
          <w:tcPr>
            <w:tcW w:w="1000" w:type="pct"/>
            <w:tcBorders>
              <w:top w:val="single" w:sz="8" w:space="0" w:color="4F81BD"/>
              <w:left w:val="nil"/>
              <w:bottom w:val="nil"/>
              <w:right w:val="nil"/>
            </w:tcBorders>
            <w:shd w:val="clear" w:color="auto" w:fill="4F81BD"/>
            <w:vAlign w:val="center"/>
          </w:tcPr>
          <w:p w:rsidR="00BD5B7F" w:rsidRPr="00865DA5" w:rsidRDefault="00BD5B7F" w:rsidP="000E5961">
            <w:pPr>
              <w:jc w:val="center"/>
              <w:rPr>
                <w:rFonts w:ascii="Arial" w:eastAsia="Calibri" w:hAnsi="Arial" w:cs="Arial"/>
                <w:b/>
                <w:bCs/>
                <w:i/>
                <w:iCs/>
                <w:color w:val="FFFFFF"/>
                <w:sz w:val="18"/>
                <w:szCs w:val="18"/>
                <w:lang w:val="fr-FR"/>
              </w:rPr>
            </w:pPr>
          </w:p>
        </w:tc>
        <w:tc>
          <w:tcPr>
            <w:tcW w:w="1000" w:type="pct"/>
            <w:tcBorders>
              <w:top w:val="single" w:sz="8" w:space="0" w:color="4F81BD"/>
              <w:left w:val="nil"/>
              <w:bottom w:val="nil"/>
              <w:right w:val="nil"/>
            </w:tcBorders>
            <w:shd w:val="clear" w:color="auto" w:fill="4F81BD"/>
            <w:vAlign w:val="center"/>
          </w:tcPr>
          <w:p w:rsidR="00BD5B7F" w:rsidRPr="00865DA5" w:rsidRDefault="00BD5B7F" w:rsidP="000E5961">
            <w:pPr>
              <w:jc w:val="center"/>
              <w:rPr>
                <w:rFonts w:ascii="Arial" w:eastAsia="Calibri" w:hAnsi="Arial" w:cs="Arial"/>
                <w:b/>
                <w:bCs/>
                <w:i/>
                <w:iCs/>
                <w:color w:val="FFFFFF"/>
                <w:sz w:val="18"/>
                <w:szCs w:val="18"/>
                <w:lang w:val="fr-FR"/>
              </w:rPr>
            </w:pPr>
          </w:p>
        </w:tc>
        <w:tc>
          <w:tcPr>
            <w:tcW w:w="1000" w:type="pct"/>
            <w:tcBorders>
              <w:top w:val="single" w:sz="8" w:space="0" w:color="4F81BD"/>
              <w:left w:val="nil"/>
              <w:bottom w:val="nil"/>
              <w:right w:val="single" w:sz="8" w:space="0" w:color="4F81BD"/>
            </w:tcBorders>
            <w:shd w:val="clear" w:color="auto" w:fill="4F81BD"/>
            <w:vAlign w:val="center"/>
            <w:hideMark/>
          </w:tcPr>
          <w:p w:rsidR="00BD5B7F" w:rsidRPr="00865DA5" w:rsidRDefault="00BD5B7F" w:rsidP="000E5961">
            <w:pPr>
              <w:jc w:val="center"/>
              <w:rPr>
                <w:rFonts w:ascii="Arial" w:eastAsia="Calibri" w:hAnsi="Arial" w:cs="Arial"/>
                <w:b/>
                <w:bCs/>
                <w:i/>
                <w:iCs/>
                <w:color w:val="FFFFFF"/>
                <w:sz w:val="18"/>
                <w:szCs w:val="18"/>
                <w:lang w:val="fr-FR"/>
              </w:rPr>
            </w:pPr>
            <w:r w:rsidRPr="00865DA5">
              <w:rPr>
                <w:rFonts w:ascii="Arial" w:eastAsia="Arial" w:hAnsi="Arial" w:cs="Arial"/>
                <w:b/>
                <w:bCs/>
                <w:i/>
                <w:iCs/>
                <w:color w:val="FFFFFF"/>
                <w:sz w:val="18"/>
                <w:szCs w:val="18"/>
                <w:bdr w:val="none" w:sz="0" w:space="0" w:color="auto" w:frame="1"/>
                <w:lang w:val="fr-FR"/>
              </w:rPr>
              <w:t>Suffisant pour lutter correctement contre l’IKB</w:t>
            </w:r>
          </w:p>
        </w:tc>
      </w:tr>
      <w:tr w:rsidR="00BD5B7F" w:rsidRPr="00FF6562" w:rsidTr="000E5961">
        <w:tc>
          <w:tcPr>
            <w:tcW w:w="1000" w:type="pct"/>
            <w:tcBorders>
              <w:top w:val="single" w:sz="8" w:space="0" w:color="4F81BD"/>
              <w:left w:val="single" w:sz="8" w:space="0" w:color="4F81BD"/>
              <w:bottom w:val="single" w:sz="8" w:space="0" w:color="4F81BD"/>
              <w:right w:val="nil"/>
            </w:tcBorders>
            <w:hideMark/>
          </w:tcPr>
          <w:p w:rsidR="00BD5B7F" w:rsidRPr="00FF6562" w:rsidRDefault="00BD5B7F" w:rsidP="000E5961">
            <w:pPr>
              <w:jc w:val="center"/>
              <w:rPr>
                <w:rFonts w:ascii="Arial" w:eastAsia="Calibri" w:hAnsi="Arial" w:cs="Arial"/>
                <w:b/>
                <w:bCs/>
                <w:iCs/>
                <w:color w:val="000000"/>
                <w:sz w:val="18"/>
                <w:szCs w:val="18"/>
              </w:rPr>
            </w:pPr>
            <w:r w:rsidRPr="00FF6562">
              <w:rPr>
                <w:rFonts w:ascii="Arial" w:eastAsia="Calibri" w:hAnsi="Arial" w:cs="Arial"/>
                <w:b/>
                <w:bCs/>
                <w:iCs/>
                <w:color w:val="000000"/>
                <w:sz w:val="18"/>
                <w:szCs w:val="18"/>
              </w:rPr>
              <w:t xml:space="preserve">1 </w:t>
            </w:r>
            <w:r w:rsidRPr="00FF6562">
              <w:rPr>
                <w:rFonts w:ascii="Arial" w:eastAsia="Arial" w:hAnsi="Arial" w:cs="Arial"/>
                <w:b/>
                <w:bCs/>
                <w:color w:val="000000"/>
                <w:sz w:val="18"/>
                <w:szCs w:val="18"/>
              </w:rPr>
              <w:t>􀜆</w:t>
            </w:r>
          </w:p>
        </w:tc>
        <w:tc>
          <w:tcPr>
            <w:tcW w:w="1000" w:type="pct"/>
            <w:tcBorders>
              <w:top w:val="single" w:sz="8" w:space="0" w:color="4F81BD"/>
              <w:left w:val="nil"/>
              <w:bottom w:val="single" w:sz="8" w:space="0" w:color="4F81BD"/>
              <w:right w:val="nil"/>
            </w:tcBorders>
            <w:hideMark/>
          </w:tcPr>
          <w:p w:rsidR="00BD5B7F" w:rsidRPr="00FF6562" w:rsidRDefault="00BD5B7F" w:rsidP="000E5961">
            <w:pPr>
              <w:jc w:val="center"/>
              <w:rPr>
                <w:rFonts w:ascii="Arial" w:eastAsia="Calibri" w:hAnsi="Arial" w:cs="Arial"/>
                <w:b/>
                <w:iCs/>
                <w:color w:val="000000"/>
                <w:sz w:val="18"/>
                <w:szCs w:val="18"/>
              </w:rPr>
            </w:pPr>
            <w:r w:rsidRPr="00FF6562">
              <w:rPr>
                <w:rFonts w:ascii="Arial" w:eastAsia="Calibri" w:hAnsi="Arial" w:cs="Arial"/>
                <w:b/>
                <w:iCs/>
                <w:color w:val="000000"/>
                <w:sz w:val="18"/>
                <w:szCs w:val="18"/>
              </w:rPr>
              <w:t xml:space="preserve">2 </w:t>
            </w:r>
            <w:r w:rsidRPr="00FF6562">
              <w:rPr>
                <w:rFonts w:ascii="Arial" w:eastAsia="Arial" w:hAnsi="Arial" w:cs="Arial"/>
                <w:color w:val="000000"/>
                <w:sz w:val="18"/>
                <w:szCs w:val="18"/>
              </w:rPr>
              <w:t>􀜆</w:t>
            </w:r>
          </w:p>
        </w:tc>
        <w:tc>
          <w:tcPr>
            <w:tcW w:w="1000" w:type="pct"/>
            <w:tcBorders>
              <w:top w:val="single" w:sz="8" w:space="0" w:color="4F81BD"/>
              <w:left w:val="nil"/>
              <w:bottom w:val="single" w:sz="8" w:space="0" w:color="4F81BD"/>
              <w:right w:val="nil"/>
            </w:tcBorders>
            <w:hideMark/>
          </w:tcPr>
          <w:p w:rsidR="00BD5B7F" w:rsidRPr="00FF6562" w:rsidRDefault="00BD5B7F" w:rsidP="000E5961">
            <w:pPr>
              <w:jc w:val="center"/>
              <w:rPr>
                <w:rFonts w:ascii="Arial" w:eastAsia="Calibri" w:hAnsi="Arial" w:cs="Arial"/>
                <w:b/>
                <w:iCs/>
                <w:color w:val="000000"/>
                <w:sz w:val="18"/>
                <w:szCs w:val="18"/>
              </w:rPr>
            </w:pPr>
            <w:r w:rsidRPr="00FF6562">
              <w:rPr>
                <w:rFonts w:ascii="Arial" w:eastAsia="Calibri" w:hAnsi="Arial" w:cs="Arial"/>
                <w:b/>
                <w:iCs/>
                <w:color w:val="000000"/>
                <w:sz w:val="18"/>
                <w:szCs w:val="18"/>
              </w:rPr>
              <w:t xml:space="preserve">3 </w:t>
            </w:r>
            <w:r w:rsidRPr="00FF6562">
              <w:rPr>
                <w:rFonts w:ascii="Arial" w:eastAsia="Arial" w:hAnsi="Arial" w:cs="Arial"/>
                <w:color w:val="000000"/>
                <w:sz w:val="18"/>
                <w:szCs w:val="18"/>
              </w:rPr>
              <w:t>􀜆</w:t>
            </w:r>
          </w:p>
        </w:tc>
        <w:tc>
          <w:tcPr>
            <w:tcW w:w="1000" w:type="pct"/>
            <w:tcBorders>
              <w:top w:val="single" w:sz="8" w:space="0" w:color="4F81BD"/>
              <w:left w:val="nil"/>
              <w:bottom w:val="single" w:sz="8" w:space="0" w:color="4F81BD"/>
              <w:right w:val="nil"/>
            </w:tcBorders>
            <w:hideMark/>
          </w:tcPr>
          <w:p w:rsidR="00BD5B7F" w:rsidRPr="00FF6562" w:rsidRDefault="00BD5B7F" w:rsidP="000E5961">
            <w:pPr>
              <w:jc w:val="center"/>
              <w:rPr>
                <w:rFonts w:ascii="Arial" w:eastAsia="Calibri" w:hAnsi="Arial" w:cs="Arial"/>
                <w:b/>
                <w:iCs/>
                <w:color w:val="000000"/>
                <w:sz w:val="18"/>
                <w:szCs w:val="18"/>
              </w:rPr>
            </w:pPr>
            <w:r w:rsidRPr="00FF6562">
              <w:rPr>
                <w:rFonts w:ascii="Arial" w:eastAsia="Calibri" w:hAnsi="Arial" w:cs="Arial"/>
                <w:b/>
                <w:iCs/>
                <w:color w:val="000000"/>
                <w:sz w:val="18"/>
                <w:szCs w:val="18"/>
              </w:rPr>
              <w:t xml:space="preserve">4 </w:t>
            </w:r>
            <w:r w:rsidRPr="00FF6562">
              <w:rPr>
                <w:rFonts w:ascii="Arial" w:eastAsia="Arial" w:hAnsi="Arial" w:cs="Arial"/>
                <w:color w:val="000000"/>
                <w:sz w:val="18"/>
                <w:szCs w:val="18"/>
              </w:rPr>
              <w:t>􀜆</w:t>
            </w:r>
          </w:p>
        </w:tc>
        <w:tc>
          <w:tcPr>
            <w:tcW w:w="1000" w:type="pct"/>
            <w:tcBorders>
              <w:top w:val="single" w:sz="8" w:space="0" w:color="4F81BD"/>
              <w:left w:val="nil"/>
              <w:bottom w:val="single" w:sz="8" w:space="0" w:color="4F81BD"/>
              <w:right w:val="single" w:sz="8" w:space="0" w:color="4F81BD"/>
            </w:tcBorders>
            <w:hideMark/>
          </w:tcPr>
          <w:p w:rsidR="00BD5B7F" w:rsidRPr="00FF6562" w:rsidRDefault="00BD5B7F" w:rsidP="000E5961">
            <w:pPr>
              <w:jc w:val="center"/>
              <w:rPr>
                <w:rFonts w:ascii="Arial" w:eastAsia="Calibri" w:hAnsi="Arial" w:cs="Arial"/>
                <w:b/>
                <w:iCs/>
                <w:color w:val="000000"/>
                <w:sz w:val="18"/>
                <w:szCs w:val="18"/>
              </w:rPr>
            </w:pPr>
            <w:r w:rsidRPr="00FF6562">
              <w:rPr>
                <w:rFonts w:ascii="Arial" w:eastAsia="Calibri" w:hAnsi="Arial" w:cs="Arial"/>
                <w:b/>
                <w:iCs/>
                <w:color w:val="000000"/>
                <w:sz w:val="18"/>
                <w:szCs w:val="18"/>
              </w:rPr>
              <w:t xml:space="preserve">5 </w:t>
            </w:r>
            <w:r w:rsidRPr="00FF6562">
              <w:rPr>
                <w:rFonts w:ascii="Arial" w:eastAsia="Arial" w:hAnsi="Arial" w:cs="Arial"/>
                <w:color w:val="000000"/>
                <w:sz w:val="18"/>
                <w:szCs w:val="18"/>
              </w:rPr>
              <w:t>􀜆</w:t>
            </w:r>
          </w:p>
        </w:tc>
      </w:tr>
    </w:tbl>
    <w:p w:rsidR="00BD5B7F" w:rsidRPr="00FF6562" w:rsidRDefault="00BD5B7F" w:rsidP="00BD5B7F">
      <w:pPr>
        <w:rPr>
          <w:rFonts w:ascii="Arial" w:eastAsia="Calibri" w:hAnsi="Arial" w:cs="Arial"/>
          <w:i/>
          <w:iCs/>
          <w:color w:val="000000"/>
          <w:sz w:val="18"/>
          <w:szCs w:val="18"/>
        </w:rPr>
      </w:pPr>
    </w:p>
    <w:p w:rsidR="00BD5B7F" w:rsidRPr="00FF6562" w:rsidRDefault="00BD5B7F" w:rsidP="00BD5B7F">
      <w:pPr>
        <w:rPr>
          <w:rFonts w:ascii="Arial" w:eastAsia="Calibri" w:hAnsi="Arial" w:cs="Arial"/>
          <w:color w:val="000000"/>
          <w:sz w:val="12"/>
          <w:szCs w:val="12"/>
        </w:rPr>
      </w:pPr>
    </w:p>
    <w:p w:rsidR="00BD5B7F" w:rsidRPr="00FF6562" w:rsidRDefault="00BD5B7F" w:rsidP="00BD5B7F">
      <w:pPr>
        <w:rPr>
          <w:rFonts w:ascii="Arial" w:eastAsia="Calibri" w:hAnsi="Arial" w:cs="Arial"/>
          <w:color w:val="000000"/>
          <w:sz w:val="12"/>
          <w:szCs w:val="12"/>
        </w:rPr>
      </w:pPr>
    </w:p>
    <w:p w:rsidR="00BD5B7F" w:rsidRPr="00FF6562" w:rsidRDefault="00BD5B7F" w:rsidP="00BD5B7F">
      <w:pPr>
        <w:rPr>
          <w:rFonts w:ascii="Arial" w:eastAsia="Calibri" w:hAnsi="Arial" w:cs="Arial"/>
          <w:color w:val="000000"/>
          <w:sz w:val="22"/>
          <w:szCs w:val="22"/>
        </w:rPr>
      </w:pPr>
      <w:r w:rsidRPr="00FF6562">
        <w:rPr>
          <w:rFonts w:ascii="Arial" w:eastAsia="Arial" w:hAnsi="Arial" w:cs="Arial"/>
          <w:color w:val="000000"/>
          <w:sz w:val="22"/>
          <w:szCs w:val="22"/>
          <w:bdr w:val="none" w:sz="0" w:space="0" w:color="auto" w:frame="1"/>
        </w:rPr>
        <w:t>Commentaires</w:t>
      </w:r>
      <w:r w:rsidRPr="00FF6562">
        <w:rPr>
          <w:rFonts w:ascii="Arial" w:eastAsia="Calibri" w:hAnsi="Arial" w:cs="Arial"/>
          <w:color w:val="000000"/>
          <w:sz w:val="22"/>
          <w:szCs w:val="22"/>
          <w:vertAlign w:val="superscript"/>
        </w:rPr>
        <w:footnoteReference w:id="38"/>
      </w:r>
      <w:r w:rsidRPr="00FF6562">
        <w:rPr>
          <w:rFonts w:ascii="Arial" w:eastAsia="Arial" w:hAnsi="Arial" w:cs="Arial"/>
          <w:color w:val="000000"/>
          <w:sz w:val="22"/>
          <w:szCs w:val="22"/>
          <w:bdr w:val="none" w:sz="0" w:space="0" w:color="auto" w:frame="1"/>
        </w:rPr>
        <w:t> :</w:t>
      </w:r>
    </w:p>
    <w:p w:rsidR="00BD5B7F" w:rsidRPr="00FF6562" w:rsidRDefault="00BD5B7F" w:rsidP="00BD5B7F">
      <w:pPr>
        <w:rPr>
          <w:rFonts w:ascii="Arial" w:eastAsia="Calibri" w:hAnsi="Arial" w:cs="Arial"/>
          <w:color w:val="000000"/>
          <w:sz w:val="12"/>
          <w:szCs w:val="12"/>
        </w:rPr>
      </w:pPr>
    </w:p>
    <w:p w:rsidR="00BD5B7F" w:rsidRPr="00FF6562" w:rsidRDefault="00BD5B7F" w:rsidP="00BD5B7F">
      <w:pPr>
        <w:rPr>
          <w:rFonts w:ascii="Arial" w:hAnsi="Arial" w:cs="Arial"/>
          <w:b/>
          <w:bCs/>
          <w:color w:val="4F81BD"/>
          <w:sz w:val="32"/>
          <w:szCs w:val="32"/>
        </w:rPr>
      </w:pPr>
      <w:r w:rsidRPr="00FF6562">
        <w:rPr>
          <w:rFonts w:ascii="Arial" w:eastAsia="Calibri" w:hAnsi="Arial" w:cs="Arial"/>
          <w:color w:val="000000"/>
          <w:sz w:val="32"/>
          <w:szCs w:val="32"/>
        </w:rPr>
        <w:br w:type="page"/>
      </w:r>
    </w:p>
    <w:p w:rsidR="00BD5B7F" w:rsidRPr="00865DA5" w:rsidRDefault="00BD5B7F" w:rsidP="00BD5B7F">
      <w:pPr>
        <w:keepNext/>
        <w:keepLines/>
        <w:spacing w:after="120"/>
        <w:jc w:val="both"/>
        <w:outlineLvl w:val="1"/>
        <w:rPr>
          <w:rFonts w:ascii="Arial" w:hAnsi="Arial" w:cs="Arial"/>
          <w:b/>
          <w:color w:val="000000"/>
          <w:sz w:val="30"/>
          <w:szCs w:val="30"/>
          <w:lang w:val="fr-FR"/>
        </w:rPr>
      </w:pPr>
      <w:bookmarkStart w:id="82" w:name="_Toc491245256"/>
      <w:bookmarkStart w:id="83" w:name="_Toc491245060"/>
      <w:bookmarkStart w:id="84" w:name="_Toc486539593"/>
      <w:r w:rsidRPr="00865DA5">
        <w:rPr>
          <w:rFonts w:ascii="Arial" w:eastAsia="Arial" w:hAnsi="Arial" w:cs="Arial"/>
          <w:b/>
          <w:bCs/>
          <w:color w:val="000000"/>
          <w:sz w:val="30"/>
          <w:szCs w:val="30"/>
          <w:bdr w:val="none" w:sz="0" w:space="0" w:color="auto" w:frame="1"/>
          <w:lang w:val="fr-FR"/>
        </w:rPr>
        <w:lastRenderedPageBreak/>
        <w:t>D. Poursuites et condamnations - Efficacité des procédures judiciaires</w:t>
      </w:r>
      <w:bookmarkEnd w:id="82"/>
      <w:bookmarkEnd w:id="83"/>
      <w:bookmarkEnd w:id="84"/>
    </w:p>
    <w:p w:rsidR="00BD5B7F" w:rsidRPr="00865DA5" w:rsidRDefault="00BD5B7F" w:rsidP="00BD5B7F">
      <w:pPr>
        <w:keepNext/>
        <w:keepLines/>
        <w:jc w:val="both"/>
        <w:outlineLvl w:val="3"/>
        <w:rPr>
          <w:rFonts w:ascii="Arial" w:hAnsi="Arial" w:cs="Arial"/>
          <w:b/>
          <w:iCs/>
          <w:color w:val="000000"/>
          <w:sz w:val="28"/>
          <w:szCs w:val="22"/>
          <w:lang w:val="fr-FR"/>
        </w:rPr>
      </w:pPr>
      <w:bookmarkStart w:id="85" w:name="_Toc491245257"/>
      <w:bookmarkStart w:id="86" w:name="_Toc486539594"/>
      <w:r w:rsidRPr="00865DA5">
        <w:rPr>
          <w:rFonts w:ascii="Arial" w:eastAsia="Arial" w:hAnsi="Arial" w:cs="Arial"/>
          <w:b/>
          <w:bCs/>
          <w:iCs/>
          <w:color w:val="000000"/>
          <w:sz w:val="28"/>
          <w:szCs w:val="28"/>
          <w:bdr w:val="none" w:sz="0" w:space="0" w:color="auto" w:frame="1"/>
          <w:lang w:val="fr-FR"/>
        </w:rPr>
        <w:t>20. Qualité des procédures judiciaires</w:t>
      </w:r>
      <w:bookmarkEnd w:id="85"/>
      <w:bookmarkEnd w:id="86"/>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L’efficacité et l’efficience de l’administration de sanctions pour les infractions relatives à l’IKB.</w:t>
      </w:r>
    </w:p>
    <w:p w:rsidR="00BD5B7F" w:rsidRPr="00865DA5" w:rsidRDefault="00BD5B7F" w:rsidP="00BD5B7F">
      <w:pPr>
        <w:jc w:val="both"/>
        <w:rPr>
          <w:rFonts w:ascii="Arial" w:eastAsia="Calibri" w:hAnsi="Arial" w:cs="Arial"/>
          <w:color w:val="000000"/>
          <w:sz w:val="22"/>
          <w:szCs w:val="18"/>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Les sanctions pour des infractions relatives à l’IKB sont-elles administrées de manière efficace et efficiente ?</w:t>
      </w:r>
    </w:p>
    <w:p w:rsidR="00BD5B7F" w:rsidRPr="00FF6562" w:rsidRDefault="00BD5B7F" w:rsidP="00BD5B7F">
      <w:pPr>
        <w:spacing w:after="120"/>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9"/>
        <w:gridCol w:w="2309"/>
        <w:gridCol w:w="14"/>
        <w:gridCol w:w="2322"/>
        <w:gridCol w:w="2326"/>
      </w:tblGrid>
      <w:tr w:rsidR="00BD5B7F" w:rsidRPr="00FF6562" w:rsidTr="000E5961">
        <w:tc>
          <w:tcPr>
            <w:tcW w:w="2310"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1"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39"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2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trHeight w:val="2346"/>
        </w:trPr>
        <w:tc>
          <w:tcPr>
            <w:tcW w:w="2319"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affaires d’IKB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Ne sont </w:t>
            </w:r>
            <w:r w:rsidRPr="00865DA5">
              <w:rPr>
                <w:rFonts w:ascii="Arial" w:eastAsia="Arial" w:hAnsi="Arial" w:cs="Arial"/>
                <w:b/>
                <w:color w:val="000000"/>
                <w:sz w:val="18"/>
                <w:szCs w:val="18"/>
                <w:bdr w:val="none" w:sz="0" w:space="0" w:color="auto" w:frame="1"/>
                <w:lang w:val="fr-FR"/>
              </w:rPr>
              <w:t>pas</w:t>
            </w:r>
            <w:r w:rsidRPr="00865DA5">
              <w:rPr>
                <w:rFonts w:ascii="Arial" w:eastAsia="Arial" w:hAnsi="Arial" w:cs="Arial"/>
                <w:color w:val="000000"/>
                <w:sz w:val="18"/>
                <w:szCs w:val="18"/>
                <w:bdr w:val="none" w:sz="0" w:space="0" w:color="auto" w:frame="1"/>
                <w:lang w:val="fr-FR"/>
              </w:rPr>
              <w:t xml:space="preserve"> traduites devant le tribunal pénal</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N’entraînent </w:t>
            </w:r>
            <w:r w:rsidRPr="00865DA5">
              <w:rPr>
                <w:rFonts w:ascii="Arial" w:eastAsia="Arial" w:hAnsi="Arial" w:cs="Arial"/>
                <w:b/>
                <w:bCs/>
                <w:color w:val="000000"/>
                <w:sz w:val="18"/>
                <w:szCs w:val="18"/>
                <w:bdr w:val="none" w:sz="0" w:space="0" w:color="auto" w:frame="1"/>
                <w:lang w:val="fr-FR"/>
              </w:rPr>
              <w:t>pas</w:t>
            </w:r>
            <w:r w:rsidRPr="00865DA5">
              <w:rPr>
                <w:rFonts w:ascii="Arial" w:eastAsia="Arial" w:hAnsi="Arial" w:cs="Arial"/>
                <w:color w:val="000000"/>
                <w:sz w:val="18"/>
                <w:szCs w:val="18"/>
                <w:bdr w:val="none" w:sz="0" w:space="0" w:color="auto" w:frame="1"/>
                <w:lang w:val="fr-FR"/>
              </w:rPr>
              <w:t xml:space="preserve"> de sanctions administratives ou d’autres types de sanctions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Ne sont pas enregistrées et ne sont pas accessibles à d’autres procureurs/juges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Les rapports de la société civile concernant l’IKB sont rarement étudiés</w:t>
            </w:r>
          </w:p>
        </w:tc>
        <w:tc>
          <w:tcPr>
            <w:tcW w:w="2326"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affaires d’IKB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Prennent généralement</w:t>
            </w:r>
            <w:r w:rsidRPr="00FF6562">
              <w:rPr>
                <w:rFonts w:ascii="Arial" w:eastAsia="Calibri" w:hAnsi="Arial" w:cs="Arial"/>
                <w:color w:val="000000"/>
                <w:sz w:val="18"/>
                <w:szCs w:val="18"/>
                <w:vertAlign w:val="superscript"/>
              </w:rPr>
              <w:footnoteReference w:id="39"/>
            </w:r>
            <w:r w:rsidRPr="00865DA5">
              <w:rPr>
                <w:rFonts w:ascii="Arial" w:eastAsia="Arial" w:hAnsi="Arial" w:cs="Arial"/>
                <w:color w:val="000000"/>
                <w:sz w:val="18"/>
                <w:szCs w:val="18"/>
                <w:bdr w:val="none" w:sz="0" w:space="0" w:color="auto" w:frame="1"/>
                <w:lang w:val="fr-FR"/>
              </w:rPr>
              <w:t xml:space="preserve"> plus de </w:t>
            </w:r>
            <w:r w:rsidRPr="00865DA5">
              <w:rPr>
                <w:rFonts w:ascii="Arial" w:eastAsia="Arial" w:hAnsi="Arial" w:cs="Arial"/>
                <w:b/>
                <w:bCs/>
                <w:color w:val="000000"/>
                <w:sz w:val="18"/>
                <w:szCs w:val="18"/>
                <w:bdr w:val="none" w:sz="0" w:space="0" w:color="auto" w:frame="1"/>
                <w:lang w:val="fr-FR"/>
              </w:rPr>
              <w:t>deux ans</w:t>
            </w:r>
            <w:r w:rsidRPr="00865DA5">
              <w:rPr>
                <w:rFonts w:ascii="Arial" w:eastAsia="Arial" w:hAnsi="Arial" w:cs="Arial"/>
                <w:color w:val="000000"/>
                <w:sz w:val="18"/>
                <w:szCs w:val="18"/>
                <w:bdr w:val="none" w:sz="0" w:space="0" w:color="auto" w:frame="1"/>
                <w:lang w:val="fr-FR"/>
              </w:rPr>
              <w:t xml:space="preserve"> pour être conclues dans le cas d’une procédure pénale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Prennent généralement</w:t>
            </w:r>
            <w:r w:rsidRPr="00FF6562">
              <w:rPr>
                <w:rFonts w:ascii="Arial" w:eastAsia="Calibri" w:hAnsi="Arial" w:cs="Arial"/>
                <w:color w:val="000000"/>
                <w:sz w:val="18"/>
                <w:szCs w:val="18"/>
                <w:vertAlign w:val="superscript"/>
              </w:rPr>
              <w:footnoteReference w:id="40"/>
            </w:r>
            <w:r w:rsidRPr="00865DA5">
              <w:rPr>
                <w:rFonts w:ascii="Arial" w:eastAsia="Arial" w:hAnsi="Arial" w:cs="Arial"/>
                <w:color w:val="000000"/>
                <w:sz w:val="18"/>
                <w:szCs w:val="18"/>
                <w:bdr w:val="none" w:sz="0" w:space="0" w:color="auto" w:frame="1"/>
                <w:lang w:val="fr-FR"/>
              </w:rPr>
              <w:t xml:space="preserve"> plus de </w:t>
            </w:r>
            <w:r w:rsidRPr="00865DA5">
              <w:rPr>
                <w:rFonts w:ascii="Arial" w:eastAsia="Arial" w:hAnsi="Arial" w:cs="Arial"/>
                <w:b/>
                <w:color w:val="000000"/>
                <w:sz w:val="18"/>
                <w:szCs w:val="18"/>
                <w:bdr w:val="none" w:sz="0" w:space="0" w:color="auto" w:frame="1"/>
                <w:lang w:val="fr-FR"/>
              </w:rPr>
              <w:t>six mois</w:t>
            </w:r>
            <w:r w:rsidRPr="00865DA5">
              <w:rPr>
                <w:rFonts w:ascii="Arial" w:eastAsia="Arial" w:hAnsi="Arial" w:cs="Arial"/>
                <w:color w:val="000000"/>
                <w:sz w:val="18"/>
                <w:szCs w:val="18"/>
                <w:bdr w:val="none" w:sz="0" w:space="0" w:color="auto" w:frame="1"/>
                <w:lang w:val="fr-FR"/>
              </w:rPr>
              <w:t xml:space="preserve"> pour être conclues dans le cas d’une sanction administrative ou d’un autre type de sanction</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En général, il en résulte </w:t>
            </w:r>
            <w:r w:rsidRPr="00865DA5">
              <w:rPr>
                <w:rFonts w:ascii="Arial" w:eastAsia="Arial" w:hAnsi="Arial" w:cs="Arial"/>
                <w:b/>
                <w:color w:val="000000"/>
                <w:sz w:val="18"/>
                <w:szCs w:val="18"/>
                <w:bdr w:val="none" w:sz="0" w:space="0" w:color="auto" w:frame="1"/>
                <w:lang w:val="fr-FR"/>
              </w:rPr>
              <w:t>plus de 50 %</w:t>
            </w:r>
            <w:r w:rsidRPr="00865DA5">
              <w:rPr>
                <w:rFonts w:ascii="Arial" w:eastAsia="Arial" w:hAnsi="Arial" w:cs="Arial"/>
                <w:color w:val="000000"/>
                <w:sz w:val="18"/>
                <w:szCs w:val="18"/>
                <w:bdr w:val="none" w:sz="0" w:space="0" w:color="auto" w:frame="1"/>
                <w:lang w:val="fr-FR"/>
              </w:rPr>
              <w:t xml:space="preserve"> d’acquittements</w:t>
            </w:r>
            <w:r w:rsidRPr="00FF6562">
              <w:rPr>
                <w:rFonts w:ascii="Arial" w:eastAsia="Calibri" w:hAnsi="Arial" w:cs="Arial"/>
                <w:color w:val="000000"/>
                <w:sz w:val="18"/>
                <w:szCs w:val="18"/>
                <w:vertAlign w:val="superscript"/>
              </w:rPr>
              <w:footnoteReference w:id="41"/>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traitées par des procureurs généraux et des juges </w:t>
            </w:r>
            <w:r w:rsidRPr="00865DA5">
              <w:rPr>
                <w:rFonts w:ascii="Arial" w:eastAsia="Arial" w:hAnsi="Arial" w:cs="Arial"/>
                <w:b/>
                <w:bCs/>
                <w:color w:val="000000"/>
                <w:sz w:val="18"/>
                <w:szCs w:val="18"/>
                <w:bdr w:val="none" w:sz="0" w:space="0" w:color="auto" w:frame="1"/>
                <w:lang w:val="fr-FR"/>
              </w:rPr>
              <w:t>non</w:t>
            </w:r>
            <w:r w:rsidRPr="00865DA5">
              <w:rPr>
                <w:rFonts w:ascii="Arial" w:eastAsia="Arial" w:hAnsi="Arial" w:cs="Arial"/>
                <w:color w:val="000000"/>
                <w:sz w:val="18"/>
                <w:szCs w:val="18"/>
                <w:bdr w:val="none" w:sz="0" w:space="0" w:color="auto" w:frame="1"/>
                <w:lang w:val="fr-FR"/>
              </w:rPr>
              <w:t xml:space="preserve"> spécialisés dans la criminalité liée aux espèces sauvages</w:t>
            </w:r>
          </w:p>
          <w:p w:rsidR="00BD5B7F" w:rsidRPr="00865DA5" w:rsidRDefault="00BD5B7F" w:rsidP="000E5961">
            <w:pPr>
              <w:rPr>
                <w:rFonts w:ascii="Arial" w:eastAsia="Arial" w:hAnsi="Arial" w:cs="Arial"/>
                <w:color w:val="000000"/>
                <w:sz w:val="18"/>
                <w:szCs w:val="18"/>
                <w:bdr w:val="none" w:sz="0" w:space="0" w:color="auto" w:frame="1"/>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enregistrées mais ne sont pas facilement accessibles à d’autres procureurs/juges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Les rapports de la société civile concernant l’IKB font habituellement l’objet d’enquêtes.</w:t>
            </w:r>
          </w:p>
          <w:p w:rsidR="00BD5B7F" w:rsidRPr="00865DA5" w:rsidRDefault="00BD5B7F" w:rsidP="000E5961">
            <w:pPr>
              <w:rPr>
                <w:rFonts w:ascii="Arial" w:eastAsia="Calibri" w:hAnsi="Arial" w:cs="Arial"/>
                <w:color w:val="000000"/>
                <w:sz w:val="18"/>
                <w:szCs w:val="18"/>
                <w:lang w:val="fr-FR"/>
              </w:rPr>
            </w:pPr>
          </w:p>
        </w:tc>
        <w:tc>
          <w:tcPr>
            <w:tcW w:w="2325"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affaires d’IKB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Prennent généralement </w:t>
            </w:r>
            <w:r w:rsidRPr="00865DA5">
              <w:rPr>
                <w:rFonts w:ascii="Arial" w:eastAsia="Arial" w:hAnsi="Arial" w:cs="Arial"/>
                <w:b/>
                <w:bCs/>
                <w:color w:val="000000"/>
                <w:sz w:val="18"/>
                <w:szCs w:val="18"/>
                <w:bdr w:val="none" w:sz="0" w:space="0" w:color="auto" w:frame="1"/>
                <w:lang w:val="fr-FR"/>
              </w:rPr>
              <w:t>plus d’un an</w:t>
            </w:r>
            <w:r w:rsidRPr="00865DA5">
              <w:rPr>
                <w:rFonts w:ascii="Arial" w:eastAsia="Arial" w:hAnsi="Arial" w:cs="Arial"/>
                <w:color w:val="000000"/>
                <w:sz w:val="18"/>
                <w:szCs w:val="18"/>
                <w:bdr w:val="none" w:sz="0" w:space="0" w:color="auto" w:frame="1"/>
                <w:lang w:val="fr-FR"/>
              </w:rPr>
              <w:t xml:space="preserve"> mais moins de deux ans pour être conclues dans le cas d’une procédure pénale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Prennent généralement </w:t>
            </w:r>
            <w:r w:rsidRPr="00865DA5">
              <w:rPr>
                <w:rFonts w:ascii="Arial" w:eastAsia="Arial" w:hAnsi="Arial" w:cs="Arial"/>
                <w:b/>
                <w:bCs/>
                <w:color w:val="000000"/>
                <w:sz w:val="18"/>
                <w:szCs w:val="18"/>
                <w:bdr w:val="none" w:sz="0" w:space="0" w:color="auto" w:frame="1"/>
                <w:lang w:val="fr-FR"/>
              </w:rPr>
              <w:t xml:space="preserve">plus de trois mois </w:t>
            </w:r>
            <w:r w:rsidRPr="00865DA5">
              <w:rPr>
                <w:rFonts w:ascii="Arial" w:eastAsia="Arial" w:hAnsi="Arial" w:cs="Arial"/>
                <w:color w:val="000000"/>
                <w:sz w:val="18"/>
                <w:szCs w:val="18"/>
                <w:bdr w:val="none" w:sz="0" w:space="0" w:color="auto" w:frame="1"/>
                <w:lang w:val="fr-FR"/>
              </w:rPr>
              <w:t>mais moins de six mois pour être conclues dans le cas d’une sanction administrative ou d’un autre type de sanction</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En général, il en résulte </w:t>
            </w:r>
            <w:r w:rsidRPr="00865DA5">
              <w:rPr>
                <w:rFonts w:ascii="Arial" w:eastAsia="Arial" w:hAnsi="Arial" w:cs="Arial"/>
                <w:b/>
                <w:bCs/>
                <w:color w:val="000000"/>
                <w:sz w:val="18"/>
                <w:szCs w:val="18"/>
                <w:bdr w:val="none" w:sz="0" w:space="0" w:color="auto" w:frame="1"/>
                <w:lang w:val="fr-FR"/>
              </w:rPr>
              <w:t>moins de 25 %</w:t>
            </w:r>
            <w:r w:rsidRPr="00865DA5">
              <w:rPr>
                <w:rFonts w:ascii="Arial" w:eastAsia="Arial" w:hAnsi="Arial" w:cs="Arial"/>
                <w:color w:val="000000"/>
                <w:sz w:val="18"/>
                <w:szCs w:val="18"/>
                <w:bdr w:val="none" w:sz="0" w:space="0" w:color="auto" w:frame="1"/>
                <w:lang w:val="fr-FR"/>
              </w:rPr>
              <w:t xml:space="preserve"> d’acquittements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principalement traitées par des procureurs généraux et des juges </w:t>
            </w:r>
            <w:r w:rsidRPr="00865DA5">
              <w:rPr>
                <w:rFonts w:ascii="Arial" w:eastAsia="Arial" w:hAnsi="Arial" w:cs="Arial"/>
                <w:b/>
                <w:bCs/>
                <w:color w:val="000000"/>
                <w:sz w:val="18"/>
                <w:szCs w:val="18"/>
                <w:bdr w:val="none" w:sz="0" w:space="0" w:color="auto" w:frame="1"/>
                <w:lang w:val="fr-FR"/>
              </w:rPr>
              <w:t>qui tendent</w:t>
            </w:r>
            <w:r w:rsidRPr="00865DA5">
              <w:rPr>
                <w:rFonts w:ascii="Arial" w:eastAsia="Arial" w:hAnsi="Arial" w:cs="Arial"/>
                <w:color w:val="000000"/>
                <w:sz w:val="18"/>
                <w:szCs w:val="18"/>
                <w:bdr w:val="none" w:sz="0" w:space="0" w:color="auto" w:frame="1"/>
                <w:lang w:val="fr-FR"/>
              </w:rPr>
              <w:t xml:space="preserve"> à être spécialisés dans les affaires de criminalité liée aux espèces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Sont enregistrées et sont accessibles à d’autres procureurs/juges à l’échelle nationale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Les rapports de la société civile concernant l’IKB sont non seulement habituellement examinés, mais les données et les avis des ONG concernées sont régulièrement consultés et utilisés.</w:t>
            </w:r>
          </w:p>
        </w:tc>
        <w:tc>
          <w:tcPr>
            <w:tcW w:w="2329"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affaires d’IKB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Prennent généralement </w:t>
            </w:r>
            <w:r w:rsidRPr="00865DA5">
              <w:rPr>
                <w:rFonts w:ascii="Arial" w:eastAsia="Arial" w:hAnsi="Arial" w:cs="Arial"/>
                <w:b/>
                <w:bCs/>
                <w:color w:val="000000"/>
                <w:sz w:val="18"/>
                <w:szCs w:val="18"/>
                <w:bdr w:val="none" w:sz="0" w:space="0" w:color="auto" w:frame="1"/>
                <w:lang w:val="fr-FR"/>
              </w:rPr>
              <w:t>moins d’</w:t>
            </w:r>
            <w:r w:rsidRPr="00865DA5">
              <w:rPr>
                <w:rFonts w:ascii="Arial" w:eastAsia="Arial" w:hAnsi="Arial" w:cs="Arial"/>
                <w:b/>
                <w:color w:val="000000"/>
                <w:sz w:val="18"/>
                <w:szCs w:val="18"/>
                <w:bdr w:val="none" w:sz="0" w:space="0" w:color="auto" w:frame="1"/>
                <w:lang w:val="fr-FR"/>
              </w:rPr>
              <w:t>un an</w:t>
            </w:r>
            <w:r w:rsidRPr="00865DA5">
              <w:rPr>
                <w:rFonts w:ascii="Arial" w:eastAsia="Arial" w:hAnsi="Arial" w:cs="Arial"/>
                <w:sz w:val="18"/>
                <w:szCs w:val="18"/>
                <w:bdr w:val="none" w:sz="0" w:space="0" w:color="auto" w:frame="1"/>
                <w:lang w:val="fr-FR"/>
              </w:rPr>
              <w:t xml:space="preserve"> pour être conclues dans le cas d’une procédure pénale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Prennent généralement </w:t>
            </w:r>
            <w:r w:rsidRPr="00865DA5">
              <w:rPr>
                <w:rFonts w:ascii="Arial" w:eastAsia="Arial" w:hAnsi="Arial" w:cs="Arial"/>
                <w:b/>
                <w:bCs/>
                <w:color w:val="000000"/>
                <w:sz w:val="18"/>
                <w:szCs w:val="18"/>
                <w:bdr w:val="none" w:sz="0" w:space="0" w:color="auto" w:frame="1"/>
                <w:lang w:val="fr-FR"/>
              </w:rPr>
              <w:t>moins de trois mois</w:t>
            </w:r>
            <w:r w:rsidRPr="00865DA5">
              <w:rPr>
                <w:rFonts w:ascii="Arial" w:eastAsia="Arial" w:hAnsi="Arial" w:cs="Arial"/>
                <w:color w:val="000000"/>
                <w:sz w:val="18"/>
                <w:szCs w:val="18"/>
                <w:bdr w:val="none" w:sz="0" w:space="0" w:color="auto" w:frame="1"/>
                <w:lang w:val="fr-FR"/>
              </w:rPr>
              <w:t xml:space="preserve"> pour être conclues dans le cas d’une sanction administrative ou d’un autre type de sanction</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En général, il en résulte </w:t>
            </w:r>
            <w:r w:rsidRPr="00865DA5">
              <w:rPr>
                <w:rFonts w:ascii="Arial" w:eastAsia="Arial" w:hAnsi="Arial" w:cs="Arial"/>
                <w:b/>
                <w:bCs/>
                <w:color w:val="000000"/>
                <w:sz w:val="18"/>
                <w:szCs w:val="18"/>
                <w:bdr w:val="none" w:sz="0" w:space="0" w:color="auto" w:frame="1"/>
                <w:lang w:val="fr-FR"/>
              </w:rPr>
              <w:t>moins de 10 %</w:t>
            </w:r>
            <w:r w:rsidRPr="00865DA5">
              <w:rPr>
                <w:rFonts w:ascii="Arial" w:eastAsia="Arial" w:hAnsi="Arial" w:cs="Arial"/>
                <w:color w:val="000000"/>
                <w:sz w:val="18"/>
                <w:szCs w:val="18"/>
                <w:bdr w:val="none" w:sz="0" w:space="0" w:color="auto" w:frame="1"/>
                <w:lang w:val="fr-FR"/>
              </w:rPr>
              <w:t xml:space="preserve"> d’acquittements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w:t>
            </w:r>
            <w:r w:rsidRPr="00865DA5">
              <w:rPr>
                <w:rFonts w:ascii="Arial" w:eastAsia="Arial" w:hAnsi="Arial" w:cs="Arial"/>
                <w:b/>
                <w:bCs/>
                <w:color w:val="000000"/>
                <w:sz w:val="18"/>
                <w:szCs w:val="18"/>
                <w:bdr w:val="none" w:sz="0" w:space="0" w:color="auto" w:frame="1"/>
                <w:lang w:val="fr-FR"/>
              </w:rPr>
              <w:t>principalement</w:t>
            </w:r>
            <w:r w:rsidRPr="00865DA5">
              <w:rPr>
                <w:rFonts w:ascii="Arial" w:eastAsia="Arial" w:hAnsi="Arial" w:cs="Arial"/>
                <w:color w:val="000000"/>
                <w:sz w:val="18"/>
                <w:szCs w:val="18"/>
                <w:bdr w:val="none" w:sz="0" w:space="0" w:color="auto" w:frame="1"/>
                <w:lang w:val="fr-FR"/>
              </w:rPr>
              <w:t xml:space="preserve"> gérées par des procureurs et des juges spécialisés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Sont enregistrées et accessibles à d’autres procureurs/juges à l’échelle régionale au niveau géographique du tableau de bord IKB</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Les rapports de la société civile concernant l’IKB sont non seulement généralement examinés, mais les données et les avis des ONG concernées sont fréquemment consultés et utilisés.</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spacing w:after="160" w:line="259" w:lineRule="auto"/>
        <w:rPr>
          <w:rFonts w:ascii="Arial" w:eastAsia="Arial" w:hAnsi="Arial" w:cs="Arial"/>
          <w:b/>
          <w:bCs/>
          <w:iCs/>
          <w:color w:val="000000"/>
          <w:sz w:val="28"/>
          <w:szCs w:val="28"/>
          <w:bdr w:val="none" w:sz="0" w:space="0" w:color="auto" w:frame="1"/>
          <w:lang w:val="fr-FR"/>
        </w:rPr>
      </w:pPr>
      <w:bookmarkStart w:id="87" w:name="_Toc491245258"/>
      <w:bookmarkStart w:id="88" w:name="_Toc486539595"/>
      <w:r w:rsidRPr="00865DA5">
        <w:rPr>
          <w:rFonts w:ascii="Arial" w:eastAsia="Arial" w:hAnsi="Arial" w:cs="Arial"/>
          <w:b/>
          <w:bCs/>
          <w:iCs/>
          <w:color w:val="000000"/>
          <w:sz w:val="28"/>
          <w:szCs w:val="28"/>
          <w:bdr w:val="none" w:sz="0" w:space="0" w:color="auto" w:frame="1"/>
          <w:lang w:val="fr-FR"/>
        </w:rPr>
        <w:br w:type="page"/>
      </w:r>
    </w:p>
    <w:p w:rsidR="00BD5B7F" w:rsidRPr="00865DA5" w:rsidRDefault="00BD5B7F" w:rsidP="00BD5B7F">
      <w:pPr>
        <w:keepNext/>
        <w:keepLines/>
        <w:outlineLvl w:val="3"/>
        <w:rPr>
          <w:rFonts w:ascii="Arial" w:hAnsi="Arial" w:cs="Arial"/>
          <w:b/>
          <w:i/>
          <w:iCs/>
          <w:color w:val="000000"/>
          <w:sz w:val="18"/>
          <w:szCs w:val="18"/>
          <w:lang w:val="fr-FR"/>
        </w:rPr>
      </w:pPr>
      <w:r w:rsidRPr="00865DA5">
        <w:rPr>
          <w:rFonts w:ascii="Arial" w:eastAsia="Arial" w:hAnsi="Arial" w:cs="Arial"/>
          <w:b/>
          <w:bCs/>
          <w:iCs/>
          <w:color w:val="000000"/>
          <w:sz w:val="28"/>
          <w:szCs w:val="28"/>
          <w:bdr w:val="none" w:sz="0" w:space="0" w:color="auto" w:frame="1"/>
          <w:lang w:val="fr-FR"/>
        </w:rPr>
        <w:lastRenderedPageBreak/>
        <w:t>21. Lignes directrices sur les condamnations</w:t>
      </w:r>
      <w:r w:rsidRPr="00FF6562">
        <w:rPr>
          <w:rFonts w:ascii="Arial" w:hAnsi="Arial" w:cs="Arial"/>
          <w:b/>
          <w:iCs/>
          <w:color w:val="000000"/>
          <w:sz w:val="28"/>
          <w:szCs w:val="22"/>
          <w:vertAlign w:val="superscript"/>
        </w:rPr>
        <w:footnoteReference w:id="42"/>
      </w:r>
      <w:bookmarkEnd w:id="87"/>
      <w:bookmarkEnd w:id="88"/>
      <w:r w:rsidRPr="00865DA5">
        <w:rPr>
          <w:rFonts w:ascii="Arial" w:eastAsia="Arial" w:hAnsi="Arial" w:cs="Arial"/>
          <w:b/>
          <w:bCs/>
          <w:iCs/>
          <w:color w:val="000000"/>
          <w:sz w:val="28"/>
          <w:szCs w:val="28"/>
          <w:bdr w:val="none" w:sz="0" w:space="0" w:color="auto" w:frame="1"/>
          <w:lang w:val="fr-FR"/>
        </w:rPr>
        <w:t xml:space="preserve"> </w:t>
      </w:r>
    </w:p>
    <w:p w:rsidR="00BD5B7F" w:rsidRPr="00865DA5" w:rsidRDefault="00BD5B7F" w:rsidP="00BD5B7F">
      <w:pPr>
        <w:rPr>
          <w:rFonts w:ascii="Arial" w:eastAsia="Calibri" w:hAnsi="Arial" w:cs="Arial"/>
          <w:b/>
          <w:bCs/>
          <w:i/>
          <w:iCs/>
          <w:color w:val="000000"/>
          <w:sz w:val="22"/>
          <w:szCs w:val="18"/>
          <w:lang w:val="fr-FR"/>
        </w:rPr>
      </w:pPr>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L’existence de lignes directrices nationales ou d’autres principes pour la détermination des sanctions à appliquer aux contrevenants condamnés pour des faits de criminalité liée aux espèces sauvages.</w:t>
      </w:r>
    </w:p>
    <w:p w:rsidR="00BD5B7F" w:rsidRPr="00865DA5" w:rsidRDefault="00BD5B7F" w:rsidP="00BD5B7F">
      <w:pPr>
        <w:jc w:val="both"/>
        <w:rPr>
          <w:rFonts w:ascii="Arial" w:eastAsia="Calibri" w:hAnsi="Arial" w:cs="Arial"/>
          <w:color w:val="000000"/>
          <w:sz w:val="22"/>
          <w:szCs w:val="18"/>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Existe-t-il des lignes directrices nationales ou d’autres principes pour la détermination des sanctions à appliquer aux contrevenants condamnés pour IKB ?</w:t>
      </w:r>
    </w:p>
    <w:p w:rsidR="00BD5B7F" w:rsidRPr="00865DA5" w:rsidRDefault="00BD5B7F" w:rsidP="00BD5B7F">
      <w:pPr>
        <w:rPr>
          <w:rFonts w:ascii="Arial" w:eastAsia="Calibri" w:hAnsi="Arial" w:cs="Arial"/>
          <w:b/>
          <w:bCs/>
          <w:i/>
          <w:iCs/>
          <w:color w:val="000000"/>
          <w:sz w:val="22"/>
          <w:szCs w:val="18"/>
          <w:lang w:val="fr-FR"/>
        </w:rPr>
      </w:pPr>
    </w:p>
    <w:p w:rsidR="00BD5B7F" w:rsidRPr="00865DA5" w:rsidRDefault="00BD5B7F" w:rsidP="00BD5B7F">
      <w:pPr>
        <w:rPr>
          <w:rFonts w:ascii="Arial" w:eastAsia="Calibri" w:hAnsi="Arial" w:cs="Arial"/>
          <w:b/>
          <w:bCs/>
          <w:i/>
          <w:iCs/>
          <w:color w:val="000000"/>
          <w:sz w:val="22"/>
          <w:szCs w:val="18"/>
          <w:lang w:val="fr-FR"/>
        </w:rPr>
      </w:pPr>
    </w:p>
    <w:p w:rsidR="00BD5B7F" w:rsidRPr="00FF6562" w:rsidRDefault="00BD5B7F" w:rsidP="00BD5B7F">
      <w:pPr>
        <w:spacing w:after="120"/>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7"/>
        <w:gridCol w:w="2329"/>
        <w:gridCol w:w="2317"/>
        <w:gridCol w:w="2328"/>
      </w:tblGrid>
      <w:tr w:rsidR="00BD5B7F" w:rsidRPr="00FF6562" w:rsidTr="000E5961">
        <w:tc>
          <w:tcPr>
            <w:tcW w:w="2308"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38"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30"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cantSplit/>
        </w:trPr>
        <w:tc>
          <w:tcPr>
            <w:tcW w:w="2315"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ind w:left="284" w:hanging="284"/>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Il n’existe pas de lignes directrices pour la détermination des sanctions dans les affaires d’IKB</w:t>
            </w:r>
          </w:p>
          <w:p w:rsidR="00BD5B7F" w:rsidRPr="00865DA5" w:rsidRDefault="00BD5B7F" w:rsidP="000E5961">
            <w:pPr>
              <w:ind w:left="284" w:hanging="284"/>
              <w:rPr>
                <w:rFonts w:ascii="Arial" w:eastAsia="Calibri" w:hAnsi="Arial" w:cs="Arial"/>
                <w:color w:val="000000"/>
                <w:sz w:val="18"/>
                <w:szCs w:val="18"/>
                <w:lang w:val="fr-FR"/>
              </w:rPr>
            </w:pPr>
            <w:r w:rsidRPr="00865DA5">
              <w:rPr>
                <w:rFonts w:ascii="Arial" w:eastAsia="Calibri" w:hAnsi="Arial" w:cs="Arial"/>
                <w:color w:val="000000"/>
                <w:sz w:val="18"/>
                <w:szCs w:val="18"/>
                <w:lang w:val="fr-FR"/>
              </w:rPr>
              <w:t xml:space="preserve"> </w:t>
            </w:r>
          </w:p>
        </w:tc>
        <w:tc>
          <w:tcPr>
            <w:tcW w:w="2331" w:type="dxa"/>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 lignes directrices pour la détermination des sanctions dans les affaires d’IKB sont en cours d’élaboration </w:t>
            </w:r>
          </w:p>
        </w:tc>
        <w:tc>
          <w:tcPr>
            <w:tcW w:w="2319" w:type="dxa"/>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Les lignes directrices pour la détermination des sanctions dans les affaires d’IKB ont été finalisées mais pas adoptées</w:t>
            </w:r>
          </w:p>
        </w:tc>
        <w:tc>
          <w:tcPr>
            <w:tcW w:w="2330" w:type="dxa"/>
            <w:tcBorders>
              <w:top w:val="single" w:sz="4" w:space="0" w:color="auto"/>
              <w:left w:val="single" w:sz="4" w:space="0" w:color="auto"/>
              <w:bottom w:val="single" w:sz="4" w:space="0" w:color="auto"/>
              <w:right w:val="single" w:sz="4" w:space="0" w:color="auto"/>
            </w:tcBorders>
          </w:tcPr>
          <w:p w:rsidR="00BD5B7F" w:rsidRPr="00865DA5" w:rsidRDefault="00BD5B7F" w:rsidP="000E5961">
            <w:pPr>
              <w:ind w:left="284" w:hanging="284"/>
              <w:jc w:val="cente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 lignes directrices pour la détermination des sanctions dans les affaires d’IKB ont été finalisées et adoptées </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eastAsia="Calibri" w:hAnsi="Arial" w:cs="Arial"/>
          <w:i/>
          <w:iCs/>
          <w:color w:val="000000"/>
          <w:sz w:val="18"/>
          <w:szCs w:val="18"/>
          <w:lang w:val="fr-FR"/>
        </w:rPr>
      </w:pPr>
      <w:r w:rsidRPr="00865DA5">
        <w:rPr>
          <w:rFonts w:ascii="Arial" w:eastAsia="Calibri" w:hAnsi="Arial" w:cs="Arial"/>
          <w:i/>
          <w:iCs/>
          <w:color w:val="000000"/>
          <w:sz w:val="18"/>
          <w:szCs w:val="18"/>
          <w:lang w:val="fr-FR"/>
        </w:rPr>
        <w:br w:type="page"/>
      </w:r>
    </w:p>
    <w:p w:rsidR="00BD5B7F" w:rsidRPr="00865DA5" w:rsidRDefault="00BD5B7F" w:rsidP="00BD5B7F">
      <w:pPr>
        <w:keepNext/>
        <w:keepLines/>
        <w:spacing w:after="120"/>
        <w:outlineLvl w:val="3"/>
        <w:rPr>
          <w:rFonts w:ascii="Arial" w:hAnsi="Arial" w:cs="Arial"/>
          <w:b/>
          <w:i/>
          <w:iCs/>
          <w:color w:val="000000"/>
          <w:sz w:val="18"/>
          <w:szCs w:val="18"/>
          <w:lang w:val="fr-FR"/>
        </w:rPr>
      </w:pPr>
      <w:bookmarkStart w:id="89" w:name="_Toc491245259"/>
      <w:bookmarkStart w:id="90" w:name="_Toc486539596"/>
      <w:r w:rsidRPr="00865DA5">
        <w:rPr>
          <w:rFonts w:ascii="Arial" w:eastAsia="Arial" w:hAnsi="Arial" w:cs="Arial"/>
          <w:b/>
          <w:bCs/>
          <w:iCs/>
          <w:color w:val="000000"/>
          <w:sz w:val="28"/>
          <w:szCs w:val="28"/>
          <w:bdr w:val="none" w:sz="0" w:space="0" w:color="auto" w:frame="1"/>
          <w:lang w:val="fr-FR"/>
        </w:rPr>
        <w:lastRenderedPageBreak/>
        <w:t>22. Prise de conscience au sein du système judiciaire</w:t>
      </w:r>
      <w:r w:rsidRPr="00FF6562">
        <w:rPr>
          <w:rFonts w:ascii="Arial" w:hAnsi="Arial" w:cs="Arial"/>
          <w:b/>
          <w:iCs/>
          <w:color w:val="000000"/>
          <w:sz w:val="28"/>
          <w:szCs w:val="22"/>
          <w:vertAlign w:val="superscript"/>
        </w:rPr>
        <w:footnoteReference w:id="43"/>
      </w:r>
      <w:bookmarkEnd w:id="89"/>
      <w:bookmarkEnd w:id="90"/>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L’ampleur de la prise de conscience des procureurs et des juges vis-à-vis de l’importance de la criminalité liée aux espèces sauvages, et la pertinence des jugements rendus.</w:t>
      </w:r>
    </w:p>
    <w:p w:rsidR="00BD5B7F" w:rsidRPr="00865DA5" w:rsidRDefault="00BD5B7F" w:rsidP="00BD5B7F">
      <w:pPr>
        <w:jc w:val="both"/>
        <w:rPr>
          <w:rFonts w:ascii="Arial" w:eastAsia="Calibri" w:hAnsi="Arial" w:cs="Arial"/>
          <w:color w:val="000000"/>
          <w:sz w:val="22"/>
          <w:szCs w:val="18"/>
          <w:lang w:val="fr-FR"/>
        </w:rPr>
      </w:pPr>
    </w:p>
    <w:p w:rsidR="00BD5B7F" w:rsidRPr="00FF6562" w:rsidRDefault="00BD5B7F" w:rsidP="00BD5B7F">
      <w:pPr>
        <w:ind w:left="1134" w:hanging="1134"/>
        <w:jc w:val="both"/>
        <w:rPr>
          <w:rFonts w:ascii="Arial" w:eastAsia="Calibri" w:hAnsi="Arial" w:cs="Arial"/>
          <w:b/>
          <w:bCs/>
          <w:i/>
          <w:iCs/>
          <w:color w:val="000000"/>
          <w:sz w:val="22"/>
          <w:szCs w:val="22"/>
        </w:rPr>
      </w:pPr>
      <w:r w:rsidRPr="00865DA5">
        <w:rPr>
          <w:rFonts w:ascii="Arial" w:eastAsia="Arial" w:hAnsi="Arial" w:cs="Arial"/>
          <w:b/>
          <w:bCs/>
          <w:i/>
          <w:iCs/>
          <w:color w:val="000000"/>
          <w:sz w:val="22"/>
          <w:szCs w:val="22"/>
          <w:bdr w:val="none" w:sz="0" w:space="0" w:color="auto" w:frame="1"/>
          <w:lang w:val="fr-FR"/>
        </w:rPr>
        <w:t xml:space="preserve">Question : Les procureurs et les juges sont-ils conscients de la gravité de l’IKB ? </w:t>
      </w:r>
      <w:r w:rsidRPr="00FF6562">
        <w:rPr>
          <w:rFonts w:ascii="Arial" w:eastAsia="Arial" w:hAnsi="Arial" w:cs="Arial"/>
          <w:b/>
          <w:bCs/>
          <w:i/>
          <w:iCs/>
          <w:color w:val="000000"/>
          <w:sz w:val="22"/>
          <w:szCs w:val="22"/>
          <w:bdr w:val="none" w:sz="0" w:space="0" w:color="auto" w:frame="1"/>
        </w:rPr>
        <w:t xml:space="preserve">Des sanctions appropriées sont-elles </w:t>
      </w:r>
      <w:proofErr w:type="gramStart"/>
      <w:r w:rsidRPr="00FF6562">
        <w:rPr>
          <w:rFonts w:ascii="Arial" w:eastAsia="Arial" w:hAnsi="Arial" w:cs="Arial"/>
          <w:b/>
          <w:bCs/>
          <w:i/>
          <w:iCs/>
          <w:color w:val="000000"/>
          <w:sz w:val="22"/>
          <w:szCs w:val="22"/>
          <w:bdr w:val="none" w:sz="0" w:space="0" w:color="auto" w:frame="1"/>
        </w:rPr>
        <w:t>appliquées ?</w:t>
      </w:r>
      <w:proofErr w:type="gramEnd"/>
    </w:p>
    <w:p w:rsidR="00BD5B7F" w:rsidRPr="00FF6562" w:rsidRDefault="00BD5B7F" w:rsidP="00BD5B7F">
      <w:pPr>
        <w:rPr>
          <w:rFonts w:ascii="Arial" w:eastAsia="Calibri" w:hAnsi="Arial" w:cs="Arial"/>
          <w:i/>
          <w:iCs/>
          <w:color w:val="000000"/>
          <w:sz w:val="22"/>
          <w:szCs w:val="18"/>
        </w:rPr>
      </w:pPr>
    </w:p>
    <w:p w:rsidR="00BD5B7F" w:rsidRPr="00FF6562" w:rsidRDefault="00BD5B7F" w:rsidP="00BD5B7F">
      <w:pPr>
        <w:spacing w:after="120"/>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3"/>
        <w:gridCol w:w="2305"/>
        <w:gridCol w:w="16"/>
        <w:gridCol w:w="2322"/>
        <w:gridCol w:w="2326"/>
      </w:tblGrid>
      <w:tr w:rsidR="00BD5B7F" w:rsidRPr="00FF6562" w:rsidTr="000E5961">
        <w:tc>
          <w:tcPr>
            <w:tcW w:w="2308"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1"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4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2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cantSplit/>
          <w:trHeight w:val="2346"/>
        </w:trPr>
        <w:tc>
          <w:tcPr>
            <w:tcW w:w="2321"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procureurs et les juges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Ne sont </w:t>
            </w:r>
            <w:r w:rsidRPr="00865DA5">
              <w:rPr>
                <w:rFonts w:ascii="Arial" w:eastAsia="Arial" w:hAnsi="Arial" w:cs="Arial"/>
                <w:b/>
                <w:bCs/>
                <w:color w:val="000000"/>
                <w:sz w:val="18"/>
                <w:szCs w:val="18"/>
                <w:bdr w:val="none" w:sz="0" w:space="0" w:color="auto" w:frame="1"/>
                <w:lang w:val="fr-FR"/>
              </w:rPr>
              <w:t>pas conscients</w:t>
            </w:r>
            <w:r w:rsidRPr="00865DA5">
              <w:rPr>
                <w:rFonts w:ascii="Arial" w:eastAsia="Arial" w:hAnsi="Arial" w:cs="Arial"/>
                <w:color w:val="000000"/>
                <w:sz w:val="18"/>
                <w:szCs w:val="18"/>
                <w:bdr w:val="none" w:sz="0" w:space="0" w:color="auto" w:frame="1"/>
                <w:lang w:val="fr-FR"/>
              </w:rPr>
              <w:t xml:space="preserve"> de la nature et de la prévalence de l’IKB, ni de son impact et des profits potentiels tirés de la criminalité liée aux espèces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N’ont </w:t>
            </w:r>
            <w:r w:rsidRPr="00865DA5">
              <w:rPr>
                <w:rFonts w:ascii="Arial" w:eastAsia="Arial" w:hAnsi="Arial" w:cs="Arial"/>
                <w:b/>
                <w:color w:val="000000"/>
                <w:sz w:val="18"/>
                <w:szCs w:val="18"/>
                <w:bdr w:val="none" w:sz="0" w:space="0" w:color="auto" w:frame="1"/>
                <w:lang w:val="fr-FR"/>
              </w:rPr>
              <w:t xml:space="preserve">pas connaissance </w:t>
            </w:r>
            <w:r w:rsidRPr="00865DA5">
              <w:rPr>
                <w:rFonts w:ascii="Arial" w:eastAsia="Arial" w:hAnsi="Arial" w:cs="Arial"/>
                <w:color w:val="000000"/>
                <w:sz w:val="18"/>
                <w:szCs w:val="18"/>
                <w:bdr w:val="none" w:sz="0" w:space="0" w:color="auto" w:frame="1"/>
                <w:lang w:val="fr-FR"/>
              </w:rPr>
              <w:t>des charges relatives à l’IKB</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Traitent habituellement l’IKB comme une </w:t>
            </w:r>
            <w:r w:rsidRPr="00865DA5">
              <w:rPr>
                <w:rFonts w:ascii="Arial" w:eastAsia="Arial" w:hAnsi="Arial" w:cs="Arial"/>
                <w:b/>
                <w:bCs/>
                <w:color w:val="000000"/>
                <w:sz w:val="18"/>
                <w:szCs w:val="18"/>
                <w:bdr w:val="none" w:sz="0" w:space="0" w:color="auto" w:frame="1"/>
                <w:lang w:val="fr-FR"/>
              </w:rPr>
              <w:t>infraction mineure</w:t>
            </w:r>
            <w:r w:rsidRPr="00865DA5">
              <w:rPr>
                <w:rFonts w:ascii="Arial" w:eastAsia="Arial" w:hAnsi="Arial" w:cs="Arial"/>
                <w:color w:val="000000"/>
                <w:sz w:val="18"/>
                <w:szCs w:val="18"/>
                <w:bdr w:val="none" w:sz="0" w:space="0" w:color="auto" w:frame="1"/>
                <w:lang w:val="fr-FR"/>
              </w:rPr>
              <w:t xml:space="preserv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b/>
                <w:bCs/>
                <w:color w:val="000000"/>
                <w:sz w:val="18"/>
                <w:szCs w:val="18"/>
                <w:bdr w:val="none" w:sz="0" w:space="0" w:color="auto" w:frame="1"/>
                <w:lang w:val="fr-FR"/>
              </w:rPr>
              <w:t>Ne respecte pas</w:t>
            </w:r>
            <w:r w:rsidRPr="00865DA5">
              <w:rPr>
                <w:rFonts w:ascii="Arial" w:eastAsia="Arial" w:hAnsi="Arial" w:cs="Arial"/>
                <w:color w:val="000000"/>
                <w:sz w:val="18"/>
                <w:szCs w:val="18"/>
                <w:bdr w:val="none" w:sz="0" w:space="0" w:color="auto" w:frame="1"/>
                <w:lang w:val="fr-FR"/>
              </w:rPr>
              <w:t xml:space="preserve"> les lignes directrices de détermination des peines lorsqu’elles existent</w:t>
            </w:r>
          </w:p>
        </w:tc>
        <w:tc>
          <w:tcPr>
            <w:tcW w:w="2324"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procureurs et les juges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w:t>
            </w:r>
            <w:r w:rsidRPr="00865DA5">
              <w:rPr>
                <w:rFonts w:ascii="Arial" w:eastAsia="Arial" w:hAnsi="Arial" w:cs="Arial"/>
                <w:b/>
                <w:bCs/>
                <w:color w:val="000000"/>
                <w:sz w:val="18"/>
                <w:szCs w:val="18"/>
                <w:bdr w:val="none" w:sz="0" w:space="0" w:color="auto" w:frame="1"/>
                <w:lang w:val="fr-FR"/>
              </w:rPr>
              <w:t>peu conscients</w:t>
            </w:r>
            <w:r w:rsidRPr="00865DA5">
              <w:rPr>
                <w:rFonts w:ascii="Arial" w:eastAsia="Arial" w:hAnsi="Arial" w:cs="Arial"/>
                <w:color w:val="000000"/>
                <w:sz w:val="18"/>
                <w:szCs w:val="18"/>
                <w:bdr w:val="none" w:sz="0" w:space="0" w:color="auto" w:frame="1"/>
                <w:lang w:val="fr-FR"/>
              </w:rPr>
              <w:t xml:space="preserve"> de la nature et de la prévalence de la criminalité liée aux espèces sauvages, et de son impact et des profits potentiels qui en sont tirés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Ont une connaissance </w:t>
            </w:r>
            <w:r w:rsidRPr="00865DA5">
              <w:rPr>
                <w:rFonts w:ascii="Arial" w:eastAsia="Arial" w:hAnsi="Arial" w:cs="Arial"/>
                <w:b/>
                <w:bCs/>
                <w:color w:val="000000"/>
                <w:sz w:val="18"/>
                <w:szCs w:val="18"/>
                <w:bdr w:val="none" w:sz="0" w:space="0" w:color="auto" w:frame="1"/>
                <w:lang w:val="fr-FR"/>
              </w:rPr>
              <w:t>limitée</w:t>
            </w:r>
            <w:r w:rsidRPr="00865DA5">
              <w:rPr>
                <w:rFonts w:ascii="Arial" w:eastAsia="Arial" w:hAnsi="Arial" w:cs="Arial"/>
                <w:color w:val="000000"/>
                <w:sz w:val="18"/>
                <w:szCs w:val="18"/>
                <w:bdr w:val="none" w:sz="0" w:space="0" w:color="auto" w:frame="1"/>
                <w:lang w:val="fr-FR"/>
              </w:rPr>
              <w:t xml:space="preserve"> des charges relatives à la criminalité liée aux espèces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Collaborent pour rendre des verdicts </w:t>
            </w:r>
            <w:r w:rsidRPr="00865DA5">
              <w:rPr>
                <w:rFonts w:ascii="Arial" w:eastAsia="Arial" w:hAnsi="Arial" w:cs="Arial"/>
                <w:b/>
                <w:bCs/>
                <w:color w:val="000000"/>
                <w:sz w:val="18"/>
                <w:szCs w:val="18"/>
                <w:bdr w:val="none" w:sz="0" w:space="0" w:color="auto" w:frame="1"/>
                <w:lang w:val="fr-FR"/>
              </w:rPr>
              <w:t>parfois</w:t>
            </w:r>
            <w:r w:rsidRPr="00865DA5">
              <w:rPr>
                <w:rFonts w:ascii="Arial" w:eastAsia="Arial" w:hAnsi="Arial" w:cs="Arial"/>
                <w:color w:val="000000"/>
                <w:sz w:val="18"/>
                <w:szCs w:val="18"/>
                <w:bdr w:val="none" w:sz="0" w:space="0" w:color="auto" w:frame="1"/>
                <w:lang w:val="fr-FR"/>
              </w:rPr>
              <w:t xml:space="preserve"> adaptés à la nature et à la gravité de l’infraction</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Respectent </w:t>
            </w:r>
            <w:r w:rsidRPr="00865DA5">
              <w:rPr>
                <w:rFonts w:ascii="Arial" w:eastAsia="Arial" w:hAnsi="Arial" w:cs="Arial"/>
                <w:b/>
                <w:bCs/>
                <w:color w:val="000000"/>
                <w:sz w:val="18"/>
                <w:szCs w:val="18"/>
                <w:bdr w:val="none" w:sz="0" w:space="0" w:color="auto" w:frame="1"/>
                <w:lang w:val="fr-FR"/>
              </w:rPr>
              <w:t>rarement</w:t>
            </w:r>
            <w:r w:rsidRPr="00865DA5">
              <w:rPr>
                <w:rFonts w:ascii="Arial" w:eastAsia="Arial" w:hAnsi="Arial" w:cs="Arial"/>
                <w:color w:val="000000"/>
                <w:sz w:val="18"/>
                <w:szCs w:val="18"/>
                <w:bdr w:val="none" w:sz="0" w:space="0" w:color="auto" w:frame="1"/>
                <w:lang w:val="fr-FR"/>
              </w:rPr>
              <w:t xml:space="preserve"> les lignes directrices de détermination des peines lorsqu’elles existent</w:t>
            </w:r>
          </w:p>
        </w:tc>
        <w:tc>
          <w:tcPr>
            <w:tcW w:w="2325"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procureurs et les juges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w:t>
            </w:r>
            <w:r w:rsidRPr="00865DA5">
              <w:rPr>
                <w:rFonts w:ascii="Arial" w:eastAsia="Arial" w:hAnsi="Arial" w:cs="Arial"/>
                <w:b/>
                <w:bCs/>
                <w:color w:val="000000"/>
                <w:sz w:val="18"/>
                <w:szCs w:val="18"/>
                <w:bdr w:val="none" w:sz="0" w:space="0" w:color="auto" w:frame="1"/>
                <w:lang w:val="fr-FR"/>
              </w:rPr>
              <w:t>relativement conscients</w:t>
            </w:r>
            <w:r w:rsidRPr="00865DA5">
              <w:rPr>
                <w:rFonts w:ascii="Arial" w:eastAsia="Arial" w:hAnsi="Arial" w:cs="Arial"/>
                <w:color w:val="000000"/>
                <w:sz w:val="18"/>
                <w:szCs w:val="18"/>
                <w:bdr w:val="none" w:sz="0" w:space="0" w:color="auto" w:frame="1"/>
                <w:lang w:val="fr-FR"/>
              </w:rPr>
              <w:t xml:space="preserve"> de la nature et de la prévalence de la criminalité liée aux espèces sauvages, et de son impact et des profits potentiels qui en sont tirés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Ont une connaissance </w:t>
            </w:r>
            <w:r w:rsidRPr="00865DA5">
              <w:rPr>
                <w:rFonts w:ascii="Arial" w:eastAsia="Arial" w:hAnsi="Arial" w:cs="Arial"/>
                <w:b/>
                <w:bCs/>
                <w:color w:val="000000"/>
                <w:sz w:val="18"/>
                <w:szCs w:val="18"/>
                <w:bdr w:val="none" w:sz="0" w:space="0" w:color="auto" w:frame="1"/>
                <w:lang w:val="fr-FR"/>
              </w:rPr>
              <w:t>partielle</w:t>
            </w:r>
            <w:r w:rsidRPr="00865DA5">
              <w:rPr>
                <w:rFonts w:ascii="Arial" w:eastAsia="Arial" w:hAnsi="Arial" w:cs="Arial"/>
                <w:color w:val="000000"/>
                <w:sz w:val="18"/>
                <w:szCs w:val="18"/>
                <w:bdr w:val="none" w:sz="0" w:space="0" w:color="auto" w:frame="1"/>
                <w:lang w:val="fr-FR"/>
              </w:rPr>
              <w:t xml:space="preserve"> les charges relatives à la criminalité liée aux espèces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Collaborent pour rendre des verdicts </w:t>
            </w:r>
            <w:r w:rsidRPr="00865DA5">
              <w:rPr>
                <w:rFonts w:ascii="Arial" w:eastAsia="Arial" w:hAnsi="Arial" w:cs="Arial"/>
                <w:b/>
                <w:bCs/>
                <w:color w:val="000000"/>
                <w:sz w:val="18"/>
                <w:szCs w:val="18"/>
                <w:bdr w:val="none" w:sz="0" w:space="0" w:color="auto" w:frame="1"/>
                <w:lang w:val="fr-FR"/>
              </w:rPr>
              <w:t>généralement</w:t>
            </w:r>
            <w:r w:rsidRPr="00865DA5">
              <w:rPr>
                <w:rFonts w:ascii="Arial" w:eastAsia="Arial" w:hAnsi="Arial" w:cs="Arial"/>
                <w:color w:val="000000"/>
                <w:sz w:val="18"/>
                <w:szCs w:val="18"/>
                <w:bdr w:val="none" w:sz="0" w:space="0" w:color="auto" w:frame="1"/>
                <w:lang w:val="fr-FR"/>
              </w:rPr>
              <w:t xml:space="preserve"> adaptés à la nature et à la gravité de l’infraction</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Respectent </w:t>
            </w:r>
            <w:r w:rsidRPr="00865DA5">
              <w:rPr>
                <w:rFonts w:ascii="Arial" w:eastAsia="Arial" w:hAnsi="Arial" w:cs="Arial"/>
                <w:b/>
                <w:bCs/>
                <w:color w:val="000000"/>
                <w:sz w:val="18"/>
                <w:szCs w:val="18"/>
                <w:bdr w:val="none" w:sz="0" w:space="0" w:color="auto" w:frame="1"/>
                <w:lang w:val="fr-FR"/>
              </w:rPr>
              <w:t>parfois</w:t>
            </w:r>
            <w:r w:rsidRPr="00865DA5">
              <w:rPr>
                <w:rFonts w:ascii="Arial" w:eastAsia="Arial" w:hAnsi="Arial" w:cs="Arial"/>
                <w:color w:val="000000"/>
                <w:sz w:val="18"/>
                <w:szCs w:val="18"/>
                <w:bdr w:val="none" w:sz="0" w:space="0" w:color="auto" w:frame="1"/>
                <w:lang w:val="fr-FR"/>
              </w:rPr>
              <w:t xml:space="preserve"> les lignes directrices de détermination des peines lorsqu’elles existent</w:t>
            </w:r>
          </w:p>
        </w:tc>
        <w:tc>
          <w:tcPr>
            <w:tcW w:w="2329"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procureurs et les juges :</w:t>
            </w:r>
          </w:p>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 </w:t>
            </w: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w:t>
            </w:r>
            <w:r w:rsidRPr="00865DA5">
              <w:rPr>
                <w:rFonts w:ascii="Arial" w:eastAsia="Arial" w:hAnsi="Arial" w:cs="Arial"/>
                <w:b/>
                <w:color w:val="000000"/>
                <w:sz w:val="18"/>
                <w:szCs w:val="18"/>
                <w:bdr w:val="none" w:sz="0" w:space="0" w:color="auto" w:frame="1"/>
                <w:lang w:val="fr-FR"/>
              </w:rPr>
              <w:t>conscients</w:t>
            </w:r>
            <w:r w:rsidRPr="00865DA5">
              <w:rPr>
                <w:rFonts w:ascii="Arial" w:eastAsia="Arial" w:hAnsi="Arial" w:cs="Arial"/>
                <w:color w:val="000000"/>
                <w:sz w:val="18"/>
                <w:szCs w:val="18"/>
                <w:bdr w:val="none" w:sz="0" w:space="0" w:color="auto" w:frame="1"/>
                <w:lang w:val="fr-FR"/>
              </w:rPr>
              <w:t xml:space="preserve"> de la nature et de la prévalence de la criminalité liée aux espèces sauvages, et de son impact et des profits potentiels qui en sont tirés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b/>
                <w:bCs/>
                <w:color w:val="000000"/>
                <w:sz w:val="18"/>
                <w:szCs w:val="18"/>
                <w:bdr w:val="none" w:sz="0" w:space="0" w:color="auto" w:frame="1"/>
                <w:lang w:val="fr-FR"/>
              </w:rPr>
              <w:t>Connaissent</w:t>
            </w:r>
            <w:r w:rsidRPr="00865DA5">
              <w:rPr>
                <w:rFonts w:ascii="Arial" w:eastAsia="Arial" w:hAnsi="Arial" w:cs="Arial"/>
                <w:color w:val="000000"/>
                <w:sz w:val="18"/>
                <w:szCs w:val="18"/>
                <w:bdr w:val="none" w:sz="0" w:space="0" w:color="auto" w:frame="1"/>
                <w:lang w:val="fr-FR"/>
              </w:rPr>
              <w:t xml:space="preserve"> les charges relatives à la criminalité liée aux espèces sauvages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Collaborent pour rendre des verdicts </w:t>
            </w:r>
            <w:r w:rsidRPr="00865DA5">
              <w:rPr>
                <w:rFonts w:ascii="Arial" w:eastAsia="Arial" w:hAnsi="Arial" w:cs="Arial"/>
                <w:b/>
                <w:color w:val="000000"/>
                <w:sz w:val="18"/>
                <w:szCs w:val="18"/>
                <w:bdr w:val="none" w:sz="0" w:space="0" w:color="auto" w:frame="1"/>
                <w:lang w:val="fr-FR"/>
              </w:rPr>
              <w:t>généralement</w:t>
            </w:r>
            <w:r w:rsidRPr="00865DA5">
              <w:rPr>
                <w:rFonts w:ascii="Arial" w:eastAsia="Arial" w:hAnsi="Arial" w:cs="Arial"/>
                <w:color w:val="000000"/>
                <w:sz w:val="18"/>
                <w:szCs w:val="18"/>
                <w:bdr w:val="none" w:sz="0" w:space="0" w:color="auto" w:frame="1"/>
                <w:lang w:val="fr-FR"/>
              </w:rPr>
              <w:t xml:space="preserve"> adaptés à la nature et à la gravité de l’infraction</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Respectent </w:t>
            </w:r>
            <w:r w:rsidRPr="00865DA5">
              <w:rPr>
                <w:rFonts w:ascii="Arial" w:eastAsia="Arial" w:hAnsi="Arial" w:cs="Arial"/>
                <w:b/>
                <w:bCs/>
                <w:color w:val="000000"/>
                <w:sz w:val="18"/>
                <w:szCs w:val="18"/>
                <w:bdr w:val="none" w:sz="0" w:space="0" w:color="auto" w:frame="1"/>
                <w:lang w:val="fr-FR"/>
              </w:rPr>
              <w:t>couramment</w:t>
            </w:r>
            <w:r w:rsidRPr="00865DA5">
              <w:rPr>
                <w:rFonts w:ascii="Arial" w:eastAsia="Arial" w:hAnsi="Arial" w:cs="Arial"/>
                <w:color w:val="000000"/>
                <w:sz w:val="18"/>
                <w:szCs w:val="18"/>
                <w:bdr w:val="none" w:sz="0" w:space="0" w:color="auto" w:frame="1"/>
                <w:lang w:val="fr-FR"/>
              </w:rPr>
              <w:t xml:space="preserve"> les lignes directrices de détermination des peines lorsqu’elles existent</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eastAsia="Calibri" w:hAnsi="Arial" w:cs="Arial"/>
          <w:i/>
          <w:iCs/>
          <w:color w:val="000000"/>
          <w:sz w:val="18"/>
          <w:szCs w:val="18"/>
          <w:lang w:val="fr-FR"/>
        </w:rPr>
      </w:pPr>
      <w:r w:rsidRPr="00865DA5">
        <w:rPr>
          <w:rFonts w:ascii="Arial" w:eastAsia="Calibri" w:hAnsi="Arial" w:cs="Arial"/>
          <w:i/>
          <w:iCs/>
          <w:color w:val="000000"/>
          <w:sz w:val="18"/>
          <w:szCs w:val="18"/>
          <w:lang w:val="fr-FR"/>
        </w:rPr>
        <w:br w:type="page"/>
      </w:r>
    </w:p>
    <w:p w:rsidR="00BD5B7F" w:rsidRPr="00865DA5" w:rsidRDefault="00BD5B7F" w:rsidP="00BD5B7F">
      <w:pPr>
        <w:keepNext/>
        <w:keepLines/>
        <w:spacing w:after="120"/>
        <w:outlineLvl w:val="3"/>
        <w:rPr>
          <w:rFonts w:ascii="Arial" w:hAnsi="Arial" w:cs="Arial"/>
          <w:b/>
          <w:i/>
          <w:iCs/>
          <w:color w:val="000000"/>
          <w:sz w:val="18"/>
          <w:szCs w:val="18"/>
          <w:lang w:val="fr-FR"/>
        </w:rPr>
      </w:pPr>
      <w:bookmarkStart w:id="91" w:name="_Toc491245260"/>
      <w:bookmarkStart w:id="92" w:name="_Toc486539597"/>
      <w:r w:rsidRPr="00865DA5">
        <w:rPr>
          <w:rFonts w:ascii="Arial" w:eastAsia="Arial" w:hAnsi="Arial" w:cs="Arial"/>
          <w:b/>
          <w:bCs/>
          <w:iCs/>
          <w:color w:val="000000"/>
          <w:sz w:val="28"/>
          <w:szCs w:val="28"/>
          <w:bdr w:val="none" w:sz="0" w:space="0" w:color="auto" w:frame="1"/>
          <w:lang w:val="fr-FR"/>
        </w:rPr>
        <w:lastRenderedPageBreak/>
        <w:t>23. Formation au sein du système judiciaire</w:t>
      </w:r>
      <w:bookmarkEnd w:id="91"/>
      <w:bookmarkEnd w:id="92"/>
      <w:r w:rsidRPr="00865DA5">
        <w:rPr>
          <w:rFonts w:ascii="Arial" w:eastAsia="Arial" w:hAnsi="Arial" w:cs="Arial"/>
          <w:b/>
          <w:bCs/>
          <w:iCs/>
          <w:color w:val="000000"/>
          <w:sz w:val="28"/>
          <w:szCs w:val="28"/>
          <w:bdr w:val="none" w:sz="0" w:space="0" w:color="auto" w:frame="1"/>
          <w:lang w:val="fr-FR"/>
        </w:rPr>
        <w:t xml:space="preserve"> </w:t>
      </w:r>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Le pourcentage de procureurs et de juges spécialisés en environnement formés aux aspects relatifs à l’IKB.</w:t>
      </w:r>
    </w:p>
    <w:p w:rsidR="00BD5B7F" w:rsidRPr="00865DA5" w:rsidRDefault="00BD5B7F" w:rsidP="00BD5B7F">
      <w:pPr>
        <w:jc w:val="both"/>
        <w:rPr>
          <w:rFonts w:ascii="Arial" w:eastAsia="Calibri" w:hAnsi="Arial" w:cs="Arial"/>
          <w:b/>
          <w:bCs/>
          <w:i/>
          <w:iCs/>
          <w:color w:val="000000"/>
          <w:sz w:val="22"/>
          <w:szCs w:val="18"/>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Combien de procureurs et de juges spécialisés en environnement traitant des affaires de criminalité liée aux espèces sauvages ont reçu une formation sur les aspects relatifs à l’IKB ?</w:t>
      </w:r>
    </w:p>
    <w:p w:rsidR="00BD5B7F" w:rsidRPr="00865DA5" w:rsidRDefault="00BD5B7F" w:rsidP="00BD5B7F">
      <w:pPr>
        <w:jc w:val="both"/>
        <w:rPr>
          <w:rFonts w:ascii="Arial" w:eastAsia="Calibri" w:hAnsi="Arial" w:cs="Arial"/>
          <w:i/>
          <w:iCs/>
          <w:color w:val="000000"/>
          <w:sz w:val="22"/>
          <w:szCs w:val="18"/>
          <w:lang w:val="fr-FR"/>
        </w:rPr>
      </w:pPr>
    </w:p>
    <w:p w:rsidR="00BD5B7F" w:rsidRPr="00FF6562" w:rsidRDefault="00BD5B7F" w:rsidP="00BD5B7F">
      <w:pPr>
        <w:spacing w:after="120"/>
        <w:jc w:val="both"/>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2"/>
        <w:gridCol w:w="2307"/>
        <w:gridCol w:w="8"/>
        <w:gridCol w:w="2326"/>
        <w:gridCol w:w="10"/>
        <w:gridCol w:w="2317"/>
      </w:tblGrid>
      <w:tr w:rsidR="00BD5B7F" w:rsidRPr="00FF6562" w:rsidTr="000E5961">
        <w:tc>
          <w:tcPr>
            <w:tcW w:w="2310"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2"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3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30" w:type="dxa"/>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F6562" w:rsidTr="000E5961">
        <w:trPr>
          <w:cantSplit/>
        </w:trPr>
        <w:tc>
          <w:tcPr>
            <w:tcW w:w="2322" w:type="dxa"/>
            <w:gridSpan w:val="2"/>
            <w:tcBorders>
              <w:top w:val="single" w:sz="4" w:space="0" w:color="auto"/>
              <w:left w:val="single" w:sz="4" w:space="0" w:color="auto"/>
              <w:bottom w:val="single" w:sz="4" w:space="0" w:color="auto"/>
              <w:right w:val="single" w:sz="4" w:space="0" w:color="auto"/>
            </w:tcBorders>
          </w:tcPr>
          <w:p w:rsidR="00BD5B7F" w:rsidRPr="00FF6562" w:rsidRDefault="00BD5B7F" w:rsidP="000E5961">
            <w:pPr>
              <w:rPr>
                <w:rFonts w:ascii="Arial" w:eastAsia="Calibri" w:hAnsi="Arial" w:cs="Arial"/>
                <w:color w:val="000000"/>
                <w:sz w:val="18"/>
                <w:szCs w:val="18"/>
              </w:rPr>
            </w:pPr>
          </w:p>
          <w:p w:rsidR="00BD5B7F" w:rsidRPr="00FF6562" w:rsidRDefault="00BD5B7F" w:rsidP="000E5961">
            <w:pPr>
              <w:rPr>
                <w:rFonts w:ascii="Arial" w:eastAsia="Calibri" w:hAnsi="Arial" w:cs="Arial"/>
                <w:color w:val="000000"/>
                <w:sz w:val="18"/>
                <w:szCs w:val="18"/>
              </w:rPr>
            </w:pPr>
            <w:r w:rsidRPr="00FF6562">
              <w:rPr>
                <w:rFonts w:ascii="Arial" w:eastAsia="Arial" w:hAnsi="Arial" w:cs="Arial"/>
                <w:color w:val="000000"/>
                <w:sz w:val="18"/>
                <w:szCs w:val="18"/>
                <w:bdr w:val="none" w:sz="0" w:space="0" w:color="auto" w:frame="1"/>
              </w:rPr>
              <w:t xml:space="preserve"> </w:t>
            </w:r>
            <w:r w:rsidRPr="00FF6562">
              <w:rPr>
                <w:rFonts w:ascii="Arial" w:eastAsia="Arial" w:hAnsi="Arial" w:cs="Arial"/>
                <w:color w:val="000000"/>
                <w:sz w:val="16"/>
                <w:szCs w:val="16"/>
              </w:rPr>
              <w:t>􁃱</w:t>
            </w:r>
            <w:r w:rsidRPr="00FF6562">
              <w:rPr>
                <w:rFonts w:ascii="Arial" w:eastAsia="Calibri" w:hAnsi="Arial" w:cs="Arial"/>
                <w:color w:val="000000"/>
                <w:sz w:val="18"/>
                <w:szCs w:val="18"/>
              </w:rPr>
              <w:t xml:space="preserve"> </w:t>
            </w:r>
            <w:r w:rsidRPr="00FF6562">
              <w:rPr>
                <w:rFonts w:ascii="Arial" w:eastAsia="Arial" w:hAnsi="Arial" w:cs="Arial"/>
                <w:color w:val="000000"/>
                <w:sz w:val="18"/>
                <w:szCs w:val="18"/>
                <w:bdr w:val="none" w:sz="0" w:space="0" w:color="auto" w:frame="1"/>
              </w:rPr>
              <w:t>Aucun</w:t>
            </w:r>
          </w:p>
          <w:p w:rsidR="00BD5B7F" w:rsidRPr="00FF6562" w:rsidRDefault="00BD5B7F" w:rsidP="000E5961">
            <w:pPr>
              <w:rPr>
                <w:rFonts w:ascii="Arial" w:eastAsia="Calibri" w:hAnsi="Arial" w:cs="Arial"/>
                <w:color w:val="000000"/>
                <w:sz w:val="18"/>
                <w:szCs w:val="18"/>
              </w:rPr>
            </w:pPr>
          </w:p>
        </w:tc>
        <w:tc>
          <w:tcPr>
            <w:tcW w:w="2318" w:type="dxa"/>
            <w:gridSpan w:val="2"/>
            <w:tcBorders>
              <w:top w:val="single" w:sz="4" w:space="0" w:color="auto"/>
              <w:left w:val="single" w:sz="4" w:space="0" w:color="auto"/>
              <w:bottom w:val="single" w:sz="4" w:space="0" w:color="auto"/>
              <w:right w:val="single" w:sz="4" w:space="0" w:color="auto"/>
            </w:tcBorders>
          </w:tcPr>
          <w:p w:rsidR="00BD5B7F" w:rsidRPr="00FF6562" w:rsidRDefault="00BD5B7F" w:rsidP="000E5961">
            <w:pPr>
              <w:rPr>
                <w:rFonts w:ascii="Arial" w:eastAsia="Calibri" w:hAnsi="Arial" w:cs="Arial"/>
                <w:color w:val="000000"/>
                <w:sz w:val="18"/>
                <w:szCs w:val="18"/>
              </w:rPr>
            </w:pPr>
          </w:p>
          <w:p w:rsidR="00BD5B7F" w:rsidRPr="00FF6562" w:rsidRDefault="00BD5B7F" w:rsidP="000E5961">
            <w:pPr>
              <w:rPr>
                <w:rFonts w:ascii="Arial" w:eastAsia="Calibri" w:hAnsi="Arial" w:cs="Arial"/>
                <w:color w:val="000000"/>
                <w:sz w:val="18"/>
                <w:szCs w:val="18"/>
              </w:rPr>
            </w:pPr>
            <w:r w:rsidRPr="00FF6562">
              <w:rPr>
                <w:rFonts w:ascii="Arial" w:eastAsia="Arial" w:hAnsi="Arial" w:cs="Arial"/>
                <w:color w:val="000000"/>
                <w:sz w:val="18"/>
                <w:szCs w:val="18"/>
                <w:bdr w:val="none" w:sz="0" w:space="0" w:color="auto" w:frame="1"/>
              </w:rPr>
              <w:t xml:space="preserve"> </w:t>
            </w:r>
            <w:r w:rsidRPr="00FF6562">
              <w:rPr>
                <w:rFonts w:ascii="Arial" w:eastAsia="Arial" w:hAnsi="Arial" w:cs="Arial"/>
                <w:color w:val="000000"/>
                <w:sz w:val="16"/>
                <w:szCs w:val="16"/>
              </w:rPr>
              <w:t>􁃱</w:t>
            </w:r>
            <w:r w:rsidRPr="00FF6562">
              <w:rPr>
                <w:rFonts w:ascii="Arial" w:eastAsia="Calibri" w:hAnsi="Arial" w:cs="Arial"/>
                <w:color w:val="000000"/>
                <w:sz w:val="18"/>
                <w:szCs w:val="18"/>
              </w:rPr>
              <w:t xml:space="preserve"> </w:t>
            </w:r>
            <w:r w:rsidRPr="00FF6562">
              <w:rPr>
                <w:rFonts w:ascii="Arial" w:eastAsia="Arial" w:hAnsi="Arial" w:cs="Arial"/>
                <w:color w:val="000000"/>
                <w:sz w:val="18"/>
                <w:szCs w:val="18"/>
                <w:bdr w:val="none" w:sz="0" w:space="0" w:color="auto" w:frame="1"/>
              </w:rPr>
              <w:t xml:space="preserve">Moins de </w:t>
            </w:r>
            <w:r w:rsidRPr="00FF6562">
              <w:rPr>
                <w:rFonts w:ascii="Arial" w:eastAsia="Arial" w:hAnsi="Arial" w:cs="Arial"/>
                <w:b/>
                <w:bCs/>
                <w:color w:val="000000"/>
                <w:sz w:val="18"/>
                <w:szCs w:val="18"/>
                <w:bdr w:val="none" w:sz="0" w:space="0" w:color="auto" w:frame="1"/>
              </w:rPr>
              <w:t>10 %</w:t>
            </w:r>
          </w:p>
          <w:p w:rsidR="00BD5B7F" w:rsidRPr="00FF6562" w:rsidRDefault="00BD5B7F" w:rsidP="000E5961">
            <w:pPr>
              <w:rPr>
                <w:rFonts w:ascii="Arial" w:eastAsia="Calibri" w:hAnsi="Arial" w:cs="Arial"/>
                <w:color w:val="000000"/>
                <w:sz w:val="18"/>
                <w:szCs w:val="18"/>
              </w:rPr>
            </w:pPr>
          </w:p>
        </w:tc>
        <w:tc>
          <w:tcPr>
            <w:tcW w:w="2339" w:type="dxa"/>
            <w:gridSpan w:val="2"/>
            <w:tcBorders>
              <w:top w:val="single" w:sz="4" w:space="0" w:color="auto"/>
              <w:left w:val="single" w:sz="4" w:space="0" w:color="auto"/>
              <w:bottom w:val="single" w:sz="4" w:space="0" w:color="auto"/>
              <w:right w:val="single" w:sz="4" w:space="0" w:color="auto"/>
            </w:tcBorders>
          </w:tcPr>
          <w:p w:rsidR="00BD5B7F" w:rsidRPr="00FF6562" w:rsidRDefault="00BD5B7F" w:rsidP="000E5961">
            <w:pPr>
              <w:rPr>
                <w:rFonts w:ascii="Arial" w:eastAsia="Calibri" w:hAnsi="Arial" w:cs="Arial"/>
                <w:color w:val="000000"/>
                <w:sz w:val="18"/>
                <w:szCs w:val="18"/>
              </w:rPr>
            </w:pPr>
          </w:p>
          <w:p w:rsidR="00BD5B7F" w:rsidRPr="00FF6562" w:rsidRDefault="00BD5B7F" w:rsidP="000E5961">
            <w:pPr>
              <w:rPr>
                <w:rFonts w:ascii="Arial" w:eastAsia="Calibri" w:hAnsi="Arial" w:cs="Arial"/>
                <w:color w:val="000000"/>
                <w:sz w:val="18"/>
                <w:szCs w:val="18"/>
              </w:rPr>
            </w:pPr>
            <w:r w:rsidRPr="00FF6562">
              <w:rPr>
                <w:rFonts w:ascii="Arial" w:eastAsia="Arial" w:hAnsi="Arial" w:cs="Arial"/>
                <w:color w:val="000000"/>
                <w:sz w:val="18"/>
                <w:szCs w:val="18"/>
                <w:bdr w:val="none" w:sz="0" w:space="0" w:color="auto" w:frame="1"/>
              </w:rPr>
              <w:t xml:space="preserve"> </w:t>
            </w:r>
            <w:r w:rsidRPr="00FF6562">
              <w:rPr>
                <w:rFonts w:ascii="Arial" w:eastAsia="Arial" w:hAnsi="Arial" w:cs="Arial"/>
                <w:color w:val="000000"/>
                <w:sz w:val="16"/>
                <w:szCs w:val="16"/>
              </w:rPr>
              <w:t>􁃱</w:t>
            </w:r>
            <w:r w:rsidRPr="00FF6562">
              <w:rPr>
                <w:rFonts w:ascii="Arial" w:eastAsia="Calibri" w:hAnsi="Arial" w:cs="Arial"/>
                <w:color w:val="000000"/>
                <w:sz w:val="18"/>
                <w:szCs w:val="18"/>
              </w:rPr>
              <w:t xml:space="preserve"> </w:t>
            </w:r>
            <w:r w:rsidRPr="00FF6562">
              <w:rPr>
                <w:rFonts w:ascii="Arial" w:eastAsia="Arial" w:hAnsi="Arial" w:cs="Arial"/>
                <w:color w:val="000000"/>
                <w:sz w:val="18"/>
                <w:szCs w:val="18"/>
                <w:bdr w:val="none" w:sz="0" w:space="0" w:color="auto" w:frame="1"/>
              </w:rPr>
              <w:t xml:space="preserve">Entre </w:t>
            </w:r>
            <w:r w:rsidRPr="00FF6562">
              <w:rPr>
                <w:rFonts w:ascii="Arial" w:eastAsia="Arial" w:hAnsi="Arial" w:cs="Arial"/>
                <w:b/>
                <w:bCs/>
                <w:color w:val="000000"/>
                <w:sz w:val="18"/>
                <w:szCs w:val="18"/>
                <w:bdr w:val="none" w:sz="0" w:space="0" w:color="auto" w:frame="1"/>
              </w:rPr>
              <w:t>10 %</w:t>
            </w:r>
            <w:r w:rsidRPr="00FF6562">
              <w:rPr>
                <w:rFonts w:ascii="Arial" w:eastAsia="Arial" w:hAnsi="Arial" w:cs="Arial"/>
                <w:color w:val="000000"/>
                <w:sz w:val="18"/>
                <w:szCs w:val="18"/>
                <w:bdr w:val="none" w:sz="0" w:space="0" w:color="auto" w:frame="1"/>
              </w:rPr>
              <w:t xml:space="preserve"> et </w:t>
            </w:r>
            <w:r w:rsidRPr="00FF6562">
              <w:rPr>
                <w:rFonts w:ascii="Arial" w:eastAsia="Arial" w:hAnsi="Arial" w:cs="Arial"/>
                <w:b/>
                <w:bCs/>
                <w:color w:val="000000"/>
                <w:sz w:val="18"/>
                <w:szCs w:val="18"/>
                <w:bdr w:val="none" w:sz="0" w:space="0" w:color="auto" w:frame="1"/>
              </w:rPr>
              <w:t>50 %</w:t>
            </w:r>
          </w:p>
          <w:p w:rsidR="00BD5B7F" w:rsidRPr="00FF6562" w:rsidRDefault="00BD5B7F" w:rsidP="000E5961">
            <w:pPr>
              <w:rPr>
                <w:rFonts w:ascii="Arial" w:eastAsia="Calibri" w:hAnsi="Arial" w:cs="Arial"/>
                <w:color w:val="000000"/>
                <w:sz w:val="18"/>
                <w:szCs w:val="18"/>
              </w:rPr>
            </w:pPr>
          </w:p>
        </w:tc>
        <w:tc>
          <w:tcPr>
            <w:tcW w:w="2320" w:type="dxa"/>
            <w:tcBorders>
              <w:top w:val="single" w:sz="4" w:space="0" w:color="auto"/>
              <w:left w:val="single" w:sz="4" w:space="0" w:color="auto"/>
              <w:bottom w:val="single" w:sz="4" w:space="0" w:color="auto"/>
              <w:right w:val="single" w:sz="4" w:space="0" w:color="auto"/>
            </w:tcBorders>
          </w:tcPr>
          <w:p w:rsidR="00BD5B7F" w:rsidRPr="00FF6562" w:rsidRDefault="00BD5B7F" w:rsidP="000E5961">
            <w:pPr>
              <w:rPr>
                <w:rFonts w:ascii="Arial" w:eastAsia="Calibri" w:hAnsi="Arial" w:cs="Arial"/>
                <w:color w:val="000000"/>
                <w:sz w:val="18"/>
                <w:szCs w:val="18"/>
              </w:rPr>
            </w:pPr>
          </w:p>
          <w:p w:rsidR="00BD5B7F" w:rsidRPr="00FF6562" w:rsidRDefault="00BD5B7F" w:rsidP="000E5961">
            <w:pPr>
              <w:rPr>
                <w:rFonts w:ascii="Arial" w:eastAsia="Calibri" w:hAnsi="Arial" w:cs="Arial"/>
                <w:color w:val="000000"/>
                <w:sz w:val="18"/>
                <w:szCs w:val="18"/>
              </w:rPr>
            </w:pPr>
            <w:r w:rsidRPr="00FF6562">
              <w:rPr>
                <w:rFonts w:ascii="Arial" w:eastAsia="Arial" w:hAnsi="Arial" w:cs="Arial"/>
                <w:color w:val="000000"/>
                <w:sz w:val="18"/>
                <w:szCs w:val="18"/>
                <w:bdr w:val="none" w:sz="0" w:space="0" w:color="auto" w:frame="1"/>
              </w:rPr>
              <w:t xml:space="preserve"> </w:t>
            </w:r>
            <w:r w:rsidRPr="00FF6562">
              <w:rPr>
                <w:rFonts w:ascii="Arial" w:eastAsia="Arial" w:hAnsi="Arial" w:cs="Arial"/>
                <w:color w:val="000000"/>
                <w:sz w:val="16"/>
                <w:szCs w:val="16"/>
              </w:rPr>
              <w:t>􁃱</w:t>
            </w:r>
            <w:r w:rsidRPr="00FF6562">
              <w:rPr>
                <w:rFonts w:ascii="Arial" w:eastAsia="Calibri" w:hAnsi="Arial" w:cs="Arial"/>
                <w:color w:val="000000"/>
                <w:sz w:val="18"/>
                <w:szCs w:val="18"/>
              </w:rPr>
              <w:t xml:space="preserve"> </w:t>
            </w:r>
            <w:r w:rsidRPr="00FF6562">
              <w:rPr>
                <w:rFonts w:ascii="Arial" w:eastAsia="Arial" w:hAnsi="Arial" w:cs="Arial"/>
                <w:color w:val="000000"/>
                <w:sz w:val="18"/>
                <w:szCs w:val="18"/>
                <w:bdr w:val="none" w:sz="0" w:space="0" w:color="auto" w:frame="1"/>
              </w:rPr>
              <w:t xml:space="preserve">Plus que </w:t>
            </w:r>
            <w:r w:rsidRPr="00FF6562">
              <w:rPr>
                <w:rFonts w:ascii="Arial" w:eastAsia="Arial" w:hAnsi="Arial" w:cs="Arial"/>
                <w:b/>
                <w:bCs/>
                <w:color w:val="000000"/>
                <w:sz w:val="18"/>
                <w:szCs w:val="18"/>
                <w:bdr w:val="none" w:sz="0" w:space="0" w:color="auto" w:frame="1"/>
              </w:rPr>
              <w:t>50 %</w:t>
            </w:r>
          </w:p>
          <w:p w:rsidR="00BD5B7F" w:rsidRPr="00FF6562" w:rsidRDefault="00BD5B7F" w:rsidP="000E5961">
            <w:pPr>
              <w:rPr>
                <w:rFonts w:ascii="Arial" w:eastAsia="Calibri" w:hAnsi="Arial" w:cs="Arial"/>
                <w:color w:val="000000"/>
                <w:sz w:val="18"/>
                <w:szCs w:val="18"/>
              </w:rPr>
            </w:pPr>
          </w:p>
        </w:tc>
      </w:tr>
    </w:tbl>
    <w:p w:rsidR="00BD5B7F" w:rsidRPr="00FF6562" w:rsidRDefault="00BD5B7F" w:rsidP="00BD5B7F">
      <w:pPr>
        <w:rPr>
          <w:rFonts w:ascii="Arial" w:eastAsia="Calibri" w:hAnsi="Arial" w:cs="Arial"/>
          <w:b/>
          <w:bCs/>
          <w:color w:val="000000"/>
          <w:sz w:val="23"/>
          <w:szCs w:val="23"/>
        </w:rPr>
      </w:pPr>
    </w:p>
    <w:p w:rsidR="00BD5B7F" w:rsidRPr="00FF6562" w:rsidRDefault="00BD5B7F" w:rsidP="00BD5B7F">
      <w:pPr>
        <w:rPr>
          <w:rFonts w:ascii="Arial" w:eastAsia="Calibri" w:hAnsi="Arial" w:cs="Arial"/>
          <w:color w:val="000000"/>
          <w:sz w:val="22"/>
          <w:szCs w:val="22"/>
        </w:rPr>
      </w:pPr>
      <w:r w:rsidRPr="00FF6562">
        <w:rPr>
          <w:rFonts w:ascii="Arial" w:eastAsia="Arial" w:hAnsi="Arial" w:cs="Arial"/>
          <w:color w:val="000000"/>
          <w:sz w:val="22"/>
          <w:szCs w:val="22"/>
          <w:bdr w:val="none" w:sz="0" w:space="0" w:color="auto" w:frame="1"/>
        </w:rPr>
        <w:t>Commentaires</w:t>
      </w:r>
      <w:r w:rsidRPr="00FF6562">
        <w:rPr>
          <w:rFonts w:ascii="Arial" w:eastAsia="Calibri" w:hAnsi="Arial" w:cs="Arial"/>
          <w:color w:val="000000"/>
          <w:sz w:val="22"/>
          <w:szCs w:val="22"/>
          <w:vertAlign w:val="superscript"/>
        </w:rPr>
        <w:footnoteReference w:id="44"/>
      </w:r>
      <w:r w:rsidRPr="00FF6562">
        <w:rPr>
          <w:rFonts w:ascii="Arial" w:eastAsia="Arial" w:hAnsi="Arial" w:cs="Arial"/>
          <w:color w:val="000000"/>
          <w:sz w:val="22"/>
          <w:szCs w:val="22"/>
          <w:bdr w:val="none" w:sz="0" w:space="0" w:color="auto" w:frame="1"/>
        </w:rPr>
        <w:t> :</w:t>
      </w:r>
    </w:p>
    <w:p w:rsidR="00BD5B7F" w:rsidRPr="00FF6562" w:rsidRDefault="00BD5B7F" w:rsidP="00BD5B7F">
      <w:pPr>
        <w:ind w:firstLine="708"/>
        <w:rPr>
          <w:rFonts w:ascii="Arial" w:eastAsia="Calibri" w:hAnsi="Arial" w:cs="Arial"/>
          <w:color w:val="000000"/>
          <w:sz w:val="22"/>
          <w:szCs w:val="22"/>
        </w:rPr>
      </w:pPr>
    </w:p>
    <w:p w:rsidR="00BD5B7F" w:rsidRPr="00FF6562" w:rsidRDefault="00BD5B7F" w:rsidP="00BD5B7F">
      <w:pPr>
        <w:ind w:left="3600"/>
        <w:contextualSpacing/>
        <w:rPr>
          <w:rFonts w:ascii="Arial" w:eastAsia="Calibri" w:hAnsi="Arial" w:cs="Arial"/>
          <w:b/>
          <w:bCs/>
          <w:color w:val="000000"/>
          <w:sz w:val="23"/>
          <w:szCs w:val="23"/>
        </w:rPr>
      </w:pPr>
      <w:r w:rsidRPr="00FF6562">
        <w:rPr>
          <w:rFonts w:ascii="Arial" w:eastAsia="Calibri" w:hAnsi="Arial" w:cs="Arial"/>
          <w:b/>
          <w:bCs/>
          <w:color w:val="000000"/>
          <w:sz w:val="23"/>
          <w:szCs w:val="23"/>
        </w:rPr>
        <w:br w:type="page"/>
      </w:r>
    </w:p>
    <w:p w:rsidR="00BD5B7F" w:rsidRPr="00865DA5" w:rsidRDefault="00BD5B7F" w:rsidP="00BD5B7F">
      <w:pPr>
        <w:keepNext/>
        <w:keepLines/>
        <w:jc w:val="both"/>
        <w:outlineLvl w:val="1"/>
        <w:rPr>
          <w:rFonts w:ascii="Arial" w:hAnsi="Arial" w:cs="Arial"/>
          <w:b/>
          <w:color w:val="000000"/>
          <w:sz w:val="30"/>
          <w:szCs w:val="30"/>
          <w:lang w:val="fr-FR"/>
        </w:rPr>
      </w:pPr>
      <w:bookmarkStart w:id="93" w:name="_Toc491245261"/>
      <w:bookmarkStart w:id="94" w:name="_Toc491245061"/>
      <w:bookmarkStart w:id="95" w:name="_Toc486539598"/>
      <w:r w:rsidRPr="00865DA5">
        <w:rPr>
          <w:rFonts w:ascii="Arial" w:eastAsia="Arial" w:hAnsi="Arial" w:cs="Arial"/>
          <w:b/>
          <w:bCs/>
          <w:color w:val="000000"/>
          <w:sz w:val="30"/>
          <w:szCs w:val="30"/>
          <w:bdr w:val="none" w:sz="0" w:space="0" w:color="auto" w:frame="1"/>
          <w:lang w:val="fr-FR"/>
        </w:rPr>
        <w:lastRenderedPageBreak/>
        <w:t>E. Prévention - Autres instruments utilisés pour lutter contre l’IKB</w:t>
      </w:r>
      <w:bookmarkEnd w:id="93"/>
      <w:bookmarkEnd w:id="94"/>
      <w:bookmarkEnd w:id="95"/>
      <w:r w:rsidRPr="00865DA5">
        <w:rPr>
          <w:rFonts w:ascii="Arial" w:eastAsia="Arial" w:hAnsi="Arial" w:cs="Arial"/>
          <w:b/>
          <w:bCs/>
          <w:color w:val="000000"/>
          <w:sz w:val="30"/>
          <w:szCs w:val="30"/>
          <w:bdr w:val="none" w:sz="0" w:space="0" w:color="auto" w:frame="1"/>
          <w:lang w:val="fr-FR"/>
        </w:rPr>
        <w:t xml:space="preserve"> </w:t>
      </w:r>
    </w:p>
    <w:p w:rsidR="00BD5B7F" w:rsidRPr="00865DA5" w:rsidRDefault="00BD5B7F" w:rsidP="00BD5B7F">
      <w:pPr>
        <w:jc w:val="both"/>
        <w:rPr>
          <w:rFonts w:ascii="Arial" w:eastAsia="Calibri" w:hAnsi="Arial" w:cs="Arial"/>
          <w:color w:val="000000"/>
          <w:sz w:val="22"/>
          <w:szCs w:val="22"/>
          <w:lang w:val="fr-FR"/>
        </w:rPr>
      </w:pPr>
    </w:p>
    <w:p w:rsidR="00BD5B7F" w:rsidRPr="00865DA5" w:rsidRDefault="00BD5B7F" w:rsidP="00BD5B7F">
      <w:pPr>
        <w:keepNext/>
        <w:keepLines/>
        <w:spacing w:after="120"/>
        <w:jc w:val="both"/>
        <w:outlineLvl w:val="3"/>
        <w:rPr>
          <w:rFonts w:ascii="Arial" w:hAnsi="Arial" w:cs="Arial"/>
          <w:b/>
          <w:iCs/>
          <w:color w:val="000000"/>
          <w:sz w:val="28"/>
          <w:szCs w:val="22"/>
          <w:lang w:val="fr-FR"/>
        </w:rPr>
      </w:pPr>
      <w:bookmarkStart w:id="96" w:name="_Toc491245262"/>
      <w:bookmarkStart w:id="97" w:name="_Toc486539599"/>
      <w:r w:rsidRPr="00865DA5">
        <w:rPr>
          <w:rFonts w:ascii="Arial" w:eastAsia="Arial" w:hAnsi="Arial" w:cs="Arial"/>
          <w:b/>
          <w:bCs/>
          <w:iCs/>
          <w:color w:val="000000"/>
          <w:sz w:val="28"/>
          <w:szCs w:val="28"/>
          <w:bdr w:val="none" w:sz="0" w:space="0" w:color="auto" w:frame="1"/>
          <w:lang w:val="fr-FR"/>
        </w:rPr>
        <w:t>24. Coopération internationale</w:t>
      </w:r>
      <w:bookmarkEnd w:id="96"/>
      <w:bookmarkEnd w:id="97"/>
    </w:p>
    <w:p w:rsidR="00BD5B7F" w:rsidRPr="00865DA5" w:rsidRDefault="00BD5B7F" w:rsidP="00BD5B7F">
      <w:pPr>
        <w:jc w:val="both"/>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La mesure dans laquelle les institutions nationales profitent des initiatives internationales et des groupes de travail sur l’IKB.</w:t>
      </w:r>
    </w:p>
    <w:p w:rsidR="00BD5B7F" w:rsidRPr="00865DA5" w:rsidRDefault="00BD5B7F" w:rsidP="00BD5B7F">
      <w:pPr>
        <w:jc w:val="both"/>
        <w:rPr>
          <w:rFonts w:ascii="Arial" w:eastAsia="Calibri" w:hAnsi="Arial" w:cs="Arial"/>
          <w:color w:val="000000"/>
          <w:sz w:val="22"/>
          <w:szCs w:val="22"/>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 xml:space="preserve">Question : Les institutions gouvernementales nationales participent-elles activement aux initiatives internationales relatives à l’IKB ? </w:t>
      </w:r>
    </w:p>
    <w:p w:rsidR="00BD5B7F" w:rsidRPr="00865DA5" w:rsidRDefault="00BD5B7F" w:rsidP="00BD5B7F">
      <w:pPr>
        <w:jc w:val="both"/>
        <w:rPr>
          <w:rFonts w:ascii="Arial" w:eastAsia="Calibri" w:hAnsi="Arial" w:cs="Arial"/>
          <w:i/>
          <w:iCs/>
          <w:color w:val="000000"/>
          <w:sz w:val="22"/>
          <w:szCs w:val="22"/>
          <w:lang w:val="fr-FR"/>
        </w:rPr>
      </w:pPr>
    </w:p>
    <w:p w:rsidR="00BD5B7F" w:rsidRPr="00FF6562" w:rsidRDefault="00BD5B7F" w:rsidP="00BD5B7F">
      <w:pPr>
        <w:spacing w:after="120"/>
        <w:jc w:val="both"/>
        <w:rPr>
          <w:rFonts w:ascii="Arial" w:eastAsia="Calibri" w:hAnsi="Arial" w:cs="Arial"/>
          <w:i/>
          <w:iCs/>
          <w:color w:val="000000"/>
          <w:sz w:val="22"/>
          <w:szCs w:val="22"/>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5"/>
        <w:gridCol w:w="2303"/>
        <w:gridCol w:w="18"/>
        <w:gridCol w:w="2320"/>
        <w:gridCol w:w="2326"/>
      </w:tblGrid>
      <w:tr w:rsidR="00BD5B7F" w:rsidRPr="00FF6562" w:rsidTr="000E5961">
        <w:tc>
          <w:tcPr>
            <w:tcW w:w="2308"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1"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4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MS Gothic" w:hAnsi="Arial" w:cs="Arial"/>
                <w:color w:val="000000"/>
                <w:sz w:val="22"/>
                <w:szCs w:val="22"/>
              </w:rPr>
              <w:t>􀜆</w:t>
            </w:r>
          </w:p>
        </w:tc>
        <w:tc>
          <w:tcPr>
            <w:tcW w:w="232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trHeight w:val="2346"/>
        </w:trPr>
        <w:tc>
          <w:tcPr>
            <w:tcW w:w="2323"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Le gouvernement national </w:t>
            </w:r>
            <w:r w:rsidRPr="00865DA5">
              <w:rPr>
                <w:rFonts w:ascii="Arial" w:eastAsia="Arial" w:hAnsi="Arial" w:cs="Arial"/>
                <w:b/>
                <w:bCs/>
                <w:color w:val="000000"/>
                <w:sz w:val="18"/>
                <w:szCs w:val="18"/>
                <w:bdr w:val="none" w:sz="0" w:space="0" w:color="auto" w:frame="1"/>
                <w:lang w:val="fr-FR"/>
              </w:rPr>
              <w:t>ne participe pas</w:t>
            </w:r>
            <w:r w:rsidRPr="00865DA5">
              <w:rPr>
                <w:rFonts w:ascii="Arial" w:eastAsia="Arial" w:hAnsi="Arial" w:cs="Arial"/>
                <w:color w:val="000000"/>
                <w:sz w:val="18"/>
                <w:szCs w:val="18"/>
                <w:bdr w:val="none" w:sz="0" w:space="0" w:color="auto" w:frame="1"/>
                <w:lang w:val="fr-FR"/>
              </w:rPr>
              <w:t xml:space="preserve"> aux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Réunions du Groupe spécial intergouvernemental de la CMS sur l’abattage, le prélèvement et le commerce illégaux des oiseaux migrateurs en Méditerranée </w:t>
            </w:r>
          </w:p>
          <w:p w:rsidR="00BD5B7F" w:rsidRPr="00865DA5" w:rsidRDefault="00BD5B7F" w:rsidP="000E5961">
            <w:pPr>
              <w:rPr>
                <w:rFonts w:ascii="Arial" w:eastAsia="Calibri" w:hAnsi="Arial" w:cs="Arial"/>
                <w:bCs/>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Réunions du Réseau de correspondants spéciaux de la Convention de Berne sur l’éradication de la mise à mort, du piégeage et du commerce illégaux d’oiseaux sauvages</w:t>
            </w:r>
          </w:p>
          <w:p w:rsidR="00BD5B7F" w:rsidRPr="00865DA5" w:rsidRDefault="00BD5B7F" w:rsidP="000E5961">
            <w:pPr>
              <w:rPr>
                <w:rFonts w:ascii="Arial" w:eastAsia="Calibri" w:hAnsi="Arial" w:cs="Arial"/>
                <w:bCs/>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Initiatives CITES relatives à l’IKB</w:t>
            </w:r>
          </w:p>
          <w:p w:rsidR="00BD5B7F" w:rsidRPr="00865DA5" w:rsidRDefault="00BD5B7F" w:rsidP="000E5961">
            <w:pPr>
              <w:rPr>
                <w:rFonts w:ascii="Arial" w:eastAsia="Calibri" w:hAnsi="Arial" w:cs="Arial"/>
                <w:bCs/>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Initiatives de l’UE relatives à l’IKB</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Toute initiative bilatérale relative à l’IKB</w:t>
            </w:r>
          </w:p>
        </w:tc>
        <w:tc>
          <w:tcPr>
            <w:tcW w:w="2324"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Le gouvernement national </w:t>
            </w:r>
            <w:r w:rsidRPr="00865DA5">
              <w:rPr>
                <w:rFonts w:ascii="Arial" w:eastAsia="Arial" w:hAnsi="Arial" w:cs="Arial"/>
                <w:b/>
                <w:color w:val="000000"/>
                <w:sz w:val="18"/>
                <w:szCs w:val="18"/>
                <w:bdr w:val="none" w:sz="0" w:space="0" w:color="auto" w:frame="1"/>
                <w:lang w:val="fr-FR"/>
              </w:rPr>
              <w:t>a</w:t>
            </w:r>
            <w:r w:rsidRPr="00865DA5">
              <w:rPr>
                <w:rFonts w:ascii="Arial" w:eastAsia="Arial" w:hAnsi="Arial" w:cs="Arial"/>
                <w:color w:val="000000"/>
                <w:sz w:val="18"/>
                <w:szCs w:val="18"/>
                <w:bdr w:val="none" w:sz="0" w:space="0" w:color="auto" w:frame="1"/>
                <w:lang w:val="fr-FR"/>
              </w:rPr>
              <w:t xml:space="preserve"> </w:t>
            </w:r>
            <w:r w:rsidRPr="00865DA5">
              <w:rPr>
                <w:rFonts w:ascii="Arial" w:eastAsia="Arial" w:hAnsi="Arial" w:cs="Arial"/>
                <w:b/>
                <w:color w:val="000000"/>
                <w:sz w:val="18"/>
                <w:szCs w:val="18"/>
                <w:bdr w:val="none" w:sz="0" w:space="0" w:color="auto" w:frame="1"/>
                <w:lang w:val="fr-FR"/>
              </w:rPr>
              <w:t>participé</w:t>
            </w:r>
            <w:r w:rsidRPr="00865DA5">
              <w:rPr>
                <w:rFonts w:ascii="Arial" w:eastAsia="Arial" w:hAnsi="Arial" w:cs="Arial"/>
                <w:color w:val="000000"/>
                <w:sz w:val="18"/>
                <w:szCs w:val="18"/>
                <w:bdr w:val="none" w:sz="0" w:space="0" w:color="auto" w:frame="1"/>
                <w:lang w:val="fr-FR"/>
              </w:rPr>
              <w:t xml:space="preserve"> au cours des 3 dernières années à moins de 50 % des réunions et initiatives suivantes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Réunions du Groupe spécial intergouvernemental de la CMS sur l’abattage, le prélèvement et le commerce illégaux des oiseaux migrateurs en Méditerranée </w:t>
            </w:r>
          </w:p>
          <w:p w:rsidR="00BD5B7F" w:rsidRPr="00865DA5" w:rsidRDefault="00BD5B7F" w:rsidP="000E5961">
            <w:pPr>
              <w:rPr>
                <w:rFonts w:ascii="Arial" w:eastAsia="Calibri" w:hAnsi="Arial" w:cs="Arial"/>
                <w:bCs/>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Réunions du Réseau de correspondants spéciaux de la Convention de Berne sur l’éradication de la mise à mort, du piégeage et du commerce illégaux d’oiseaux sauvages</w:t>
            </w:r>
          </w:p>
          <w:p w:rsidR="00BD5B7F" w:rsidRPr="00865DA5" w:rsidRDefault="00BD5B7F" w:rsidP="000E5961">
            <w:pPr>
              <w:rPr>
                <w:rFonts w:ascii="Arial" w:eastAsia="Calibri" w:hAnsi="Arial" w:cs="Arial"/>
                <w:bCs/>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Initiatives CITES relatives à l’IKB</w:t>
            </w:r>
          </w:p>
          <w:p w:rsidR="00BD5B7F" w:rsidRPr="00865DA5" w:rsidRDefault="00BD5B7F" w:rsidP="000E5961">
            <w:pPr>
              <w:rPr>
                <w:rFonts w:ascii="Arial" w:eastAsia="Calibri" w:hAnsi="Arial" w:cs="Arial"/>
                <w:bCs/>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Initiatives de l’UE relatives à l’IKB</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Toute initiative bilatérale relative à l’IKB</w:t>
            </w:r>
          </w:p>
        </w:tc>
        <w:tc>
          <w:tcPr>
            <w:tcW w:w="2323"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Le gouvernement national </w:t>
            </w:r>
            <w:r w:rsidRPr="00865DA5">
              <w:rPr>
                <w:rFonts w:ascii="Arial" w:eastAsia="Arial" w:hAnsi="Arial" w:cs="Arial"/>
                <w:b/>
                <w:color w:val="000000"/>
                <w:sz w:val="18"/>
                <w:szCs w:val="18"/>
                <w:bdr w:val="none" w:sz="0" w:space="0" w:color="auto" w:frame="1"/>
                <w:lang w:val="fr-FR"/>
              </w:rPr>
              <w:t>a</w:t>
            </w:r>
            <w:r w:rsidRPr="00865DA5">
              <w:rPr>
                <w:rFonts w:ascii="Arial" w:eastAsia="Arial" w:hAnsi="Arial" w:cs="Arial"/>
                <w:color w:val="000000"/>
                <w:sz w:val="18"/>
                <w:szCs w:val="18"/>
                <w:bdr w:val="none" w:sz="0" w:space="0" w:color="auto" w:frame="1"/>
                <w:lang w:val="fr-FR"/>
              </w:rPr>
              <w:t xml:space="preserve"> </w:t>
            </w:r>
            <w:r w:rsidRPr="00865DA5">
              <w:rPr>
                <w:rFonts w:ascii="Arial" w:eastAsia="Arial" w:hAnsi="Arial" w:cs="Arial"/>
                <w:b/>
                <w:color w:val="000000"/>
                <w:sz w:val="18"/>
                <w:szCs w:val="18"/>
                <w:bdr w:val="none" w:sz="0" w:space="0" w:color="auto" w:frame="1"/>
                <w:lang w:val="fr-FR"/>
              </w:rPr>
              <w:t>participé</w:t>
            </w:r>
            <w:r w:rsidRPr="00865DA5">
              <w:rPr>
                <w:rFonts w:ascii="Arial" w:eastAsia="Arial" w:hAnsi="Arial" w:cs="Arial"/>
                <w:color w:val="000000"/>
                <w:sz w:val="18"/>
                <w:szCs w:val="18"/>
                <w:bdr w:val="none" w:sz="0" w:space="0" w:color="auto" w:frame="1"/>
                <w:lang w:val="fr-FR"/>
              </w:rPr>
              <w:t xml:space="preserve"> au cours des 3 dernières années à plus de 50 % des réunions et initiatives suivantes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Réunions du Groupe spécial intergouvernemental de la CMS sur l’abattage, le prélèvement et le commerce illégaux des oiseaux migrateurs en Méditerranée </w:t>
            </w:r>
          </w:p>
          <w:p w:rsidR="00BD5B7F" w:rsidRPr="00865DA5" w:rsidRDefault="00BD5B7F" w:rsidP="000E5961">
            <w:pPr>
              <w:rPr>
                <w:rFonts w:ascii="Arial" w:eastAsia="Calibri" w:hAnsi="Arial" w:cs="Arial"/>
                <w:bCs/>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Réunions du Réseau de correspondants spéciaux de la Convention de Berne sur l’éradication de la mise à mort, du piégeage et du commerce illégaux d’oiseaux sauvages</w:t>
            </w:r>
          </w:p>
          <w:p w:rsidR="00BD5B7F" w:rsidRPr="00865DA5" w:rsidRDefault="00BD5B7F" w:rsidP="000E5961">
            <w:pPr>
              <w:rPr>
                <w:rFonts w:ascii="Arial" w:eastAsia="Calibri" w:hAnsi="Arial" w:cs="Arial"/>
                <w:bCs/>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Initiatives CITES relatives à l’IKB</w:t>
            </w:r>
          </w:p>
          <w:p w:rsidR="00BD5B7F" w:rsidRPr="00865DA5" w:rsidRDefault="00BD5B7F" w:rsidP="000E5961">
            <w:pPr>
              <w:rPr>
                <w:rFonts w:ascii="Arial" w:eastAsia="Calibri" w:hAnsi="Arial" w:cs="Arial"/>
                <w:bCs/>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Initiatives de l’UE relatives à l’IKB</w:t>
            </w:r>
          </w:p>
          <w:p w:rsidR="00BD5B7F" w:rsidRPr="00865DA5" w:rsidRDefault="00BD5B7F" w:rsidP="000E5961">
            <w:pPr>
              <w:rPr>
                <w:rFonts w:ascii="Arial" w:eastAsia="Calibri" w:hAnsi="Arial" w:cs="Arial"/>
                <w:bCs/>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Toute initiative bilatérale relative à l’IKB</w:t>
            </w:r>
          </w:p>
        </w:tc>
        <w:tc>
          <w:tcPr>
            <w:tcW w:w="2329"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 xml:space="preserve">Le gouvernement national </w:t>
            </w:r>
            <w:r w:rsidRPr="00865DA5">
              <w:rPr>
                <w:rFonts w:ascii="Arial" w:eastAsia="Arial" w:hAnsi="Arial" w:cs="Arial"/>
                <w:b/>
                <w:color w:val="000000"/>
                <w:sz w:val="18"/>
                <w:szCs w:val="18"/>
                <w:bdr w:val="none" w:sz="0" w:space="0" w:color="auto" w:frame="1"/>
                <w:lang w:val="fr-FR"/>
              </w:rPr>
              <w:t>joue un rôle actif</w:t>
            </w:r>
            <w:r w:rsidRPr="00FF6562">
              <w:rPr>
                <w:rFonts w:ascii="Arial" w:eastAsia="Calibri" w:hAnsi="Arial" w:cs="Arial"/>
                <w:color w:val="000000"/>
                <w:sz w:val="18"/>
                <w:szCs w:val="18"/>
                <w:vertAlign w:val="superscript"/>
              </w:rPr>
              <w:footnoteReference w:id="45"/>
            </w:r>
            <w:r w:rsidRPr="00865DA5">
              <w:rPr>
                <w:rFonts w:ascii="Arial" w:eastAsia="Arial" w:hAnsi="Arial" w:cs="Arial"/>
                <w:color w:val="000000"/>
                <w:sz w:val="18"/>
                <w:szCs w:val="18"/>
                <w:bdr w:val="none" w:sz="0" w:space="0" w:color="auto" w:frame="1"/>
                <w:lang w:val="fr-FR"/>
              </w:rPr>
              <w:t xml:space="preserve"> dans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Réunions du Groupe spécial intergouvernemental de la CMS sur l’abattage, le prélèvement et le commerce illégaux des oiseaux migrateurs en Méditerranée </w:t>
            </w:r>
          </w:p>
          <w:p w:rsidR="00BD5B7F" w:rsidRPr="00865DA5" w:rsidRDefault="00BD5B7F" w:rsidP="000E5961">
            <w:pPr>
              <w:rPr>
                <w:rFonts w:ascii="Arial" w:eastAsia="Calibri" w:hAnsi="Arial" w:cs="Arial"/>
                <w:bCs/>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Réunions du Réseau de correspondants spéciaux de la Convention de Berne sur l’éradication de la mise à mort, du piégeage et du commerce illégaux d’oiseaux sauvages</w:t>
            </w:r>
          </w:p>
          <w:p w:rsidR="00BD5B7F" w:rsidRPr="00865DA5" w:rsidRDefault="00BD5B7F" w:rsidP="000E5961">
            <w:pPr>
              <w:rPr>
                <w:rFonts w:ascii="Arial" w:eastAsia="Calibri" w:hAnsi="Arial" w:cs="Arial"/>
                <w:bCs/>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Initiatives CITES relatives à l’IKB</w:t>
            </w:r>
          </w:p>
          <w:p w:rsidR="00BD5B7F" w:rsidRPr="00865DA5" w:rsidRDefault="00BD5B7F" w:rsidP="000E5961">
            <w:pPr>
              <w:rPr>
                <w:rFonts w:ascii="Arial" w:eastAsia="Calibri" w:hAnsi="Arial" w:cs="Arial"/>
                <w:bCs/>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Initiatives de l’UE relatives à l’IKB</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Toute initiative bilatérale relative à l’IKB</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eastAsia="Calibri" w:hAnsi="Arial" w:cs="Arial"/>
          <w:b/>
          <w:bCs/>
          <w:color w:val="000000"/>
          <w:sz w:val="23"/>
          <w:szCs w:val="23"/>
          <w:lang w:val="fr-FR"/>
        </w:rPr>
      </w:pPr>
      <w:r w:rsidRPr="00865DA5">
        <w:rPr>
          <w:rFonts w:ascii="Arial" w:eastAsia="Calibri" w:hAnsi="Arial" w:cs="Arial"/>
          <w:b/>
          <w:bCs/>
          <w:color w:val="000000"/>
          <w:sz w:val="23"/>
          <w:szCs w:val="23"/>
          <w:lang w:val="fr-FR"/>
        </w:rPr>
        <w:br w:type="page"/>
      </w:r>
    </w:p>
    <w:p w:rsidR="00BD5B7F" w:rsidRPr="00865DA5" w:rsidRDefault="00BD5B7F" w:rsidP="00BD5B7F">
      <w:pPr>
        <w:keepNext/>
        <w:keepLines/>
        <w:spacing w:after="120"/>
        <w:outlineLvl w:val="3"/>
        <w:rPr>
          <w:rFonts w:ascii="Arial" w:hAnsi="Arial" w:cs="Arial"/>
          <w:b/>
          <w:i/>
          <w:iCs/>
          <w:color w:val="000000"/>
          <w:sz w:val="18"/>
          <w:szCs w:val="18"/>
          <w:lang w:val="fr-FR"/>
        </w:rPr>
      </w:pPr>
      <w:bookmarkStart w:id="98" w:name="_Toc491245263"/>
      <w:bookmarkStart w:id="99" w:name="_Toc486539600"/>
      <w:r w:rsidRPr="00865DA5">
        <w:rPr>
          <w:rFonts w:ascii="Arial" w:eastAsia="Arial" w:hAnsi="Arial" w:cs="Arial"/>
          <w:b/>
          <w:bCs/>
          <w:iCs/>
          <w:color w:val="000000"/>
          <w:sz w:val="28"/>
          <w:szCs w:val="28"/>
          <w:bdr w:val="none" w:sz="0" w:space="0" w:color="auto" w:frame="1"/>
          <w:lang w:val="fr-FR"/>
        </w:rPr>
        <w:lastRenderedPageBreak/>
        <w:t>25. Moteurs de la criminalité liée aux espèces sauvages</w:t>
      </w:r>
      <w:r w:rsidRPr="00FF6562">
        <w:rPr>
          <w:rFonts w:ascii="Arial" w:hAnsi="Arial" w:cs="Arial"/>
          <w:b/>
          <w:iCs/>
          <w:color w:val="000000"/>
          <w:sz w:val="28"/>
          <w:szCs w:val="22"/>
          <w:vertAlign w:val="superscript"/>
        </w:rPr>
        <w:footnoteReference w:id="46"/>
      </w:r>
      <w:bookmarkEnd w:id="98"/>
      <w:bookmarkEnd w:id="99"/>
    </w:p>
    <w:p w:rsidR="00BD5B7F" w:rsidRPr="00865DA5" w:rsidRDefault="00BD5B7F" w:rsidP="00BD5B7F">
      <w:pPr>
        <w:jc w:val="both"/>
        <w:rPr>
          <w:rFonts w:ascii="Arial" w:eastAsia="Arial" w:hAnsi="Arial" w:cs="Arial"/>
          <w:color w:val="000000"/>
          <w:sz w:val="22"/>
          <w:szCs w:val="22"/>
          <w:bdr w:val="none" w:sz="0" w:space="0" w:color="auto" w:frame="1"/>
          <w:lang w:val="fr-FR"/>
        </w:rPr>
      </w:pPr>
      <w:r w:rsidRPr="00865DA5">
        <w:rPr>
          <w:rFonts w:ascii="Arial" w:eastAsia="Arial" w:hAnsi="Arial" w:cs="Arial"/>
          <w:color w:val="000000"/>
          <w:sz w:val="22"/>
          <w:szCs w:val="22"/>
          <w:bdr w:val="none" w:sz="0" w:space="0" w:color="auto" w:frame="1"/>
          <w:lang w:val="fr-FR"/>
        </w:rPr>
        <w:t>Le niveau de connaissance et de compréhension des moteurs de l’IKB dans le pays.</w:t>
      </w:r>
    </w:p>
    <w:p w:rsidR="00BD5B7F" w:rsidRPr="00865DA5" w:rsidRDefault="00BD5B7F" w:rsidP="00BD5B7F">
      <w:pPr>
        <w:jc w:val="both"/>
        <w:rPr>
          <w:rFonts w:ascii="Arial" w:eastAsia="Calibri" w:hAnsi="Arial" w:cs="Arial"/>
          <w:b/>
          <w:bCs/>
          <w:i/>
          <w:iCs/>
          <w:color w:val="000000"/>
          <w:sz w:val="22"/>
          <w:szCs w:val="18"/>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Quel est le niveau de connaissance des moteurs</w:t>
      </w:r>
      <w:r w:rsidRPr="00FF6562">
        <w:rPr>
          <w:rFonts w:ascii="Arial" w:eastAsia="Calibri" w:hAnsi="Arial" w:cs="Arial"/>
          <w:b/>
          <w:bCs/>
          <w:i/>
          <w:iCs/>
          <w:color w:val="000000"/>
          <w:sz w:val="22"/>
          <w:szCs w:val="22"/>
          <w:vertAlign w:val="superscript"/>
        </w:rPr>
        <w:footnoteReference w:id="47"/>
      </w:r>
      <w:r w:rsidRPr="00865DA5">
        <w:rPr>
          <w:rFonts w:ascii="Arial" w:eastAsia="Arial" w:hAnsi="Arial" w:cs="Arial"/>
          <w:b/>
          <w:bCs/>
          <w:i/>
          <w:iCs/>
          <w:color w:val="000000"/>
          <w:sz w:val="22"/>
          <w:szCs w:val="22"/>
          <w:bdr w:val="none" w:sz="0" w:space="0" w:color="auto" w:frame="1"/>
          <w:lang w:val="fr-FR"/>
        </w:rPr>
        <w:t xml:space="preserve"> de l’IKB dans votre pays, y compris des moteurs de l’offre de produits illicites et de la demande des consommateurs ?</w:t>
      </w:r>
    </w:p>
    <w:p w:rsidR="00BD5B7F" w:rsidRPr="00865DA5" w:rsidRDefault="00BD5B7F" w:rsidP="00BD5B7F">
      <w:pPr>
        <w:jc w:val="both"/>
        <w:rPr>
          <w:rFonts w:ascii="Arial" w:eastAsia="Calibri" w:hAnsi="Arial" w:cs="Arial"/>
          <w:b/>
          <w:bCs/>
          <w:i/>
          <w:iCs/>
          <w:color w:val="000000"/>
          <w:sz w:val="22"/>
          <w:szCs w:val="18"/>
          <w:lang w:val="fr-FR"/>
        </w:rPr>
      </w:pPr>
    </w:p>
    <w:p w:rsidR="00BD5B7F" w:rsidRPr="00FF6562" w:rsidRDefault="00BD5B7F" w:rsidP="00BD5B7F">
      <w:pPr>
        <w:spacing w:after="120"/>
        <w:jc w:val="both"/>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8"/>
        <w:gridCol w:w="2307"/>
        <w:gridCol w:w="12"/>
        <w:gridCol w:w="2304"/>
        <w:gridCol w:w="30"/>
        <w:gridCol w:w="2327"/>
      </w:tblGrid>
      <w:tr w:rsidR="00BD5B7F" w:rsidRPr="00FF6562" w:rsidTr="000E5961">
        <w:tc>
          <w:tcPr>
            <w:tcW w:w="2310" w:type="dxa"/>
            <w:gridSpan w:val="2"/>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2"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3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30"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trHeight w:val="2346"/>
        </w:trPr>
        <w:tc>
          <w:tcPr>
            <w:tcW w:w="2302" w:type="dxa"/>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moteurs de l’IKB sont inconnus</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p>
        </w:tc>
        <w:tc>
          <w:tcPr>
            <w:tcW w:w="2318"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connaissance des moteurs de l’IKB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w:t>
            </w:r>
            <w:r w:rsidRPr="00865DA5">
              <w:rPr>
                <w:rFonts w:ascii="Arial" w:eastAsia="Arial" w:hAnsi="Arial" w:cs="Arial"/>
                <w:b/>
                <w:bCs/>
                <w:color w:val="000000"/>
                <w:sz w:val="18"/>
                <w:szCs w:val="18"/>
                <w:bdr w:val="none" w:sz="0" w:space="0" w:color="auto" w:frame="1"/>
                <w:lang w:val="fr-FR"/>
              </w:rPr>
              <w:t>basique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w:t>
            </w:r>
            <w:r w:rsidRPr="00865DA5">
              <w:rPr>
                <w:rFonts w:ascii="Arial" w:eastAsia="Arial" w:hAnsi="Arial" w:cs="Arial"/>
                <w:b/>
                <w:bCs/>
                <w:color w:val="000000"/>
                <w:sz w:val="18"/>
                <w:szCs w:val="18"/>
                <w:bdr w:val="none" w:sz="0" w:space="0" w:color="auto" w:frame="1"/>
                <w:lang w:val="fr-FR"/>
              </w:rPr>
              <w:t>anecdotique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basée sur des sources </w:t>
            </w:r>
            <w:r w:rsidRPr="00865DA5">
              <w:rPr>
                <w:rFonts w:ascii="Arial" w:eastAsia="Arial" w:hAnsi="Arial" w:cs="Arial"/>
                <w:b/>
                <w:bCs/>
                <w:color w:val="000000"/>
                <w:sz w:val="18"/>
                <w:szCs w:val="18"/>
                <w:bdr w:val="none" w:sz="0" w:space="0" w:color="auto" w:frame="1"/>
                <w:lang w:val="fr-FR"/>
              </w:rPr>
              <w:t>limitées</w:t>
            </w:r>
          </w:p>
        </w:tc>
        <w:tc>
          <w:tcPr>
            <w:tcW w:w="2319"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connaissance des moteurs de l’IKB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w:t>
            </w:r>
            <w:r w:rsidRPr="00865DA5">
              <w:rPr>
                <w:rFonts w:ascii="Arial" w:eastAsia="Arial" w:hAnsi="Arial" w:cs="Arial"/>
                <w:b/>
                <w:bCs/>
                <w:color w:val="000000"/>
                <w:sz w:val="18"/>
                <w:szCs w:val="18"/>
                <w:bdr w:val="none" w:sz="0" w:space="0" w:color="auto" w:frame="1"/>
                <w:lang w:val="fr-FR"/>
              </w:rPr>
              <w:t>modérée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Comporte des </w:t>
            </w:r>
            <w:r w:rsidRPr="00865DA5">
              <w:rPr>
                <w:rFonts w:ascii="Arial" w:eastAsia="Arial" w:hAnsi="Arial" w:cs="Arial"/>
                <w:b/>
                <w:bCs/>
                <w:color w:val="000000"/>
                <w:sz w:val="18"/>
                <w:szCs w:val="18"/>
                <w:bdr w:val="none" w:sz="0" w:space="0" w:color="auto" w:frame="1"/>
                <w:lang w:val="fr-FR"/>
              </w:rPr>
              <w:t>lacunes</w:t>
            </w:r>
          </w:p>
          <w:p w:rsidR="00BD5B7F" w:rsidRPr="00865DA5" w:rsidRDefault="00BD5B7F" w:rsidP="000E5961">
            <w:pPr>
              <w:rPr>
                <w:rFonts w:ascii="Arial" w:eastAsia="Calibri" w:hAnsi="Arial" w:cs="Arial"/>
                <w:color w:val="000000"/>
                <w:sz w:val="18"/>
                <w:szCs w:val="18"/>
                <w:lang w:val="fr-FR"/>
              </w:rPr>
            </w:pPr>
          </w:p>
        </w:tc>
        <w:tc>
          <w:tcPr>
            <w:tcW w:w="2360"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La connaissance des moteurs de l’IKB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w:t>
            </w:r>
            <w:r w:rsidRPr="00865DA5">
              <w:rPr>
                <w:rFonts w:ascii="Arial" w:eastAsia="Arial" w:hAnsi="Arial" w:cs="Arial"/>
                <w:b/>
                <w:bCs/>
                <w:color w:val="000000"/>
                <w:sz w:val="18"/>
                <w:szCs w:val="18"/>
                <w:bdr w:val="none" w:sz="0" w:space="0" w:color="auto" w:frame="1"/>
                <w:lang w:val="fr-FR"/>
              </w:rPr>
              <w:t>bonne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Est assez </w:t>
            </w:r>
            <w:r w:rsidRPr="00865DA5">
              <w:rPr>
                <w:rFonts w:ascii="Arial" w:eastAsia="Arial" w:hAnsi="Arial" w:cs="Arial"/>
                <w:b/>
                <w:bCs/>
                <w:color w:val="000000"/>
                <w:sz w:val="18"/>
                <w:szCs w:val="18"/>
                <w:bdr w:val="none" w:sz="0" w:space="0" w:color="auto" w:frame="1"/>
                <w:lang w:val="fr-FR"/>
              </w:rPr>
              <w:t>complète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Est basée sur des informations provenant de diverses sources,</w:t>
            </w:r>
            <w:r w:rsidRPr="00865DA5">
              <w:rPr>
                <w:rFonts w:ascii="Arial" w:eastAsia="Arial" w:hAnsi="Arial" w:cs="Arial"/>
                <w:b/>
                <w:bCs/>
                <w:color w:val="000000"/>
                <w:sz w:val="18"/>
                <w:szCs w:val="18"/>
                <w:bdr w:val="none" w:sz="0" w:space="0" w:color="auto" w:frame="1"/>
                <w:lang w:val="fr-FR"/>
              </w:rPr>
              <w:t xml:space="preserve"> y compris des recherches scientifiques </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hAnsi="Arial" w:cs="Arial"/>
          <w:b/>
          <w:bCs/>
          <w:color w:val="000000"/>
          <w:sz w:val="28"/>
          <w:szCs w:val="22"/>
          <w:lang w:val="fr-FR"/>
        </w:rPr>
      </w:pPr>
      <w:r w:rsidRPr="00865DA5">
        <w:rPr>
          <w:rFonts w:ascii="Arial" w:eastAsia="Calibri" w:hAnsi="Arial" w:cs="Arial"/>
          <w:color w:val="000000"/>
          <w:sz w:val="22"/>
          <w:szCs w:val="22"/>
          <w:lang w:val="fr-FR"/>
        </w:rPr>
        <w:br w:type="page"/>
      </w:r>
    </w:p>
    <w:p w:rsidR="00BD5B7F" w:rsidRPr="00865DA5" w:rsidRDefault="00BD5B7F" w:rsidP="00BD5B7F">
      <w:pPr>
        <w:keepNext/>
        <w:keepLines/>
        <w:spacing w:after="120"/>
        <w:outlineLvl w:val="3"/>
        <w:rPr>
          <w:rFonts w:ascii="Arial" w:hAnsi="Arial" w:cs="Arial"/>
          <w:b/>
          <w:i/>
          <w:iCs/>
          <w:color w:val="000000"/>
          <w:sz w:val="18"/>
          <w:szCs w:val="18"/>
          <w:lang w:val="fr-FR"/>
        </w:rPr>
      </w:pPr>
      <w:bookmarkStart w:id="100" w:name="_Toc491245264"/>
      <w:bookmarkStart w:id="101" w:name="_Toc486539601"/>
      <w:r w:rsidRPr="00865DA5">
        <w:rPr>
          <w:rFonts w:ascii="Arial" w:eastAsia="Arial" w:hAnsi="Arial" w:cs="Arial"/>
          <w:b/>
          <w:bCs/>
          <w:iCs/>
          <w:color w:val="000000"/>
          <w:sz w:val="28"/>
          <w:szCs w:val="28"/>
          <w:bdr w:val="none" w:sz="0" w:space="0" w:color="auto" w:frame="1"/>
          <w:lang w:val="fr-FR"/>
        </w:rPr>
        <w:lastRenderedPageBreak/>
        <w:t>26. Activités relatives à la demande</w:t>
      </w:r>
      <w:r w:rsidRPr="00FF6562">
        <w:rPr>
          <w:rFonts w:ascii="Arial" w:hAnsi="Arial" w:cs="Arial"/>
          <w:b/>
          <w:iCs/>
          <w:color w:val="000000"/>
          <w:sz w:val="28"/>
          <w:szCs w:val="22"/>
          <w:vertAlign w:val="superscript"/>
        </w:rPr>
        <w:footnoteReference w:id="48"/>
      </w:r>
      <w:bookmarkEnd w:id="100"/>
      <w:bookmarkEnd w:id="101"/>
      <w:r w:rsidRPr="00865DA5">
        <w:rPr>
          <w:rFonts w:ascii="Arial" w:eastAsia="Arial" w:hAnsi="Arial" w:cs="Arial"/>
          <w:b/>
          <w:bCs/>
          <w:iCs/>
          <w:color w:val="000000"/>
          <w:sz w:val="28"/>
          <w:szCs w:val="28"/>
          <w:bdr w:val="none" w:sz="0" w:space="0" w:color="auto" w:frame="1"/>
          <w:lang w:val="fr-FR"/>
        </w:rPr>
        <w:t xml:space="preserve"> </w:t>
      </w:r>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Le niveau de mise en œuvre des activités permettant de traiter la demande en produits illégaux issus des espèces sauvages.</w:t>
      </w:r>
    </w:p>
    <w:p w:rsidR="00BD5B7F" w:rsidRPr="00865DA5" w:rsidRDefault="00BD5B7F" w:rsidP="00BD5B7F">
      <w:pPr>
        <w:jc w:val="both"/>
        <w:rPr>
          <w:rFonts w:ascii="Arial" w:eastAsia="Calibri" w:hAnsi="Arial" w:cs="Arial"/>
          <w:color w:val="000000"/>
          <w:sz w:val="22"/>
          <w:szCs w:val="22"/>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Des activités sont-elles mises en œuvre pour traiter la demande</w:t>
      </w:r>
      <w:r w:rsidRPr="00FF6562">
        <w:rPr>
          <w:rFonts w:ascii="Arial" w:eastAsia="Calibri" w:hAnsi="Arial" w:cs="Arial"/>
          <w:b/>
          <w:bCs/>
          <w:i/>
          <w:iCs/>
          <w:color w:val="000000"/>
          <w:sz w:val="22"/>
          <w:szCs w:val="22"/>
          <w:vertAlign w:val="superscript"/>
        </w:rPr>
        <w:footnoteReference w:id="49"/>
      </w:r>
      <w:r w:rsidRPr="00865DA5">
        <w:rPr>
          <w:rFonts w:ascii="Arial" w:eastAsia="Arial" w:hAnsi="Arial" w:cs="Arial"/>
          <w:b/>
          <w:bCs/>
          <w:i/>
          <w:iCs/>
          <w:color w:val="000000"/>
          <w:sz w:val="22"/>
          <w:szCs w:val="22"/>
          <w:bdr w:val="none" w:sz="0" w:space="0" w:color="auto" w:frame="1"/>
          <w:lang w:val="fr-FR"/>
        </w:rPr>
        <w:t xml:space="preserve"> en oiseaux sauvages obtenus illégalement ?</w:t>
      </w:r>
    </w:p>
    <w:p w:rsidR="00BD5B7F" w:rsidRPr="00865DA5" w:rsidRDefault="00BD5B7F" w:rsidP="00BD5B7F">
      <w:pPr>
        <w:rPr>
          <w:rFonts w:ascii="Arial" w:eastAsia="Calibri" w:hAnsi="Arial" w:cs="Arial"/>
          <w:i/>
          <w:iCs/>
          <w:color w:val="000000"/>
          <w:sz w:val="22"/>
          <w:szCs w:val="22"/>
          <w:lang w:val="fr-FR"/>
        </w:rPr>
      </w:pPr>
    </w:p>
    <w:p w:rsidR="00BD5B7F" w:rsidRPr="00FF6562" w:rsidRDefault="00BD5B7F" w:rsidP="00BD5B7F">
      <w:pPr>
        <w:spacing w:after="120"/>
        <w:rPr>
          <w:rFonts w:ascii="Arial" w:eastAsia="Calibri" w:hAnsi="Arial" w:cs="Arial"/>
          <w:i/>
          <w:iCs/>
          <w:color w:val="000000"/>
          <w:sz w:val="22"/>
          <w:szCs w:val="22"/>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4"/>
        <w:gridCol w:w="2304"/>
        <w:gridCol w:w="16"/>
        <w:gridCol w:w="2322"/>
        <w:gridCol w:w="2326"/>
      </w:tblGrid>
      <w:tr w:rsidR="00BD5B7F" w:rsidRPr="00FF6562" w:rsidTr="000E5961">
        <w:tc>
          <w:tcPr>
            <w:tcW w:w="2308"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1"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4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2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trHeight w:val="2346"/>
        </w:trPr>
        <w:tc>
          <w:tcPr>
            <w:tcW w:w="2322"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activités relatives à la demande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N’ont </w:t>
            </w:r>
            <w:r w:rsidRPr="00865DA5">
              <w:rPr>
                <w:rFonts w:ascii="Arial" w:eastAsia="Arial" w:hAnsi="Arial" w:cs="Arial"/>
                <w:b/>
                <w:bCs/>
                <w:color w:val="000000"/>
                <w:sz w:val="18"/>
                <w:szCs w:val="18"/>
                <w:bdr w:val="none" w:sz="0" w:space="0" w:color="auto" w:frame="1"/>
                <w:lang w:val="fr-FR"/>
              </w:rPr>
              <w:t>pas</w:t>
            </w:r>
            <w:r w:rsidRPr="00865DA5">
              <w:rPr>
                <w:rFonts w:ascii="Arial" w:eastAsia="Arial" w:hAnsi="Arial" w:cs="Arial"/>
                <w:color w:val="000000"/>
                <w:sz w:val="18"/>
                <w:szCs w:val="18"/>
                <w:bdr w:val="none" w:sz="0" w:space="0" w:color="auto" w:frame="1"/>
                <w:lang w:val="fr-FR"/>
              </w:rPr>
              <w:t xml:space="preserve"> été développées ni mises en œuvre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Il n’y a </w:t>
            </w:r>
            <w:r w:rsidRPr="00865DA5">
              <w:rPr>
                <w:rFonts w:ascii="Arial" w:eastAsia="Arial" w:hAnsi="Arial" w:cs="Arial"/>
                <w:b/>
                <w:bCs/>
                <w:color w:val="000000"/>
                <w:sz w:val="18"/>
                <w:szCs w:val="18"/>
                <w:bdr w:val="none" w:sz="0" w:space="0" w:color="auto" w:frame="1"/>
                <w:lang w:val="fr-FR"/>
              </w:rPr>
              <w:t>pas</w:t>
            </w:r>
            <w:r w:rsidRPr="00865DA5">
              <w:rPr>
                <w:rFonts w:ascii="Arial" w:eastAsia="Arial" w:hAnsi="Arial" w:cs="Arial"/>
                <w:color w:val="000000"/>
                <w:sz w:val="18"/>
                <w:szCs w:val="18"/>
                <w:bdr w:val="none" w:sz="0" w:space="0" w:color="auto" w:frame="1"/>
                <w:lang w:val="fr-FR"/>
              </w:rPr>
              <w:t xml:space="preserve"> d’information disponible sur la demande en oiseaux sauvages obtenus illégalement dans le pays</w:t>
            </w:r>
          </w:p>
          <w:p w:rsidR="00BD5B7F" w:rsidRPr="00865DA5" w:rsidRDefault="00BD5B7F" w:rsidP="000E5961">
            <w:pPr>
              <w:rPr>
                <w:rFonts w:ascii="Arial" w:eastAsia="Calibri" w:hAnsi="Arial" w:cs="Arial"/>
                <w:color w:val="000000"/>
                <w:sz w:val="18"/>
                <w:szCs w:val="18"/>
                <w:lang w:val="fr-FR"/>
              </w:rPr>
            </w:pPr>
          </w:p>
        </w:tc>
        <w:tc>
          <w:tcPr>
            <w:tcW w:w="2323" w:type="dxa"/>
            <w:gridSpan w:val="2"/>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activités relatives à la demande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Ont été </w:t>
            </w:r>
            <w:r w:rsidRPr="00865DA5">
              <w:rPr>
                <w:rFonts w:ascii="Arial" w:eastAsia="Arial" w:hAnsi="Arial" w:cs="Arial"/>
                <w:b/>
                <w:bCs/>
                <w:color w:val="000000"/>
                <w:sz w:val="18"/>
                <w:szCs w:val="18"/>
                <w:bdr w:val="none" w:sz="0" w:space="0" w:color="auto" w:frame="1"/>
                <w:lang w:val="fr-FR"/>
              </w:rPr>
              <w:t>développées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w:t>
            </w:r>
            <w:r w:rsidRPr="00865DA5">
              <w:rPr>
                <w:rFonts w:ascii="Arial" w:eastAsia="Arial" w:hAnsi="Arial" w:cs="Arial"/>
                <w:b/>
                <w:bCs/>
                <w:color w:val="000000"/>
                <w:sz w:val="18"/>
                <w:szCs w:val="18"/>
                <w:bdr w:val="none" w:sz="0" w:space="0" w:color="auto" w:frame="1"/>
                <w:lang w:val="fr-FR"/>
              </w:rPr>
              <w:t xml:space="preserve">rarement </w:t>
            </w:r>
            <w:r w:rsidRPr="00865DA5">
              <w:rPr>
                <w:rFonts w:ascii="Arial" w:eastAsia="Arial" w:hAnsi="Arial" w:cs="Arial"/>
                <w:color w:val="000000"/>
                <w:sz w:val="18"/>
                <w:szCs w:val="18"/>
                <w:bdr w:val="none" w:sz="0" w:space="0" w:color="auto" w:frame="1"/>
                <w:lang w:val="fr-FR"/>
              </w:rPr>
              <w:t>mises en œuvre pleinement en raison d’un manque de ressources disponibles (p. ex. techniques, humaines, financières)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Sont basées sur des informations disponibles sur la demande en oiseaux sauvages obtenus illégalement dans le pays</w:t>
            </w:r>
          </w:p>
        </w:tc>
        <w:tc>
          <w:tcPr>
            <w:tcW w:w="2325"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activités relatives à la demande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Ont été développées et mises en œuvre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w:t>
            </w:r>
            <w:r w:rsidRPr="00865DA5">
              <w:rPr>
                <w:rFonts w:ascii="Arial" w:eastAsia="Arial" w:hAnsi="Arial" w:cs="Arial"/>
                <w:b/>
                <w:bCs/>
                <w:color w:val="000000"/>
                <w:sz w:val="18"/>
                <w:szCs w:val="18"/>
                <w:bdr w:val="none" w:sz="0" w:space="0" w:color="auto" w:frame="1"/>
                <w:lang w:val="fr-FR"/>
              </w:rPr>
              <w:t>régulièrement</w:t>
            </w:r>
            <w:r w:rsidRPr="00865DA5">
              <w:rPr>
                <w:rFonts w:ascii="Arial" w:eastAsia="Arial" w:hAnsi="Arial" w:cs="Arial"/>
                <w:color w:val="000000"/>
                <w:sz w:val="18"/>
                <w:szCs w:val="18"/>
                <w:bdr w:val="none" w:sz="0" w:space="0" w:color="auto" w:frame="1"/>
                <w:lang w:val="fr-FR"/>
              </w:rPr>
              <w:t xml:space="preserve"> examinées pour identifier les résultats obtenus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Sont basées sur des informations disponibles sur la demande en oiseaux sauvages obtenus illégalement dans le pays</w:t>
            </w:r>
          </w:p>
        </w:tc>
        <w:tc>
          <w:tcPr>
            <w:tcW w:w="2329" w:type="dxa"/>
            <w:tcBorders>
              <w:top w:val="single" w:sz="4" w:space="0" w:color="auto"/>
              <w:left w:val="single" w:sz="4" w:space="0" w:color="auto"/>
              <w:bottom w:val="single" w:sz="4" w:space="0" w:color="auto"/>
              <w:right w:val="single" w:sz="4" w:space="0" w:color="auto"/>
            </w:tcBorders>
            <w:hideMark/>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activités relatives à la demande :</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Ont été développées et mises en œuvre</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w:t>
            </w:r>
            <w:r w:rsidRPr="00865DA5">
              <w:rPr>
                <w:rFonts w:ascii="Arial" w:eastAsia="Arial" w:hAnsi="Arial" w:cs="Arial"/>
                <w:b/>
                <w:bCs/>
                <w:color w:val="000000"/>
                <w:sz w:val="18"/>
                <w:szCs w:val="18"/>
                <w:bdr w:val="none" w:sz="0" w:space="0" w:color="auto" w:frame="1"/>
                <w:lang w:val="fr-FR"/>
              </w:rPr>
              <w:t>régulièrement</w:t>
            </w:r>
            <w:r w:rsidRPr="00865DA5">
              <w:rPr>
                <w:rFonts w:ascii="Arial" w:eastAsia="Arial" w:hAnsi="Arial" w:cs="Arial"/>
                <w:color w:val="000000"/>
                <w:sz w:val="18"/>
                <w:szCs w:val="18"/>
                <w:bdr w:val="none" w:sz="0" w:space="0" w:color="auto" w:frame="1"/>
                <w:lang w:val="fr-FR"/>
              </w:rPr>
              <w:t xml:space="preserve"> examinées pour identifier les résultats obtenus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Ne sont </w:t>
            </w:r>
            <w:r w:rsidRPr="00865DA5">
              <w:rPr>
                <w:rFonts w:ascii="Arial" w:eastAsia="Arial" w:hAnsi="Arial" w:cs="Arial"/>
                <w:b/>
                <w:bCs/>
                <w:color w:val="000000"/>
                <w:sz w:val="18"/>
                <w:szCs w:val="18"/>
                <w:bdr w:val="none" w:sz="0" w:space="0" w:color="auto" w:frame="1"/>
                <w:lang w:val="fr-FR"/>
              </w:rPr>
              <w:t>pas nécessaires</w:t>
            </w:r>
            <w:r w:rsidRPr="00865DA5">
              <w:rPr>
                <w:rFonts w:ascii="Arial" w:eastAsia="Arial" w:hAnsi="Arial" w:cs="Arial"/>
                <w:color w:val="000000"/>
                <w:sz w:val="18"/>
                <w:szCs w:val="18"/>
                <w:bdr w:val="none" w:sz="0" w:space="0" w:color="auto" w:frame="1"/>
                <w:lang w:val="fr-FR"/>
              </w:rPr>
              <w:t xml:space="preserve"> car les données confirment qu’il y a très peu de demande en oiseaux sauvages obtenus illégalement dans le pays</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Calibri" w:hAnsi="Arial" w:cs="Arial"/>
          <w:color w:val="000000"/>
          <w:sz w:val="22"/>
          <w:szCs w:val="22"/>
          <w:lang w:val="fr-FR"/>
        </w:rPr>
        <w:br w:type="page"/>
      </w:r>
    </w:p>
    <w:p w:rsidR="00BD5B7F" w:rsidRPr="00865DA5" w:rsidRDefault="00BD5B7F" w:rsidP="00BD5B7F">
      <w:pPr>
        <w:keepNext/>
        <w:keepLines/>
        <w:spacing w:after="120"/>
        <w:outlineLvl w:val="3"/>
        <w:rPr>
          <w:rFonts w:ascii="Arial" w:hAnsi="Arial" w:cs="Arial"/>
          <w:b/>
          <w:i/>
          <w:iCs/>
          <w:color w:val="000000"/>
          <w:sz w:val="18"/>
          <w:szCs w:val="18"/>
          <w:lang w:val="fr-FR"/>
        </w:rPr>
      </w:pPr>
      <w:bookmarkStart w:id="102" w:name="_Toc491245265"/>
      <w:bookmarkStart w:id="103" w:name="_Toc486539602"/>
      <w:r w:rsidRPr="00865DA5">
        <w:rPr>
          <w:rFonts w:ascii="Arial" w:eastAsia="Arial" w:hAnsi="Arial" w:cs="Arial"/>
          <w:b/>
          <w:bCs/>
          <w:iCs/>
          <w:color w:val="000000"/>
          <w:sz w:val="28"/>
          <w:szCs w:val="28"/>
          <w:bdr w:val="none" w:sz="0" w:space="0" w:color="auto" w:frame="1"/>
          <w:lang w:val="fr-FR"/>
        </w:rPr>
        <w:lastRenderedPageBreak/>
        <w:t>27. Communauté soumise aux réglementations</w:t>
      </w:r>
      <w:r w:rsidRPr="00FF6562">
        <w:rPr>
          <w:rFonts w:ascii="Arial" w:hAnsi="Arial" w:cs="Arial"/>
          <w:b/>
          <w:iCs/>
          <w:color w:val="000000"/>
          <w:sz w:val="28"/>
          <w:szCs w:val="22"/>
          <w:vertAlign w:val="superscript"/>
        </w:rPr>
        <w:footnoteReference w:id="50"/>
      </w:r>
      <w:bookmarkEnd w:id="102"/>
      <w:bookmarkEnd w:id="103"/>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La mesure dans laquelle du matériel et/ou des programmes de sensibilisation sont en place afin que la communauté soumise aux réglementations soit sensibilisée aux lois applicables en matière d’utilisation durable des oiseaux sauvages.</w:t>
      </w:r>
    </w:p>
    <w:p w:rsidR="00BD5B7F" w:rsidRPr="00865DA5" w:rsidRDefault="00BD5B7F" w:rsidP="00BD5B7F">
      <w:pPr>
        <w:jc w:val="both"/>
        <w:rPr>
          <w:rFonts w:ascii="Arial" w:eastAsia="Calibri" w:hAnsi="Arial" w:cs="Arial"/>
          <w:color w:val="000000"/>
          <w:sz w:val="22"/>
          <w:szCs w:val="18"/>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Des efforts sont-ils déployés pour que la communauté soumise aux réglementations</w:t>
      </w:r>
      <w:r w:rsidRPr="00FF6562">
        <w:rPr>
          <w:rFonts w:ascii="Arial" w:eastAsia="Calibri" w:hAnsi="Arial" w:cs="Arial"/>
          <w:b/>
          <w:bCs/>
          <w:i/>
          <w:iCs/>
          <w:color w:val="000000"/>
          <w:sz w:val="22"/>
          <w:szCs w:val="22"/>
          <w:vertAlign w:val="superscript"/>
        </w:rPr>
        <w:footnoteReference w:id="51"/>
      </w:r>
      <w:r w:rsidRPr="00865DA5">
        <w:rPr>
          <w:rFonts w:ascii="Arial" w:eastAsia="Arial" w:hAnsi="Arial" w:cs="Arial"/>
          <w:b/>
          <w:bCs/>
          <w:i/>
          <w:iCs/>
          <w:color w:val="000000"/>
          <w:sz w:val="22"/>
          <w:szCs w:val="22"/>
          <w:bdr w:val="none" w:sz="0" w:space="0" w:color="auto" w:frame="1"/>
          <w:lang w:val="fr-FR"/>
        </w:rPr>
        <w:t xml:space="preserve"> soit sensibilisée aux exigences de la législation sur l’utilisation durable des espèces sauvages et aux sanctions pour non-respect ?</w:t>
      </w:r>
    </w:p>
    <w:p w:rsidR="00BD5B7F" w:rsidRPr="00865DA5" w:rsidRDefault="00BD5B7F" w:rsidP="00BD5B7F">
      <w:pPr>
        <w:jc w:val="both"/>
        <w:rPr>
          <w:rFonts w:ascii="Arial" w:eastAsia="Calibri" w:hAnsi="Arial" w:cs="Arial"/>
          <w:b/>
          <w:bCs/>
          <w:i/>
          <w:iCs/>
          <w:color w:val="000000"/>
          <w:sz w:val="22"/>
          <w:szCs w:val="18"/>
          <w:lang w:val="fr-FR"/>
        </w:rPr>
      </w:pPr>
    </w:p>
    <w:p w:rsidR="00BD5B7F" w:rsidRPr="00FF6562" w:rsidRDefault="00BD5B7F" w:rsidP="00BD5B7F">
      <w:pPr>
        <w:spacing w:after="120"/>
        <w:jc w:val="both"/>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1"/>
        <w:gridCol w:w="2301"/>
        <w:gridCol w:w="18"/>
        <w:gridCol w:w="2305"/>
        <w:gridCol w:w="29"/>
        <w:gridCol w:w="2327"/>
      </w:tblGrid>
      <w:tr w:rsidR="00BD5B7F" w:rsidRPr="00FF6562" w:rsidTr="000E5961">
        <w:tc>
          <w:tcPr>
            <w:tcW w:w="2310" w:type="dxa"/>
            <w:gridSpan w:val="2"/>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2"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3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30"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trHeight w:val="2346"/>
        </w:trPr>
        <w:tc>
          <w:tcPr>
            <w:tcW w:w="2289" w:type="dxa"/>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efforts visant à sensibiliser la communauté soumise aux réglementations :</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Ne sont </w:t>
            </w:r>
            <w:r w:rsidRPr="00865DA5">
              <w:rPr>
                <w:rFonts w:ascii="Arial" w:eastAsia="Arial" w:hAnsi="Arial" w:cs="Arial"/>
                <w:b/>
                <w:bCs/>
                <w:color w:val="000000"/>
                <w:sz w:val="18"/>
                <w:szCs w:val="18"/>
                <w:bdr w:val="none" w:sz="0" w:space="0" w:color="auto" w:frame="1"/>
                <w:lang w:val="fr-FR"/>
              </w:rPr>
              <w:t>pas</w:t>
            </w:r>
            <w:r w:rsidRPr="00865DA5">
              <w:rPr>
                <w:rFonts w:ascii="Arial" w:eastAsia="Arial" w:hAnsi="Arial" w:cs="Arial"/>
                <w:color w:val="000000"/>
                <w:sz w:val="18"/>
                <w:szCs w:val="18"/>
                <w:bdr w:val="none" w:sz="0" w:space="0" w:color="auto" w:frame="1"/>
                <w:lang w:val="fr-FR"/>
              </w:rPr>
              <w:t xml:space="preserve"> déployés</w:t>
            </w:r>
          </w:p>
        </w:tc>
        <w:tc>
          <w:tcPr>
            <w:tcW w:w="2325"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efforts visant à sensibiliser la communauté soumise aux réglementations :</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Sont généralement informels et en réaction à des faits</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Ne sont </w:t>
            </w:r>
            <w:r w:rsidRPr="00865DA5">
              <w:rPr>
                <w:rFonts w:ascii="Arial" w:eastAsia="Arial" w:hAnsi="Arial" w:cs="Arial"/>
                <w:b/>
                <w:bCs/>
                <w:color w:val="000000"/>
                <w:sz w:val="18"/>
                <w:szCs w:val="18"/>
                <w:bdr w:val="none" w:sz="0" w:space="0" w:color="auto" w:frame="1"/>
                <w:lang w:val="fr-FR"/>
              </w:rPr>
              <w:t>pas</w:t>
            </w:r>
            <w:r w:rsidRPr="00865DA5">
              <w:rPr>
                <w:rFonts w:ascii="Arial" w:eastAsia="Arial" w:hAnsi="Arial" w:cs="Arial"/>
                <w:color w:val="000000"/>
                <w:sz w:val="18"/>
                <w:szCs w:val="18"/>
                <w:bdr w:val="none" w:sz="0" w:space="0" w:color="auto" w:frame="1"/>
                <w:lang w:val="fr-FR"/>
              </w:rPr>
              <w:t xml:space="preserve"> complets ou généralisés</w:t>
            </w:r>
          </w:p>
        </w:tc>
        <w:tc>
          <w:tcPr>
            <w:tcW w:w="2326"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efforts visant à sensibiliser la communauté soumise aux réglementations :</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Reposent sur le matériel de sensibilisation ayant été développé</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w:t>
            </w:r>
            <w:r w:rsidRPr="00865DA5">
              <w:rPr>
                <w:rFonts w:ascii="Arial" w:eastAsia="Arial" w:hAnsi="Arial" w:cs="Arial"/>
                <w:b/>
                <w:bCs/>
                <w:color w:val="000000"/>
                <w:sz w:val="18"/>
                <w:szCs w:val="18"/>
                <w:bdr w:val="none" w:sz="0" w:space="0" w:color="auto" w:frame="1"/>
                <w:lang w:val="fr-FR"/>
              </w:rPr>
              <w:t>relativement</w:t>
            </w:r>
            <w:r w:rsidRPr="00865DA5">
              <w:rPr>
                <w:rFonts w:ascii="Arial" w:eastAsia="Arial" w:hAnsi="Arial" w:cs="Arial"/>
                <w:color w:val="000000"/>
                <w:sz w:val="18"/>
                <w:szCs w:val="18"/>
                <w:bdr w:val="none" w:sz="0" w:space="0" w:color="auto" w:frame="1"/>
                <w:lang w:val="fr-FR"/>
              </w:rPr>
              <w:t xml:space="preserve"> actualisés</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w:t>
            </w:r>
            <w:r w:rsidRPr="00865DA5">
              <w:rPr>
                <w:rFonts w:ascii="Arial" w:eastAsia="Arial" w:hAnsi="Arial" w:cs="Arial"/>
                <w:b/>
                <w:bCs/>
                <w:color w:val="000000"/>
                <w:sz w:val="18"/>
                <w:szCs w:val="18"/>
                <w:bdr w:val="none" w:sz="0" w:space="0" w:color="auto" w:frame="1"/>
                <w:lang w:val="fr-FR"/>
              </w:rPr>
              <w:t>parfois</w:t>
            </w:r>
            <w:r w:rsidRPr="00865DA5">
              <w:rPr>
                <w:rFonts w:ascii="Arial" w:eastAsia="Arial" w:hAnsi="Arial" w:cs="Arial"/>
                <w:color w:val="000000"/>
                <w:sz w:val="18"/>
                <w:szCs w:val="18"/>
                <w:bdr w:val="none" w:sz="0" w:space="0" w:color="auto" w:frame="1"/>
                <w:lang w:val="fr-FR"/>
              </w:rPr>
              <w:t xml:space="preserve"> complets ou généralisés</w:t>
            </w:r>
          </w:p>
        </w:tc>
        <w:tc>
          <w:tcPr>
            <w:tcW w:w="2359"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efforts visant à sensibiliser la communauté soumise aux réglementations :</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Reposent sur du matériel de sensibilisation </w:t>
            </w:r>
            <w:r w:rsidRPr="00865DA5">
              <w:rPr>
                <w:rFonts w:ascii="Arial" w:eastAsia="Arial" w:hAnsi="Arial" w:cs="Arial"/>
                <w:b/>
                <w:bCs/>
                <w:color w:val="000000"/>
                <w:sz w:val="18"/>
                <w:szCs w:val="18"/>
                <w:bdr w:val="none" w:sz="0" w:space="0" w:color="auto" w:frame="1"/>
                <w:lang w:val="fr-FR"/>
              </w:rPr>
              <w:t>bien développé</w:t>
            </w:r>
            <w:r w:rsidRPr="00865DA5">
              <w:rPr>
                <w:rFonts w:ascii="Arial" w:eastAsia="Arial" w:hAnsi="Arial" w:cs="Arial"/>
                <w:color w:val="000000"/>
                <w:sz w:val="18"/>
                <w:szCs w:val="18"/>
                <w:bdr w:val="none" w:sz="0" w:space="0" w:color="auto" w:frame="1"/>
                <w:lang w:val="fr-FR"/>
              </w:rPr>
              <w:t xml:space="preserve"> et actualisé</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Ciblent </w:t>
            </w:r>
            <w:r w:rsidRPr="00865DA5">
              <w:rPr>
                <w:rFonts w:ascii="Arial" w:eastAsia="Arial" w:hAnsi="Arial" w:cs="Arial"/>
                <w:b/>
                <w:bCs/>
                <w:color w:val="000000"/>
                <w:sz w:val="18"/>
                <w:szCs w:val="18"/>
                <w:bdr w:val="none" w:sz="0" w:space="0" w:color="auto" w:frame="1"/>
                <w:lang w:val="fr-FR"/>
              </w:rPr>
              <w:t>de manière exhaustive</w:t>
            </w:r>
            <w:r w:rsidRPr="00865DA5">
              <w:rPr>
                <w:rFonts w:ascii="Arial" w:eastAsia="Arial" w:hAnsi="Arial" w:cs="Arial"/>
                <w:color w:val="000000"/>
                <w:sz w:val="18"/>
                <w:szCs w:val="18"/>
                <w:bdr w:val="none" w:sz="0" w:space="0" w:color="auto" w:frame="1"/>
                <w:lang w:val="fr-FR"/>
              </w:rPr>
              <w:t xml:space="preserve"> les différents types d’utilisateurs et de détenteurs d’autorisation</w:t>
            </w:r>
          </w:p>
        </w:tc>
      </w:tr>
    </w:tbl>
    <w:p w:rsidR="00BD5B7F" w:rsidRPr="00865DA5" w:rsidRDefault="00BD5B7F" w:rsidP="00BD5B7F">
      <w:pPr>
        <w:rPr>
          <w:rFonts w:ascii="Arial" w:eastAsia="Calibri" w:hAnsi="Arial" w:cs="Arial"/>
          <w:b/>
          <w:bCs/>
          <w:color w:val="000000"/>
          <w:sz w:val="23"/>
          <w:szCs w:val="23"/>
          <w:lang w:val="fr-FR"/>
        </w:rPr>
      </w:pPr>
    </w:p>
    <w:p w:rsidR="00BD5B7F" w:rsidRPr="00865DA5" w:rsidRDefault="00BD5B7F" w:rsidP="00BD5B7F">
      <w:pPr>
        <w:rPr>
          <w:rFonts w:ascii="Arial" w:eastAsia="Calibri" w:hAnsi="Arial" w:cs="Arial"/>
          <w:color w:val="000000"/>
          <w:sz w:val="22"/>
          <w:szCs w:val="22"/>
          <w:lang w:val="fr-FR"/>
        </w:rPr>
      </w:pPr>
      <w:r w:rsidRPr="00865DA5">
        <w:rPr>
          <w:rFonts w:ascii="Arial" w:eastAsia="Arial" w:hAnsi="Arial" w:cs="Arial"/>
          <w:color w:val="000000"/>
          <w:sz w:val="22"/>
          <w:szCs w:val="22"/>
          <w:bdr w:val="none" w:sz="0" w:space="0" w:color="auto" w:frame="1"/>
          <w:lang w:val="fr-FR"/>
        </w:rPr>
        <w:t>Commentaires :</w:t>
      </w:r>
    </w:p>
    <w:p w:rsidR="00BD5B7F" w:rsidRPr="00865DA5" w:rsidRDefault="00BD5B7F" w:rsidP="00BD5B7F">
      <w:pPr>
        <w:ind w:firstLine="708"/>
        <w:rPr>
          <w:rFonts w:ascii="Arial" w:eastAsia="Calibri" w:hAnsi="Arial" w:cs="Arial"/>
          <w:color w:val="000000"/>
          <w:sz w:val="22"/>
          <w:szCs w:val="22"/>
          <w:lang w:val="fr-FR"/>
        </w:rPr>
      </w:pPr>
    </w:p>
    <w:p w:rsidR="00BD5B7F" w:rsidRPr="00865DA5" w:rsidRDefault="00BD5B7F" w:rsidP="00BD5B7F">
      <w:pPr>
        <w:rPr>
          <w:rFonts w:ascii="Arial" w:hAnsi="Arial" w:cs="Arial"/>
          <w:b/>
          <w:bCs/>
          <w:color w:val="000000"/>
          <w:sz w:val="28"/>
          <w:szCs w:val="22"/>
          <w:lang w:val="fr-FR"/>
        </w:rPr>
      </w:pPr>
      <w:r w:rsidRPr="00865DA5">
        <w:rPr>
          <w:rFonts w:ascii="Arial" w:eastAsia="Calibri" w:hAnsi="Arial" w:cs="Arial"/>
          <w:color w:val="000000"/>
          <w:sz w:val="22"/>
          <w:szCs w:val="22"/>
          <w:lang w:val="fr-FR"/>
        </w:rPr>
        <w:br w:type="page"/>
      </w:r>
    </w:p>
    <w:p w:rsidR="00BD5B7F" w:rsidRPr="00865DA5" w:rsidRDefault="00BD5B7F" w:rsidP="00BD5B7F">
      <w:pPr>
        <w:keepNext/>
        <w:keepLines/>
        <w:spacing w:after="120"/>
        <w:outlineLvl w:val="3"/>
        <w:rPr>
          <w:rFonts w:ascii="Arial" w:hAnsi="Arial" w:cs="Arial"/>
          <w:b/>
          <w:i/>
          <w:iCs/>
          <w:color w:val="000000"/>
          <w:sz w:val="18"/>
          <w:szCs w:val="18"/>
          <w:lang w:val="fr-FR"/>
        </w:rPr>
      </w:pPr>
      <w:bookmarkStart w:id="104" w:name="_Toc491245266"/>
      <w:bookmarkStart w:id="105" w:name="_Toc486539603"/>
      <w:r w:rsidRPr="00865DA5">
        <w:rPr>
          <w:rFonts w:ascii="Arial" w:eastAsia="Arial" w:hAnsi="Arial" w:cs="Arial"/>
          <w:b/>
          <w:bCs/>
          <w:iCs/>
          <w:color w:val="000000"/>
          <w:sz w:val="28"/>
          <w:szCs w:val="28"/>
          <w:bdr w:val="none" w:sz="0" w:space="0" w:color="auto" w:frame="1"/>
          <w:lang w:val="fr-FR"/>
        </w:rPr>
        <w:lastRenderedPageBreak/>
        <w:t>28. Actions de sensibilisation du public</w:t>
      </w:r>
      <w:r w:rsidRPr="00FF6562">
        <w:rPr>
          <w:rFonts w:ascii="Arial" w:hAnsi="Arial" w:cs="Arial"/>
          <w:b/>
          <w:iCs/>
          <w:color w:val="000000"/>
          <w:sz w:val="28"/>
          <w:szCs w:val="22"/>
          <w:vertAlign w:val="superscript"/>
        </w:rPr>
        <w:footnoteReference w:id="52"/>
      </w:r>
      <w:bookmarkEnd w:id="104"/>
      <w:bookmarkEnd w:id="105"/>
      <w:r w:rsidRPr="00865DA5">
        <w:rPr>
          <w:rFonts w:ascii="Arial" w:eastAsia="Arial" w:hAnsi="Arial" w:cs="Arial"/>
          <w:b/>
          <w:bCs/>
          <w:iCs/>
          <w:color w:val="000000"/>
          <w:sz w:val="28"/>
          <w:szCs w:val="28"/>
          <w:bdr w:val="none" w:sz="0" w:space="0" w:color="auto" w:frame="1"/>
          <w:lang w:val="fr-FR"/>
        </w:rPr>
        <w:t xml:space="preserve"> </w:t>
      </w:r>
    </w:p>
    <w:p w:rsidR="00BD5B7F" w:rsidRPr="00865DA5" w:rsidRDefault="00BD5B7F" w:rsidP="00BD5B7F">
      <w:pPr>
        <w:jc w:val="both"/>
        <w:rPr>
          <w:rFonts w:ascii="Arial" w:eastAsia="Calibri" w:hAnsi="Arial" w:cs="Arial"/>
          <w:color w:val="000000"/>
          <w:sz w:val="22"/>
          <w:szCs w:val="18"/>
          <w:lang w:val="fr-FR"/>
        </w:rPr>
      </w:pPr>
      <w:r w:rsidRPr="00865DA5">
        <w:rPr>
          <w:rFonts w:ascii="Arial" w:eastAsia="Arial" w:hAnsi="Arial" w:cs="Arial"/>
          <w:color w:val="000000"/>
          <w:sz w:val="22"/>
          <w:szCs w:val="22"/>
          <w:bdr w:val="none" w:sz="0" w:space="0" w:color="auto" w:frame="1"/>
          <w:lang w:val="fr-FR"/>
        </w:rPr>
        <w:t>La mesure dans laquelle du matériel et/ou des programmes de sensibilisation sont en place pour renforcer la prise de conscience du public vis-à-vis de l’IKB.</w:t>
      </w:r>
    </w:p>
    <w:p w:rsidR="00BD5B7F" w:rsidRPr="00865DA5" w:rsidRDefault="00BD5B7F" w:rsidP="00BD5B7F">
      <w:pPr>
        <w:jc w:val="both"/>
        <w:rPr>
          <w:rFonts w:ascii="Arial" w:eastAsia="Calibri" w:hAnsi="Arial" w:cs="Arial"/>
          <w:color w:val="000000"/>
          <w:sz w:val="22"/>
          <w:szCs w:val="18"/>
          <w:lang w:val="fr-FR"/>
        </w:rPr>
      </w:pPr>
    </w:p>
    <w:p w:rsidR="00BD5B7F" w:rsidRPr="00865DA5" w:rsidRDefault="00BD5B7F" w:rsidP="00BD5B7F">
      <w:pPr>
        <w:ind w:left="1134" w:hanging="1134"/>
        <w:jc w:val="both"/>
        <w:rPr>
          <w:rFonts w:ascii="Arial" w:eastAsia="Calibri" w:hAnsi="Arial" w:cs="Arial"/>
          <w:b/>
          <w:bCs/>
          <w:i/>
          <w:iCs/>
          <w:color w:val="000000"/>
          <w:sz w:val="22"/>
          <w:szCs w:val="22"/>
          <w:lang w:val="fr-FR"/>
        </w:rPr>
      </w:pPr>
      <w:r w:rsidRPr="00865DA5">
        <w:rPr>
          <w:rFonts w:ascii="Arial" w:eastAsia="Arial" w:hAnsi="Arial" w:cs="Arial"/>
          <w:b/>
          <w:bCs/>
          <w:i/>
          <w:iCs/>
          <w:color w:val="000000"/>
          <w:sz w:val="22"/>
          <w:szCs w:val="22"/>
          <w:bdr w:val="none" w:sz="0" w:space="0" w:color="auto" w:frame="1"/>
          <w:lang w:val="fr-FR"/>
        </w:rPr>
        <w:t>Question : Des efforts sont-ils déployés pour accroître la sensibilisation</w:t>
      </w:r>
      <w:r w:rsidRPr="00FF6562">
        <w:rPr>
          <w:rFonts w:ascii="Arial" w:eastAsia="Calibri" w:hAnsi="Arial" w:cs="Arial"/>
          <w:b/>
          <w:bCs/>
          <w:i/>
          <w:iCs/>
          <w:color w:val="000000"/>
          <w:sz w:val="22"/>
          <w:szCs w:val="22"/>
          <w:vertAlign w:val="superscript"/>
        </w:rPr>
        <w:footnoteReference w:id="53"/>
      </w:r>
      <w:r w:rsidRPr="00865DA5">
        <w:rPr>
          <w:rFonts w:ascii="Arial" w:eastAsia="Arial" w:hAnsi="Arial" w:cs="Arial"/>
          <w:b/>
          <w:bCs/>
          <w:i/>
          <w:iCs/>
          <w:color w:val="000000"/>
          <w:sz w:val="22"/>
          <w:szCs w:val="22"/>
          <w:bdr w:val="none" w:sz="0" w:space="0" w:color="auto" w:frame="1"/>
          <w:lang w:val="fr-FR"/>
        </w:rPr>
        <w:t xml:space="preserve"> du public vis-à-vis des impacts environnementaux, sociaux et économiques de l’IKB ?</w:t>
      </w:r>
    </w:p>
    <w:p w:rsidR="00BD5B7F" w:rsidRPr="00865DA5" w:rsidRDefault="00BD5B7F" w:rsidP="00BD5B7F">
      <w:pPr>
        <w:rPr>
          <w:rFonts w:ascii="Arial" w:eastAsia="Calibri" w:hAnsi="Arial" w:cs="Arial"/>
          <w:b/>
          <w:bCs/>
          <w:i/>
          <w:iCs/>
          <w:color w:val="000000"/>
          <w:sz w:val="22"/>
          <w:szCs w:val="18"/>
          <w:lang w:val="fr-FR"/>
        </w:rPr>
      </w:pPr>
    </w:p>
    <w:p w:rsidR="00BD5B7F" w:rsidRPr="00FF6562" w:rsidRDefault="00BD5B7F" w:rsidP="00BD5B7F">
      <w:pPr>
        <w:spacing w:after="120"/>
        <w:rPr>
          <w:rFonts w:ascii="Arial" w:eastAsia="Calibri" w:hAnsi="Arial" w:cs="Arial"/>
          <w:i/>
          <w:iCs/>
          <w:color w:val="000000"/>
          <w:sz w:val="22"/>
          <w:szCs w:val="18"/>
        </w:rPr>
      </w:pPr>
      <w:proofErr w:type="gramStart"/>
      <w:r w:rsidRPr="00FF6562">
        <w:rPr>
          <w:rFonts w:ascii="Arial" w:eastAsia="Arial" w:hAnsi="Arial" w:cs="Arial"/>
          <w:i/>
          <w:iCs/>
          <w:color w:val="000000"/>
          <w:sz w:val="22"/>
          <w:szCs w:val="22"/>
          <w:bdr w:val="none" w:sz="0" w:space="0" w:color="auto" w:frame="1"/>
        </w:rPr>
        <w:t>Mesure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18"/>
        <w:gridCol w:w="2302"/>
        <w:gridCol w:w="16"/>
        <w:gridCol w:w="2306"/>
        <w:gridCol w:w="28"/>
        <w:gridCol w:w="2327"/>
      </w:tblGrid>
      <w:tr w:rsidR="00BD5B7F" w:rsidRPr="00FF6562" w:rsidTr="000E5961">
        <w:tc>
          <w:tcPr>
            <w:tcW w:w="2310" w:type="dxa"/>
            <w:gridSpan w:val="2"/>
            <w:tcBorders>
              <w:top w:val="single" w:sz="4" w:space="0" w:color="auto"/>
              <w:left w:val="single" w:sz="4" w:space="0" w:color="auto"/>
              <w:bottom w:val="single" w:sz="4" w:space="0" w:color="auto"/>
              <w:right w:val="single" w:sz="4" w:space="0" w:color="auto"/>
            </w:tcBorders>
            <w:shd w:val="clear" w:color="auto" w:fill="FF6600"/>
            <w:vAlign w:val="center"/>
            <w:hideMark/>
          </w:tcPr>
          <w:p w:rsidR="00BD5B7F" w:rsidRPr="00FF6562" w:rsidRDefault="00BD5B7F" w:rsidP="000E5961">
            <w:pPr>
              <w:jc w:val="center"/>
              <w:rPr>
                <w:rFonts w:ascii="Arial" w:eastAsia="Calibri" w:hAnsi="Arial" w:cs="Arial"/>
                <w:b/>
                <w:bCs/>
                <w:color w:val="000000"/>
                <w:sz w:val="22"/>
                <w:szCs w:val="22"/>
              </w:rPr>
            </w:pPr>
            <w:r w:rsidRPr="00FF6562">
              <w:rPr>
                <w:rFonts w:ascii="Arial" w:eastAsia="Calibri" w:hAnsi="Arial" w:cs="Arial"/>
                <w:b/>
                <w:bCs/>
                <w:color w:val="000000"/>
                <w:sz w:val="22"/>
                <w:szCs w:val="22"/>
              </w:rPr>
              <w:t xml:space="preserve">0 </w:t>
            </w:r>
            <w:r w:rsidRPr="00FF6562">
              <w:rPr>
                <w:rFonts w:ascii="Arial" w:eastAsia="Arial" w:hAnsi="Arial" w:cs="Arial"/>
                <w:color w:val="000000"/>
                <w:sz w:val="22"/>
                <w:szCs w:val="22"/>
              </w:rPr>
              <w:t>􀜆</w:t>
            </w:r>
          </w:p>
        </w:tc>
        <w:tc>
          <w:tcPr>
            <w:tcW w:w="2322"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1 </w:t>
            </w:r>
            <w:r w:rsidRPr="00FF6562">
              <w:rPr>
                <w:rFonts w:ascii="Arial" w:eastAsia="Arial" w:hAnsi="Arial" w:cs="Arial"/>
                <w:color w:val="000000"/>
                <w:sz w:val="22"/>
                <w:szCs w:val="22"/>
              </w:rPr>
              <w:t>􀜆</w:t>
            </w:r>
          </w:p>
        </w:tc>
        <w:tc>
          <w:tcPr>
            <w:tcW w:w="233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2 </w:t>
            </w:r>
            <w:r w:rsidRPr="00FF6562">
              <w:rPr>
                <w:rFonts w:ascii="Arial" w:eastAsia="Arial" w:hAnsi="Arial" w:cs="Arial"/>
                <w:color w:val="000000"/>
                <w:sz w:val="22"/>
                <w:szCs w:val="22"/>
              </w:rPr>
              <w:t>􀜆</w:t>
            </w:r>
          </w:p>
        </w:tc>
        <w:tc>
          <w:tcPr>
            <w:tcW w:w="2330"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D5B7F" w:rsidRPr="00FF6562" w:rsidRDefault="00BD5B7F" w:rsidP="000E5961">
            <w:pPr>
              <w:jc w:val="center"/>
              <w:rPr>
                <w:rFonts w:ascii="Arial" w:eastAsia="Calibri" w:hAnsi="Arial" w:cs="Arial"/>
                <w:color w:val="000000"/>
                <w:sz w:val="22"/>
                <w:szCs w:val="22"/>
              </w:rPr>
            </w:pPr>
            <w:r w:rsidRPr="00FF6562">
              <w:rPr>
                <w:rFonts w:ascii="Arial" w:eastAsia="Calibri" w:hAnsi="Arial" w:cs="Arial"/>
                <w:b/>
                <w:bCs/>
                <w:color w:val="000000"/>
                <w:sz w:val="22"/>
                <w:szCs w:val="22"/>
              </w:rPr>
              <w:t xml:space="preserve">3 </w:t>
            </w:r>
            <w:r w:rsidRPr="00FF6562">
              <w:rPr>
                <w:rFonts w:ascii="Arial" w:eastAsia="Arial" w:hAnsi="Arial" w:cs="Arial"/>
                <w:color w:val="000000"/>
                <w:sz w:val="22"/>
                <w:szCs w:val="22"/>
              </w:rPr>
              <w:t>􀜆</w:t>
            </w:r>
          </w:p>
        </w:tc>
      </w:tr>
      <w:tr w:rsidR="00BD5B7F" w:rsidRPr="00FC42B0" w:rsidTr="000E5961">
        <w:trPr>
          <w:trHeight w:val="2346"/>
        </w:trPr>
        <w:tc>
          <w:tcPr>
            <w:tcW w:w="2292" w:type="dxa"/>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efforts visant à accroître la sensibilisation du public :</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Ne sont </w:t>
            </w:r>
            <w:r w:rsidRPr="00865DA5">
              <w:rPr>
                <w:rFonts w:ascii="Arial" w:eastAsia="Arial" w:hAnsi="Arial" w:cs="Arial"/>
                <w:b/>
                <w:bCs/>
                <w:color w:val="000000"/>
                <w:sz w:val="18"/>
                <w:szCs w:val="18"/>
                <w:bdr w:val="none" w:sz="0" w:space="0" w:color="auto" w:frame="1"/>
                <w:lang w:val="fr-FR"/>
              </w:rPr>
              <w:t>pas</w:t>
            </w:r>
            <w:r w:rsidRPr="00865DA5">
              <w:rPr>
                <w:rFonts w:ascii="Arial" w:eastAsia="Arial" w:hAnsi="Arial" w:cs="Arial"/>
                <w:color w:val="000000"/>
                <w:sz w:val="18"/>
                <w:szCs w:val="18"/>
                <w:bdr w:val="none" w:sz="0" w:space="0" w:color="auto" w:frame="1"/>
                <w:lang w:val="fr-FR"/>
              </w:rPr>
              <w:t xml:space="preserve"> déployés</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 sanctions dans les affaires d’IKB ne sont </w:t>
            </w:r>
            <w:r w:rsidRPr="00865DA5">
              <w:rPr>
                <w:rFonts w:ascii="Arial" w:eastAsia="Arial" w:hAnsi="Arial" w:cs="Arial"/>
                <w:b/>
                <w:bCs/>
                <w:color w:val="000000"/>
                <w:sz w:val="18"/>
                <w:szCs w:val="18"/>
                <w:bdr w:val="none" w:sz="0" w:space="0" w:color="auto" w:frame="1"/>
                <w:lang w:val="fr-FR"/>
              </w:rPr>
              <w:t xml:space="preserve">jamais </w:t>
            </w:r>
            <w:r w:rsidRPr="00865DA5">
              <w:rPr>
                <w:rFonts w:ascii="Arial" w:eastAsia="Arial" w:hAnsi="Arial" w:cs="Arial"/>
                <w:color w:val="000000"/>
                <w:sz w:val="18"/>
                <w:szCs w:val="18"/>
                <w:bdr w:val="none" w:sz="0" w:space="0" w:color="auto" w:frame="1"/>
                <w:lang w:val="fr-FR"/>
              </w:rPr>
              <w:t>rendues publiques</w:t>
            </w:r>
          </w:p>
          <w:p w:rsidR="00BD5B7F" w:rsidRPr="00865DA5" w:rsidRDefault="00BD5B7F" w:rsidP="000E5961">
            <w:pPr>
              <w:rPr>
                <w:rFonts w:ascii="Arial" w:eastAsia="Calibri" w:hAnsi="Arial" w:cs="Arial"/>
                <w:color w:val="000000"/>
                <w:sz w:val="18"/>
                <w:szCs w:val="18"/>
                <w:lang w:val="fr-FR"/>
              </w:rPr>
            </w:pPr>
          </w:p>
        </w:tc>
        <w:tc>
          <w:tcPr>
            <w:tcW w:w="2324"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efforts visant à accroître la sensibilisation du public :</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généralement </w:t>
            </w:r>
            <w:r w:rsidRPr="00865DA5">
              <w:rPr>
                <w:rFonts w:ascii="Arial" w:eastAsia="Arial" w:hAnsi="Arial" w:cs="Arial"/>
                <w:b/>
                <w:bCs/>
                <w:color w:val="000000"/>
                <w:sz w:val="18"/>
                <w:szCs w:val="18"/>
                <w:bdr w:val="none" w:sz="0" w:space="0" w:color="auto" w:frame="1"/>
                <w:lang w:val="fr-FR"/>
              </w:rPr>
              <w:t>informels</w:t>
            </w:r>
            <w:r w:rsidRPr="00865DA5">
              <w:rPr>
                <w:rFonts w:ascii="Arial" w:eastAsia="Arial" w:hAnsi="Arial" w:cs="Arial"/>
                <w:color w:val="000000"/>
                <w:sz w:val="18"/>
                <w:szCs w:val="18"/>
                <w:bdr w:val="none" w:sz="0" w:space="0" w:color="auto" w:frame="1"/>
                <w:lang w:val="fr-FR"/>
              </w:rPr>
              <w:t xml:space="preserve"> et en </w:t>
            </w:r>
            <w:r w:rsidRPr="00865DA5">
              <w:rPr>
                <w:rFonts w:ascii="Arial" w:eastAsia="Arial" w:hAnsi="Arial" w:cs="Arial"/>
                <w:b/>
                <w:bCs/>
                <w:color w:val="000000"/>
                <w:sz w:val="18"/>
                <w:szCs w:val="18"/>
                <w:bdr w:val="none" w:sz="0" w:space="0" w:color="auto" w:frame="1"/>
                <w:lang w:val="fr-FR"/>
              </w:rPr>
              <w:t>réaction à des faits</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w:t>
            </w:r>
            <w:r w:rsidRPr="00865DA5">
              <w:rPr>
                <w:rFonts w:ascii="Arial" w:eastAsia="Arial" w:hAnsi="Arial" w:cs="Arial"/>
                <w:b/>
                <w:bCs/>
                <w:color w:val="000000"/>
                <w:sz w:val="18"/>
                <w:szCs w:val="18"/>
                <w:bdr w:val="none" w:sz="0" w:space="0" w:color="auto" w:frame="1"/>
                <w:lang w:val="fr-FR"/>
              </w:rPr>
              <w:t xml:space="preserve">ni </w:t>
            </w:r>
            <w:r w:rsidRPr="00865DA5">
              <w:rPr>
                <w:rFonts w:ascii="Arial" w:eastAsia="Arial" w:hAnsi="Arial" w:cs="Arial"/>
                <w:color w:val="000000"/>
                <w:sz w:val="18"/>
                <w:szCs w:val="18"/>
                <w:bdr w:val="none" w:sz="0" w:space="0" w:color="auto" w:frame="1"/>
                <w:lang w:val="fr-FR"/>
              </w:rPr>
              <w:t xml:space="preserve">complets </w:t>
            </w:r>
            <w:r w:rsidRPr="00865DA5">
              <w:rPr>
                <w:rFonts w:ascii="Arial" w:eastAsia="Arial" w:hAnsi="Arial" w:cs="Arial"/>
                <w:b/>
                <w:color w:val="000000"/>
                <w:sz w:val="18"/>
                <w:szCs w:val="18"/>
                <w:bdr w:val="none" w:sz="0" w:space="0" w:color="auto" w:frame="1"/>
                <w:lang w:val="fr-FR"/>
              </w:rPr>
              <w:t>ni</w:t>
            </w:r>
            <w:r w:rsidRPr="00865DA5">
              <w:rPr>
                <w:rFonts w:ascii="Arial" w:eastAsia="Arial" w:hAnsi="Arial" w:cs="Arial"/>
                <w:color w:val="000000"/>
                <w:sz w:val="18"/>
                <w:szCs w:val="18"/>
                <w:bdr w:val="none" w:sz="0" w:space="0" w:color="auto" w:frame="1"/>
                <w:lang w:val="fr-FR"/>
              </w:rPr>
              <w:t xml:space="preserve"> répandus</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Il n’y a </w:t>
            </w:r>
            <w:r w:rsidRPr="00865DA5">
              <w:rPr>
                <w:rFonts w:ascii="Arial" w:eastAsia="Arial" w:hAnsi="Arial" w:cs="Arial"/>
                <w:b/>
                <w:bCs/>
                <w:color w:val="000000"/>
                <w:sz w:val="18"/>
                <w:szCs w:val="18"/>
                <w:bdr w:val="none" w:sz="0" w:space="0" w:color="auto" w:frame="1"/>
                <w:lang w:val="fr-FR"/>
              </w:rPr>
              <w:t xml:space="preserve">pas </w:t>
            </w:r>
            <w:r w:rsidRPr="00865DA5">
              <w:rPr>
                <w:rFonts w:ascii="Arial" w:eastAsia="Arial" w:hAnsi="Arial" w:cs="Arial"/>
                <w:color w:val="000000"/>
                <w:sz w:val="18"/>
                <w:szCs w:val="18"/>
                <w:bdr w:val="none" w:sz="0" w:space="0" w:color="auto" w:frame="1"/>
                <w:lang w:val="fr-FR"/>
              </w:rPr>
              <w:t>de stratégie nationale de communication sur l’IKB</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 sanctions dans les affaires d’IKB sont </w:t>
            </w:r>
            <w:r w:rsidRPr="00865DA5">
              <w:rPr>
                <w:rFonts w:ascii="Arial" w:eastAsia="Arial" w:hAnsi="Arial" w:cs="Arial"/>
                <w:b/>
                <w:bCs/>
                <w:color w:val="000000"/>
                <w:sz w:val="18"/>
                <w:szCs w:val="18"/>
                <w:bdr w:val="none" w:sz="0" w:space="0" w:color="auto" w:frame="1"/>
                <w:lang w:val="fr-FR"/>
              </w:rPr>
              <w:t xml:space="preserve">rarement </w:t>
            </w:r>
            <w:r w:rsidRPr="00865DA5">
              <w:rPr>
                <w:rFonts w:ascii="Arial" w:eastAsia="Arial" w:hAnsi="Arial" w:cs="Arial"/>
                <w:color w:val="000000"/>
                <w:sz w:val="18"/>
                <w:szCs w:val="18"/>
                <w:bdr w:val="none" w:sz="0" w:space="0" w:color="auto" w:frame="1"/>
                <w:lang w:val="fr-FR"/>
              </w:rPr>
              <w:t>rendues publiques</w:t>
            </w:r>
          </w:p>
        </w:tc>
        <w:tc>
          <w:tcPr>
            <w:tcW w:w="2325"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efforts visant à accroître la sensibilisation du public :</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Reposent sur le matériel de sensibilisation élaboré par les ONG de conservation</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w:t>
            </w:r>
            <w:r w:rsidRPr="00865DA5">
              <w:rPr>
                <w:rFonts w:ascii="Arial" w:eastAsia="Arial" w:hAnsi="Arial" w:cs="Arial"/>
                <w:b/>
                <w:bCs/>
                <w:color w:val="000000"/>
                <w:sz w:val="18"/>
                <w:szCs w:val="18"/>
                <w:bdr w:val="none" w:sz="0" w:space="0" w:color="auto" w:frame="1"/>
                <w:lang w:val="fr-FR"/>
              </w:rPr>
              <w:t xml:space="preserve">localement </w:t>
            </w:r>
            <w:r w:rsidRPr="00865DA5">
              <w:rPr>
                <w:rFonts w:ascii="Arial" w:eastAsia="Arial" w:hAnsi="Arial" w:cs="Arial"/>
                <w:color w:val="000000"/>
                <w:sz w:val="18"/>
                <w:szCs w:val="18"/>
                <w:bdr w:val="none" w:sz="0" w:space="0" w:color="auto" w:frame="1"/>
                <w:lang w:val="fr-FR"/>
              </w:rPr>
              <w:t xml:space="preserve">mis en œuvre par les organes gouvernementaux </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Sont </w:t>
            </w:r>
            <w:r w:rsidRPr="00865DA5">
              <w:rPr>
                <w:rFonts w:ascii="Arial" w:eastAsia="Arial" w:hAnsi="Arial" w:cs="Arial"/>
                <w:b/>
                <w:bCs/>
                <w:color w:val="000000"/>
                <w:sz w:val="18"/>
                <w:szCs w:val="18"/>
                <w:bdr w:val="none" w:sz="0" w:space="0" w:color="auto" w:frame="1"/>
                <w:lang w:val="fr-FR"/>
              </w:rPr>
              <w:t>parfois</w:t>
            </w:r>
            <w:r w:rsidRPr="00865DA5">
              <w:rPr>
                <w:rFonts w:ascii="Arial" w:eastAsia="Arial" w:hAnsi="Arial" w:cs="Arial"/>
                <w:color w:val="000000"/>
                <w:sz w:val="18"/>
                <w:szCs w:val="18"/>
                <w:bdr w:val="none" w:sz="0" w:space="0" w:color="auto" w:frame="1"/>
                <w:lang w:val="fr-FR"/>
              </w:rPr>
              <w:t xml:space="preserve"> complets ou généralisés</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Mettent </w:t>
            </w:r>
            <w:r w:rsidRPr="00865DA5">
              <w:rPr>
                <w:rFonts w:ascii="Arial" w:eastAsia="Arial" w:hAnsi="Arial" w:cs="Arial"/>
                <w:b/>
                <w:bCs/>
                <w:color w:val="000000"/>
                <w:sz w:val="18"/>
                <w:szCs w:val="18"/>
                <w:bdr w:val="none" w:sz="0" w:space="0" w:color="auto" w:frame="1"/>
                <w:lang w:val="fr-FR"/>
              </w:rPr>
              <w:t>seulement partiellement</w:t>
            </w:r>
            <w:r w:rsidRPr="00865DA5">
              <w:rPr>
                <w:rFonts w:ascii="Arial" w:eastAsia="Arial" w:hAnsi="Arial" w:cs="Arial"/>
                <w:color w:val="000000"/>
                <w:sz w:val="18"/>
                <w:szCs w:val="18"/>
                <w:bdr w:val="none" w:sz="0" w:space="0" w:color="auto" w:frame="1"/>
                <w:lang w:val="fr-FR"/>
              </w:rPr>
              <w:t xml:space="preserve"> en œuvre une stratégie de communication nationale sur l’IKB</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 sanctions dans les affaires d’IKB sont </w:t>
            </w:r>
            <w:r w:rsidRPr="00865DA5">
              <w:rPr>
                <w:rFonts w:ascii="Arial" w:eastAsia="Arial" w:hAnsi="Arial" w:cs="Arial"/>
                <w:b/>
                <w:bCs/>
                <w:color w:val="000000"/>
                <w:sz w:val="18"/>
                <w:szCs w:val="18"/>
                <w:bdr w:val="none" w:sz="0" w:space="0" w:color="auto" w:frame="1"/>
                <w:lang w:val="fr-FR"/>
              </w:rPr>
              <w:t xml:space="preserve">souvent </w:t>
            </w:r>
            <w:r w:rsidRPr="00865DA5">
              <w:rPr>
                <w:rFonts w:ascii="Arial" w:eastAsia="Arial" w:hAnsi="Arial" w:cs="Arial"/>
                <w:color w:val="000000"/>
                <w:sz w:val="18"/>
                <w:szCs w:val="18"/>
                <w:bdr w:val="none" w:sz="0" w:space="0" w:color="auto" w:frame="1"/>
                <w:lang w:val="fr-FR"/>
              </w:rPr>
              <w:t>rendues publiques</w:t>
            </w:r>
          </w:p>
        </w:tc>
        <w:tc>
          <w:tcPr>
            <w:tcW w:w="2358" w:type="dxa"/>
            <w:gridSpan w:val="2"/>
            <w:tcBorders>
              <w:top w:val="single" w:sz="4" w:space="0" w:color="auto"/>
              <w:left w:val="single" w:sz="4" w:space="0" w:color="auto"/>
              <w:bottom w:val="single" w:sz="4" w:space="0" w:color="auto"/>
              <w:right w:val="single" w:sz="4" w:space="0" w:color="auto"/>
            </w:tcBorders>
          </w:tcPr>
          <w:p w:rsidR="00BD5B7F" w:rsidRPr="00865DA5" w:rsidRDefault="00BD5B7F" w:rsidP="000E5961">
            <w:pPr>
              <w:rPr>
                <w:rFonts w:ascii="Arial" w:eastAsia="Calibri" w:hAnsi="Arial" w:cs="Arial"/>
                <w:color w:val="000000"/>
                <w:sz w:val="18"/>
                <w:szCs w:val="18"/>
                <w:lang w:val="fr-FR"/>
              </w:rPr>
            </w:pPr>
            <w:r w:rsidRPr="00865DA5">
              <w:rPr>
                <w:rFonts w:ascii="Arial" w:eastAsia="Arial" w:hAnsi="Arial" w:cs="Arial"/>
                <w:color w:val="000000"/>
                <w:sz w:val="18"/>
                <w:szCs w:val="18"/>
                <w:bdr w:val="none" w:sz="0" w:space="0" w:color="auto" w:frame="1"/>
                <w:lang w:val="fr-FR"/>
              </w:rPr>
              <w:t>Les efforts visant à accroître la sensibilisation du public :</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Reposent sur du matériel de sensibilisation bien développé et actualisé, élaboré par les organes gouvernementaux</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Ciblent </w:t>
            </w:r>
            <w:r w:rsidRPr="00865DA5">
              <w:rPr>
                <w:rFonts w:ascii="Arial" w:eastAsia="Arial" w:hAnsi="Arial" w:cs="Arial"/>
                <w:b/>
                <w:bCs/>
                <w:color w:val="000000"/>
                <w:sz w:val="18"/>
                <w:szCs w:val="18"/>
                <w:bdr w:val="none" w:sz="0" w:space="0" w:color="auto" w:frame="1"/>
                <w:lang w:val="fr-FR"/>
              </w:rPr>
              <w:t>de manière exhaustive</w:t>
            </w:r>
            <w:r w:rsidRPr="00865DA5">
              <w:rPr>
                <w:rFonts w:ascii="Arial" w:eastAsia="Arial" w:hAnsi="Arial" w:cs="Arial"/>
                <w:color w:val="000000"/>
                <w:sz w:val="18"/>
                <w:szCs w:val="18"/>
                <w:bdr w:val="none" w:sz="0" w:space="0" w:color="auto" w:frame="1"/>
                <w:lang w:val="fr-FR"/>
              </w:rPr>
              <w:t xml:space="preserve"> les différents types de parties prenantes</w:t>
            </w:r>
          </w:p>
          <w:p w:rsidR="00BD5B7F" w:rsidRPr="00865DA5" w:rsidRDefault="00BD5B7F" w:rsidP="000E5961">
            <w:pPr>
              <w:rPr>
                <w:rFonts w:ascii="Arial" w:eastAsia="Calibri" w:hAnsi="Arial" w:cs="Arial"/>
                <w:color w:val="000000"/>
                <w:sz w:val="18"/>
                <w:szCs w:val="18"/>
                <w:lang w:val="fr-FR"/>
              </w:rPr>
            </w:pP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Mettent </w:t>
            </w:r>
            <w:r w:rsidRPr="00865DA5">
              <w:rPr>
                <w:rFonts w:ascii="Arial" w:eastAsia="Arial" w:hAnsi="Arial" w:cs="Arial"/>
                <w:b/>
                <w:bCs/>
                <w:color w:val="000000"/>
                <w:sz w:val="18"/>
                <w:szCs w:val="18"/>
                <w:bdr w:val="none" w:sz="0" w:space="0" w:color="auto" w:frame="1"/>
                <w:lang w:val="fr-FR"/>
              </w:rPr>
              <w:t xml:space="preserve">entièrement </w:t>
            </w:r>
            <w:r w:rsidRPr="00865DA5">
              <w:rPr>
                <w:rFonts w:ascii="Arial" w:eastAsia="Arial" w:hAnsi="Arial" w:cs="Arial"/>
                <w:color w:val="000000"/>
                <w:sz w:val="18"/>
                <w:szCs w:val="18"/>
                <w:bdr w:val="none" w:sz="0" w:space="0" w:color="auto" w:frame="1"/>
                <w:lang w:val="fr-FR"/>
              </w:rPr>
              <w:t>en œuvre une stratégie de communication nationale sur l’IKB</w:t>
            </w:r>
          </w:p>
          <w:p w:rsidR="00BD5B7F" w:rsidRPr="00865DA5" w:rsidRDefault="00BD5B7F" w:rsidP="000E5961">
            <w:pPr>
              <w:rPr>
                <w:rFonts w:ascii="Arial" w:eastAsia="Calibri" w:hAnsi="Arial" w:cs="Arial"/>
                <w:color w:val="000000"/>
                <w:sz w:val="18"/>
                <w:szCs w:val="18"/>
                <w:lang w:val="fr-FR"/>
              </w:rPr>
            </w:pPr>
            <w:r w:rsidRPr="00FF6562">
              <w:rPr>
                <w:rFonts w:ascii="Arial" w:eastAsia="Arial" w:hAnsi="Arial" w:cs="Arial"/>
                <w:color w:val="000000"/>
                <w:sz w:val="16"/>
                <w:szCs w:val="16"/>
              </w:rPr>
              <w:t>􁃱</w:t>
            </w:r>
            <w:r w:rsidRPr="00865DA5">
              <w:rPr>
                <w:rFonts w:ascii="Arial" w:eastAsia="Calibri" w:hAnsi="Arial" w:cs="Arial"/>
                <w:color w:val="000000"/>
                <w:sz w:val="18"/>
                <w:szCs w:val="18"/>
                <w:lang w:val="fr-FR"/>
              </w:rPr>
              <w:t xml:space="preserve"> </w:t>
            </w:r>
            <w:r w:rsidRPr="00865DA5">
              <w:rPr>
                <w:rFonts w:ascii="Arial" w:eastAsia="Arial" w:hAnsi="Arial" w:cs="Arial"/>
                <w:color w:val="000000"/>
                <w:sz w:val="18"/>
                <w:szCs w:val="18"/>
                <w:bdr w:val="none" w:sz="0" w:space="0" w:color="auto" w:frame="1"/>
                <w:lang w:val="fr-FR"/>
              </w:rPr>
              <w:t xml:space="preserve">Les sanctions dans les affaires d’IKB sont </w:t>
            </w:r>
            <w:r w:rsidRPr="00865DA5">
              <w:rPr>
                <w:rFonts w:ascii="Arial" w:eastAsia="Arial" w:hAnsi="Arial" w:cs="Arial"/>
                <w:b/>
                <w:bCs/>
                <w:color w:val="000000"/>
                <w:sz w:val="18"/>
                <w:szCs w:val="18"/>
                <w:bdr w:val="none" w:sz="0" w:space="0" w:color="auto" w:frame="1"/>
                <w:lang w:val="fr-FR"/>
              </w:rPr>
              <w:t xml:space="preserve">toujours </w:t>
            </w:r>
            <w:r w:rsidRPr="00865DA5">
              <w:rPr>
                <w:rFonts w:ascii="Arial" w:eastAsia="Arial" w:hAnsi="Arial" w:cs="Arial"/>
                <w:color w:val="000000"/>
                <w:sz w:val="18"/>
                <w:szCs w:val="18"/>
                <w:bdr w:val="none" w:sz="0" w:space="0" w:color="auto" w:frame="1"/>
                <w:lang w:val="fr-FR"/>
              </w:rPr>
              <w:t>rendues publiques</w:t>
            </w:r>
          </w:p>
        </w:tc>
      </w:tr>
    </w:tbl>
    <w:p w:rsidR="00BD5B7F" w:rsidRPr="00865DA5" w:rsidRDefault="00BD5B7F" w:rsidP="00BD5B7F">
      <w:pPr>
        <w:rPr>
          <w:rFonts w:ascii="Arial" w:eastAsia="Calibri" w:hAnsi="Arial" w:cs="Arial"/>
          <w:b/>
          <w:bCs/>
          <w:color w:val="000000"/>
          <w:sz w:val="23"/>
          <w:szCs w:val="23"/>
          <w:lang w:val="fr-FR"/>
        </w:rPr>
      </w:pPr>
    </w:p>
    <w:p w:rsidR="00BD5B7F" w:rsidRPr="00FF6562" w:rsidRDefault="00BD5B7F" w:rsidP="00BD5B7F">
      <w:pPr>
        <w:rPr>
          <w:rFonts w:ascii="Arial" w:eastAsia="Calibri" w:hAnsi="Arial" w:cs="Arial"/>
          <w:color w:val="000000"/>
          <w:sz w:val="22"/>
          <w:szCs w:val="22"/>
        </w:rPr>
      </w:pPr>
      <w:proofErr w:type="gramStart"/>
      <w:r w:rsidRPr="00FF6562">
        <w:rPr>
          <w:rFonts w:ascii="Arial" w:eastAsia="Arial" w:hAnsi="Arial" w:cs="Arial"/>
          <w:color w:val="000000"/>
          <w:sz w:val="22"/>
          <w:szCs w:val="22"/>
          <w:bdr w:val="none" w:sz="0" w:space="0" w:color="auto" w:frame="1"/>
        </w:rPr>
        <w:t>Commentaires :</w:t>
      </w:r>
      <w:proofErr w:type="gramEnd"/>
    </w:p>
    <w:p w:rsidR="00BD5B7F" w:rsidRPr="00FF6562" w:rsidRDefault="00BD5B7F" w:rsidP="00BD5B7F">
      <w:pPr>
        <w:ind w:firstLine="708"/>
        <w:rPr>
          <w:rFonts w:ascii="Arial" w:eastAsia="Calibri" w:hAnsi="Arial" w:cs="Arial"/>
          <w:color w:val="000000"/>
          <w:sz w:val="22"/>
          <w:szCs w:val="22"/>
        </w:rPr>
      </w:pPr>
    </w:p>
    <w:p w:rsidR="00BD5B7F" w:rsidRPr="00FF6562" w:rsidRDefault="00BD5B7F" w:rsidP="00BD5B7F">
      <w:pPr>
        <w:rPr>
          <w:rFonts w:ascii="Arial" w:eastAsia="Calibri" w:hAnsi="Arial" w:cs="Arial"/>
          <w:b/>
          <w:bCs/>
          <w:i/>
          <w:iCs/>
          <w:color w:val="000000"/>
          <w:sz w:val="18"/>
          <w:szCs w:val="18"/>
        </w:rPr>
      </w:pPr>
      <w:r w:rsidRPr="00FF6562">
        <w:rPr>
          <w:rFonts w:ascii="Arial" w:eastAsia="Calibri" w:hAnsi="Arial" w:cs="Arial"/>
          <w:b/>
          <w:bCs/>
          <w:i/>
          <w:iCs/>
          <w:color w:val="000000"/>
          <w:sz w:val="18"/>
          <w:szCs w:val="18"/>
        </w:rPr>
        <w:br w:type="page"/>
      </w:r>
    </w:p>
    <w:p w:rsidR="00BD5B7F" w:rsidRPr="00FF6562" w:rsidRDefault="00BD5B7F" w:rsidP="00BD5B7F">
      <w:pPr>
        <w:keepNext/>
        <w:keepLines/>
        <w:outlineLvl w:val="1"/>
        <w:rPr>
          <w:rFonts w:ascii="Arial" w:hAnsi="Arial" w:cs="Arial"/>
          <w:b/>
          <w:color w:val="000000"/>
          <w:sz w:val="30"/>
          <w:szCs w:val="30"/>
        </w:rPr>
      </w:pPr>
      <w:bookmarkStart w:id="106" w:name="_Toc491245267"/>
      <w:bookmarkStart w:id="107" w:name="_Toc491245062"/>
      <w:bookmarkStart w:id="108" w:name="_Toc486539604"/>
      <w:r w:rsidRPr="00FF6562">
        <w:rPr>
          <w:rFonts w:ascii="Arial" w:eastAsia="Arial" w:hAnsi="Arial" w:cs="Arial"/>
          <w:b/>
          <w:bCs/>
          <w:color w:val="000000"/>
          <w:sz w:val="30"/>
          <w:szCs w:val="30"/>
          <w:bdr w:val="none" w:sz="0" w:space="0" w:color="auto" w:frame="1"/>
        </w:rPr>
        <w:lastRenderedPageBreak/>
        <w:t>Résumé des scores</w:t>
      </w:r>
      <w:bookmarkEnd w:id="106"/>
      <w:bookmarkEnd w:id="107"/>
      <w:bookmarkEnd w:id="108"/>
    </w:p>
    <w:p w:rsidR="00BD5B7F" w:rsidRPr="00FF6562" w:rsidRDefault="00BD5B7F" w:rsidP="00BD5B7F">
      <w:pPr>
        <w:rPr>
          <w:rFonts w:ascii="Arial" w:eastAsia="Calibri" w:hAnsi="Arial" w:cs="Arial"/>
          <w:b/>
          <w:bCs/>
          <w:i/>
          <w:iCs/>
          <w:color w:val="000000"/>
          <w:sz w:val="18"/>
          <w:szCs w:val="18"/>
        </w:rPr>
      </w:pPr>
    </w:p>
    <w:tbl>
      <w:tblPr>
        <w:tblW w:w="505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429"/>
        <w:gridCol w:w="1390"/>
        <w:gridCol w:w="2354"/>
        <w:gridCol w:w="1206"/>
      </w:tblGrid>
      <w:tr w:rsidR="00BD5B7F" w:rsidRPr="00FF6562" w:rsidTr="000E5961">
        <w:trPr>
          <w:trHeight w:val="401"/>
        </w:trPr>
        <w:tc>
          <w:tcPr>
            <w:tcW w:w="2383" w:type="pct"/>
            <w:tcBorders>
              <w:top w:val="single" w:sz="8" w:space="0" w:color="4F81BD"/>
              <w:left w:val="single" w:sz="8" w:space="0" w:color="4F81BD"/>
              <w:bottom w:val="nil"/>
              <w:right w:val="nil"/>
            </w:tcBorders>
            <w:shd w:val="clear" w:color="auto" w:fill="4F81BD"/>
            <w:vAlign w:val="center"/>
            <w:hideMark/>
          </w:tcPr>
          <w:p w:rsidR="00BD5B7F" w:rsidRPr="00FF6562" w:rsidRDefault="00BD5B7F" w:rsidP="000E5961">
            <w:pPr>
              <w:rPr>
                <w:rFonts w:ascii="Arial" w:eastAsia="Calibri" w:hAnsi="Arial" w:cs="Arial"/>
                <w:b/>
                <w:bCs/>
                <w:i/>
                <w:iCs/>
                <w:color w:val="FFFFFF"/>
                <w:sz w:val="22"/>
                <w:szCs w:val="18"/>
              </w:rPr>
            </w:pPr>
            <w:r w:rsidRPr="00FF6562">
              <w:rPr>
                <w:rFonts w:ascii="Arial" w:eastAsia="Calibri" w:hAnsi="Arial" w:cs="Arial"/>
                <w:b/>
                <w:bCs/>
                <w:i/>
                <w:iCs/>
                <w:color w:val="FFFFFF"/>
                <w:sz w:val="22"/>
                <w:szCs w:val="22"/>
                <w:bdr w:val="none" w:sz="0" w:space="0" w:color="auto" w:frame="1"/>
              </w:rPr>
              <w:t>Indicateur</w:t>
            </w:r>
          </w:p>
        </w:tc>
        <w:tc>
          <w:tcPr>
            <w:tcW w:w="676" w:type="pct"/>
            <w:tcBorders>
              <w:top w:val="single" w:sz="8" w:space="0" w:color="4F81BD"/>
              <w:left w:val="nil"/>
              <w:bottom w:val="nil"/>
              <w:right w:val="nil"/>
            </w:tcBorders>
            <w:shd w:val="clear" w:color="auto" w:fill="4F81BD"/>
            <w:vAlign w:val="center"/>
            <w:hideMark/>
          </w:tcPr>
          <w:p w:rsidR="00BD5B7F" w:rsidRPr="00FF6562" w:rsidRDefault="00BD5B7F" w:rsidP="000E5961">
            <w:pPr>
              <w:rPr>
                <w:rFonts w:ascii="Arial" w:eastAsia="Calibri" w:hAnsi="Arial" w:cs="Arial"/>
                <w:b/>
                <w:bCs/>
                <w:i/>
                <w:iCs/>
                <w:color w:val="FFFFFF"/>
                <w:sz w:val="22"/>
                <w:szCs w:val="18"/>
              </w:rPr>
            </w:pPr>
            <w:r w:rsidRPr="00FF6562">
              <w:rPr>
                <w:rFonts w:ascii="Arial" w:eastAsia="Calibri" w:hAnsi="Arial" w:cs="Arial"/>
                <w:b/>
                <w:bCs/>
                <w:i/>
                <w:iCs/>
                <w:color w:val="FFFFFF"/>
                <w:sz w:val="22"/>
                <w:szCs w:val="22"/>
                <w:bdr w:val="none" w:sz="0" w:space="0" w:color="auto" w:frame="1"/>
              </w:rPr>
              <w:t>Score de l’indicateur</w:t>
            </w:r>
          </w:p>
        </w:tc>
        <w:tc>
          <w:tcPr>
            <w:tcW w:w="1277" w:type="pct"/>
            <w:tcBorders>
              <w:top w:val="single" w:sz="8" w:space="0" w:color="4F81BD"/>
              <w:left w:val="nil"/>
              <w:bottom w:val="nil"/>
              <w:right w:val="nil"/>
            </w:tcBorders>
            <w:shd w:val="clear" w:color="auto" w:fill="4F81BD"/>
            <w:vAlign w:val="center"/>
            <w:hideMark/>
          </w:tcPr>
          <w:p w:rsidR="00BD5B7F" w:rsidRPr="00FF6562" w:rsidRDefault="00BD5B7F" w:rsidP="000E5961">
            <w:pPr>
              <w:rPr>
                <w:rFonts w:ascii="Arial" w:eastAsia="Calibri" w:hAnsi="Arial" w:cs="Arial"/>
                <w:b/>
                <w:bCs/>
                <w:i/>
                <w:iCs/>
                <w:color w:val="FFFFFF"/>
                <w:sz w:val="22"/>
                <w:szCs w:val="18"/>
              </w:rPr>
            </w:pPr>
            <w:r w:rsidRPr="00FF6562">
              <w:rPr>
                <w:rFonts w:ascii="Arial" w:eastAsia="Calibri" w:hAnsi="Arial" w:cs="Arial"/>
                <w:b/>
                <w:bCs/>
                <w:i/>
                <w:iCs/>
                <w:color w:val="FFFFFF"/>
                <w:sz w:val="22"/>
                <w:szCs w:val="22"/>
                <w:bdr w:val="none" w:sz="0" w:space="0" w:color="auto" w:frame="1"/>
              </w:rPr>
              <w:t>Groupe d’indicateurs</w:t>
            </w:r>
          </w:p>
        </w:tc>
        <w:tc>
          <w:tcPr>
            <w:tcW w:w="664" w:type="pct"/>
            <w:tcBorders>
              <w:top w:val="single" w:sz="8" w:space="0" w:color="4F81BD"/>
              <w:left w:val="nil"/>
              <w:bottom w:val="nil"/>
              <w:right w:val="single" w:sz="8" w:space="0" w:color="4F81BD"/>
            </w:tcBorders>
            <w:shd w:val="clear" w:color="auto" w:fill="4F81BD"/>
            <w:vAlign w:val="center"/>
            <w:hideMark/>
          </w:tcPr>
          <w:p w:rsidR="00BD5B7F" w:rsidRPr="00FF6562" w:rsidRDefault="00BD5B7F" w:rsidP="000E5961">
            <w:pPr>
              <w:rPr>
                <w:rFonts w:ascii="Arial" w:eastAsia="Calibri" w:hAnsi="Arial" w:cs="Arial"/>
                <w:b/>
                <w:bCs/>
                <w:i/>
                <w:iCs/>
                <w:color w:val="FFFFFF"/>
                <w:sz w:val="22"/>
                <w:szCs w:val="18"/>
              </w:rPr>
            </w:pPr>
            <w:r w:rsidRPr="00FF6562">
              <w:rPr>
                <w:rFonts w:ascii="Arial" w:eastAsia="Calibri" w:hAnsi="Arial" w:cs="Arial"/>
                <w:b/>
                <w:bCs/>
                <w:i/>
                <w:iCs/>
                <w:color w:val="FFFFFF"/>
                <w:sz w:val="22"/>
                <w:szCs w:val="22"/>
                <w:bdr w:val="none" w:sz="0" w:space="0" w:color="auto" w:frame="1"/>
              </w:rPr>
              <w:t>Score du groupe</w:t>
            </w:r>
            <w:r w:rsidRPr="00FF6562">
              <w:rPr>
                <w:rFonts w:ascii="Arial" w:eastAsia="Calibri" w:hAnsi="Arial" w:cs="Arial"/>
                <w:b/>
                <w:bCs/>
                <w:i/>
                <w:iCs/>
                <w:color w:val="FFFFFF"/>
                <w:sz w:val="22"/>
                <w:szCs w:val="18"/>
                <w:vertAlign w:val="superscript"/>
              </w:rPr>
              <w:footnoteReference w:id="54"/>
            </w:r>
          </w:p>
        </w:tc>
      </w:tr>
      <w:tr w:rsidR="00BD5B7F" w:rsidRPr="00FC42B0" w:rsidTr="000E5961">
        <w:trPr>
          <w:trHeight w:val="214"/>
        </w:trPr>
        <w:tc>
          <w:tcPr>
            <w:tcW w:w="2383" w:type="pct"/>
            <w:tcBorders>
              <w:top w:val="single" w:sz="8" w:space="0" w:color="4F81BD"/>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szCs w:val="18"/>
                <w:lang w:val="fr-FR"/>
              </w:rPr>
            </w:pPr>
            <w:r w:rsidRPr="00865DA5">
              <w:rPr>
                <w:rFonts w:ascii="Arial" w:eastAsia="Calibri" w:hAnsi="Arial" w:cs="Arial"/>
                <w:b/>
                <w:bCs/>
                <w:iCs/>
                <w:color w:val="000000"/>
                <w:bdr w:val="none" w:sz="0" w:space="0" w:color="auto" w:frame="1"/>
                <w:lang w:val="fr-FR"/>
              </w:rPr>
              <w:t>1. Situation et échelle de l’IKB</w:t>
            </w:r>
          </w:p>
        </w:tc>
        <w:tc>
          <w:tcPr>
            <w:tcW w:w="676" w:type="pct"/>
            <w:tcBorders>
              <w:top w:val="single" w:sz="8" w:space="0" w:color="4F81BD"/>
              <w:left w:val="nil"/>
              <w:bottom w:val="single" w:sz="8" w:space="0" w:color="4F81BD"/>
              <w:right w:val="nil"/>
            </w:tcBorders>
            <w:vAlign w:val="center"/>
          </w:tcPr>
          <w:p w:rsidR="00BD5B7F" w:rsidRPr="00865DA5" w:rsidRDefault="00BD5B7F" w:rsidP="000E5961">
            <w:pPr>
              <w:rPr>
                <w:rFonts w:ascii="Arial" w:eastAsia="Calibri" w:hAnsi="Arial" w:cs="Arial"/>
                <w:iCs/>
                <w:color w:val="000000"/>
                <w:szCs w:val="18"/>
                <w:lang w:val="fr-FR"/>
              </w:rPr>
            </w:pPr>
          </w:p>
        </w:tc>
        <w:tc>
          <w:tcPr>
            <w:tcW w:w="1277" w:type="pct"/>
            <w:vMerge w:val="restart"/>
            <w:tcBorders>
              <w:top w:val="single" w:sz="8" w:space="0" w:color="4F81BD"/>
              <w:left w:val="nil"/>
              <w:bottom w:val="nil"/>
              <w:right w:val="nil"/>
            </w:tcBorders>
            <w:vAlign w:val="center"/>
            <w:hideMark/>
          </w:tcPr>
          <w:p w:rsidR="00BD5B7F" w:rsidRPr="00865DA5" w:rsidRDefault="00BD5B7F" w:rsidP="000E5961">
            <w:pPr>
              <w:ind w:left="175" w:hanging="175"/>
              <w:rPr>
                <w:rFonts w:ascii="Arial" w:eastAsia="Calibri" w:hAnsi="Arial" w:cs="Arial"/>
                <w:iCs/>
                <w:color w:val="000000"/>
                <w:szCs w:val="18"/>
                <w:lang w:val="fr-FR"/>
              </w:rPr>
            </w:pPr>
            <w:r w:rsidRPr="00865DA5">
              <w:rPr>
                <w:rFonts w:ascii="Arial" w:eastAsia="Calibri" w:hAnsi="Arial" w:cs="Arial"/>
                <w:iCs/>
                <w:color w:val="000000"/>
                <w:bdr w:val="none" w:sz="0" w:space="0" w:color="auto" w:frame="1"/>
                <w:lang w:val="fr-FR"/>
              </w:rPr>
              <w:t>A. Suivi national de l’IKB (Gestion des données sur la portée et l’échelle de l’IKB)</w:t>
            </w:r>
          </w:p>
        </w:tc>
        <w:tc>
          <w:tcPr>
            <w:tcW w:w="664" w:type="pct"/>
            <w:vMerge w:val="restart"/>
            <w:tcBorders>
              <w:top w:val="single" w:sz="8" w:space="0" w:color="4F81BD"/>
              <w:left w:val="nil"/>
              <w:bottom w:val="nil"/>
              <w:right w:val="single" w:sz="8" w:space="0" w:color="4F81BD"/>
            </w:tcBorders>
            <w:vAlign w:val="center"/>
          </w:tcPr>
          <w:p w:rsidR="00BD5B7F" w:rsidRPr="00865DA5" w:rsidRDefault="00BD5B7F" w:rsidP="000E5961">
            <w:pPr>
              <w:rPr>
                <w:rFonts w:ascii="Arial" w:eastAsia="Calibri" w:hAnsi="Arial" w:cs="Arial"/>
                <w:iCs/>
                <w:color w:val="000000"/>
                <w:szCs w:val="18"/>
                <w:lang w:val="fr-FR"/>
              </w:rPr>
            </w:pPr>
          </w:p>
        </w:tc>
      </w:tr>
      <w:tr w:rsidR="00BD5B7F" w:rsidRPr="00FF6562" w:rsidTr="000E5961">
        <w:trPr>
          <w:trHeight w:val="324"/>
        </w:trPr>
        <w:tc>
          <w:tcPr>
            <w:tcW w:w="2383" w:type="pct"/>
            <w:tcBorders>
              <w:top w:val="nil"/>
              <w:left w:val="single" w:sz="8" w:space="0" w:color="4F81BD"/>
              <w:bottom w:val="nil"/>
              <w:right w:val="nil"/>
            </w:tcBorders>
            <w:vAlign w:val="center"/>
            <w:hideMark/>
          </w:tcPr>
          <w:p w:rsidR="00BD5B7F" w:rsidRPr="00865DA5" w:rsidRDefault="00BD5B7F" w:rsidP="000E5961">
            <w:pPr>
              <w:ind w:left="284" w:hanging="284"/>
              <w:rPr>
                <w:rFonts w:ascii="Arial" w:eastAsia="Calibri" w:hAnsi="Arial" w:cs="Arial"/>
                <w:b/>
                <w:bCs/>
                <w:iCs/>
                <w:color w:val="000000"/>
                <w:szCs w:val="18"/>
                <w:highlight w:val="green"/>
                <w:lang w:val="fr-FR"/>
              </w:rPr>
            </w:pPr>
            <w:r w:rsidRPr="00865DA5">
              <w:rPr>
                <w:rFonts w:ascii="Arial" w:eastAsia="Calibri" w:hAnsi="Arial" w:cs="Arial"/>
                <w:b/>
                <w:bCs/>
                <w:iCs/>
                <w:color w:val="000000"/>
                <w:bdr w:val="none" w:sz="0" w:space="0" w:color="auto" w:frame="1"/>
                <w:lang w:val="fr-FR"/>
              </w:rPr>
              <w:t>2. Nombre et répartition des oiseaux abattus, piégés ou commercialisés illégalement</w:t>
            </w:r>
          </w:p>
        </w:tc>
        <w:tc>
          <w:tcPr>
            <w:tcW w:w="676" w:type="pct"/>
            <w:tcBorders>
              <w:top w:val="nil"/>
              <w:left w:val="nil"/>
              <w:bottom w:val="nil"/>
              <w:right w:val="nil"/>
            </w:tcBorders>
            <w:vAlign w:val="center"/>
            <w:hideMark/>
          </w:tcPr>
          <w:p w:rsidR="00BD5B7F" w:rsidRPr="00FF6562" w:rsidRDefault="00BD5B7F" w:rsidP="000E5961">
            <w:pPr>
              <w:rPr>
                <w:rFonts w:ascii="Arial" w:eastAsia="Calibri" w:hAnsi="Arial" w:cs="Arial"/>
                <w:iCs/>
                <w:color w:val="000000"/>
                <w:szCs w:val="18"/>
              </w:rPr>
            </w:pPr>
            <w:r w:rsidRPr="00FF6562">
              <w:rPr>
                <w:rFonts w:ascii="Arial" w:eastAsia="Calibri" w:hAnsi="Arial" w:cs="Arial"/>
                <w:iCs/>
                <w:color w:val="000000"/>
                <w:bdr w:val="none" w:sz="0" w:space="0" w:color="auto" w:frame="1"/>
              </w:rPr>
              <w:t>données</w:t>
            </w:r>
          </w:p>
        </w:tc>
        <w:tc>
          <w:tcPr>
            <w:tcW w:w="0" w:type="auto"/>
            <w:vMerge/>
            <w:tcBorders>
              <w:top w:val="single" w:sz="8" w:space="0" w:color="4F81BD"/>
              <w:left w:val="nil"/>
              <w:bottom w:val="nil"/>
              <w:right w:val="nil"/>
            </w:tcBorders>
            <w:vAlign w:val="center"/>
            <w:hideMark/>
          </w:tcPr>
          <w:p w:rsidR="00BD5B7F" w:rsidRPr="00FF6562" w:rsidRDefault="00BD5B7F" w:rsidP="000E5961">
            <w:pPr>
              <w:rPr>
                <w:rFonts w:ascii="Arial" w:eastAsia="Calibri" w:hAnsi="Arial" w:cs="Arial"/>
                <w:iCs/>
                <w:color w:val="000000"/>
                <w:szCs w:val="18"/>
              </w:rPr>
            </w:pPr>
          </w:p>
        </w:tc>
        <w:tc>
          <w:tcPr>
            <w:tcW w:w="0" w:type="auto"/>
            <w:vMerge/>
            <w:tcBorders>
              <w:top w:val="single" w:sz="8" w:space="0" w:color="4F81BD"/>
              <w:left w:val="nil"/>
              <w:bottom w:val="nil"/>
              <w:right w:val="single" w:sz="8" w:space="0" w:color="4F81BD"/>
            </w:tcBorders>
            <w:vAlign w:val="center"/>
            <w:hideMark/>
          </w:tcPr>
          <w:p w:rsidR="00BD5B7F" w:rsidRPr="00FF6562" w:rsidRDefault="00BD5B7F" w:rsidP="000E5961">
            <w:pPr>
              <w:rPr>
                <w:rFonts w:ascii="Arial" w:eastAsia="Calibri" w:hAnsi="Arial" w:cs="Arial"/>
                <w:iCs/>
                <w:color w:val="000000"/>
                <w:szCs w:val="18"/>
              </w:rPr>
            </w:pPr>
          </w:p>
        </w:tc>
      </w:tr>
      <w:tr w:rsidR="00BD5B7F" w:rsidRPr="00FC42B0" w:rsidTr="000E5961">
        <w:trPr>
          <w:trHeight w:val="271"/>
        </w:trPr>
        <w:tc>
          <w:tcPr>
            <w:tcW w:w="2383" w:type="pct"/>
            <w:tcBorders>
              <w:top w:val="single" w:sz="8" w:space="0" w:color="4F81BD"/>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szCs w:val="18"/>
                <w:lang w:val="fr-FR"/>
              </w:rPr>
            </w:pPr>
            <w:r w:rsidRPr="00865DA5">
              <w:rPr>
                <w:rFonts w:ascii="Arial" w:eastAsia="Calibri" w:hAnsi="Arial" w:cs="Arial"/>
                <w:b/>
                <w:bCs/>
                <w:iCs/>
                <w:color w:val="000000"/>
                <w:bdr w:val="none" w:sz="0" w:space="0" w:color="auto" w:frame="1"/>
                <w:lang w:val="fr-FR"/>
              </w:rPr>
              <w:t>3. Connaissance de l’étendue des cas d’IKB par la justice</w:t>
            </w:r>
          </w:p>
        </w:tc>
        <w:tc>
          <w:tcPr>
            <w:tcW w:w="676" w:type="pct"/>
            <w:tcBorders>
              <w:top w:val="single" w:sz="8" w:space="0" w:color="4F81BD"/>
              <w:left w:val="nil"/>
              <w:bottom w:val="single" w:sz="8" w:space="0" w:color="4F81BD"/>
              <w:right w:val="nil"/>
            </w:tcBorders>
            <w:vAlign w:val="center"/>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8" w:space="0" w:color="4F81BD"/>
              <w:left w:val="nil"/>
              <w:bottom w:val="nil"/>
              <w:right w:val="nil"/>
            </w:tcBorders>
            <w:vAlign w:val="center"/>
            <w:hideMark/>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8" w:space="0" w:color="4F81BD"/>
              <w:left w:val="nil"/>
              <w:bottom w:val="nil"/>
              <w:right w:val="single" w:sz="8" w:space="0" w:color="4F81BD"/>
            </w:tcBorders>
            <w:vAlign w:val="center"/>
            <w:hideMark/>
          </w:tcPr>
          <w:p w:rsidR="00BD5B7F" w:rsidRPr="00865DA5" w:rsidRDefault="00BD5B7F" w:rsidP="000E5961">
            <w:pPr>
              <w:rPr>
                <w:rFonts w:ascii="Arial" w:eastAsia="Calibri" w:hAnsi="Arial" w:cs="Arial"/>
                <w:iCs/>
                <w:color w:val="000000"/>
                <w:szCs w:val="18"/>
                <w:lang w:val="fr-FR"/>
              </w:rPr>
            </w:pPr>
          </w:p>
        </w:tc>
      </w:tr>
      <w:tr w:rsidR="00BD5B7F" w:rsidRPr="00FF6562" w:rsidTr="000E5961">
        <w:trPr>
          <w:trHeight w:val="214"/>
        </w:trPr>
        <w:tc>
          <w:tcPr>
            <w:tcW w:w="2383" w:type="pct"/>
            <w:tcBorders>
              <w:top w:val="nil"/>
              <w:left w:val="single" w:sz="8" w:space="0" w:color="4F81BD"/>
              <w:bottom w:val="nil"/>
              <w:right w:val="nil"/>
            </w:tcBorders>
            <w:vAlign w:val="center"/>
            <w:hideMark/>
          </w:tcPr>
          <w:p w:rsidR="00BD5B7F" w:rsidRPr="00865DA5" w:rsidRDefault="00BD5B7F" w:rsidP="000E5961">
            <w:pPr>
              <w:ind w:left="284" w:hanging="284"/>
              <w:rPr>
                <w:rFonts w:ascii="Arial" w:eastAsia="Calibri" w:hAnsi="Arial" w:cs="Arial"/>
                <w:b/>
                <w:bCs/>
                <w:iCs/>
                <w:color w:val="000000"/>
                <w:szCs w:val="18"/>
                <w:highlight w:val="green"/>
                <w:lang w:val="fr-FR"/>
              </w:rPr>
            </w:pPr>
            <w:r w:rsidRPr="00865DA5">
              <w:rPr>
                <w:rFonts w:ascii="Arial" w:eastAsia="Calibri" w:hAnsi="Arial" w:cs="Arial"/>
                <w:b/>
                <w:bCs/>
                <w:iCs/>
                <w:color w:val="000000"/>
                <w:bdr w:val="none" w:sz="0" w:space="0" w:color="auto" w:frame="1"/>
                <w:lang w:val="fr-FR"/>
              </w:rPr>
              <w:t>4. Nombre de cas d’IKB ayant fait l’objet de poursuite au cours de la période considérée</w:t>
            </w:r>
          </w:p>
        </w:tc>
        <w:tc>
          <w:tcPr>
            <w:tcW w:w="676" w:type="pct"/>
            <w:tcBorders>
              <w:top w:val="nil"/>
              <w:left w:val="nil"/>
              <w:bottom w:val="nil"/>
              <w:right w:val="nil"/>
            </w:tcBorders>
            <w:vAlign w:val="center"/>
            <w:hideMark/>
          </w:tcPr>
          <w:p w:rsidR="00BD5B7F" w:rsidRPr="00FF6562" w:rsidRDefault="00BD5B7F" w:rsidP="000E5961">
            <w:pPr>
              <w:rPr>
                <w:rFonts w:ascii="Arial" w:eastAsia="Calibri" w:hAnsi="Arial" w:cs="Arial"/>
                <w:iCs/>
                <w:color w:val="000000"/>
                <w:szCs w:val="18"/>
                <w:highlight w:val="green"/>
              </w:rPr>
            </w:pPr>
            <w:r w:rsidRPr="00FF6562">
              <w:rPr>
                <w:rFonts w:ascii="Arial" w:eastAsia="Calibri" w:hAnsi="Arial" w:cs="Arial"/>
                <w:iCs/>
                <w:color w:val="000000"/>
                <w:bdr w:val="none" w:sz="0" w:space="0" w:color="auto" w:frame="1"/>
              </w:rPr>
              <w:t>données</w:t>
            </w:r>
          </w:p>
        </w:tc>
        <w:tc>
          <w:tcPr>
            <w:tcW w:w="0" w:type="auto"/>
            <w:vMerge/>
            <w:tcBorders>
              <w:top w:val="single" w:sz="8" w:space="0" w:color="4F81BD"/>
              <w:left w:val="nil"/>
              <w:bottom w:val="nil"/>
              <w:right w:val="nil"/>
            </w:tcBorders>
            <w:vAlign w:val="center"/>
            <w:hideMark/>
          </w:tcPr>
          <w:p w:rsidR="00BD5B7F" w:rsidRPr="00FF6562" w:rsidRDefault="00BD5B7F" w:rsidP="000E5961">
            <w:pPr>
              <w:rPr>
                <w:rFonts w:ascii="Arial" w:eastAsia="Calibri" w:hAnsi="Arial" w:cs="Arial"/>
                <w:iCs/>
                <w:color w:val="000000"/>
                <w:szCs w:val="18"/>
              </w:rPr>
            </w:pPr>
          </w:p>
        </w:tc>
        <w:tc>
          <w:tcPr>
            <w:tcW w:w="0" w:type="auto"/>
            <w:vMerge/>
            <w:tcBorders>
              <w:top w:val="single" w:sz="8" w:space="0" w:color="4F81BD"/>
              <w:left w:val="nil"/>
              <w:bottom w:val="nil"/>
              <w:right w:val="single" w:sz="8" w:space="0" w:color="4F81BD"/>
            </w:tcBorders>
            <w:vAlign w:val="center"/>
            <w:hideMark/>
          </w:tcPr>
          <w:p w:rsidR="00BD5B7F" w:rsidRPr="00FF6562" w:rsidRDefault="00BD5B7F" w:rsidP="000E5961">
            <w:pPr>
              <w:rPr>
                <w:rFonts w:ascii="Arial" w:eastAsia="Calibri" w:hAnsi="Arial" w:cs="Arial"/>
                <w:iCs/>
                <w:color w:val="000000"/>
                <w:szCs w:val="18"/>
              </w:rPr>
            </w:pPr>
          </w:p>
        </w:tc>
      </w:tr>
      <w:tr w:rsidR="00BD5B7F" w:rsidRPr="00FC42B0" w:rsidTr="000E5961">
        <w:trPr>
          <w:trHeight w:val="214"/>
        </w:trPr>
        <w:tc>
          <w:tcPr>
            <w:tcW w:w="2383" w:type="pct"/>
            <w:tcBorders>
              <w:top w:val="single" w:sz="12" w:space="0" w:color="95B3D7"/>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szCs w:val="18"/>
                <w:lang w:val="fr-FR"/>
              </w:rPr>
            </w:pPr>
            <w:r w:rsidRPr="00865DA5">
              <w:rPr>
                <w:rFonts w:ascii="Arial" w:eastAsia="Calibri" w:hAnsi="Arial" w:cs="Arial"/>
                <w:b/>
                <w:bCs/>
                <w:iCs/>
                <w:color w:val="000000"/>
                <w:bdr w:val="none" w:sz="0" w:space="0" w:color="auto" w:frame="1"/>
                <w:lang w:val="fr-FR"/>
              </w:rPr>
              <w:t>5. Législation nationale sur la faune sauvage</w:t>
            </w:r>
          </w:p>
        </w:tc>
        <w:tc>
          <w:tcPr>
            <w:tcW w:w="676" w:type="pct"/>
            <w:tcBorders>
              <w:top w:val="single" w:sz="12" w:space="0" w:color="95B3D7"/>
              <w:left w:val="nil"/>
              <w:bottom w:val="single" w:sz="8" w:space="0" w:color="4F81BD"/>
              <w:right w:val="nil"/>
            </w:tcBorders>
            <w:vAlign w:val="center"/>
          </w:tcPr>
          <w:p w:rsidR="00BD5B7F" w:rsidRPr="00865DA5" w:rsidRDefault="00BD5B7F" w:rsidP="000E5961">
            <w:pPr>
              <w:rPr>
                <w:rFonts w:ascii="Arial" w:eastAsia="Calibri" w:hAnsi="Arial" w:cs="Arial"/>
                <w:iCs/>
                <w:color w:val="000000"/>
                <w:szCs w:val="18"/>
                <w:lang w:val="fr-FR"/>
              </w:rPr>
            </w:pPr>
          </w:p>
        </w:tc>
        <w:tc>
          <w:tcPr>
            <w:tcW w:w="1277" w:type="pct"/>
            <w:vMerge w:val="restart"/>
            <w:tcBorders>
              <w:top w:val="single" w:sz="12" w:space="0" w:color="95B3D7"/>
              <w:left w:val="nil"/>
              <w:bottom w:val="single" w:sz="8" w:space="0" w:color="4F81BD"/>
              <w:right w:val="nil"/>
            </w:tcBorders>
            <w:vAlign w:val="center"/>
            <w:hideMark/>
          </w:tcPr>
          <w:p w:rsidR="00BD5B7F" w:rsidRPr="00865DA5" w:rsidRDefault="00BD5B7F" w:rsidP="000E5961">
            <w:pPr>
              <w:ind w:left="175" w:hanging="175"/>
              <w:rPr>
                <w:rFonts w:ascii="Arial" w:eastAsia="Calibri" w:hAnsi="Arial" w:cs="Arial"/>
                <w:iCs/>
                <w:color w:val="000000"/>
                <w:szCs w:val="18"/>
                <w:lang w:val="fr-FR"/>
              </w:rPr>
            </w:pPr>
            <w:r w:rsidRPr="00865DA5">
              <w:rPr>
                <w:rFonts w:ascii="Arial" w:eastAsia="Calibri" w:hAnsi="Arial" w:cs="Arial"/>
                <w:iCs/>
                <w:color w:val="000000"/>
                <w:bdr w:val="none" w:sz="0" w:space="0" w:color="auto" w:frame="1"/>
                <w:lang w:val="fr-FR"/>
              </w:rPr>
              <w:t>B. Niveau d’exhaustivité de la législation nationale</w:t>
            </w:r>
          </w:p>
        </w:tc>
        <w:tc>
          <w:tcPr>
            <w:tcW w:w="664" w:type="pct"/>
            <w:vMerge w:val="restart"/>
            <w:tcBorders>
              <w:top w:val="single" w:sz="12" w:space="0" w:color="95B3D7"/>
              <w:left w:val="nil"/>
              <w:bottom w:val="single" w:sz="8" w:space="0" w:color="4F81BD"/>
              <w:right w:val="single" w:sz="8" w:space="0" w:color="4F81BD"/>
            </w:tcBorders>
            <w:vAlign w:val="center"/>
          </w:tcPr>
          <w:p w:rsidR="00BD5B7F" w:rsidRPr="00865DA5" w:rsidRDefault="00BD5B7F" w:rsidP="000E5961">
            <w:pPr>
              <w:rPr>
                <w:rFonts w:ascii="Arial" w:eastAsia="Calibri" w:hAnsi="Arial" w:cs="Arial"/>
                <w:iCs/>
                <w:color w:val="000000"/>
                <w:szCs w:val="18"/>
                <w:lang w:val="fr-FR"/>
              </w:rPr>
            </w:pPr>
          </w:p>
        </w:tc>
      </w:tr>
      <w:tr w:rsidR="00BD5B7F" w:rsidRPr="00FF6562" w:rsidTr="000E5961">
        <w:trPr>
          <w:trHeight w:val="214"/>
        </w:trPr>
        <w:tc>
          <w:tcPr>
            <w:tcW w:w="2383" w:type="pct"/>
            <w:tcBorders>
              <w:top w:val="nil"/>
              <w:left w:val="single" w:sz="8" w:space="0" w:color="4F81BD"/>
              <w:bottom w:val="nil"/>
              <w:right w:val="nil"/>
            </w:tcBorders>
            <w:vAlign w:val="center"/>
            <w:hideMark/>
          </w:tcPr>
          <w:p w:rsidR="00BD5B7F" w:rsidRPr="00FF6562" w:rsidRDefault="00BD5B7F" w:rsidP="000E5961">
            <w:pPr>
              <w:ind w:left="284" w:hanging="284"/>
              <w:rPr>
                <w:rFonts w:ascii="Arial" w:eastAsia="Calibri" w:hAnsi="Arial" w:cs="Arial"/>
                <w:b/>
                <w:bCs/>
                <w:iCs/>
                <w:color w:val="000000"/>
                <w:szCs w:val="18"/>
              </w:rPr>
            </w:pPr>
            <w:r w:rsidRPr="00FF6562">
              <w:rPr>
                <w:rFonts w:ascii="Arial" w:eastAsia="Calibri" w:hAnsi="Arial" w:cs="Arial"/>
                <w:b/>
                <w:bCs/>
                <w:iCs/>
                <w:color w:val="000000"/>
                <w:bdr w:val="none" w:sz="0" w:space="0" w:color="auto" w:frame="1"/>
              </w:rPr>
              <w:t>6. Utilisation réglementée</w:t>
            </w:r>
          </w:p>
        </w:tc>
        <w:tc>
          <w:tcPr>
            <w:tcW w:w="676" w:type="pct"/>
            <w:tcBorders>
              <w:top w:val="nil"/>
              <w:left w:val="nil"/>
              <w:bottom w:val="nil"/>
              <w:right w:val="nil"/>
            </w:tcBorders>
            <w:vAlign w:val="center"/>
          </w:tcPr>
          <w:p w:rsidR="00BD5B7F" w:rsidRPr="00FF6562" w:rsidRDefault="00BD5B7F" w:rsidP="000E5961">
            <w:pPr>
              <w:rPr>
                <w:rFonts w:ascii="Arial" w:eastAsia="Calibri" w:hAnsi="Arial" w:cs="Arial"/>
                <w:iCs/>
                <w:color w:val="000000"/>
                <w:szCs w:val="18"/>
              </w:rPr>
            </w:pPr>
          </w:p>
        </w:tc>
        <w:tc>
          <w:tcPr>
            <w:tcW w:w="0" w:type="auto"/>
            <w:vMerge/>
            <w:tcBorders>
              <w:top w:val="single" w:sz="12" w:space="0" w:color="95B3D7"/>
              <w:left w:val="nil"/>
              <w:bottom w:val="single" w:sz="8" w:space="0" w:color="4F81BD"/>
              <w:right w:val="nil"/>
            </w:tcBorders>
            <w:vAlign w:val="center"/>
            <w:hideMark/>
          </w:tcPr>
          <w:p w:rsidR="00BD5B7F" w:rsidRPr="00FF6562" w:rsidRDefault="00BD5B7F" w:rsidP="000E5961">
            <w:pPr>
              <w:rPr>
                <w:rFonts w:ascii="Arial" w:eastAsia="Calibri" w:hAnsi="Arial" w:cs="Arial"/>
                <w:iCs/>
                <w:color w:val="000000"/>
                <w:szCs w:val="18"/>
              </w:rPr>
            </w:pPr>
          </w:p>
        </w:tc>
        <w:tc>
          <w:tcPr>
            <w:tcW w:w="0" w:type="auto"/>
            <w:vMerge/>
            <w:tcBorders>
              <w:top w:val="single" w:sz="12" w:space="0" w:color="95B3D7"/>
              <w:left w:val="nil"/>
              <w:bottom w:val="single" w:sz="8" w:space="0" w:color="4F81BD"/>
              <w:right w:val="single" w:sz="8" w:space="0" w:color="4F81BD"/>
            </w:tcBorders>
            <w:vAlign w:val="center"/>
            <w:hideMark/>
          </w:tcPr>
          <w:p w:rsidR="00BD5B7F" w:rsidRPr="00FF6562" w:rsidRDefault="00BD5B7F" w:rsidP="000E5961">
            <w:pPr>
              <w:rPr>
                <w:rFonts w:ascii="Arial" w:eastAsia="Calibri" w:hAnsi="Arial" w:cs="Arial"/>
                <w:iCs/>
                <w:color w:val="000000"/>
                <w:szCs w:val="18"/>
              </w:rPr>
            </w:pPr>
          </w:p>
        </w:tc>
      </w:tr>
      <w:tr w:rsidR="00BD5B7F" w:rsidRPr="00FC42B0" w:rsidTr="000E5961">
        <w:trPr>
          <w:trHeight w:val="214"/>
        </w:trPr>
        <w:tc>
          <w:tcPr>
            <w:tcW w:w="2383" w:type="pct"/>
            <w:tcBorders>
              <w:top w:val="single" w:sz="8" w:space="0" w:color="4F81BD"/>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szCs w:val="18"/>
                <w:lang w:val="fr-FR"/>
              </w:rPr>
            </w:pPr>
            <w:r w:rsidRPr="00865DA5">
              <w:rPr>
                <w:rFonts w:ascii="Arial" w:eastAsia="Calibri" w:hAnsi="Arial" w:cs="Arial"/>
                <w:b/>
                <w:bCs/>
                <w:iCs/>
                <w:color w:val="000000"/>
                <w:bdr w:val="none" w:sz="0" w:space="0" w:color="auto" w:frame="1"/>
                <w:lang w:val="fr-FR"/>
              </w:rPr>
              <w:t>7. Interdictions en vertu de la législation nationale</w:t>
            </w:r>
          </w:p>
        </w:tc>
        <w:tc>
          <w:tcPr>
            <w:tcW w:w="676" w:type="pct"/>
            <w:tcBorders>
              <w:top w:val="single" w:sz="8" w:space="0" w:color="4F81BD"/>
              <w:left w:val="nil"/>
              <w:bottom w:val="single" w:sz="8" w:space="0" w:color="4F81BD"/>
              <w:right w:val="nil"/>
            </w:tcBorders>
            <w:vAlign w:val="center"/>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szCs w:val="18"/>
                <w:lang w:val="fr-FR"/>
              </w:rPr>
            </w:pPr>
          </w:p>
        </w:tc>
      </w:tr>
      <w:tr w:rsidR="00BD5B7F" w:rsidRPr="00FC42B0" w:rsidTr="000E5961">
        <w:trPr>
          <w:trHeight w:val="214"/>
        </w:trPr>
        <w:tc>
          <w:tcPr>
            <w:tcW w:w="2383" w:type="pct"/>
            <w:tcBorders>
              <w:top w:val="nil"/>
              <w:left w:val="single" w:sz="8" w:space="0" w:color="4F81BD"/>
              <w:bottom w:val="nil"/>
              <w:right w:val="nil"/>
            </w:tcBorders>
            <w:vAlign w:val="center"/>
            <w:hideMark/>
          </w:tcPr>
          <w:p w:rsidR="00BD5B7F" w:rsidRPr="00865DA5" w:rsidRDefault="00BD5B7F" w:rsidP="000E5961">
            <w:pPr>
              <w:ind w:left="284" w:hanging="284"/>
              <w:rPr>
                <w:rFonts w:ascii="Arial" w:eastAsia="Calibri" w:hAnsi="Arial" w:cs="Arial"/>
                <w:b/>
                <w:bCs/>
                <w:iCs/>
                <w:color w:val="000000"/>
                <w:szCs w:val="18"/>
                <w:lang w:val="fr-FR"/>
              </w:rPr>
            </w:pPr>
            <w:r w:rsidRPr="00865DA5">
              <w:rPr>
                <w:rFonts w:ascii="Arial" w:eastAsia="Calibri" w:hAnsi="Arial" w:cs="Arial"/>
                <w:b/>
                <w:bCs/>
                <w:iCs/>
                <w:color w:val="000000"/>
                <w:bdr w:val="none" w:sz="0" w:space="0" w:color="auto" w:frame="1"/>
                <w:lang w:val="fr-FR"/>
              </w:rPr>
              <w:t>8. Exceptions à la législation nationale</w:t>
            </w:r>
          </w:p>
        </w:tc>
        <w:tc>
          <w:tcPr>
            <w:tcW w:w="676" w:type="pct"/>
            <w:tcBorders>
              <w:top w:val="nil"/>
              <w:left w:val="nil"/>
              <w:bottom w:val="nil"/>
              <w:right w:val="nil"/>
            </w:tcBorders>
            <w:vAlign w:val="center"/>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szCs w:val="18"/>
                <w:lang w:val="fr-FR"/>
              </w:rPr>
            </w:pPr>
          </w:p>
        </w:tc>
      </w:tr>
      <w:tr w:rsidR="00BD5B7F" w:rsidRPr="00FF6562" w:rsidTr="000E5961">
        <w:trPr>
          <w:trHeight w:val="214"/>
        </w:trPr>
        <w:tc>
          <w:tcPr>
            <w:tcW w:w="2383" w:type="pct"/>
            <w:tcBorders>
              <w:top w:val="single" w:sz="8" w:space="0" w:color="4F81BD"/>
              <w:left w:val="single" w:sz="8" w:space="0" w:color="4F81BD"/>
              <w:bottom w:val="single" w:sz="8" w:space="0" w:color="4F81BD"/>
              <w:right w:val="nil"/>
            </w:tcBorders>
            <w:vAlign w:val="center"/>
            <w:hideMark/>
          </w:tcPr>
          <w:p w:rsidR="00BD5B7F" w:rsidRPr="00FF6562" w:rsidRDefault="00BD5B7F" w:rsidP="000E5961">
            <w:pPr>
              <w:ind w:left="284" w:hanging="284"/>
              <w:rPr>
                <w:rFonts w:ascii="Arial" w:eastAsia="Calibri" w:hAnsi="Arial" w:cs="Arial"/>
                <w:b/>
                <w:bCs/>
                <w:iCs/>
                <w:color w:val="000000"/>
                <w:szCs w:val="18"/>
              </w:rPr>
            </w:pPr>
            <w:r w:rsidRPr="00FF6562">
              <w:rPr>
                <w:rFonts w:ascii="Arial" w:eastAsia="Calibri" w:hAnsi="Arial" w:cs="Arial"/>
                <w:b/>
                <w:bCs/>
                <w:iCs/>
                <w:color w:val="000000"/>
                <w:bdr w:val="none" w:sz="0" w:space="0" w:color="auto" w:frame="1"/>
              </w:rPr>
              <w:t>9. Sanctions et peines</w:t>
            </w:r>
          </w:p>
        </w:tc>
        <w:tc>
          <w:tcPr>
            <w:tcW w:w="676" w:type="pct"/>
            <w:tcBorders>
              <w:top w:val="single" w:sz="8" w:space="0" w:color="4F81BD"/>
              <w:left w:val="nil"/>
              <w:bottom w:val="single" w:sz="8" w:space="0" w:color="4F81BD"/>
              <w:right w:val="nil"/>
            </w:tcBorders>
            <w:vAlign w:val="center"/>
          </w:tcPr>
          <w:p w:rsidR="00BD5B7F" w:rsidRPr="00FF6562" w:rsidRDefault="00BD5B7F" w:rsidP="000E5961">
            <w:pPr>
              <w:rPr>
                <w:rFonts w:ascii="Arial" w:eastAsia="Calibri" w:hAnsi="Arial" w:cs="Arial"/>
                <w:iCs/>
                <w:color w:val="000000"/>
                <w:szCs w:val="18"/>
              </w:rPr>
            </w:pPr>
          </w:p>
        </w:tc>
        <w:tc>
          <w:tcPr>
            <w:tcW w:w="0" w:type="auto"/>
            <w:vMerge/>
            <w:tcBorders>
              <w:top w:val="single" w:sz="12" w:space="0" w:color="95B3D7"/>
              <w:left w:val="nil"/>
              <w:bottom w:val="single" w:sz="8" w:space="0" w:color="4F81BD"/>
              <w:right w:val="nil"/>
            </w:tcBorders>
            <w:vAlign w:val="center"/>
            <w:hideMark/>
          </w:tcPr>
          <w:p w:rsidR="00BD5B7F" w:rsidRPr="00FF6562" w:rsidRDefault="00BD5B7F" w:rsidP="000E5961">
            <w:pPr>
              <w:rPr>
                <w:rFonts w:ascii="Arial" w:eastAsia="Calibri" w:hAnsi="Arial" w:cs="Arial"/>
                <w:iCs/>
                <w:color w:val="000000"/>
                <w:szCs w:val="18"/>
              </w:rPr>
            </w:pPr>
          </w:p>
        </w:tc>
        <w:tc>
          <w:tcPr>
            <w:tcW w:w="0" w:type="auto"/>
            <w:vMerge/>
            <w:tcBorders>
              <w:top w:val="single" w:sz="12" w:space="0" w:color="95B3D7"/>
              <w:left w:val="nil"/>
              <w:bottom w:val="single" w:sz="8" w:space="0" w:color="4F81BD"/>
              <w:right w:val="single" w:sz="8" w:space="0" w:color="4F81BD"/>
            </w:tcBorders>
            <w:vAlign w:val="center"/>
            <w:hideMark/>
          </w:tcPr>
          <w:p w:rsidR="00BD5B7F" w:rsidRPr="00FF6562" w:rsidRDefault="00BD5B7F" w:rsidP="000E5961">
            <w:pPr>
              <w:rPr>
                <w:rFonts w:ascii="Arial" w:eastAsia="Calibri" w:hAnsi="Arial" w:cs="Arial"/>
                <w:iCs/>
                <w:color w:val="000000"/>
                <w:szCs w:val="18"/>
              </w:rPr>
            </w:pPr>
          </w:p>
        </w:tc>
      </w:tr>
      <w:tr w:rsidR="00BD5B7F" w:rsidRPr="00FF6562" w:rsidTr="000E5961">
        <w:trPr>
          <w:trHeight w:val="214"/>
        </w:trPr>
        <w:tc>
          <w:tcPr>
            <w:tcW w:w="2383" w:type="pct"/>
            <w:tcBorders>
              <w:top w:val="nil"/>
              <w:left w:val="single" w:sz="8" w:space="0" w:color="4F81BD"/>
              <w:bottom w:val="nil"/>
              <w:right w:val="nil"/>
            </w:tcBorders>
            <w:vAlign w:val="center"/>
            <w:hideMark/>
          </w:tcPr>
          <w:p w:rsidR="00BD5B7F" w:rsidRPr="00FF6562" w:rsidRDefault="00BD5B7F" w:rsidP="000E5961">
            <w:pPr>
              <w:ind w:left="284" w:hanging="284"/>
              <w:rPr>
                <w:rFonts w:ascii="Arial" w:eastAsia="Calibri" w:hAnsi="Arial" w:cs="Arial"/>
                <w:b/>
                <w:bCs/>
                <w:iCs/>
                <w:color w:val="000000"/>
                <w:szCs w:val="18"/>
              </w:rPr>
            </w:pPr>
            <w:r w:rsidRPr="00FF6562">
              <w:rPr>
                <w:rFonts w:ascii="Arial" w:eastAsia="Calibri" w:hAnsi="Arial" w:cs="Arial"/>
                <w:b/>
                <w:bCs/>
                <w:iCs/>
                <w:color w:val="000000"/>
                <w:bdr w:val="none" w:sz="0" w:space="0" w:color="auto" w:frame="1"/>
              </w:rPr>
              <w:t>10. Proportionnalité des sanctions</w:t>
            </w:r>
          </w:p>
        </w:tc>
        <w:tc>
          <w:tcPr>
            <w:tcW w:w="676" w:type="pct"/>
            <w:tcBorders>
              <w:top w:val="nil"/>
              <w:left w:val="nil"/>
              <w:bottom w:val="nil"/>
              <w:right w:val="nil"/>
            </w:tcBorders>
            <w:vAlign w:val="center"/>
          </w:tcPr>
          <w:p w:rsidR="00BD5B7F" w:rsidRPr="00FF6562" w:rsidRDefault="00BD5B7F" w:rsidP="000E5961">
            <w:pPr>
              <w:rPr>
                <w:rFonts w:ascii="Arial" w:eastAsia="Calibri" w:hAnsi="Arial" w:cs="Arial"/>
                <w:iCs/>
                <w:color w:val="000000"/>
                <w:szCs w:val="18"/>
              </w:rPr>
            </w:pPr>
          </w:p>
        </w:tc>
        <w:tc>
          <w:tcPr>
            <w:tcW w:w="0" w:type="auto"/>
            <w:vMerge/>
            <w:tcBorders>
              <w:top w:val="single" w:sz="12" w:space="0" w:color="95B3D7"/>
              <w:left w:val="nil"/>
              <w:bottom w:val="single" w:sz="8" w:space="0" w:color="4F81BD"/>
              <w:right w:val="nil"/>
            </w:tcBorders>
            <w:vAlign w:val="center"/>
            <w:hideMark/>
          </w:tcPr>
          <w:p w:rsidR="00BD5B7F" w:rsidRPr="00FF6562" w:rsidRDefault="00BD5B7F" w:rsidP="000E5961">
            <w:pPr>
              <w:rPr>
                <w:rFonts w:ascii="Arial" w:eastAsia="Calibri" w:hAnsi="Arial" w:cs="Arial"/>
                <w:iCs/>
                <w:color w:val="000000"/>
                <w:szCs w:val="18"/>
              </w:rPr>
            </w:pPr>
          </w:p>
        </w:tc>
        <w:tc>
          <w:tcPr>
            <w:tcW w:w="0" w:type="auto"/>
            <w:vMerge/>
            <w:tcBorders>
              <w:top w:val="single" w:sz="12" w:space="0" w:color="95B3D7"/>
              <w:left w:val="nil"/>
              <w:bottom w:val="single" w:sz="8" w:space="0" w:color="4F81BD"/>
              <w:right w:val="single" w:sz="8" w:space="0" w:color="4F81BD"/>
            </w:tcBorders>
            <w:vAlign w:val="center"/>
            <w:hideMark/>
          </w:tcPr>
          <w:p w:rsidR="00BD5B7F" w:rsidRPr="00FF6562" w:rsidRDefault="00BD5B7F" w:rsidP="000E5961">
            <w:pPr>
              <w:rPr>
                <w:rFonts w:ascii="Arial" w:eastAsia="Calibri" w:hAnsi="Arial" w:cs="Arial"/>
                <w:iCs/>
                <w:color w:val="000000"/>
                <w:szCs w:val="18"/>
              </w:rPr>
            </w:pPr>
          </w:p>
        </w:tc>
      </w:tr>
      <w:tr w:rsidR="00BD5B7F" w:rsidRPr="00FF6562" w:rsidTr="000E5961">
        <w:trPr>
          <w:trHeight w:val="214"/>
        </w:trPr>
        <w:tc>
          <w:tcPr>
            <w:tcW w:w="2383" w:type="pct"/>
            <w:tcBorders>
              <w:top w:val="single" w:sz="8" w:space="0" w:color="4F81BD"/>
              <w:left w:val="single" w:sz="8" w:space="0" w:color="4F81BD"/>
              <w:bottom w:val="single" w:sz="8" w:space="0" w:color="4F81BD"/>
              <w:right w:val="nil"/>
            </w:tcBorders>
            <w:vAlign w:val="center"/>
            <w:hideMark/>
          </w:tcPr>
          <w:p w:rsidR="00BD5B7F" w:rsidRPr="00FF6562" w:rsidRDefault="00BD5B7F" w:rsidP="000E5961">
            <w:pPr>
              <w:ind w:left="284" w:hanging="284"/>
              <w:rPr>
                <w:rFonts w:ascii="Arial" w:eastAsia="Calibri" w:hAnsi="Arial" w:cs="Arial"/>
                <w:b/>
                <w:bCs/>
                <w:iCs/>
                <w:color w:val="000000"/>
                <w:szCs w:val="18"/>
              </w:rPr>
            </w:pPr>
            <w:r w:rsidRPr="00FF6562">
              <w:rPr>
                <w:rFonts w:ascii="Arial" w:eastAsia="Calibri" w:hAnsi="Arial" w:cs="Arial"/>
                <w:b/>
                <w:bCs/>
                <w:iCs/>
                <w:color w:val="000000"/>
                <w:bdr w:val="none" w:sz="0" w:space="0" w:color="auto" w:frame="1"/>
              </w:rPr>
              <w:t>11. Utilisation du droit pénal</w:t>
            </w:r>
            <w:r w:rsidRPr="00FF6562">
              <w:rPr>
                <w:rFonts w:ascii="Arial" w:eastAsia="Calibri" w:hAnsi="Arial" w:cs="Arial"/>
                <w:iCs/>
                <w:bdr w:val="none" w:sz="0" w:space="0" w:color="auto" w:frame="1"/>
              </w:rPr>
              <w:t xml:space="preserve"> </w:t>
            </w:r>
          </w:p>
        </w:tc>
        <w:tc>
          <w:tcPr>
            <w:tcW w:w="676" w:type="pct"/>
            <w:tcBorders>
              <w:top w:val="single" w:sz="8" w:space="0" w:color="4F81BD"/>
              <w:left w:val="nil"/>
              <w:bottom w:val="single" w:sz="8" w:space="0" w:color="4F81BD"/>
              <w:right w:val="nil"/>
            </w:tcBorders>
            <w:vAlign w:val="center"/>
          </w:tcPr>
          <w:p w:rsidR="00BD5B7F" w:rsidRPr="00FF6562" w:rsidRDefault="00BD5B7F" w:rsidP="000E5961">
            <w:pPr>
              <w:rPr>
                <w:rFonts w:ascii="Arial" w:eastAsia="Calibri" w:hAnsi="Arial" w:cs="Arial"/>
                <w:iCs/>
                <w:color w:val="000000"/>
                <w:szCs w:val="18"/>
              </w:rPr>
            </w:pPr>
          </w:p>
        </w:tc>
        <w:tc>
          <w:tcPr>
            <w:tcW w:w="0" w:type="auto"/>
            <w:vMerge/>
            <w:tcBorders>
              <w:top w:val="single" w:sz="12" w:space="0" w:color="95B3D7"/>
              <w:left w:val="nil"/>
              <w:bottom w:val="single" w:sz="8" w:space="0" w:color="4F81BD"/>
              <w:right w:val="nil"/>
            </w:tcBorders>
            <w:vAlign w:val="center"/>
            <w:hideMark/>
          </w:tcPr>
          <w:p w:rsidR="00BD5B7F" w:rsidRPr="00FF6562" w:rsidRDefault="00BD5B7F" w:rsidP="000E5961">
            <w:pPr>
              <w:rPr>
                <w:rFonts w:ascii="Arial" w:eastAsia="Calibri" w:hAnsi="Arial" w:cs="Arial"/>
                <w:iCs/>
                <w:color w:val="000000"/>
                <w:szCs w:val="18"/>
              </w:rPr>
            </w:pPr>
          </w:p>
        </w:tc>
        <w:tc>
          <w:tcPr>
            <w:tcW w:w="0" w:type="auto"/>
            <w:vMerge/>
            <w:tcBorders>
              <w:top w:val="single" w:sz="12" w:space="0" w:color="95B3D7"/>
              <w:left w:val="nil"/>
              <w:bottom w:val="single" w:sz="8" w:space="0" w:color="4F81BD"/>
              <w:right w:val="single" w:sz="8" w:space="0" w:color="4F81BD"/>
            </w:tcBorders>
            <w:vAlign w:val="center"/>
            <w:hideMark/>
          </w:tcPr>
          <w:p w:rsidR="00BD5B7F" w:rsidRPr="00FF6562" w:rsidRDefault="00BD5B7F" w:rsidP="000E5961">
            <w:pPr>
              <w:rPr>
                <w:rFonts w:ascii="Arial" w:eastAsia="Calibri" w:hAnsi="Arial" w:cs="Arial"/>
                <w:iCs/>
                <w:color w:val="000000"/>
                <w:szCs w:val="18"/>
              </w:rPr>
            </w:pPr>
          </w:p>
        </w:tc>
      </w:tr>
      <w:tr w:rsidR="00BD5B7F" w:rsidRPr="00FC42B0" w:rsidTr="000E5961">
        <w:trPr>
          <w:trHeight w:val="214"/>
        </w:trPr>
        <w:tc>
          <w:tcPr>
            <w:tcW w:w="2383" w:type="pct"/>
            <w:tcBorders>
              <w:top w:val="nil"/>
              <w:left w:val="single" w:sz="8" w:space="0" w:color="4F81BD"/>
              <w:bottom w:val="nil"/>
              <w:right w:val="nil"/>
            </w:tcBorders>
            <w:vAlign w:val="center"/>
            <w:hideMark/>
          </w:tcPr>
          <w:p w:rsidR="00BD5B7F" w:rsidRPr="00865DA5" w:rsidRDefault="00BD5B7F" w:rsidP="000E5961">
            <w:pPr>
              <w:ind w:left="284" w:hanging="284"/>
              <w:rPr>
                <w:rFonts w:ascii="Arial" w:eastAsia="Calibri" w:hAnsi="Arial" w:cs="Arial"/>
                <w:b/>
                <w:bCs/>
                <w:iCs/>
                <w:color w:val="000000"/>
                <w:szCs w:val="18"/>
                <w:lang w:val="fr-FR"/>
              </w:rPr>
            </w:pPr>
            <w:r w:rsidRPr="00865DA5">
              <w:rPr>
                <w:rFonts w:ascii="Arial" w:eastAsia="Calibri" w:hAnsi="Arial" w:cs="Arial"/>
                <w:b/>
                <w:bCs/>
                <w:iCs/>
                <w:color w:val="000000"/>
                <w:bdr w:val="none" w:sz="0" w:space="0" w:color="auto" w:frame="1"/>
                <w:lang w:val="fr-FR"/>
              </w:rPr>
              <w:t>12. Législation relative à la criminalité organisée</w:t>
            </w:r>
          </w:p>
        </w:tc>
        <w:tc>
          <w:tcPr>
            <w:tcW w:w="676" w:type="pct"/>
            <w:tcBorders>
              <w:top w:val="nil"/>
              <w:left w:val="nil"/>
              <w:bottom w:val="nil"/>
              <w:right w:val="nil"/>
            </w:tcBorders>
            <w:vAlign w:val="center"/>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szCs w:val="18"/>
                <w:lang w:val="fr-FR"/>
              </w:rPr>
            </w:pPr>
          </w:p>
        </w:tc>
      </w:tr>
      <w:tr w:rsidR="00BD5B7F" w:rsidRPr="00FC42B0" w:rsidTr="000E5961">
        <w:trPr>
          <w:trHeight w:val="214"/>
        </w:trPr>
        <w:tc>
          <w:tcPr>
            <w:tcW w:w="2383" w:type="pct"/>
            <w:tcBorders>
              <w:top w:val="single" w:sz="8" w:space="0" w:color="4F81BD"/>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szCs w:val="18"/>
                <w:lang w:val="fr-FR"/>
              </w:rPr>
            </w:pPr>
            <w:r w:rsidRPr="00865DA5">
              <w:rPr>
                <w:rFonts w:ascii="Arial" w:eastAsia="Calibri" w:hAnsi="Arial" w:cs="Arial"/>
                <w:b/>
                <w:bCs/>
                <w:iCs/>
                <w:color w:val="000000"/>
                <w:bdr w:val="none" w:sz="0" w:space="0" w:color="auto" w:frame="1"/>
                <w:lang w:val="fr-FR"/>
              </w:rPr>
              <w:t>13. Transposition du droit et des engagements internationaux dans la législation nationale</w:t>
            </w:r>
            <w:r w:rsidRPr="00865DA5">
              <w:rPr>
                <w:rFonts w:ascii="Arial" w:eastAsia="Calibri" w:hAnsi="Arial" w:cs="Arial"/>
                <w:iCs/>
                <w:bdr w:val="none" w:sz="0" w:space="0" w:color="auto" w:frame="1"/>
                <w:lang w:val="fr-FR"/>
              </w:rPr>
              <w:t xml:space="preserve"> </w:t>
            </w:r>
          </w:p>
        </w:tc>
        <w:tc>
          <w:tcPr>
            <w:tcW w:w="676" w:type="pct"/>
            <w:tcBorders>
              <w:top w:val="single" w:sz="8" w:space="0" w:color="4F81BD"/>
              <w:left w:val="nil"/>
              <w:bottom w:val="single" w:sz="8" w:space="0" w:color="4F81BD"/>
              <w:right w:val="nil"/>
            </w:tcBorders>
            <w:vAlign w:val="center"/>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szCs w:val="18"/>
                <w:lang w:val="fr-FR"/>
              </w:rPr>
            </w:pPr>
          </w:p>
        </w:tc>
      </w:tr>
      <w:tr w:rsidR="00BD5B7F" w:rsidRPr="00FC42B0" w:rsidTr="000E5961">
        <w:trPr>
          <w:trHeight w:val="214"/>
        </w:trPr>
        <w:tc>
          <w:tcPr>
            <w:tcW w:w="2383" w:type="pct"/>
            <w:tcBorders>
              <w:top w:val="single" w:sz="12" w:space="0" w:color="95B3D7"/>
              <w:left w:val="single" w:sz="8" w:space="0" w:color="4F81BD"/>
              <w:bottom w:val="nil"/>
              <w:right w:val="nil"/>
            </w:tcBorders>
            <w:vAlign w:val="center"/>
            <w:hideMark/>
          </w:tcPr>
          <w:p w:rsidR="00BD5B7F" w:rsidRPr="00865DA5" w:rsidRDefault="00BD5B7F" w:rsidP="000E5961">
            <w:pPr>
              <w:ind w:left="284" w:hanging="284"/>
              <w:rPr>
                <w:rFonts w:ascii="Arial" w:eastAsia="Calibri" w:hAnsi="Arial" w:cs="Arial"/>
                <w:b/>
                <w:bCs/>
                <w:iCs/>
                <w:color w:val="000000"/>
                <w:szCs w:val="18"/>
                <w:lang w:val="fr-FR"/>
              </w:rPr>
            </w:pPr>
            <w:r w:rsidRPr="00865DA5">
              <w:rPr>
                <w:rFonts w:ascii="Arial" w:eastAsia="Calibri" w:hAnsi="Arial" w:cs="Arial"/>
                <w:b/>
                <w:bCs/>
                <w:iCs/>
                <w:color w:val="000000"/>
                <w:bdr w:val="none" w:sz="0" w:space="0" w:color="auto" w:frame="1"/>
                <w:lang w:val="fr-FR"/>
              </w:rPr>
              <w:t>14. Plan d’action national pour la lutte contre l’IKB</w:t>
            </w:r>
          </w:p>
        </w:tc>
        <w:tc>
          <w:tcPr>
            <w:tcW w:w="676" w:type="pct"/>
            <w:tcBorders>
              <w:top w:val="single" w:sz="12" w:space="0" w:color="95B3D7"/>
              <w:left w:val="nil"/>
              <w:bottom w:val="nil"/>
              <w:right w:val="nil"/>
            </w:tcBorders>
            <w:vAlign w:val="center"/>
          </w:tcPr>
          <w:p w:rsidR="00BD5B7F" w:rsidRPr="00865DA5" w:rsidRDefault="00BD5B7F" w:rsidP="000E5961">
            <w:pPr>
              <w:rPr>
                <w:rFonts w:ascii="Arial" w:eastAsia="Calibri" w:hAnsi="Arial" w:cs="Arial"/>
                <w:iCs/>
                <w:color w:val="000000"/>
                <w:szCs w:val="18"/>
                <w:lang w:val="fr-FR"/>
              </w:rPr>
            </w:pPr>
          </w:p>
        </w:tc>
        <w:tc>
          <w:tcPr>
            <w:tcW w:w="1277" w:type="pct"/>
            <w:vMerge w:val="restart"/>
            <w:tcBorders>
              <w:top w:val="single" w:sz="12" w:space="0" w:color="95B3D7"/>
              <w:left w:val="nil"/>
              <w:bottom w:val="single" w:sz="8" w:space="0" w:color="4F81BD"/>
              <w:right w:val="nil"/>
            </w:tcBorders>
            <w:vAlign w:val="center"/>
            <w:hideMark/>
          </w:tcPr>
          <w:p w:rsidR="00BD5B7F" w:rsidRPr="00865DA5" w:rsidRDefault="00BD5B7F" w:rsidP="000E5961">
            <w:pPr>
              <w:ind w:left="175" w:hanging="175"/>
              <w:rPr>
                <w:rFonts w:ascii="Arial" w:eastAsia="Calibri" w:hAnsi="Arial" w:cs="Arial"/>
                <w:iCs/>
                <w:color w:val="000000"/>
                <w:szCs w:val="18"/>
                <w:lang w:val="fr-FR"/>
              </w:rPr>
            </w:pPr>
            <w:r w:rsidRPr="00865DA5">
              <w:rPr>
                <w:rFonts w:ascii="Arial" w:eastAsia="Calibri" w:hAnsi="Arial" w:cs="Arial"/>
                <w:iCs/>
                <w:color w:val="000000"/>
                <w:bdr w:val="none" w:sz="0" w:space="0" w:color="auto" w:frame="1"/>
                <w:lang w:val="fr-FR"/>
              </w:rPr>
              <w:t>C. Réponse en matière de lutte contre la fraude (Niveau de préparation des organes chargés de l’application des lois et de la lutte contre la fraude, et coordination des institutions nationales)</w:t>
            </w:r>
          </w:p>
        </w:tc>
        <w:tc>
          <w:tcPr>
            <w:tcW w:w="664" w:type="pct"/>
            <w:vMerge w:val="restart"/>
            <w:tcBorders>
              <w:top w:val="single" w:sz="12" w:space="0" w:color="95B3D7"/>
              <w:left w:val="nil"/>
              <w:bottom w:val="single" w:sz="8" w:space="0" w:color="4F81BD"/>
              <w:right w:val="single" w:sz="8" w:space="0" w:color="4F81BD"/>
            </w:tcBorders>
            <w:vAlign w:val="center"/>
          </w:tcPr>
          <w:p w:rsidR="00BD5B7F" w:rsidRPr="00865DA5" w:rsidRDefault="00BD5B7F" w:rsidP="000E5961">
            <w:pPr>
              <w:rPr>
                <w:rFonts w:ascii="Arial" w:eastAsia="Calibri" w:hAnsi="Arial" w:cs="Arial"/>
                <w:iCs/>
                <w:color w:val="000000"/>
                <w:szCs w:val="18"/>
                <w:lang w:val="fr-FR"/>
              </w:rPr>
            </w:pPr>
          </w:p>
        </w:tc>
      </w:tr>
      <w:tr w:rsidR="00BD5B7F" w:rsidRPr="00FC42B0" w:rsidTr="000E5961">
        <w:trPr>
          <w:trHeight w:val="214"/>
        </w:trPr>
        <w:tc>
          <w:tcPr>
            <w:tcW w:w="2383" w:type="pct"/>
            <w:tcBorders>
              <w:top w:val="single" w:sz="8" w:space="0" w:color="4F81BD"/>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szCs w:val="18"/>
                <w:lang w:val="fr-FR"/>
              </w:rPr>
            </w:pPr>
            <w:r w:rsidRPr="00865DA5">
              <w:rPr>
                <w:rFonts w:ascii="Arial" w:eastAsia="Calibri" w:hAnsi="Arial" w:cs="Arial"/>
                <w:b/>
                <w:bCs/>
                <w:iCs/>
                <w:color w:val="000000"/>
                <w:bdr w:val="none" w:sz="0" w:space="0" w:color="auto" w:frame="1"/>
                <w:lang w:val="fr-FR"/>
              </w:rPr>
              <w:t>15. Priorité de l’IKB dans la lutte contre la fraude</w:t>
            </w:r>
          </w:p>
        </w:tc>
        <w:tc>
          <w:tcPr>
            <w:tcW w:w="676" w:type="pct"/>
            <w:tcBorders>
              <w:top w:val="single" w:sz="8" w:space="0" w:color="4F81BD"/>
              <w:left w:val="nil"/>
              <w:bottom w:val="single" w:sz="8" w:space="0" w:color="4F81BD"/>
              <w:right w:val="nil"/>
            </w:tcBorders>
            <w:vAlign w:val="center"/>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szCs w:val="18"/>
                <w:lang w:val="fr-FR"/>
              </w:rPr>
            </w:pPr>
          </w:p>
        </w:tc>
      </w:tr>
      <w:tr w:rsidR="00BD5B7F" w:rsidRPr="00FC42B0" w:rsidTr="000E5961">
        <w:trPr>
          <w:trHeight w:val="214"/>
        </w:trPr>
        <w:tc>
          <w:tcPr>
            <w:tcW w:w="2383" w:type="pct"/>
            <w:tcBorders>
              <w:top w:val="nil"/>
              <w:left w:val="single" w:sz="8" w:space="0" w:color="4F81BD"/>
              <w:bottom w:val="nil"/>
              <w:right w:val="nil"/>
            </w:tcBorders>
            <w:vAlign w:val="center"/>
            <w:hideMark/>
          </w:tcPr>
          <w:p w:rsidR="00BD5B7F" w:rsidRPr="00865DA5" w:rsidRDefault="00BD5B7F" w:rsidP="000E5961">
            <w:pPr>
              <w:ind w:left="284" w:hanging="284"/>
              <w:rPr>
                <w:rFonts w:ascii="Arial" w:eastAsia="Calibri" w:hAnsi="Arial" w:cs="Arial"/>
                <w:b/>
                <w:bCs/>
                <w:iCs/>
                <w:color w:val="000000"/>
                <w:szCs w:val="18"/>
                <w:lang w:val="fr-FR"/>
              </w:rPr>
            </w:pPr>
            <w:r w:rsidRPr="00865DA5">
              <w:rPr>
                <w:rFonts w:ascii="Arial" w:eastAsia="Calibri" w:hAnsi="Arial" w:cs="Arial"/>
                <w:b/>
                <w:bCs/>
                <w:iCs/>
                <w:color w:val="000000"/>
                <w:bdr w:val="none" w:sz="0" w:space="0" w:color="auto" w:frame="1"/>
                <w:lang w:val="fr-FR"/>
              </w:rPr>
              <w:t>16. Parties prenantes et élaboration des politiques</w:t>
            </w:r>
          </w:p>
        </w:tc>
        <w:tc>
          <w:tcPr>
            <w:tcW w:w="676" w:type="pct"/>
            <w:tcBorders>
              <w:top w:val="nil"/>
              <w:left w:val="nil"/>
              <w:bottom w:val="nil"/>
              <w:right w:val="nil"/>
            </w:tcBorders>
            <w:vAlign w:val="center"/>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szCs w:val="18"/>
                <w:lang w:val="fr-FR"/>
              </w:rPr>
            </w:pPr>
          </w:p>
        </w:tc>
      </w:tr>
      <w:tr w:rsidR="00BD5B7F" w:rsidRPr="00FF6562" w:rsidTr="000E5961">
        <w:trPr>
          <w:trHeight w:val="214"/>
        </w:trPr>
        <w:tc>
          <w:tcPr>
            <w:tcW w:w="2383" w:type="pct"/>
            <w:tcBorders>
              <w:top w:val="single" w:sz="12" w:space="0" w:color="95B3D7"/>
              <w:left w:val="single" w:sz="8" w:space="0" w:color="4F81BD"/>
              <w:bottom w:val="single" w:sz="8" w:space="0" w:color="4F81BD"/>
              <w:right w:val="nil"/>
            </w:tcBorders>
            <w:vAlign w:val="center"/>
            <w:hideMark/>
          </w:tcPr>
          <w:p w:rsidR="00BD5B7F" w:rsidRPr="00FF6562" w:rsidRDefault="00BD5B7F" w:rsidP="000E5961">
            <w:pPr>
              <w:ind w:left="284" w:hanging="284"/>
              <w:rPr>
                <w:rFonts w:ascii="Arial" w:eastAsia="Calibri" w:hAnsi="Arial" w:cs="Arial"/>
                <w:b/>
                <w:bCs/>
                <w:iCs/>
                <w:color w:val="000000"/>
                <w:szCs w:val="18"/>
              </w:rPr>
            </w:pPr>
            <w:r w:rsidRPr="00FF6562">
              <w:rPr>
                <w:rFonts w:ascii="Arial" w:eastAsia="Calibri" w:hAnsi="Arial" w:cs="Arial"/>
                <w:b/>
                <w:bCs/>
                <w:iCs/>
                <w:color w:val="000000"/>
                <w:bdr w:val="none" w:sz="0" w:space="0" w:color="auto" w:frame="1"/>
              </w:rPr>
              <w:t>17. Personnel et recrutement</w:t>
            </w:r>
          </w:p>
        </w:tc>
        <w:tc>
          <w:tcPr>
            <w:tcW w:w="676" w:type="pct"/>
            <w:tcBorders>
              <w:top w:val="single" w:sz="8" w:space="0" w:color="4F81BD"/>
              <w:left w:val="nil"/>
              <w:bottom w:val="single" w:sz="8" w:space="0" w:color="4F81BD"/>
              <w:right w:val="nil"/>
            </w:tcBorders>
            <w:vAlign w:val="center"/>
          </w:tcPr>
          <w:p w:rsidR="00BD5B7F" w:rsidRPr="00FF6562" w:rsidRDefault="00BD5B7F" w:rsidP="000E5961">
            <w:pPr>
              <w:rPr>
                <w:rFonts w:ascii="Arial" w:eastAsia="Calibri" w:hAnsi="Arial" w:cs="Arial"/>
                <w:iCs/>
                <w:color w:val="000000"/>
                <w:szCs w:val="18"/>
              </w:rPr>
            </w:pPr>
          </w:p>
        </w:tc>
        <w:tc>
          <w:tcPr>
            <w:tcW w:w="0" w:type="auto"/>
            <w:vMerge/>
            <w:tcBorders>
              <w:top w:val="single" w:sz="12" w:space="0" w:color="95B3D7"/>
              <w:left w:val="nil"/>
              <w:bottom w:val="single" w:sz="8" w:space="0" w:color="4F81BD"/>
              <w:right w:val="nil"/>
            </w:tcBorders>
            <w:vAlign w:val="center"/>
            <w:hideMark/>
          </w:tcPr>
          <w:p w:rsidR="00BD5B7F" w:rsidRPr="00FF6562" w:rsidRDefault="00BD5B7F" w:rsidP="000E5961">
            <w:pPr>
              <w:rPr>
                <w:rFonts w:ascii="Arial" w:eastAsia="Calibri" w:hAnsi="Arial" w:cs="Arial"/>
                <w:iCs/>
                <w:color w:val="000000"/>
                <w:szCs w:val="18"/>
              </w:rPr>
            </w:pPr>
          </w:p>
        </w:tc>
        <w:tc>
          <w:tcPr>
            <w:tcW w:w="0" w:type="auto"/>
            <w:vMerge/>
            <w:tcBorders>
              <w:top w:val="single" w:sz="12" w:space="0" w:color="95B3D7"/>
              <w:left w:val="nil"/>
              <w:bottom w:val="single" w:sz="8" w:space="0" w:color="4F81BD"/>
              <w:right w:val="single" w:sz="8" w:space="0" w:color="4F81BD"/>
            </w:tcBorders>
            <w:vAlign w:val="center"/>
            <w:hideMark/>
          </w:tcPr>
          <w:p w:rsidR="00BD5B7F" w:rsidRPr="00FF6562" w:rsidRDefault="00BD5B7F" w:rsidP="000E5961">
            <w:pPr>
              <w:rPr>
                <w:rFonts w:ascii="Arial" w:eastAsia="Calibri" w:hAnsi="Arial" w:cs="Arial"/>
                <w:iCs/>
                <w:color w:val="000000"/>
                <w:szCs w:val="18"/>
              </w:rPr>
            </w:pPr>
          </w:p>
        </w:tc>
      </w:tr>
      <w:tr w:rsidR="00BD5B7F" w:rsidRPr="00FF6562" w:rsidTr="000E5961">
        <w:trPr>
          <w:trHeight w:val="214"/>
        </w:trPr>
        <w:tc>
          <w:tcPr>
            <w:tcW w:w="2383" w:type="pct"/>
            <w:tcBorders>
              <w:top w:val="nil"/>
              <w:left w:val="single" w:sz="8" w:space="0" w:color="4F81BD"/>
              <w:bottom w:val="nil"/>
              <w:right w:val="nil"/>
            </w:tcBorders>
            <w:vAlign w:val="center"/>
            <w:hideMark/>
          </w:tcPr>
          <w:p w:rsidR="00BD5B7F" w:rsidRPr="00FF6562" w:rsidRDefault="00BD5B7F" w:rsidP="000E5961">
            <w:pPr>
              <w:ind w:left="284" w:hanging="284"/>
              <w:rPr>
                <w:rFonts w:ascii="Arial" w:eastAsia="Calibri" w:hAnsi="Arial" w:cs="Arial"/>
                <w:b/>
                <w:bCs/>
                <w:iCs/>
                <w:color w:val="000000"/>
                <w:szCs w:val="18"/>
              </w:rPr>
            </w:pPr>
            <w:r w:rsidRPr="00FF6562">
              <w:rPr>
                <w:rFonts w:ascii="Arial" w:eastAsia="Calibri" w:hAnsi="Arial" w:cs="Arial"/>
                <w:b/>
                <w:bCs/>
                <w:iCs/>
                <w:color w:val="000000"/>
                <w:bdr w:val="none" w:sz="0" w:space="0" w:color="auto" w:frame="1"/>
              </w:rPr>
              <w:t>18. Formation spécifique</w:t>
            </w:r>
            <w:r w:rsidRPr="00FF6562">
              <w:rPr>
                <w:rFonts w:ascii="Arial" w:eastAsia="Calibri" w:hAnsi="Arial" w:cs="Arial"/>
                <w:iCs/>
                <w:bdr w:val="none" w:sz="0" w:space="0" w:color="auto" w:frame="1"/>
              </w:rPr>
              <w:t xml:space="preserve"> </w:t>
            </w:r>
          </w:p>
        </w:tc>
        <w:tc>
          <w:tcPr>
            <w:tcW w:w="676" w:type="pct"/>
            <w:tcBorders>
              <w:top w:val="nil"/>
              <w:left w:val="nil"/>
              <w:bottom w:val="nil"/>
              <w:right w:val="nil"/>
            </w:tcBorders>
            <w:vAlign w:val="center"/>
          </w:tcPr>
          <w:p w:rsidR="00BD5B7F" w:rsidRPr="00FF6562" w:rsidRDefault="00BD5B7F" w:rsidP="000E5961">
            <w:pPr>
              <w:rPr>
                <w:rFonts w:ascii="Arial" w:eastAsia="Calibri" w:hAnsi="Arial" w:cs="Arial"/>
                <w:iCs/>
                <w:color w:val="000000"/>
                <w:szCs w:val="18"/>
              </w:rPr>
            </w:pPr>
          </w:p>
        </w:tc>
        <w:tc>
          <w:tcPr>
            <w:tcW w:w="0" w:type="auto"/>
            <w:vMerge/>
            <w:tcBorders>
              <w:top w:val="single" w:sz="12" w:space="0" w:color="95B3D7"/>
              <w:left w:val="nil"/>
              <w:bottom w:val="single" w:sz="8" w:space="0" w:color="4F81BD"/>
              <w:right w:val="nil"/>
            </w:tcBorders>
            <w:vAlign w:val="center"/>
            <w:hideMark/>
          </w:tcPr>
          <w:p w:rsidR="00BD5B7F" w:rsidRPr="00FF6562" w:rsidRDefault="00BD5B7F" w:rsidP="000E5961">
            <w:pPr>
              <w:rPr>
                <w:rFonts w:ascii="Arial" w:eastAsia="Calibri" w:hAnsi="Arial" w:cs="Arial"/>
                <w:iCs/>
                <w:color w:val="000000"/>
                <w:szCs w:val="18"/>
              </w:rPr>
            </w:pPr>
          </w:p>
        </w:tc>
        <w:tc>
          <w:tcPr>
            <w:tcW w:w="0" w:type="auto"/>
            <w:vMerge/>
            <w:tcBorders>
              <w:top w:val="single" w:sz="12" w:space="0" w:color="95B3D7"/>
              <w:left w:val="nil"/>
              <w:bottom w:val="single" w:sz="8" w:space="0" w:color="4F81BD"/>
              <w:right w:val="single" w:sz="8" w:space="0" w:color="4F81BD"/>
            </w:tcBorders>
            <w:vAlign w:val="center"/>
            <w:hideMark/>
          </w:tcPr>
          <w:p w:rsidR="00BD5B7F" w:rsidRPr="00FF6562" w:rsidRDefault="00BD5B7F" w:rsidP="000E5961">
            <w:pPr>
              <w:rPr>
                <w:rFonts w:ascii="Arial" w:eastAsia="Calibri" w:hAnsi="Arial" w:cs="Arial"/>
                <w:iCs/>
                <w:color w:val="000000"/>
                <w:szCs w:val="18"/>
              </w:rPr>
            </w:pPr>
          </w:p>
        </w:tc>
      </w:tr>
      <w:tr w:rsidR="00BD5B7F" w:rsidRPr="00FF6562" w:rsidTr="000E5961">
        <w:trPr>
          <w:trHeight w:val="214"/>
        </w:trPr>
        <w:tc>
          <w:tcPr>
            <w:tcW w:w="2383" w:type="pct"/>
            <w:tcBorders>
              <w:top w:val="single" w:sz="8" w:space="0" w:color="4F81BD"/>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szCs w:val="18"/>
                <w:lang w:val="fr-FR"/>
              </w:rPr>
            </w:pPr>
            <w:r w:rsidRPr="00865DA5">
              <w:rPr>
                <w:rFonts w:ascii="Arial" w:eastAsia="Calibri" w:hAnsi="Arial" w:cs="Arial"/>
                <w:b/>
                <w:bCs/>
                <w:iCs/>
                <w:color w:val="000000"/>
                <w:bdr w:val="none" w:sz="0" w:space="0" w:color="auto" w:frame="1"/>
                <w:lang w:val="fr-FR"/>
              </w:rPr>
              <w:t>19. Effort de lutte contre l’IKB sur le terrain</w:t>
            </w:r>
          </w:p>
        </w:tc>
        <w:tc>
          <w:tcPr>
            <w:tcW w:w="676" w:type="pct"/>
            <w:tcBorders>
              <w:top w:val="single" w:sz="8" w:space="0" w:color="4F81BD"/>
              <w:left w:val="nil"/>
              <w:bottom w:val="single" w:sz="8" w:space="0" w:color="4F81BD"/>
              <w:right w:val="nil"/>
            </w:tcBorders>
            <w:vAlign w:val="center"/>
            <w:hideMark/>
          </w:tcPr>
          <w:p w:rsidR="00BD5B7F" w:rsidRPr="00FF6562" w:rsidRDefault="00BD5B7F" w:rsidP="000E5961">
            <w:pPr>
              <w:rPr>
                <w:rFonts w:ascii="Arial" w:eastAsia="Calibri" w:hAnsi="Arial" w:cs="Arial"/>
                <w:iCs/>
                <w:color w:val="000000"/>
                <w:szCs w:val="18"/>
              </w:rPr>
            </w:pPr>
            <w:r w:rsidRPr="00FF6562">
              <w:rPr>
                <w:rFonts w:ascii="Arial" w:eastAsia="Calibri" w:hAnsi="Arial" w:cs="Arial"/>
                <w:iCs/>
                <w:color w:val="000000"/>
                <w:bdr w:val="none" w:sz="0" w:space="0" w:color="auto" w:frame="1"/>
              </w:rPr>
              <w:t>données</w:t>
            </w:r>
          </w:p>
        </w:tc>
        <w:tc>
          <w:tcPr>
            <w:tcW w:w="0" w:type="auto"/>
            <w:vMerge/>
            <w:tcBorders>
              <w:top w:val="single" w:sz="12" w:space="0" w:color="95B3D7"/>
              <w:left w:val="nil"/>
              <w:bottom w:val="single" w:sz="8" w:space="0" w:color="4F81BD"/>
              <w:right w:val="nil"/>
            </w:tcBorders>
            <w:vAlign w:val="center"/>
            <w:hideMark/>
          </w:tcPr>
          <w:p w:rsidR="00BD5B7F" w:rsidRPr="00FF6562" w:rsidRDefault="00BD5B7F" w:rsidP="000E5961">
            <w:pPr>
              <w:rPr>
                <w:rFonts w:ascii="Arial" w:eastAsia="Calibri" w:hAnsi="Arial" w:cs="Arial"/>
                <w:iCs/>
                <w:color w:val="000000"/>
                <w:szCs w:val="18"/>
              </w:rPr>
            </w:pPr>
          </w:p>
        </w:tc>
        <w:tc>
          <w:tcPr>
            <w:tcW w:w="0" w:type="auto"/>
            <w:vMerge/>
            <w:tcBorders>
              <w:top w:val="single" w:sz="12" w:space="0" w:color="95B3D7"/>
              <w:left w:val="nil"/>
              <w:bottom w:val="single" w:sz="8" w:space="0" w:color="4F81BD"/>
              <w:right w:val="single" w:sz="8" w:space="0" w:color="4F81BD"/>
            </w:tcBorders>
            <w:vAlign w:val="center"/>
            <w:hideMark/>
          </w:tcPr>
          <w:p w:rsidR="00BD5B7F" w:rsidRPr="00FF6562" w:rsidRDefault="00BD5B7F" w:rsidP="000E5961">
            <w:pPr>
              <w:rPr>
                <w:rFonts w:ascii="Arial" w:eastAsia="Calibri" w:hAnsi="Arial" w:cs="Arial"/>
                <w:iCs/>
                <w:color w:val="000000"/>
                <w:szCs w:val="18"/>
              </w:rPr>
            </w:pPr>
          </w:p>
        </w:tc>
      </w:tr>
      <w:tr w:rsidR="00BD5B7F" w:rsidRPr="00FC42B0" w:rsidTr="000E5961">
        <w:trPr>
          <w:trHeight w:val="214"/>
        </w:trPr>
        <w:tc>
          <w:tcPr>
            <w:tcW w:w="2383" w:type="pct"/>
            <w:tcBorders>
              <w:top w:val="single" w:sz="12" w:space="0" w:color="95B3D7"/>
              <w:left w:val="single" w:sz="8" w:space="0" w:color="4F81BD"/>
              <w:bottom w:val="nil"/>
              <w:right w:val="nil"/>
            </w:tcBorders>
            <w:vAlign w:val="center"/>
            <w:hideMark/>
          </w:tcPr>
          <w:p w:rsidR="00BD5B7F" w:rsidRPr="00FF6562" w:rsidRDefault="00BD5B7F" w:rsidP="000E5961">
            <w:pPr>
              <w:ind w:left="284" w:hanging="284"/>
              <w:rPr>
                <w:rFonts w:ascii="Arial" w:eastAsia="Calibri" w:hAnsi="Arial" w:cs="Arial"/>
                <w:b/>
                <w:bCs/>
                <w:iCs/>
                <w:color w:val="000000"/>
                <w:szCs w:val="18"/>
              </w:rPr>
            </w:pPr>
            <w:r w:rsidRPr="00FF6562">
              <w:rPr>
                <w:rFonts w:ascii="Arial" w:eastAsia="Calibri" w:hAnsi="Arial" w:cs="Arial"/>
                <w:b/>
                <w:bCs/>
                <w:iCs/>
                <w:color w:val="000000"/>
                <w:bdr w:val="none" w:sz="0" w:space="0" w:color="auto" w:frame="1"/>
              </w:rPr>
              <w:t>20. Qualité des procédures judiciaires</w:t>
            </w:r>
          </w:p>
        </w:tc>
        <w:tc>
          <w:tcPr>
            <w:tcW w:w="676" w:type="pct"/>
            <w:tcBorders>
              <w:top w:val="single" w:sz="12" w:space="0" w:color="95B3D7"/>
              <w:left w:val="nil"/>
              <w:bottom w:val="nil"/>
              <w:right w:val="nil"/>
            </w:tcBorders>
            <w:vAlign w:val="center"/>
          </w:tcPr>
          <w:p w:rsidR="00BD5B7F" w:rsidRPr="00FF6562" w:rsidRDefault="00BD5B7F" w:rsidP="000E5961">
            <w:pPr>
              <w:rPr>
                <w:rFonts w:ascii="Arial" w:eastAsia="Calibri" w:hAnsi="Arial" w:cs="Arial"/>
                <w:iCs/>
                <w:color w:val="000000"/>
                <w:szCs w:val="18"/>
              </w:rPr>
            </w:pPr>
          </w:p>
        </w:tc>
        <w:tc>
          <w:tcPr>
            <w:tcW w:w="1277" w:type="pct"/>
            <w:vMerge w:val="restart"/>
            <w:tcBorders>
              <w:top w:val="single" w:sz="12" w:space="0" w:color="95B3D7"/>
              <w:left w:val="nil"/>
              <w:bottom w:val="single" w:sz="8" w:space="0" w:color="4F81BD"/>
              <w:right w:val="nil"/>
            </w:tcBorders>
            <w:vAlign w:val="center"/>
            <w:hideMark/>
          </w:tcPr>
          <w:p w:rsidR="00BD5B7F" w:rsidRPr="00865DA5" w:rsidRDefault="00BD5B7F" w:rsidP="000E5961">
            <w:pPr>
              <w:ind w:left="175" w:hanging="175"/>
              <w:rPr>
                <w:rFonts w:ascii="Arial" w:eastAsia="Calibri" w:hAnsi="Arial" w:cs="Arial"/>
                <w:iCs/>
                <w:color w:val="000000"/>
                <w:szCs w:val="18"/>
                <w:lang w:val="fr-FR"/>
              </w:rPr>
            </w:pPr>
            <w:r w:rsidRPr="00865DA5">
              <w:rPr>
                <w:rFonts w:ascii="Arial" w:eastAsia="Calibri" w:hAnsi="Arial" w:cs="Arial"/>
                <w:iCs/>
                <w:color w:val="000000"/>
                <w:bdr w:val="none" w:sz="0" w:space="0" w:color="auto" w:frame="1"/>
                <w:lang w:val="fr-FR"/>
              </w:rPr>
              <w:t>D. Poursuites et condamnations (Efficacité des procédures judiciaires)</w:t>
            </w:r>
          </w:p>
        </w:tc>
        <w:tc>
          <w:tcPr>
            <w:tcW w:w="664" w:type="pct"/>
            <w:vMerge w:val="restart"/>
            <w:tcBorders>
              <w:top w:val="single" w:sz="12" w:space="0" w:color="95B3D7"/>
              <w:left w:val="nil"/>
              <w:bottom w:val="single" w:sz="8" w:space="0" w:color="4F81BD"/>
              <w:right w:val="single" w:sz="8" w:space="0" w:color="4F81BD"/>
            </w:tcBorders>
            <w:vAlign w:val="center"/>
          </w:tcPr>
          <w:p w:rsidR="00BD5B7F" w:rsidRPr="00865DA5" w:rsidRDefault="00BD5B7F" w:rsidP="000E5961">
            <w:pPr>
              <w:rPr>
                <w:rFonts w:ascii="Arial" w:eastAsia="Calibri" w:hAnsi="Arial" w:cs="Arial"/>
                <w:iCs/>
                <w:color w:val="000000"/>
                <w:szCs w:val="18"/>
                <w:lang w:val="fr-FR"/>
              </w:rPr>
            </w:pPr>
          </w:p>
        </w:tc>
      </w:tr>
      <w:tr w:rsidR="00BD5B7F" w:rsidRPr="00FC42B0" w:rsidTr="000E5961">
        <w:trPr>
          <w:trHeight w:val="214"/>
        </w:trPr>
        <w:tc>
          <w:tcPr>
            <w:tcW w:w="2383" w:type="pct"/>
            <w:tcBorders>
              <w:top w:val="single" w:sz="8" w:space="0" w:color="4F81BD"/>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szCs w:val="18"/>
                <w:lang w:val="fr-FR"/>
              </w:rPr>
            </w:pPr>
            <w:r w:rsidRPr="00865DA5">
              <w:rPr>
                <w:rFonts w:ascii="Arial" w:eastAsia="Calibri" w:hAnsi="Arial" w:cs="Arial"/>
                <w:b/>
                <w:bCs/>
                <w:iCs/>
                <w:color w:val="000000"/>
                <w:bdr w:val="none" w:sz="0" w:space="0" w:color="auto" w:frame="1"/>
                <w:lang w:val="fr-FR"/>
              </w:rPr>
              <w:t>21. Lignes directrices sur les condamnations</w:t>
            </w:r>
          </w:p>
        </w:tc>
        <w:tc>
          <w:tcPr>
            <w:tcW w:w="676" w:type="pct"/>
            <w:tcBorders>
              <w:top w:val="single" w:sz="8" w:space="0" w:color="4F81BD"/>
              <w:left w:val="nil"/>
              <w:bottom w:val="single" w:sz="8" w:space="0" w:color="4F81BD"/>
              <w:right w:val="nil"/>
            </w:tcBorders>
            <w:vAlign w:val="center"/>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szCs w:val="18"/>
                <w:lang w:val="fr-FR"/>
              </w:rPr>
            </w:pPr>
          </w:p>
        </w:tc>
      </w:tr>
      <w:tr w:rsidR="00BD5B7F" w:rsidRPr="00FC42B0" w:rsidTr="000E5961">
        <w:trPr>
          <w:trHeight w:val="214"/>
        </w:trPr>
        <w:tc>
          <w:tcPr>
            <w:tcW w:w="2383" w:type="pct"/>
            <w:tcBorders>
              <w:top w:val="nil"/>
              <w:left w:val="single" w:sz="8" w:space="0" w:color="4F81BD"/>
              <w:bottom w:val="nil"/>
              <w:right w:val="nil"/>
            </w:tcBorders>
            <w:vAlign w:val="center"/>
            <w:hideMark/>
          </w:tcPr>
          <w:p w:rsidR="00BD5B7F" w:rsidRPr="00865DA5" w:rsidRDefault="00BD5B7F" w:rsidP="000E5961">
            <w:pPr>
              <w:ind w:left="284" w:hanging="284"/>
              <w:rPr>
                <w:rFonts w:ascii="Arial" w:eastAsia="Calibri" w:hAnsi="Arial" w:cs="Arial"/>
                <w:b/>
                <w:bCs/>
                <w:iCs/>
                <w:color w:val="000000"/>
                <w:szCs w:val="18"/>
                <w:lang w:val="fr-FR"/>
              </w:rPr>
            </w:pPr>
            <w:r w:rsidRPr="00865DA5">
              <w:rPr>
                <w:rFonts w:ascii="Arial" w:eastAsia="Calibri" w:hAnsi="Arial" w:cs="Arial"/>
                <w:b/>
                <w:bCs/>
                <w:iCs/>
                <w:color w:val="000000"/>
                <w:bdr w:val="none" w:sz="0" w:space="0" w:color="auto" w:frame="1"/>
                <w:lang w:val="fr-FR"/>
              </w:rPr>
              <w:t>22. Prise de conscience au sein du système judiciaire</w:t>
            </w:r>
          </w:p>
        </w:tc>
        <w:tc>
          <w:tcPr>
            <w:tcW w:w="676" w:type="pct"/>
            <w:tcBorders>
              <w:top w:val="nil"/>
              <w:left w:val="nil"/>
              <w:bottom w:val="nil"/>
              <w:right w:val="nil"/>
            </w:tcBorders>
            <w:vAlign w:val="center"/>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szCs w:val="18"/>
                <w:lang w:val="fr-FR"/>
              </w:rPr>
            </w:pPr>
          </w:p>
        </w:tc>
      </w:tr>
      <w:tr w:rsidR="00BD5B7F" w:rsidRPr="00FC42B0" w:rsidTr="000E5961">
        <w:trPr>
          <w:trHeight w:val="214"/>
        </w:trPr>
        <w:tc>
          <w:tcPr>
            <w:tcW w:w="2383" w:type="pct"/>
            <w:tcBorders>
              <w:top w:val="single" w:sz="8" w:space="0" w:color="4F81BD"/>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szCs w:val="18"/>
                <w:lang w:val="fr-FR"/>
              </w:rPr>
            </w:pPr>
            <w:r w:rsidRPr="00865DA5">
              <w:rPr>
                <w:rFonts w:ascii="Arial" w:eastAsia="Calibri" w:hAnsi="Arial" w:cs="Arial"/>
                <w:b/>
                <w:bCs/>
                <w:iCs/>
                <w:color w:val="000000"/>
                <w:bdr w:val="none" w:sz="0" w:space="0" w:color="auto" w:frame="1"/>
                <w:lang w:val="fr-FR"/>
              </w:rPr>
              <w:lastRenderedPageBreak/>
              <w:t>23. Formation au sein du système judiciaire</w:t>
            </w:r>
          </w:p>
        </w:tc>
        <w:tc>
          <w:tcPr>
            <w:tcW w:w="676" w:type="pct"/>
            <w:tcBorders>
              <w:top w:val="single" w:sz="8" w:space="0" w:color="4F81BD"/>
              <w:left w:val="nil"/>
              <w:bottom w:val="single" w:sz="8" w:space="0" w:color="4F81BD"/>
              <w:right w:val="nil"/>
            </w:tcBorders>
            <w:vAlign w:val="center"/>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nil"/>
            </w:tcBorders>
            <w:vAlign w:val="center"/>
            <w:hideMark/>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single" w:sz="8" w:space="0" w:color="4F81BD"/>
              <w:right w:val="single" w:sz="8" w:space="0" w:color="4F81BD"/>
            </w:tcBorders>
            <w:vAlign w:val="center"/>
            <w:hideMark/>
          </w:tcPr>
          <w:p w:rsidR="00BD5B7F" w:rsidRPr="00865DA5" w:rsidRDefault="00BD5B7F" w:rsidP="000E5961">
            <w:pPr>
              <w:rPr>
                <w:rFonts w:ascii="Arial" w:eastAsia="Calibri" w:hAnsi="Arial" w:cs="Arial"/>
                <w:iCs/>
                <w:color w:val="000000"/>
                <w:szCs w:val="18"/>
                <w:lang w:val="fr-FR"/>
              </w:rPr>
            </w:pPr>
          </w:p>
        </w:tc>
      </w:tr>
      <w:tr w:rsidR="00BD5B7F" w:rsidRPr="00FC42B0" w:rsidTr="000E5961">
        <w:trPr>
          <w:trHeight w:val="214"/>
        </w:trPr>
        <w:tc>
          <w:tcPr>
            <w:tcW w:w="2383" w:type="pct"/>
            <w:tcBorders>
              <w:top w:val="single" w:sz="12" w:space="0" w:color="95B3D7"/>
              <w:left w:val="single" w:sz="8" w:space="0" w:color="4F81BD"/>
              <w:bottom w:val="nil"/>
              <w:right w:val="nil"/>
            </w:tcBorders>
            <w:vAlign w:val="center"/>
            <w:hideMark/>
          </w:tcPr>
          <w:p w:rsidR="00BD5B7F" w:rsidRPr="00FF6562" w:rsidRDefault="00BD5B7F" w:rsidP="000E5961">
            <w:pPr>
              <w:ind w:left="284" w:hanging="284"/>
              <w:rPr>
                <w:rFonts w:ascii="Arial" w:eastAsia="Calibri" w:hAnsi="Arial" w:cs="Arial"/>
                <w:b/>
                <w:bCs/>
                <w:iCs/>
                <w:color w:val="000000"/>
                <w:szCs w:val="18"/>
              </w:rPr>
            </w:pPr>
            <w:r w:rsidRPr="00FF6562">
              <w:rPr>
                <w:rFonts w:ascii="Arial" w:eastAsia="Calibri" w:hAnsi="Arial" w:cs="Arial"/>
                <w:b/>
                <w:bCs/>
                <w:iCs/>
                <w:color w:val="000000"/>
                <w:bdr w:val="none" w:sz="0" w:space="0" w:color="auto" w:frame="1"/>
              </w:rPr>
              <w:t>24. Coopération internationale</w:t>
            </w:r>
          </w:p>
        </w:tc>
        <w:tc>
          <w:tcPr>
            <w:tcW w:w="676" w:type="pct"/>
            <w:tcBorders>
              <w:top w:val="single" w:sz="12" w:space="0" w:color="95B3D7"/>
              <w:left w:val="nil"/>
              <w:bottom w:val="nil"/>
              <w:right w:val="nil"/>
            </w:tcBorders>
            <w:vAlign w:val="center"/>
          </w:tcPr>
          <w:p w:rsidR="00BD5B7F" w:rsidRPr="00FF6562" w:rsidRDefault="00BD5B7F" w:rsidP="000E5961">
            <w:pPr>
              <w:rPr>
                <w:rFonts w:ascii="Arial" w:eastAsia="Calibri" w:hAnsi="Arial" w:cs="Arial"/>
                <w:iCs/>
                <w:color w:val="000000"/>
                <w:szCs w:val="18"/>
              </w:rPr>
            </w:pPr>
          </w:p>
        </w:tc>
        <w:tc>
          <w:tcPr>
            <w:tcW w:w="1277" w:type="pct"/>
            <w:vMerge w:val="restart"/>
            <w:tcBorders>
              <w:top w:val="single" w:sz="12" w:space="0" w:color="95B3D7"/>
              <w:left w:val="nil"/>
              <w:bottom w:val="nil"/>
              <w:right w:val="nil"/>
            </w:tcBorders>
            <w:vAlign w:val="center"/>
            <w:hideMark/>
          </w:tcPr>
          <w:p w:rsidR="00BD5B7F" w:rsidRPr="00865DA5" w:rsidRDefault="00BD5B7F" w:rsidP="000E5961">
            <w:pPr>
              <w:ind w:left="175" w:hanging="175"/>
              <w:rPr>
                <w:rFonts w:ascii="Arial" w:eastAsia="Calibri" w:hAnsi="Arial" w:cs="Arial"/>
                <w:iCs/>
                <w:color w:val="000000"/>
                <w:szCs w:val="18"/>
                <w:lang w:val="fr-FR"/>
              </w:rPr>
            </w:pPr>
            <w:r w:rsidRPr="00865DA5">
              <w:rPr>
                <w:rFonts w:ascii="Arial" w:eastAsia="Calibri" w:hAnsi="Arial" w:cs="Arial"/>
                <w:iCs/>
                <w:color w:val="000000"/>
                <w:bdr w:val="none" w:sz="0" w:space="0" w:color="auto" w:frame="1"/>
                <w:lang w:val="fr-FR"/>
              </w:rPr>
              <w:t>E. Prévention (Autres instruments utilisés pour lutter contre à l’IKB)</w:t>
            </w:r>
          </w:p>
        </w:tc>
        <w:tc>
          <w:tcPr>
            <w:tcW w:w="664" w:type="pct"/>
            <w:vMerge w:val="restart"/>
            <w:tcBorders>
              <w:top w:val="single" w:sz="12" w:space="0" w:color="95B3D7"/>
              <w:left w:val="nil"/>
              <w:bottom w:val="nil"/>
              <w:right w:val="single" w:sz="8" w:space="0" w:color="4F81BD"/>
            </w:tcBorders>
            <w:vAlign w:val="center"/>
          </w:tcPr>
          <w:p w:rsidR="00BD5B7F" w:rsidRPr="00865DA5" w:rsidRDefault="00BD5B7F" w:rsidP="000E5961">
            <w:pPr>
              <w:rPr>
                <w:rFonts w:ascii="Arial" w:eastAsia="Calibri" w:hAnsi="Arial" w:cs="Arial"/>
                <w:iCs/>
                <w:color w:val="000000"/>
                <w:szCs w:val="18"/>
                <w:lang w:val="fr-FR"/>
              </w:rPr>
            </w:pPr>
          </w:p>
        </w:tc>
      </w:tr>
      <w:tr w:rsidR="00BD5B7F" w:rsidRPr="00FC42B0" w:rsidTr="000E5961">
        <w:trPr>
          <w:trHeight w:val="214"/>
        </w:trPr>
        <w:tc>
          <w:tcPr>
            <w:tcW w:w="2383" w:type="pct"/>
            <w:tcBorders>
              <w:top w:val="single" w:sz="12" w:space="0" w:color="95B3D7"/>
              <w:left w:val="single" w:sz="8" w:space="0" w:color="4F81BD"/>
              <w:bottom w:val="single" w:sz="8" w:space="0" w:color="4F81BD"/>
              <w:right w:val="nil"/>
            </w:tcBorders>
            <w:vAlign w:val="center"/>
            <w:hideMark/>
          </w:tcPr>
          <w:p w:rsidR="00BD5B7F" w:rsidRPr="00865DA5" w:rsidRDefault="00BD5B7F" w:rsidP="000E5961">
            <w:pPr>
              <w:ind w:left="284" w:hanging="284"/>
              <w:rPr>
                <w:rFonts w:ascii="Arial" w:eastAsia="Calibri" w:hAnsi="Arial" w:cs="Arial"/>
                <w:b/>
                <w:bCs/>
                <w:iCs/>
                <w:color w:val="000000"/>
                <w:szCs w:val="18"/>
                <w:lang w:val="fr-FR"/>
              </w:rPr>
            </w:pPr>
            <w:r w:rsidRPr="00865DA5">
              <w:rPr>
                <w:rFonts w:ascii="Arial" w:eastAsia="Calibri" w:hAnsi="Arial" w:cs="Arial"/>
                <w:b/>
                <w:bCs/>
                <w:iCs/>
                <w:color w:val="000000"/>
                <w:bdr w:val="none" w:sz="0" w:space="0" w:color="auto" w:frame="1"/>
                <w:lang w:val="fr-FR"/>
              </w:rPr>
              <w:t>25. Moteurs de la criminalité liée aux espèces sauvages</w:t>
            </w:r>
          </w:p>
        </w:tc>
        <w:tc>
          <w:tcPr>
            <w:tcW w:w="676" w:type="pct"/>
            <w:tcBorders>
              <w:top w:val="single" w:sz="8" w:space="0" w:color="4F81BD"/>
              <w:left w:val="nil"/>
              <w:bottom w:val="single" w:sz="8" w:space="0" w:color="4F81BD"/>
              <w:right w:val="nil"/>
            </w:tcBorders>
            <w:vAlign w:val="center"/>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nil"/>
              <w:right w:val="nil"/>
            </w:tcBorders>
            <w:vAlign w:val="center"/>
            <w:hideMark/>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nil"/>
              <w:right w:val="single" w:sz="8" w:space="0" w:color="4F81BD"/>
            </w:tcBorders>
            <w:vAlign w:val="center"/>
            <w:hideMark/>
          </w:tcPr>
          <w:p w:rsidR="00BD5B7F" w:rsidRPr="00865DA5" w:rsidRDefault="00BD5B7F" w:rsidP="000E5961">
            <w:pPr>
              <w:rPr>
                <w:rFonts w:ascii="Arial" w:eastAsia="Calibri" w:hAnsi="Arial" w:cs="Arial"/>
                <w:iCs/>
                <w:color w:val="000000"/>
                <w:szCs w:val="18"/>
                <w:lang w:val="fr-FR"/>
              </w:rPr>
            </w:pPr>
          </w:p>
        </w:tc>
      </w:tr>
      <w:tr w:rsidR="00BD5B7F" w:rsidRPr="00FC42B0" w:rsidTr="000E5961">
        <w:trPr>
          <w:trHeight w:val="214"/>
        </w:trPr>
        <w:tc>
          <w:tcPr>
            <w:tcW w:w="2383" w:type="pct"/>
            <w:tcBorders>
              <w:top w:val="nil"/>
              <w:left w:val="single" w:sz="8" w:space="0" w:color="4F81BD"/>
              <w:bottom w:val="nil"/>
              <w:right w:val="nil"/>
            </w:tcBorders>
            <w:vAlign w:val="center"/>
            <w:hideMark/>
          </w:tcPr>
          <w:p w:rsidR="00BD5B7F" w:rsidRPr="00865DA5" w:rsidRDefault="00BD5B7F" w:rsidP="000E5961">
            <w:pPr>
              <w:ind w:left="284" w:hanging="284"/>
              <w:rPr>
                <w:rFonts w:ascii="Arial" w:eastAsia="Calibri" w:hAnsi="Arial" w:cs="Arial"/>
                <w:b/>
                <w:bCs/>
                <w:iCs/>
                <w:color w:val="000000"/>
                <w:szCs w:val="18"/>
                <w:lang w:val="fr-FR"/>
              </w:rPr>
            </w:pPr>
            <w:r w:rsidRPr="00865DA5">
              <w:rPr>
                <w:rFonts w:ascii="Arial" w:eastAsia="Calibri" w:hAnsi="Arial" w:cs="Arial"/>
                <w:b/>
                <w:bCs/>
                <w:iCs/>
                <w:color w:val="000000"/>
                <w:bdr w:val="none" w:sz="0" w:space="0" w:color="auto" w:frame="1"/>
                <w:lang w:val="fr-FR"/>
              </w:rPr>
              <w:t>26. Activités relatives à la demande</w:t>
            </w:r>
          </w:p>
        </w:tc>
        <w:tc>
          <w:tcPr>
            <w:tcW w:w="676" w:type="pct"/>
            <w:tcBorders>
              <w:top w:val="nil"/>
              <w:left w:val="nil"/>
              <w:bottom w:val="nil"/>
              <w:right w:val="nil"/>
            </w:tcBorders>
            <w:vAlign w:val="center"/>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nil"/>
              <w:right w:val="nil"/>
            </w:tcBorders>
            <w:vAlign w:val="center"/>
            <w:hideMark/>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nil"/>
              <w:right w:val="single" w:sz="8" w:space="0" w:color="4F81BD"/>
            </w:tcBorders>
            <w:vAlign w:val="center"/>
            <w:hideMark/>
          </w:tcPr>
          <w:p w:rsidR="00BD5B7F" w:rsidRPr="00865DA5" w:rsidRDefault="00BD5B7F" w:rsidP="000E5961">
            <w:pPr>
              <w:rPr>
                <w:rFonts w:ascii="Arial" w:eastAsia="Calibri" w:hAnsi="Arial" w:cs="Arial"/>
                <w:iCs/>
                <w:color w:val="000000"/>
                <w:szCs w:val="18"/>
                <w:lang w:val="fr-FR"/>
              </w:rPr>
            </w:pPr>
          </w:p>
        </w:tc>
      </w:tr>
      <w:tr w:rsidR="00BD5B7F" w:rsidRPr="00FF6562" w:rsidTr="000E5961">
        <w:trPr>
          <w:trHeight w:val="214"/>
        </w:trPr>
        <w:tc>
          <w:tcPr>
            <w:tcW w:w="2383" w:type="pct"/>
            <w:tcBorders>
              <w:top w:val="single" w:sz="8" w:space="0" w:color="4F81BD"/>
              <w:left w:val="single" w:sz="8" w:space="0" w:color="4F81BD"/>
              <w:bottom w:val="single" w:sz="8" w:space="0" w:color="4F81BD"/>
              <w:right w:val="nil"/>
            </w:tcBorders>
            <w:vAlign w:val="center"/>
            <w:hideMark/>
          </w:tcPr>
          <w:p w:rsidR="00BD5B7F" w:rsidRPr="00FF6562" w:rsidRDefault="00BD5B7F" w:rsidP="000E5961">
            <w:pPr>
              <w:ind w:left="284" w:hanging="284"/>
              <w:rPr>
                <w:rFonts w:ascii="Arial" w:eastAsia="Calibri" w:hAnsi="Arial" w:cs="Arial"/>
                <w:b/>
                <w:bCs/>
                <w:iCs/>
                <w:color w:val="000000"/>
                <w:szCs w:val="18"/>
              </w:rPr>
            </w:pPr>
            <w:r w:rsidRPr="00FF6562">
              <w:rPr>
                <w:rFonts w:ascii="Arial" w:eastAsia="Calibri" w:hAnsi="Arial" w:cs="Arial"/>
                <w:b/>
                <w:bCs/>
                <w:iCs/>
                <w:color w:val="000000"/>
                <w:bdr w:val="none" w:sz="0" w:space="0" w:color="auto" w:frame="1"/>
              </w:rPr>
              <w:t>27. Communauté soumise aux réglementations</w:t>
            </w:r>
          </w:p>
        </w:tc>
        <w:tc>
          <w:tcPr>
            <w:tcW w:w="676" w:type="pct"/>
            <w:tcBorders>
              <w:top w:val="single" w:sz="8" w:space="0" w:color="4F81BD"/>
              <w:left w:val="nil"/>
              <w:bottom w:val="single" w:sz="8" w:space="0" w:color="4F81BD"/>
              <w:right w:val="nil"/>
            </w:tcBorders>
            <w:vAlign w:val="center"/>
          </w:tcPr>
          <w:p w:rsidR="00BD5B7F" w:rsidRPr="00FF6562" w:rsidRDefault="00BD5B7F" w:rsidP="000E5961">
            <w:pPr>
              <w:rPr>
                <w:rFonts w:ascii="Arial" w:eastAsia="Calibri" w:hAnsi="Arial" w:cs="Arial"/>
                <w:iCs/>
                <w:color w:val="000000"/>
                <w:szCs w:val="18"/>
              </w:rPr>
            </w:pPr>
          </w:p>
        </w:tc>
        <w:tc>
          <w:tcPr>
            <w:tcW w:w="0" w:type="auto"/>
            <w:vMerge/>
            <w:tcBorders>
              <w:top w:val="single" w:sz="12" w:space="0" w:color="95B3D7"/>
              <w:left w:val="nil"/>
              <w:bottom w:val="nil"/>
              <w:right w:val="nil"/>
            </w:tcBorders>
            <w:vAlign w:val="center"/>
            <w:hideMark/>
          </w:tcPr>
          <w:p w:rsidR="00BD5B7F" w:rsidRPr="00FF6562" w:rsidRDefault="00BD5B7F" w:rsidP="000E5961">
            <w:pPr>
              <w:rPr>
                <w:rFonts w:ascii="Arial" w:eastAsia="Calibri" w:hAnsi="Arial" w:cs="Arial"/>
                <w:iCs/>
                <w:color w:val="000000"/>
                <w:szCs w:val="18"/>
              </w:rPr>
            </w:pPr>
          </w:p>
        </w:tc>
        <w:tc>
          <w:tcPr>
            <w:tcW w:w="0" w:type="auto"/>
            <w:vMerge/>
            <w:tcBorders>
              <w:top w:val="single" w:sz="12" w:space="0" w:color="95B3D7"/>
              <w:left w:val="nil"/>
              <w:bottom w:val="nil"/>
              <w:right w:val="single" w:sz="8" w:space="0" w:color="4F81BD"/>
            </w:tcBorders>
            <w:vAlign w:val="center"/>
            <w:hideMark/>
          </w:tcPr>
          <w:p w:rsidR="00BD5B7F" w:rsidRPr="00FF6562" w:rsidRDefault="00BD5B7F" w:rsidP="000E5961">
            <w:pPr>
              <w:rPr>
                <w:rFonts w:ascii="Arial" w:eastAsia="Calibri" w:hAnsi="Arial" w:cs="Arial"/>
                <w:iCs/>
                <w:color w:val="000000"/>
                <w:szCs w:val="18"/>
              </w:rPr>
            </w:pPr>
          </w:p>
        </w:tc>
      </w:tr>
      <w:tr w:rsidR="00BD5B7F" w:rsidRPr="00FC42B0" w:rsidTr="000E5961">
        <w:trPr>
          <w:trHeight w:val="214"/>
        </w:trPr>
        <w:tc>
          <w:tcPr>
            <w:tcW w:w="2383" w:type="pct"/>
            <w:tcBorders>
              <w:top w:val="nil"/>
              <w:left w:val="single" w:sz="8" w:space="0" w:color="4F81BD"/>
              <w:bottom w:val="nil"/>
              <w:right w:val="nil"/>
            </w:tcBorders>
            <w:vAlign w:val="center"/>
            <w:hideMark/>
          </w:tcPr>
          <w:p w:rsidR="00BD5B7F" w:rsidRPr="00865DA5" w:rsidRDefault="00BD5B7F" w:rsidP="000E5961">
            <w:pPr>
              <w:ind w:left="284" w:hanging="284"/>
              <w:rPr>
                <w:rFonts w:ascii="Arial" w:eastAsia="Calibri" w:hAnsi="Arial" w:cs="Arial"/>
                <w:b/>
                <w:bCs/>
                <w:iCs/>
                <w:color w:val="000000"/>
                <w:szCs w:val="18"/>
                <w:lang w:val="fr-FR"/>
              </w:rPr>
            </w:pPr>
            <w:r w:rsidRPr="00865DA5">
              <w:rPr>
                <w:rFonts w:ascii="Arial" w:eastAsia="Calibri" w:hAnsi="Arial" w:cs="Arial"/>
                <w:b/>
                <w:bCs/>
                <w:iCs/>
                <w:color w:val="000000"/>
                <w:bdr w:val="none" w:sz="0" w:space="0" w:color="auto" w:frame="1"/>
                <w:lang w:val="fr-FR"/>
              </w:rPr>
              <w:t>28. Actions de sensibilisation du public</w:t>
            </w:r>
          </w:p>
        </w:tc>
        <w:tc>
          <w:tcPr>
            <w:tcW w:w="676" w:type="pct"/>
            <w:tcBorders>
              <w:top w:val="nil"/>
              <w:left w:val="nil"/>
              <w:bottom w:val="nil"/>
              <w:right w:val="nil"/>
            </w:tcBorders>
            <w:vAlign w:val="center"/>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nil"/>
              <w:right w:val="nil"/>
            </w:tcBorders>
            <w:vAlign w:val="center"/>
            <w:hideMark/>
          </w:tcPr>
          <w:p w:rsidR="00BD5B7F" w:rsidRPr="00865DA5" w:rsidRDefault="00BD5B7F" w:rsidP="000E5961">
            <w:pPr>
              <w:rPr>
                <w:rFonts w:ascii="Arial" w:eastAsia="Calibri" w:hAnsi="Arial" w:cs="Arial"/>
                <w:iCs/>
                <w:color w:val="000000"/>
                <w:szCs w:val="18"/>
                <w:lang w:val="fr-FR"/>
              </w:rPr>
            </w:pPr>
          </w:p>
        </w:tc>
        <w:tc>
          <w:tcPr>
            <w:tcW w:w="0" w:type="auto"/>
            <w:vMerge/>
            <w:tcBorders>
              <w:top w:val="single" w:sz="12" w:space="0" w:color="95B3D7"/>
              <w:left w:val="nil"/>
              <w:bottom w:val="nil"/>
              <w:right w:val="single" w:sz="8" w:space="0" w:color="4F81BD"/>
            </w:tcBorders>
            <w:vAlign w:val="center"/>
            <w:hideMark/>
          </w:tcPr>
          <w:p w:rsidR="00BD5B7F" w:rsidRPr="00865DA5" w:rsidRDefault="00BD5B7F" w:rsidP="000E5961">
            <w:pPr>
              <w:rPr>
                <w:rFonts w:ascii="Arial" w:eastAsia="Calibri" w:hAnsi="Arial" w:cs="Arial"/>
                <w:iCs/>
                <w:color w:val="000000"/>
                <w:szCs w:val="18"/>
                <w:lang w:val="fr-FR"/>
              </w:rPr>
            </w:pPr>
          </w:p>
        </w:tc>
      </w:tr>
      <w:tr w:rsidR="00BD5B7F" w:rsidRPr="00FF6562" w:rsidTr="000E5961">
        <w:trPr>
          <w:trHeight w:val="214"/>
        </w:trPr>
        <w:tc>
          <w:tcPr>
            <w:tcW w:w="4336" w:type="pct"/>
            <w:gridSpan w:val="3"/>
            <w:tcBorders>
              <w:top w:val="single" w:sz="8" w:space="0" w:color="4F81BD"/>
              <w:left w:val="single" w:sz="8" w:space="0" w:color="4F81BD"/>
              <w:bottom w:val="single" w:sz="8" w:space="0" w:color="4F81BD"/>
              <w:right w:val="nil"/>
            </w:tcBorders>
            <w:vAlign w:val="center"/>
            <w:hideMark/>
          </w:tcPr>
          <w:p w:rsidR="00BD5B7F" w:rsidRPr="00FF6562" w:rsidRDefault="00BD5B7F" w:rsidP="000E5961">
            <w:pPr>
              <w:rPr>
                <w:rFonts w:ascii="Arial" w:eastAsia="Calibri" w:hAnsi="Arial" w:cs="Arial"/>
                <w:b/>
                <w:bCs/>
                <w:iCs/>
                <w:color w:val="000000"/>
                <w:sz w:val="22"/>
                <w:szCs w:val="18"/>
              </w:rPr>
            </w:pPr>
            <w:r w:rsidRPr="00FF6562">
              <w:rPr>
                <w:rFonts w:ascii="Arial" w:eastAsia="Calibri" w:hAnsi="Arial" w:cs="Arial"/>
                <w:b/>
                <w:bCs/>
                <w:i/>
                <w:iCs/>
                <w:color w:val="000000"/>
                <w:sz w:val="22"/>
                <w:szCs w:val="22"/>
                <w:bdr w:val="none" w:sz="0" w:space="0" w:color="auto" w:frame="1"/>
              </w:rPr>
              <w:t>SCORE TOTAL</w:t>
            </w:r>
          </w:p>
        </w:tc>
        <w:tc>
          <w:tcPr>
            <w:tcW w:w="664" w:type="pct"/>
            <w:tcBorders>
              <w:top w:val="single" w:sz="8" w:space="0" w:color="4F81BD"/>
              <w:left w:val="nil"/>
              <w:bottom w:val="single" w:sz="8" w:space="0" w:color="4F81BD"/>
              <w:right w:val="single" w:sz="8" w:space="0" w:color="4F81BD"/>
            </w:tcBorders>
            <w:vAlign w:val="center"/>
          </w:tcPr>
          <w:p w:rsidR="00BD5B7F" w:rsidRPr="00FF6562" w:rsidRDefault="00BD5B7F" w:rsidP="000E5961">
            <w:pPr>
              <w:rPr>
                <w:rFonts w:ascii="Arial" w:eastAsia="Calibri" w:hAnsi="Arial" w:cs="Arial"/>
                <w:iCs/>
                <w:color w:val="000000"/>
                <w:sz w:val="22"/>
                <w:szCs w:val="18"/>
              </w:rPr>
            </w:pPr>
          </w:p>
        </w:tc>
      </w:tr>
    </w:tbl>
    <w:p w:rsidR="00BD5B7F" w:rsidRPr="008041B3" w:rsidRDefault="00BD5B7F" w:rsidP="00BD5B7F">
      <w:pPr>
        <w:tabs>
          <w:tab w:val="left" w:pos="426"/>
        </w:tabs>
        <w:spacing w:after="120"/>
        <w:jc w:val="both"/>
        <w:rPr>
          <w:b/>
          <w:sz w:val="40"/>
          <w:szCs w:val="40"/>
        </w:rPr>
      </w:pPr>
    </w:p>
    <w:p w:rsidR="00415733" w:rsidRDefault="00415733"/>
    <w:sectPr w:rsidR="00415733" w:rsidSect="00212796">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B7F" w:rsidRDefault="00BD5B7F" w:rsidP="00BD5B7F">
      <w:r>
        <w:separator/>
      </w:r>
    </w:p>
  </w:endnote>
  <w:endnote w:type="continuationSeparator" w:id="0">
    <w:p w:rsidR="00BD5B7F" w:rsidRDefault="00BD5B7F" w:rsidP="00BD5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B7F" w:rsidRDefault="00BD5B7F" w:rsidP="00BD5B7F">
      <w:r>
        <w:separator/>
      </w:r>
    </w:p>
  </w:footnote>
  <w:footnote w:type="continuationSeparator" w:id="0">
    <w:p w:rsidR="00BD5B7F" w:rsidRDefault="00BD5B7F" w:rsidP="00BD5B7F">
      <w:r>
        <w:continuationSeparator/>
      </w:r>
    </w:p>
  </w:footnote>
  <w:footnote w:id="1">
    <w:p w:rsidR="00BD5B7F" w:rsidRPr="00FF6562" w:rsidRDefault="00BD5B7F" w:rsidP="00BD5B7F">
      <w:pPr>
        <w:tabs>
          <w:tab w:val="left" w:pos="284"/>
        </w:tabs>
        <w:ind w:left="284" w:hanging="284"/>
        <w:jc w:val="both"/>
        <w:rPr>
          <w:rFonts w:ascii="Arial" w:hAnsi="Arial" w:cs="Arial"/>
          <w:sz w:val="18"/>
          <w:szCs w:val="18"/>
          <w:lang w:val="it-IT"/>
        </w:rPr>
      </w:pPr>
      <w:r>
        <w:rPr>
          <w:rStyle w:val="Appelnotedebasdep"/>
          <w:rFonts w:ascii="Arial" w:hAnsi="Arial" w:cs="Arial"/>
          <w:sz w:val="16"/>
          <w:szCs w:val="16"/>
        </w:rPr>
        <w:footnoteRef/>
      </w:r>
      <w:r w:rsidRPr="00865DA5">
        <w:rPr>
          <w:rFonts w:ascii="Arial" w:hAnsi="Arial" w:cs="Arial"/>
          <w:sz w:val="16"/>
          <w:szCs w:val="16"/>
          <w:bdr w:val="none" w:sz="0" w:space="0" w:color="auto" w:frame="1"/>
          <w:lang w:val="fr-FR"/>
        </w:rPr>
        <w:t xml:space="preserve"> </w:t>
      </w:r>
      <w:r w:rsidRPr="00865DA5">
        <w:rPr>
          <w:rFonts w:ascii="Arial" w:hAnsi="Arial" w:cs="Arial"/>
          <w:sz w:val="16"/>
          <w:szCs w:val="16"/>
          <w:bdr w:val="none" w:sz="0" w:space="0" w:color="auto" w:frame="1"/>
          <w:lang w:val="fr-FR"/>
        </w:rPr>
        <w:tab/>
      </w:r>
      <w:r w:rsidRPr="00865DA5">
        <w:rPr>
          <w:rFonts w:ascii="Arial" w:hAnsi="Arial" w:cs="Arial"/>
          <w:sz w:val="18"/>
          <w:szCs w:val="18"/>
          <w:bdr w:val="none" w:sz="0" w:space="0" w:color="auto" w:frame="1"/>
          <w:lang w:val="fr-FR"/>
        </w:rPr>
        <w:t>L’IKB est défini aux fins du présent tableau de bord comme comprenant les activités illégales commises intentionnellement et pouvant entraîner la mort, des blessures ou le prélèvement dans la nature de spécimens d’oiseaux sauvages morts ou vivants, incluant leurs parties ou produits.</w:t>
      </w:r>
    </w:p>
  </w:footnote>
  <w:footnote w:id="2">
    <w:p w:rsidR="00BD5B7F" w:rsidRPr="00FF6562" w:rsidRDefault="00BD5B7F" w:rsidP="00BD5B7F">
      <w:pPr>
        <w:pStyle w:val="Notedebasdepage"/>
        <w:tabs>
          <w:tab w:val="left" w:pos="284"/>
        </w:tabs>
        <w:ind w:left="284" w:hanging="284"/>
        <w:rPr>
          <w:rFonts w:ascii="Arial" w:hAnsi="Arial" w:cs="Arial"/>
          <w:sz w:val="18"/>
          <w:szCs w:val="18"/>
          <w:lang w:val="it-IT"/>
        </w:rPr>
      </w:pPr>
      <w:r w:rsidRPr="00FF6562">
        <w:rPr>
          <w:rStyle w:val="Appelnotedebasdep"/>
          <w:rFonts w:ascii="Arial" w:hAnsi="Arial" w:cs="Arial"/>
          <w:sz w:val="18"/>
          <w:szCs w:val="18"/>
        </w:rPr>
        <w:footnoteRef/>
      </w:r>
      <w:r w:rsidRPr="00FF6562">
        <w:rPr>
          <w:rFonts w:ascii="Arial" w:eastAsia="Arial" w:hAnsi="Arial" w:cs="Arial"/>
          <w:sz w:val="18"/>
          <w:szCs w:val="18"/>
          <w:bdr w:val="none" w:sz="0" w:space="0" w:color="auto" w:frame="1"/>
          <w:lang w:val="it-IT"/>
        </w:rPr>
        <w:t xml:space="preserve"> </w:t>
      </w:r>
      <w:r w:rsidRPr="00FF6562">
        <w:rPr>
          <w:rFonts w:ascii="Arial" w:eastAsia="Arial" w:hAnsi="Arial" w:cs="Arial"/>
          <w:sz w:val="18"/>
          <w:szCs w:val="18"/>
          <w:bdr w:val="none" w:sz="0" w:space="0" w:color="auto" w:frame="1"/>
          <w:lang w:val="it-IT"/>
        </w:rPr>
        <w:tab/>
      </w:r>
      <w:hyperlink r:id="rId1" w:history="1">
        <w:r w:rsidRPr="00FF6562">
          <w:rPr>
            <w:rStyle w:val="Lienhypertexte"/>
            <w:rFonts w:ascii="Arial" w:eastAsia="Arial" w:hAnsi="Arial" w:cs="Arial"/>
            <w:sz w:val="18"/>
            <w:szCs w:val="18"/>
            <w:bdr w:val="none" w:sz="0" w:space="0" w:color="auto" w:frame="1"/>
            <w:lang w:val="it-IT"/>
          </w:rPr>
          <w:t>https://cites.org/fra/prog/iccwc.php/Tools</w:t>
        </w:r>
      </w:hyperlink>
      <w:r w:rsidRPr="00FF6562">
        <w:rPr>
          <w:rFonts w:ascii="Arial" w:eastAsia="Arial" w:hAnsi="Arial" w:cs="Arial"/>
          <w:sz w:val="18"/>
          <w:szCs w:val="18"/>
          <w:bdr w:val="none" w:sz="0" w:space="0" w:color="auto" w:frame="1"/>
          <w:lang w:val="it-IT"/>
        </w:rPr>
        <w:t xml:space="preserve"> </w:t>
      </w:r>
    </w:p>
  </w:footnote>
  <w:footnote w:id="3">
    <w:p w:rsidR="00BD5B7F" w:rsidRPr="00FF6562" w:rsidRDefault="00BD5B7F" w:rsidP="00BD5B7F">
      <w:pPr>
        <w:pStyle w:val="Notedebasdepage"/>
        <w:ind w:left="284" w:hanging="284"/>
        <w:rPr>
          <w:rFonts w:ascii="Arial" w:hAnsi="Arial" w:cs="Arial"/>
          <w:sz w:val="18"/>
          <w:szCs w:val="18"/>
          <w:lang w:val="fr-FR"/>
        </w:rPr>
      </w:pPr>
      <w:r>
        <w:rPr>
          <w:rStyle w:val="Appelnotedebasdep"/>
          <w:rFonts w:ascii="Arial" w:hAnsi="Arial" w:cs="Arial"/>
          <w:sz w:val="16"/>
          <w:szCs w:val="16"/>
        </w:rPr>
        <w:footnoteRef/>
      </w:r>
      <w:r>
        <w:rPr>
          <w:rFonts w:ascii="Arial" w:eastAsia="Arial" w:hAnsi="Arial" w:cs="Arial"/>
          <w:sz w:val="16"/>
          <w:szCs w:val="16"/>
          <w:bdr w:val="none" w:sz="0" w:space="0" w:color="auto" w:frame="1"/>
          <w:lang w:val="fr-FR"/>
        </w:rPr>
        <w:t xml:space="preserve"> </w:t>
      </w:r>
      <w:r>
        <w:rPr>
          <w:rFonts w:ascii="Arial" w:eastAsia="Arial" w:hAnsi="Arial" w:cs="Arial"/>
          <w:sz w:val="16"/>
          <w:szCs w:val="16"/>
          <w:bdr w:val="none" w:sz="0" w:space="0" w:color="auto" w:frame="1"/>
          <w:lang w:val="fr-FR"/>
        </w:rPr>
        <w:tab/>
      </w:r>
      <w:r w:rsidRPr="00FF6562">
        <w:rPr>
          <w:rFonts w:ascii="Arial" w:eastAsia="Arial" w:hAnsi="Arial" w:cs="Arial"/>
          <w:sz w:val="18"/>
          <w:szCs w:val="18"/>
          <w:bdr w:val="none" w:sz="0" w:space="0" w:color="auto" w:frame="1"/>
          <w:lang w:val="fr-FR"/>
        </w:rPr>
        <w:t>Les observateurs du MIKT sont les Parties à la CMS et/ou les États non Parties à la CMS intéressés par la question (Allemagne, Portugal, Bosnie-Herzégovine et Turquie).</w:t>
      </w:r>
    </w:p>
  </w:footnote>
  <w:footnote w:id="4">
    <w:p w:rsidR="00BD5B7F" w:rsidRDefault="00BD5B7F" w:rsidP="00BD5B7F">
      <w:pPr>
        <w:pStyle w:val="Notedebasdepage"/>
        <w:tabs>
          <w:tab w:val="left" w:pos="284"/>
        </w:tabs>
        <w:ind w:left="284" w:hanging="284"/>
        <w:rPr>
          <w:rFonts w:ascii="Arial" w:hAnsi="Arial" w:cs="Arial"/>
          <w:sz w:val="16"/>
          <w:szCs w:val="16"/>
          <w:lang w:val="fr-FR"/>
        </w:rPr>
      </w:pPr>
      <w:r>
        <w:rPr>
          <w:rStyle w:val="Appelnotedebasdep"/>
          <w:rFonts w:ascii="Arial" w:hAnsi="Arial" w:cs="Arial"/>
          <w:sz w:val="16"/>
          <w:szCs w:val="16"/>
        </w:rPr>
        <w:footnoteRef/>
      </w:r>
      <w:r>
        <w:rPr>
          <w:rFonts w:ascii="Arial" w:hAnsi="Arial" w:cs="Arial"/>
          <w:sz w:val="16"/>
          <w:szCs w:val="16"/>
          <w:lang w:val="fr-FR"/>
        </w:rPr>
        <w:t xml:space="preserve"> </w:t>
      </w:r>
      <w:r>
        <w:rPr>
          <w:rFonts w:ascii="Arial" w:hAnsi="Arial" w:cs="Arial"/>
          <w:sz w:val="16"/>
          <w:szCs w:val="16"/>
          <w:lang w:val="fr-FR"/>
        </w:rPr>
        <w:tab/>
        <w:t>N. d. T. : Dans le présent document, l’expression anglaise « </w:t>
      </w:r>
      <w:r>
        <w:rPr>
          <w:rFonts w:ascii="Arial" w:hAnsi="Arial" w:cs="Arial"/>
          <w:i/>
          <w:sz w:val="16"/>
          <w:szCs w:val="16"/>
          <w:lang w:val="fr-FR"/>
        </w:rPr>
        <w:t>law enforcement</w:t>
      </w:r>
      <w:r>
        <w:rPr>
          <w:rFonts w:ascii="Arial" w:hAnsi="Arial" w:cs="Arial"/>
          <w:sz w:val="16"/>
          <w:szCs w:val="16"/>
          <w:lang w:val="fr-FR"/>
        </w:rPr>
        <w:t> » a généralement été traduite par « lutte contre la fraude » par souci de concision et de cohérence avec la terminologie employée dans le Cadre d’indicateurs de l’ICCWC. Toutefois, cette locution est à interpréter de manière globale afin d’inclure l’application des lois au sens large.</w:t>
      </w:r>
    </w:p>
  </w:footnote>
  <w:footnote w:id="5">
    <w:p w:rsidR="00BD5B7F" w:rsidRPr="00693D9C" w:rsidRDefault="00BD5B7F" w:rsidP="00BD5B7F">
      <w:pPr>
        <w:pStyle w:val="Notedebasdepage"/>
        <w:ind w:left="284" w:hanging="284"/>
        <w:rPr>
          <w:sz w:val="18"/>
          <w:szCs w:val="18"/>
          <w:lang w:val="fr-FR"/>
        </w:rPr>
      </w:pPr>
      <w:r>
        <w:rPr>
          <w:rStyle w:val="Appelnotedebasdep"/>
        </w:rPr>
        <w:footnoteRef/>
      </w:r>
      <w:r>
        <w:rPr>
          <w:bdr w:val="none" w:sz="0" w:space="0" w:color="auto" w:frame="1"/>
          <w:lang w:val="fr-FR"/>
        </w:rPr>
        <w:t xml:space="preserve"> </w:t>
      </w:r>
      <w:r>
        <w:rPr>
          <w:bdr w:val="none" w:sz="0" w:space="0" w:color="auto" w:frame="1"/>
          <w:lang w:val="fr-FR"/>
        </w:rPr>
        <w:tab/>
      </w:r>
      <w:r w:rsidRPr="00693D9C">
        <w:rPr>
          <w:rFonts w:ascii="Arial" w:eastAsia="Arial" w:hAnsi="Arial" w:cs="Arial"/>
          <w:sz w:val="18"/>
          <w:szCs w:val="18"/>
          <w:bdr w:val="none" w:sz="0" w:space="0" w:color="auto" w:frame="1"/>
          <w:lang w:val="fr-FR"/>
        </w:rPr>
        <w:t>La communauté soumise aux réglementations peut inclure les personnes pratiquant des prélèvements, les commerçants et/ou tout individu ou groupe à qui a été délivré un permis et/ou une licence de prélèvement, d’utilisation et/ou de commerce d’oiseaux sauvages et de leurs produits et/ou qui mène des activités relatives au commerce des oiseaux sauvages.</w:t>
      </w:r>
    </w:p>
  </w:footnote>
  <w:footnote w:id="6">
    <w:p w:rsidR="00BD5B7F" w:rsidRDefault="00BD5B7F" w:rsidP="00BD5B7F">
      <w:pPr>
        <w:pStyle w:val="Notedebasdepage"/>
        <w:rPr>
          <w:rFonts w:cs="Arial"/>
          <w:sz w:val="16"/>
          <w:szCs w:val="16"/>
          <w:lang w:val="fr-FR"/>
        </w:rPr>
      </w:pPr>
      <w:r>
        <w:rPr>
          <w:rStyle w:val="Appelnotedebasdep"/>
          <w:rFonts w:ascii="Arial" w:hAnsi="Arial" w:cs="Arial"/>
          <w:sz w:val="16"/>
          <w:szCs w:val="16"/>
          <w:lang w:val="en-GB"/>
        </w:rPr>
        <w:footnoteRef/>
      </w:r>
      <w:r>
        <w:rPr>
          <w:rFonts w:ascii="Arial" w:eastAsia="Arial" w:hAnsi="Arial" w:cs="Arial"/>
          <w:sz w:val="16"/>
          <w:szCs w:val="16"/>
          <w:bdr w:val="none" w:sz="0" w:space="0" w:color="auto" w:frame="1"/>
          <w:lang w:val="fr-FR"/>
        </w:rPr>
        <w:t xml:space="preserve"> Document MIKT1, disponible sur </w:t>
      </w:r>
      <w:hyperlink r:id="rId2" w:tgtFrame="_blank" w:history="1">
        <w:r>
          <w:rPr>
            <w:rStyle w:val="Lienhypertexte"/>
            <w:rFonts w:ascii="Arial" w:eastAsia="Arial" w:hAnsi="Arial" w:cs="Arial"/>
            <w:sz w:val="16"/>
            <w:szCs w:val="16"/>
            <w:bdr w:val="none" w:sz="0" w:space="0" w:color="auto" w:frame="1"/>
            <w:lang w:val="fr-FR"/>
          </w:rPr>
          <w:t>http://www.cms.int/en/document/best-practice-guide-monitoring-illegal-and-taking-birds</w:t>
        </w:r>
      </w:hyperlink>
    </w:p>
    <w:p w:rsidR="00BD5B7F" w:rsidRDefault="00BD5B7F" w:rsidP="00BD5B7F">
      <w:pPr>
        <w:pStyle w:val="Notedebasdepage"/>
        <w:rPr>
          <w:rFonts w:ascii="Arial" w:hAnsi="Arial" w:cs="Arial"/>
          <w:sz w:val="16"/>
          <w:szCs w:val="16"/>
          <w:lang w:val="it-IT"/>
        </w:rPr>
      </w:pPr>
    </w:p>
  </w:footnote>
  <w:footnote w:id="7">
    <w:p w:rsidR="00BD5B7F" w:rsidRPr="00F028CC" w:rsidRDefault="00BD5B7F" w:rsidP="00BD5B7F">
      <w:pPr>
        <w:pStyle w:val="Notedebasdepage"/>
        <w:ind w:left="142" w:hanging="142"/>
        <w:rPr>
          <w:rFonts w:ascii="Arial" w:hAnsi="Arial" w:cs="Arial"/>
          <w:sz w:val="18"/>
          <w:szCs w:val="18"/>
          <w:lang w:val="fr-FR"/>
        </w:rPr>
      </w:pPr>
      <w:r w:rsidRPr="00F028CC">
        <w:rPr>
          <w:rStyle w:val="Appelnotedebasdep"/>
          <w:rFonts w:ascii="Arial" w:hAnsi="Arial" w:cs="Arial"/>
          <w:sz w:val="18"/>
          <w:szCs w:val="18"/>
        </w:rPr>
        <w:footnoteRef/>
      </w:r>
      <w:r w:rsidRPr="00F028CC">
        <w:rPr>
          <w:rFonts w:ascii="Arial" w:hAnsi="Arial" w:cs="Arial"/>
          <w:sz w:val="18"/>
          <w:szCs w:val="18"/>
          <w:bdr w:val="none" w:sz="0" w:space="0" w:color="auto" w:frame="1"/>
          <w:lang w:val="fr-FR"/>
        </w:rPr>
        <w:t xml:space="preserve"> </w:t>
      </w:r>
      <w:r w:rsidRPr="00F028CC">
        <w:rPr>
          <w:rFonts w:ascii="Arial" w:hAnsi="Arial" w:cs="Arial"/>
          <w:sz w:val="18"/>
          <w:szCs w:val="18"/>
          <w:bdr w:val="none" w:sz="0" w:space="0" w:color="auto" w:frame="1"/>
          <w:lang w:val="fr-FR"/>
        </w:rPr>
        <w:tab/>
        <w:t>Une fois terminé et publié, ce tableau de bord ne doit pas être utilisé dans le cadre du processus de suivi du respect des Traités.</w:t>
      </w:r>
    </w:p>
  </w:footnote>
  <w:footnote w:id="8">
    <w:p w:rsidR="00BD5B7F" w:rsidRPr="00F028CC" w:rsidRDefault="00BD5B7F" w:rsidP="00BD5B7F">
      <w:pPr>
        <w:pStyle w:val="Pieddepage"/>
        <w:ind w:left="284" w:hanging="284"/>
        <w:rPr>
          <w:rFonts w:ascii="Arial" w:hAnsi="Arial" w:cs="Arial"/>
          <w:sz w:val="18"/>
          <w:szCs w:val="18"/>
          <w:lang w:val="fr-FR"/>
        </w:rPr>
      </w:pPr>
      <w:r w:rsidRPr="00F028CC">
        <w:rPr>
          <w:rStyle w:val="Appelnotedebasdep"/>
          <w:rFonts w:ascii="Arial" w:hAnsi="Arial" w:cs="Arial"/>
          <w:sz w:val="18"/>
          <w:szCs w:val="18"/>
        </w:rPr>
        <w:footnoteRef/>
      </w:r>
      <w:r w:rsidRPr="00F028CC">
        <w:rPr>
          <w:rFonts w:ascii="Arial" w:hAnsi="Arial" w:cs="Arial"/>
          <w:sz w:val="18"/>
          <w:szCs w:val="18"/>
          <w:bdr w:val="none" w:sz="0" w:space="0" w:color="auto" w:frame="1"/>
          <w:lang w:val="fr-FR"/>
        </w:rPr>
        <w:t xml:space="preserve"> </w:t>
      </w:r>
      <w:r w:rsidRPr="00F028CC">
        <w:rPr>
          <w:rFonts w:ascii="Arial" w:hAnsi="Arial" w:cs="Arial"/>
          <w:sz w:val="18"/>
          <w:szCs w:val="18"/>
          <w:bdr w:val="none" w:sz="0" w:space="0" w:color="auto" w:frame="1"/>
          <w:lang w:val="fr-FR"/>
        </w:rPr>
        <w:tab/>
        <w:t xml:space="preserve">L’avis ou le dire d’expert est défini comme étant l’avis d’une personne </w:t>
      </w:r>
      <w:r w:rsidRPr="00F028CC">
        <w:rPr>
          <w:rFonts w:ascii="Arial" w:hAnsi="Arial" w:cs="Arial"/>
          <w:color w:val="3B3E41"/>
          <w:sz w:val="18"/>
          <w:szCs w:val="18"/>
          <w:bdr w:val="none" w:sz="0" w:space="0" w:color="auto" w:frame="1"/>
          <w:shd w:val="clear" w:color="auto" w:fill="FFFFFF"/>
          <w:lang w:val="fr-FR"/>
        </w:rPr>
        <w:t>qui, en vertu de connaissances, compétences, formation ou expérience, est qualifiée pour fournir des informations sur des questions qui dépassent la connaissance commune des personnes ordinaires.</w:t>
      </w:r>
    </w:p>
    <w:p w:rsidR="00BD5B7F" w:rsidRDefault="00BD5B7F" w:rsidP="00BD5B7F">
      <w:pPr>
        <w:pStyle w:val="Notedebasdepage"/>
        <w:rPr>
          <w:lang w:val="fr-FR"/>
        </w:rPr>
      </w:pPr>
    </w:p>
  </w:footnote>
  <w:footnote w:id="9">
    <w:p w:rsidR="00BD5B7F" w:rsidRPr="00F028CC" w:rsidRDefault="00BD5B7F" w:rsidP="00BD5B7F">
      <w:pPr>
        <w:pStyle w:val="Notedebasdepage"/>
        <w:ind w:left="180" w:hanging="180"/>
        <w:rPr>
          <w:rFonts w:ascii="Arial" w:hAnsi="Arial" w:cs="Arial"/>
          <w:sz w:val="18"/>
          <w:szCs w:val="18"/>
          <w:lang w:val="fr-FR"/>
        </w:rPr>
      </w:pPr>
      <w:r>
        <w:rPr>
          <w:rStyle w:val="Appelnotedebasdep"/>
          <w:rFonts w:ascii="Arial" w:hAnsi="Arial" w:cs="Arial"/>
          <w:sz w:val="16"/>
          <w:szCs w:val="16"/>
          <w:lang w:val="en-GB"/>
        </w:rPr>
        <w:footnoteRef/>
      </w:r>
      <w:r>
        <w:rPr>
          <w:rFonts w:ascii="Arial" w:eastAsia="Arial" w:hAnsi="Arial" w:cs="Arial"/>
          <w:sz w:val="16"/>
          <w:szCs w:val="16"/>
          <w:bdr w:val="none" w:sz="0" w:space="0" w:color="auto" w:frame="1"/>
          <w:lang w:val="fr-FR"/>
        </w:rPr>
        <w:t xml:space="preserve"> </w:t>
      </w:r>
      <w:r w:rsidRPr="00F028CC">
        <w:rPr>
          <w:rFonts w:ascii="Arial" w:eastAsia="Arial" w:hAnsi="Arial" w:cs="Arial"/>
          <w:sz w:val="18"/>
          <w:szCs w:val="18"/>
          <w:bdr w:val="none" w:sz="0" w:space="0" w:color="auto" w:frame="1"/>
          <w:lang w:val="fr-FR"/>
        </w:rPr>
        <w:t>Seulement les territoires d’outre-mer situés dans la zone couverte par la carte présentée en figure 1 où s’applique la Directive Oiseaux.</w:t>
      </w:r>
    </w:p>
  </w:footnote>
  <w:footnote w:id="10">
    <w:p w:rsidR="00BD5B7F" w:rsidRPr="00F028CC" w:rsidRDefault="00BD5B7F" w:rsidP="00BD5B7F">
      <w:pPr>
        <w:pStyle w:val="Notedebasdepage"/>
        <w:ind w:left="180" w:hanging="180"/>
        <w:rPr>
          <w:rFonts w:ascii="Arial" w:hAnsi="Arial" w:cs="Arial"/>
          <w:sz w:val="18"/>
          <w:szCs w:val="18"/>
          <w:lang w:val="fr-FR"/>
        </w:rPr>
      </w:pPr>
      <w:r w:rsidRPr="00F028CC">
        <w:rPr>
          <w:rStyle w:val="Appelnotedebasdep"/>
          <w:rFonts w:ascii="Arial" w:hAnsi="Arial" w:cs="Arial"/>
          <w:sz w:val="18"/>
          <w:szCs w:val="18"/>
          <w:lang w:val="en-GB"/>
        </w:rPr>
        <w:footnoteRef/>
      </w:r>
      <w:r>
        <w:rPr>
          <w:rFonts w:ascii="Arial" w:eastAsia="Arial" w:hAnsi="Arial" w:cs="Arial"/>
          <w:sz w:val="18"/>
          <w:szCs w:val="18"/>
          <w:bdr w:val="none" w:sz="0" w:space="0" w:color="auto" w:frame="1"/>
          <w:lang w:val="fr-FR"/>
        </w:rPr>
        <w:t xml:space="preserve"> </w:t>
      </w:r>
      <w:r w:rsidRPr="00F028CC">
        <w:rPr>
          <w:rFonts w:ascii="Arial" w:eastAsia="Arial" w:hAnsi="Arial" w:cs="Arial"/>
          <w:sz w:val="18"/>
          <w:szCs w:val="18"/>
          <w:bdr w:val="none" w:sz="0" w:space="0" w:color="auto" w:frame="1"/>
          <w:lang w:val="fr-FR"/>
        </w:rPr>
        <w:t xml:space="preserve">Veuillez fournir des informations sur la façon dont les estimations ont été élaborées. </w:t>
      </w:r>
    </w:p>
  </w:footnote>
  <w:footnote w:id="11">
    <w:p w:rsidR="00BD5B7F" w:rsidRPr="00F33E85" w:rsidRDefault="00BD5B7F" w:rsidP="00BD5B7F">
      <w:pPr>
        <w:pStyle w:val="Notedebasdepage"/>
        <w:ind w:left="284" w:hanging="284"/>
        <w:rPr>
          <w:rFonts w:ascii="Arial" w:hAnsi="Arial" w:cs="Arial"/>
          <w:sz w:val="18"/>
          <w:szCs w:val="18"/>
          <w:lang w:val="it-IT"/>
        </w:rPr>
      </w:pPr>
      <w:r w:rsidRPr="00F33E85">
        <w:rPr>
          <w:rStyle w:val="Appelnotedebasdep"/>
          <w:rFonts w:ascii="Arial" w:hAnsi="Arial" w:cs="Arial"/>
          <w:sz w:val="18"/>
          <w:szCs w:val="18"/>
        </w:rPr>
        <w:footnoteRef/>
      </w:r>
      <w:hyperlink r:id="rId3" w:history="1">
        <w:r w:rsidRPr="00F33E85">
          <w:rPr>
            <w:rStyle w:val="Lienhypertexte"/>
            <w:rFonts w:ascii="Arial" w:eastAsia="Arial" w:hAnsi="Arial" w:cs="Arial"/>
            <w:sz w:val="18"/>
            <w:szCs w:val="18"/>
            <w:bdr w:val="none" w:sz="0" w:space="0" w:color="auto" w:frame="1"/>
            <w:lang w:val="fr-FR"/>
          </w:rPr>
          <w:t>https://wcd.coe.int/com.instranet.InstraServlet?command=com.instranet.CmdBlobGet&amp;InstranetImage=2919703&amp;SecMode=1&amp;DocId=2369656&amp;Usage=2</w:t>
        </w:r>
      </w:hyperlink>
      <w:r w:rsidRPr="00F33E85">
        <w:rPr>
          <w:rFonts w:ascii="Arial" w:eastAsia="Arial" w:hAnsi="Arial" w:cs="Arial"/>
          <w:sz w:val="18"/>
          <w:szCs w:val="18"/>
          <w:bdr w:val="none" w:sz="0" w:space="0" w:color="auto" w:frame="1"/>
          <w:lang w:val="fr-FR"/>
        </w:rPr>
        <w:t xml:space="preserve"> </w:t>
      </w:r>
    </w:p>
  </w:footnote>
  <w:footnote w:id="12">
    <w:p w:rsidR="00BD5B7F" w:rsidRPr="00F33E85" w:rsidRDefault="00BD5B7F" w:rsidP="00BD5B7F">
      <w:pPr>
        <w:pStyle w:val="Notedebasdepage"/>
        <w:ind w:left="284" w:hanging="284"/>
        <w:rPr>
          <w:rFonts w:ascii="Arial" w:hAnsi="Arial" w:cs="Arial"/>
          <w:sz w:val="18"/>
          <w:szCs w:val="18"/>
          <w:lang w:val="fr-FR"/>
        </w:rPr>
      </w:pPr>
      <w:r w:rsidRPr="00F33E85">
        <w:rPr>
          <w:rStyle w:val="Appelnotedebasdep"/>
          <w:rFonts w:ascii="Arial" w:hAnsi="Arial" w:cs="Arial"/>
          <w:sz w:val="18"/>
          <w:szCs w:val="18"/>
        </w:rPr>
        <w:footnoteRef/>
      </w:r>
      <w:r w:rsidRPr="00F33E85">
        <w:rPr>
          <w:rFonts w:ascii="Arial" w:eastAsia="Arial" w:hAnsi="Arial" w:cs="Arial"/>
          <w:sz w:val="18"/>
          <w:szCs w:val="18"/>
          <w:bdr w:val="none" w:sz="0" w:space="0" w:color="auto" w:frame="1"/>
          <w:lang w:val="fr-FR"/>
        </w:rPr>
        <w:t xml:space="preserve"> </w:t>
      </w:r>
      <w:r w:rsidRPr="00F33E85">
        <w:rPr>
          <w:rFonts w:ascii="Arial" w:eastAsia="Arial" w:hAnsi="Arial" w:cs="Arial"/>
          <w:sz w:val="18"/>
          <w:szCs w:val="18"/>
          <w:bdr w:val="none" w:sz="0" w:space="0" w:color="auto" w:frame="1"/>
          <w:lang w:val="fr-FR"/>
        </w:rPr>
        <w:tab/>
        <w:t>« Illégal » signifie, à cette fin, enfreignant le droit national, régional ou international.</w:t>
      </w:r>
    </w:p>
  </w:footnote>
  <w:footnote w:id="13">
    <w:p w:rsidR="00BD5B7F" w:rsidRPr="00F33E85" w:rsidRDefault="00BD5B7F" w:rsidP="00BD5B7F">
      <w:pPr>
        <w:pStyle w:val="Notedebasdepage"/>
        <w:ind w:left="284" w:hanging="284"/>
        <w:rPr>
          <w:rFonts w:ascii="Arial" w:hAnsi="Arial" w:cs="Arial"/>
          <w:sz w:val="18"/>
          <w:szCs w:val="18"/>
          <w:lang w:val="fr-FR"/>
        </w:rPr>
      </w:pPr>
      <w:r w:rsidRPr="00F33E85">
        <w:rPr>
          <w:rStyle w:val="Appelnotedebasdep"/>
          <w:rFonts w:ascii="Arial" w:hAnsi="Arial" w:cs="Arial"/>
          <w:sz w:val="18"/>
          <w:szCs w:val="18"/>
        </w:rPr>
        <w:footnoteRef/>
      </w:r>
      <w:r w:rsidRPr="00F33E85">
        <w:rPr>
          <w:rFonts w:ascii="Arial" w:eastAsia="Arial" w:hAnsi="Arial" w:cs="Arial"/>
          <w:sz w:val="18"/>
          <w:szCs w:val="18"/>
          <w:bdr w:val="none" w:sz="0" w:space="0" w:color="auto" w:frame="1"/>
          <w:lang w:val="fr-FR"/>
        </w:rPr>
        <w:t xml:space="preserve"> </w:t>
      </w:r>
      <w:r w:rsidRPr="00F33E85">
        <w:rPr>
          <w:rFonts w:ascii="Arial" w:eastAsia="Arial" w:hAnsi="Arial" w:cs="Arial"/>
          <w:sz w:val="18"/>
          <w:szCs w:val="18"/>
          <w:bdr w:val="none" w:sz="0" w:space="0" w:color="auto" w:frame="1"/>
          <w:lang w:val="fr-FR"/>
        </w:rPr>
        <w:tab/>
        <w:t>Un « spécimen » désigne un animal mort ou vivant</w:t>
      </w:r>
    </w:p>
  </w:footnote>
  <w:footnote w:id="14">
    <w:p w:rsidR="00BD5B7F" w:rsidRDefault="00BD5B7F" w:rsidP="00BD5B7F">
      <w:pPr>
        <w:pStyle w:val="Notedebasdepage"/>
        <w:ind w:left="284" w:hanging="284"/>
        <w:rPr>
          <w:rFonts w:ascii="Arial" w:hAnsi="Arial" w:cs="Arial"/>
          <w:sz w:val="16"/>
          <w:szCs w:val="16"/>
          <w:lang w:val="fr-FR"/>
        </w:rPr>
      </w:pPr>
      <w:r>
        <w:rPr>
          <w:rStyle w:val="Appelnotedebasdep"/>
          <w:rFonts w:ascii="Arial" w:hAnsi="Arial" w:cs="Arial"/>
          <w:sz w:val="16"/>
          <w:szCs w:val="16"/>
        </w:rPr>
        <w:footnoteRef/>
      </w:r>
      <w:r>
        <w:rPr>
          <w:rFonts w:ascii="Arial" w:eastAsia="Arial" w:hAnsi="Arial" w:cs="Arial"/>
          <w:sz w:val="16"/>
          <w:szCs w:val="16"/>
          <w:bdr w:val="none" w:sz="0" w:space="0" w:color="auto" w:frame="1"/>
          <w:lang w:val="fr-FR"/>
        </w:rPr>
        <w:t xml:space="preserve"> </w:t>
      </w:r>
      <w:r>
        <w:rPr>
          <w:rFonts w:ascii="Arial" w:eastAsia="Arial" w:hAnsi="Arial" w:cs="Arial"/>
          <w:sz w:val="16"/>
          <w:szCs w:val="16"/>
          <w:bdr w:val="none" w:sz="0" w:space="0" w:color="auto" w:frame="1"/>
          <w:lang w:val="fr-FR"/>
        </w:rPr>
        <w:tab/>
        <w:t xml:space="preserve">« Rendue publique » qualifie une infraction IKB pour laquelle des preuves matérielles suffisantes ont été recueillies afin de permettre l’identification des suspects et la poursuite de l’infraction conformément aux procédures pénales ou administratives applicables. </w:t>
      </w:r>
    </w:p>
  </w:footnote>
  <w:footnote w:id="15">
    <w:p w:rsidR="00BD5B7F" w:rsidRPr="00F33E85" w:rsidRDefault="00BD5B7F" w:rsidP="00BD5B7F">
      <w:pPr>
        <w:pStyle w:val="Notedebasdepage"/>
        <w:ind w:left="284" w:hanging="284"/>
        <w:rPr>
          <w:rFonts w:ascii="Arial" w:hAnsi="Arial" w:cs="Arial"/>
          <w:sz w:val="18"/>
          <w:szCs w:val="18"/>
          <w:lang w:val="fr-FR"/>
        </w:rPr>
      </w:pPr>
      <w:r w:rsidRPr="00F33E85">
        <w:rPr>
          <w:rStyle w:val="Appelnotedebasdep"/>
          <w:rFonts w:ascii="Arial" w:hAnsi="Arial" w:cs="Arial"/>
          <w:sz w:val="18"/>
          <w:szCs w:val="18"/>
          <w:lang w:val="en-GB"/>
        </w:rPr>
        <w:footnoteRef/>
      </w:r>
      <w:r w:rsidRPr="00F33E85">
        <w:rPr>
          <w:rFonts w:ascii="Arial" w:eastAsia="Arial" w:hAnsi="Arial" w:cs="Arial"/>
          <w:sz w:val="18"/>
          <w:szCs w:val="18"/>
          <w:bdr w:val="none" w:sz="0" w:space="0" w:color="auto" w:frame="1"/>
          <w:lang w:val="fr-FR"/>
        </w:rPr>
        <w:t xml:space="preserve"> </w:t>
      </w:r>
      <w:r w:rsidRPr="00F33E85">
        <w:rPr>
          <w:rFonts w:ascii="Arial" w:eastAsia="Arial" w:hAnsi="Arial" w:cs="Arial"/>
          <w:sz w:val="18"/>
          <w:szCs w:val="18"/>
          <w:bdr w:val="none" w:sz="0" w:space="0" w:color="auto" w:frame="1"/>
          <w:lang w:val="fr-FR"/>
        </w:rPr>
        <w:tab/>
        <w:t>Cet indicateur correspond à l’indicateur 28 du Cadre d’indicateurs de l’ICCWC.</w:t>
      </w:r>
    </w:p>
  </w:footnote>
  <w:footnote w:id="16">
    <w:p w:rsidR="00BD5B7F" w:rsidRPr="00865DA5" w:rsidRDefault="00BD5B7F" w:rsidP="00BD5B7F">
      <w:pPr>
        <w:ind w:left="284" w:hanging="284"/>
        <w:jc w:val="both"/>
        <w:rPr>
          <w:rFonts w:cs="Arial"/>
          <w:sz w:val="18"/>
          <w:szCs w:val="18"/>
          <w:lang w:val="fr-FR"/>
        </w:rPr>
      </w:pPr>
      <w:r w:rsidRPr="00F33E85">
        <w:rPr>
          <w:rStyle w:val="Appelnotedebasdep"/>
          <w:rFonts w:ascii="Arial" w:hAnsi="Arial" w:cs="Arial"/>
          <w:sz w:val="18"/>
          <w:szCs w:val="18"/>
        </w:rPr>
        <w:footnoteRef/>
      </w:r>
      <w:r w:rsidRPr="00865DA5">
        <w:rPr>
          <w:sz w:val="18"/>
          <w:szCs w:val="18"/>
          <w:bdr w:val="none" w:sz="0" w:space="0" w:color="auto" w:frame="1"/>
          <w:lang w:val="fr-FR"/>
        </w:rPr>
        <w:t xml:space="preserve"> </w:t>
      </w:r>
      <w:r w:rsidRPr="00865DA5">
        <w:rPr>
          <w:sz w:val="18"/>
          <w:szCs w:val="18"/>
          <w:bdr w:val="none" w:sz="0" w:space="0" w:color="auto" w:frame="1"/>
          <w:lang w:val="fr-FR"/>
        </w:rPr>
        <w:tab/>
      </w:r>
      <w:r w:rsidRPr="00865DA5">
        <w:rPr>
          <w:rFonts w:ascii="Arial" w:hAnsi="Arial" w:cs="Arial"/>
          <w:sz w:val="18"/>
          <w:szCs w:val="18"/>
          <w:bdr w:val="none" w:sz="0" w:space="0" w:color="auto" w:frame="1"/>
          <w:lang w:val="fr-FR"/>
        </w:rPr>
        <w:t>Le niveau d’exhaustivité des dispositions dans tous les éléments pertinents de la législation nationale doit être examiné pour répondre à cette question. En général, les législations nationales relatives au secteur de la faune sauvage devraient, au minimum, définir des règles pour les aspects suivants :</w:t>
      </w:r>
    </w:p>
    <w:p w:rsidR="00BD5B7F" w:rsidRPr="00F33E85" w:rsidRDefault="00BD5B7F" w:rsidP="00BD5B7F">
      <w:pPr>
        <w:pStyle w:val="Paragraphedeliste"/>
        <w:widowControl w:val="0"/>
        <w:numPr>
          <w:ilvl w:val="0"/>
          <w:numId w:val="24"/>
        </w:numPr>
        <w:autoSpaceDE w:val="0"/>
        <w:autoSpaceDN w:val="0"/>
        <w:adjustRightInd w:val="0"/>
        <w:ind w:hanging="232"/>
        <w:jc w:val="both"/>
        <w:rPr>
          <w:rFonts w:ascii="Arial" w:hAnsi="Arial" w:cs="Arial"/>
          <w:sz w:val="18"/>
          <w:szCs w:val="18"/>
          <w:lang w:val="fr-FR"/>
        </w:rPr>
      </w:pPr>
      <w:r w:rsidRPr="00F33E85">
        <w:rPr>
          <w:rFonts w:ascii="Arial" w:hAnsi="Arial" w:cs="Arial"/>
          <w:sz w:val="18"/>
          <w:szCs w:val="18"/>
          <w:bdr w:val="none" w:sz="0" w:space="0" w:color="auto" w:frame="1"/>
          <w:lang w:val="fr-FR"/>
        </w:rPr>
        <w:t>Droit de propriété relative à la faune sauvage, c’est-à-dire propriété de l’État, droits de propriété privée, droits des peuples autochtones ou propriété indigène ;</w:t>
      </w:r>
    </w:p>
    <w:p w:rsidR="00BD5B7F" w:rsidRPr="00F33E85" w:rsidRDefault="00BD5B7F" w:rsidP="00BD5B7F">
      <w:pPr>
        <w:pStyle w:val="Paragraphedeliste"/>
        <w:widowControl w:val="0"/>
        <w:numPr>
          <w:ilvl w:val="0"/>
          <w:numId w:val="24"/>
        </w:numPr>
        <w:autoSpaceDE w:val="0"/>
        <w:autoSpaceDN w:val="0"/>
        <w:adjustRightInd w:val="0"/>
        <w:ind w:hanging="232"/>
        <w:jc w:val="both"/>
        <w:rPr>
          <w:rFonts w:ascii="Arial" w:hAnsi="Arial" w:cs="Arial"/>
          <w:sz w:val="18"/>
          <w:szCs w:val="18"/>
          <w:lang w:val="fr-FR"/>
        </w:rPr>
      </w:pPr>
      <w:r w:rsidRPr="00F33E85">
        <w:rPr>
          <w:rFonts w:ascii="Arial" w:hAnsi="Arial" w:cs="Arial"/>
          <w:sz w:val="18"/>
          <w:szCs w:val="18"/>
          <w:bdr w:val="none" w:sz="0" w:space="0" w:color="auto" w:frame="1"/>
          <w:lang w:val="fr-FR"/>
        </w:rPr>
        <w:t>Désignation des agences gouvernementales devant superviser et réglementer le secteur de la faune sauvage, les processus administratifs, etc. ;</w:t>
      </w:r>
    </w:p>
    <w:p w:rsidR="00BD5B7F" w:rsidRPr="00F33E85" w:rsidRDefault="00BD5B7F" w:rsidP="00BD5B7F">
      <w:pPr>
        <w:pStyle w:val="Paragraphedeliste"/>
        <w:widowControl w:val="0"/>
        <w:numPr>
          <w:ilvl w:val="0"/>
          <w:numId w:val="24"/>
        </w:numPr>
        <w:autoSpaceDE w:val="0"/>
        <w:autoSpaceDN w:val="0"/>
        <w:adjustRightInd w:val="0"/>
        <w:ind w:hanging="232"/>
        <w:jc w:val="both"/>
        <w:rPr>
          <w:rFonts w:ascii="Arial" w:hAnsi="Arial" w:cs="Arial"/>
          <w:sz w:val="18"/>
          <w:szCs w:val="18"/>
          <w:lang w:val="fr-FR"/>
        </w:rPr>
      </w:pPr>
      <w:r w:rsidRPr="00F33E85">
        <w:rPr>
          <w:rFonts w:ascii="Arial" w:hAnsi="Arial" w:cs="Arial"/>
          <w:sz w:val="18"/>
          <w:szCs w:val="18"/>
          <w:bdr w:val="none" w:sz="0" w:space="0" w:color="auto" w:frame="1"/>
          <w:lang w:val="fr-FR"/>
        </w:rPr>
        <w:t>Réserves de chasse et zones de chasse, y compris l’identification des zones où la chasse de subsistance, commerciale ou de loisirs est interdite ou autorisée ;</w:t>
      </w:r>
    </w:p>
    <w:p w:rsidR="00BD5B7F" w:rsidRPr="00F33E85" w:rsidRDefault="00BD5B7F" w:rsidP="00BD5B7F">
      <w:pPr>
        <w:pStyle w:val="Paragraphedeliste"/>
        <w:widowControl w:val="0"/>
        <w:numPr>
          <w:ilvl w:val="0"/>
          <w:numId w:val="24"/>
        </w:numPr>
        <w:autoSpaceDE w:val="0"/>
        <w:autoSpaceDN w:val="0"/>
        <w:adjustRightInd w:val="0"/>
        <w:ind w:hanging="232"/>
        <w:jc w:val="both"/>
        <w:rPr>
          <w:rFonts w:ascii="Arial" w:hAnsi="Arial" w:cs="Arial"/>
          <w:sz w:val="18"/>
          <w:szCs w:val="18"/>
          <w:lang w:val="fr-FR"/>
        </w:rPr>
      </w:pPr>
      <w:r w:rsidRPr="00F33E85">
        <w:rPr>
          <w:rFonts w:ascii="Arial" w:hAnsi="Arial" w:cs="Arial"/>
          <w:sz w:val="18"/>
          <w:szCs w:val="18"/>
          <w:bdr w:val="none" w:sz="0" w:space="0" w:color="auto" w:frame="1"/>
          <w:lang w:val="fr-FR"/>
        </w:rPr>
        <w:t>Systèmes de licence/permis pour la chasse commerciale et de loisirs, y compris les conditions d’octroi, de renouvellement et d’annulation des licences/permis de chasse ;</w:t>
      </w:r>
    </w:p>
    <w:p w:rsidR="00BD5B7F" w:rsidRPr="00F33E85" w:rsidRDefault="00BD5B7F" w:rsidP="00BD5B7F">
      <w:pPr>
        <w:pStyle w:val="Paragraphedeliste"/>
        <w:widowControl w:val="0"/>
        <w:numPr>
          <w:ilvl w:val="0"/>
          <w:numId w:val="24"/>
        </w:numPr>
        <w:autoSpaceDE w:val="0"/>
        <w:autoSpaceDN w:val="0"/>
        <w:adjustRightInd w:val="0"/>
        <w:ind w:hanging="232"/>
        <w:jc w:val="both"/>
        <w:rPr>
          <w:rFonts w:ascii="Arial" w:hAnsi="Arial" w:cs="Arial"/>
          <w:sz w:val="18"/>
          <w:szCs w:val="18"/>
          <w:lang w:val="fr-FR"/>
        </w:rPr>
      </w:pPr>
      <w:r w:rsidRPr="00F33E85">
        <w:rPr>
          <w:rFonts w:ascii="Arial" w:hAnsi="Arial" w:cs="Arial"/>
          <w:sz w:val="18"/>
          <w:szCs w:val="18"/>
          <w:bdr w:val="none" w:sz="0" w:space="0" w:color="auto" w:frame="1"/>
          <w:lang w:val="fr-FR"/>
        </w:rPr>
        <w:t>Règles de transport et d’importation/exportation contrôlant les transports de spécimens de la faune sauvage, morts ou vivants, de parties d’animaux et de produits fabriqués à partir d’animaux sauvages dans le pays et à travers les frontières internationales ; et</w:t>
      </w:r>
    </w:p>
    <w:p w:rsidR="00BD5B7F" w:rsidRPr="00F33E85" w:rsidRDefault="00BD5B7F" w:rsidP="00BD5B7F">
      <w:pPr>
        <w:pStyle w:val="Notedebasdepage"/>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hanging="232"/>
        <w:rPr>
          <w:sz w:val="18"/>
          <w:szCs w:val="18"/>
          <w:lang w:val="fr-FR"/>
        </w:rPr>
      </w:pPr>
      <w:r w:rsidRPr="00F33E85">
        <w:rPr>
          <w:rFonts w:ascii="Arial" w:eastAsia="Arial" w:hAnsi="Arial" w:cs="Arial"/>
          <w:sz w:val="18"/>
          <w:szCs w:val="18"/>
          <w:bdr w:val="none" w:sz="0" w:space="0" w:color="auto" w:frame="1"/>
          <w:lang w:val="fr-FR"/>
        </w:rPr>
        <w:t>Infractions pour violation des législations nationales sur la faune sauvage et mesures de lutte contre la fraude.</w:t>
      </w:r>
    </w:p>
  </w:footnote>
  <w:footnote w:id="17">
    <w:p w:rsidR="00BD5B7F" w:rsidRPr="00F33E85" w:rsidRDefault="00BD5B7F" w:rsidP="00BD5B7F">
      <w:pPr>
        <w:pStyle w:val="Notedebasdepage"/>
        <w:ind w:left="284" w:hanging="284"/>
        <w:rPr>
          <w:rFonts w:ascii="Arial" w:hAnsi="Arial" w:cs="Arial"/>
          <w:sz w:val="18"/>
          <w:szCs w:val="18"/>
          <w:lang w:val="fr-FR"/>
        </w:rPr>
      </w:pPr>
      <w:r w:rsidRPr="00F33E85">
        <w:rPr>
          <w:rStyle w:val="Appelnotedebasdep"/>
          <w:rFonts w:ascii="Arial" w:hAnsi="Arial" w:cs="Arial"/>
          <w:sz w:val="18"/>
          <w:szCs w:val="18"/>
        </w:rPr>
        <w:footnoteRef/>
      </w:r>
      <w:r w:rsidRPr="00F33E85">
        <w:rPr>
          <w:rFonts w:ascii="Arial" w:eastAsia="Arial" w:hAnsi="Arial" w:cs="Arial"/>
          <w:sz w:val="18"/>
          <w:szCs w:val="18"/>
          <w:bdr w:val="none" w:sz="0" w:space="0" w:color="auto" w:frame="1"/>
          <w:lang w:val="fr-FR"/>
        </w:rPr>
        <w:t xml:space="preserve"> L’interdiction générale peut faire l’objet de dérogations réglementées sur lesquelles porte la prochaine question.</w:t>
      </w:r>
    </w:p>
  </w:footnote>
  <w:footnote w:id="18">
    <w:p w:rsidR="00BD5B7F" w:rsidRPr="00F33E85" w:rsidRDefault="00BD5B7F" w:rsidP="00BD5B7F">
      <w:pPr>
        <w:pStyle w:val="Notedebasdepage"/>
        <w:ind w:left="284" w:hanging="284"/>
        <w:rPr>
          <w:rFonts w:ascii="Arial" w:hAnsi="Arial" w:cs="Arial"/>
          <w:sz w:val="18"/>
          <w:szCs w:val="18"/>
          <w:lang w:val="fr-FR"/>
        </w:rPr>
      </w:pPr>
      <w:r w:rsidRPr="00F33E85">
        <w:rPr>
          <w:rStyle w:val="Appelnotedebasdep"/>
          <w:rFonts w:ascii="Arial" w:hAnsi="Arial" w:cs="Arial"/>
          <w:sz w:val="18"/>
          <w:szCs w:val="18"/>
        </w:rPr>
        <w:footnoteRef/>
      </w:r>
      <w:r w:rsidRPr="00F33E85">
        <w:rPr>
          <w:rFonts w:ascii="Arial" w:eastAsia="Arial" w:hAnsi="Arial" w:cs="Arial"/>
          <w:sz w:val="18"/>
          <w:szCs w:val="18"/>
          <w:bdr w:val="none" w:sz="0" w:space="0" w:color="auto" w:frame="1"/>
          <w:lang w:val="fr-FR"/>
        </w:rPr>
        <w:t xml:space="preserve"> La définition juridique de « possession » peut varier selon les pays. Veuillez vous référer à votre législation nationale. </w:t>
      </w:r>
    </w:p>
  </w:footnote>
  <w:footnote w:id="19">
    <w:p w:rsidR="00BD5B7F" w:rsidRPr="00F33E85" w:rsidRDefault="00BD5B7F" w:rsidP="00BD5B7F">
      <w:pPr>
        <w:pStyle w:val="Notedebasdepage"/>
        <w:ind w:left="284" w:hanging="284"/>
        <w:rPr>
          <w:rFonts w:ascii="Arial" w:eastAsia="Arial" w:hAnsi="Arial" w:cs="Arial"/>
          <w:sz w:val="18"/>
          <w:szCs w:val="18"/>
          <w:bdr w:val="none" w:sz="0" w:space="0" w:color="auto" w:frame="1"/>
          <w:lang w:val="fr-FR"/>
        </w:rPr>
      </w:pPr>
      <w:r>
        <w:rPr>
          <w:rStyle w:val="Appelnotedebasdep"/>
          <w:rFonts w:ascii="Arial" w:hAnsi="Arial" w:cs="Arial"/>
          <w:sz w:val="16"/>
          <w:szCs w:val="16"/>
          <w:lang w:val="en-GB"/>
        </w:rPr>
        <w:footnoteRef/>
      </w:r>
      <w:r>
        <w:rPr>
          <w:rFonts w:ascii="Arial" w:eastAsia="Arial" w:hAnsi="Arial" w:cs="Arial"/>
          <w:sz w:val="16"/>
          <w:szCs w:val="16"/>
          <w:bdr w:val="none" w:sz="0" w:space="0" w:color="auto" w:frame="1"/>
          <w:lang w:val="fr-FR"/>
        </w:rPr>
        <w:t xml:space="preserve"> </w:t>
      </w:r>
      <w:r>
        <w:rPr>
          <w:rFonts w:ascii="Arial" w:eastAsia="Arial" w:hAnsi="Arial" w:cs="Arial"/>
          <w:sz w:val="16"/>
          <w:szCs w:val="16"/>
          <w:bdr w:val="none" w:sz="0" w:space="0" w:color="auto" w:frame="1"/>
          <w:lang w:val="fr-FR"/>
        </w:rPr>
        <w:tab/>
      </w:r>
      <w:r w:rsidRPr="00F33E85">
        <w:rPr>
          <w:rFonts w:ascii="Arial" w:eastAsia="Arial" w:hAnsi="Arial" w:cs="Arial"/>
          <w:sz w:val="18"/>
          <w:szCs w:val="18"/>
          <w:bdr w:val="none" w:sz="0" w:space="0" w:color="auto" w:frame="1"/>
          <w:lang w:val="fr-FR"/>
        </w:rPr>
        <w:t>L’article 9 de la Convention de Berne stipule que : « À condition qu’il n’existe pas une autre solution satisfaisante et que la dérogation ne nuise pas à la survie de la population concernée, chaque Partie contractante peut déroger aux dispositions des articles 4, 5, 6, 7 et à l’interdiction de l’utilisation des moyens visés à l’article 8 ». Un document d’interprétation de l’article 9 de la Convention est disponible sur :</w:t>
      </w:r>
    </w:p>
    <w:p w:rsidR="00BD5B7F" w:rsidRPr="00F33E85" w:rsidRDefault="00BD5B7F" w:rsidP="00BD5B7F">
      <w:pPr>
        <w:pStyle w:val="Notedebasdepage"/>
        <w:ind w:left="284"/>
        <w:rPr>
          <w:rFonts w:ascii="Arial" w:hAnsi="Arial" w:cs="Arial"/>
          <w:sz w:val="18"/>
          <w:szCs w:val="18"/>
          <w:lang w:val="fr-FR"/>
        </w:rPr>
      </w:pPr>
      <w:hyperlink r:id="rId4" w:history="1">
        <w:r w:rsidRPr="00F33E85">
          <w:rPr>
            <w:rStyle w:val="Lienhypertexte"/>
            <w:rFonts w:ascii="Arial" w:eastAsia="Arial" w:hAnsi="Arial" w:cs="Arial"/>
            <w:sz w:val="18"/>
            <w:szCs w:val="18"/>
            <w:bdr w:val="none" w:sz="0" w:space="0" w:color="auto" w:frame="1"/>
            <w:lang w:val="fr-FR"/>
          </w:rPr>
          <w:t>https://wcd.coe.int/com.instranet.InstraServlet?command=com.instranet.CmdBlobGet&amp;InstranetImage=1952251&amp;SecMode=1&amp;DocId=1646536&amp;Usage=2</w:t>
        </w:r>
      </w:hyperlink>
    </w:p>
  </w:footnote>
  <w:footnote w:id="20">
    <w:p w:rsidR="00BD5B7F" w:rsidRPr="00F33E85" w:rsidRDefault="00BD5B7F" w:rsidP="00BD5B7F">
      <w:pPr>
        <w:pStyle w:val="Notedebasdepage"/>
        <w:ind w:left="284" w:hanging="284"/>
        <w:rPr>
          <w:rFonts w:ascii="Arial" w:hAnsi="Arial" w:cs="Arial"/>
          <w:sz w:val="18"/>
          <w:szCs w:val="18"/>
          <w:lang w:val="it-IT"/>
        </w:rPr>
      </w:pPr>
      <w:r w:rsidRPr="00F33E85">
        <w:rPr>
          <w:rStyle w:val="Appelnotedebasdep"/>
          <w:rFonts w:ascii="Arial" w:hAnsi="Arial" w:cs="Arial"/>
          <w:sz w:val="18"/>
          <w:szCs w:val="18"/>
        </w:rPr>
        <w:footnoteRef/>
      </w:r>
      <w:r w:rsidRPr="00F33E85">
        <w:rPr>
          <w:rFonts w:ascii="Arial" w:eastAsia="Arial" w:hAnsi="Arial" w:cs="Arial"/>
          <w:sz w:val="18"/>
          <w:szCs w:val="18"/>
          <w:bdr w:val="none" w:sz="0" w:space="0" w:color="auto" w:frame="1"/>
          <w:lang w:val="fr-FR"/>
        </w:rPr>
        <w:t xml:space="preserve"> </w:t>
      </w:r>
      <w:r w:rsidRPr="00F33E85">
        <w:rPr>
          <w:rFonts w:ascii="Arial" w:eastAsia="Arial" w:hAnsi="Arial" w:cs="Arial"/>
          <w:sz w:val="18"/>
          <w:szCs w:val="18"/>
          <w:bdr w:val="none" w:sz="0" w:space="0" w:color="auto" w:frame="1"/>
          <w:lang w:val="fr-FR"/>
        </w:rPr>
        <w:tab/>
        <w:t xml:space="preserve">L’Article III.5 de la CMS </w:t>
      </w:r>
      <w:r w:rsidRPr="00F33E85">
        <w:rPr>
          <w:rFonts w:ascii="Arial" w:eastAsia="Arial" w:hAnsi="Arial" w:cs="Arial"/>
          <w:color w:val="555555"/>
          <w:sz w:val="18"/>
          <w:szCs w:val="18"/>
          <w:bdr w:val="none" w:sz="0" w:space="0" w:color="auto" w:frame="1"/>
          <w:shd w:val="clear" w:color="auto" w:fill="FFFFFF"/>
          <w:lang w:val="fr-FR"/>
        </w:rPr>
        <w:t>stipule que « l</w:t>
      </w:r>
      <w:r w:rsidRPr="00F33E85">
        <w:rPr>
          <w:rFonts w:ascii="Arial" w:eastAsia="Arial" w:hAnsi="Arial" w:cs="Arial"/>
          <w:color w:val="333333"/>
          <w:sz w:val="18"/>
          <w:szCs w:val="18"/>
          <w:bdr w:val="none" w:sz="0" w:space="0" w:color="auto" w:frame="1"/>
          <w:shd w:val="clear" w:color="auto" w:fill="FFFFFF"/>
          <w:lang w:val="fr-FR"/>
        </w:rPr>
        <w:t>es Parties qui sont des États de l’aire de répartition d’une espèce migratrice figurant à l’Annexe I interdisent le prélèvement d’animaux appartenant à cette espèce ». Des dérogations à cette interdiction ne peuvent être accordées que selon des conditions clairement définies dans cet article.</w:t>
      </w:r>
    </w:p>
  </w:footnote>
  <w:footnote w:id="21">
    <w:p w:rsidR="00BD5B7F" w:rsidRDefault="00BD5B7F" w:rsidP="00BD5B7F">
      <w:pPr>
        <w:pStyle w:val="Notedebasdepage"/>
        <w:ind w:left="284" w:hanging="284"/>
        <w:rPr>
          <w:rFonts w:ascii="Arial" w:hAnsi="Arial" w:cs="Arial"/>
          <w:sz w:val="16"/>
          <w:szCs w:val="16"/>
          <w:lang w:val="fr-FR"/>
        </w:rPr>
      </w:pPr>
      <w:r w:rsidRPr="00F33E85">
        <w:rPr>
          <w:rStyle w:val="Appelnotedebasdep"/>
          <w:rFonts w:ascii="Arial" w:hAnsi="Arial" w:cs="Arial"/>
          <w:sz w:val="18"/>
          <w:szCs w:val="18"/>
          <w:lang w:val="en-GB"/>
        </w:rPr>
        <w:footnoteRef/>
      </w:r>
      <w:r w:rsidRPr="00F33E85">
        <w:rPr>
          <w:rFonts w:ascii="Arial" w:eastAsia="Arial" w:hAnsi="Arial" w:cs="Arial"/>
          <w:sz w:val="18"/>
          <w:szCs w:val="18"/>
          <w:bdr w:val="none" w:sz="0" w:space="0" w:color="auto" w:frame="1"/>
          <w:lang w:val="fr-FR"/>
        </w:rPr>
        <w:t xml:space="preserve"> </w:t>
      </w:r>
      <w:r w:rsidRPr="00F33E85">
        <w:rPr>
          <w:rFonts w:ascii="Arial" w:eastAsia="Arial" w:hAnsi="Arial" w:cs="Arial"/>
          <w:sz w:val="18"/>
          <w:szCs w:val="18"/>
          <w:bdr w:val="none" w:sz="0" w:space="0" w:color="auto" w:frame="1"/>
          <w:lang w:val="fr-FR"/>
        </w:rPr>
        <w:tab/>
      </w:r>
      <w:r w:rsidRPr="00F33E85">
        <w:rPr>
          <w:rFonts w:ascii="Arial" w:eastAsia="Arial" w:hAnsi="Arial" w:cs="Arial"/>
          <w:sz w:val="18"/>
          <w:szCs w:val="18"/>
          <w:bdr w:val="none" w:sz="0" w:space="0" w:color="auto" w:frame="1"/>
          <w:shd w:val="clear" w:color="auto" w:fill="FFFFFF"/>
          <w:lang w:val="fr-FR"/>
        </w:rPr>
        <w:t>Un nombre limité d’activités normalement interdites par la Directive Oiseaux (</w:t>
      </w:r>
      <w:r w:rsidRPr="00F33E85">
        <w:rPr>
          <w:rFonts w:ascii="Arial" w:eastAsia="Arial" w:hAnsi="Arial" w:cs="Arial"/>
          <w:sz w:val="18"/>
          <w:szCs w:val="18"/>
          <w:bdr w:val="none" w:sz="0" w:space="0" w:color="auto" w:frame="1"/>
          <w:lang w:val="fr-FR"/>
        </w:rPr>
        <w:t xml:space="preserve">2009/147 / CE) </w:t>
      </w:r>
      <w:r w:rsidRPr="00F33E85">
        <w:rPr>
          <w:rFonts w:ascii="Arial" w:eastAsia="Arial" w:hAnsi="Arial" w:cs="Arial"/>
          <w:sz w:val="18"/>
          <w:szCs w:val="18"/>
          <w:bdr w:val="none" w:sz="0" w:space="0" w:color="auto" w:frame="1"/>
          <w:shd w:val="clear" w:color="auto" w:fill="FFFFFF"/>
          <w:lang w:val="fr-FR"/>
        </w:rPr>
        <w:t>(Articles 5 à 8) sont autorisées par voie de dérogation, lorsque des situations ou problèmes particuliers existent ou peuvent survenir. Les possibilités d’utilisation de ces dérogations sont limitées. Elles doivent être justifiées par rapport aux objectifs généraux de la Directive et se conformer aux conditions spécifiques des dérogations décrites à l’Article 9.</w:t>
      </w:r>
    </w:p>
  </w:footnote>
  <w:footnote w:id="22">
    <w:p w:rsidR="00BD5B7F" w:rsidRPr="00F33E85" w:rsidRDefault="00BD5B7F" w:rsidP="00BD5B7F">
      <w:pPr>
        <w:pStyle w:val="Notedebasdepage"/>
        <w:ind w:left="284" w:hanging="284"/>
        <w:rPr>
          <w:rFonts w:ascii="Arial" w:hAnsi="Arial" w:cs="Arial"/>
          <w:sz w:val="18"/>
          <w:szCs w:val="18"/>
          <w:lang w:val="fr-FR"/>
        </w:rPr>
      </w:pPr>
      <w:r>
        <w:rPr>
          <w:rStyle w:val="Appelnotedebasdep"/>
          <w:rFonts w:ascii="Arial" w:hAnsi="Arial" w:cs="Arial"/>
          <w:sz w:val="16"/>
          <w:szCs w:val="16"/>
          <w:lang w:val="en-GB"/>
        </w:rPr>
        <w:footnoteRef/>
      </w:r>
      <w:r>
        <w:rPr>
          <w:rFonts w:ascii="Arial" w:eastAsia="Arial" w:hAnsi="Arial" w:cs="Arial"/>
          <w:sz w:val="16"/>
          <w:szCs w:val="16"/>
          <w:bdr w:val="none" w:sz="0" w:space="0" w:color="auto" w:frame="1"/>
          <w:lang w:val="fr-FR"/>
        </w:rPr>
        <w:t xml:space="preserve"> </w:t>
      </w:r>
      <w:r>
        <w:rPr>
          <w:rFonts w:ascii="Arial" w:eastAsia="Arial" w:hAnsi="Arial" w:cs="Arial"/>
          <w:sz w:val="16"/>
          <w:szCs w:val="16"/>
          <w:bdr w:val="none" w:sz="0" w:space="0" w:color="auto" w:frame="1"/>
          <w:lang w:val="fr-FR"/>
        </w:rPr>
        <w:tab/>
      </w:r>
      <w:r w:rsidRPr="00F33E85">
        <w:rPr>
          <w:rFonts w:ascii="Arial" w:eastAsia="Arial" w:hAnsi="Arial" w:cs="Arial"/>
          <w:sz w:val="18"/>
          <w:szCs w:val="18"/>
          <w:bdr w:val="none" w:sz="0" w:space="0" w:color="auto" w:frame="1"/>
          <w:lang w:val="fr-FR"/>
        </w:rPr>
        <w:t>Cet indicateur est basé sur l’indicateur 40 du cadre de l’ICCWC.</w:t>
      </w:r>
    </w:p>
  </w:footnote>
  <w:footnote w:id="23">
    <w:p w:rsidR="00BD5B7F" w:rsidRPr="00F33E85" w:rsidRDefault="00BD5B7F" w:rsidP="00BD5B7F">
      <w:pPr>
        <w:pStyle w:val="Notedebasdepage"/>
        <w:ind w:left="284" w:hanging="284"/>
        <w:rPr>
          <w:rFonts w:ascii="Arial" w:hAnsi="Arial" w:cs="Arial"/>
          <w:sz w:val="18"/>
          <w:szCs w:val="18"/>
          <w:lang w:val="fr-FR"/>
        </w:rPr>
      </w:pPr>
      <w:r w:rsidRPr="00F33E85">
        <w:rPr>
          <w:rStyle w:val="Appelnotedebasdep"/>
          <w:rFonts w:ascii="Arial" w:hAnsi="Arial" w:cs="Arial"/>
          <w:sz w:val="18"/>
          <w:szCs w:val="18"/>
          <w:lang w:val="en-GB"/>
        </w:rPr>
        <w:footnoteRef/>
      </w:r>
      <w:r w:rsidRPr="00F33E85">
        <w:rPr>
          <w:rFonts w:ascii="Arial" w:eastAsia="Arial" w:hAnsi="Arial" w:cs="Arial"/>
          <w:sz w:val="18"/>
          <w:szCs w:val="18"/>
          <w:bdr w:val="none" w:sz="0" w:space="0" w:color="auto" w:frame="1"/>
          <w:lang w:val="fr-FR"/>
        </w:rPr>
        <w:t xml:space="preserve"> </w:t>
      </w:r>
      <w:r w:rsidRPr="00F33E85">
        <w:rPr>
          <w:rFonts w:ascii="Arial" w:eastAsia="Arial" w:hAnsi="Arial" w:cs="Arial"/>
          <w:sz w:val="18"/>
          <w:szCs w:val="18"/>
          <w:bdr w:val="none" w:sz="0" w:space="0" w:color="auto" w:frame="1"/>
          <w:lang w:val="fr-FR"/>
        </w:rPr>
        <w:tab/>
      </w:r>
      <w:r w:rsidRPr="00F33E85">
        <w:rPr>
          <w:rFonts w:ascii="Arial" w:eastAsia="Arial" w:hAnsi="Arial" w:cs="Arial"/>
          <w:color w:val="222222"/>
          <w:sz w:val="18"/>
          <w:szCs w:val="18"/>
          <w:bdr w:val="none" w:sz="0" w:space="0" w:color="auto" w:frame="1"/>
          <w:shd w:val="clear" w:color="auto" w:fill="FFFFFF"/>
          <w:lang w:val="fr-FR"/>
        </w:rPr>
        <w:t>La mesure et l’estimation des effets de la sanction pénale sur les comportements criminels ultérieurs sont très complexes et il n’y a pas d’accord sur le caractère dissuasif des sanctions sur les comportements criminels. Veuillez vous assurer d’évaluer ici l’adéquation de la loi, et non l’efficacité du système judiciaire (qui a également un impact sur le caractère dissuasif d’une loi). Il s’agit donc d’un avis d’expert, mais qui devrait être appuyé par des faits qui seront mentionnés dans la section « commentaires ».</w:t>
      </w:r>
    </w:p>
  </w:footnote>
  <w:footnote w:id="24">
    <w:p w:rsidR="00BD5B7F" w:rsidRPr="00F33E85" w:rsidRDefault="00BD5B7F" w:rsidP="00BD5B7F">
      <w:pPr>
        <w:pStyle w:val="Notedebasdepage"/>
        <w:ind w:left="284" w:hanging="284"/>
        <w:rPr>
          <w:rFonts w:ascii="Arial" w:hAnsi="Arial" w:cs="Arial"/>
          <w:sz w:val="18"/>
          <w:szCs w:val="18"/>
          <w:lang w:val="fr-FR"/>
        </w:rPr>
      </w:pPr>
      <w:r w:rsidRPr="00F33E85">
        <w:rPr>
          <w:rStyle w:val="Appelnotedebasdep"/>
          <w:rFonts w:ascii="Arial" w:hAnsi="Arial" w:cs="Arial"/>
          <w:sz w:val="18"/>
          <w:szCs w:val="18"/>
          <w:lang w:val="en-GB"/>
        </w:rPr>
        <w:footnoteRef/>
      </w:r>
      <w:r w:rsidRPr="00F33E85">
        <w:rPr>
          <w:rFonts w:ascii="Arial" w:eastAsia="Arial" w:hAnsi="Arial" w:cs="Arial"/>
          <w:sz w:val="18"/>
          <w:szCs w:val="18"/>
          <w:bdr w:val="none" w:sz="0" w:space="0" w:color="auto" w:frame="1"/>
          <w:lang w:val="fr-FR"/>
        </w:rPr>
        <w:t xml:space="preserve"> </w:t>
      </w:r>
      <w:r w:rsidRPr="00F33E85">
        <w:rPr>
          <w:rFonts w:ascii="Arial" w:eastAsia="Arial" w:hAnsi="Arial" w:cs="Arial"/>
          <w:sz w:val="18"/>
          <w:szCs w:val="18"/>
          <w:bdr w:val="none" w:sz="0" w:space="0" w:color="auto" w:frame="1"/>
          <w:lang w:val="fr-FR"/>
        </w:rPr>
        <w:tab/>
        <w:t>Recommandation de la Convention de Berne n° 177 (2015) sur les facteurs de gravité et les principes en matière de fixation des peines pour l’évaluation des infractions contre les oiseaux, et notamment la mise à mort, le piégeage et le commerce illégaux d’oiseaux sauvages.</w:t>
      </w:r>
    </w:p>
  </w:footnote>
  <w:footnote w:id="25">
    <w:p w:rsidR="00BD5B7F" w:rsidRPr="00F33E85" w:rsidRDefault="00BD5B7F" w:rsidP="00BD5B7F">
      <w:pPr>
        <w:pStyle w:val="Notedebasdepage"/>
        <w:ind w:left="284" w:hanging="284"/>
        <w:rPr>
          <w:rFonts w:ascii="Arial" w:hAnsi="Arial" w:cs="Arial"/>
          <w:sz w:val="18"/>
          <w:szCs w:val="18"/>
          <w:lang w:val="fr-FR"/>
        </w:rPr>
      </w:pPr>
      <w:r w:rsidRPr="00F33E85">
        <w:rPr>
          <w:rStyle w:val="Appelnotedebasdep"/>
          <w:rFonts w:ascii="Arial" w:hAnsi="Arial" w:cs="Arial"/>
          <w:sz w:val="18"/>
          <w:szCs w:val="18"/>
          <w:lang w:val="en-GB"/>
        </w:rPr>
        <w:footnoteRef/>
      </w:r>
      <w:r w:rsidRPr="00F33E85">
        <w:rPr>
          <w:rFonts w:ascii="Arial" w:eastAsia="Arial" w:hAnsi="Arial" w:cs="Arial"/>
          <w:sz w:val="18"/>
          <w:szCs w:val="18"/>
          <w:bdr w:val="none" w:sz="0" w:space="0" w:color="auto" w:frame="1"/>
          <w:lang w:val="fr-FR"/>
        </w:rPr>
        <w:t xml:space="preserve"> </w:t>
      </w:r>
      <w:r w:rsidRPr="00F33E85">
        <w:rPr>
          <w:rFonts w:ascii="Arial" w:eastAsia="Arial" w:hAnsi="Arial" w:cs="Arial"/>
          <w:sz w:val="18"/>
          <w:szCs w:val="18"/>
          <w:bdr w:val="none" w:sz="0" w:space="0" w:color="auto" w:frame="1"/>
          <w:lang w:val="fr-FR"/>
        </w:rPr>
        <w:tab/>
        <w:t>La Convention des Nations Unies contre la criminalité transnationale organisée définit une infraction grave comme un acte constituant une infraction passible d’un emprisonnement d’au moins quatre ans ou d’une peine plus lourde.</w:t>
      </w:r>
    </w:p>
  </w:footnote>
  <w:footnote w:id="26">
    <w:p w:rsidR="00BD5B7F" w:rsidRPr="00F33E85" w:rsidRDefault="00BD5B7F" w:rsidP="00BD5B7F">
      <w:pPr>
        <w:pStyle w:val="Notedebasdepage"/>
        <w:ind w:left="284" w:hanging="284"/>
        <w:rPr>
          <w:rFonts w:ascii="Arial" w:hAnsi="Arial" w:cs="Arial"/>
          <w:sz w:val="18"/>
          <w:szCs w:val="18"/>
          <w:lang w:val="it-IT"/>
        </w:rPr>
      </w:pPr>
      <w:r>
        <w:rPr>
          <w:rStyle w:val="Appelnotedebasdep"/>
          <w:rFonts w:ascii="Arial" w:hAnsi="Arial" w:cs="Arial"/>
          <w:sz w:val="16"/>
          <w:szCs w:val="16"/>
        </w:rPr>
        <w:footnoteRef/>
      </w:r>
      <w:r>
        <w:rPr>
          <w:rFonts w:ascii="Arial" w:eastAsia="Arial" w:hAnsi="Arial" w:cs="Arial"/>
          <w:sz w:val="16"/>
          <w:szCs w:val="16"/>
          <w:bdr w:val="none" w:sz="0" w:space="0" w:color="auto" w:frame="1"/>
          <w:lang w:val="fr-FR"/>
        </w:rPr>
        <w:t xml:space="preserve"> </w:t>
      </w:r>
      <w:r>
        <w:rPr>
          <w:rFonts w:ascii="Arial" w:eastAsia="Arial" w:hAnsi="Arial" w:cs="Arial"/>
          <w:sz w:val="16"/>
          <w:szCs w:val="16"/>
          <w:bdr w:val="none" w:sz="0" w:space="0" w:color="auto" w:frame="1"/>
          <w:lang w:val="fr-FR"/>
        </w:rPr>
        <w:tab/>
      </w:r>
      <w:r w:rsidRPr="00F33E85">
        <w:rPr>
          <w:rFonts w:ascii="Arial" w:eastAsia="Arial" w:hAnsi="Arial" w:cs="Arial"/>
          <w:sz w:val="18"/>
          <w:szCs w:val="18"/>
          <w:bdr w:val="none" w:sz="0" w:space="0" w:color="auto" w:frame="1"/>
          <w:lang w:val="fr-FR"/>
        </w:rPr>
        <w:t>Cet indicateur est basé sur l’indicateur 33 du Cadre d’indicateurs de l’ICCWC.</w:t>
      </w:r>
    </w:p>
  </w:footnote>
  <w:footnote w:id="27">
    <w:p w:rsidR="00BD5B7F" w:rsidRPr="00865DA5" w:rsidRDefault="00BD5B7F" w:rsidP="00BD5B7F">
      <w:pPr>
        <w:ind w:left="284" w:hanging="284"/>
        <w:jc w:val="both"/>
        <w:rPr>
          <w:sz w:val="18"/>
          <w:szCs w:val="18"/>
          <w:lang w:val="fr-FR"/>
        </w:rPr>
      </w:pPr>
      <w:r w:rsidRPr="00F33E85">
        <w:rPr>
          <w:rStyle w:val="Appelnotedebasdep"/>
          <w:rFonts w:ascii="Arial" w:hAnsi="Arial" w:cs="Arial"/>
          <w:sz w:val="18"/>
          <w:szCs w:val="18"/>
        </w:rPr>
        <w:footnoteRef/>
      </w:r>
      <w:r w:rsidRPr="00865DA5">
        <w:rPr>
          <w:rFonts w:ascii="Arial" w:hAnsi="Arial" w:cs="Arial"/>
          <w:sz w:val="18"/>
          <w:szCs w:val="18"/>
          <w:lang w:val="fr-FR"/>
        </w:rPr>
        <w:t xml:space="preserve"> </w:t>
      </w:r>
      <w:r w:rsidRPr="00865DA5">
        <w:rPr>
          <w:rFonts w:ascii="Arial" w:hAnsi="Arial" w:cs="Arial"/>
          <w:sz w:val="18"/>
          <w:szCs w:val="18"/>
          <w:lang w:val="fr-FR"/>
        </w:rPr>
        <w:tab/>
        <w:t>En raison de la valeur élevée de certains spécimens d’oiseaux commercialisés illégalement et de la participation des groupes de la criminalité organisée à l’IKB, les amendes maximales de la législation promulguée pour lutter contre la criminalité liée aux espèces sauvages ont souvent peu de rapport avec la valeur des spécimens faisant l’objet de l’infraction ou avec la gravité de l’infraction. Il est donc important que les personnes arrêtées pour leur implication dans des affaires d’IKB soient inculpées et jugées en vertu d’une combinaison de lois pertinentes qui entraînent les plus fortes sanctions, chaque fois que cela est possible et approprié. Cela comprend des dispositions législatives portant sur la coopération internationale, la lutte contre la corruption, et la lutte contre la criminalité organisée. Cela comprend également l’utilisation de législations générales sur la criminalité se rapportant à des infractions telles que la fraude, le complot, la détention d’armes, ainsi que d’autres questions énoncées dans le code pénal national</w:t>
      </w:r>
      <w:r w:rsidRPr="00865DA5">
        <w:rPr>
          <w:rFonts w:cs="Arial"/>
          <w:sz w:val="18"/>
          <w:szCs w:val="18"/>
          <w:lang w:val="fr-FR"/>
        </w:rPr>
        <w:t>.</w:t>
      </w:r>
    </w:p>
  </w:footnote>
  <w:footnote w:id="28">
    <w:p w:rsidR="00BD5B7F" w:rsidRPr="00865DA5" w:rsidRDefault="00BD5B7F" w:rsidP="00BD5B7F">
      <w:pPr>
        <w:ind w:left="284" w:hanging="284"/>
        <w:jc w:val="both"/>
        <w:rPr>
          <w:rFonts w:ascii="Arial" w:hAnsi="Arial" w:cs="Arial"/>
          <w:sz w:val="18"/>
          <w:szCs w:val="18"/>
          <w:lang w:val="fr-FR"/>
        </w:rPr>
      </w:pPr>
      <w:r>
        <w:rPr>
          <w:rStyle w:val="Appelnotedebasdep"/>
          <w:rFonts w:ascii="Arial" w:hAnsi="Arial" w:cs="Arial"/>
          <w:sz w:val="16"/>
          <w:szCs w:val="16"/>
        </w:rPr>
        <w:footnoteRef/>
      </w:r>
      <w:r w:rsidRPr="00865DA5">
        <w:rPr>
          <w:rFonts w:ascii="Arial" w:hAnsi="Arial" w:cs="Arial"/>
          <w:sz w:val="16"/>
          <w:szCs w:val="16"/>
          <w:bdr w:val="none" w:sz="0" w:space="0" w:color="auto" w:frame="1"/>
          <w:lang w:val="fr-FR"/>
        </w:rPr>
        <w:t xml:space="preserve"> </w:t>
      </w:r>
      <w:r w:rsidRPr="00865DA5">
        <w:rPr>
          <w:rFonts w:ascii="Arial" w:hAnsi="Arial" w:cs="Arial"/>
          <w:sz w:val="16"/>
          <w:szCs w:val="16"/>
          <w:bdr w:val="none" w:sz="0" w:space="0" w:color="auto" w:frame="1"/>
          <w:lang w:val="fr-FR"/>
        </w:rPr>
        <w:tab/>
      </w:r>
      <w:r w:rsidRPr="00865DA5">
        <w:rPr>
          <w:rFonts w:ascii="Arial" w:hAnsi="Arial" w:cs="Arial"/>
          <w:sz w:val="18"/>
          <w:szCs w:val="18"/>
          <w:bdr w:val="none" w:sz="0" w:space="0" w:color="auto" w:frame="1"/>
          <w:lang w:val="fr-FR"/>
        </w:rPr>
        <w:t>La Convention des Nations Unies contre la criminalité transnationale organisée définit un groupe criminel organisé comme « un groupe structuré de trois personnes ou plus existant depuis un certain temps et agissant de concert dans le but de commettre une ou plusieurs infractions graves ou infractions établies conformément à la présente Convention, pour en tirer, directement ou indirectement, un avantage financier ou un autre avantage matériel ».</w:t>
      </w:r>
    </w:p>
  </w:footnote>
  <w:footnote w:id="29">
    <w:p w:rsidR="00BD5B7F" w:rsidRPr="00F33E85" w:rsidRDefault="00BD5B7F" w:rsidP="00BD5B7F">
      <w:pPr>
        <w:pStyle w:val="Notedebasdepage"/>
        <w:rPr>
          <w:rFonts w:ascii="Arial" w:hAnsi="Arial" w:cs="Arial"/>
          <w:sz w:val="18"/>
          <w:szCs w:val="18"/>
          <w:lang w:val="fr-FR"/>
        </w:rPr>
      </w:pPr>
      <w:r w:rsidRPr="00F33E85">
        <w:rPr>
          <w:rStyle w:val="Appelnotedebasdep"/>
          <w:rFonts w:ascii="Arial" w:hAnsi="Arial" w:cs="Arial"/>
          <w:sz w:val="18"/>
          <w:szCs w:val="18"/>
          <w:lang w:val="en-GB"/>
        </w:rPr>
        <w:footnoteRef/>
      </w:r>
      <w:r w:rsidRPr="00F33E85">
        <w:rPr>
          <w:rFonts w:ascii="Arial" w:eastAsia="Arial" w:hAnsi="Arial" w:cs="Arial"/>
          <w:sz w:val="18"/>
          <w:szCs w:val="18"/>
          <w:bdr w:val="none" w:sz="0" w:space="0" w:color="auto" w:frame="1"/>
          <w:lang w:val="fr-FR"/>
        </w:rPr>
        <w:t xml:space="preserve"> Cet indicateur correspond à l’indicateur 3 du cadre de l’ICCWC </w:t>
      </w:r>
    </w:p>
  </w:footnote>
  <w:footnote w:id="30">
    <w:p w:rsidR="00BD5B7F" w:rsidRPr="00F33E85" w:rsidRDefault="00BD5B7F" w:rsidP="00BD5B7F">
      <w:pPr>
        <w:pStyle w:val="Notedebasdepage"/>
        <w:ind w:left="284" w:hanging="284"/>
        <w:rPr>
          <w:rFonts w:ascii="Arial" w:hAnsi="Arial" w:cs="Arial"/>
          <w:sz w:val="18"/>
          <w:szCs w:val="18"/>
          <w:lang w:val="fr-FR"/>
        </w:rPr>
      </w:pPr>
      <w:r>
        <w:rPr>
          <w:rStyle w:val="Appelnotedebasdep"/>
          <w:rFonts w:ascii="Arial" w:hAnsi="Arial" w:cs="Arial"/>
          <w:sz w:val="16"/>
          <w:szCs w:val="16"/>
          <w:lang w:val="en-GB"/>
        </w:rPr>
        <w:footnoteRef/>
      </w:r>
      <w:r>
        <w:rPr>
          <w:rFonts w:ascii="Arial" w:eastAsia="Arial" w:hAnsi="Arial" w:cs="Arial"/>
          <w:sz w:val="16"/>
          <w:szCs w:val="16"/>
          <w:bdr w:val="none" w:sz="0" w:space="0" w:color="auto" w:frame="1"/>
          <w:lang w:val="fr-FR"/>
        </w:rPr>
        <w:t xml:space="preserve"> </w:t>
      </w:r>
      <w:r>
        <w:rPr>
          <w:rFonts w:ascii="Arial" w:eastAsia="Arial" w:hAnsi="Arial" w:cs="Arial"/>
          <w:sz w:val="16"/>
          <w:szCs w:val="16"/>
          <w:bdr w:val="none" w:sz="0" w:space="0" w:color="auto" w:frame="1"/>
          <w:lang w:val="fr-FR"/>
        </w:rPr>
        <w:tab/>
      </w:r>
      <w:r w:rsidRPr="00F33E85">
        <w:rPr>
          <w:rFonts w:ascii="Arial" w:eastAsia="Arial" w:hAnsi="Arial" w:cs="Arial"/>
          <w:sz w:val="18"/>
          <w:szCs w:val="18"/>
          <w:bdr w:val="none" w:sz="0" w:space="0" w:color="auto" w:frame="1"/>
          <w:lang w:val="fr-FR"/>
        </w:rPr>
        <w:t>Cet indicateur est basé sur l’indicateur 1 du cadre d’indicateurs de l’ICCWC.</w:t>
      </w:r>
    </w:p>
  </w:footnote>
  <w:footnote w:id="31">
    <w:p w:rsidR="00BD5B7F" w:rsidRPr="00F33E85" w:rsidRDefault="00BD5B7F" w:rsidP="00BD5B7F">
      <w:pPr>
        <w:pStyle w:val="Notedebasdepage"/>
        <w:ind w:left="284" w:hanging="284"/>
        <w:rPr>
          <w:rFonts w:ascii="Arial" w:hAnsi="Arial" w:cs="Arial"/>
          <w:sz w:val="18"/>
          <w:szCs w:val="18"/>
          <w:lang w:val="fr-FR"/>
        </w:rPr>
      </w:pPr>
      <w:r w:rsidRPr="00F33E85">
        <w:rPr>
          <w:rStyle w:val="Appelnotedebasdep"/>
          <w:rFonts w:ascii="Arial" w:hAnsi="Arial" w:cs="Arial"/>
          <w:sz w:val="18"/>
          <w:szCs w:val="18"/>
        </w:rPr>
        <w:footnoteRef/>
      </w:r>
      <w:r w:rsidRPr="00F33E85">
        <w:rPr>
          <w:rFonts w:ascii="Arial" w:eastAsia="Arial" w:hAnsi="Arial" w:cs="Arial"/>
          <w:sz w:val="18"/>
          <w:szCs w:val="18"/>
          <w:bdr w:val="none" w:sz="0" w:space="0" w:color="auto" w:frame="1"/>
          <w:lang w:val="fr-FR"/>
        </w:rPr>
        <w:t xml:space="preserve"> </w:t>
      </w:r>
      <w:r w:rsidRPr="00F33E85">
        <w:rPr>
          <w:rFonts w:ascii="Arial" w:eastAsia="Arial" w:hAnsi="Arial" w:cs="Arial"/>
          <w:sz w:val="18"/>
          <w:szCs w:val="18"/>
          <w:bdr w:val="none" w:sz="0" w:space="0" w:color="auto" w:frame="1"/>
          <w:lang w:val="fr-FR"/>
        </w:rPr>
        <w:tab/>
        <w:t>La reconnaissance officielle peut inclure une référence à la criminalité liée aux espèces sauvages en tant que question prioritaire dans les plans stratégiques, les Mémorandums d’Entente, les déclarations publiques des dirigeants des agences et/ou les déclarations/décrets des chefs d’État.</w:t>
      </w:r>
    </w:p>
  </w:footnote>
  <w:footnote w:id="32">
    <w:p w:rsidR="00BD5B7F" w:rsidRPr="00F33E85" w:rsidRDefault="00BD5B7F" w:rsidP="00BD5B7F">
      <w:pPr>
        <w:pStyle w:val="Notedebasdepage"/>
        <w:ind w:left="284" w:hanging="284"/>
        <w:rPr>
          <w:rFonts w:ascii="Arial" w:hAnsi="Arial" w:cs="Arial"/>
          <w:sz w:val="18"/>
          <w:szCs w:val="18"/>
          <w:lang w:val="fr-FR"/>
        </w:rPr>
      </w:pPr>
      <w:r>
        <w:rPr>
          <w:rStyle w:val="Appelnotedebasdep"/>
          <w:rFonts w:ascii="Arial" w:hAnsi="Arial" w:cs="Arial"/>
          <w:sz w:val="16"/>
          <w:szCs w:val="16"/>
        </w:rPr>
        <w:footnoteRef/>
      </w:r>
      <w:r>
        <w:rPr>
          <w:rFonts w:ascii="Arial" w:eastAsia="Arial" w:hAnsi="Arial" w:cs="Arial"/>
          <w:sz w:val="16"/>
          <w:szCs w:val="16"/>
          <w:bdr w:val="none" w:sz="0" w:space="0" w:color="auto" w:frame="1"/>
          <w:lang w:val="fr-FR"/>
        </w:rPr>
        <w:t xml:space="preserve"> </w:t>
      </w:r>
      <w:r w:rsidRPr="00F33E85">
        <w:rPr>
          <w:rFonts w:ascii="Arial" w:eastAsia="Arial" w:hAnsi="Arial" w:cs="Arial"/>
          <w:sz w:val="18"/>
          <w:szCs w:val="18"/>
          <w:bdr w:val="none" w:sz="0" w:space="0" w:color="auto" w:frame="1"/>
          <w:lang w:val="fr-FR"/>
        </w:rPr>
        <w:t xml:space="preserve">Les parties prenantes comprennent la communauté soumise aux réglementations (c.-à-d. les personnes effectuant des prélèvements, incluant les chasseurs, les vendeurs, les commerçants, etc., comme décrit dans l’indicateur 26), les ONG de protection des oiseaux, les universités et les communautés locales, le cas échéant. </w:t>
      </w:r>
    </w:p>
  </w:footnote>
  <w:footnote w:id="33">
    <w:p w:rsidR="00BD5B7F" w:rsidRPr="00F33E85" w:rsidRDefault="00BD5B7F" w:rsidP="00BD5B7F">
      <w:pPr>
        <w:pStyle w:val="Notedebasdepage"/>
        <w:ind w:left="284" w:hanging="284"/>
        <w:rPr>
          <w:rFonts w:ascii="Arial" w:hAnsi="Arial" w:cs="Arial"/>
          <w:sz w:val="18"/>
          <w:szCs w:val="18"/>
          <w:lang w:val="fr-FR"/>
        </w:rPr>
      </w:pPr>
      <w:r>
        <w:rPr>
          <w:rStyle w:val="Appelnotedebasdep"/>
          <w:rFonts w:ascii="Arial" w:hAnsi="Arial" w:cs="Arial"/>
          <w:sz w:val="16"/>
          <w:szCs w:val="16"/>
          <w:lang w:val="en-GB"/>
        </w:rPr>
        <w:footnoteRef/>
      </w:r>
      <w:r>
        <w:rPr>
          <w:rFonts w:ascii="Arial" w:eastAsia="Arial" w:hAnsi="Arial" w:cs="Arial"/>
          <w:sz w:val="16"/>
          <w:szCs w:val="16"/>
          <w:bdr w:val="none" w:sz="0" w:space="0" w:color="auto" w:frame="1"/>
          <w:lang w:val="fr-FR"/>
        </w:rPr>
        <w:t xml:space="preserve"> </w:t>
      </w:r>
      <w:r w:rsidRPr="00F33E85">
        <w:rPr>
          <w:rFonts w:ascii="Arial" w:eastAsia="Arial" w:hAnsi="Arial" w:cs="Arial"/>
          <w:sz w:val="18"/>
          <w:szCs w:val="18"/>
          <w:bdr w:val="none" w:sz="0" w:space="0" w:color="auto" w:frame="1"/>
          <w:lang w:val="fr-FR"/>
        </w:rPr>
        <w:t>Cet indicateur correspond à l’indicateur 8 du Cadre d’indicateurs de l’ICCWC.</w:t>
      </w:r>
    </w:p>
  </w:footnote>
  <w:footnote w:id="34">
    <w:p w:rsidR="00BD5B7F" w:rsidRPr="00F33E85" w:rsidRDefault="00BD5B7F" w:rsidP="00BD5B7F">
      <w:pPr>
        <w:pStyle w:val="Notedebasdepage"/>
        <w:ind w:left="284" w:hanging="284"/>
        <w:rPr>
          <w:rFonts w:ascii="Arial" w:hAnsi="Arial" w:cs="Arial"/>
          <w:sz w:val="18"/>
          <w:szCs w:val="18"/>
          <w:lang w:val="fr-FR"/>
        </w:rPr>
      </w:pPr>
      <w:r w:rsidRPr="00F33E85">
        <w:rPr>
          <w:rStyle w:val="Appelnotedebasdep"/>
          <w:rFonts w:ascii="Arial" w:hAnsi="Arial" w:cs="Arial"/>
          <w:sz w:val="18"/>
          <w:szCs w:val="18"/>
        </w:rPr>
        <w:footnoteRef/>
      </w:r>
      <w:r w:rsidRPr="00F33E85">
        <w:rPr>
          <w:rFonts w:ascii="Arial" w:eastAsia="Arial" w:hAnsi="Arial" w:cs="Arial"/>
          <w:sz w:val="18"/>
          <w:szCs w:val="18"/>
          <w:bdr w:val="none" w:sz="0" w:space="0" w:color="auto" w:frame="1"/>
          <w:lang w:val="fr-FR"/>
        </w:rPr>
        <w:t xml:space="preserve"> Savoir si le niveau du personnel est suffisant ou non est une question d’opinion d’expert. Veuillez fournir des éléments de preuve et des éléments rationnels dans la section « Commentaires ». Veuillez noter que l’indicateur 19 traitera de l’effort de lutte contre la fraude.</w:t>
      </w:r>
    </w:p>
  </w:footnote>
  <w:footnote w:id="35">
    <w:p w:rsidR="00BD5B7F" w:rsidRPr="00865DA5" w:rsidRDefault="00BD5B7F" w:rsidP="00BD5B7F">
      <w:pPr>
        <w:ind w:left="284" w:hanging="284"/>
        <w:jc w:val="both"/>
        <w:rPr>
          <w:rFonts w:cs="Arial"/>
          <w:sz w:val="18"/>
          <w:szCs w:val="18"/>
          <w:lang w:val="fr-FR"/>
        </w:rPr>
      </w:pPr>
      <w:r w:rsidRPr="00F33E85">
        <w:rPr>
          <w:rStyle w:val="Appelnotedebasdep"/>
          <w:rFonts w:ascii="Arial" w:hAnsi="Arial" w:cs="Arial"/>
          <w:sz w:val="18"/>
          <w:szCs w:val="18"/>
        </w:rPr>
        <w:footnoteRef/>
      </w:r>
      <w:r w:rsidRPr="00865DA5">
        <w:rPr>
          <w:rFonts w:ascii="Arial" w:hAnsi="Arial" w:cs="Arial"/>
          <w:sz w:val="18"/>
          <w:szCs w:val="18"/>
          <w:bdr w:val="none" w:sz="0" w:space="0" w:color="auto" w:frame="1"/>
          <w:lang w:val="fr-FR"/>
        </w:rPr>
        <w:t xml:space="preserve"> Les questions relatives au personnel comprennent des facteurs tels que l’existence d’une combinaison appropriée de personnel à temps plein, à temps partiel et occasionnel ; de personnel expérimenté et moins expérimenté ; et de personnel professionnel, technique, d’enquête et administratif nécessaire pour mener les activités requises</w:t>
      </w:r>
      <w:r w:rsidRPr="00865DA5">
        <w:rPr>
          <w:sz w:val="18"/>
          <w:szCs w:val="18"/>
          <w:bdr w:val="none" w:sz="0" w:space="0" w:color="auto" w:frame="1"/>
          <w:lang w:val="fr-FR"/>
        </w:rPr>
        <w:t>.</w:t>
      </w:r>
    </w:p>
  </w:footnote>
  <w:footnote w:id="36">
    <w:p w:rsidR="00BD5B7F" w:rsidRPr="00F33E85" w:rsidRDefault="00BD5B7F" w:rsidP="00BD5B7F">
      <w:pPr>
        <w:pStyle w:val="Notedebasdepage"/>
        <w:ind w:left="284" w:hanging="284"/>
        <w:rPr>
          <w:rFonts w:ascii="Arial" w:hAnsi="Arial" w:cs="Arial"/>
          <w:sz w:val="18"/>
          <w:szCs w:val="18"/>
          <w:lang w:val="fr-FR"/>
        </w:rPr>
      </w:pPr>
      <w:r>
        <w:rPr>
          <w:rStyle w:val="Appelnotedebasdep"/>
          <w:rFonts w:ascii="Arial" w:hAnsi="Arial" w:cs="Arial"/>
          <w:sz w:val="16"/>
          <w:szCs w:val="16"/>
        </w:rPr>
        <w:footnoteRef/>
      </w:r>
      <w:r>
        <w:rPr>
          <w:rFonts w:ascii="Arial" w:eastAsia="Arial" w:hAnsi="Arial" w:cs="Arial"/>
          <w:sz w:val="16"/>
          <w:szCs w:val="16"/>
          <w:bdr w:val="none" w:sz="0" w:space="0" w:color="auto" w:frame="1"/>
          <w:lang w:val="fr-FR"/>
        </w:rPr>
        <w:t xml:space="preserve"> </w:t>
      </w:r>
      <w:r w:rsidRPr="00F33E85">
        <w:rPr>
          <w:rFonts w:ascii="Arial" w:eastAsia="Arial" w:hAnsi="Arial" w:cs="Arial"/>
          <w:sz w:val="18"/>
          <w:szCs w:val="18"/>
          <w:bdr w:val="none" w:sz="0" w:space="0" w:color="auto" w:frame="1"/>
          <w:lang w:val="fr-FR"/>
        </w:rPr>
        <w:t>Les « agents chargés de la lutte contre la fraude et de l’application des lois » désignent dans ce cas les policiers et tout autre professionnel impliqué dans la protection et la gestion de la faune sauvage, des parcs nationaux et des espaces naturels (p. ex. gardes, gardes forestiers, gardes chasse, agents chargé de la lutte contre la fraude sur le terrain).</w:t>
      </w:r>
    </w:p>
  </w:footnote>
  <w:footnote w:id="37">
    <w:p w:rsidR="00BD5B7F" w:rsidRPr="00F33E85" w:rsidRDefault="00BD5B7F" w:rsidP="00BD5B7F">
      <w:pPr>
        <w:pStyle w:val="Notedebasdepage"/>
        <w:ind w:left="284" w:hanging="284"/>
        <w:rPr>
          <w:rFonts w:ascii="Arial" w:hAnsi="Arial" w:cs="Arial"/>
          <w:sz w:val="18"/>
          <w:szCs w:val="18"/>
          <w:lang w:val="it-IT"/>
        </w:rPr>
      </w:pPr>
      <w:r w:rsidRPr="00F33E85">
        <w:rPr>
          <w:rStyle w:val="Appelnotedebasdep"/>
          <w:rFonts w:ascii="Arial" w:hAnsi="Arial" w:cs="Arial"/>
          <w:sz w:val="18"/>
          <w:szCs w:val="18"/>
        </w:rPr>
        <w:footnoteRef/>
      </w:r>
      <w:r w:rsidRPr="00F33E85">
        <w:rPr>
          <w:rStyle w:val="Appelnotedebasdep"/>
          <w:rFonts w:ascii="Arial" w:eastAsia="Arial" w:hAnsi="Arial" w:cs="Arial"/>
          <w:sz w:val="18"/>
          <w:szCs w:val="18"/>
          <w:bdr w:val="none" w:sz="0" w:space="0" w:color="auto" w:frame="1"/>
          <w:lang w:val="fr-FR"/>
        </w:rPr>
        <w:t xml:space="preserve"> Veuillez fournir des informations sur la fréquence à laquelle les formations sont organisées, les sujets traités, le nombre de personnes concernées, qui dispense les formations, etc.</w:t>
      </w:r>
    </w:p>
  </w:footnote>
  <w:footnote w:id="38">
    <w:p w:rsidR="00BD5B7F" w:rsidRDefault="00BD5B7F" w:rsidP="00BD5B7F">
      <w:pPr>
        <w:pStyle w:val="Notedebasdepage"/>
        <w:ind w:left="284" w:hanging="284"/>
        <w:rPr>
          <w:rFonts w:ascii="Arial" w:hAnsi="Arial" w:cs="Arial"/>
          <w:sz w:val="16"/>
          <w:szCs w:val="16"/>
          <w:lang w:val="fr-FR"/>
        </w:rPr>
      </w:pPr>
      <w:r>
        <w:rPr>
          <w:rStyle w:val="Appelnotedebasdep"/>
          <w:rFonts w:ascii="Arial" w:hAnsi="Arial" w:cs="Arial"/>
          <w:sz w:val="16"/>
          <w:szCs w:val="16"/>
        </w:rPr>
        <w:footnoteRef/>
      </w:r>
      <w:r>
        <w:rPr>
          <w:rFonts w:ascii="Arial" w:eastAsia="Arial" w:hAnsi="Arial" w:cs="Arial"/>
          <w:sz w:val="16"/>
          <w:szCs w:val="16"/>
          <w:bdr w:val="none" w:sz="0" w:space="0" w:color="auto" w:frame="1"/>
          <w:lang w:val="fr-FR"/>
        </w:rPr>
        <w:t xml:space="preserve"> </w:t>
      </w:r>
      <w:r>
        <w:rPr>
          <w:rFonts w:ascii="Arial" w:eastAsia="Arial" w:hAnsi="Arial" w:cs="Arial"/>
          <w:sz w:val="16"/>
          <w:szCs w:val="16"/>
          <w:bdr w:val="none" w:sz="0" w:space="0" w:color="auto" w:frame="1"/>
          <w:lang w:val="fr-FR"/>
        </w:rPr>
        <w:tab/>
        <w:t xml:space="preserve">Veuillez fournir d’autres informations si disponibles sur des chiffres spécifiques tels que le nombre de membres du personnel ou de personnes/jours par an investis par les agences de lutte contre la fraude et d’application des lois dans la lutte contre l’IKB. </w:t>
      </w:r>
    </w:p>
  </w:footnote>
  <w:footnote w:id="39">
    <w:p w:rsidR="00BD5B7F" w:rsidRDefault="00BD5B7F" w:rsidP="00BD5B7F">
      <w:pPr>
        <w:pStyle w:val="Notedebasdepage"/>
        <w:tabs>
          <w:tab w:val="left" w:pos="284"/>
        </w:tabs>
        <w:ind w:left="284" w:hanging="284"/>
        <w:rPr>
          <w:rFonts w:ascii="Arial" w:hAnsi="Arial" w:cs="Arial"/>
          <w:sz w:val="16"/>
          <w:szCs w:val="16"/>
          <w:lang w:val="fr-FR"/>
        </w:rPr>
      </w:pPr>
      <w:r>
        <w:rPr>
          <w:rStyle w:val="Appelnotedebasdep"/>
          <w:rFonts w:ascii="Arial" w:hAnsi="Arial" w:cs="Arial"/>
          <w:sz w:val="16"/>
          <w:szCs w:val="16"/>
        </w:rPr>
        <w:footnoteRef/>
      </w:r>
      <w:r>
        <w:rPr>
          <w:rFonts w:ascii="Arial" w:eastAsia="Arial" w:hAnsi="Arial" w:cs="Arial"/>
          <w:sz w:val="16"/>
          <w:szCs w:val="16"/>
          <w:bdr w:val="none" w:sz="0" w:space="0" w:color="auto" w:frame="1"/>
          <w:lang w:val="fr-FR"/>
        </w:rPr>
        <w:t xml:space="preserve"> </w:t>
      </w:r>
      <w:r>
        <w:rPr>
          <w:rFonts w:ascii="Arial" w:eastAsia="Arial" w:hAnsi="Arial" w:cs="Arial"/>
          <w:sz w:val="16"/>
          <w:szCs w:val="16"/>
          <w:bdr w:val="none" w:sz="0" w:space="0" w:color="auto" w:frame="1"/>
          <w:lang w:val="fr-FR"/>
        </w:rPr>
        <w:tab/>
        <w:t>La durée des affaires pénales est mesurée comme étant la période comprise entre la date du dépôt des accusations en justice et la date de détermination de la sanction, mais exclut tout éventuel recours ultérieur ayant pu être déposé.</w:t>
      </w:r>
    </w:p>
  </w:footnote>
  <w:footnote w:id="40">
    <w:p w:rsidR="00BD5B7F" w:rsidRDefault="00BD5B7F" w:rsidP="00BD5B7F">
      <w:pPr>
        <w:pStyle w:val="Notedebasdepage"/>
        <w:tabs>
          <w:tab w:val="left" w:pos="284"/>
        </w:tabs>
        <w:ind w:left="284" w:hanging="284"/>
        <w:rPr>
          <w:rFonts w:ascii="Arial" w:hAnsi="Arial" w:cs="Arial"/>
          <w:sz w:val="16"/>
          <w:szCs w:val="16"/>
          <w:lang w:val="fr-FR"/>
        </w:rPr>
      </w:pPr>
      <w:r>
        <w:rPr>
          <w:rStyle w:val="Appelnotedebasdep"/>
          <w:rFonts w:ascii="Arial" w:hAnsi="Arial" w:cs="Arial"/>
          <w:sz w:val="16"/>
          <w:szCs w:val="16"/>
        </w:rPr>
        <w:footnoteRef/>
      </w:r>
      <w:r>
        <w:rPr>
          <w:rFonts w:ascii="Arial" w:eastAsia="Arial" w:hAnsi="Arial" w:cs="Arial"/>
          <w:sz w:val="16"/>
          <w:szCs w:val="16"/>
          <w:bdr w:val="none" w:sz="0" w:space="0" w:color="auto" w:frame="1"/>
          <w:lang w:val="fr-FR"/>
        </w:rPr>
        <w:t xml:space="preserve"> </w:t>
      </w:r>
      <w:r>
        <w:rPr>
          <w:rFonts w:ascii="Arial" w:eastAsia="Arial" w:hAnsi="Arial" w:cs="Arial"/>
          <w:sz w:val="16"/>
          <w:szCs w:val="16"/>
          <w:bdr w:val="none" w:sz="0" w:space="0" w:color="auto" w:frame="1"/>
          <w:lang w:val="fr-FR"/>
        </w:rPr>
        <w:tab/>
        <w:t>La durée des affaires administratives est mesurée comme la période entre la date à laquelle le contrevenant reçoit un avis d’infraction administrative et la date du règlement intégral de cette sanction administrative.</w:t>
      </w:r>
    </w:p>
  </w:footnote>
  <w:footnote w:id="41">
    <w:p w:rsidR="00BD5B7F" w:rsidRDefault="00BD5B7F" w:rsidP="00BD5B7F">
      <w:pPr>
        <w:pStyle w:val="Notedebasdepage"/>
        <w:tabs>
          <w:tab w:val="left" w:pos="284"/>
        </w:tabs>
        <w:ind w:left="284" w:hanging="284"/>
        <w:rPr>
          <w:rFonts w:ascii="Arial" w:hAnsi="Arial" w:cs="Arial"/>
          <w:sz w:val="16"/>
          <w:szCs w:val="16"/>
          <w:lang w:val="fr-FR"/>
        </w:rPr>
      </w:pPr>
      <w:r>
        <w:rPr>
          <w:rStyle w:val="Appelnotedebasdep"/>
          <w:rFonts w:ascii="Arial" w:hAnsi="Arial" w:cs="Arial"/>
          <w:sz w:val="16"/>
          <w:szCs w:val="16"/>
        </w:rPr>
        <w:footnoteRef/>
      </w:r>
      <w:r>
        <w:rPr>
          <w:rFonts w:ascii="Arial" w:eastAsia="Arial" w:hAnsi="Arial" w:cs="Arial"/>
          <w:sz w:val="16"/>
          <w:szCs w:val="16"/>
          <w:bdr w:val="none" w:sz="0" w:space="0" w:color="auto" w:frame="1"/>
          <w:lang w:val="fr-FR"/>
        </w:rPr>
        <w:t xml:space="preserve"> </w:t>
      </w:r>
      <w:r>
        <w:rPr>
          <w:rFonts w:ascii="Arial" w:eastAsia="Arial" w:hAnsi="Arial" w:cs="Arial"/>
          <w:sz w:val="16"/>
          <w:szCs w:val="16"/>
          <w:bdr w:val="none" w:sz="0" w:space="0" w:color="auto" w:frame="1"/>
          <w:lang w:val="fr-FR"/>
        </w:rPr>
        <w:tab/>
        <w:t>Non compris les acquittements effectués en cas d’appel, le cas échéant.</w:t>
      </w:r>
    </w:p>
  </w:footnote>
  <w:footnote w:id="42">
    <w:p w:rsidR="00BD5B7F" w:rsidRPr="001363C9" w:rsidRDefault="00BD5B7F" w:rsidP="00BD5B7F">
      <w:pPr>
        <w:pStyle w:val="Notedebasdepage"/>
        <w:rPr>
          <w:rFonts w:ascii="Arial" w:hAnsi="Arial" w:cs="Arial"/>
          <w:sz w:val="18"/>
          <w:szCs w:val="18"/>
          <w:lang w:val="fr-FR"/>
        </w:rPr>
      </w:pPr>
      <w:r>
        <w:rPr>
          <w:rStyle w:val="Appelnotedebasdep"/>
          <w:rFonts w:ascii="Arial" w:hAnsi="Arial" w:cs="Arial"/>
          <w:sz w:val="16"/>
          <w:szCs w:val="16"/>
          <w:lang w:val="en-GB"/>
        </w:rPr>
        <w:footnoteRef/>
      </w:r>
      <w:r>
        <w:rPr>
          <w:rFonts w:ascii="Arial" w:eastAsia="Arial" w:hAnsi="Arial" w:cs="Arial"/>
          <w:sz w:val="16"/>
          <w:szCs w:val="16"/>
          <w:bdr w:val="none" w:sz="0" w:space="0" w:color="auto" w:frame="1"/>
          <w:lang w:val="fr-FR"/>
        </w:rPr>
        <w:t xml:space="preserve"> </w:t>
      </w:r>
      <w:r w:rsidRPr="001363C9">
        <w:rPr>
          <w:rFonts w:ascii="Arial" w:eastAsia="Arial" w:hAnsi="Arial" w:cs="Arial"/>
          <w:sz w:val="18"/>
          <w:szCs w:val="18"/>
          <w:bdr w:val="none" w:sz="0" w:space="0" w:color="auto" w:frame="1"/>
          <w:lang w:val="fr-FR"/>
        </w:rPr>
        <w:t>Cet indicateur est basé sur l’indicateur 41 du Cadre d’indicateurs de l’ICCWC.</w:t>
      </w:r>
    </w:p>
  </w:footnote>
  <w:footnote w:id="43">
    <w:p w:rsidR="00BD5B7F" w:rsidRDefault="00BD5B7F" w:rsidP="00BD5B7F">
      <w:pPr>
        <w:pStyle w:val="Notedebasdepage"/>
        <w:rPr>
          <w:rFonts w:ascii="Arial" w:hAnsi="Arial" w:cs="Arial"/>
          <w:sz w:val="16"/>
          <w:szCs w:val="16"/>
          <w:lang w:val="it-IT"/>
        </w:rPr>
      </w:pPr>
      <w:r>
        <w:rPr>
          <w:rStyle w:val="Appelnotedebasdep"/>
          <w:rFonts w:ascii="Arial" w:hAnsi="Arial" w:cs="Arial"/>
          <w:sz w:val="16"/>
          <w:szCs w:val="16"/>
        </w:rPr>
        <w:footnoteRef/>
      </w:r>
      <w:r>
        <w:rPr>
          <w:rFonts w:ascii="Arial" w:eastAsia="Arial" w:hAnsi="Arial" w:cs="Arial"/>
          <w:sz w:val="16"/>
          <w:szCs w:val="16"/>
          <w:bdr w:val="none" w:sz="0" w:space="0" w:color="auto" w:frame="1"/>
          <w:lang w:val="fr-FR"/>
        </w:rPr>
        <w:t xml:space="preserve"> </w:t>
      </w:r>
      <w:r w:rsidRPr="001363C9">
        <w:rPr>
          <w:rFonts w:ascii="Arial" w:eastAsia="Arial" w:hAnsi="Arial" w:cs="Arial"/>
          <w:sz w:val="18"/>
          <w:szCs w:val="18"/>
          <w:bdr w:val="none" w:sz="0" w:space="0" w:color="auto" w:frame="1"/>
          <w:lang w:val="fr-FR"/>
        </w:rPr>
        <w:t>Cet indicateur correspond à l’indicateur 42 du Cadre d’indicateurs de l’ICCWC.</w:t>
      </w:r>
    </w:p>
  </w:footnote>
  <w:footnote w:id="44">
    <w:p w:rsidR="00BD5B7F" w:rsidRPr="001363C9" w:rsidRDefault="00BD5B7F" w:rsidP="00BD5B7F">
      <w:pPr>
        <w:pStyle w:val="Notedebasdepage"/>
        <w:tabs>
          <w:tab w:val="left" w:pos="284"/>
        </w:tabs>
        <w:ind w:left="284" w:hanging="284"/>
        <w:rPr>
          <w:rFonts w:ascii="Arial" w:hAnsi="Arial" w:cs="Arial"/>
          <w:sz w:val="18"/>
          <w:szCs w:val="18"/>
          <w:lang w:val="it-IT"/>
        </w:rPr>
      </w:pPr>
      <w:r>
        <w:rPr>
          <w:rStyle w:val="Appelnotedebasdep"/>
          <w:rFonts w:ascii="Arial" w:hAnsi="Arial" w:cs="Arial"/>
          <w:sz w:val="16"/>
        </w:rPr>
        <w:footnoteRef/>
      </w:r>
      <w:r>
        <w:rPr>
          <w:rFonts w:ascii="Arial" w:eastAsia="Arial" w:hAnsi="Arial" w:cs="Arial"/>
          <w:sz w:val="16"/>
          <w:szCs w:val="16"/>
          <w:bdr w:val="none" w:sz="0" w:space="0" w:color="auto" w:frame="1"/>
          <w:lang w:val="fr-FR"/>
        </w:rPr>
        <w:t xml:space="preserve"> </w:t>
      </w:r>
      <w:r w:rsidRPr="001363C9">
        <w:rPr>
          <w:rFonts w:ascii="Arial" w:eastAsia="Arial" w:hAnsi="Arial" w:cs="Arial"/>
          <w:sz w:val="18"/>
          <w:szCs w:val="18"/>
          <w:bdr w:val="none" w:sz="0" w:space="0" w:color="auto" w:frame="1"/>
          <w:lang w:val="fr-FR"/>
        </w:rPr>
        <w:tab/>
        <w:t xml:space="preserve">Veuillez fournir des informations sur la fréquence à laquelle les formations sont organisées, les sujets traités, le nombre de personnes concernées, qui dispense les formations, etc. </w:t>
      </w:r>
    </w:p>
  </w:footnote>
  <w:footnote w:id="45">
    <w:p w:rsidR="00BD5B7F" w:rsidRPr="001363C9" w:rsidRDefault="00BD5B7F" w:rsidP="00BD5B7F">
      <w:pPr>
        <w:pStyle w:val="Notedebasdepage"/>
        <w:tabs>
          <w:tab w:val="left" w:pos="284"/>
        </w:tabs>
        <w:ind w:left="288" w:hanging="288"/>
        <w:rPr>
          <w:rFonts w:ascii="Arial" w:hAnsi="Arial" w:cs="Arial"/>
          <w:sz w:val="18"/>
          <w:szCs w:val="18"/>
          <w:lang w:val="fr-FR"/>
        </w:rPr>
      </w:pPr>
      <w:r>
        <w:rPr>
          <w:rStyle w:val="Appelnotedebasdep"/>
          <w:rFonts w:ascii="Arial" w:hAnsi="Arial" w:cs="Arial"/>
          <w:sz w:val="16"/>
          <w:szCs w:val="16"/>
        </w:rPr>
        <w:footnoteRef/>
      </w:r>
      <w:r>
        <w:rPr>
          <w:rFonts w:ascii="Arial" w:eastAsia="Arial" w:hAnsi="Arial" w:cs="Arial"/>
          <w:sz w:val="16"/>
          <w:szCs w:val="16"/>
          <w:bdr w:val="none" w:sz="0" w:space="0" w:color="auto" w:frame="1"/>
          <w:lang w:val="fr-FR"/>
        </w:rPr>
        <w:t xml:space="preserve"> </w:t>
      </w:r>
      <w:r>
        <w:rPr>
          <w:rFonts w:ascii="Arial" w:eastAsia="Arial" w:hAnsi="Arial" w:cs="Arial"/>
          <w:sz w:val="16"/>
          <w:szCs w:val="16"/>
          <w:bdr w:val="none" w:sz="0" w:space="0" w:color="auto" w:frame="1"/>
          <w:lang w:val="fr-FR"/>
        </w:rPr>
        <w:tab/>
      </w:r>
      <w:r w:rsidRPr="001363C9">
        <w:rPr>
          <w:rFonts w:ascii="Arial" w:eastAsia="Arial" w:hAnsi="Arial" w:cs="Arial"/>
          <w:sz w:val="18"/>
          <w:szCs w:val="18"/>
          <w:bdr w:val="none" w:sz="0" w:space="0" w:color="auto" w:frame="1"/>
          <w:lang w:val="fr-FR"/>
        </w:rPr>
        <w:t>Le rôle actif comprend des actions telles que la participation à toutes les réunions, la réponse aux questionnaires et la mise en œuvre d’initiatives au niveau national.</w:t>
      </w:r>
    </w:p>
  </w:footnote>
  <w:footnote w:id="46">
    <w:p w:rsidR="00BD5B7F" w:rsidRPr="001363C9" w:rsidRDefault="00BD5B7F" w:rsidP="00BD5B7F">
      <w:pPr>
        <w:pStyle w:val="Notedebasdepage"/>
        <w:tabs>
          <w:tab w:val="left" w:pos="284"/>
        </w:tabs>
        <w:ind w:left="284" w:hanging="284"/>
        <w:rPr>
          <w:rFonts w:ascii="Arial" w:hAnsi="Arial" w:cs="Arial"/>
          <w:sz w:val="18"/>
          <w:szCs w:val="18"/>
          <w:lang w:val="it-IT"/>
        </w:rPr>
      </w:pPr>
      <w:r w:rsidRPr="001363C9">
        <w:rPr>
          <w:rStyle w:val="Appelnotedebasdep"/>
          <w:rFonts w:ascii="Arial" w:hAnsi="Arial" w:cs="Arial"/>
          <w:sz w:val="18"/>
          <w:szCs w:val="18"/>
        </w:rPr>
        <w:footnoteRef/>
      </w:r>
      <w:r w:rsidRPr="001363C9">
        <w:rPr>
          <w:rFonts w:ascii="Arial" w:eastAsia="Arial" w:hAnsi="Arial" w:cs="Arial"/>
          <w:sz w:val="18"/>
          <w:szCs w:val="18"/>
          <w:bdr w:val="none" w:sz="0" w:space="0" w:color="auto" w:frame="1"/>
          <w:lang w:val="fr-FR"/>
        </w:rPr>
        <w:t xml:space="preserve"> </w:t>
      </w:r>
      <w:r w:rsidRPr="001363C9">
        <w:rPr>
          <w:rFonts w:ascii="Arial" w:eastAsia="Arial" w:hAnsi="Arial" w:cs="Arial"/>
          <w:sz w:val="18"/>
          <w:szCs w:val="18"/>
          <w:bdr w:val="none" w:sz="0" w:space="0" w:color="auto" w:frame="1"/>
          <w:lang w:val="fr-FR"/>
        </w:rPr>
        <w:tab/>
        <w:t>Cet indicateur correspond à l’indicateur 45 du Cadre d’indicateurs de l’ICCWC.</w:t>
      </w:r>
    </w:p>
  </w:footnote>
  <w:footnote w:id="47">
    <w:p w:rsidR="00BD5B7F" w:rsidRPr="00865DA5" w:rsidRDefault="00BD5B7F" w:rsidP="00BD5B7F">
      <w:pPr>
        <w:tabs>
          <w:tab w:val="left" w:pos="284"/>
        </w:tabs>
        <w:ind w:left="284" w:hanging="284"/>
        <w:jc w:val="both"/>
        <w:rPr>
          <w:rFonts w:ascii="Arial" w:hAnsi="Arial" w:cs="Arial"/>
          <w:sz w:val="18"/>
          <w:szCs w:val="18"/>
          <w:lang w:val="fr-FR"/>
        </w:rPr>
      </w:pPr>
      <w:r w:rsidRPr="001363C9">
        <w:rPr>
          <w:rStyle w:val="Appelnotedebasdep"/>
          <w:rFonts w:ascii="Arial" w:hAnsi="Arial" w:cs="Arial"/>
          <w:sz w:val="18"/>
          <w:szCs w:val="18"/>
        </w:rPr>
        <w:footnoteRef/>
      </w:r>
      <w:r w:rsidRPr="00865DA5">
        <w:rPr>
          <w:rFonts w:ascii="Arial" w:hAnsi="Arial" w:cs="Arial"/>
          <w:sz w:val="18"/>
          <w:szCs w:val="18"/>
          <w:bdr w:val="none" w:sz="0" w:space="0" w:color="auto" w:frame="1"/>
          <w:lang w:val="fr-FR"/>
        </w:rPr>
        <w:t xml:space="preserve"> </w:t>
      </w:r>
      <w:r w:rsidRPr="00865DA5">
        <w:rPr>
          <w:rFonts w:ascii="Arial" w:hAnsi="Arial" w:cs="Arial"/>
          <w:sz w:val="18"/>
          <w:szCs w:val="18"/>
          <w:bdr w:val="none" w:sz="0" w:space="0" w:color="auto" w:frame="1"/>
          <w:lang w:val="fr-FR"/>
        </w:rPr>
        <w:tab/>
        <w:t>Les « moteurs » sont les facteurs sous-jacents qui sous-tendent l’IKB. L’IKB peut être motivé par de multiples facteurs, y compris (mais sans s’y limiter) la pauvreté en milieu rural, l’insécurité alimentaire, les intérêts économiques, une faible application des lois / lutte contre la fraude, une législation peu claire, des sanctions trop faibles pour dissuader les infractions, la perception de la légitimité, la tradition, etc. »</w:t>
      </w:r>
    </w:p>
  </w:footnote>
  <w:footnote w:id="48">
    <w:p w:rsidR="00BD5B7F" w:rsidRPr="001363C9" w:rsidRDefault="00BD5B7F" w:rsidP="00BD5B7F">
      <w:pPr>
        <w:pStyle w:val="Notedebasdepage"/>
        <w:tabs>
          <w:tab w:val="left" w:pos="284"/>
        </w:tabs>
        <w:ind w:left="284" w:hanging="284"/>
        <w:rPr>
          <w:rFonts w:ascii="Arial" w:hAnsi="Arial" w:cs="Arial"/>
          <w:sz w:val="18"/>
          <w:szCs w:val="18"/>
          <w:lang w:val="fr-FR"/>
        </w:rPr>
      </w:pPr>
      <w:r>
        <w:rPr>
          <w:rStyle w:val="Appelnotedebasdep"/>
          <w:rFonts w:ascii="Arial" w:hAnsi="Arial" w:cs="Arial"/>
          <w:sz w:val="16"/>
          <w:szCs w:val="16"/>
          <w:lang w:val="en-GB"/>
        </w:rPr>
        <w:footnoteRef/>
      </w:r>
      <w:r>
        <w:rPr>
          <w:rFonts w:ascii="Arial" w:eastAsia="Arial" w:hAnsi="Arial" w:cs="Arial"/>
          <w:sz w:val="16"/>
          <w:szCs w:val="16"/>
          <w:bdr w:val="none" w:sz="0" w:space="0" w:color="auto" w:frame="1"/>
          <w:lang w:val="fr-FR"/>
        </w:rPr>
        <w:t xml:space="preserve"> </w:t>
      </w:r>
      <w:r>
        <w:rPr>
          <w:rFonts w:ascii="Arial" w:eastAsia="Arial" w:hAnsi="Arial" w:cs="Arial"/>
          <w:sz w:val="16"/>
          <w:szCs w:val="16"/>
          <w:bdr w:val="none" w:sz="0" w:space="0" w:color="auto" w:frame="1"/>
          <w:lang w:val="fr-FR"/>
        </w:rPr>
        <w:tab/>
      </w:r>
      <w:r w:rsidRPr="001363C9">
        <w:rPr>
          <w:rFonts w:ascii="Arial" w:eastAsia="Arial" w:hAnsi="Arial" w:cs="Arial"/>
          <w:sz w:val="18"/>
          <w:szCs w:val="18"/>
          <w:bdr w:val="none" w:sz="0" w:space="0" w:color="auto" w:frame="1"/>
          <w:lang w:val="fr-FR"/>
        </w:rPr>
        <w:t>Cet indicateur correspond à l’indicateur 46 du Cadre d’indicateurs de l’ICCWC.</w:t>
      </w:r>
    </w:p>
  </w:footnote>
  <w:footnote w:id="49">
    <w:p w:rsidR="00BD5B7F" w:rsidRPr="00865DA5" w:rsidRDefault="00BD5B7F" w:rsidP="00BD5B7F">
      <w:pPr>
        <w:pStyle w:val="NormalWeb"/>
        <w:tabs>
          <w:tab w:val="left" w:pos="284"/>
        </w:tabs>
        <w:spacing w:before="0" w:beforeAutospacing="0" w:afterAutospacing="0"/>
        <w:ind w:left="284" w:hanging="284"/>
        <w:jc w:val="both"/>
        <w:rPr>
          <w:sz w:val="18"/>
          <w:szCs w:val="18"/>
          <w:lang w:val="fr-FR"/>
        </w:rPr>
      </w:pPr>
      <w:r w:rsidRPr="001363C9">
        <w:rPr>
          <w:rStyle w:val="Appelnotedebasdep"/>
          <w:rFonts w:ascii="Arial" w:hAnsi="Arial" w:cs="Arial"/>
          <w:sz w:val="18"/>
          <w:szCs w:val="18"/>
        </w:rPr>
        <w:footnoteRef/>
      </w:r>
      <w:r w:rsidRPr="00865DA5">
        <w:rPr>
          <w:rFonts w:ascii="Arial" w:eastAsia="Arial" w:hAnsi="Arial" w:cs="Arial"/>
          <w:sz w:val="18"/>
          <w:szCs w:val="18"/>
          <w:bdr w:val="none" w:sz="0" w:space="0" w:color="auto" w:frame="1"/>
          <w:lang w:val="fr-FR"/>
        </w:rPr>
        <w:t xml:space="preserve"> </w:t>
      </w:r>
      <w:r w:rsidRPr="00865DA5">
        <w:rPr>
          <w:rFonts w:ascii="Arial" w:eastAsia="Arial" w:hAnsi="Arial" w:cs="Arial"/>
          <w:sz w:val="18"/>
          <w:szCs w:val="18"/>
          <w:bdr w:val="none" w:sz="0" w:space="0" w:color="auto" w:frame="1"/>
          <w:lang w:val="fr-FR"/>
        </w:rPr>
        <w:tab/>
      </w:r>
      <w:r w:rsidRPr="00865DA5">
        <w:rPr>
          <w:rStyle w:val="Appelnotedebasdep"/>
          <w:rFonts w:ascii="Arial" w:eastAsia="Arial" w:hAnsi="Arial" w:cs="Arial"/>
          <w:sz w:val="18"/>
          <w:szCs w:val="18"/>
          <w:bdr w:val="none" w:sz="0" w:space="0" w:color="auto" w:frame="1"/>
          <w:lang w:val="fr-FR"/>
        </w:rPr>
        <w:t>Les « activités relatives à la demande » sont des activités développées et mises en œuvre pour réduire la demande en produits issus de certains oiseaux</w:t>
      </w:r>
      <w:r w:rsidRPr="00865DA5">
        <w:rPr>
          <w:rFonts w:ascii="Arial" w:eastAsia="Arial" w:hAnsi="Arial" w:cs="Arial"/>
          <w:sz w:val="18"/>
          <w:szCs w:val="18"/>
          <w:bdr w:val="none" w:sz="0" w:space="0" w:color="auto" w:frame="1"/>
          <w:lang w:val="fr-FR"/>
        </w:rPr>
        <w:t>,</w:t>
      </w:r>
      <w:r w:rsidRPr="00865DA5">
        <w:rPr>
          <w:rStyle w:val="Appelnotedebasdep"/>
          <w:rFonts w:ascii="Arial" w:eastAsia="Arial" w:hAnsi="Arial" w:cs="Arial"/>
          <w:sz w:val="18"/>
          <w:szCs w:val="18"/>
          <w:bdr w:val="none" w:sz="0" w:space="0" w:color="auto" w:frame="1"/>
          <w:lang w:val="fr-FR"/>
        </w:rPr>
        <w:t xml:space="preserve"> ou en espèces sauvages d’</w:t>
      </w:r>
      <w:r w:rsidRPr="00865DA5">
        <w:rPr>
          <w:rFonts w:ascii="Arial" w:eastAsia="Arial" w:hAnsi="Arial" w:cs="Arial"/>
          <w:sz w:val="18"/>
          <w:szCs w:val="18"/>
          <w:bdr w:val="none" w:sz="0" w:space="0" w:color="auto" w:frame="1"/>
          <w:lang w:val="fr-FR"/>
        </w:rPr>
        <w:t>une manière</w:t>
      </w:r>
      <w:r w:rsidRPr="00865DA5">
        <w:rPr>
          <w:rStyle w:val="Appelnotedebasdep"/>
          <w:rFonts w:ascii="Arial" w:eastAsia="Arial" w:hAnsi="Arial" w:cs="Arial"/>
          <w:sz w:val="18"/>
          <w:szCs w:val="18"/>
          <w:bdr w:val="none" w:sz="0" w:space="0" w:color="auto" w:frame="1"/>
          <w:lang w:val="fr-FR"/>
        </w:rPr>
        <w:t xml:space="preserve"> générale, lorsque leur commerce est illégal. Dans de nombreux cas, ces activités peuvent être étroitement associées à des activités de sensibilisation du public aux exigences juridiques s’appliquant au commerce des espèces sauvages. Pour répondre à cette question, veuillez examiner les activités que le gouvernement a menées et/ou auxquelles il a participé, y compris les activités qui peuvent avoir été développées ou mise en œuvre en partenariat avec d’autres pays et/ou avec des organisations non gouvernementales.</w:t>
      </w:r>
    </w:p>
    <w:p w:rsidR="00BD5B7F" w:rsidRDefault="00BD5B7F" w:rsidP="00BD5B7F">
      <w:pPr>
        <w:pStyle w:val="Notedebasdepage"/>
        <w:rPr>
          <w:lang w:val="fr-FR"/>
        </w:rPr>
      </w:pPr>
    </w:p>
  </w:footnote>
  <w:footnote w:id="50">
    <w:p w:rsidR="00BD5B7F" w:rsidRPr="001363C9" w:rsidRDefault="00BD5B7F" w:rsidP="00BD5B7F">
      <w:pPr>
        <w:pStyle w:val="Notedebasdepage"/>
        <w:tabs>
          <w:tab w:val="left" w:pos="284"/>
        </w:tabs>
        <w:ind w:left="284" w:hanging="284"/>
        <w:rPr>
          <w:rFonts w:ascii="Arial" w:hAnsi="Arial" w:cs="Arial"/>
          <w:sz w:val="18"/>
          <w:szCs w:val="18"/>
          <w:lang w:val="it-IT"/>
        </w:rPr>
      </w:pPr>
      <w:r>
        <w:rPr>
          <w:rStyle w:val="Appelnotedebasdep"/>
          <w:rFonts w:ascii="Arial" w:hAnsi="Arial" w:cs="Arial"/>
          <w:sz w:val="16"/>
          <w:szCs w:val="16"/>
        </w:rPr>
        <w:footnoteRef/>
      </w:r>
      <w:r>
        <w:rPr>
          <w:rFonts w:ascii="Arial" w:eastAsia="Arial" w:hAnsi="Arial" w:cs="Arial"/>
          <w:sz w:val="16"/>
          <w:szCs w:val="16"/>
          <w:bdr w:val="none" w:sz="0" w:space="0" w:color="auto" w:frame="1"/>
          <w:lang w:val="fr-FR"/>
        </w:rPr>
        <w:t xml:space="preserve"> </w:t>
      </w:r>
      <w:r>
        <w:rPr>
          <w:rFonts w:ascii="Arial" w:eastAsia="Arial" w:hAnsi="Arial" w:cs="Arial"/>
          <w:sz w:val="16"/>
          <w:szCs w:val="16"/>
          <w:bdr w:val="none" w:sz="0" w:space="0" w:color="auto" w:frame="1"/>
          <w:lang w:val="fr-FR"/>
        </w:rPr>
        <w:tab/>
      </w:r>
      <w:r w:rsidRPr="001363C9">
        <w:rPr>
          <w:rFonts w:ascii="Arial" w:eastAsia="Arial" w:hAnsi="Arial" w:cs="Arial"/>
          <w:sz w:val="18"/>
          <w:szCs w:val="18"/>
          <w:bdr w:val="none" w:sz="0" w:space="0" w:color="auto" w:frame="1"/>
          <w:lang w:val="fr-FR"/>
        </w:rPr>
        <w:t>Cet indicateur correspond à l’indicateur 47 du Cadre d’indicateurs de l’ICCWC.</w:t>
      </w:r>
    </w:p>
  </w:footnote>
  <w:footnote w:id="51">
    <w:p w:rsidR="00BD5B7F" w:rsidRPr="00865DA5" w:rsidRDefault="00BD5B7F" w:rsidP="00BD5B7F">
      <w:pPr>
        <w:tabs>
          <w:tab w:val="left" w:pos="284"/>
        </w:tabs>
        <w:ind w:left="284" w:hanging="284"/>
        <w:jc w:val="both"/>
        <w:rPr>
          <w:sz w:val="18"/>
          <w:szCs w:val="18"/>
          <w:lang w:val="fr-FR"/>
        </w:rPr>
      </w:pPr>
      <w:r w:rsidRPr="001363C9">
        <w:rPr>
          <w:rStyle w:val="Appelnotedebasdep"/>
          <w:rFonts w:ascii="Arial" w:hAnsi="Arial" w:cs="Arial"/>
          <w:sz w:val="18"/>
          <w:szCs w:val="18"/>
        </w:rPr>
        <w:footnoteRef/>
      </w:r>
      <w:r w:rsidRPr="00865DA5">
        <w:rPr>
          <w:rFonts w:ascii="Arial" w:hAnsi="Arial" w:cs="Arial"/>
          <w:sz w:val="18"/>
          <w:szCs w:val="18"/>
          <w:bdr w:val="none" w:sz="0" w:space="0" w:color="auto" w:frame="1"/>
          <w:lang w:val="fr-FR"/>
        </w:rPr>
        <w:t xml:space="preserve"> </w:t>
      </w:r>
      <w:r w:rsidRPr="00865DA5">
        <w:rPr>
          <w:rFonts w:ascii="Arial" w:hAnsi="Arial" w:cs="Arial"/>
          <w:sz w:val="18"/>
          <w:szCs w:val="18"/>
          <w:bdr w:val="none" w:sz="0" w:space="0" w:color="auto" w:frame="1"/>
          <w:lang w:val="fr-FR"/>
        </w:rPr>
        <w:tab/>
        <w:t>La communauté soumise aux réglementations peut inclure les personnes pratiquant des prélèvements de spécimens (dont les chasseurs), les vendeurs, les commerçants (y compris les commerçants en ligne) et/ou tout individu ou groupe à qui est délivré un permis et/ou une licence de prélèvement, d’utilisation et/ou de commerce des espèces sauvages et de produits, et/ou qui exerce des activités commerciales liées au commerce des oiseaux sauvages</w:t>
      </w:r>
      <w:r w:rsidRPr="00865DA5">
        <w:rPr>
          <w:sz w:val="18"/>
          <w:szCs w:val="18"/>
          <w:bdr w:val="none" w:sz="0" w:space="0" w:color="auto" w:frame="1"/>
          <w:lang w:val="fr-FR"/>
        </w:rPr>
        <w:t>.</w:t>
      </w:r>
    </w:p>
  </w:footnote>
  <w:footnote w:id="52">
    <w:p w:rsidR="00BD5B7F" w:rsidRPr="001363C9" w:rsidRDefault="00BD5B7F" w:rsidP="00BD5B7F">
      <w:pPr>
        <w:pStyle w:val="Notedebasdepage"/>
        <w:tabs>
          <w:tab w:val="left" w:pos="284"/>
        </w:tabs>
        <w:rPr>
          <w:rFonts w:ascii="Arial" w:hAnsi="Arial" w:cs="Arial"/>
          <w:sz w:val="18"/>
          <w:szCs w:val="18"/>
          <w:lang w:val="fr-FR"/>
        </w:rPr>
      </w:pPr>
      <w:r>
        <w:rPr>
          <w:rStyle w:val="Appelnotedebasdep"/>
          <w:rFonts w:ascii="Arial" w:hAnsi="Arial" w:cs="Arial"/>
          <w:sz w:val="16"/>
          <w:szCs w:val="16"/>
          <w:lang w:val="en-GB"/>
        </w:rPr>
        <w:footnoteRef/>
      </w:r>
      <w:r>
        <w:rPr>
          <w:rFonts w:ascii="Arial" w:eastAsia="Arial" w:hAnsi="Arial" w:cs="Arial"/>
          <w:sz w:val="16"/>
          <w:szCs w:val="16"/>
          <w:bdr w:val="none" w:sz="0" w:space="0" w:color="auto" w:frame="1"/>
          <w:lang w:val="fr-FR"/>
        </w:rPr>
        <w:t xml:space="preserve"> </w:t>
      </w:r>
      <w:r>
        <w:rPr>
          <w:rFonts w:ascii="Arial" w:eastAsia="Arial" w:hAnsi="Arial" w:cs="Arial"/>
          <w:sz w:val="16"/>
          <w:szCs w:val="16"/>
          <w:bdr w:val="none" w:sz="0" w:space="0" w:color="auto" w:frame="1"/>
          <w:lang w:val="fr-FR"/>
        </w:rPr>
        <w:tab/>
      </w:r>
      <w:r w:rsidRPr="001363C9">
        <w:rPr>
          <w:rFonts w:ascii="Arial" w:eastAsia="Arial" w:hAnsi="Arial" w:cs="Arial"/>
          <w:sz w:val="18"/>
          <w:szCs w:val="18"/>
          <w:bdr w:val="none" w:sz="0" w:space="0" w:color="auto" w:frame="1"/>
          <w:lang w:val="fr-FR"/>
        </w:rPr>
        <w:t>Cet indicateur est basé sur l’indicateur 50 du Cadre d’indicateurs de l’ICCWC.</w:t>
      </w:r>
    </w:p>
  </w:footnote>
  <w:footnote w:id="53">
    <w:p w:rsidR="00BD5B7F" w:rsidRPr="00865DA5" w:rsidRDefault="00BD5B7F" w:rsidP="00BD5B7F">
      <w:pPr>
        <w:ind w:left="284" w:hanging="284"/>
        <w:jc w:val="both"/>
        <w:rPr>
          <w:rFonts w:ascii="Arial" w:hAnsi="Arial" w:cs="Arial"/>
          <w:sz w:val="18"/>
          <w:szCs w:val="18"/>
          <w:lang w:val="fr-FR"/>
        </w:rPr>
      </w:pPr>
      <w:r w:rsidRPr="001363C9">
        <w:rPr>
          <w:rStyle w:val="Appelnotedebasdep"/>
          <w:rFonts w:ascii="Arial" w:hAnsi="Arial" w:cs="Arial"/>
          <w:sz w:val="18"/>
          <w:szCs w:val="18"/>
        </w:rPr>
        <w:footnoteRef/>
      </w:r>
      <w:r w:rsidRPr="00865DA5">
        <w:rPr>
          <w:rFonts w:ascii="Arial" w:hAnsi="Arial" w:cs="Arial"/>
          <w:sz w:val="18"/>
          <w:szCs w:val="18"/>
          <w:bdr w:val="none" w:sz="0" w:space="0" w:color="auto" w:frame="1"/>
          <w:lang w:val="fr-FR"/>
        </w:rPr>
        <w:t xml:space="preserve"> </w:t>
      </w:r>
      <w:r w:rsidRPr="00865DA5">
        <w:rPr>
          <w:rFonts w:ascii="Arial" w:hAnsi="Arial" w:cs="Arial"/>
          <w:sz w:val="18"/>
          <w:szCs w:val="18"/>
          <w:bdr w:val="none" w:sz="0" w:space="0" w:color="auto" w:frame="1"/>
          <w:lang w:val="fr-FR"/>
        </w:rPr>
        <w:tab/>
        <w:t>Les activités de sensibilisation peuvent inclure des campagnes publiques, du matériel de sensibilisation, des réunions publiques, et/ou la promotion de hotlines de signalement d’infractions. Pour répondre à cette question, veuillez prendre en compte les activités que le gouvernement a menées et/ou auxquelles il a participé, y compris les activités qui peuvent avoir été développées ou mises en œuvre en partenariat avec d’autres pays et/ou avec des organisations non gouvernementales.</w:t>
      </w:r>
    </w:p>
  </w:footnote>
  <w:footnote w:id="54">
    <w:p w:rsidR="00BD5B7F" w:rsidRPr="001363C9" w:rsidRDefault="00BD5B7F" w:rsidP="00BD5B7F">
      <w:pPr>
        <w:pStyle w:val="Notedebasdepage"/>
        <w:tabs>
          <w:tab w:val="left" w:pos="284"/>
        </w:tabs>
        <w:ind w:left="284" w:hanging="284"/>
        <w:rPr>
          <w:rFonts w:ascii="Arial" w:hAnsi="Arial" w:cs="Arial"/>
          <w:sz w:val="18"/>
          <w:szCs w:val="18"/>
          <w:lang w:val="it-IT"/>
        </w:rPr>
      </w:pPr>
      <w:r>
        <w:rPr>
          <w:rStyle w:val="Appelnotedebasdep"/>
          <w:rFonts w:ascii="Arial" w:hAnsi="Arial" w:cs="Arial"/>
          <w:sz w:val="16"/>
          <w:szCs w:val="16"/>
        </w:rPr>
        <w:footnoteRef/>
      </w:r>
      <w:r>
        <w:rPr>
          <w:rFonts w:ascii="Arial" w:eastAsia="Arial" w:hAnsi="Arial" w:cs="Arial"/>
          <w:sz w:val="16"/>
          <w:szCs w:val="16"/>
          <w:bdr w:val="none" w:sz="0" w:space="0" w:color="auto" w:frame="1"/>
          <w:lang w:val="fr-FR"/>
        </w:rPr>
        <w:t xml:space="preserve"> </w:t>
      </w:r>
      <w:r>
        <w:rPr>
          <w:rFonts w:ascii="Arial" w:eastAsia="Arial" w:hAnsi="Arial" w:cs="Arial"/>
          <w:sz w:val="16"/>
          <w:szCs w:val="16"/>
          <w:bdr w:val="none" w:sz="0" w:space="0" w:color="auto" w:frame="1"/>
          <w:lang w:val="fr-FR"/>
        </w:rPr>
        <w:tab/>
      </w:r>
      <w:r w:rsidRPr="001363C9">
        <w:rPr>
          <w:rFonts w:ascii="Arial" w:eastAsia="Arial" w:hAnsi="Arial" w:cs="Arial"/>
          <w:iCs/>
          <w:sz w:val="18"/>
          <w:szCs w:val="18"/>
          <w:bdr w:val="none" w:sz="0" w:space="0" w:color="auto" w:frame="1"/>
          <w:lang w:val="fr-FR"/>
        </w:rPr>
        <w:t xml:space="preserve">Somme du score de tous les indicateurs du même groupe, à l’exclusion de ceux pour lesquels des données numériques sont demandées (c.-à-d. les indicateurs n° 2, 4 et 19) et ceux considérés par le répondant comme « non applicables » (c.-à-d. n° 12 et/ou n° 16).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78024B2"/>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lowerRoman"/>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lowerLetter"/>
      <w:lvlText w:val="%8"/>
      <w:lvlJc w:val="left"/>
      <w:pPr>
        <w:ind w:left="0" w:firstLine="0"/>
      </w:pPr>
      <w:rPr>
        <w:rFonts w:cs="Times New Roman"/>
      </w:rPr>
    </w:lvl>
    <w:lvl w:ilvl="8">
      <w:numFmt w:val="decimal"/>
      <w:lvlText w:val=""/>
      <w:lvlJc w:val="left"/>
      <w:pPr>
        <w:ind w:left="0" w:firstLine="0"/>
      </w:pPr>
      <w:rPr>
        <w:rFonts w:cs="Times New Roman"/>
      </w:rPr>
    </w:lvl>
  </w:abstractNum>
  <w:abstractNum w:abstractNumId="1">
    <w:nsid w:val="0020781B"/>
    <w:multiLevelType w:val="hybridMultilevel"/>
    <w:tmpl w:val="55180096"/>
    <w:lvl w:ilvl="0" w:tplc="04090019">
      <w:start w:val="1"/>
      <w:numFmt w:val="lowerLetter"/>
      <w:lvlText w:val="%1."/>
      <w:lvlJc w:val="left"/>
      <w:pPr>
        <w:tabs>
          <w:tab w:val="num" w:pos="2052"/>
        </w:tabs>
        <w:ind w:left="2052" w:hanging="360"/>
      </w:pPr>
    </w:lvl>
    <w:lvl w:ilvl="1" w:tplc="040C0001">
      <w:start w:val="1"/>
      <w:numFmt w:val="bullet"/>
      <w:lvlText w:val=""/>
      <w:lvlJc w:val="left"/>
      <w:pPr>
        <w:tabs>
          <w:tab w:val="num" w:pos="2772"/>
        </w:tabs>
        <w:ind w:left="2772" w:hanging="360"/>
      </w:pPr>
      <w:rPr>
        <w:rFonts w:ascii="Symbol" w:hAnsi="Symbol" w:hint="default"/>
      </w:rPr>
    </w:lvl>
    <w:lvl w:ilvl="2" w:tplc="04090005">
      <w:start w:val="1"/>
      <w:numFmt w:val="bullet"/>
      <w:lvlText w:val=""/>
      <w:lvlJc w:val="left"/>
      <w:pPr>
        <w:tabs>
          <w:tab w:val="num" w:pos="3492"/>
        </w:tabs>
        <w:ind w:left="3492" w:hanging="360"/>
      </w:pPr>
      <w:rPr>
        <w:rFonts w:ascii="Wingdings" w:hAnsi="Wingdings" w:hint="default"/>
      </w:rPr>
    </w:lvl>
    <w:lvl w:ilvl="3" w:tplc="04090001">
      <w:start w:val="1"/>
      <w:numFmt w:val="bullet"/>
      <w:lvlText w:val=""/>
      <w:lvlJc w:val="left"/>
      <w:pPr>
        <w:tabs>
          <w:tab w:val="num" w:pos="4212"/>
        </w:tabs>
        <w:ind w:left="4212" w:hanging="360"/>
      </w:pPr>
      <w:rPr>
        <w:rFonts w:ascii="Symbol" w:hAnsi="Symbol" w:hint="default"/>
      </w:rPr>
    </w:lvl>
    <w:lvl w:ilvl="4" w:tplc="04090003">
      <w:start w:val="1"/>
      <w:numFmt w:val="bullet"/>
      <w:lvlText w:val="o"/>
      <w:lvlJc w:val="left"/>
      <w:pPr>
        <w:tabs>
          <w:tab w:val="num" w:pos="4932"/>
        </w:tabs>
        <w:ind w:left="4932" w:hanging="360"/>
      </w:pPr>
      <w:rPr>
        <w:rFonts w:ascii="Courier New" w:hAnsi="Courier New" w:cs="Courier New" w:hint="default"/>
      </w:rPr>
    </w:lvl>
    <w:lvl w:ilvl="5" w:tplc="04090005">
      <w:start w:val="1"/>
      <w:numFmt w:val="bullet"/>
      <w:lvlText w:val=""/>
      <w:lvlJc w:val="left"/>
      <w:pPr>
        <w:tabs>
          <w:tab w:val="num" w:pos="5652"/>
        </w:tabs>
        <w:ind w:left="5652" w:hanging="360"/>
      </w:pPr>
      <w:rPr>
        <w:rFonts w:ascii="Wingdings" w:hAnsi="Wingdings" w:hint="default"/>
      </w:rPr>
    </w:lvl>
    <w:lvl w:ilvl="6" w:tplc="04090001">
      <w:start w:val="1"/>
      <w:numFmt w:val="bullet"/>
      <w:lvlText w:val=""/>
      <w:lvlJc w:val="left"/>
      <w:pPr>
        <w:tabs>
          <w:tab w:val="num" w:pos="6372"/>
        </w:tabs>
        <w:ind w:left="6372" w:hanging="360"/>
      </w:pPr>
      <w:rPr>
        <w:rFonts w:ascii="Symbol" w:hAnsi="Symbol" w:hint="default"/>
      </w:rPr>
    </w:lvl>
    <w:lvl w:ilvl="7" w:tplc="04090003">
      <w:start w:val="1"/>
      <w:numFmt w:val="bullet"/>
      <w:lvlText w:val="o"/>
      <w:lvlJc w:val="left"/>
      <w:pPr>
        <w:tabs>
          <w:tab w:val="num" w:pos="7092"/>
        </w:tabs>
        <w:ind w:left="7092" w:hanging="360"/>
      </w:pPr>
      <w:rPr>
        <w:rFonts w:ascii="Courier New" w:hAnsi="Courier New" w:cs="Courier New" w:hint="default"/>
      </w:rPr>
    </w:lvl>
    <w:lvl w:ilvl="8" w:tplc="04090005">
      <w:start w:val="1"/>
      <w:numFmt w:val="bullet"/>
      <w:lvlText w:val=""/>
      <w:lvlJc w:val="left"/>
      <w:pPr>
        <w:tabs>
          <w:tab w:val="num" w:pos="7812"/>
        </w:tabs>
        <w:ind w:left="7812" w:hanging="360"/>
      </w:pPr>
      <w:rPr>
        <w:rFonts w:ascii="Wingdings" w:hAnsi="Wingdings" w:hint="default"/>
      </w:rPr>
    </w:lvl>
  </w:abstractNum>
  <w:abstractNum w:abstractNumId="2">
    <w:nsid w:val="065474F6"/>
    <w:multiLevelType w:val="hybridMultilevel"/>
    <w:tmpl w:val="506A86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9A39CB"/>
    <w:multiLevelType w:val="hybridMultilevel"/>
    <w:tmpl w:val="AA44A6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29511F5"/>
    <w:multiLevelType w:val="hybridMultilevel"/>
    <w:tmpl w:val="C7A6BA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6AB5032"/>
    <w:multiLevelType w:val="hybridMultilevel"/>
    <w:tmpl w:val="85CC8D4A"/>
    <w:lvl w:ilvl="0" w:tplc="040C000B">
      <w:start w:val="1"/>
      <w:numFmt w:val="bullet"/>
      <w:lvlText w:val=""/>
      <w:lvlJc w:val="left"/>
      <w:pPr>
        <w:tabs>
          <w:tab w:val="num" w:pos="8439"/>
        </w:tabs>
        <w:ind w:left="8439" w:hanging="360"/>
      </w:pPr>
      <w:rPr>
        <w:rFonts w:ascii="Wingdings" w:hAnsi="Wingdings" w:hint="default"/>
        <w:b w:val="0"/>
      </w:rPr>
    </w:lvl>
    <w:lvl w:ilvl="1" w:tplc="A24854F6">
      <w:start w:val="2"/>
      <w:numFmt w:val="lowerLetter"/>
      <w:lvlText w:val="%2."/>
      <w:lvlJc w:val="left"/>
      <w:pPr>
        <w:tabs>
          <w:tab w:val="num" w:pos="2160"/>
        </w:tabs>
        <w:ind w:left="216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nsid w:val="19C54692"/>
    <w:multiLevelType w:val="hybridMultilevel"/>
    <w:tmpl w:val="7480CBD6"/>
    <w:lvl w:ilvl="0" w:tplc="04090019">
      <w:start w:val="1"/>
      <w:numFmt w:val="lowerLetter"/>
      <w:lvlText w:val="%1."/>
      <w:lvlJc w:val="left"/>
      <w:pPr>
        <w:tabs>
          <w:tab w:val="num" w:pos="6881"/>
        </w:tabs>
        <w:ind w:left="6881" w:hanging="360"/>
      </w:pPr>
    </w:lvl>
    <w:lvl w:ilvl="1" w:tplc="040C0001">
      <w:start w:val="1"/>
      <w:numFmt w:val="bullet"/>
      <w:lvlText w:val=""/>
      <w:lvlJc w:val="left"/>
      <w:pPr>
        <w:tabs>
          <w:tab w:val="num" w:pos="2772"/>
        </w:tabs>
        <w:ind w:left="2772" w:hanging="360"/>
      </w:pPr>
      <w:rPr>
        <w:rFonts w:ascii="Symbol" w:hAnsi="Symbol" w:hint="default"/>
      </w:rPr>
    </w:lvl>
    <w:lvl w:ilvl="2" w:tplc="04090005">
      <w:start w:val="1"/>
      <w:numFmt w:val="bullet"/>
      <w:lvlText w:val=""/>
      <w:lvlJc w:val="left"/>
      <w:pPr>
        <w:tabs>
          <w:tab w:val="num" w:pos="3492"/>
        </w:tabs>
        <w:ind w:left="3492" w:hanging="360"/>
      </w:pPr>
      <w:rPr>
        <w:rFonts w:ascii="Wingdings" w:hAnsi="Wingdings" w:hint="default"/>
      </w:rPr>
    </w:lvl>
    <w:lvl w:ilvl="3" w:tplc="04090001">
      <w:start w:val="1"/>
      <w:numFmt w:val="bullet"/>
      <w:lvlText w:val=""/>
      <w:lvlJc w:val="left"/>
      <w:pPr>
        <w:tabs>
          <w:tab w:val="num" w:pos="4212"/>
        </w:tabs>
        <w:ind w:left="4212" w:hanging="360"/>
      </w:pPr>
      <w:rPr>
        <w:rFonts w:ascii="Symbol" w:hAnsi="Symbol" w:hint="default"/>
      </w:rPr>
    </w:lvl>
    <w:lvl w:ilvl="4" w:tplc="04090003">
      <w:start w:val="1"/>
      <w:numFmt w:val="bullet"/>
      <w:lvlText w:val="o"/>
      <w:lvlJc w:val="left"/>
      <w:pPr>
        <w:tabs>
          <w:tab w:val="num" w:pos="4932"/>
        </w:tabs>
        <w:ind w:left="4932" w:hanging="360"/>
      </w:pPr>
      <w:rPr>
        <w:rFonts w:ascii="Courier New" w:hAnsi="Courier New" w:cs="Courier New" w:hint="default"/>
      </w:rPr>
    </w:lvl>
    <w:lvl w:ilvl="5" w:tplc="04090005">
      <w:start w:val="1"/>
      <w:numFmt w:val="bullet"/>
      <w:lvlText w:val=""/>
      <w:lvlJc w:val="left"/>
      <w:pPr>
        <w:tabs>
          <w:tab w:val="num" w:pos="5652"/>
        </w:tabs>
        <w:ind w:left="5652" w:hanging="360"/>
      </w:pPr>
      <w:rPr>
        <w:rFonts w:ascii="Wingdings" w:hAnsi="Wingdings" w:hint="default"/>
      </w:rPr>
    </w:lvl>
    <w:lvl w:ilvl="6" w:tplc="04090001">
      <w:start w:val="1"/>
      <w:numFmt w:val="bullet"/>
      <w:lvlText w:val=""/>
      <w:lvlJc w:val="left"/>
      <w:pPr>
        <w:tabs>
          <w:tab w:val="num" w:pos="6372"/>
        </w:tabs>
        <w:ind w:left="6372" w:hanging="360"/>
      </w:pPr>
      <w:rPr>
        <w:rFonts w:ascii="Symbol" w:hAnsi="Symbol" w:hint="default"/>
      </w:rPr>
    </w:lvl>
    <w:lvl w:ilvl="7" w:tplc="04090003">
      <w:start w:val="1"/>
      <w:numFmt w:val="bullet"/>
      <w:lvlText w:val="o"/>
      <w:lvlJc w:val="left"/>
      <w:pPr>
        <w:tabs>
          <w:tab w:val="num" w:pos="7092"/>
        </w:tabs>
        <w:ind w:left="7092" w:hanging="360"/>
      </w:pPr>
      <w:rPr>
        <w:rFonts w:ascii="Courier New" w:hAnsi="Courier New" w:cs="Courier New" w:hint="default"/>
      </w:rPr>
    </w:lvl>
    <w:lvl w:ilvl="8" w:tplc="04090005">
      <w:start w:val="1"/>
      <w:numFmt w:val="bullet"/>
      <w:lvlText w:val=""/>
      <w:lvlJc w:val="left"/>
      <w:pPr>
        <w:tabs>
          <w:tab w:val="num" w:pos="7812"/>
        </w:tabs>
        <w:ind w:left="7812" w:hanging="360"/>
      </w:pPr>
      <w:rPr>
        <w:rFonts w:ascii="Wingdings" w:hAnsi="Wingdings" w:hint="default"/>
      </w:rPr>
    </w:lvl>
  </w:abstractNum>
  <w:abstractNum w:abstractNumId="7">
    <w:nsid w:val="1C1161DA"/>
    <w:multiLevelType w:val="hybridMultilevel"/>
    <w:tmpl w:val="69FA19D0"/>
    <w:lvl w:ilvl="0" w:tplc="04090019">
      <w:start w:val="1"/>
      <w:numFmt w:val="lowerLetter"/>
      <w:lvlText w:val="%1."/>
      <w:lvlJc w:val="left"/>
      <w:pPr>
        <w:tabs>
          <w:tab w:val="num" w:pos="2052"/>
        </w:tabs>
        <w:ind w:left="2052" w:hanging="360"/>
      </w:pPr>
    </w:lvl>
    <w:lvl w:ilvl="1" w:tplc="040C0001">
      <w:start w:val="1"/>
      <w:numFmt w:val="bullet"/>
      <w:lvlText w:val=""/>
      <w:lvlJc w:val="left"/>
      <w:pPr>
        <w:tabs>
          <w:tab w:val="num" w:pos="2772"/>
        </w:tabs>
        <w:ind w:left="2772" w:hanging="360"/>
      </w:pPr>
      <w:rPr>
        <w:rFonts w:ascii="Symbol" w:hAnsi="Symbol" w:hint="default"/>
      </w:rPr>
    </w:lvl>
    <w:lvl w:ilvl="2" w:tplc="04090005">
      <w:start w:val="1"/>
      <w:numFmt w:val="bullet"/>
      <w:lvlText w:val=""/>
      <w:lvlJc w:val="left"/>
      <w:pPr>
        <w:tabs>
          <w:tab w:val="num" w:pos="3492"/>
        </w:tabs>
        <w:ind w:left="3492" w:hanging="360"/>
      </w:pPr>
      <w:rPr>
        <w:rFonts w:ascii="Wingdings" w:hAnsi="Wingdings" w:hint="default"/>
      </w:rPr>
    </w:lvl>
    <w:lvl w:ilvl="3" w:tplc="04090001">
      <w:start w:val="1"/>
      <w:numFmt w:val="bullet"/>
      <w:lvlText w:val=""/>
      <w:lvlJc w:val="left"/>
      <w:pPr>
        <w:tabs>
          <w:tab w:val="num" w:pos="4212"/>
        </w:tabs>
        <w:ind w:left="4212" w:hanging="360"/>
      </w:pPr>
      <w:rPr>
        <w:rFonts w:ascii="Symbol" w:hAnsi="Symbol" w:hint="default"/>
      </w:rPr>
    </w:lvl>
    <w:lvl w:ilvl="4" w:tplc="04090003">
      <w:start w:val="1"/>
      <w:numFmt w:val="bullet"/>
      <w:lvlText w:val="o"/>
      <w:lvlJc w:val="left"/>
      <w:pPr>
        <w:tabs>
          <w:tab w:val="num" w:pos="4932"/>
        </w:tabs>
        <w:ind w:left="4932" w:hanging="360"/>
      </w:pPr>
      <w:rPr>
        <w:rFonts w:ascii="Courier New" w:hAnsi="Courier New" w:cs="Courier New" w:hint="default"/>
      </w:rPr>
    </w:lvl>
    <w:lvl w:ilvl="5" w:tplc="04090005">
      <w:start w:val="1"/>
      <w:numFmt w:val="bullet"/>
      <w:lvlText w:val=""/>
      <w:lvlJc w:val="left"/>
      <w:pPr>
        <w:tabs>
          <w:tab w:val="num" w:pos="5652"/>
        </w:tabs>
        <w:ind w:left="5652" w:hanging="360"/>
      </w:pPr>
      <w:rPr>
        <w:rFonts w:ascii="Wingdings" w:hAnsi="Wingdings" w:hint="default"/>
      </w:rPr>
    </w:lvl>
    <w:lvl w:ilvl="6" w:tplc="04090001">
      <w:start w:val="1"/>
      <w:numFmt w:val="bullet"/>
      <w:lvlText w:val=""/>
      <w:lvlJc w:val="left"/>
      <w:pPr>
        <w:tabs>
          <w:tab w:val="num" w:pos="6372"/>
        </w:tabs>
        <w:ind w:left="6372" w:hanging="360"/>
      </w:pPr>
      <w:rPr>
        <w:rFonts w:ascii="Symbol" w:hAnsi="Symbol" w:hint="default"/>
      </w:rPr>
    </w:lvl>
    <w:lvl w:ilvl="7" w:tplc="04090003">
      <w:start w:val="1"/>
      <w:numFmt w:val="bullet"/>
      <w:lvlText w:val="o"/>
      <w:lvlJc w:val="left"/>
      <w:pPr>
        <w:tabs>
          <w:tab w:val="num" w:pos="7092"/>
        </w:tabs>
        <w:ind w:left="7092" w:hanging="360"/>
      </w:pPr>
      <w:rPr>
        <w:rFonts w:ascii="Courier New" w:hAnsi="Courier New" w:cs="Courier New" w:hint="default"/>
      </w:rPr>
    </w:lvl>
    <w:lvl w:ilvl="8" w:tplc="04090005">
      <w:start w:val="1"/>
      <w:numFmt w:val="bullet"/>
      <w:lvlText w:val=""/>
      <w:lvlJc w:val="left"/>
      <w:pPr>
        <w:tabs>
          <w:tab w:val="num" w:pos="7812"/>
        </w:tabs>
        <w:ind w:left="7812" w:hanging="360"/>
      </w:pPr>
      <w:rPr>
        <w:rFonts w:ascii="Wingdings" w:hAnsi="Wingdings" w:hint="default"/>
      </w:rPr>
    </w:lvl>
  </w:abstractNum>
  <w:abstractNum w:abstractNumId="8">
    <w:nsid w:val="24661F21"/>
    <w:multiLevelType w:val="hybridMultilevel"/>
    <w:tmpl w:val="5202B10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FE26B2"/>
    <w:multiLevelType w:val="multilevel"/>
    <w:tmpl w:val="8138DE9C"/>
    <w:lvl w:ilvl="0">
      <w:start w:val="6"/>
      <w:numFmt w:val="decimal"/>
      <w:lvlText w:val="%1."/>
      <w:lvlJc w:val="left"/>
      <w:pPr>
        <w:tabs>
          <w:tab w:val="num" w:pos="1065"/>
        </w:tabs>
        <w:ind w:left="1065" w:hanging="705"/>
      </w:pPr>
    </w:lvl>
    <w:lvl w:ilvl="1">
      <w:start w:val="1"/>
      <w:numFmt w:val="decimal"/>
      <w:isLgl/>
      <w:lvlText w:val="%1.%2"/>
      <w:lvlJc w:val="left"/>
      <w:pPr>
        <w:tabs>
          <w:tab w:val="num" w:pos="720"/>
        </w:tabs>
        <w:ind w:left="720" w:hanging="360"/>
      </w:pPr>
    </w:lvl>
    <w:lvl w:ilvl="2">
      <w:start w:val="1"/>
      <w:numFmt w:val="lowerLetter"/>
      <w:lvlText w:val="%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0">
    <w:nsid w:val="2B767A14"/>
    <w:multiLevelType w:val="hybridMultilevel"/>
    <w:tmpl w:val="5EC04254"/>
    <w:lvl w:ilvl="0" w:tplc="FFFFFFFF">
      <w:start w:val="1"/>
      <w:numFmt w:val="upp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nsid w:val="2DD571D9"/>
    <w:multiLevelType w:val="hybridMultilevel"/>
    <w:tmpl w:val="EA2E637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nsid w:val="30E8602A"/>
    <w:multiLevelType w:val="hybridMultilevel"/>
    <w:tmpl w:val="35020A54"/>
    <w:lvl w:ilvl="0" w:tplc="58F2D86C">
      <w:numFmt w:val="bullet"/>
      <w:lvlText w:val="•"/>
      <w:lvlJc w:val="left"/>
      <w:pPr>
        <w:ind w:left="502" w:hanging="360"/>
      </w:pPr>
      <w:rPr>
        <w:rFonts w:ascii="Arial" w:eastAsia="Times New Roman" w:hAnsi="Arial" w:cs="Arial" w:hint="default"/>
      </w:rPr>
    </w:lvl>
    <w:lvl w:ilvl="1" w:tplc="040C0003">
      <w:start w:val="1"/>
      <w:numFmt w:val="bullet"/>
      <w:lvlText w:val="o"/>
      <w:lvlJc w:val="left"/>
      <w:pPr>
        <w:ind w:left="1222" w:hanging="360"/>
      </w:pPr>
      <w:rPr>
        <w:rFonts w:ascii="Courier New" w:hAnsi="Courier New" w:cs="Courier New" w:hint="default"/>
      </w:rPr>
    </w:lvl>
    <w:lvl w:ilvl="2" w:tplc="040C0005">
      <w:start w:val="1"/>
      <w:numFmt w:val="bullet"/>
      <w:lvlText w:val=""/>
      <w:lvlJc w:val="left"/>
      <w:pPr>
        <w:ind w:left="1942" w:hanging="360"/>
      </w:pPr>
      <w:rPr>
        <w:rFonts w:ascii="Wingdings" w:hAnsi="Wingdings" w:hint="default"/>
      </w:rPr>
    </w:lvl>
    <w:lvl w:ilvl="3" w:tplc="040C0001">
      <w:start w:val="1"/>
      <w:numFmt w:val="bullet"/>
      <w:lvlText w:val=""/>
      <w:lvlJc w:val="left"/>
      <w:pPr>
        <w:ind w:left="2662" w:hanging="360"/>
      </w:pPr>
      <w:rPr>
        <w:rFonts w:ascii="Symbol" w:hAnsi="Symbol" w:hint="default"/>
      </w:rPr>
    </w:lvl>
    <w:lvl w:ilvl="4" w:tplc="040C0003">
      <w:start w:val="1"/>
      <w:numFmt w:val="bullet"/>
      <w:lvlText w:val="o"/>
      <w:lvlJc w:val="left"/>
      <w:pPr>
        <w:ind w:left="3382" w:hanging="360"/>
      </w:pPr>
      <w:rPr>
        <w:rFonts w:ascii="Courier New" w:hAnsi="Courier New" w:cs="Courier New" w:hint="default"/>
      </w:rPr>
    </w:lvl>
    <w:lvl w:ilvl="5" w:tplc="040C0005">
      <w:start w:val="1"/>
      <w:numFmt w:val="bullet"/>
      <w:lvlText w:val=""/>
      <w:lvlJc w:val="left"/>
      <w:pPr>
        <w:ind w:left="4102" w:hanging="360"/>
      </w:pPr>
      <w:rPr>
        <w:rFonts w:ascii="Wingdings" w:hAnsi="Wingdings" w:hint="default"/>
      </w:rPr>
    </w:lvl>
    <w:lvl w:ilvl="6" w:tplc="040C0001">
      <w:start w:val="1"/>
      <w:numFmt w:val="bullet"/>
      <w:lvlText w:val=""/>
      <w:lvlJc w:val="left"/>
      <w:pPr>
        <w:ind w:left="4822" w:hanging="360"/>
      </w:pPr>
      <w:rPr>
        <w:rFonts w:ascii="Symbol" w:hAnsi="Symbol" w:hint="default"/>
      </w:rPr>
    </w:lvl>
    <w:lvl w:ilvl="7" w:tplc="040C0003">
      <w:start w:val="1"/>
      <w:numFmt w:val="bullet"/>
      <w:lvlText w:val="o"/>
      <w:lvlJc w:val="left"/>
      <w:pPr>
        <w:ind w:left="5542" w:hanging="360"/>
      </w:pPr>
      <w:rPr>
        <w:rFonts w:ascii="Courier New" w:hAnsi="Courier New" w:cs="Courier New" w:hint="default"/>
      </w:rPr>
    </w:lvl>
    <w:lvl w:ilvl="8" w:tplc="040C0005">
      <w:start w:val="1"/>
      <w:numFmt w:val="bullet"/>
      <w:lvlText w:val=""/>
      <w:lvlJc w:val="left"/>
      <w:pPr>
        <w:ind w:left="6262" w:hanging="360"/>
      </w:pPr>
      <w:rPr>
        <w:rFonts w:ascii="Wingdings" w:hAnsi="Wingdings" w:hint="default"/>
      </w:rPr>
    </w:lvl>
  </w:abstractNum>
  <w:abstractNum w:abstractNumId="13">
    <w:nsid w:val="31240171"/>
    <w:multiLevelType w:val="hybridMultilevel"/>
    <w:tmpl w:val="7480CBD6"/>
    <w:lvl w:ilvl="0" w:tplc="04090019">
      <w:start w:val="1"/>
      <w:numFmt w:val="lowerLetter"/>
      <w:lvlText w:val="%1."/>
      <w:lvlJc w:val="left"/>
      <w:pPr>
        <w:tabs>
          <w:tab w:val="num" w:pos="6881"/>
        </w:tabs>
        <w:ind w:left="6881" w:hanging="360"/>
      </w:pPr>
    </w:lvl>
    <w:lvl w:ilvl="1" w:tplc="040C0001">
      <w:start w:val="1"/>
      <w:numFmt w:val="bullet"/>
      <w:lvlText w:val=""/>
      <w:lvlJc w:val="left"/>
      <w:pPr>
        <w:tabs>
          <w:tab w:val="num" w:pos="2772"/>
        </w:tabs>
        <w:ind w:left="2772" w:hanging="360"/>
      </w:pPr>
      <w:rPr>
        <w:rFonts w:ascii="Symbol" w:hAnsi="Symbol" w:hint="default"/>
      </w:rPr>
    </w:lvl>
    <w:lvl w:ilvl="2" w:tplc="04090005">
      <w:start w:val="1"/>
      <w:numFmt w:val="bullet"/>
      <w:lvlText w:val=""/>
      <w:lvlJc w:val="left"/>
      <w:pPr>
        <w:tabs>
          <w:tab w:val="num" w:pos="3492"/>
        </w:tabs>
        <w:ind w:left="3492" w:hanging="360"/>
      </w:pPr>
      <w:rPr>
        <w:rFonts w:ascii="Wingdings" w:hAnsi="Wingdings" w:hint="default"/>
      </w:rPr>
    </w:lvl>
    <w:lvl w:ilvl="3" w:tplc="04090001">
      <w:start w:val="1"/>
      <w:numFmt w:val="bullet"/>
      <w:lvlText w:val=""/>
      <w:lvlJc w:val="left"/>
      <w:pPr>
        <w:tabs>
          <w:tab w:val="num" w:pos="4212"/>
        </w:tabs>
        <w:ind w:left="4212" w:hanging="360"/>
      </w:pPr>
      <w:rPr>
        <w:rFonts w:ascii="Symbol" w:hAnsi="Symbol" w:hint="default"/>
      </w:rPr>
    </w:lvl>
    <w:lvl w:ilvl="4" w:tplc="04090003">
      <w:start w:val="1"/>
      <w:numFmt w:val="bullet"/>
      <w:lvlText w:val="o"/>
      <w:lvlJc w:val="left"/>
      <w:pPr>
        <w:tabs>
          <w:tab w:val="num" w:pos="4932"/>
        </w:tabs>
        <w:ind w:left="4932" w:hanging="360"/>
      </w:pPr>
      <w:rPr>
        <w:rFonts w:ascii="Courier New" w:hAnsi="Courier New" w:cs="Courier New" w:hint="default"/>
      </w:rPr>
    </w:lvl>
    <w:lvl w:ilvl="5" w:tplc="04090005">
      <w:start w:val="1"/>
      <w:numFmt w:val="bullet"/>
      <w:lvlText w:val=""/>
      <w:lvlJc w:val="left"/>
      <w:pPr>
        <w:tabs>
          <w:tab w:val="num" w:pos="5652"/>
        </w:tabs>
        <w:ind w:left="5652" w:hanging="360"/>
      </w:pPr>
      <w:rPr>
        <w:rFonts w:ascii="Wingdings" w:hAnsi="Wingdings" w:hint="default"/>
      </w:rPr>
    </w:lvl>
    <w:lvl w:ilvl="6" w:tplc="04090001">
      <w:start w:val="1"/>
      <w:numFmt w:val="bullet"/>
      <w:lvlText w:val=""/>
      <w:lvlJc w:val="left"/>
      <w:pPr>
        <w:tabs>
          <w:tab w:val="num" w:pos="6372"/>
        </w:tabs>
        <w:ind w:left="6372" w:hanging="360"/>
      </w:pPr>
      <w:rPr>
        <w:rFonts w:ascii="Symbol" w:hAnsi="Symbol" w:hint="default"/>
      </w:rPr>
    </w:lvl>
    <w:lvl w:ilvl="7" w:tplc="04090003">
      <w:start w:val="1"/>
      <w:numFmt w:val="bullet"/>
      <w:lvlText w:val="o"/>
      <w:lvlJc w:val="left"/>
      <w:pPr>
        <w:tabs>
          <w:tab w:val="num" w:pos="7092"/>
        </w:tabs>
        <w:ind w:left="7092" w:hanging="360"/>
      </w:pPr>
      <w:rPr>
        <w:rFonts w:ascii="Courier New" w:hAnsi="Courier New" w:cs="Courier New" w:hint="default"/>
      </w:rPr>
    </w:lvl>
    <w:lvl w:ilvl="8" w:tplc="04090005">
      <w:start w:val="1"/>
      <w:numFmt w:val="bullet"/>
      <w:lvlText w:val=""/>
      <w:lvlJc w:val="left"/>
      <w:pPr>
        <w:tabs>
          <w:tab w:val="num" w:pos="7812"/>
        </w:tabs>
        <w:ind w:left="7812" w:hanging="360"/>
      </w:pPr>
      <w:rPr>
        <w:rFonts w:ascii="Wingdings" w:hAnsi="Wingdings" w:hint="default"/>
      </w:rPr>
    </w:lvl>
  </w:abstractNum>
  <w:abstractNum w:abstractNumId="14">
    <w:nsid w:val="312A650B"/>
    <w:multiLevelType w:val="hybridMultilevel"/>
    <w:tmpl w:val="84E8603C"/>
    <w:lvl w:ilvl="0" w:tplc="626C28E4">
      <w:start w:val="1"/>
      <w:numFmt w:val="bullet"/>
      <w:lvlText w:val=""/>
      <w:lvlJc w:val="left"/>
      <w:pPr>
        <w:ind w:left="1208" w:hanging="360"/>
      </w:pPr>
      <w:rPr>
        <w:rFonts w:ascii="Wingdings" w:hAnsi="Wingdings" w:hint="default"/>
        <w:lang w:val="fr-FR"/>
      </w:rPr>
    </w:lvl>
    <w:lvl w:ilvl="1" w:tplc="08090003">
      <w:start w:val="1"/>
      <w:numFmt w:val="bullet"/>
      <w:lvlText w:val="o"/>
      <w:lvlJc w:val="left"/>
      <w:pPr>
        <w:ind w:left="1928" w:hanging="360"/>
      </w:pPr>
      <w:rPr>
        <w:rFonts w:ascii="Courier New" w:hAnsi="Courier New" w:cs="Courier New" w:hint="default"/>
      </w:rPr>
    </w:lvl>
    <w:lvl w:ilvl="2" w:tplc="08090005">
      <w:start w:val="1"/>
      <w:numFmt w:val="bullet"/>
      <w:lvlText w:val=""/>
      <w:lvlJc w:val="left"/>
      <w:pPr>
        <w:ind w:left="2648" w:hanging="360"/>
      </w:pPr>
      <w:rPr>
        <w:rFonts w:ascii="Wingdings" w:hAnsi="Wingdings" w:hint="default"/>
      </w:rPr>
    </w:lvl>
    <w:lvl w:ilvl="3" w:tplc="08090001">
      <w:start w:val="1"/>
      <w:numFmt w:val="bullet"/>
      <w:lvlText w:val=""/>
      <w:lvlJc w:val="left"/>
      <w:pPr>
        <w:ind w:left="3368" w:hanging="360"/>
      </w:pPr>
      <w:rPr>
        <w:rFonts w:ascii="Symbol" w:hAnsi="Symbol" w:hint="default"/>
      </w:rPr>
    </w:lvl>
    <w:lvl w:ilvl="4" w:tplc="08090003">
      <w:start w:val="1"/>
      <w:numFmt w:val="bullet"/>
      <w:lvlText w:val="o"/>
      <w:lvlJc w:val="left"/>
      <w:pPr>
        <w:ind w:left="4088" w:hanging="360"/>
      </w:pPr>
      <w:rPr>
        <w:rFonts w:ascii="Courier New" w:hAnsi="Courier New" w:cs="Courier New" w:hint="default"/>
      </w:rPr>
    </w:lvl>
    <w:lvl w:ilvl="5" w:tplc="08090005">
      <w:start w:val="1"/>
      <w:numFmt w:val="bullet"/>
      <w:lvlText w:val=""/>
      <w:lvlJc w:val="left"/>
      <w:pPr>
        <w:ind w:left="4808" w:hanging="360"/>
      </w:pPr>
      <w:rPr>
        <w:rFonts w:ascii="Wingdings" w:hAnsi="Wingdings" w:hint="default"/>
      </w:rPr>
    </w:lvl>
    <w:lvl w:ilvl="6" w:tplc="08090001">
      <w:start w:val="1"/>
      <w:numFmt w:val="bullet"/>
      <w:lvlText w:val=""/>
      <w:lvlJc w:val="left"/>
      <w:pPr>
        <w:ind w:left="5528" w:hanging="360"/>
      </w:pPr>
      <w:rPr>
        <w:rFonts w:ascii="Symbol" w:hAnsi="Symbol" w:hint="default"/>
      </w:rPr>
    </w:lvl>
    <w:lvl w:ilvl="7" w:tplc="08090003">
      <w:start w:val="1"/>
      <w:numFmt w:val="bullet"/>
      <w:lvlText w:val="o"/>
      <w:lvlJc w:val="left"/>
      <w:pPr>
        <w:ind w:left="6248" w:hanging="360"/>
      </w:pPr>
      <w:rPr>
        <w:rFonts w:ascii="Courier New" w:hAnsi="Courier New" w:cs="Courier New" w:hint="default"/>
      </w:rPr>
    </w:lvl>
    <w:lvl w:ilvl="8" w:tplc="08090005">
      <w:start w:val="1"/>
      <w:numFmt w:val="bullet"/>
      <w:lvlText w:val=""/>
      <w:lvlJc w:val="left"/>
      <w:pPr>
        <w:ind w:left="6968" w:hanging="360"/>
      </w:pPr>
      <w:rPr>
        <w:rFonts w:ascii="Wingdings" w:hAnsi="Wingdings" w:hint="default"/>
      </w:rPr>
    </w:lvl>
  </w:abstractNum>
  <w:abstractNum w:abstractNumId="15">
    <w:nsid w:val="347F1F2C"/>
    <w:multiLevelType w:val="hybridMultilevel"/>
    <w:tmpl w:val="69FA19D0"/>
    <w:lvl w:ilvl="0" w:tplc="04090019">
      <w:start w:val="1"/>
      <w:numFmt w:val="lowerLetter"/>
      <w:lvlText w:val="%1."/>
      <w:lvlJc w:val="left"/>
      <w:pPr>
        <w:tabs>
          <w:tab w:val="num" w:pos="2052"/>
        </w:tabs>
        <w:ind w:left="2052" w:hanging="360"/>
      </w:pPr>
    </w:lvl>
    <w:lvl w:ilvl="1" w:tplc="040C0001">
      <w:start w:val="1"/>
      <w:numFmt w:val="bullet"/>
      <w:lvlText w:val=""/>
      <w:lvlJc w:val="left"/>
      <w:pPr>
        <w:tabs>
          <w:tab w:val="num" w:pos="2772"/>
        </w:tabs>
        <w:ind w:left="2772" w:hanging="360"/>
      </w:pPr>
      <w:rPr>
        <w:rFonts w:ascii="Symbol" w:hAnsi="Symbol" w:hint="default"/>
      </w:rPr>
    </w:lvl>
    <w:lvl w:ilvl="2" w:tplc="04090005">
      <w:start w:val="1"/>
      <w:numFmt w:val="bullet"/>
      <w:lvlText w:val=""/>
      <w:lvlJc w:val="left"/>
      <w:pPr>
        <w:tabs>
          <w:tab w:val="num" w:pos="3492"/>
        </w:tabs>
        <w:ind w:left="3492" w:hanging="360"/>
      </w:pPr>
      <w:rPr>
        <w:rFonts w:ascii="Wingdings" w:hAnsi="Wingdings" w:hint="default"/>
      </w:rPr>
    </w:lvl>
    <w:lvl w:ilvl="3" w:tplc="04090001">
      <w:start w:val="1"/>
      <w:numFmt w:val="bullet"/>
      <w:lvlText w:val=""/>
      <w:lvlJc w:val="left"/>
      <w:pPr>
        <w:tabs>
          <w:tab w:val="num" w:pos="4212"/>
        </w:tabs>
        <w:ind w:left="4212" w:hanging="360"/>
      </w:pPr>
      <w:rPr>
        <w:rFonts w:ascii="Symbol" w:hAnsi="Symbol" w:hint="default"/>
      </w:rPr>
    </w:lvl>
    <w:lvl w:ilvl="4" w:tplc="04090003">
      <w:start w:val="1"/>
      <w:numFmt w:val="bullet"/>
      <w:lvlText w:val="o"/>
      <w:lvlJc w:val="left"/>
      <w:pPr>
        <w:tabs>
          <w:tab w:val="num" w:pos="4932"/>
        </w:tabs>
        <w:ind w:left="4932" w:hanging="360"/>
      </w:pPr>
      <w:rPr>
        <w:rFonts w:ascii="Courier New" w:hAnsi="Courier New" w:cs="Courier New" w:hint="default"/>
      </w:rPr>
    </w:lvl>
    <w:lvl w:ilvl="5" w:tplc="04090005">
      <w:start w:val="1"/>
      <w:numFmt w:val="bullet"/>
      <w:lvlText w:val=""/>
      <w:lvlJc w:val="left"/>
      <w:pPr>
        <w:tabs>
          <w:tab w:val="num" w:pos="5652"/>
        </w:tabs>
        <w:ind w:left="5652" w:hanging="360"/>
      </w:pPr>
      <w:rPr>
        <w:rFonts w:ascii="Wingdings" w:hAnsi="Wingdings" w:hint="default"/>
      </w:rPr>
    </w:lvl>
    <w:lvl w:ilvl="6" w:tplc="04090001">
      <w:start w:val="1"/>
      <w:numFmt w:val="bullet"/>
      <w:lvlText w:val=""/>
      <w:lvlJc w:val="left"/>
      <w:pPr>
        <w:tabs>
          <w:tab w:val="num" w:pos="6372"/>
        </w:tabs>
        <w:ind w:left="6372" w:hanging="360"/>
      </w:pPr>
      <w:rPr>
        <w:rFonts w:ascii="Symbol" w:hAnsi="Symbol" w:hint="default"/>
      </w:rPr>
    </w:lvl>
    <w:lvl w:ilvl="7" w:tplc="04090003">
      <w:start w:val="1"/>
      <w:numFmt w:val="bullet"/>
      <w:lvlText w:val="o"/>
      <w:lvlJc w:val="left"/>
      <w:pPr>
        <w:tabs>
          <w:tab w:val="num" w:pos="7092"/>
        </w:tabs>
        <w:ind w:left="7092" w:hanging="360"/>
      </w:pPr>
      <w:rPr>
        <w:rFonts w:ascii="Courier New" w:hAnsi="Courier New" w:cs="Courier New" w:hint="default"/>
      </w:rPr>
    </w:lvl>
    <w:lvl w:ilvl="8" w:tplc="04090005">
      <w:start w:val="1"/>
      <w:numFmt w:val="bullet"/>
      <w:lvlText w:val=""/>
      <w:lvlJc w:val="left"/>
      <w:pPr>
        <w:tabs>
          <w:tab w:val="num" w:pos="7812"/>
        </w:tabs>
        <w:ind w:left="7812" w:hanging="360"/>
      </w:pPr>
      <w:rPr>
        <w:rFonts w:ascii="Wingdings" w:hAnsi="Wingdings" w:hint="default"/>
      </w:rPr>
    </w:lvl>
  </w:abstractNum>
  <w:abstractNum w:abstractNumId="16">
    <w:nsid w:val="35832218"/>
    <w:multiLevelType w:val="hybridMultilevel"/>
    <w:tmpl w:val="3D94C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36DB226F"/>
    <w:multiLevelType w:val="hybridMultilevel"/>
    <w:tmpl w:val="1D9C717A"/>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7C706CE"/>
    <w:multiLevelType w:val="hybridMultilevel"/>
    <w:tmpl w:val="69FA19D0"/>
    <w:lvl w:ilvl="0" w:tplc="04090019">
      <w:start w:val="1"/>
      <w:numFmt w:val="lowerLetter"/>
      <w:lvlText w:val="%1."/>
      <w:lvlJc w:val="left"/>
      <w:pPr>
        <w:tabs>
          <w:tab w:val="num" w:pos="2052"/>
        </w:tabs>
        <w:ind w:left="2052" w:hanging="360"/>
      </w:pPr>
    </w:lvl>
    <w:lvl w:ilvl="1" w:tplc="040C0001">
      <w:start w:val="1"/>
      <w:numFmt w:val="bullet"/>
      <w:lvlText w:val=""/>
      <w:lvlJc w:val="left"/>
      <w:pPr>
        <w:tabs>
          <w:tab w:val="num" w:pos="2772"/>
        </w:tabs>
        <w:ind w:left="2772" w:hanging="360"/>
      </w:pPr>
      <w:rPr>
        <w:rFonts w:ascii="Symbol" w:hAnsi="Symbol" w:hint="default"/>
      </w:rPr>
    </w:lvl>
    <w:lvl w:ilvl="2" w:tplc="04090005">
      <w:start w:val="1"/>
      <w:numFmt w:val="bullet"/>
      <w:lvlText w:val=""/>
      <w:lvlJc w:val="left"/>
      <w:pPr>
        <w:tabs>
          <w:tab w:val="num" w:pos="3492"/>
        </w:tabs>
        <w:ind w:left="3492" w:hanging="360"/>
      </w:pPr>
      <w:rPr>
        <w:rFonts w:ascii="Wingdings" w:hAnsi="Wingdings" w:hint="default"/>
      </w:rPr>
    </w:lvl>
    <w:lvl w:ilvl="3" w:tplc="04090001">
      <w:start w:val="1"/>
      <w:numFmt w:val="bullet"/>
      <w:lvlText w:val=""/>
      <w:lvlJc w:val="left"/>
      <w:pPr>
        <w:tabs>
          <w:tab w:val="num" w:pos="4212"/>
        </w:tabs>
        <w:ind w:left="4212" w:hanging="360"/>
      </w:pPr>
      <w:rPr>
        <w:rFonts w:ascii="Symbol" w:hAnsi="Symbol" w:hint="default"/>
      </w:rPr>
    </w:lvl>
    <w:lvl w:ilvl="4" w:tplc="04090003">
      <w:start w:val="1"/>
      <w:numFmt w:val="bullet"/>
      <w:lvlText w:val="o"/>
      <w:lvlJc w:val="left"/>
      <w:pPr>
        <w:tabs>
          <w:tab w:val="num" w:pos="4932"/>
        </w:tabs>
        <w:ind w:left="4932" w:hanging="360"/>
      </w:pPr>
      <w:rPr>
        <w:rFonts w:ascii="Courier New" w:hAnsi="Courier New" w:cs="Courier New" w:hint="default"/>
      </w:rPr>
    </w:lvl>
    <w:lvl w:ilvl="5" w:tplc="04090005">
      <w:start w:val="1"/>
      <w:numFmt w:val="bullet"/>
      <w:lvlText w:val=""/>
      <w:lvlJc w:val="left"/>
      <w:pPr>
        <w:tabs>
          <w:tab w:val="num" w:pos="5652"/>
        </w:tabs>
        <w:ind w:left="5652" w:hanging="360"/>
      </w:pPr>
      <w:rPr>
        <w:rFonts w:ascii="Wingdings" w:hAnsi="Wingdings" w:hint="default"/>
      </w:rPr>
    </w:lvl>
    <w:lvl w:ilvl="6" w:tplc="04090001">
      <w:start w:val="1"/>
      <w:numFmt w:val="bullet"/>
      <w:lvlText w:val=""/>
      <w:lvlJc w:val="left"/>
      <w:pPr>
        <w:tabs>
          <w:tab w:val="num" w:pos="6372"/>
        </w:tabs>
        <w:ind w:left="6372" w:hanging="360"/>
      </w:pPr>
      <w:rPr>
        <w:rFonts w:ascii="Symbol" w:hAnsi="Symbol" w:hint="default"/>
      </w:rPr>
    </w:lvl>
    <w:lvl w:ilvl="7" w:tplc="04090003">
      <w:start w:val="1"/>
      <w:numFmt w:val="bullet"/>
      <w:lvlText w:val="o"/>
      <w:lvlJc w:val="left"/>
      <w:pPr>
        <w:tabs>
          <w:tab w:val="num" w:pos="7092"/>
        </w:tabs>
        <w:ind w:left="7092" w:hanging="360"/>
      </w:pPr>
      <w:rPr>
        <w:rFonts w:ascii="Courier New" w:hAnsi="Courier New" w:cs="Courier New" w:hint="default"/>
      </w:rPr>
    </w:lvl>
    <w:lvl w:ilvl="8" w:tplc="04090005">
      <w:start w:val="1"/>
      <w:numFmt w:val="bullet"/>
      <w:lvlText w:val=""/>
      <w:lvlJc w:val="left"/>
      <w:pPr>
        <w:tabs>
          <w:tab w:val="num" w:pos="7812"/>
        </w:tabs>
        <w:ind w:left="7812" w:hanging="360"/>
      </w:pPr>
      <w:rPr>
        <w:rFonts w:ascii="Wingdings" w:hAnsi="Wingdings" w:hint="default"/>
      </w:rPr>
    </w:lvl>
  </w:abstractNum>
  <w:abstractNum w:abstractNumId="19">
    <w:nsid w:val="387F1A17"/>
    <w:multiLevelType w:val="hybridMultilevel"/>
    <w:tmpl w:val="4538CC6E"/>
    <w:lvl w:ilvl="0" w:tplc="08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397B62D2"/>
    <w:multiLevelType w:val="multilevel"/>
    <w:tmpl w:val="65C6E938"/>
    <w:styleLink w:val="List0"/>
    <w:lvl w:ilvl="0">
      <w:start w:val="1"/>
      <w:numFmt w:val="decimal"/>
      <w:lvlText w:val="%1."/>
      <w:lvlJc w:val="left"/>
      <w:pPr>
        <w:tabs>
          <w:tab w:val="num" w:pos="426"/>
        </w:tabs>
        <w:ind w:left="426" w:hanging="426"/>
      </w:pPr>
      <w:rPr>
        <w:rFonts w:ascii="Times New Roman" w:eastAsia="Times New Roman" w:hAnsi="Times New Roman" w:cs="Times New Roman"/>
        <w:position w:val="0"/>
        <w:sz w:val="22"/>
        <w:szCs w:val="22"/>
        <w:lang w:val="en-US"/>
      </w:rPr>
    </w:lvl>
    <w:lvl w:ilvl="1">
      <w:start w:val="1"/>
      <w:numFmt w:val="lowerLetter"/>
      <w:lvlText w:val="%2."/>
      <w:lvlJc w:val="left"/>
      <w:pPr>
        <w:tabs>
          <w:tab w:val="num" w:pos="2160"/>
        </w:tabs>
        <w:ind w:left="2160" w:hanging="360"/>
      </w:pPr>
      <w:rPr>
        <w:rFonts w:ascii="Times New Roman Bold" w:eastAsia="Times New Roman Bold" w:hAnsi="Times New Roman Bold" w:cs="Times New Roman Bold"/>
        <w:position w:val="0"/>
        <w:sz w:val="24"/>
        <w:szCs w:val="24"/>
        <w:lang w:val="en-US"/>
      </w:rPr>
    </w:lvl>
    <w:lvl w:ilvl="2">
      <w:start w:val="1"/>
      <w:numFmt w:val="bullet"/>
      <w:lvlText w:val="▪"/>
      <w:lvlJc w:val="left"/>
      <w:pPr>
        <w:tabs>
          <w:tab w:val="num" w:pos="2880"/>
        </w:tabs>
        <w:ind w:left="2880" w:hanging="360"/>
      </w:pPr>
      <w:rPr>
        <w:rFonts w:ascii="Times New Roman Bold" w:eastAsia="Times New Roman Bold" w:hAnsi="Times New Roman Bold" w:cs="Times New Roman Bold"/>
        <w:position w:val="0"/>
        <w:sz w:val="24"/>
        <w:szCs w:val="24"/>
        <w:lang w:val="en-US"/>
      </w:rPr>
    </w:lvl>
    <w:lvl w:ilvl="3">
      <w:start w:val="1"/>
      <w:numFmt w:val="bullet"/>
      <w:lvlText w:val="•"/>
      <w:lvlJc w:val="left"/>
      <w:pPr>
        <w:tabs>
          <w:tab w:val="num" w:pos="3600"/>
        </w:tabs>
        <w:ind w:left="3600" w:hanging="360"/>
      </w:pPr>
      <w:rPr>
        <w:rFonts w:ascii="Times New Roman Bold" w:eastAsia="Times New Roman Bold" w:hAnsi="Times New Roman Bold" w:cs="Times New Roman Bold"/>
        <w:position w:val="0"/>
        <w:sz w:val="24"/>
        <w:szCs w:val="24"/>
        <w:lang w:val="en-US"/>
      </w:rPr>
    </w:lvl>
    <w:lvl w:ilvl="4">
      <w:start w:val="1"/>
      <w:numFmt w:val="bullet"/>
      <w:lvlText w:val="o"/>
      <w:lvlJc w:val="left"/>
      <w:pPr>
        <w:tabs>
          <w:tab w:val="num" w:pos="4320"/>
        </w:tabs>
        <w:ind w:left="4320" w:hanging="360"/>
      </w:pPr>
      <w:rPr>
        <w:rFonts w:ascii="Times New Roman Bold" w:eastAsia="Times New Roman Bold" w:hAnsi="Times New Roman Bold" w:cs="Times New Roman Bold"/>
        <w:position w:val="0"/>
        <w:sz w:val="24"/>
        <w:szCs w:val="24"/>
        <w:lang w:val="en-US"/>
      </w:rPr>
    </w:lvl>
    <w:lvl w:ilvl="5">
      <w:start w:val="1"/>
      <w:numFmt w:val="bullet"/>
      <w:lvlText w:val="▪"/>
      <w:lvlJc w:val="left"/>
      <w:pPr>
        <w:tabs>
          <w:tab w:val="num" w:pos="5040"/>
        </w:tabs>
        <w:ind w:left="5040" w:hanging="360"/>
      </w:pPr>
      <w:rPr>
        <w:rFonts w:ascii="Times New Roman Bold" w:eastAsia="Times New Roman Bold" w:hAnsi="Times New Roman Bold" w:cs="Times New Roman Bold"/>
        <w:position w:val="0"/>
        <w:sz w:val="24"/>
        <w:szCs w:val="24"/>
        <w:lang w:val="en-US"/>
      </w:rPr>
    </w:lvl>
    <w:lvl w:ilvl="6">
      <w:start w:val="1"/>
      <w:numFmt w:val="bullet"/>
      <w:lvlText w:val="•"/>
      <w:lvlJc w:val="left"/>
      <w:pPr>
        <w:tabs>
          <w:tab w:val="num" w:pos="5760"/>
        </w:tabs>
        <w:ind w:left="5760" w:hanging="360"/>
      </w:pPr>
      <w:rPr>
        <w:rFonts w:ascii="Times New Roman Bold" w:eastAsia="Times New Roman Bold" w:hAnsi="Times New Roman Bold" w:cs="Times New Roman Bold"/>
        <w:position w:val="0"/>
        <w:sz w:val="24"/>
        <w:szCs w:val="24"/>
        <w:lang w:val="en-US"/>
      </w:rPr>
    </w:lvl>
    <w:lvl w:ilvl="7">
      <w:start w:val="1"/>
      <w:numFmt w:val="bullet"/>
      <w:lvlText w:val="o"/>
      <w:lvlJc w:val="left"/>
      <w:pPr>
        <w:tabs>
          <w:tab w:val="num" w:pos="6480"/>
        </w:tabs>
        <w:ind w:left="6480" w:hanging="360"/>
      </w:pPr>
      <w:rPr>
        <w:rFonts w:ascii="Times New Roman Bold" w:eastAsia="Times New Roman Bold" w:hAnsi="Times New Roman Bold" w:cs="Times New Roman Bold"/>
        <w:position w:val="0"/>
        <w:sz w:val="24"/>
        <w:szCs w:val="24"/>
        <w:lang w:val="en-US"/>
      </w:rPr>
    </w:lvl>
    <w:lvl w:ilvl="8">
      <w:start w:val="1"/>
      <w:numFmt w:val="bullet"/>
      <w:lvlText w:val="▪"/>
      <w:lvlJc w:val="left"/>
      <w:pPr>
        <w:tabs>
          <w:tab w:val="num" w:pos="7200"/>
        </w:tabs>
        <w:ind w:left="7200" w:hanging="360"/>
      </w:pPr>
      <w:rPr>
        <w:rFonts w:ascii="Times New Roman Bold" w:eastAsia="Times New Roman Bold" w:hAnsi="Times New Roman Bold" w:cs="Times New Roman Bold"/>
        <w:position w:val="0"/>
        <w:sz w:val="24"/>
        <w:szCs w:val="24"/>
        <w:lang w:val="en-US"/>
      </w:rPr>
    </w:lvl>
  </w:abstractNum>
  <w:abstractNum w:abstractNumId="21">
    <w:nsid w:val="3FF261FA"/>
    <w:multiLevelType w:val="hybridMultilevel"/>
    <w:tmpl w:val="F57887AC"/>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41A22B0A"/>
    <w:multiLevelType w:val="multilevel"/>
    <w:tmpl w:val="C6D6A628"/>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709672F"/>
    <w:multiLevelType w:val="hybridMultilevel"/>
    <w:tmpl w:val="69FA19D0"/>
    <w:lvl w:ilvl="0" w:tplc="04090019">
      <w:start w:val="1"/>
      <w:numFmt w:val="lowerLetter"/>
      <w:lvlText w:val="%1."/>
      <w:lvlJc w:val="left"/>
      <w:pPr>
        <w:tabs>
          <w:tab w:val="num" w:pos="2052"/>
        </w:tabs>
        <w:ind w:left="2052" w:hanging="360"/>
      </w:pPr>
    </w:lvl>
    <w:lvl w:ilvl="1" w:tplc="040C0001">
      <w:start w:val="1"/>
      <w:numFmt w:val="bullet"/>
      <w:lvlText w:val=""/>
      <w:lvlJc w:val="left"/>
      <w:pPr>
        <w:tabs>
          <w:tab w:val="num" w:pos="2772"/>
        </w:tabs>
        <w:ind w:left="2772" w:hanging="360"/>
      </w:pPr>
      <w:rPr>
        <w:rFonts w:ascii="Symbol" w:hAnsi="Symbol" w:hint="default"/>
      </w:rPr>
    </w:lvl>
    <w:lvl w:ilvl="2" w:tplc="04090005">
      <w:start w:val="1"/>
      <w:numFmt w:val="bullet"/>
      <w:lvlText w:val=""/>
      <w:lvlJc w:val="left"/>
      <w:pPr>
        <w:tabs>
          <w:tab w:val="num" w:pos="3492"/>
        </w:tabs>
        <w:ind w:left="3492" w:hanging="360"/>
      </w:pPr>
      <w:rPr>
        <w:rFonts w:ascii="Wingdings" w:hAnsi="Wingdings" w:hint="default"/>
      </w:rPr>
    </w:lvl>
    <w:lvl w:ilvl="3" w:tplc="04090001">
      <w:start w:val="1"/>
      <w:numFmt w:val="bullet"/>
      <w:lvlText w:val=""/>
      <w:lvlJc w:val="left"/>
      <w:pPr>
        <w:tabs>
          <w:tab w:val="num" w:pos="4212"/>
        </w:tabs>
        <w:ind w:left="4212" w:hanging="360"/>
      </w:pPr>
      <w:rPr>
        <w:rFonts w:ascii="Symbol" w:hAnsi="Symbol" w:hint="default"/>
      </w:rPr>
    </w:lvl>
    <w:lvl w:ilvl="4" w:tplc="04090003">
      <w:start w:val="1"/>
      <w:numFmt w:val="bullet"/>
      <w:lvlText w:val="o"/>
      <w:lvlJc w:val="left"/>
      <w:pPr>
        <w:tabs>
          <w:tab w:val="num" w:pos="4932"/>
        </w:tabs>
        <w:ind w:left="4932" w:hanging="360"/>
      </w:pPr>
      <w:rPr>
        <w:rFonts w:ascii="Courier New" w:hAnsi="Courier New" w:cs="Courier New" w:hint="default"/>
      </w:rPr>
    </w:lvl>
    <w:lvl w:ilvl="5" w:tplc="04090005">
      <w:start w:val="1"/>
      <w:numFmt w:val="bullet"/>
      <w:lvlText w:val=""/>
      <w:lvlJc w:val="left"/>
      <w:pPr>
        <w:tabs>
          <w:tab w:val="num" w:pos="5652"/>
        </w:tabs>
        <w:ind w:left="5652" w:hanging="360"/>
      </w:pPr>
      <w:rPr>
        <w:rFonts w:ascii="Wingdings" w:hAnsi="Wingdings" w:hint="default"/>
      </w:rPr>
    </w:lvl>
    <w:lvl w:ilvl="6" w:tplc="04090001">
      <w:start w:val="1"/>
      <w:numFmt w:val="bullet"/>
      <w:lvlText w:val=""/>
      <w:lvlJc w:val="left"/>
      <w:pPr>
        <w:tabs>
          <w:tab w:val="num" w:pos="6372"/>
        </w:tabs>
        <w:ind w:left="6372" w:hanging="360"/>
      </w:pPr>
      <w:rPr>
        <w:rFonts w:ascii="Symbol" w:hAnsi="Symbol" w:hint="default"/>
      </w:rPr>
    </w:lvl>
    <w:lvl w:ilvl="7" w:tplc="04090003">
      <w:start w:val="1"/>
      <w:numFmt w:val="bullet"/>
      <w:lvlText w:val="o"/>
      <w:lvlJc w:val="left"/>
      <w:pPr>
        <w:tabs>
          <w:tab w:val="num" w:pos="7092"/>
        </w:tabs>
        <w:ind w:left="7092" w:hanging="360"/>
      </w:pPr>
      <w:rPr>
        <w:rFonts w:ascii="Courier New" w:hAnsi="Courier New" w:cs="Courier New" w:hint="default"/>
      </w:rPr>
    </w:lvl>
    <w:lvl w:ilvl="8" w:tplc="04090005">
      <w:start w:val="1"/>
      <w:numFmt w:val="bullet"/>
      <w:lvlText w:val=""/>
      <w:lvlJc w:val="left"/>
      <w:pPr>
        <w:tabs>
          <w:tab w:val="num" w:pos="7812"/>
        </w:tabs>
        <w:ind w:left="7812" w:hanging="360"/>
      </w:pPr>
      <w:rPr>
        <w:rFonts w:ascii="Wingdings" w:hAnsi="Wingdings" w:hint="default"/>
      </w:rPr>
    </w:lvl>
  </w:abstractNum>
  <w:abstractNum w:abstractNumId="24">
    <w:nsid w:val="4B0E0E02"/>
    <w:multiLevelType w:val="multilevel"/>
    <w:tmpl w:val="1CE00F98"/>
    <w:styleLink w:val="Liste21"/>
    <w:lvl w:ilvl="0">
      <w:start w:val="1"/>
      <w:numFmt w:val="decimal"/>
      <w:lvlText w:val="%1."/>
      <w:lvlJc w:val="left"/>
      <w:pPr>
        <w:tabs>
          <w:tab w:val="num" w:pos="420"/>
        </w:tabs>
        <w:ind w:left="420" w:hanging="420"/>
      </w:pPr>
      <w:rPr>
        <w:rFonts w:ascii="Times New Roman Bold" w:eastAsia="Times New Roman Bold" w:hAnsi="Times New Roman Bold" w:cs="Times New Roman Bold"/>
        <w:position w:val="0"/>
        <w:sz w:val="28"/>
        <w:szCs w:val="28"/>
        <w:rtl w:val="0"/>
        <w:lang w:val="en-US"/>
      </w:rPr>
    </w:lvl>
    <w:lvl w:ilvl="1">
      <w:start w:val="4"/>
      <w:numFmt w:val="decimal"/>
      <w:lvlText w:val="%1.%2."/>
      <w:lvlJc w:val="left"/>
      <w:pPr>
        <w:tabs>
          <w:tab w:val="num" w:pos="360"/>
        </w:tabs>
        <w:ind w:left="360" w:hanging="360"/>
      </w:pPr>
      <w:rPr>
        <w:rFonts w:ascii="Times New Roman Bold" w:eastAsia="Times New Roman Bold" w:hAnsi="Times New Roman Bold" w:cs="Times New Roman Bold"/>
        <w:position w:val="0"/>
        <w:sz w:val="28"/>
        <w:szCs w:val="28"/>
        <w:rtl w:val="0"/>
        <w:lang w:val="en-US"/>
      </w:rPr>
    </w:lvl>
    <w:lvl w:ilvl="2">
      <w:start w:val="1"/>
      <w:numFmt w:val="decimal"/>
      <w:lvlText w:val="%1.%2.%3."/>
      <w:lvlJc w:val="left"/>
      <w:pPr>
        <w:tabs>
          <w:tab w:val="num" w:pos="840"/>
        </w:tabs>
        <w:ind w:left="840" w:hanging="840"/>
      </w:pPr>
      <w:rPr>
        <w:rFonts w:ascii="Times New Roman Bold" w:eastAsia="Times New Roman Bold" w:hAnsi="Times New Roman Bold" w:cs="Times New Roman Bold"/>
        <w:position w:val="0"/>
        <w:sz w:val="28"/>
        <w:szCs w:val="28"/>
        <w:rtl w:val="0"/>
        <w:lang w:val="en-US"/>
      </w:rPr>
    </w:lvl>
    <w:lvl w:ilvl="3">
      <w:start w:val="1"/>
      <w:numFmt w:val="decimal"/>
      <w:lvlText w:val="%1.%2.%3.%4."/>
      <w:lvlJc w:val="left"/>
      <w:pPr>
        <w:tabs>
          <w:tab w:val="num" w:pos="840"/>
        </w:tabs>
        <w:ind w:left="840" w:hanging="840"/>
      </w:pPr>
      <w:rPr>
        <w:rFonts w:ascii="Times New Roman Bold" w:eastAsia="Times New Roman Bold" w:hAnsi="Times New Roman Bold" w:cs="Times New Roman Bold"/>
        <w:position w:val="0"/>
        <w:sz w:val="28"/>
        <w:szCs w:val="28"/>
        <w:rtl w:val="0"/>
        <w:lang w:val="en-US"/>
      </w:rPr>
    </w:lvl>
    <w:lvl w:ilvl="4">
      <w:start w:val="1"/>
      <w:numFmt w:val="decimal"/>
      <w:lvlText w:val="%1.%2.%3.%4.%5."/>
      <w:lvlJc w:val="left"/>
      <w:pPr>
        <w:tabs>
          <w:tab w:val="num" w:pos="1260"/>
        </w:tabs>
        <w:ind w:left="1260" w:hanging="1260"/>
      </w:pPr>
      <w:rPr>
        <w:rFonts w:ascii="Times New Roman Bold" w:eastAsia="Times New Roman Bold" w:hAnsi="Times New Roman Bold" w:cs="Times New Roman Bold"/>
        <w:position w:val="0"/>
        <w:sz w:val="28"/>
        <w:szCs w:val="28"/>
        <w:rtl w:val="0"/>
        <w:lang w:val="en-US"/>
      </w:rPr>
    </w:lvl>
    <w:lvl w:ilvl="5">
      <w:start w:val="1"/>
      <w:numFmt w:val="decimal"/>
      <w:lvlText w:val="%1.%2.%3.%4.%5.%6."/>
      <w:lvlJc w:val="left"/>
      <w:pPr>
        <w:tabs>
          <w:tab w:val="num" w:pos="1260"/>
        </w:tabs>
        <w:ind w:left="1260" w:hanging="1260"/>
      </w:pPr>
      <w:rPr>
        <w:rFonts w:ascii="Times New Roman Bold" w:eastAsia="Times New Roman Bold" w:hAnsi="Times New Roman Bold" w:cs="Times New Roman Bold"/>
        <w:position w:val="0"/>
        <w:sz w:val="28"/>
        <w:szCs w:val="28"/>
        <w:rtl w:val="0"/>
        <w:lang w:val="en-US"/>
      </w:rPr>
    </w:lvl>
    <w:lvl w:ilvl="6">
      <w:start w:val="1"/>
      <w:numFmt w:val="decimal"/>
      <w:lvlText w:val="%1.%2.%3.%4.%5.%6.%7."/>
      <w:lvlJc w:val="left"/>
      <w:pPr>
        <w:tabs>
          <w:tab w:val="num" w:pos="1680"/>
        </w:tabs>
        <w:ind w:left="1680" w:hanging="1680"/>
      </w:pPr>
      <w:rPr>
        <w:rFonts w:ascii="Times New Roman Bold" w:eastAsia="Times New Roman Bold" w:hAnsi="Times New Roman Bold" w:cs="Times New Roman Bold"/>
        <w:position w:val="0"/>
        <w:sz w:val="28"/>
        <w:szCs w:val="28"/>
        <w:rtl w:val="0"/>
        <w:lang w:val="en-US"/>
      </w:rPr>
    </w:lvl>
    <w:lvl w:ilvl="7">
      <w:start w:val="1"/>
      <w:numFmt w:val="decimal"/>
      <w:lvlText w:val="%1.%2.%3.%4.%5.%6.%7.%8."/>
      <w:lvlJc w:val="left"/>
      <w:pPr>
        <w:tabs>
          <w:tab w:val="num" w:pos="1680"/>
        </w:tabs>
        <w:ind w:left="1680" w:hanging="1680"/>
      </w:pPr>
      <w:rPr>
        <w:rFonts w:ascii="Times New Roman Bold" w:eastAsia="Times New Roman Bold" w:hAnsi="Times New Roman Bold" w:cs="Times New Roman Bold"/>
        <w:position w:val="0"/>
        <w:sz w:val="28"/>
        <w:szCs w:val="28"/>
        <w:rtl w:val="0"/>
        <w:lang w:val="en-US"/>
      </w:rPr>
    </w:lvl>
    <w:lvl w:ilvl="8">
      <w:start w:val="1"/>
      <w:numFmt w:val="decimal"/>
      <w:lvlText w:val="%1.%2.%3.%4.%5.%6.%7.%8.%9."/>
      <w:lvlJc w:val="left"/>
      <w:pPr>
        <w:tabs>
          <w:tab w:val="num" w:pos="1680"/>
        </w:tabs>
        <w:ind w:left="1680" w:hanging="1680"/>
      </w:pPr>
      <w:rPr>
        <w:rFonts w:ascii="Times New Roman Bold" w:eastAsia="Times New Roman Bold" w:hAnsi="Times New Roman Bold" w:cs="Times New Roman Bold"/>
        <w:position w:val="0"/>
        <w:sz w:val="28"/>
        <w:szCs w:val="28"/>
        <w:rtl w:val="0"/>
        <w:lang w:val="en-US"/>
      </w:rPr>
    </w:lvl>
  </w:abstractNum>
  <w:abstractNum w:abstractNumId="25">
    <w:nsid w:val="4B4C6D38"/>
    <w:multiLevelType w:val="multilevel"/>
    <w:tmpl w:val="A4CEECD4"/>
    <w:lvl w:ilvl="0">
      <w:start w:val="6"/>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2D50DC2"/>
    <w:multiLevelType w:val="hybridMultilevel"/>
    <w:tmpl w:val="1068ACDA"/>
    <w:lvl w:ilvl="0" w:tplc="0409000B">
      <w:start w:val="1"/>
      <w:numFmt w:val="bullet"/>
      <w:lvlText w:val=""/>
      <w:lvlJc w:val="left"/>
      <w:pPr>
        <w:ind w:left="1145" w:hanging="360"/>
      </w:pPr>
      <w:rPr>
        <w:rFonts w:ascii="Wingdings" w:hAnsi="Wingdings"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27">
    <w:nsid w:val="54812352"/>
    <w:multiLevelType w:val="multilevel"/>
    <w:tmpl w:val="7C36816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84475DE"/>
    <w:multiLevelType w:val="hybridMultilevel"/>
    <w:tmpl w:val="4BD6AB1C"/>
    <w:lvl w:ilvl="0" w:tplc="040C000B">
      <w:start w:val="1"/>
      <w:numFmt w:val="bullet"/>
      <w:lvlText w:val=""/>
      <w:lvlJc w:val="left"/>
      <w:pPr>
        <w:ind w:left="1146" w:hanging="360"/>
      </w:pPr>
      <w:rPr>
        <w:rFonts w:ascii="Wingdings" w:hAnsi="Wingdings" w:hint="default"/>
        <w:b w:val="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9">
    <w:nsid w:val="59FF5A97"/>
    <w:multiLevelType w:val="multilevel"/>
    <w:tmpl w:val="0A56FC5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0">
    <w:nsid w:val="5A984EB8"/>
    <w:multiLevelType w:val="hybridMultilevel"/>
    <w:tmpl w:val="9378E2B8"/>
    <w:lvl w:ilvl="0" w:tplc="08090011">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1">
      <w:start w:val="1"/>
      <w:numFmt w:val="decimal"/>
      <w:lvlText w:val="%3)"/>
      <w:lvlJc w:val="left"/>
      <w:pPr>
        <w:tabs>
          <w:tab w:val="num" w:pos="2160"/>
        </w:tabs>
        <w:ind w:left="2160" w:hanging="180"/>
      </w:pPr>
    </w:lvl>
    <w:lvl w:ilvl="3" w:tplc="18A829D6">
      <w:numFmt w:val="decimal"/>
      <w:lvlText w:val="%4-"/>
      <w:lvlJc w:val="left"/>
      <w:pPr>
        <w:tabs>
          <w:tab w:val="num" w:pos="2880"/>
        </w:tabs>
        <w:ind w:left="2880" w:hanging="360"/>
      </w:pPr>
    </w:lvl>
    <w:lvl w:ilvl="4" w:tplc="DAA68D54">
      <w:numFmt w:val="bullet"/>
      <w:lvlText w:val="-"/>
      <w:lvlJc w:val="left"/>
      <w:pPr>
        <w:tabs>
          <w:tab w:val="num" w:pos="3750"/>
        </w:tabs>
        <w:ind w:left="3750" w:hanging="510"/>
      </w:pPr>
      <w:rPr>
        <w:rFonts w:ascii="Times New Roman" w:eastAsia="Times New Roman" w:hAnsi="Times New Roman" w:cs="Times New Roman" w:hint="default"/>
      </w:rPr>
    </w:lvl>
    <w:lvl w:ilvl="5" w:tplc="08090001">
      <w:start w:val="1"/>
      <w:numFmt w:val="bullet"/>
      <w:lvlText w:val=""/>
      <w:lvlJc w:val="left"/>
      <w:pPr>
        <w:tabs>
          <w:tab w:val="num" w:pos="4500"/>
        </w:tabs>
        <w:ind w:left="4500" w:hanging="360"/>
      </w:pPr>
      <w:rPr>
        <w:rFonts w:ascii="Symbol" w:hAnsi="Symbol" w:hint="default"/>
      </w:r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1">
    <w:nsid w:val="6F7535F6"/>
    <w:multiLevelType w:val="hybridMultilevel"/>
    <w:tmpl w:val="7DF6E09C"/>
    <w:lvl w:ilvl="0" w:tplc="5C14F012">
      <w:start w:val="1"/>
      <w:numFmt w:val="decimal"/>
      <w:lvlText w:val="%1."/>
      <w:lvlJc w:val="left"/>
      <w:pPr>
        <w:ind w:left="720" w:hanging="360"/>
      </w:pPr>
      <w:rPr>
        <w:rFonts w:ascii="Times New Roman" w:hAnsi="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6200D04"/>
    <w:multiLevelType w:val="hybridMultilevel"/>
    <w:tmpl w:val="A60A484E"/>
    <w:lvl w:ilvl="0" w:tplc="4C328B6E">
      <w:start w:val="1"/>
      <w:numFmt w:val="lowerLetter"/>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962067A"/>
    <w:multiLevelType w:val="hybridMultilevel"/>
    <w:tmpl w:val="69FA19D0"/>
    <w:lvl w:ilvl="0" w:tplc="04090019">
      <w:start w:val="1"/>
      <w:numFmt w:val="lowerLetter"/>
      <w:lvlText w:val="%1."/>
      <w:lvlJc w:val="left"/>
      <w:pPr>
        <w:tabs>
          <w:tab w:val="num" w:pos="2052"/>
        </w:tabs>
        <w:ind w:left="2052" w:hanging="360"/>
      </w:pPr>
    </w:lvl>
    <w:lvl w:ilvl="1" w:tplc="040C0001">
      <w:start w:val="1"/>
      <w:numFmt w:val="bullet"/>
      <w:lvlText w:val=""/>
      <w:lvlJc w:val="left"/>
      <w:pPr>
        <w:tabs>
          <w:tab w:val="num" w:pos="2772"/>
        </w:tabs>
        <w:ind w:left="2772" w:hanging="360"/>
      </w:pPr>
      <w:rPr>
        <w:rFonts w:ascii="Symbol" w:hAnsi="Symbol" w:hint="default"/>
      </w:rPr>
    </w:lvl>
    <w:lvl w:ilvl="2" w:tplc="04090005">
      <w:start w:val="1"/>
      <w:numFmt w:val="bullet"/>
      <w:lvlText w:val=""/>
      <w:lvlJc w:val="left"/>
      <w:pPr>
        <w:tabs>
          <w:tab w:val="num" w:pos="3492"/>
        </w:tabs>
        <w:ind w:left="3492" w:hanging="360"/>
      </w:pPr>
      <w:rPr>
        <w:rFonts w:ascii="Wingdings" w:hAnsi="Wingdings" w:hint="default"/>
      </w:rPr>
    </w:lvl>
    <w:lvl w:ilvl="3" w:tplc="04090001">
      <w:start w:val="1"/>
      <w:numFmt w:val="bullet"/>
      <w:lvlText w:val=""/>
      <w:lvlJc w:val="left"/>
      <w:pPr>
        <w:tabs>
          <w:tab w:val="num" w:pos="4212"/>
        </w:tabs>
        <w:ind w:left="4212" w:hanging="360"/>
      </w:pPr>
      <w:rPr>
        <w:rFonts w:ascii="Symbol" w:hAnsi="Symbol" w:hint="default"/>
      </w:rPr>
    </w:lvl>
    <w:lvl w:ilvl="4" w:tplc="04090003">
      <w:start w:val="1"/>
      <w:numFmt w:val="bullet"/>
      <w:lvlText w:val="o"/>
      <w:lvlJc w:val="left"/>
      <w:pPr>
        <w:tabs>
          <w:tab w:val="num" w:pos="4932"/>
        </w:tabs>
        <w:ind w:left="4932" w:hanging="360"/>
      </w:pPr>
      <w:rPr>
        <w:rFonts w:ascii="Courier New" w:hAnsi="Courier New" w:cs="Courier New" w:hint="default"/>
      </w:rPr>
    </w:lvl>
    <w:lvl w:ilvl="5" w:tplc="04090005">
      <w:start w:val="1"/>
      <w:numFmt w:val="bullet"/>
      <w:lvlText w:val=""/>
      <w:lvlJc w:val="left"/>
      <w:pPr>
        <w:tabs>
          <w:tab w:val="num" w:pos="5652"/>
        </w:tabs>
        <w:ind w:left="5652" w:hanging="360"/>
      </w:pPr>
      <w:rPr>
        <w:rFonts w:ascii="Wingdings" w:hAnsi="Wingdings" w:hint="default"/>
      </w:rPr>
    </w:lvl>
    <w:lvl w:ilvl="6" w:tplc="04090001">
      <w:start w:val="1"/>
      <w:numFmt w:val="bullet"/>
      <w:lvlText w:val=""/>
      <w:lvlJc w:val="left"/>
      <w:pPr>
        <w:tabs>
          <w:tab w:val="num" w:pos="6372"/>
        </w:tabs>
        <w:ind w:left="6372" w:hanging="360"/>
      </w:pPr>
      <w:rPr>
        <w:rFonts w:ascii="Symbol" w:hAnsi="Symbol" w:hint="default"/>
      </w:rPr>
    </w:lvl>
    <w:lvl w:ilvl="7" w:tplc="04090003">
      <w:start w:val="1"/>
      <w:numFmt w:val="bullet"/>
      <w:lvlText w:val="o"/>
      <w:lvlJc w:val="left"/>
      <w:pPr>
        <w:tabs>
          <w:tab w:val="num" w:pos="7092"/>
        </w:tabs>
        <w:ind w:left="7092" w:hanging="360"/>
      </w:pPr>
      <w:rPr>
        <w:rFonts w:ascii="Courier New" w:hAnsi="Courier New" w:cs="Courier New" w:hint="default"/>
      </w:rPr>
    </w:lvl>
    <w:lvl w:ilvl="8" w:tplc="04090005">
      <w:start w:val="1"/>
      <w:numFmt w:val="bullet"/>
      <w:lvlText w:val=""/>
      <w:lvlJc w:val="left"/>
      <w:pPr>
        <w:tabs>
          <w:tab w:val="num" w:pos="7812"/>
        </w:tabs>
        <w:ind w:left="7812" w:hanging="360"/>
      </w:pPr>
      <w:rPr>
        <w:rFonts w:ascii="Wingdings" w:hAnsi="Wingdings" w:hint="default"/>
      </w:rPr>
    </w:lvl>
  </w:abstractNum>
  <w:abstractNum w:abstractNumId="34">
    <w:nsid w:val="7B4C6483"/>
    <w:multiLevelType w:val="hybridMultilevel"/>
    <w:tmpl w:val="7480CBD6"/>
    <w:lvl w:ilvl="0" w:tplc="04090019">
      <w:start w:val="1"/>
      <w:numFmt w:val="lowerLetter"/>
      <w:lvlText w:val="%1."/>
      <w:lvlJc w:val="left"/>
      <w:pPr>
        <w:tabs>
          <w:tab w:val="num" w:pos="7307"/>
        </w:tabs>
        <w:ind w:left="7307" w:hanging="360"/>
      </w:pPr>
    </w:lvl>
    <w:lvl w:ilvl="1" w:tplc="040C0001">
      <w:start w:val="1"/>
      <w:numFmt w:val="bullet"/>
      <w:lvlText w:val=""/>
      <w:lvlJc w:val="left"/>
      <w:pPr>
        <w:tabs>
          <w:tab w:val="num" w:pos="2772"/>
        </w:tabs>
        <w:ind w:left="2772" w:hanging="360"/>
      </w:pPr>
      <w:rPr>
        <w:rFonts w:ascii="Symbol" w:hAnsi="Symbol" w:hint="default"/>
      </w:rPr>
    </w:lvl>
    <w:lvl w:ilvl="2" w:tplc="04090005">
      <w:start w:val="1"/>
      <w:numFmt w:val="bullet"/>
      <w:lvlText w:val=""/>
      <w:lvlJc w:val="left"/>
      <w:pPr>
        <w:tabs>
          <w:tab w:val="num" w:pos="3492"/>
        </w:tabs>
        <w:ind w:left="3492" w:hanging="360"/>
      </w:pPr>
      <w:rPr>
        <w:rFonts w:ascii="Wingdings" w:hAnsi="Wingdings" w:hint="default"/>
      </w:rPr>
    </w:lvl>
    <w:lvl w:ilvl="3" w:tplc="04090001">
      <w:start w:val="1"/>
      <w:numFmt w:val="bullet"/>
      <w:lvlText w:val=""/>
      <w:lvlJc w:val="left"/>
      <w:pPr>
        <w:tabs>
          <w:tab w:val="num" w:pos="4212"/>
        </w:tabs>
        <w:ind w:left="4212" w:hanging="360"/>
      </w:pPr>
      <w:rPr>
        <w:rFonts w:ascii="Symbol" w:hAnsi="Symbol" w:hint="default"/>
      </w:rPr>
    </w:lvl>
    <w:lvl w:ilvl="4" w:tplc="04090003">
      <w:start w:val="1"/>
      <w:numFmt w:val="bullet"/>
      <w:lvlText w:val="o"/>
      <w:lvlJc w:val="left"/>
      <w:pPr>
        <w:tabs>
          <w:tab w:val="num" w:pos="4932"/>
        </w:tabs>
        <w:ind w:left="4932" w:hanging="360"/>
      </w:pPr>
      <w:rPr>
        <w:rFonts w:ascii="Courier New" w:hAnsi="Courier New" w:cs="Courier New" w:hint="default"/>
      </w:rPr>
    </w:lvl>
    <w:lvl w:ilvl="5" w:tplc="04090005">
      <w:start w:val="1"/>
      <w:numFmt w:val="bullet"/>
      <w:lvlText w:val=""/>
      <w:lvlJc w:val="left"/>
      <w:pPr>
        <w:tabs>
          <w:tab w:val="num" w:pos="5652"/>
        </w:tabs>
        <w:ind w:left="5652" w:hanging="360"/>
      </w:pPr>
      <w:rPr>
        <w:rFonts w:ascii="Wingdings" w:hAnsi="Wingdings" w:hint="default"/>
      </w:rPr>
    </w:lvl>
    <w:lvl w:ilvl="6" w:tplc="04090001">
      <w:start w:val="1"/>
      <w:numFmt w:val="bullet"/>
      <w:lvlText w:val=""/>
      <w:lvlJc w:val="left"/>
      <w:pPr>
        <w:tabs>
          <w:tab w:val="num" w:pos="6372"/>
        </w:tabs>
        <w:ind w:left="6372" w:hanging="360"/>
      </w:pPr>
      <w:rPr>
        <w:rFonts w:ascii="Symbol" w:hAnsi="Symbol" w:hint="default"/>
      </w:rPr>
    </w:lvl>
    <w:lvl w:ilvl="7" w:tplc="04090003">
      <w:start w:val="1"/>
      <w:numFmt w:val="bullet"/>
      <w:lvlText w:val="o"/>
      <w:lvlJc w:val="left"/>
      <w:pPr>
        <w:tabs>
          <w:tab w:val="num" w:pos="7092"/>
        </w:tabs>
        <w:ind w:left="7092" w:hanging="360"/>
      </w:pPr>
      <w:rPr>
        <w:rFonts w:ascii="Courier New" w:hAnsi="Courier New" w:cs="Courier New" w:hint="default"/>
      </w:rPr>
    </w:lvl>
    <w:lvl w:ilvl="8" w:tplc="04090005">
      <w:start w:val="1"/>
      <w:numFmt w:val="bullet"/>
      <w:lvlText w:val=""/>
      <w:lvlJc w:val="left"/>
      <w:pPr>
        <w:tabs>
          <w:tab w:val="num" w:pos="7812"/>
        </w:tabs>
        <w:ind w:left="7812" w:hanging="360"/>
      </w:pPr>
      <w:rPr>
        <w:rFonts w:ascii="Wingdings" w:hAnsi="Wingdings" w:hint="default"/>
      </w:rPr>
    </w:lvl>
  </w:abstractNum>
  <w:abstractNum w:abstractNumId="35">
    <w:nsid w:val="7C354B18"/>
    <w:multiLevelType w:val="multilevel"/>
    <w:tmpl w:val="36888DBA"/>
    <w:styleLink w:val="List1"/>
    <w:lvl w:ilvl="0">
      <w:numFmt w:val="bullet"/>
      <w:lvlText w:val="➢"/>
      <w:lvlJc w:val="left"/>
      <w:pPr>
        <w:tabs>
          <w:tab w:val="num" w:pos="426"/>
        </w:tabs>
        <w:ind w:left="426" w:hanging="426"/>
      </w:pPr>
      <w:rPr>
        <w:rFonts w:ascii="Times New Roman Bold" w:eastAsia="Times New Roman Bold" w:hAnsi="Times New Roman Bold" w:cs="Times New Roman Bold"/>
        <w:position w:val="0"/>
        <w:sz w:val="22"/>
        <w:szCs w:val="22"/>
        <w:lang w:val="en-US"/>
      </w:rPr>
    </w:lvl>
    <w:lvl w:ilvl="1">
      <w:start w:val="1"/>
      <w:numFmt w:val="bullet"/>
      <w:lvlText w:val="o"/>
      <w:lvlJc w:val="left"/>
      <w:pPr>
        <w:tabs>
          <w:tab w:val="num" w:pos="1440"/>
        </w:tabs>
        <w:ind w:left="1440" w:hanging="360"/>
      </w:pPr>
      <w:rPr>
        <w:rFonts w:ascii="Times New Roman Bold" w:eastAsia="Times New Roman Bold" w:hAnsi="Times New Roman Bold" w:cs="Times New Roman Bold"/>
        <w:position w:val="0"/>
        <w:sz w:val="24"/>
        <w:szCs w:val="24"/>
        <w:lang w:val="en-US"/>
      </w:rPr>
    </w:lvl>
    <w:lvl w:ilvl="2">
      <w:start w:val="1"/>
      <w:numFmt w:val="bullet"/>
      <w:lvlText w:val="▪"/>
      <w:lvlJc w:val="left"/>
      <w:pPr>
        <w:tabs>
          <w:tab w:val="num" w:pos="2160"/>
        </w:tabs>
        <w:ind w:left="2160" w:hanging="360"/>
      </w:pPr>
      <w:rPr>
        <w:rFonts w:ascii="Times New Roman Bold" w:eastAsia="Times New Roman Bold" w:hAnsi="Times New Roman Bold" w:cs="Times New Roman Bold"/>
        <w:position w:val="0"/>
        <w:sz w:val="24"/>
        <w:szCs w:val="24"/>
        <w:lang w:val="en-US"/>
      </w:rPr>
    </w:lvl>
    <w:lvl w:ilvl="3">
      <w:start w:val="1"/>
      <w:numFmt w:val="bullet"/>
      <w:lvlText w:val="•"/>
      <w:lvlJc w:val="left"/>
      <w:pPr>
        <w:tabs>
          <w:tab w:val="num" w:pos="2880"/>
        </w:tabs>
        <w:ind w:left="2880" w:hanging="360"/>
      </w:pPr>
      <w:rPr>
        <w:rFonts w:ascii="Times New Roman Bold" w:eastAsia="Times New Roman Bold" w:hAnsi="Times New Roman Bold" w:cs="Times New Roman Bold"/>
        <w:position w:val="0"/>
        <w:sz w:val="24"/>
        <w:szCs w:val="24"/>
        <w:lang w:val="en-US"/>
      </w:rPr>
    </w:lvl>
    <w:lvl w:ilvl="4">
      <w:start w:val="1"/>
      <w:numFmt w:val="bullet"/>
      <w:lvlText w:val="o"/>
      <w:lvlJc w:val="left"/>
      <w:pPr>
        <w:tabs>
          <w:tab w:val="num" w:pos="3600"/>
        </w:tabs>
        <w:ind w:left="3600" w:hanging="360"/>
      </w:pPr>
      <w:rPr>
        <w:rFonts w:ascii="Times New Roman Bold" w:eastAsia="Times New Roman Bold" w:hAnsi="Times New Roman Bold" w:cs="Times New Roman Bold"/>
        <w:position w:val="0"/>
        <w:sz w:val="24"/>
        <w:szCs w:val="24"/>
        <w:lang w:val="en-US"/>
      </w:rPr>
    </w:lvl>
    <w:lvl w:ilvl="5">
      <w:start w:val="1"/>
      <w:numFmt w:val="bullet"/>
      <w:lvlText w:val="▪"/>
      <w:lvlJc w:val="left"/>
      <w:pPr>
        <w:tabs>
          <w:tab w:val="num" w:pos="4320"/>
        </w:tabs>
        <w:ind w:left="4320" w:hanging="360"/>
      </w:pPr>
      <w:rPr>
        <w:rFonts w:ascii="Times New Roman Bold" w:eastAsia="Times New Roman Bold" w:hAnsi="Times New Roman Bold" w:cs="Times New Roman Bold"/>
        <w:position w:val="0"/>
        <w:sz w:val="24"/>
        <w:szCs w:val="24"/>
        <w:lang w:val="en-US"/>
      </w:rPr>
    </w:lvl>
    <w:lvl w:ilvl="6">
      <w:start w:val="1"/>
      <w:numFmt w:val="bullet"/>
      <w:lvlText w:val="•"/>
      <w:lvlJc w:val="left"/>
      <w:pPr>
        <w:tabs>
          <w:tab w:val="num" w:pos="5040"/>
        </w:tabs>
        <w:ind w:left="5040" w:hanging="360"/>
      </w:pPr>
      <w:rPr>
        <w:rFonts w:ascii="Times New Roman Bold" w:eastAsia="Times New Roman Bold" w:hAnsi="Times New Roman Bold" w:cs="Times New Roman Bold"/>
        <w:position w:val="0"/>
        <w:sz w:val="24"/>
        <w:szCs w:val="24"/>
        <w:lang w:val="en-US"/>
      </w:rPr>
    </w:lvl>
    <w:lvl w:ilvl="7">
      <w:start w:val="1"/>
      <w:numFmt w:val="bullet"/>
      <w:lvlText w:val="o"/>
      <w:lvlJc w:val="left"/>
      <w:pPr>
        <w:tabs>
          <w:tab w:val="num" w:pos="5760"/>
        </w:tabs>
        <w:ind w:left="5760" w:hanging="360"/>
      </w:pPr>
      <w:rPr>
        <w:rFonts w:ascii="Times New Roman Bold" w:eastAsia="Times New Roman Bold" w:hAnsi="Times New Roman Bold" w:cs="Times New Roman Bold"/>
        <w:position w:val="0"/>
        <w:sz w:val="24"/>
        <w:szCs w:val="24"/>
        <w:lang w:val="en-US"/>
      </w:rPr>
    </w:lvl>
    <w:lvl w:ilvl="8">
      <w:start w:val="1"/>
      <w:numFmt w:val="bullet"/>
      <w:lvlText w:val="▪"/>
      <w:lvlJc w:val="left"/>
      <w:pPr>
        <w:tabs>
          <w:tab w:val="num" w:pos="6480"/>
        </w:tabs>
        <w:ind w:left="6480" w:hanging="360"/>
      </w:pPr>
      <w:rPr>
        <w:rFonts w:ascii="Times New Roman Bold" w:eastAsia="Times New Roman Bold" w:hAnsi="Times New Roman Bold" w:cs="Times New Roman Bold"/>
        <w:position w:val="0"/>
        <w:sz w:val="24"/>
        <w:szCs w:val="24"/>
        <w:lang w:val="en-US"/>
      </w:rPr>
    </w:lvl>
  </w:abstractNum>
  <w:abstractNum w:abstractNumId="36">
    <w:nsid w:val="7E0C6707"/>
    <w:multiLevelType w:val="hybridMultilevel"/>
    <w:tmpl w:val="506A86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24"/>
  </w:num>
  <w:num w:numId="3">
    <w:abstractNumId w:val="29"/>
  </w:num>
  <w:num w:numId="4">
    <w:abstractNumId w:val="5"/>
    <w:lvlOverride w:ilvl="0"/>
    <w:lvlOverride w:ilvl="1">
      <w:startOverride w:val="2"/>
    </w:lvlOverride>
    <w:lvlOverride w:ilvl="2"/>
    <w:lvlOverride w:ilvl="3"/>
    <w:lvlOverride w:ilvl="4"/>
    <w:lvlOverride w:ilvl="5"/>
    <w:lvlOverride w:ilvl="6"/>
    <w:lvlOverride w:ilvl="7"/>
    <w:lvlOverride w:ilvl="8"/>
  </w:num>
  <w:num w:numId="5">
    <w:abstractNumId w:val="8"/>
  </w:num>
  <w:num w:numId="6">
    <w:abstractNumId w:val="27"/>
  </w:num>
  <w:num w:numId="7">
    <w:abstractNumId w:val="17"/>
  </w:num>
  <w:num w:numId="8">
    <w:abstractNumId w:val="2"/>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36"/>
  </w:num>
  <w:num w:numId="11">
    <w:abstractNumId w:val="15"/>
    <w:lvlOverride w:ilvl="0">
      <w:startOverride w:val="1"/>
    </w:lvlOverride>
    <w:lvlOverride w:ilvl="1"/>
    <w:lvlOverride w:ilvl="2"/>
    <w:lvlOverride w:ilvl="3"/>
    <w:lvlOverride w:ilvl="4"/>
    <w:lvlOverride w:ilvl="5"/>
    <w:lvlOverride w:ilvl="6"/>
    <w:lvlOverride w:ilvl="7"/>
    <w:lvlOverride w:ilvl="8"/>
  </w:num>
  <w:num w:numId="12">
    <w:abstractNumId w:val="32"/>
  </w:num>
  <w:num w:numId="13">
    <w:abstractNumId w:val="5"/>
    <w:lvlOverride w:ilvl="0"/>
    <w:lvlOverride w:ilvl="1">
      <w:startOverride w:val="2"/>
    </w:lvlOverride>
    <w:lvlOverride w:ilvl="2"/>
    <w:lvlOverride w:ilvl="3"/>
    <w:lvlOverride w:ilvl="4"/>
    <w:lvlOverride w:ilvl="5"/>
    <w:lvlOverride w:ilvl="6"/>
    <w:lvlOverride w:ilvl="7"/>
    <w:lvlOverride w:ilvl="8"/>
  </w:num>
  <w:num w:numId="14">
    <w:abstractNumId w:val="21"/>
  </w:num>
  <w:num w:numId="15">
    <w:abstractNumId w:val="25"/>
  </w:num>
  <w:num w:numId="16">
    <w:abstractNumId w:val="28"/>
  </w:num>
  <w:num w:numId="17">
    <w:abstractNumId w:val="14"/>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0"/>
  </w:num>
  <w:num w:numId="21">
    <w:abstractNumId w:val="10"/>
  </w:num>
  <w:num w:numId="22">
    <w:abstractNumId w:val="10"/>
    <w:lvlOverride w:ilvl="0">
      <w:startOverride w:val="1"/>
    </w:lvlOverride>
    <w:lvlOverride w:ilvl="1"/>
    <w:lvlOverride w:ilvl="2"/>
    <w:lvlOverride w:ilvl="3"/>
    <w:lvlOverride w:ilvl="4"/>
    <w:lvlOverride w:ilvl="5"/>
    <w:lvlOverride w:ilvl="6"/>
    <w:lvlOverride w:ilvl="7"/>
    <w:lvlOverride w:ilvl="8"/>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26"/>
  </w:num>
  <w:num w:numId="26">
    <w:abstractNumId w:val="22"/>
  </w:num>
  <w:num w:numId="27">
    <w:abstractNumId w:val="20"/>
  </w:num>
  <w:num w:numId="28">
    <w:abstractNumId w:val="16"/>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30"/>
    <w:lvlOverride w:ilvl="0">
      <w:startOverride w:val="1"/>
    </w:lvlOverride>
    <w:lvlOverride w:ilvl="1"/>
    <w:lvlOverride w:ilvl="2">
      <w:startOverride w:val="1"/>
    </w:lvlOverride>
    <w:lvlOverride w:ilvl="3"/>
    <w:lvlOverride w:ilvl="4"/>
    <w:lvlOverride w:ilvl="5"/>
    <w:lvlOverride w:ilvl="6">
      <w:startOverride w:val="1"/>
    </w:lvlOverride>
    <w:lvlOverride w:ilvl="7">
      <w:startOverride w:val="1"/>
    </w:lvlOverride>
    <w:lvlOverride w:ilvl="8">
      <w:startOverride w:val="1"/>
    </w:lvlOverride>
  </w:num>
  <w:num w:numId="32">
    <w:abstractNumId w:val="13"/>
    <w:lvlOverride w:ilvl="0">
      <w:startOverride w:val="1"/>
    </w:lvlOverride>
    <w:lvlOverride w:ilvl="1"/>
    <w:lvlOverride w:ilvl="2"/>
    <w:lvlOverride w:ilvl="3"/>
    <w:lvlOverride w:ilvl="4"/>
    <w:lvlOverride w:ilvl="5"/>
    <w:lvlOverride w:ilvl="6"/>
    <w:lvlOverride w:ilvl="7"/>
    <w:lvlOverride w:ilvl="8"/>
  </w:num>
  <w:num w:numId="33">
    <w:abstractNumId w:val="34"/>
    <w:lvlOverride w:ilvl="0">
      <w:startOverride w:val="1"/>
    </w:lvlOverride>
    <w:lvlOverride w:ilvl="1"/>
    <w:lvlOverride w:ilvl="2"/>
    <w:lvlOverride w:ilvl="3"/>
    <w:lvlOverride w:ilvl="4"/>
    <w:lvlOverride w:ilvl="5"/>
    <w:lvlOverride w:ilvl="6"/>
    <w:lvlOverride w:ilvl="7"/>
    <w:lvlOverride w:ilvl="8"/>
  </w:num>
  <w:num w:numId="34">
    <w:abstractNumId w:val="1"/>
    <w:lvlOverride w:ilvl="0">
      <w:startOverride w:val="1"/>
    </w:lvlOverride>
    <w:lvlOverride w:ilvl="1"/>
    <w:lvlOverride w:ilvl="2"/>
    <w:lvlOverride w:ilvl="3"/>
    <w:lvlOverride w:ilvl="4"/>
    <w:lvlOverride w:ilvl="5"/>
    <w:lvlOverride w:ilvl="6"/>
    <w:lvlOverride w:ilvl="7"/>
    <w:lvlOverride w:ilvl="8"/>
  </w:num>
  <w:num w:numId="35">
    <w:abstractNumId w:val="33"/>
    <w:lvlOverride w:ilvl="0">
      <w:startOverride w:val="1"/>
    </w:lvlOverride>
    <w:lvlOverride w:ilvl="1"/>
    <w:lvlOverride w:ilvl="2"/>
    <w:lvlOverride w:ilvl="3"/>
    <w:lvlOverride w:ilvl="4"/>
    <w:lvlOverride w:ilvl="5"/>
    <w:lvlOverride w:ilvl="6"/>
    <w:lvlOverride w:ilvl="7"/>
    <w:lvlOverride w:ilvl="8"/>
  </w:num>
  <w:num w:numId="36">
    <w:abstractNumId w:val="18"/>
    <w:lvlOverride w:ilvl="0">
      <w:startOverride w:val="1"/>
    </w:lvlOverride>
    <w:lvlOverride w:ilvl="1"/>
    <w:lvlOverride w:ilvl="2"/>
    <w:lvlOverride w:ilvl="3"/>
    <w:lvlOverride w:ilvl="4"/>
    <w:lvlOverride w:ilvl="5"/>
    <w:lvlOverride w:ilvl="6"/>
    <w:lvlOverride w:ilvl="7"/>
    <w:lvlOverride w:ilvl="8"/>
  </w:num>
  <w:num w:numId="37">
    <w:abstractNumId w:val="6"/>
    <w:lvlOverride w:ilvl="0">
      <w:startOverride w:val="1"/>
    </w:lvlOverride>
    <w:lvlOverride w:ilvl="1"/>
    <w:lvlOverride w:ilvl="2"/>
    <w:lvlOverride w:ilvl="3"/>
    <w:lvlOverride w:ilvl="4"/>
    <w:lvlOverride w:ilvl="5"/>
    <w:lvlOverride w:ilvl="6"/>
    <w:lvlOverride w:ilvl="7"/>
    <w:lvlOverride w:ilvl="8"/>
  </w:num>
  <w:num w:numId="38">
    <w:abstractNumId w:val="7"/>
    <w:lvlOverride w:ilvl="0">
      <w:startOverride w:val="1"/>
    </w:lvlOverride>
    <w:lvlOverride w:ilvl="1"/>
    <w:lvlOverride w:ilvl="2"/>
    <w:lvlOverride w:ilvl="3"/>
    <w:lvlOverride w:ilvl="4"/>
    <w:lvlOverride w:ilvl="5"/>
    <w:lvlOverride w:ilvl="6"/>
    <w:lvlOverride w:ilvl="7"/>
    <w:lvlOverride w:ilvl="8"/>
  </w:num>
  <w:num w:numId="39">
    <w:abstractNumId w:val="23"/>
    <w:lvlOverride w:ilvl="0">
      <w:startOverride w:val="1"/>
    </w:lvlOverride>
    <w:lvlOverride w:ilvl="1"/>
    <w:lvlOverride w:ilvl="2"/>
    <w:lvlOverride w:ilvl="3"/>
    <w:lvlOverride w:ilvl="4"/>
    <w:lvlOverride w:ilvl="5"/>
    <w:lvlOverride w:ilvl="6"/>
    <w:lvlOverride w:ilvl="7"/>
    <w:lvlOverride w:ilvl="8"/>
  </w:num>
  <w:num w:numId="40">
    <w:abstractNumId w:val="5"/>
    <w:lvlOverride w:ilvl="0"/>
    <w:lvlOverride w:ilvl="1">
      <w:startOverride w:val="2"/>
    </w:lvlOverride>
    <w:lvlOverride w:ilvl="2"/>
    <w:lvlOverride w:ilvl="3"/>
    <w:lvlOverride w:ilvl="4"/>
    <w:lvlOverride w:ilvl="5"/>
    <w:lvlOverride w:ilvl="6"/>
    <w:lvlOverride w:ilvl="7"/>
    <w:lvlOverride w:ilvl="8"/>
  </w:num>
  <w:num w:numId="41">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revisionView w:inkAnnotations="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B7F"/>
    <w:rsid w:val="00212796"/>
    <w:rsid w:val="00415733"/>
    <w:rsid w:val="00BD5B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fr-FR"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E-mail Signature" w:uiPriority="0"/>
    <w:lsdException w:name="HTML Typewriter"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4"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qFormat="1"/>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73"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9"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64"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5B7F"/>
    <w:pPr>
      <w:pBdr>
        <w:top w:val="nil"/>
        <w:left w:val="nil"/>
        <w:bottom w:val="nil"/>
        <w:right w:val="nil"/>
        <w:between w:val="nil"/>
        <w:bar w:val="nil"/>
      </w:pBdr>
      <w:spacing w:after="0"/>
      <w:jc w:val="left"/>
    </w:pPr>
    <w:rPr>
      <w:rFonts w:eastAsia="Arial Unicode MS" w:cs="Times New Roman"/>
      <w:sz w:val="24"/>
      <w:szCs w:val="24"/>
      <w:bdr w:val="nil"/>
      <w:lang w:val="en-US"/>
    </w:rPr>
  </w:style>
  <w:style w:type="paragraph" w:styleId="Titre1">
    <w:name w:val="heading 1"/>
    <w:basedOn w:val="Normal"/>
    <w:next w:val="Normal"/>
    <w:link w:val="Titre1Car"/>
    <w:qFormat/>
    <w:rsid w:val="00BD5B7F"/>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0"/>
    </w:pPr>
    <w:rPr>
      <w:rFonts w:eastAsia="Times New Roman"/>
      <w:b/>
      <w:szCs w:val="20"/>
      <w:bdr w:val="none" w:sz="0" w:space="0" w:color="auto"/>
      <w:lang w:val="en-GB"/>
    </w:rPr>
  </w:style>
  <w:style w:type="paragraph" w:styleId="Titre2">
    <w:name w:val="heading 2"/>
    <w:basedOn w:val="Normal"/>
    <w:next w:val="Normal"/>
    <w:link w:val="Titre2Car"/>
    <w:qFormat/>
    <w:rsid w:val="00BD5B7F"/>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pPr>
    <w:rPr>
      <w:rFonts w:eastAsia="Times New Roman"/>
      <w:b/>
      <w:sz w:val="28"/>
      <w:szCs w:val="20"/>
      <w:bdr w:val="none" w:sz="0" w:space="0" w:color="auto"/>
      <w:lang w:val="en-GB"/>
    </w:rPr>
  </w:style>
  <w:style w:type="paragraph" w:styleId="Titre3">
    <w:name w:val="heading 3"/>
    <w:basedOn w:val="Normal"/>
    <w:next w:val="Normal"/>
    <w:link w:val="Titre3Car"/>
    <w:unhideWhenUsed/>
    <w:qFormat/>
    <w:rsid w:val="00BD5B7F"/>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rsid w:val="00BD5B7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3"/>
    </w:pPr>
    <w:rPr>
      <w:rFonts w:asciiTheme="majorHAnsi" w:eastAsiaTheme="majorEastAsia" w:hAnsiTheme="majorHAnsi" w:cstheme="majorBidi"/>
      <w:b/>
      <w:bCs/>
      <w:i/>
      <w:iCs/>
      <w:snapToGrid w:val="0"/>
      <w:color w:val="4F81BD" w:themeColor="accent1"/>
      <w:sz w:val="22"/>
      <w:szCs w:val="22"/>
      <w:bdr w:val="none" w:sz="0" w:space="0" w:color="auto"/>
      <w:lang w:val="fr-FR" w:eastAsia="fr-FR"/>
    </w:rPr>
  </w:style>
  <w:style w:type="paragraph" w:styleId="Titre5">
    <w:name w:val="heading 5"/>
    <w:basedOn w:val="Normal"/>
    <w:next w:val="Normal"/>
    <w:link w:val="Titre5Car"/>
    <w:unhideWhenUsed/>
    <w:qFormat/>
    <w:rsid w:val="00BD5B7F"/>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9"/>
    <w:unhideWhenUsed/>
    <w:qFormat/>
    <w:rsid w:val="00BD5B7F"/>
    <w:pPr>
      <w:keepNext/>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5"/>
    </w:pPr>
    <w:rPr>
      <w:rFonts w:eastAsia="Times New Roman"/>
      <w:i/>
      <w:iCs/>
      <w:sz w:val="23"/>
      <w:szCs w:val="23"/>
      <w:bdr w:val="none" w:sz="0" w:space="0" w:color="auto"/>
      <w:lang w:val="en-GB"/>
    </w:rPr>
  </w:style>
  <w:style w:type="paragraph" w:styleId="Titre7">
    <w:name w:val="heading 7"/>
    <w:basedOn w:val="Normal"/>
    <w:next w:val="Normal"/>
    <w:link w:val="Titre7Car"/>
    <w:unhideWhenUsed/>
    <w:qFormat/>
    <w:rsid w:val="00BD5B7F"/>
    <w:pPr>
      <w:keepNext/>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6"/>
    </w:pPr>
    <w:rPr>
      <w:rFonts w:eastAsia="Times New Roman"/>
      <w:b/>
      <w:bCs/>
      <w:sz w:val="26"/>
      <w:szCs w:val="26"/>
      <w:bdr w:val="none" w:sz="0" w:space="0" w:color="auto"/>
      <w:lang w:val="en-GB"/>
    </w:rPr>
  </w:style>
  <w:style w:type="paragraph" w:styleId="Titre8">
    <w:name w:val="heading 8"/>
    <w:basedOn w:val="Normal"/>
    <w:next w:val="Normal"/>
    <w:link w:val="Titre8Car"/>
    <w:unhideWhenUsed/>
    <w:qFormat/>
    <w:rsid w:val="00BD5B7F"/>
    <w:pPr>
      <w:keepNext/>
      <w:framePr w:hSpace="180" w:wrap="notBeside" w:hAnchor="margin" w:y="-40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autoSpaceDN w:val="0"/>
      <w:adjustRightInd w:val="0"/>
      <w:ind w:right="-108"/>
      <w:outlineLvl w:val="7"/>
    </w:pPr>
    <w:rPr>
      <w:rFonts w:ascii="Arial" w:eastAsia="Times New Roman" w:hAnsi="Arial" w:cs="Arial"/>
      <w:bdr w:val="none" w:sz="0" w:space="0" w:color="auto"/>
      <w:lang w:val="en-GB"/>
    </w:rPr>
  </w:style>
  <w:style w:type="paragraph" w:styleId="Titre9">
    <w:name w:val="heading 9"/>
    <w:basedOn w:val="Normal"/>
    <w:next w:val="Normal"/>
    <w:link w:val="Titre9Car"/>
    <w:unhideWhenUsed/>
    <w:qFormat/>
    <w:rsid w:val="00BD5B7F"/>
    <w:pPr>
      <w:keepNext/>
      <w:framePr w:hSpace="180" w:wrap="notBeside" w:hAnchor="margin" w:y="-40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057"/>
        <w:tab w:val="left" w:pos="-720"/>
        <w:tab w:val="left" w:pos="0"/>
        <w:tab w:val="left" w:pos="141"/>
        <w:tab w:val="left" w:pos="720"/>
        <w:tab w:val="left" w:pos="1440"/>
        <w:tab w:val="left" w:pos="2160"/>
        <w:tab w:val="left" w:pos="2880"/>
        <w:tab w:val="right" w:pos="5426"/>
      </w:tabs>
      <w:autoSpaceDE w:val="0"/>
      <w:autoSpaceDN w:val="0"/>
      <w:adjustRightInd w:val="0"/>
      <w:spacing w:line="300" w:lineRule="atLeast"/>
      <w:outlineLvl w:val="8"/>
    </w:pPr>
    <w:rPr>
      <w:rFonts w:ascii="Arial" w:eastAsia="Times New Roman" w:hAnsi="Arial" w:cs="Arial"/>
      <w:b/>
      <w:bCs/>
      <w:sz w:val="32"/>
      <w:szCs w:val="36"/>
      <w:bdr w:val="none" w:sz="0" w:space="0" w:color="auto"/>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D5B7F"/>
    <w:rPr>
      <w:rFonts w:eastAsia="Times New Roman" w:cs="Times New Roman"/>
      <w:b/>
      <w:sz w:val="24"/>
      <w:szCs w:val="20"/>
      <w:lang w:val="en-GB"/>
    </w:rPr>
  </w:style>
  <w:style w:type="character" w:customStyle="1" w:styleId="Titre2Car">
    <w:name w:val="Titre 2 Car"/>
    <w:basedOn w:val="Policepardfaut"/>
    <w:link w:val="Titre2"/>
    <w:rsid w:val="00BD5B7F"/>
    <w:rPr>
      <w:rFonts w:eastAsia="Times New Roman" w:cs="Times New Roman"/>
      <w:b/>
      <w:sz w:val="28"/>
      <w:szCs w:val="20"/>
      <w:lang w:val="en-GB"/>
    </w:rPr>
  </w:style>
  <w:style w:type="character" w:customStyle="1" w:styleId="Titre3Car">
    <w:name w:val="Titre 3 Car"/>
    <w:basedOn w:val="Policepardfaut"/>
    <w:link w:val="Titre3"/>
    <w:rsid w:val="00BD5B7F"/>
    <w:rPr>
      <w:rFonts w:asciiTheme="majorHAnsi" w:eastAsiaTheme="majorEastAsia" w:hAnsiTheme="majorHAnsi" w:cstheme="majorBidi"/>
      <w:b/>
      <w:bCs/>
      <w:color w:val="4F81BD" w:themeColor="accent1"/>
      <w:sz w:val="24"/>
      <w:szCs w:val="24"/>
      <w:bdr w:val="nil"/>
      <w:lang w:val="en-US"/>
    </w:rPr>
  </w:style>
  <w:style w:type="character" w:customStyle="1" w:styleId="Titre4Car">
    <w:name w:val="Titre 4 Car"/>
    <w:basedOn w:val="Policepardfaut"/>
    <w:link w:val="Titre4"/>
    <w:rsid w:val="00BD5B7F"/>
    <w:rPr>
      <w:rFonts w:asciiTheme="majorHAnsi" w:eastAsiaTheme="majorEastAsia" w:hAnsiTheme="majorHAnsi" w:cstheme="majorBidi"/>
      <w:b/>
      <w:bCs/>
      <w:i/>
      <w:iCs/>
      <w:snapToGrid w:val="0"/>
      <w:color w:val="4F81BD" w:themeColor="accent1"/>
      <w:lang w:eastAsia="fr-FR"/>
    </w:rPr>
  </w:style>
  <w:style w:type="character" w:customStyle="1" w:styleId="Titre5Car">
    <w:name w:val="Titre 5 Car"/>
    <w:basedOn w:val="Policepardfaut"/>
    <w:link w:val="Titre5"/>
    <w:rsid w:val="00BD5B7F"/>
    <w:rPr>
      <w:rFonts w:asciiTheme="majorHAnsi" w:eastAsiaTheme="majorEastAsia" w:hAnsiTheme="majorHAnsi" w:cstheme="majorBidi"/>
      <w:color w:val="243F60" w:themeColor="accent1" w:themeShade="7F"/>
      <w:sz w:val="24"/>
      <w:szCs w:val="24"/>
      <w:bdr w:val="nil"/>
      <w:lang w:val="en-US"/>
    </w:rPr>
  </w:style>
  <w:style w:type="character" w:customStyle="1" w:styleId="Titre6Car">
    <w:name w:val="Titre 6 Car"/>
    <w:basedOn w:val="Policepardfaut"/>
    <w:link w:val="Titre6"/>
    <w:uiPriority w:val="99"/>
    <w:rsid w:val="00BD5B7F"/>
    <w:rPr>
      <w:rFonts w:eastAsia="Times New Roman" w:cs="Times New Roman"/>
      <w:i/>
      <w:iCs/>
      <w:sz w:val="23"/>
      <w:szCs w:val="23"/>
      <w:lang w:val="en-GB"/>
    </w:rPr>
  </w:style>
  <w:style w:type="character" w:customStyle="1" w:styleId="Titre7Car">
    <w:name w:val="Titre 7 Car"/>
    <w:basedOn w:val="Policepardfaut"/>
    <w:link w:val="Titre7"/>
    <w:rsid w:val="00BD5B7F"/>
    <w:rPr>
      <w:rFonts w:eastAsia="Times New Roman" w:cs="Times New Roman"/>
      <w:b/>
      <w:bCs/>
      <w:sz w:val="26"/>
      <w:szCs w:val="26"/>
      <w:lang w:val="en-GB"/>
    </w:rPr>
  </w:style>
  <w:style w:type="character" w:customStyle="1" w:styleId="Titre8Car">
    <w:name w:val="Titre 8 Car"/>
    <w:basedOn w:val="Policepardfaut"/>
    <w:link w:val="Titre8"/>
    <w:rsid w:val="00BD5B7F"/>
    <w:rPr>
      <w:rFonts w:ascii="Arial" w:eastAsia="Times New Roman" w:hAnsi="Arial" w:cs="Arial"/>
      <w:sz w:val="24"/>
      <w:szCs w:val="24"/>
      <w:lang w:val="en-GB"/>
    </w:rPr>
  </w:style>
  <w:style w:type="character" w:customStyle="1" w:styleId="Titre9Car">
    <w:name w:val="Titre 9 Car"/>
    <w:basedOn w:val="Policepardfaut"/>
    <w:link w:val="Titre9"/>
    <w:rsid w:val="00BD5B7F"/>
    <w:rPr>
      <w:rFonts w:ascii="Arial" w:eastAsia="Times New Roman" w:hAnsi="Arial" w:cs="Arial"/>
      <w:b/>
      <w:bCs/>
      <w:sz w:val="32"/>
      <w:szCs w:val="36"/>
      <w:lang w:val="en-GB"/>
    </w:rPr>
  </w:style>
  <w:style w:type="character" w:styleId="Lienhypertexte">
    <w:name w:val="Hyperlink"/>
    <w:rsid w:val="00BD5B7F"/>
    <w:rPr>
      <w:u w:val="single"/>
    </w:rPr>
  </w:style>
  <w:style w:type="table" w:customStyle="1" w:styleId="TableNormal1">
    <w:name w:val="Table Normal1"/>
    <w:rsid w:val="00BD5B7F"/>
    <w:pPr>
      <w:pBdr>
        <w:top w:val="nil"/>
        <w:left w:val="nil"/>
        <w:bottom w:val="nil"/>
        <w:right w:val="nil"/>
        <w:between w:val="nil"/>
        <w:bar w:val="nil"/>
      </w:pBdr>
      <w:spacing w:after="0"/>
      <w:jc w:val="left"/>
    </w:pPr>
    <w:rPr>
      <w:rFonts w:eastAsia="Arial Unicode MS" w:cs="Times New Roman"/>
      <w:sz w:val="20"/>
      <w:szCs w:val="20"/>
      <w:bdr w:val="nil"/>
      <w:lang w:eastAsia="fr-FR"/>
    </w:rPr>
    <w:tblPr>
      <w:tblInd w:w="0" w:type="dxa"/>
      <w:tblCellMar>
        <w:top w:w="0" w:type="dxa"/>
        <w:left w:w="0" w:type="dxa"/>
        <w:bottom w:w="0" w:type="dxa"/>
        <w:right w:w="0" w:type="dxa"/>
      </w:tblCellMar>
    </w:tblPr>
  </w:style>
  <w:style w:type="paragraph" w:styleId="En-tte">
    <w:name w:val="header"/>
    <w:link w:val="En-tteCar"/>
    <w:rsid w:val="00BD5B7F"/>
    <w:pPr>
      <w:pBdr>
        <w:top w:val="nil"/>
        <w:left w:val="nil"/>
        <w:bottom w:val="nil"/>
        <w:right w:val="nil"/>
        <w:between w:val="nil"/>
        <w:bar w:val="nil"/>
      </w:pBdr>
      <w:tabs>
        <w:tab w:val="right" w:pos="9020"/>
      </w:tabs>
      <w:spacing w:after="0"/>
      <w:jc w:val="left"/>
    </w:pPr>
    <w:rPr>
      <w:rFonts w:ascii="Helvetica" w:eastAsia="Helvetica" w:hAnsi="Helvetica" w:cs="Helvetica"/>
      <w:color w:val="000000"/>
      <w:sz w:val="24"/>
      <w:szCs w:val="24"/>
      <w:bdr w:val="nil"/>
      <w:lang w:eastAsia="fr-FR"/>
    </w:rPr>
  </w:style>
  <w:style w:type="character" w:customStyle="1" w:styleId="En-tteCar">
    <w:name w:val="En-tête Car"/>
    <w:basedOn w:val="Policepardfaut"/>
    <w:link w:val="En-tte"/>
    <w:rsid w:val="00BD5B7F"/>
    <w:rPr>
      <w:rFonts w:ascii="Helvetica" w:eastAsia="Helvetica" w:hAnsi="Helvetica" w:cs="Helvetica"/>
      <w:color w:val="000000"/>
      <w:sz w:val="24"/>
      <w:szCs w:val="24"/>
      <w:bdr w:val="nil"/>
      <w:lang w:eastAsia="fr-FR"/>
    </w:rPr>
  </w:style>
  <w:style w:type="paragraph" w:styleId="Pieddepage">
    <w:name w:val="footer"/>
    <w:link w:val="PieddepageCar"/>
    <w:rsid w:val="00BD5B7F"/>
    <w:pPr>
      <w:widowControl w:val="0"/>
      <w:pBdr>
        <w:top w:val="nil"/>
        <w:left w:val="nil"/>
        <w:bottom w:val="nil"/>
        <w:right w:val="nil"/>
        <w:between w:val="nil"/>
        <w:bar w:val="nil"/>
      </w:pBdr>
      <w:tabs>
        <w:tab w:val="center" w:pos="4152"/>
        <w:tab w:val="right" w:pos="8305"/>
        <w:tab w:val="left" w:pos="8640"/>
      </w:tabs>
      <w:suppressAutoHyphens/>
      <w:spacing w:after="0"/>
    </w:pPr>
    <w:rPr>
      <w:rFonts w:eastAsia="Times New Roman" w:cs="Times New Roman"/>
      <w:color w:val="000000"/>
      <w:sz w:val="24"/>
      <w:szCs w:val="24"/>
      <w:u w:color="000000"/>
      <w:bdr w:val="nil"/>
      <w:lang w:val="en-US" w:eastAsia="fr-FR"/>
    </w:rPr>
  </w:style>
  <w:style w:type="character" w:customStyle="1" w:styleId="PieddepageCar">
    <w:name w:val="Pied de page Car"/>
    <w:basedOn w:val="Policepardfaut"/>
    <w:link w:val="Pieddepage"/>
    <w:rsid w:val="00BD5B7F"/>
    <w:rPr>
      <w:rFonts w:eastAsia="Times New Roman" w:cs="Times New Roman"/>
      <w:color w:val="000000"/>
      <w:sz w:val="24"/>
      <w:szCs w:val="24"/>
      <w:u w:color="000000"/>
      <w:bdr w:val="nil"/>
      <w:lang w:val="en-US" w:eastAsia="fr-FR"/>
    </w:rPr>
  </w:style>
  <w:style w:type="paragraph" w:styleId="Notedebasdepage">
    <w:name w:val="footnote text"/>
    <w:aliases w:val="ADB,ADB1,ADB2,Boston 10,FOOTNOTES,FOOTNOTES1,FOOTNOTES2,Font: Geneva 9,Fotnotstext Char,Geneva 9,f,fn,fn1,fn2,fn3,footnote text1,footnote text2,footnote text3,ft,ft Char,single space,single space1,single space2,single space3"/>
    <w:link w:val="NotedebasdepageCar"/>
    <w:rsid w:val="00BD5B7F"/>
    <w:pPr>
      <w:widowControl w:val="0"/>
      <w:pBdr>
        <w:top w:val="nil"/>
        <w:left w:val="nil"/>
        <w:bottom w:val="nil"/>
        <w:right w:val="nil"/>
        <w:between w:val="nil"/>
        <w:bar w:val="nil"/>
      </w:pBdr>
      <w:suppressAutoHyphens/>
      <w:spacing w:after="0"/>
    </w:pPr>
    <w:rPr>
      <w:rFonts w:ascii="Courier New" w:eastAsia="Courier New" w:hAnsi="Courier New" w:cs="Courier New"/>
      <w:color w:val="000000"/>
      <w:sz w:val="20"/>
      <w:szCs w:val="20"/>
      <w:u w:color="000000"/>
      <w:bdr w:val="nil"/>
      <w:lang w:val="en-US" w:eastAsia="fr-FR"/>
    </w:rPr>
  </w:style>
  <w:style w:type="character" w:customStyle="1" w:styleId="NotedebasdepageCar">
    <w:name w:val="Note de bas de page Car"/>
    <w:aliases w:val="ADB Car,ADB1 Car,ADB2 Car,Boston 10 Car,FOOTNOTES Car,FOOTNOTES1 Car,FOOTNOTES2 Car,Font: Geneva 9 Car,Fotnotstext Char Car,Geneva 9 Car,f Car,fn Car,fn1 Car,fn2 Car,fn3 Car,footnote text1 Car,footnote text2 Car,ft Car"/>
    <w:basedOn w:val="Policepardfaut"/>
    <w:link w:val="Notedebasdepage"/>
    <w:rsid w:val="00BD5B7F"/>
    <w:rPr>
      <w:rFonts w:ascii="Courier New" w:eastAsia="Courier New" w:hAnsi="Courier New" w:cs="Courier New"/>
      <w:color w:val="000000"/>
      <w:sz w:val="20"/>
      <w:szCs w:val="20"/>
      <w:u w:color="000000"/>
      <w:bdr w:val="nil"/>
      <w:lang w:val="en-US" w:eastAsia="fr-FR"/>
    </w:rPr>
  </w:style>
  <w:style w:type="paragraph" w:customStyle="1" w:styleId="Corps">
    <w:name w:val="Corps"/>
    <w:rsid w:val="00BD5B7F"/>
    <w:pPr>
      <w:pBdr>
        <w:top w:val="nil"/>
        <w:left w:val="nil"/>
        <w:bottom w:val="nil"/>
        <w:right w:val="nil"/>
        <w:between w:val="nil"/>
        <w:bar w:val="nil"/>
      </w:pBdr>
      <w:spacing w:after="0"/>
      <w:jc w:val="left"/>
    </w:pPr>
    <w:rPr>
      <w:rFonts w:eastAsia="Times New Roman" w:cs="Times New Roman"/>
      <w:color w:val="000000"/>
      <w:u w:color="000000"/>
      <w:bdr w:val="nil"/>
      <w:lang w:eastAsia="fr-FR"/>
    </w:rPr>
  </w:style>
  <w:style w:type="paragraph" w:customStyle="1" w:styleId="traduction">
    <w:name w:val="traduction"/>
    <w:rsid w:val="00BD5B7F"/>
    <w:pPr>
      <w:pBdr>
        <w:top w:val="nil"/>
        <w:left w:val="nil"/>
        <w:bottom w:val="nil"/>
        <w:right w:val="nil"/>
        <w:between w:val="nil"/>
        <w:bar w:val="nil"/>
      </w:pBdr>
      <w:spacing w:after="0"/>
      <w:jc w:val="left"/>
    </w:pPr>
    <w:rPr>
      <w:rFonts w:eastAsia="Arial Unicode MS" w:hAnsi="Arial Unicode MS" w:cs="Arial Unicode MS"/>
      <w:color w:val="000000"/>
      <w:sz w:val="24"/>
      <w:szCs w:val="24"/>
      <w:u w:color="000000"/>
      <w:bdr w:val="nil"/>
      <w:lang w:eastAsia="fr-FR"/>
    </w:rPr>
  </w:style>
  <w:style w:type="numbering" w:customStyle="1" w:styleId="List0">
    <w:name w:val="List 0"/>
    <w:basedOn w:val="Style3import"/>
    <w:rsid w:val="00BD5B7F"/>
    <w:pPr>
      <w:numPr>
        <w:numId w:val="27"/>
      </w:numPr>
    </w:pPr>
  </w:style>
  <w:style w:type="numbering" w:customStyle="1" w:styleId="Style3import">
    <w:name w:val="Style 3 importé"/>
    <w:rsid w:val="00BD5B7F"/>
  </w:style>
  <w:style w:type="numbering" w:customStyle="1" w:styleId="List1">
    <w:name w:val="List 1"/>
    <w:basedOn w:val="Style4import"/>
    <w:rsid w:val="00BD5B7F"/>
    <w:pPr>
      <w:numPr>
        <w:numId w:val="1"/>
      </w:numPr>
    </w:pPr>
  </w:style>
  <w:style w:type="numbering" w:customStyle="1" w:styleId="Style4import">
    <w:name w:val="Style 4 importé"/>
    <w:rsid w:val="00BD5B7F"/>
  </w:style>
  <w:style w:type="numbering" w:customStyle="1" w:styleId="Liste21">
    <w:name w:val="Liste 21"/>
    <w:basedOn w:val="Style5import"/>
    <w:rsid w:val="00BD5B7F"/>
    <w:pPr>
      <w:numPr>
        <w:numId w:val="2"/>
      </w:numPr>
    </w:pPr>
  </w:style>
  <w:style w:type="numbering" w:customStyle="1" w:styleId="Style5import">
    <w:name w:val="Style 5 importé"/>
    <w:rsid w:val="00BD5B7F"/>
  </w:style>
  <w:style w:type="paragraph" w:styleId="Retraitcorpsdetexte2">
    <w:name w:val="Body Text Indent 2"/>
    <w:link w:val="Retraitcorpsdetexte2Car"/>
    <w:rsid w:val="00BD5B7F"/>
    <w:pPr>
      <w:widowControl w:val="0"/>
      <w:pBdr>
        <w:top w:val="nil"/>
        <w:left w:val="nil"/>
        <w:bottom w:val="nil"/>
        <w:right w:val="nil"/>
        <w:between w:val="nil"/>
        <w:bar w:val="nil"/>
      </w:pBdr>
      <w:tabs>
        <w:tab w:val="left" w:pos="1440"/>
      </w:tabs>
      <w:spacing w:after="0"/>
      <w:ind w:left="426" w:hanging="426"/>
    </w:pPr>
    <w:rPr>
      <w:rFonts w:eastAsia="Times New Roman" w:cs="Times New Roman"/>
      <w:color w:val="000000"/>
      <w:sz w:val="24"/>
      <w:szCs w:val="24"/>
      <w:u w:color="000000"/>
      <w:bdr w:val="nil"/>
      <w:lang w:eastAsia="fr-FR"/>
    </w:rPr>
  </w:style>
  <w:style w:type="character" w:customStyle="1" w:styleId="Retraitcorpsdetexte2Car">
    <w:name w:val="Retrait corps de texte 2 Car"/>
    <w:basedOn w:val="Policepardfaut"/>
    <w:link w:val="Retraitcorpsdetexte2"/>
    <w:rsid w:val="00BD5B7F"/>
    <w:rPr>
      <w:rFonts w:eastAsia="Times New Roman" w:cs="Times New Roman"/>
      <w:color w:val="000000"/>
      <w:sz w:val="24"/>
      <w:szCs w:val="24"/>
      <w:u w:color="000000"/>
      <w:bdr w:val="nil"/>
      <w:lang w:eastAsia="fr-FR"/>
    </w:rPr>
  </w:style>
  <w:style w:type="paragraph" w:styleId="Textedebulles">
    <w:name w:val="Balloon Text"/>
    <w:basedOn w:val="Normal"/>
    <w:link w:val="TextedebullesCar"/>
    <w:semiHidden/>
    <w:unhideWhenUsed/>
    <w:rsid w:val="00BD5B7F"/>
    <w:rPr>
      <w:rFonts w:ascii="Tahoma" w:hAnsi="Tahoma" w:cs="Tahoma"/>
      <w:sz w:val="16"/>
      <w:szCs w:val="16"/>
    </w:rPr>
  </w:style>
  <w:style w:type="character" w:customStyle="1" w:styleId="TextedebullesCar">
    <w:name w:val="Texte de bulles Car"/>
    <w:basedOn w:val="Policepardfaut"/>
    <w:link w:val="Textedebulles"/>
    <w:semiHidden/>
    <w:rsid w:val="00BD5B7F"/>
    <w:rPr>
      <w:rFonts w:ascii="Tahoma" w:eastAsia="Arial Unicode MS" w:hAnsi="Tahoma" w:cs="Tahoma"/>
      <w:sz w:val="16"/>
      <w:szCs w:val="16"/>
      <w:bdr w:val="nil"/>
      <w:lang w:val="en-US"/>
    </w:rPr>
  </w:style>
  <w:style w:type="paragraph" w:styleId="Paragraphedeliste">
    <w:name w:val="List Paragraph"/>
    <w:basedOn w:val="Normal"/>
    <w:link w:val="ParagraphedelisteCar"/>
    <w:uiPriority w:val="34"/>
    <w:qFormat/>
    <w:rsid w:val="00BD5B7F"/>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en-GB" w:eastAsia="en-GB"/>
    </w:rPr>
  </w:style>
  <w:style w:type="table" w:styleId="Grilledutableau">
    <w:name w:val="Table Grid"/>
    <w:basedOn w:val="TableauNormal"/>
    <w:uiPriority w:val="59"/>
    <w:rsid w:val="00BD5B7F"/>
    <w:pPr>
      <w:spacing w:after="0"/>
      <w:jc w:val="left"/>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rsid w:val="00BD5B7F"/>
    <w:pPr>
      <w:pBdr>
        <w:top w:val="none" w:sz="0" w:space="0" w:color="auto"/>
        <w:left w:val="none" w:sz="0" w:space="0" w:color="auto"/>
        <w:bottom w:val="none" w:sz="0" w:space="0" w:color="auto"/>
        <w:right w:val="none" w:sz="0" w:space="0" w:color="auto"/>
        <w:between w:val="none" w:sz="0" w:space="0" w:color="auto"/>
        <w:bar w:val="none" w:sz="0" w:color="auto"/>
      </w:pBdr>
      <w:spacing w:after="240"/>
      <w:ind w:left="482"/>
      <w:jc w:val="both"/>
    </w:pPr>
    <w:rPr>
      <w:rFonts w:eastAsia="Times New Roman"/>
      <w:szCs w:val="20"/>
      <w:bdr w:val="none" w:sz="0" w:space="0" w:color="auto"/>
      <w:lang w:val="en-GB" w:eastAsia="en-GB"/>
    </w:rPr>
  </w:style>
  <w:style w:type="paragraph" w:styleId="NormalWeb">
    <w:name w:val="Normal (Web)"/>
    <w:basedOn w:val="Normal"/>
    <w:uiPriority w:val="99"/>
    <w:rsid w:val="00BD5B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Verdana" w:eastAsia="Times New Roman" w:hAnsi="Verdana"/>
      <w:sz w:val="14"/>
      <w:szCs w:val="14"/>
      <w:bdr w:val="none" w:sz="0" w:space="0" w:color="auto"/>
    </w:rPr>
  </w:style>
  <w:style w:type="paragraph" w:styleId="Corpsdetexte">
    <w:name w:val="Body Text"/>
    <w:basedOn w:val="Normal"/>
    <w:link w:val="CorpsdetexteCar"/>
    <w:unhideWhenUsed/>
    <w:rsid w:val="00BD5B7F"/>
    <w:pPr>
      <w:spacing w:after="120"/>
    </w:pPr>
  </w:style>
  <w:style w:type="character" w:customStyle="1" w:styleId="CorpsdetexteCar">
    <w:name w:val="Corps de texte Car"/>
    <w:basedOn w:val="Policepardfaut"/>
    <w:link w:val="Corpsdetexte"/>
    <w:rsid w:val="00BD5B7F"/>
    <w:rPr>
      <w:rFonts w:eastAsia="Arial Unicode MS" w:cs="Times New Roman"/>
      <w:sz w:val="24"/>
      <w:szCs w:val="24"/>
      <w:bdr w:val="nil"/>
      <w:lang w:val="en-US"/>
    </w:rPr>
  </w:style>
  <w:style w:type="character" w:customStyle="1" w:styleId="libtrombi11">
    <w:name w:val="libtrombi11"/>
    <w:basedOn w:val="Policepardfaut"/>
    <w:rsid w:val="00BD5B7F"/>
  </w:style>
  <w:style w:type="paragraph" w:styleId="Retraitcorpsdetexte3">
    <w:name w:val="Body Text Indent 3"/>
    <w:basedOn w:val="Normal"/>
    <w:link w:val="Retraitcorpsdetexte3Car"/>
    <w:unhideWhenUsed/>
    <w:rsid w:val="00BD5B7F"/>
    <w:pPr>
      <w:spacing w:after="120"/>
      <w:ind w:left="283"/>
    </w:pPr>
    <w:rPr>
      <w:sz w:val="16"/>
      <w:szCs w:val="16"/>
    </w:rPr>
  </w:style>
  <w:style w:type="character" w:customStyle="1" w:styleId="Retraitcorpsdetexte3Car">
    <w:name w:val="Retrait corps de texte 3 Car"/>
    <w:basedOn w:val="Policepardfaut"/>
    <w:link w:val="Retraitcorpsdetexte3"/>
    <w:rsid w:val="00BD5B7F"/>
    <w:rPr>
      <w:rFonts w:eastAsia="Arial Unicode MS" w:cs="Times New Roman"/>
      <w:sz w:val="16"/>
      <w:szCs w:val="16"/>
      <w:bdr w:val="nil"/>
      <w:lang w:val="en-US"/>
    </w:rPr>
  </w:style>
  <w:style w:type="character" w:styleId="Appelnotedebasdep">
    <w:name w:val="footnote reference"/>
    <w:aliases w:val=" BVI fnr,-E Fußnotenzeichen,16 Point,BVI fnr,E FNZ,EN Footnote Reference,EN Footnote text,Exposant 3 Point,Footnote,Footnote reference number,Footnote symbol,Ref,SUPERS,Times 10 Point,de nota al pie,ftref,note TESI,number,stylish"/>
    <w:basedOn w:val="Policepardfaut"/>
    <w:rsid w:val="00BD5B7F"/>
    <w:rPr>
      <w:vertAlign w:val="superscript"/>
    </w:rPr>
  </w:style>
  <w:style w:type="paragraph" w:customStyle="1" w:styleId="Retrait">
    <w:name w:val="Retrait"/>
    <w:rsid w:val="00BD5B7F"/>
    <w:pPr>
      <w:widowControl w:val="0"/>
      <w:tabs>
        <w:tab w:val="left" w:pos="-720"/>
      </w:tabs>
      <w:suppressAutoHyphens/>
      <w:spacing w:after="0"/>
    </w:pPr>
    <w:rPr>
      <w:rFonts w:ascii="Palatino" w:eastAsia="Times New Roman" w:hAnsi="Palatino" w:cs="Times New Roman"/>
      <w:snapToGrid w:val="0"/>
      <w:spacing w:val="-2"/>
      <w:szCs w:val="20"/>
    </w:rPr>
  </w:style>
  <w:style w:type="paragraph" w:customStyle="1" w:styleId="Paragraphedeliste1">
    <w:name w:val="Paragraphe de liste1"/>
    <w:rsid w:val="00BD5B7F"/>
    <w:pPr>
      <w:suppressAutoHyphens/>
      <w:spacing w:after="0"/>
      <w:ind w:left="720"/>
      <w:jc w:val="left"/>
    </w:pPr>
    <w:rPr>
      <w:rFonts w:eastAsia="Arial Unicode MS" w:cs="Arial Unicode MS"/>
      <w:color w:val="000000"/>
      <w:kern w:val="2"/>
      <w:sz w:val="24"/>
      <w:szCs w:val="24"/>
      <w:lang w:eastAsia="fr-FR" w:bidi="fr-FR"/>
    </w:rPr>
  </w:style>
  <w:style w:type="character" w:customStyle="1" w:styleId="date1">
    <w:name w:val="date1"/>
    <w:basedOn w:val="Policepardfaut"/>
    <w:rsid w:val="00BD5B7F"/>
  </w:style>
  <w:style w:type="character" w:styleId="Numrodepage">
    <w:name w:val="page number"/>
    <w:basedOn w:val="Policepardfaut"/>
    <w:rsid w:val="00BD5B7F"/>
  </w:style>
  <w:style w:type="paragraph" w:customStyle="1" w:styleId="Level2Number">
    <w:name w:val="Level 2 Number"/>
    <w:basedOn w:val="Corpsdetexte"/>
    <w:uiPriority w:val="29"/>
    <w:rsid w:val="00BD5B7F"/>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exact"/>
      <w:jc w:val="both"/>
    </w:pPr>
    <w:rPr>
      <w:rFonts w:ascii="Calibri" w:eastAsia="Times New Roman" w:hAnsi="Calibri"/>
      <w:sz w:val="22"/>
      <w:bdr w:val="none" w:sz="0" w:space="0" w:color="auto"/>
      <w:lang w:val="en-GB" w:eastAsia="en-GB"/>
    </w:rPr>
  </w:style>
  <w:style w:type="paragraph" w:customStyle="1" w:styleId="Default">
    <w:name w:val="Default"/>
    <w:rsid w:val="00BD5B7F"/>
    <w:pPr>
      <w:autoSpaceDE w:val="0"/>
      <w:autoSpaceDN w:val="0"/>
      <w:adjustRightInd w:val="0"/>
      <w:spacing w:after="0"/>
      <w:jc w:val="left"/>
    </w:pPr>
    <w:rPr>
      <w:rFonts w:eastAsia="Arial Unicode MS" w:cs="Times New Roman"/>
      <w:color w:val="000000"/>
      <w:sz w:val="24"/>
      <w:szCs w:val="24"/>
      <w:bdr w:val="nil"/>
      <w:lang w:val="en-GB" w:eastAsia="fr-FR"/>
    </w:rPr>
  </w:style>
  <w:style w:type="character" w:customStyle="1" w:styleId="normal10">
    <w:name w:val="normal10"/>
    <w:basedOn w:val="Policepardfaut"/>
    <w:rsid w:val="00BD5B7F"/>
  </w:style>
  <w:style w:type="character" w:styleId="lev">
    <w:name w:val="Strong"/>
    <w:basedOn w:val="Policepardfaut"/>
    <w:qFormat/>
    <w:rsid w:val="00BD5B7F"/>
    <w:rPr>
      <w:b/>
      <w:bCs/>
    </w:rPr>
  </w:style>
  <w:style w:type="character" w:customStyle="1" w:styleId="ParagraphedelisteCar">
    <w:name w:val="Paragraphe de liste Car"/>
    <w:basedOn w:val="Policepardfaut"/>
    <w:link w:val="Paragraphedeliste"/>
    <w:uiPriority w:val="34"/>
    <w:locked/>
    <w:rsid w:val="00BD5B7F"/>
    <w:rPr>
      <w:rFonts w:eastAsia="Times New Roman" w:cs="Times New Roman"/>
      <w:sz w:val="24"/>
      <w:szCs w:val="24"/>
      <w:lang w:val="en-GB" w:eastAsia="en-GB"/>
    </w:rPr>
  </w:style>
  <w:style w:type="character" w:customStyle="1" w:styleId="apple-style-span">
    <w:name w:val="apple-style-span"/>
    <w:basedOn w:val="Policepardfaut"/>
    <w:rsid w:val="00BD5B7F"/>
  </w:style>
  <w:style w:type="paragraph" w:styleId="Commentaire">
    <w:name w:val="annotation text"/>
    <w:basedOn w:val="Normal"/>
    <w:link w:val="CommentaireCar"/>
    <w:uiPriority w:val="99"/>
    <w:unhideWhenUsed/>
    <w:rsid w:val="00BD5B7F"/>
    <w:rPr>
      <w:sz w:val="20"/>
      <w:szCs w:val="20"/>
    </w:rPr>
  </w:style>
  <w:style w:type="character" w:customStyle="1" w:styleId="CommentaireCar">
    <w:name w:val="Commentaire Car"/>
    <w:basedOn w:val="Policepardfaut"/>
    <w:link w:val="Commentaire"/>
    <w:uiPriority w:val="99"/>
    <w:rsid w:val="00BD5B7F"/>
    <w:rPr>
      <w:rFonts w:eastAsia="Arial Unicode MS" w:cs="Times New Roman"/>
      <w:sz w:val="20"/>
      <w:szCs w:val="20"/>
      <w:bdr w:val="nil"/>
      <w:lang w:val="en-US"/>
    </w:rPr>
  </w:style>
  <w:style w:type="paragraph" w:styleId="Objetducommentaire">
    <w:name w:val="annotation subject"/>
    <w:basedOn w:val="Commentaire"/>
    <w:next w:val="Commentaire"/>
    <w:link w:val="ObjetducommentaireCar"/>
    <w:uiPriority w:val="99"/>
    <w:rsid w:val="00BD5B7F"/>
    <w:pPr>
      <w:pBdr>
        <w:top w:val="none" w:sz="0" w:space="0" w:color="auto"/>
        <w:left w:val="none" w:sz="0" w:space="0" w:color="auto"/>
        <w:bottom w:val="none" w:sz="0" w:space="0" w:color="auto"/>
        <w:right w:val="none" w:sz="0" w:space="0" w:color="auto"/>
        <w:between w:val="none" w:sz="0" w:space="0" w:color="auto"/>
        <w:bar w:val="none" w:sz="0" w:color="auto"/>
      </w:pBdr>
    </w:pPr>
    <w:rPr>
      <w:rFonts w:ascii="Verdana" w:eastAsia="Times New Roman" w:hAnsi="Verdana"/>
      <w:b/>
      <w:bCs/>
      <w:bdr w:val="none" w:sz="0" w:space="0" w:color="auto"/>
      <w:lang w:val="fr-FR" w:eastAsia="fr-FR"/>
    </w:rPr>
  </w:style>
  <w:style w:type="character" w:customStyle="1" w:styleId="ObjetducommentaireCar">
    <w:name w:val="Objet du commentaire Car"/>
    <w:basedOn w:val="CommentaireCar"/>
    <w:link w:val="Objetducommentaire"/>
    <w:uiPriority w:val="99"/>
    <w:rsid w:val="00BD5B7F"/>
    <w:rPr>
      <w:rFonts w:ascii="Verdana" w:eastAsia="Times New Roman" w:hAnsi="Verdana" w:cs="Times New Roman"/>
      <w:b/>
      <w:bCs/>
      <w:sz w:val="20"/>
      <w:szCs w:val="20"/>
      <w:bdr w:val="nil"/>
      <w:lang w:val="en-US" w:eastAsia="fr-FR"/>
    </w:rPr>
  </w:style>
  <w:style w:type="paragraph" w:styleId="Retraitcorpsdetexte">
    <w:name w:val="Body Text Indent"/>
    <w:basedOn w:val="Normal"/>
    <w:link w:val="RetraitcorpsdetexteCar"/>
    <w:unhideWhenUsed/>
    <w:rsid w:val="00BD5B7F"/>
    <w:pPr>
      <w:spacing w:after="120"/>
      <w:ind w:left="283"/>
    </w:pPr>
  </w:style>
  <w:style w:type="character" w:customStyle="1" w:styleId="RetraitcorpsdetexteCar">
    <w:name w:val="Retrait corps de texte Car"/>
    <w:basedOn w:val="Policepardfaut"/>
    <w:link w:val="Retraitcorpsdetexte"/>
    <w:rsid w:val="00BD5B7F"/>
    <w:rPr>
      <w:rFonts w:eastAsia="Arial Unicode MS" w:cs="Times New Roman"/>
      <w:sz w:val="24"/>
      <w:szCs w:val="24"/>
      <w:bdr w:val="nil"/>
      <w:lang w:val="en-US"/>
    </w:rPr>
  </w:style>
  <w:style w:type="character" w:styleId="Accentuation">
    <w:name w:val="Emphasis"/>
    <w:uiPriority w:val="20"/>
    <w:qFormat/>
    <w:rsid w:val="00BD5B7F"/>
    <w:rPr>
      <w:rFonts w:ascii="Times New Roman" w:hAnsi="Times New Roman" w:cs="Times New Roman" w:hint="default"/>
      <w:i/>
      <w:iCs/>
    </w:rPr>
  </w:style>
  <w:style w:type="paragraph" w:styleId="TM1">
    <w:name w:val="toc 1"/>
    <w:basedOn w:val="Normal"/>
    <w:next w:val="Normal"/>
    <w:autoRedefine/>
    <w:uiPriority w:val="39"/>
    <w:unhideWhenUsed/>
    <w:qFormat/>
    <w:rsid w:val="00BD5B7F"/>
    <w:pPr>
      <w:pBdr>
        <w:top w:val="none" w:sz="0" w:space="0" w:color="auto"/>
        <w:left w:val="none" w:sz="0" w:space="0" w:color="auto"/>
        <w:bottom w:val="none" w:sz="0" w:space="0" w:color="auto"/>
        <w:right w:val="none" w:sz="0" w:space="0" w:color="auto"/>
        <w:between w:val="none" w:sz="0" w:space="0" w:color="auto"/>
        <w:bar w:val="none" w:sz="0" w:color="auto"/>
      </w:pBdr>
      <w:tabs>
        <w:tab w:val="left" w:pos="9090"/>
        <w:tab w:val="left" w:pos="9360"/>
      </w:tabs>
      <w:spacing w:after="100" w:line="276" w:lineRule="auto"/>
    </w:pPr>
    <w:rPr>
      <w:rFonts w:ascii="Calibri" w:eastAsia="Calibri" w:hAnsi="Calibri"/>
      <w:noProof/>
      <w:sz w:val="22"/>
      <w:szCs w:val="22"/>
      <w:bdr w:val="none" w:sz="0" w:space="0" w:color="auto"/>
      <w:lang w:val="en-GB"/>
    </w:rPr>
  </w:style>
  <w:style w:type="paragraph" w:styleId="TM2">
    <w:name w:val="toc 2"/>
    <w:basedOn w:val="Normal"/>
    <w:next w:val="Normal"/>
    <w:autoRedefine/>
    <w:uiPriority w:val="39"/>
    <w:unhideWhenUsed/>
    <w:qFormat/>
    <w:rsid w:val="00BD5B7F"/>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360"/>
      </w:tabs>
      <w:spacing w:after="100" w:line="276" w:lineRule="auto"/>
      <w:ind w:left="630" w:hanging="540"/>
      <w:jc w:val="center"/>
    </w:pPr>
    <w:rPr>
      <w:rFonts w:eastAsia="Calibri"/>
      <w:b/>
      <w:smallCaps/>
      <w:bdr w:val="none" w:sz="0" w:space="0" w:color="auto"/>
      <w:lang w:val="en-GB"/>
    </w:rPr>
  </w:style>
  <w:style w:type="paragraph" w:styleId="TM3">
    <w:name w:val="toc 3"/>
    <w:basedOn w:val="Normal"/>
    <w:next w:val="Normal"/>
    <w:autoRedefine/>
    <w:uiPriority w:val="39"/>
    <w:unhideWhenUsed/>
    <w:qFormat/>
    <w:rsid w:val="00BD5B7F"/>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39"/>
      </w:tabs>
      <w:spacing w:after="100" w:line="276" w:lineRule="auto"/>
      <w:ind w:left="440"/>
      <w:jc w:val="both"/>
    </w:pPr>
    <w:rPr>
      <w:rFonts w:ascii="Calibri" w:eastAsia="Calibri" w:hAnsi="Calibri"/>
      <w:sz w:val="22"/>
      <w:szCs w:val="22"/>
      <w:bdr w:val="none" w:sz="0" w:space="0" w:color="auto"/>
      <w:lang w:val="en-GB"/>
    </w:rPr>
  </w:style>
  <w:style w:type="paragraph" w:styleId="TM4">
    <w:name w:val="toc 4"/>
    <w:basedOn w:val="Normal"/>
    <w:next w:val="Normal"/>
    <w:autoRedefine/>
    <w:uiPriority w:val="39"/>
    <w:unhideWhenUsed/>
    <w:rsid w:val="00BD5B7F"/>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39"/>
      </w:tabs>
      <w:spacing w:after="100" w:line="276" w:lineRule="auto"/>
      <w:ind w:left="660"/>
    </w:pPr>
    <w:rPr>
      <w:rFonts w:ascii="Calibri" w:eastAsia="Calibri" w:hAnsi="Calibri"/>
      <w:sz w:val="22"/>
      <w:szCs w:val="22"/>
      <w:bdr w:val="none" w:sz="0" w:space="0" w:color="auto"/>
      <w:lang w:val="en-GB"/>
    </w:rPr>
  </w:style>
  <w:style w:type="character" w:customStyle="1" w:styleId="NotedefinCar">
    <w:name w:val="Note de fin Car"/>
    <w:basedOn w:val="Policepardfaut"/>
    <w:link w:val="Notedefin"/>
    <w:uiPriority w:val="99"/>
    <w:semiHidden/>
    <w:rsid w:val="00BD5B7F"/>
    <w:rPr>
      <w:rFonts w:ascii="Arial" w:eastAsia="Calibri" w:hAnsi="Arial"/>
      <w:color w:val="000000"/>
      <w:lang w:val="en-GB"/>
    </w:rPr>
  </w:style>
  <w:style w:type="paragraph" w:styleId="Notedefin">
    <w:name w:val="endnote text"/>
    <w:basedOn w:val="Normal"/>
    <w:link w:val="NotedefinCar"/>
    <w:uiPriority w:val="99"/>
    <w:semiHidden/>
    <w:unhideWhenUsed/>
    <w:rsid w:val="00BD5B7F"/>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Calibri" w:hAnsi="Arial" w:cstheme="minorBidi"/>
      <w:color w:val="000000"/>
      <w:sz w:val="22"/>
      <w:szCs w:val="22"/>
      <w:bdr w:val="none" w:sz="0" w:space="0" w:color="auto"/>
      <w:lang w:val="en-GB"/>
    </w:rPr>
  </w:style>
  <w:style w:type="character" w:customStyle="1" w:styleId="NotedefinCar1">
    <w:name w:val="Note de fin Car1"/>
    <w:basedOn w:val="Policepardfaut"/>
    <w:uiPriority w:val="99"/>
    <w:semiHidden/>
    <w:rsid w:val="00BD5B7F"/>
    <w:rPr>
      <w:rFonts w:eastAsia="Arial Unicode MS" w:cs="Times New Roman"/>
      <w:sz w:val="20"/>
      <w:szCs w:val="20"/>
      <w:bdr w:val="nil"/>
      <w:lang w:val="en-US"/>
    </w:rPr>
  </w:style>
  <w:style w:type="paragraph" w:styleId="Titre">
    <w:name w:val="Title"/>
    <w:basedOn w:val="Normal"/>
    <w:link w:val="TitreCar"/>
    <w:uiPriority w:val="10"/>
    <w:qFormat/>
    <w:rsid w:val="00BD5B7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autoSpaceDN w:val="0"/>
      <w:adjustRightInd w:val="0"/>
      <w:jc w:val="center"/>
    </w:pPr>
    <w:rPr>
      <w:rFonts w:ascii="Arial" w:eastAsia="Times New Roman" w:hAnsi="Arial" w:cs="Arial"/>
      <w:b/>
      <w:bCs/>
      <w:sz w:val="32"/>
      <w:szCs w:val="22"/>
      <w:bdr w:val="none" w:sz="0" w:space="0" w:color="auto"/>
      <w:lang w:val="en-GB"/>
    </w:rPr>
  </w:style>
  <w:style w:type="character" w:customStyle="1" w:styleId="TitreCar">
    <w:name w:val="Titre Car"/>
    <w:basedOn w:val="Policepardfaut"/>
    <w:link w:val="Titre"/>
    <w:uiPriority w:val="10"/>
    <w:rsid w:val="00BD5B7F"/>
    <w:rPr>
      <w:rFonts w:ascii="Arial" w:eastAsia="Times New Roman" w:hAnsi="Arial" w:cs="Arial"/>
      <w:b/>
      <w:bCs/>
      <w:sz w:val="32"/>
      <w:lang w:val="en-GB"/>
    </w:rPr>
  </w:style>
  <w:style w:type="character" w:customStyle="1" w:styleId="Corpsdetexte2Car">
    <w:name w:val="Corps de texte 2 Car"/>
    <w:basedOn w:val="Policepardfaut"/>
    <w:link w:val="Corpsdetexte2"/>
    <w:rsid w:val="00BD5B7F"/>
    <w:rPr>
      <w:rFonts w:eastAsia="Times New Roman"/>
      <w:szCs w:val="24"/>
      <w:lang w:val="en-US"/>
    </w:rPr>
  </w:style>
  <w:style w:type="paragraph" w:styleId="Corpsdetexte2">
    <w:name w:val="Body Text 2"/>
    <w:basedOn w:val="Normal"/>
    <w:link w:val="Corpsdetexte2Car"/>
    <w:unhideWhenUsed/>
    <w:rsid w:val="00BD5B7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stheme="minorBidi"/>
      <w:sz w:val="22"/>
      <w:bdr w:val="none" w:sz="0" w:space="0" w:color="auto"/>
    </w:rPr>
  </w:style>
  <w:style w:type="character" w:customStyle="1" w:styleId="Corpsdetexte2Car1">
    <w:name w:val="Corps de texte 2 Car1"/>
    <w:basedOn w:val="Policepardfaut"/>
    <w:uiPriority w:val="99"/>
    <w:semiHidden/>
    <w:rsid w:val="00BD5B7F"/>
    <w:rPr>
      <w:rFonts w:eastAsia="Arial Unicode MS" w:cs="Times New Roman"/>
      <w:sz w:val="24"/>
      <w:szCs w:val="24"/>
      <w:bdr w:val="nil"/>
      <w:lang w:val="en-US"/>
    </w:rPr>
  </w:style>
  <w:style w:type="character" w:customStyle="1" w:styleId="Corpsdetexte3Car">
    <w:name w:val="Corps de texte 3 Car"/>
    <w:basedOn w:val="Policepardfaut"/>
    <w:link w:val="Corpsdetexte3"/>
    <w:rsid w:val="00BD5B7F"/>
    <w:rPr>
      <w:rFonts w:eastAsia="Times New Roman"/>
      <w:b/>
      <w:bCs/>
      <w:sz w:val="24"/>
      <w:szCs w:val="24"/>
      <w:lang w:val="en-GB"/>
    </w:rPr>
  </w:style>
  <w:style w:type="paragraph" w:styleId="Corpsdetexte3">
    <w:name w:val="Body Text 3"/>
    <w:basedOn w:val="Normal"/>
    <w:link w:val="Corpsdetexte3Car"/>
    <w:unhideWhenUsed/>
    <w:rsid w:val="00BD5B7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autoSpaceDN w:val="0"/>
      <w:adjustRightInd w:val="0"/>
      <w:spacing w:line="230" w:lineRule="auto"/>
      <w:jc w:val="center"/>
    </w:pPr>
    <w:rPr>
      <w:rFonts w:eastAsia="Times New Roman" w:cstheme="minorBidi"/>
      <w:b/>
      <w:bCs/>
      <w:bdr w:val="none" w:sz="0" w:space="0" w:color="auto"/>
      <w:lang w:val="en-GB"/>
    </w:rPr>
  </w:style>
  <w:style w:type="character" w:customStyle="1" w:styleId="Corpsdetexte3Car1">
    <w:name w:val="Corps de texte 3 Car1"/>
    <w:basedOn w:val="Policepardfaut"/>
    <w:uiPriority w:val="99"/>
    <w:semiHidden/>
    <w:rsid w:val="00BD5B7F"/>
    <w:rPr>
      <w:rFonts w:eastAsia="Arial Unicode MS" w:cs="Times New Roman"/>
      <w:sz w:val="16"/>
      <w:szCs w:val="16"/>
      <w:bdr w:val="nil"/>
      <w:lang w:val="en-US"/>
    </w:rPr>
  </w:style>
  <w:style w:type="paragraph" w:styleId="Sansinterligne">
    <w:name w:val="No Spacing"/>
    <w:uiPriority w:val="99"/>
    <w:qFormat/>
    <w:rsid w:val="00BD5B7F"/>
    <w:pPr>
      <w:widowControl w:val="0"/>
      <w:autoSpaceDE w:val="0"/>
      <w:autoSpaceDN w:val="0"/>
      <w:adjustRightInd w:val="0"/>
      <w:spacing w:after="0"/>
      <w:jc w:val="left"/>
    </w:pPr>
    <w:rPr>
      <w:rFonts w:eastAsia="Times New Roman" w:cs="Times New Roman"/>
      <w:sz w:val="20"/>
      <w:szCs w:val="24"/>
      <w:lang w:val="en-US"/>
    </w:rPr>
  </w:style>
  <w:style w:type="paragraph" w:customStyle="1" w:styleId="Level1">
    <w:name w:val="Level 1"/>
    <w:basedOn w:val="Normal"/>
    <w:uiPriority w:val="99"/>
    <w:rsid w:val="00BD5B7F"/>
    <w:pPr>
      <w:widowControl w:val="0"/>
      <w:numPr>
        <w:numId w:val="20"/>
      </w:numPr>
      <w:pBdr>
        <w:top w:val="none" w:sz="0" w:space="0" w:color="auto"/>
        <w:left w:val="none" w:sz="0" w:space="0" w:color="auto"/>
        <w:bottom w:val="none" w:sz="0" w:space="0" w:color="auto"/>
        <w:right w:val="none" w:sz="0" w:space="0" w:color="auto"/>
        <w:between w:val="none" w:sz="0" w:space="0" w:color="auto"/>
        <w:bar w:val="none" w:sz="0" w:color="auto"/>
      </w:pBdr>
      <w:tabs>
        <w:tab w:val="clear" w:pos="566"/>
      </w:tabs>
      <w:autoSpaceDE w:val="0"/>
      <w:autoSpaceDN w:val="0"/>
      <w:adjustRightInd w:val="0"/>
      <w:outlineLvl w:val="0"/>
    </w:pPr>
    <w:rPr>
      <w:rFonts w:eastAsia="Times New Roman"/>
      <w:sz w:val="20"/>
      <w:bdr w:val="none" w:sz="0" w:space="0" w:color="auto"/>
    </w:rPr>
  </w:style>
  <w:style w:type="paragraph" w:customStyle="1" w:styleId="Level2">
    <w:name w:val="Level 2"/>
    <w:basedOn w:val="Normal"/>
    <w:uiPriority w:val="99"/>
    <w:rsid w:val="00BD5B7F"/>
    <w:pPr>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clear" w:pos="1132"/>
      </w:tabs>
      <w:autoSpaceDE w:val="0"/>
      <w:autoSpaceDN w:val="0"/>
      <w:adjustRightInd w:val="0"/>
      <w:outlineLvl w:val="1"/>
    </w:pPr>
    <w:rPr>
      <w:rFonts w:eastAsia="Times New Roman"/>
      <w:sz w:val="20"/>
      <w:bdr w:val="none" w:sz="0" w:space="0" w:color="auto"/>
    </w:rPr>
  </w:style>
  <w:style w:type="paragraph" w:customStyle="1" w:styleId="Level3">
    <w:name w:val="Level 3"/>
    <w:basedOn w:val="Normal"/>
    <w:uiPriority w:val="99"/>
    <w:rsid w:val="00BD5B7F"/>
    <w:pPr>
      <w:widowControl w:val="0"/>
      <w:numPr>
        <w:ilvl w:val="2"/>
        <w:numId w:val="20"/>
      </w:numPr>
      <w:pBdr>
        <w:top w:val="none" w:sz="0" w:space="0" w:color="auto"/>
        <w:left w:val="none" w:sz="0" w:space="0" w:color="auto"/>
        <w:bottom w:val="none" w:sz="0" w:space="0" w:color="auto"/>
        <w:right w:val="none" w:sz="0" w:space="0" w:color="auto"/>
        <w:between w:val="none" w:sz="0" w:space="0" w:color="auto"/>
        <w:bar w:val="none" w:sz="0" w:color="auto"/>
      </w:pBdr>
      <w:tabs>
        <w:tab w:val="clear" w:pos="1700"/>
      </w:tabs>
      <w:autoSpaceDE w:val="0"/>
      <w:autoSpaceDN w:val="0"/>
      <w:adjustRightInd w:val="0"/>
      <w:outlineLvl w:val="2"/>
    </w:pPr>
    <w:rPr>
      <w:rFonts w:eastAsia="Times New Roman"/>
      <w:sz w:val="20"/>
      <w:bdr w:val="none" w:sz="0" w:space="0" w:color="auto"/>
    </w:rPr>
  </w:style>
  <w:style w:type="character" w:customStyle="1" w:styleId="MediumGrid2Char">
    <w:name w:val="Medium Grid 2 Char"/>
    <w:link w:val="Grigliamedia21"/>
    <w:uiPriority w:val="1"/>
    <w:semiHidden/>
    <w:locked/>
    <w:rsid w:val="00BD5B7F"/>
    <w:rPr>
      <w:rFonts w:ascii="Calibri" w:hAnsi="Calibri"/>
      <w:lang w:val="it-IT" w:eastAsia="it-IT"/>
    </w:rPr>
  </w:style>
  <w:style w:type="paragraph" w:customStyle="1" w:styleId="Grigliamedia21">
    <w:name w:val="Griglia media 21"/>
    <w:link w:val="MediumGrid2Char"/>
    <w:uiPriority w:val="1"/>
    <w:semiHidden/>
    <w:qFormat/>
    <w:rsid w:val="00BD5B7F"/>
    <w:pPr>
      <w:spacing w:after="0"/>
      <w:jc w:val="left"/>
    </w:pPr>
    <w:rPr>
      <w:rFonts w:ascii="Calibri" w:hAnsi="Calibri"/>
      <w:lang w:val="it-IT" w:eastAsia="it-IT"/>
    </w:rPr>
  </w:style>
  <w:style w:type="paragraph" w:customStyle="1" w:styleId="contenth2">
    <w:name w:val="content_h2"/>
    <w:basedOn w:val="Normal"/>
    <w:rsid w:val="00BD5B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Georgia" w:eastAsia="Times New Roman" w:hAnsi="Georgia"/>
      <w:color w:val="013976"/>
      <w:sz w:val="54"/>
      <w:szCs w:val="54"/>
      <w:bdr w:val="none" w:sz="0" w:space="0" w:color="auto"/>
      <w:lang w:val="en-GB" w:eastAsia="en-GB"/>
    </w:rPr>
  </w:style>
  <w:style w:type="character" w:customStyle="1" w:styleId="Normal1">
    <w:name w:val="Normal1"/>
    <w:rsid w:val="00BD5B7F"/>
  </w:style>
  <w:style w:type="table" w:styleId="Grillemoyenne2">
    <w:name w:val="Medium Grid 2"/>
    <w:basedOn w:val="TableauNormal"/>
    <w:link w:val="Grillemoyenne2Car"/>
    <w:uiPriority w:val="1"/>
    <w:unhideWhenUsed/>
    <w:rsid w:val="00BD5B7F"/>
    <w:pPr>
      <w:spacing w:after="0"/>
      <w:jc w:val="left"/>
    </w:pPr>
    <w:rPr>
      <w:rFonts w:ascii="Calibri" w:hAnsi="Calibri"/>
      <w:lang w:val="it-IT"/>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Grillemoyenne2Car">
    <w:name w:val="Grille moyenne 2 Car"/>
    <w:link w:val="Grillemoyenne2"/>
    <w:uiPriority w:val="1"/>
    <w:locked/>
    <w:rsid w:val="00BD5B7F"/>
    <w:rPr>
      <w:rFonts w:ascii="Calibri" w:hAnsi="Calibri" w:hint="default"/>
      <w:sz w:val="22"/>
      <w:szCs w:val="22"/>
      <w:lang w:val="it-IT"/>
    </w:rPr>
  </w:style>
  <w:style w:type="character" w:customStyle="1" w:styleId="NoSpacingChar">
    <w:name w:val="No Spacing Char"/>
    <w:uiPriority w:val="1"/>
    <w:rsid w:val="00BD5B7F"/>
    <w:rPr>
      <w:rFonts w:ascii="Times New Roman" w:eastAsia="Times New Roman" w:hAnsi="Times New Roman" w:cs="Times New Roman" w:hint="default"/>
      <w:lang w:val="it-IT"/>
    </w:rPr>
  </w:style>
  <w:style w:type="table" w:styleId="Grillemoyenne2-Accent2">
    <w:name w:val="Medium Grid 2 Accent 2"/>
    <w:basedOn w:val="TableauNormal"/>
    <w:uiPriority w:val="73"/>
    <w:unhideWhenUsed/>
    <w:rsid w:val="00BD5B7F"/>
    <w:pPr>
      <w:spacing w:after="0"/>
      <w:jc w:val="left"/>
    </w:pPr>
    <w:rPr>
      <w:rFonts w:ascii="Calibri" w:eastAsia="Calibri" w:hAnsi="Calibri" w:cs="Times New Roman"/>
      <w:color w:val="000000"/>
      <w:lang w:val="it-IT" w:eastAsia="it-IT"/>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1">
    <w:name w:val="Table Grid1"/>
    <w:basedOn w:val="TableauNormal"/>
    <w:uiPriority w:val="59"/>
    <w:rsid w:val="00BD5B7F"/>
    <w:pPr>
      <w:spacing w:after="0"/>
      <w:jc w:val="left"/>
    </w:pPr>
    <w:rPr>
      <w:rFonts w:ascii="Calibri" w:eastAsia="Calibri" w:hAnsi="Calibri" w:cs="Times New Roman"/>
      <w:lang w:val="en-GB" w:eastAsia="it-I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BD5B7F"/>
    <w:pPr>
      <w:widowControl w:val="0"/>
      <w:autoSpaceDE w:val="0"/>
      <w:autoSpaceDN w:val="0"/>
      <w:adjustRightInd w:val="0"/>
      <w:spacing w:before="240" w:after="60"/>
      <w:jc w:val="left"/>
      <w:outlineLvl w:val="9"/>
    </w:pPr>
    <w:rPr>
      <w:rFonts w:ascii="Calibri Light" w:hAnsi="Calibri Light"/>
      <w:bCs/>
      <w:kern w:val="32"/>
      <w:sz w:val="32"/>
      <w:szCs w:val="32"/>
      <w:lang w:val="en-US"/>
    </w:rPr>
  </w:style>
  <w:style w:type="character" w:customStyle="1" w:styleId="spelle">
    <w:name w:val="spelle"/>
    <w:basedOn w:val="Policepardfaut"/>
    <w:rsid w:val="00BD5B7F"/>
  </w:style>
  <w:style w:type="paragraph" w:styleId="Textebrut">
    <w:name w:val="Plain Text"/>
    <w:basedOn w:val="Normal"/>
    <w:link w:val="TextebrutCar"/>
    <w:uiPriority w:val="99"/>
    <w:unhideWhenUsed/>
    <w:rsid w:val="00BD5B7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fr-FR"/>
    </w:rPr>
  </w:style>
  <w:style w:type="character" w:customStyle="1" w:styleId="TextebrutCar">
    <w:name w:val="Texte brut Car"/>
    <w:basedOn w:val="Policepardfaut"/>
    <w:link w:val="Textebrut"/>
    <w:uiPriority w:val="99"/>
    <w:rsid w:val="00BD5B7F"/>
    <w:rPr>
      <w:rFonts w:ascii="Calibri" w:hAnsi="Calibri"/>
      <w:szCs w:val="21"/>
    </w:rPr>
  </w:style>
  <w:style w:type="paragraph" w:customStyle="1" w:styleId="paragraphedeliste10">
    <w:name w:val="paragraphedeliste1"/>
    <w:basedOn w:val="Normal"/>
    <w:rsid w:val="00BD5B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fr-FR" w:eastAsia="fr-FR"/>
    </w:rPr>
  </w:style>
  <w:style w:type="paragraph" w:customStyle="1" w:styleId="1AutoList1">
    <w:name w:val="1AutoList1"/>
    <w:uiPriority w:val="99"/>
    <w:rsid w:val="00BD5B7F"/>
    <w:pPr>
      <w:widowControl w:val="0"/>
      <w:tabs>
        <w:tab w:val="left" w:pos="720"/>
      </w:tabs>
      <w:autoSpaceDE w:val="0"/>
      <w:autoSpaceDN w:val="0"/>
      <w:adjustRightInd w:val="0"/>
      <w:spacing w:after="0"/>
      <w:ind w:left="720" w:hanging="720"/>
    </w:pPr>
    <w:rPr>
      <w:rFonts w:eastAsia="Times New Roman" w:cs="Times New Roman"/>
      <w:sz w:val="24"/>
      <w:szCs w:val="24"/>
      <w:lang w:val="en-GB"/>
    </w:rPr>
  </w:style>
  <w:style w:type="paragraph" w:customStyle="1" w:styleId="Preformatted">
    <w:name w:val="Preformatted"/>
    <w:uiPriority w:val="99"/>
    <w:rsid w:val="00BD5B7F"/>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spacing w:after="0"/>
      <w:jc w:val="left"/>
    </w:pPr>
    <w:rPr>
      <w:rFonts w:ascii="Courier New" w:eastAsia="Times New Roman" w:hAnsi="Courier New" w:cs="Courier New"/>
      <w:sz w:val="20"/>
      <w:szCs w:val="20"/>
      <w:lang w:val="en-US"/>
    </w:rPr>
  </w:style>
  <w:style w:type="paragraph" w:customStyle="1" w:styleId="footnotetex">
    <w:name w:val="footnote tex"/>
    <w:uiPriority w:val="99"/>
    <w:rsid w:val="00BD5B7F"/>
    <w:pPr>
      <w:widowControl w:val="0"/>
      <w:autoSpaceDE w:val="0"/>
      <w:autoSpaceDN w:val="0"/>
      <w:adjustRightInd w:val="0"/>
      <w:spacing w:after="0"/>
    </w:pPr>
    <w:rPr>
      <w:rFonts w:eastAsia="Times New Roman" w:cs="Times New Roman"/>
      <w:sz w:val="20"/>
      <w:szCs w:val="20"/>
      <w:lang w:val="de-DE"/>
    </w:rPr>
  </w:style>
  <w:style w:type="paragraph" w:styleId="Normalcentr">
    <w:name w:val="Block Text"/>
    <w:basedOn w:val="Normal"/>
    <w:uiPriority w:val="99"/>
    <w:rsid w:val="00BD5B7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right="283" w:hanging="709"/>
    </w:pPr>
    <w:rPr>
      <w:rFonts w:eastAsia="Times New Roman"/>
      <w:szCs w:val="23"/>
      <w:bdr w:val="none" w:sz="0" w:space="0" w:color="auto"/>
    </w:rPr>
  </w:style>
  <w:style w:type="character" w:styleId="Lienhypertextesuivivisit">
    <w:name w:val="FollowedHyperlink"/>
    <w:rsid w:val="00BD5B7F"/>
    <w:rPr>
      <w:rFonts w:cs="Times New Roman"/>
      <w:color w:val="800080"/>
      <w:u w:val="single"/>
    </w:rPr>
  </w:style>
  <w:style w:type="paragraph" w:customStyle="1" w:styleId="ColorfulList-Accent11">
    <w:name w:val="Colorful List - Accent 11"/>
    <w:basedOn w:val="Normal"/>
    <w:uiPriority w:val="99"/>
    <w:rsid w:val="00BD5B7F"/>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bdr w:val="none" w:sz="0" w:space="0" w:color="auto"/>
      <w:lang w:val="es-UY"/>
    </w:rPr>
  </w:style>
  <w:style w:type="character" w:styleId="Marquedecommentaire">
    <w:name w:val="annotation reference"/>
    <w:uiPriority w:val="99"/>
    <w:semiHidden/>
    <w:rsid w:val="00BD5B7F"/>
    <w:rPr>
      <w:rFonts w:cs="Times New Roman"/>
      <w:sz w:val="18"/>
    </w:rPr>
  </w:style>
  <w:style w:type="table" w:styleId="Grillecouleur-Accent4">
    <w:name w:val="Colorful Grid Accent 4"/>
    <w:basedOn w:val="TableauNormal"/>
    <w:uiPriority w:val="64"/>
    <w:rsid w:val="00BD5B7F"/>
    <w:pPr>
      <w:spacing w:after="0"/>
      <w:jc w:val="left"/>
    </w:pPr>
    <w:rPr>
      <w:rFonts w:ascii="Calibri" w:eastAsia="Calibri" w:hAnsi="Calibri" w:cs="Times New Roman"/>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11">
    <w:name w:val="Sfondo medio 2 - Colore 11"/>
    <w:basedOn w:val="TableauNormal"/>
    <w:uiPriority w:val="64"/>
    <w:rsid w:val="00BD5B7F"/>
    <w:pPr>
      <w:spacing w:after="0"/>
      <w:jc w:val="left"/>
    </w:pPr>
    <w:rPr>
      <w:rFonts w:ascii="Calibri" w:eastAsia="Calibri" w:hAnsi="Calibri" w:cs="Times New Roman"/>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1">
    <w:name w:val="Sfondo medio 21"/>
    <w:basedOn w:val="TableauNormal"/>
    <w:uiPriority w:val="64"/>
    <w:rsid w:val="00BD5B7F"/>
    <w:pPr>
      <w:spacing w:after="0"/>
      <w:jc w:val="left"/>
    </w:pPr>
    <w:rPr>
      <w:rFonts w:ascii="Calibri" w:eastAsia="Calibri" w:hAnsi="Calibri" w:cs="Times New Roman"/>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Elencochiaro-Colore11">
    <w:name w:val="Elenco chiaro - Colore 11"/>
    <w:basedOn w:val="TableauNormal"/>
    <w:uiPriority w:val="61"/>
    <w:rsid w:val="00BD5B7F"/>
    <w:pPr>
      <w:spacing w:after="0"/>
      <w:jc w:val="left"/>
    </w:pPr>
    <w:rPr>
      <w:rFonts w:ascii="Calibri" w:eastAsia="Calibri" w:hAnsi="Calibri" w:cs="Times New Roman"/>
      <w:lang w:val="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fondoacolori1">
    <w:name w:val="Sfondo a colori1"/>
    <w:basedOn w:val="TableauNormal"/>
    <w:uiPriority w:val="71"/>
    <w:rsid w:val="00BD5B7F"/>
    <w:pPr>
      <w:spacing w:after="0"/>
      <w:jc w:val="left"/>
    </w:pPr>
    <w:rPr>
      <w:rFonts w:ascii="Calibri" w:eastAsia="Calibri" w:hAnsi="Calibri" w:cs="Times New Roman"/>
      <w:color w:val="000000"/>
      <w:lang w:val="it-IT"/>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Grillemoyenne3-Accent1">
    <w:name w:val="Medium Grid 3 Accent 1"/>
    <w:basedOn w:val="TableauNormal"/>
    <w:uiPriority w:val="64"/>
    <w:rsid w:val="00BD5B7F"/>
    <w:pPr>
      <w:spacing w:after="0"/>
      <w:jc w:val="left"/>
    </w:pPr>
    <w:rPr>
      <w:rFonts w:ascii="Calibri" w:eastAsia="Calibri" w:hAnsi="Calibri" w:cs="Times New Roman"/>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11">
    <w:name w:val="Colorful Grid - Accent 11"/>
    <w:basedOn w:val="TableauNormal"/>
    <w:next w:val="Grillemoyenne2-Accent2"/>
    <w:uiPriority w:val="73"/>
    <w:rsid w:val="00BD5B7F"/>
    <w:pPr>
      <w:spacing w:after="0"/>
      <w:jc w:val="left"/>
    </w:pPr>
    <w:rPr>
      <w:rFonts w:ascii="Calibri" w:eastAsia="Calibri" w:hAnsi="Calibri" w:cs="Times New Roman"/>
      <w:color w:val="000000"/>
      <w:lang w:val="it-IT"/>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NoList1">
    <w:name w:val="No List1"/>
    <w:next w:val="Aucuneliste"/>
    <w:uiPriority w:val="99"/>
    <w:semiHidden/>
    <w:unhideWhenUsed/>
    <w:rsid w:val="00BD5B7F"/>
  </w:style>
  <w:style w:type="paragraph" w:customStyle="1" w:styleId="contenth3">
    <w:name w:val="content_h3"/>
    <w:basedOn w:val="Normal"/>
    <w:rsid w:val="00BD5B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Georgia" w:eastAsia="Times New Roman" w:hAnsi="Georgia"/>
      <w:color w:val="013976"/>
      <w:sz w:val="36"/>
      <w:szCs w:val="36"/>
      <w:bdr w:val="none" w:sz="0" w:space="0" w:color="auto"/>
      <w:lang w:val="en-GB" w:eastAsia="en-GB"/>
    </w:rPr>
  </w:style>
  <w:style w:type="table" w:customStyle="1" w:styleId="TableGrid2">
    <w:name w:val="Table Grid2"/>
    <w:basedOn w:val="TableauNormal"/>
    <w:next w:val="Grilledutableau"/>
    <w:uiPriority w:val="59"/>
    <w:rsid w:val="00BD5B7F"/>
    <w:pPr>
      <w:spacing w:after="0"/>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41">
    <w:name w:val="Medium Shading 2 - Accent 41"/>
    <w:basedOn w:val="TableauNormal"/>
    <w:next w:val="Tramemoyenne2-Accent4"/>
    <w:uiPriority w:val="64"/>
    <w:rsid w:val="00BD5B7F"/>
    <w:pPr>
      <w:spacing w:after="0"/>
      <w:jc w:val="left"/>
    </w:pPr>
    <w:rPr>
      <w:rFonts w:ascii="Calibri" w:eastAsia="Calibri" w:hAnsi="Calibri" w:cs="Times New Roman"/>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111">
    <w:name w:val="Sfondo medio 2 - Colore 111"/>
    <w:basedOn w:val="TableauNormal"/>
    <w:uiPriority w:val="64"/>
    <w:rsid w:val="00BD5B7F"/>
    <w:pPr>
      <w:spacing w:after="0"/>
      <w:jc w:val="left"/>
    </w:pPr>
    <w:rPr>
      <w:rFonts w:ascii="Calibri" w:eastAsia="Calibri" w:hAnsi="Calibri" w:cs="Times New Roman"/>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11">
    <w:name w:val="Sfondo medio 211"/>
    <w:basedOn w:val="TableauNormal"/>
    <w:uiPriority w:val="64"/>
    <w:rsid w:val="00BD5B7F"/>
    <w:pPr>
      <w:spacing w:after="0"/>
      <w:jc w:val="left"/>
    </w:pPr>
    <w:rPr>
      <w:rFonts w:ascii="Calibri" w:eastAsia="Calibri" w:hAnsi="Calibri" w:cs="Times New Roman"/>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Elencochiaro-Colore111">
    <w:name w:val="Elenco chiaro - Colore 111"/>
    <w:basedOn w:val="TableauNormal"/>
    <w:uiPriority w:val="61"/>
    <w:rsid w:val="00BD5B7F"/>
    <w:pPr>
      <w:spacing w:after="0"/>
      <w:jc w:val="left"/>
    </w:pPr>
    <w:rPr>
      <w:rFonts w:ascii="Calibri" w:eastAsia="Calibri" w:hAnsi="Calibri" w:cs="Times New Roman"/>
      <w:lang w:val="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Spacing1">
    <w:name w:val="No Spacing1"/>
    <w:next w:val="Sansinterligne"/>
    <w:uiPriority w:val="1"/>
    <w:qFormat/>
    <w:rsid w:val="00BD5B7F"/>
    <w:pPr>
      <w:spacing w:after="0"/>
      <w:jc w:val="left"/>
    </w:pPr>
    <w:rPr>
      <w:rFonts w:ascii="Calibri" w:eastAsia="Times New Roman" w:hAnsi="Calibri" w:cs="Times New Roman"/>
      <w:lang w:val="it-IT"/>
    </w:rPr>
  </w:style>
  <w:style w:type="table" w:customStyle="1" w:styleId="Sfondoacolori11">
    <w:name w:val="Sfondo a colori11"/>
    <w:basedOn w:val="TableauNormal"/>
    <w:uiPriority w:val="71"/>
    <w:rsid w:val="00BD5B7F"/>
    <w:pPr>
      <w:spacing w:after="0"/>
      <w:jc w:val="left"/>
    </w:pPr>
    <w:rPr>
      <w:rFonts w:ascii="Calibri" w:eastAsia="Calibri" w:hAnsi="Calibri" w:cs="Times New Roman"/>
      <w:color w:val="000000"/>
      <w:lang w:val="it-IT"/>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Grid-Accent12">
    <w:name w:val="Colorful Grid - Accent 12"/>
    <w:basedOn w:val="TableauNormal"/>
    <w:next w:val="Grillecouleur-Accent1"/>
    <w:uiPriority w:val="73"/>
    <w:rsid w:val="00BD5B7F"/>
    <w:pPr>
      <w:spacing w:after="0"/>
      <w:jc w:val="left"/>
    </w:pPr>
    <w:rPr>
      <w:rFonts w:ascii="Calibri" w:eastAsia="Calibri" w:hAnsi="Calibri" w:cs="Times New Roman"/>
      <w:color w:val="000000"/>
      <w:lang w:val="it-IT"/>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Sfondomedio2-Colore12">
    <w:name w:val="Sfondo medio 2 - Colore 12"/>
    <w:basedOn w:val="TableauNormal"/>
    <w:uiPriority w:val="64"/>
    <w:rsid w:val="00BD5B7F"/>
    <w:pPr>
      <w:spacing w:after="0"/>
      <w:jc w:val="left"/>
    </w:pPr>
    <w:rPr>
      <w:rFonts w:ascii="Calibri" w:eastAsia="Calibri" w:hAnsi="Calibri" w:cs="Times New Roman"/>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vision">
    <w:name w:val="Revision"/>
    <w:hidden/>
    <w:uiPriority w:val="99"/>
    <w:rsid w:val="00BD5B7F"/>
    <w:pPr>
      <w:spacing w:after="0"/>
      <w:jc w:val="left"/>
    </w:pPr>
    <w:rPr>
      <w:rFonts w:ascii="Calibri" w:eastAsia="Calibri" w:hAnsi="Calibri" w:cs="Times New Roman"/>
      <w:lang w:val="en-GB"/>
    </w:rPr>
  </w:style>
  <w:style w:type="paragraph" w:customStyle="1" w:styleId="Caption1">
    <w:name w:val="Caption1"/>
    <w:basedOn w:val="Normal"/>
    <w:next w:val="Normal"/>
    <w:uiPriority w:val="35"/>
    <w:unhideWhenUsed/>
    <w:qFormat/>
    <w:rsid w:val="00BD5B7F"/>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Arial" w:eastAsia="Calibri" w:hAnsi="Arial"/>
      <w:b/>
      <w:bCs/>
      <w:color w:val="4F81BD"/>
      <w:sz w:val="18"/>
      <w:szCs w:val="18"/>
      <w:bdr w:val="none" w:sz="0" w:space="0" w:color="auto"/>
      <w:lang w:val="en-GB"/>
    </w:rPr>
  </w:style>
  <w:style w:type="character" w:styleId="Appeldenotedefin">
    <w:name w:val="endnote reference"/>
    <w:uiPriority w:val="99"/>
    <w:semiHidden/>
    <w:unhideWhenUsed/>
    <w:rsid w:val="00BD5B7F"/>
    <w:rPr>
      <w:vertAlign w:val="superscript"/>
    </w:rPr>
  </w:style>
  <w:style w:type="table" w:customStyle="1" w:styleId="Elencochiaro-Colore12">
    <w:name w:val="Elenco chiaro - Colore 12"/>
    <w:basedOn w:val="TableauNormal"/>
    <w:uiPriority w:val="61"/>
    <w:rsid w:val="00BD5B7F"/>
    <w:pPr>
      <w:spacing w:after="0"/>
      <w:jc w:val="left"/>
    </w:pPr>
    <w:rPr>
      <w:rFonts w:ascii="Calibri" w:eastAsia="Calibri" w:hAnsi="Calibri"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TMLTypewriter1">
    <w:name w:val="HTML Typewriter1"/>
    <w:uiPriority w:val="99"/>
    <w:semiHidden/>
    <w:unhideWhenUsed/>
    <w:rsid w:val="00BD5B7F"/>
    <w:rPr>
      <w:rFonts w:ascii="Courier New" w:eastAsia="Calibri" w:hAnsi="Courier New" w:cs="Courier New" w:hint="default"/>
      <w:sz w:val="20"/>
      <w:szCs w:val="20"/>
    </w:rPr>
  </w:style>
  <w:style w:type="table" w:styleId="Tramemoyenne2-Accent4">
    <w:name w:val="Medium Shading 2 Accent 4"/>
    <w:basedOn w:val="TableauNormal"/>
    <w:uiPriority w:val="69"/>
    <w:rsid w:val="00BD5B7F"/>
    <w:pPr>
      <w:spacing w:after="0"/>
      <w:jc w:val="left"/>
    </w:pPr>
    <w:rPr>
      <w:rFonts w:eastAsia="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couleur-Accent1">
    <w:name w:val="Colorful Grid Accent 1"/>
    <w:basedOn w:val="TableauNormal"/>
    <w:uiPriority w:val="29"/>
    <w:qFormat/>
    <w:rsid w:val="00BD5B7F"/>
    <w:pPr>
      <w:spacing w:after="0"/>
      <w:jc w:val="left"/>
    </w:pPr>
    <w:rPr>
      <w:rFonts w:eastAsia="Times New Roman" w:cs="Times New Roman"/>
      <w:color w:val="000000"/>
      <w:sz w:val="20"/>
      <w:szCs w:val="20"/>
      <w:lang w:val="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character" w:styleId="MachinecrireHTML">
    <w:name w:val="HTML Typewriter"/>
    <w:unhideWhenUsed/>
    <w:rsid w:val="00BD5B7F"/>
    <w:rPr>
      <w:rFonts w:ascii="Courier New" w:hAnsi="Courier New" w:cs="Courier New"/>
      <w:sz w:val="20"/>
      <w:szCs w:val="20"/>
    </w:rPr>
  </w:style>
  <w:style w:type="paragraph" w:styleId="Signaturelectronique">
    <w:name w:val="E-mail Signature"/>
    <w:basedOn w:val="Normal"/>
    <w:link w:val="SignaturelectroniqueCar"/>
    <w:rsid w:val="00BD5B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SignaturelectroniqueCar">
    <w:name w:val="Signature électronique Car"/>
    <w:basedOn w:val="Policepardfaut"/>
    <w:link w:val="Signaturelectronique"/>
    <w:rsid w:val="00BD5B7F"/>
    <w:rPr>
      <w:rFonts w:eastAsia="Times New Roman" w:cs="Times New Roman"/>
      <w:sz w:val="24"/>
      <w:szCs w:val="24"/>
      <w:lang w:val="en-US"/>
    </w:rPr>
  </w:style>
  <w:style w:type="character" w:customStyle="1" w:styleId="yshortcuts">
    <w:name w:val="yshortcuts"/>
    <w:basedOn w:val="Policepardfaut"/>
    <w:rsid w:val="00BD5B7F"/>
  </w:style>
  <w:style w:type="paragraph" w:customStyle="1" w:styleId="CharCharCarCharCarCharCarCharCarChar">
    <w:name w:val="Char Char Car Char Car Char Car Char Car Char"/>
    <w:basedOn w:val="Normal"/>
    <w:rsid w:val="00BD5B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60" w:line="240" w:lineRule="exact"/>
    </w:pPr>
    <w:rPr>
      <w:rFonts w:ascii="Arial" w:eastAsia="Times New Roman" w:hAnsi="Arial" w:cs="Arial"/>
      <w:sz w:val="20"/>
      <w:szCs w:val="20"/>
      <w:bdr w:val="none" w:sz="0" w:space="0" w:color="auto"/>
    </w:rPr>
  </w:style>
  <w:style w:type="character" w:customStyle="1" w:styleId="nav2">
    <w:name w:val="nav2"/>
    <w:basedOn w:val="Policepardfaut"/>
    <w:rsid w:val="00BD5B7F"/>
  </w:style>
  <w:style w:type="character" w:customStyle="1" w:styleId="apple-tab-span">
    <w:name w:val="apple-tab-span"/>
    <w:basedOn w:val="Policepardfaut"/>
    <w:rsid w:val="00BD5B7F"/>
  </w:style>
  <w:style w:type="character" w:customStyle="1" w:styleId="BorisBarov">
    <w:name w:val="Boris.Barov"/>
    <w:basedOn w:val="Policepardfaut"/>
    <w:semiHidden/>
    <w:rsid w:val="00BD5B7F"/>
    <w:rPr>
      <w:rFonts w:ascii="Arial" w:hAnsi="Arial" w:cs="Arial"/>
      <w:color w:val="auto"/>
      <w:sz w:val="20"/>
      <w:szCs w:val="20"/>
    </w:rPr>
  </w:style>
  <w:style w:type="paragraph" w:customStyle="1" w:styleId="msolistparagraph0">
    <w:name w:val="msolistparagraph"/>
    <w:basedOn w:val="Normal"/>
    <w:rsid w:val="00BD5B7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Calibri" w:eastAsia="MS Mincho" w:hAnsi="Calibri"/>
      <w:sz w:val="22"/>
      <w:szCs w:val="22"/>
      <w:bdr w:val="none" w:sz="0" w:space="0" w:color="auto"/>
      <w:lang w:eastAsia="ja-JP"/>
    </w:rPr>
  </w:style>
  <w:style w:type="paragraph" w:styleId="PrformatHTML">
    <w:name w:val="HTML Preformatted"/>
    <w:basedOn w:val="Normal"/>
    <w:link w:val="PrformatHTMLCar"/>
    <w:uiPriority w:val="99"/>
    <w:rsid w:val="00BD5B7F"/>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color w:val="000000"/>
      <w:sz w:val="20"/>
      <w:szCs w:val="20"/>
      <w:bdr w:val="none" w:sz="0" w:space="0" w:color="auto"/>
      <w:lang w:eastAsia="ja-JP"/>
    </w:rPr>
  </w:style>
  <w:style w:type="character" w:customStyle="1" w:styleId="PrformatHTMLCar">
    <w:name w:val="Préformaté HTML Car"/>
    <w:basedOn w:val="Policepardfaut"/>
    <w:link w:val="PrformatHTML"/>
    <w:uiPriority w:val="99"/>
    <w:rsid w:val="00BD5B7F"/>
    <w:rPr>
      <w:rFonts w:ascii="Courier New" w:eastAsia="MS Mincho" w:hAnsi="Courier New" w:cs="Courier New"/>
      <w:color w:val="000000"/>
      <w:sz w:val="20"/>
      <w:szCs w:val="20"/>
      <w:lang w:val="en-US" w:eastAsia="ja-JP"/>
    </w:rPr>
  </w:style>
  <w:style w:type="paragraph" w:customStyle="1" w:styleId="CharCharCarCarCharCharCarCarCharCharCarCarCharCharCarCarCharCharCarCar">
    <w:name w:val="Char Char Car Car Char Char Car Car Char Char Car Car Char Char Car Car Char Char Car Car"/>
    <w:basedOn w:val="Normal"/>
    <w:rsid w:val="00BD5B7F"/>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Arial" w:eastAsia="Times New Roman" w:hAnsi="Arial" w:cs="Arial"/>
      <w:sz w:val="20"/>
      <w:szCs w:val="20"/>
      <w:bdr w:val="none" w:sz="0" w:space="0" w:color="auto"/>
    </w:rPr>
  </w:style>
  <w:style w:type="character" w:customStyle="1" w:styleId="grisclair">
    <w:name w:val="gris_clair"/>
    <w:basedOn w:val="Policepardfaut"/>
    <w:rsid w:val="00BD5B7F"/>
  </w:style>
  <w:style w:type="character" w:customStyle="1" w:styleId="bleuemail">
    <w:name w:val="bleu_email"/>
    <w:basedOn w:val="Policepardfaut"/>
    <w:rsid w:val="00BD5B7F"/>
  </w:style>
  <w:style w:type="character" w:customStyle="1" w:styleId="st">
    <w:name w:val="st"/>
    <w:basedOn w:val="Policepardfaut"/>
    <w:rsid w:val="00BD5B7F"/>
  </w:style>
  <w:style w:type="character" w:customStyle="1" w:styleId="normalchar">
    <w:name w:val="normal__char"/>
    <w:basedOn w:val="Policepardfaut"/>
    <w:rsid w:val="00BD5B7F"/>
  </w:style>
  <w:style w:type="character" w:customStyle="1" w:styleId="hyperlinkchar">
    <w:name w:val="hyperlink__char"/>
    <w:basedOn w:val="Policepardfaut"/>
    <w:rsid w:val="00BD5B7F"/>
  </w:style>
  <w:style w:type="character" w:customStyle="1" w:styleId="hps">
    <w:name w:val="hps"/>
    <w:basedOn w:val="Policepardfaut"/>
    <w:rsid w:val="00BD5B7F"/>
  </w:style>
  <w:style w:type="character" w:customStyle="1" w:styleId="atn">
    <w:name w:val="atn"/>
    <w:basedOn w:val="Policepardfaut"/>
    <w:rsid w:val="00BD5B7F"/>
  </w:style>
  <w:style w:type="paragraph" w:customStyle="1" w:styleId="xmsonormal">
    <w:name w:val="xmsonormal"/>
    <w:basedOn w:val="Normal"/>
    <w:rsid w:val="00BD5B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en-GB" w:eastAsia="en-GB"/>
    </w:rPr>
  </w:style>
  <w:style w:type="character" w:customStyle="1" w:styleId="egovstyle-style-normal">
    <w:name w:val="egovstyle-style-normal"/>
    <w:basedOn w:val="Policepardfaut"/>
    <w:uiPriority w:val="99"/>
    <w:rsid w:val="00BD5B7F"/>
    <w:rPr>
      <w:rFonts w:ascii="Times New Roman" w:hAnsi="Times New Roman" w:cs="Times New Roman" w:hint="default"/>
    </w:rPr>
  </w:style>
  <w:style w:type="character" w:customStyle="1" w:styleId="st1">
    <w:name w:val="st1"/>
    <w:basedOn w:val="Policepardfaut"/>
    <w:rsid w:val="00BD5B7F"/>
  </w:style>
  <w:style w:type="character" w:customStyle="1" w:styleId="text5">
    <w:name w:val="text5"/>
    <w:basedOn w:val="Policepardfaut"/>
    <w:rsid w:val="00BD5B7F"/>
    <w:rPr>
      <w:sz w:val="24"/>
      <w:szCs w:val="24"/>
      <w:bdr w:val="none" w:sz="0" w:space="0" w:color="auto" w:frame="1"/>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fr-FR"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E-mail Signature" w:uiPriority="0"/>
    <w:lsdException w:name="HTML Typewriter"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4"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qFormat="1"/>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73"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9"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64"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5B7F"/>
    <w:pPr>
      <w:pBdr>
        <w:top w:val="nil"/>
        <w:left w:val="nil"/>
        <w:bottom w:val="nil"/>
        <w:right w:val="nil"/>
        <w:between w:val="nil"/>
        <w:bar w:val="nil"/>
      </w:pBdr>
      <w:spacing w:after="0"/>
      <w:jc w:val="left"/>
    </w:pPr>
    <w:rPr>
      <w:rFonts w:eastAsia="Arial Unicode MS" w:cs="Times New Roman"/>
      <w:sz w:val="24"/>
      <w:szCs w:val="24"/>
      <w:bdr w:val="nil"/>
      <w:lang w:val="en-US"/>
    </w:rPr>
  </w:style>
  <w:style w:type="paragraph" w:styleId="Titre1">
    <w:name w:val="heading 1"/>
    <w:basedOn w:val="Normal"/>
    <w:next w:val="Normal"/>
    <w:link w:val="Titre1Car"/>
    <w:qFormat/>
    <w:rsid w:val="00BD5B7F"/>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0"/>
    </w:pPr>
    <w:rPr>
      <w:rFonts w:eastAsia="Times New Roman"/>
      <w:b/>
      <w:szCs w:val="20"/>
      <w:bdr w:val="none" w:sz="0" w:space="0" w:color="auto"/>
      <w:lang w:val="en-GB"/>
    </w:rPr>
  </w:style>
  <w:style w:type="paragraph" w:styleId="Titre2">
    <w:name w:val="heading 2"/>
    <w:basedOn w:val="Normal"/>
    <w:next w:val="Normal"/>
    <w:link w:val="Titre2Car"/>
    <w:qFormat/>
    <w:rsid w:val="00BD5B7F"/>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pPr>
    <w:rPr>
      <w:rFonts w:eastAsia="Times New Roman"/>
      <w:b/>
      <w:sz w:val="28"/>
      <w:szCs w:val="20"/>
      <w:bdr w:val="none" w:sz="0" w:space="0" w:color="auto"/>
      <w:lang w:val="en-GB"/>
    </w:rPr>
  </w:style>
  <w:style w:type="paragraph" w:styleId="Titre3">
    <w:name w:val="heading 3"/>
    <w:basedOn w:val="Normal"/>
    <w:next w:val="Normal"/>
    <w:link w:val="Titre3Car"/>
    <w:unhideWhenUsed/>
    <w:qFormat/>
    <w:rsid w:val="00BD5B7F"/>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rsid w:val="00BD5B7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3"/>
    </w:pPr>
    <w:rPr>
      <w:rFonts w:asciiTheme="majorHAnsi" w:eastAsiaTheme="majorEastAsia" w:hAnsiTheme="majorHAnsi" w:cstheme="majorBidi"/>
      <w:b/>
      <w:bCs/>
      <w:i/>
      <w:iCs/>
      <w:snapToGrid w:val="0"/>
      <w:color w:val="4F81BD" w:themeColor="accent1"/>
      <w:sz w:val="22"/>
      <w:szCs w:val="22"/>
      <w:bdr w:val="none" w:sz="0" w:space="0" w:color="auto"/>
      <w:lang w:val="fr-FR" w:eastAsia="fr-FR"/>
    </w:rPr>
  </w:style>
  <w:style w:type="paragraph" w:styleId="Titre5">
    <w:name w:val="heading 5"/>
    <w:basedOn w:val="Normal"/>
    <w:next w:val="Normal"/>
    <w:link w:val="Titre5Car"/>
    <w:unhideWhenUsed/>
    <w:qFormat/>
    <w:rsid w:val="00BD5B7F"/>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9"/>
    <w:unhideWhenUsed/>
    <w:qFormat/>
    <w:rsid w:val="00BD5B7F"/>
    <w:pPr>
      <w:keepNext/>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5"/>
    </w:pPr>
    <w:rPr>
      <w:rFonts w:eastAsia="Times New Roman"/>
      <w:i/>
      <w:iCs/>
      <w:sz w:val="23"/>
      <w:szCs w:val="23"/>
      <w:bdr w:val="none" w:sz="0" w:space="0" w:color="auto"/>
      <w:lang w:val="en-GB"/>
    </w:rPr>
  </w:style>
  <w:style w:type="paragraph" w:styleId="Titre7">
    <w:name w:val="heading 7"/>
    <w:basedOn w:val="Normal"/>
    <w:next w:val="Normal"/>
    <w:link w:val="Titre7Car"/>
    <w:unhideWhenUsed/>
    <w:qFormat/>
    <w:rsid w:val="00BD5B7F"/>
    <w:pPr>
      <w:keepNext/>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6"/>
    </w:pPr>
    <w:rPr>
      <w:rFonts w:eastAsia="Times New Roman"/>
      <w:b/>
      <w:bCs/>
      <w:sz w:val="26"/>
      <w:szCs w:val="26"/>
      <w:bdr w:val="none" w:sz="0" w:space="0" w:color="auto"/>
      <w:lang w:val="en-GB"/>
    </w:rPr>
  </w:style>
  <w:style w:type="paragraph" w:styleId="Titre8">
    <w:name w:val="heading 8"/>
    <w:basedOn w:val="Normal"/>
    <w:next w:val="Normal"/>
    <w:link w:val="Titre8Car"/>
    <w:unhideWhenUsed/>
    <w:qFormat/>
    <w:rsid w:val="00BD5B7F"/>
    <w:pPr>
      <w:keepNext/>
      <w:framePr w:hSpace="180" w:wrap="notBeside" w:hAnchor="margin" w:y="-40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autoSpaceDN w:val="0"/>
      <w:adjustRightInd w:val="0"/>
      <w:ind w:right="-108"/>
      <w:outlineLvl w:val="7"/>
    </w:pPr>
    <w:rPr>
      <w:rFonts w:ascii="Arial" w:eastAsia="Times New Roman" w:hAnsi="Arial" w:cs="Arial"/>
      <w:bdr w:val="none" w:sz="0" w:space="0" w:color="auto"/>
      <w:lang w:val="en-GB"/>
    </w:rPr>
  </w:style>
  <w:style w:type="paragraph" w:styleId="Titre9">
    <w:name w:val="heading 9"/>
    <w:basedOn w:val="Normal"/>
    <w:next w:val="Normal"/>
    <w:link w:val="Titre9Car"/>
    <w:unhideWhenUsed/>
    <w:qFormat/>
    <w:rsid w:val="00BD5B7F"/>
    <w:pPr>
      <w:keepNext/>
      <w:framePr w:hSpace="180" w:wrap="notBeside" w:hAnchor="margin" w:y="-401"/>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057"/>
        <w:tab w:val="left" w:pos="-720"/>
        <w:tab w:val="left" w:pos="0"/>
        <w:tab w:val="left" w:pos="141"/>
        <w:tab w:val="left" w:pos="720"/>
        <w:tab w:val="left" w:pos="1440"/>
        <w:tab w:val="left" w:pos="2160"/>
        <w:tab w:val="left" w:pos="2880"/>
        <w:tab w:val="right" w:pos="5426"/>
      </w:tabs>
      <w:autoSpaceDE w:val="0"/>
      <w:autoSpaceDN w:val="0"/>
      <w:adjustRightInd w:val="0"/>
      <w:spacing w:line="300" w:lineRule="atLeast"/>
      <w:outlineLvl w:val="8"/>
    </w:pPr>
    <w:rPr>
      <w:rFonts w:ascii="Arial" w:eastAsia="Times New Roman" w:hAnsi="Arial" w:cs="Arial"/>
      <w:b/>
      <w:bCs/>
      <w:sz w:val="32"/>
      <w:szCs w:val="36"/>
      <w:bdr w:val="none" w:sz="0" w:space="0" w:color="auto"/>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D5B7F"/>
    <w:rPr>
      <w:rFonts w:eastAsia="Times New Roman" w:cs="Times New Roman"/>
      <w:b/>
      <w:sz w:val="24"/>
      <w:szCs w:val="20"/>
      <w:lang w:val="en-GB"/>
    </w:rPr>
  </w:style>
  <w:style w:type="character" w:customStyle="1" w:styleId="Titre2Car">
    <w:name w:val="Titre 2 Car"/>
    <w:basedOn w:val="Policepardfaut"/>
    <w:link w:val="Titre2"/>
    <w:rsid w:val="00BD5B7F"/>
    <w:rPr>
      <w:rFonts w:eastAsia="Times New Roman" w:cs="Times New Roman"/>
      <w:b/>
      <w:sz w:val="28"/>
      <w:szCs w:val="20"/>
      <w:lang w:val="en-GB"/>
    </w:rPr>
  </w:style>
  <w:style w:type="character" w:customStyle="1" w:styleId="Titre3Car">
    <w:name w:val="Titre 3 Car"/>
    <w:basedOn w:val="Policepardfaut"/>
    <w:link w:val="Titre3"/>
    <w:rsid w:val="00BD5B7F"/>
    <w:rPr>
      <w:rFonts w:asciiTheme="majorHAnsi" w:eastAsiaTheme="majorEastAsia" w:hAnsiTheme="majorHAnsi" w:cstheme="majorBidi"/>
      <w:b/>
      <w:bCs/>
      <w:color w:val="4F81BD" w:themeColor="accent1"/>
      <w:sz w:val="24"/>
      <w:szCs w:val="24"/>
      <w:bdr w:val="nil"/>
      <w:lang w:val="en-US"/>
    </w:rPr>
  </w:style>
  <w:style w:type="character" w:customStyle="1" w:styleId="Titre4Car">
    <w:name w:val="Titre 4 Car"/>
    <w:basedOn w:val="Policepardfaut"/>
    <w:link w:val="Titre4"/>
    <w:rsid w:val="00BD5B7F"/>
    <w:rPr>
      <w:rFonts w:asciiTheme="majorHAnsi" w:eastAsiaTheme="majorEastAsia" w:hAnsiTheme="majorHAnsi" w:cstheme="majorBidi"/>
      <w:b/>
      <w:bCs/>
      <w:i/>
      <w:iCs/>
      <w:snapToGrid w:val="0"/>
      <w:color w:val="4F81BD" w:themeColor="accent1"/>
      <w:lang w:eastAsia="fr-FR"/>
    </w:rPr>
  </w:style>
  <w:style w:type="character" w:customStyle="1" w:styleId="Titre5Car">
    <w:name w:val="Titre 5 Car"/>
    <w:basedOn w:val="Policepardfaut"/>
    <w:link w:val="Titre5"/>
    <w:rsid w:val="00BD5B7F"/>
    <w:rPr>
      <w:rFonts w:asciiTheme="majorHAnsi" w:eastAsiaTheme="majorEastAsia" w:hAnsiTheme="majorHAnsi" w:cstheme="majorBidi"/>
      <w:color w:val="243F60" w:themeColor="accent1" w:themeShade="7F"/>
      <w:sz w:val="24"/>
      <w:szCs w:val="24"/>
      <w:bdr w:val="nil"/>
      <w:lang w:val="en-US"/>
    </w:rPr>
  </w:style>
  <w:style w:type="character" w:customStyle="1" w:styleId="Titre6Car">
    <w:name w:val="Titre 6 Car"/>
    <w:basedOn w:val="Policepardfaut"/>
    <w:link w:val="Titre6"/>
    <w:uiPriority w:val="99"/>
    <w:rsid w:val="00BD5B7F"/>
    <w:rPr>
      <w:rFonts w:eastAsia="Times New Roman" w:cs="Times New Roman"/>
      <w:i/>
      <w:iCs/>
      <w:sz w:val="23"/>
      <w:szCs w:val="23"/>
      <w:lang w:val="en-GB"/>
    </w:rPr>
  </w:style>
  <w:style w:type="character" w:customStyle="1" w:styleId="Titre7Car">
    <w:name w:val="Titre 7 Car"/>
    <w:basedOn w:val="Policepardfaut"/>
    <w:link w:val="Titre7"/>
    <w:rsid w:val="00BD5B7F"/>
    <w:rPr>
      <w:rFonts w:eastAsia="Times New Roman" w:cs="Times New Roman"/>
      <w:b/>
      <w:bCs/>
      <w:sz w:val="26"/>
      <w:szCs w:val="26"/>
      <w:lang w:val="en-GB"/>
    </w:rPr>
  </w:style>
  <w:style w:type="character" w:customStyle="1" w:styleId="Titre8Car">
    <w:name w:val="Titre 8 Car"/>
    <w:basedOn w:val="Policepardfaut"/>
    <w:link w:val="Titre8"/>
    <w:rsid w:val="00BD5B7F"/>
    <w:rPr>
      <w:rFonts w:ascii="Arial" w:eastAsia="Times New Roman" w:hAnsi="Arial" w:cs="Arial"/>
      <w:sz w:val="24"/>
      <w:szCs w:val="24"/>
      <w:lang w:val="en-GB"/>
    </w:rPr>
  </w:style>
  <w:style w:type="character" w:customStyle="1" w:styleId="Titre9Car">
    <w:name w:val="Titre 9 Car"/>
    <w:basedOn w:val="Policepardfaut"/>
    <w:link w:val="Titre9"/>
    <w:rsid w:val="00BD5B7F"/>
    <w:rPr>
      <w:rFonts w:ascii="Arial" w:eastAsia="Times New Roman" w:hAnsi="Arial" w:cs="Arial"/>
      <w:b/>
      <w:bCs/>
      <w:sz w:val="32"/>
      <w:szCs w:val="36"/>
      <w:lang w:val="en-GB"/>
    </w:rPr>
  </w:style>
  <w:style w:type="character" w:styleId="Lienhypertexte">
    <w:name w:val="Hyperlink"/>
    <w:rsid w:val="00BD5B7F"/>
    <w:rPr>
      <w:u w:val="single"/>
    </w:rPr>
  </w:style>
  <w:style w:type="table" w:customStyle="1" w:styleId="TableNormal1">
    <w:name w:val="Table Normal1"/>
    <w:rsid w:val="00BD5B7F"/>
    <w:pPr>
      <w:pBdr>
        <w:top w:val="nil"/>
        <w:left w:val="nil"/>
        <w:bottom w:val="nil"/>
        <w:right w:val="nil"/>
        <w:between w:val="nil"/>
        <w:bar w:val="nil"/>
      </w:pBdr>
      <w:spacing w:after="0"/>
      <w:jc w:val="left"/>
    </w:pPr>
    <w:rPr>
      <w:rFonts w:eastAsia="Arial Unicode MS" w:cs="Times New Roman"/>
      <w:sz w:val="20"/>
      <w:szCs w:val="20"/>
      <w:bdr w:val="nil"/>
      <w:lang w:eastAsia="fr-FR"/>
    </w:rPr>
    <w:tblPr>
      <w:tblInd w:w="0" w:type="dxa"/>
      <w:tblCellMar>
        <w:top w:w="0" w:type="dxa"/>
        <w:left w:w="0" w:type="dxa"/>
        <w:bottom w:w="0" w:type="dxa"/>
        <w:right w:w="0" w:type="dxa"/>
      </w:tblCellMar>
    </w:tblPr>
  </w:style>
  <w:style w:type="paragraph" w:styleId="En-tte">
    <w:name w:val="header"/>
    <w:link w:val="En-tteCar"/>
    <w:rsid w:val="00BD5B7F"/>
    <w:pPr>
      <w:pBdr>
        <w:top w:val="nil"/>
        <w:left w:val="nil"/>
        <w:bottom w:val="nil"/>
        <w:right w:val="nil"/>
        <w:between w:val="nil"/>
        <w:bar w:val="nil"/>
      </w:pBdr>
      <w:tabs>
        <w:tab w:val="right" w:pos="9020"/>
      </w:tabs>
      <w:spacing w:after="0"/>
      <w:jc w:val="left"/>
    </w:pPr>
    <w:rPr>
      <w:rFonts w:ascii="Helvetica" w:eastAsia="Helvetica" w:hAnsi="Helvetica" w:cs="Helvetica"/>
      <w:color w:val="000000"/>
      <w:sz w:val="24"/>
      <w:szCs w:val="24"/>
      <w:bdr w:val="nil"/>
      <w:lang w:eastAsia="fr-FR"/>
    </w:rPr>
  </w:style>
  <w:style w:type="character" w:customStyle="1" w:styleId="En-tteCar">
    <w:name w:val="En-tête Car"/>
    <w:basedOn w:val="Policepardfaut"/>
    <w:link w:val="En-tte"/>
    <w:rsid w:val="00BD5B7F"/>
    <w:rPr>
      <w:rFonts w:ascii="Helvetica" w:eastAsia="Helvetica" w:hAnsi="Helvetica" w:cs="Helvetica"/>
      <w:color w:val="000000"/>
      <w:sz w:val="24"/>
      <w:szCs w:val="24"/>
      <w:bdr w:val="nil"/>
      <w:lang w:eastAsia="fr-FR"/>
    </w:rPr>
  </w:style>
  <w:style w:type="paragraph" w:styleId="Pieddepage">
    <w:name w:val="footer"/>
    <w:link w:val="PieddepageCar"/>
    <w:rsid w:val="00BD5B7F"/>
    <w:pPr>
      <w:widowControl w:val="0"/>
      <w:pBdr>
        <w:top w:val="nil"/>
        <w:left w:val="nil"/>
        <w:bottom w:val="nil"/>
        <w:right w:val="nil"/>
        <w:between w:val="nil"/>
        <w:bar w:val="nil"/>
      </w:pBdr>
      <w:tabs>
        <w:tab w:val="center" w:pos="4152"/>
        <w:tab w:val="right" w:pos="8305"/>
        <w:tab w:val="left" w:pos="8640"/>
      </w:tabs>
      <w:suppressAutoHyphens/>
      <w:spacing w:after="0"/>
    </w:pPr>
    <w:rPr>
      <w:rFonts w:eastAsia="Times New Roman" w:cs="Times New Roman"/>
      <w:color w:val="000000"/>
      <w:sz w:val="24"/>
      <w:szCs w:val="24"/>
      <w:u w:color="000000"/>
      <w:bdr w:val="nil"/>
      <w:lang w:val="en-US" w:eastAsia="fr-FR"/>
    </w:rPr>
  </w:style>
  <w:style w:type="character" w:customStyle="1" w:styleId="PieddepageCar">
    <w:name w:val="Pied de page Car"/>
    <w:basedOn w:val="Policepardfaut"/>
    <w:link w:val="Pieddepage"/>
    <w:rsid w:val="00BD5B7F"/>
    <w:rPr>
      <w:rFonts w:eastAsia="Times New Roman" w:cs="Times New Roman"/>
      <w:color w:val="000000"/>
      <w:sz w:val="24"/>
      <w:szCs w:val="24"/>
      <w:u w:color="000000"/>
      <w:bdr w:val="nil"/>
      <w:lang w:val="en-US" w:eastAsia="fr-FR"/>
    </w:rPr>
  </w:style>
  <w:style w:type="paragraph" w:styleId="Notedebasdepage">
    <w:name w:val="footnote text"/>
    <w:aliases w:val="ADB,ADB1,ADB2,Boston 10,FOOTNOTES,FOOTNOTES1,FOOTNOTES2,Font: Geneva 9,Fotnotstext Char,Geneva 9,f,fn,fn1,fn2,fn3,footnote text1,footnote text2,footnote text3,ft,ft Char,single space,single space1,single space2,single space3"/>
    <w:link w:val="NotedebasdepageCar"/>
    <w:rsid w:val="00BD5B7F"/>
    <w:pPr>
      <w:widowControl w:val="0"/>
      <w:pBdr>
        <w:top w:val="nil"/>
        <w:left w:val="nil"/>
        <w:bottom w:val="nil"/>
        <w:right w:val="nil"/>
        <w:between w:val="nil"/>
        <w:bar w:val="nil"/>
      </w:pBdr>
      <w:suppressAutoHyphens/>
      <w:spacing w:after="0"/>
    </w:pPr>
    <w:rPr>
      <w:rFonts w:ascii="Courier New" w:eastAsia="Courier New" w:hAnsi="Courier New" w:cs="Courier New"/>
      <w:color w:val="000000"/>
      <w:sz w:val="20"/>
      <w:szCs w:val="20"/>
      <w:u w:color="000000"/>
      <w:bdr w:val="nil"/>
      <w:lang w:val="en-US" w:eastAsia="fr-FR"/>
    </w:rPr>
  </w:style>
  <w:style w:type="character" w:customStyle="1" w:styleId="NotedebasdepageCar">
    <w:name w:val="Note de bas de page Car"/>
    <w:aliases w:val="ADB Car,ADB1 Car,ADB2 Car,Boston 10 Car,FOOTNOTES Car,FOOTNOTES1 Car,FOOTNOTES2 Car,Font: Geneva 9 Car,Fotnotstext Char Car,Geneva 9 Car,f Car,fn Car,fn1 Car,fn2 Car,fn3 Car,footnote text1 Car,footnote text2 Car,ft Car"/>
    <w:basedOn w:val="Policepardfaut"/>
    <w:link w:val="Notedebasdepage"/>
    <w:rsid w:val="00BD5B7F"/>
    <w:rPr>
      <w:rFonts w:ascii="Courier New" w:eastAsia="Courier New" w:hAnsi="Courier New" w:cs="Courier New"/>
      <w:color w:val="000000"/>
      <w:sz w:val="20"/>
      <w:szCs w:val="20"/>
      <w:u w:color="000000"/>
      <w:bdr w:val="nil"/>
      <w:lang w:val="en-US" w:eastAsia="fr-FR"/>
    </w:rPr>
  </w:style>
  <w:style w:type="paragraph" w:customStyle="1" w:styleId="Corps">
    <w:name w:val="Corps"/>
    <w:rsid w:val="00BD5B7F"/>
    <w:pPr>
      <w:pBdr>
        <w:top w:val="nil"/>
        <w:left w:val="nil"/>
        <w:bottom w:val="nil"/>
        <w:right w:val="nil"/>
        <w:between w:val="nil"/>
        <w:bar w:val="nil"/>
      </w:pBdr>
      <w:spacing w:after="0"/>
      <w:jc w:val="left"/>
    </w:pPr>
    <w:rPr>
      <w:rFonts w:eastAsia="Times New Roman" w:cs="Times New Roman"/>
      <w:color w:val="000000"/>
      <w:u w:color="000000"/>
      <w:bdr w:val="nil"/>
      <w:lang w:eastAsia="fr-FR"/>
    </w:rPr>
  </w:style>
  <w:style w:type="paragraph" w:customStyle="1" w:styleId="traduction">
    <w:name w:val="traduction"/>
    <w:rsid w:val="00BD5B7F"/>
    <w:pPr>
      <w:pBdr>
        <w:top w:val="nil"/>
        <w:left w:val="nil"/>
        <w:bottom w:val="nil"/>
        <w:right w:val="nil"/>
        <w:between w:val="nil"/>
        <w:bar w:val="nil"/>
      </w:pBdr>
      <w:spacing w:after="0"/>
      <w:jc w:val="left"/>
    </w:pPr>
    <w:rPr>
      <w:rFonts w:eastAsia="Arial Unicode MS" w:hAnsi="Arial Unicode MS" w:cs="Arial Unicode MS"/>
      <w:color w:val="000000"/>
      <w:sz w:val="24"/>
      <w:szCs w:val="24"/>
      <w:u w:color="000000"/>
      <w:bdr w:val="nil"/>
      <w:lang w:eastAsia="fr-FR"/>
    </w:rPr>
  </w:style>
  <w:style w:type="numbering" w:customStyle="1" w:styleId="List0">
    <w:name w:val="List 0"/>
    <w:basedOn w:val="Style3import"/>
    <w:rsid w:val="00BD5B7F"/>
    <w:pPr>
      <w:numPr>
        <w:numId w:val="27"/>
      </w:numPr>
    </w:pPr>
  </w:style>
  <w:style w:type="numbering" w:customStyle="1" w:styleId="Style3import">
    <w:name w:val="Style 3 importé"/>
    <w:rsid w:val="00BD5B7F"/>
  </w:style>
  <w:style w:type="numbering" w:customStyle="1" w:styleId="List1">
    <w:name w:val="List 1"/>
    <w:basedOn w:val="Style4import"/>
    <w:rsid w:val="00BD5B7F"/>
    <w:pPr>
      <w:numPr>
        <w:numId w:val="1"/>
      </w:numPr>
    </w:pPr>
  </w:style>
  <w:style w:type="numbering" w:customStyle="1" w:styleId="Style4import">
    <w:name w:val="Style 4 importé"/>
    <w:rsid w:val="00BD5B7F"/>
  </w:style>
  <w:style w:type="numbering" w:customStyle="1" w:styleId="Liste21">
    <w:name w:val="Liste 21"/>
    <w:basedOn w:val="Style5import"/>
    <w:rsid w:val="00BD5B7F"/>
    <w:pPr>
      <w:numPr>
        <w:numId w:val="2"/>
      </w:numPr>
    </w:pPr>
  </w:style>
  <w:style w:type="numbering" w:customStyle="1" w:styleId="Style5import">
    <w:name w:val="Style 5 importé"/>
    <w:rsid w:val="00BD5B7F"/>
  </w:style>
  <w:style w:type="paragraph" w:styleId="Retraitcorpsdetexte2">
    <w:name w:val="Body Text Indent 2"/>
    <w:link w:val="Retraitcorpsdetexte2Car"/>
    <w:rsid w:val="00BD5B7F"/>
    <w:pPr>
      <w:widowControl w:val="0"/>
      <w:pBdr>
        <w:top w:val="nil"/>
        <w:left w:val="nil"/>
        <w:bottom w:val="nil"/>
        <w:right w:val="nil"/>
        <w:between w:val="nil"/>
        <w:bar w:val="nil"/>
      </w:pBdr>
      <w:tabs>
        <w:tab w:val="left" w:pos="1440"/>
      </w:tabs>
      <w:spacing w:after="0"/>
      <w:ind w:left="426" w:hanging="426"/>
    </w:pPr>
    <w:rPr>
      <w:rFonts w:eastAsia="Times New Roman" w:cs="Times New Roman"/>
      <w:color w:val="000000"/>
      <w:sz w:val="24"/>
      <w:szCs w:val="24"/>
      <w:u w:color="000000"/>
      <w:bdr w:val="nil"/>
      <w:lang w:eastAsia="fr-FR"/>
    </w:rPr>
  </w:style>
  <w:style w:type="character" w:customStyle="1" w:styleId="Retraitcorpsdetexte2Car">
    <w:name w:val="Retrait corps de texte 2 Car"/>
    <w:basedOn w:val="Policepardfaut"/>
    <w:link w:val="Retraitcorpsdetexte2"/>
    <w:rsid w:val="00BD5B7F"/>
    <w:rPr>
      <w:rFonts w:eastAsia="Times New Roman" w:cs="Times New Roman"/>
      <w:color w:val="000000"/>
      <w:sz w:val="24"/>
      <w:szCs w:val="24"/>
      <w:u w:color="000000"/>
      <w:bdr w:val="nil"/>
      <w:lang w:eastAsia="fr-FR"/>
    </w:rPr>
  </w:style>
  <w:style w:type="paragraph" w:styleId="Textedebulles">
    <w:name w:val="Balloon Text"/>
    <w:basedOn w:val="Normal"/>
    <w:link w:val="TextedebullesCar"/>
    <w:semiHidden/>
    <w:unhideWhenUsed/>
    <w:rsid w:val="00BD5B7F"/>
    <w:rPr>
      <w:rFonts w:ascii="Tahoma" w:hAnsi="Tahoma" w:cs="Tahoma"/>
      <w:sz w:val="16"/>
      <w:szCs w:val="16"/>
    </w:rPr>
  </w:style>
  <w:style w:type="character" w:customStyle="1" w:styleId="TextedebullesCar">
    <w:name w:val="Texte de bulles Car"/>
    <w:basedOn w:val="Policepardfaut"/>
    <w:link w:val="Textedebulles"/>
    <w:semiHidden/>
    <w:rsid w:val="00BD5B7F"/>
    <w:rPr>
      <w:rFonts w:ascii="Tahoma" w:eastAsia="Arial Unicode MS" w:hAnsi="Tahoma" w:cs="Tahoma"/>
      <w:sz w:val="16"/>
      <w:szCs w:val="16"/>
      <w:bdr w:val="nil"/>
      <w:lang w:val="en-US"/>
    </w:rPr>
  </w:style>
  <w:style w:type="paragraph" w:styleId="Paragraphedeliste">
    <w:name w:val="List Paragraph"/>
    <w:basedOn w:val="Normal"/>
    <w:link w:val="ParagraphedelisteCar"/>
    <w:uiPriority w:val="34"/>
    <w:qFormat/>
    <w:rsid w:val="00BD5B7F"/>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en-GB" w:eastAsia="en-GB"/>
    </w:rPr>
  </w:style>
  <w:style w:type="table" w:styleId="Grilledutableau">
    <w:name w:val="Table Grid"/>
    <w:basedOn w:val="TableauNormal"/>
    <w:uiPriority w:val="59"/>
    <w:rsid w:val="00BD5B7F"/>
    <w:pPr>
      <w:spacing w:after="0"/>
      <w:jc w:val="left"/>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rsid w:val="00BD5B7F"/>
    <w:pPr>
      <w:pBdr>
        <w:top w:val="none" w:sz="0" w:space="0" w:color="auto"/>
        <w:left w:val="none" w:sz="0" w:space="0" w:color="auto"/>
        <w:bottom w:val="none" w:sz="0" w:space="0" w:color="auto"/>
        <w:right w:val="none" w:sz="0" w:space="0" w:color="auto"/>
        <w:between w:val="none" w:sz="0" w:space="0" w:color="auto"/>
        <w:bar w:val="none" w:sz="0" w:color="auto"/>
      </w:pBdr>
      <w:spacing w:after="240"/>
      <w:ind w:left="482"/>
      <w:jc w:val="both"/>
    </w:pPr>
    <w:rPr>
      <w:rFonts w:eastAsia="Times New Roman"/>
      <w:szCs w:val="20"/>
      <w:bdr w:val="none" w:sz="0" w:space="0" w:color="auto"/>
      <w:lang w:val="en-GB" w:eastAsia="en-GB"/>
    </w:rPr>
  </w:style>
  <w:style w:type="paragraph" w:styleId="NormalWeb">
    <w:name w:val="Normal (Web)"/>
    <w:basedOn w:val="Normal"/>
    <w:uiPriority w:val="99"/>
    <w:rsid w:val="00BD5B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Verdana" w:eastAsia="Times New Roman" w:hAnsi="Verdana"/>
      <w:sz w:val="14"/>
      <w:szCs w:val="14"/>
      <w:bdr w:val="none" w:sz="0" w:space="0" w:color="auto"/>
    </w:rPr>
  </w:style>
  <w:style w:type="paragraph" w:styleId="Corpsdetexte">
    <w:name w:val="Body Text"/>
    <w:basedOn w:val="Normal"/>
    <w:link w:val="CorpsdetexteCar"/>
    <w:unhideWhenUsed/>
    <w:rsid w:val="00BD5B7F"/>
    <w:pPr>
      <w:spacing w:after="120"/>
    </w:pPr>
  </w:style>
  <w:style w:type="character" w:customStyle="1" w:styleId="CorpsdetexteCar">
    <w:name w:val="Corps de texte Car"/>
    <w:basedOn w:val="Policepardfaut"/>
    <w:link w:val="Corpsdetexte"/>
    <w:rsid w:val="00BD5B7F"/>
    <w:rPr>
      <w:rFonts w:eastAsia="Arial Unicode MS" w:cs="Times New Roman"/>
      <w:sz w:val="24"/>
      <w:szCs w:val="24"/>
      <w:bdr w:val="nil"/>
      <w:lang w:val="en-US"/>
    </w:rPr>
  </w:style>
  <w:style w:type="character" w:customStyle="1" w:styleId="libtrombi11">
    <w:name w:val="libtrombi11"/>
    <w:basedOn w:val="Policepardfaut"/>
    <w:rsid w:val="00BD5B7F"/>
  </w:style>
  <w:style w:type="paragraph" w:styleId="Retraitcorpsdetexte3">
    <w:name w:val="Body Text Indent 3"/>
    <w:basedOn w:val="Normal"/>
    <w:link w:val="Retraitcorpsdetexte3Car"/>
    <w:unhideWhenUsed/>
    <w:rsid w:val="00BD5B7F"/>
    <w:pPr>
      <w:spacing w:after="120"/>
      <w:ind w:left="283"/>
    </w:pPr>
    <w:rPr>
      <w:sz w:val="16"/>
      <w:szCs w:val="16"/>
    </w:rPr>
  </w:style>
  <w:style w:type="character" w:customStyle="1" w:styleId="Retraitcorpsdetexte3Car">
    <w:name w:val="Retrait corps de texte 3 Car"/>
    <w:basedOn w:val="Policepardfaut"/>
    <w:link w:val="Retraitcorpsdetexte3"/>
    <w:rsid w:val="00BD5B7F"/>
    <w:rPr>
      <w:rFonts w:eastAsia="Arial Unicode MS" w:cs="Times New Roman"/>
      <w:sz w:val="16"/>
      <w:szCs w:val="16"/>
      <w:bdr w:val="nil"/>
      <w:lang w:val="en-US"/>
    </w:rPr>
  </w:style>
  <w:style w:type="character" w:styleId="Appelnotedebasdep">
    <w:name w:val="footnote reference"/>
    <w:aliases w:val=" BVI fnr,-E Fußnotenzeichen,16 Point,BVI fnr,E FNZ,EN Footnote Reference,EN Footnote text,Exposant 3 Point,Footnote,Footnote reference number,Footnote symbol,Ref,SUPERS,Times 10 Point,de nota al pie,ftref,note TESI,number,stylish"/>
    <w:basedOn w:val="Policepardfaut"/>
    <w:rsid w:val="00BD5B7F"/>
    <w:rPr>
      <w:vertAlign w:val="superscript"/>
    </w:rPr>
  </w:style>
  <w:style w:type="paragraph" w:customStyle="1" w:styleId="Retrait">
    <w:name w:val="Retrait"/>
    <w:rsid w:val="00BD5B7F"/>
    <w:pPr>
      <w:widowControl w:val="0"/>
      <w:tabs>
        <w:tab w:val="left" w:pos="-720"/>
      </w:tabs>
      <w:suppressAutoHyphens/>
      <w:spacing w:after="0"/>
    </w:pPr>
    <w:rPr>
      <w:rFonts w:ascii="Palatino" w:eastAsia="Times New Roman" w:hAnsi="Palatino" w:cs="Times New Roman"/>
      <w:snapToGrid w:val="0"/>
      <w:spacing w:val="-2"/>
      <w:szCs w:val="20"/>
    </w:rPr>
  </w:style>
  <w:style w:type="paragraph" w:customStyle="1" w:styleId="Paragraphedeliste1">
    <w:name w:val="Paragraphe de liste1"/>
    <w:rsid w:val="00BD5B7F"/>
    <w:pPr>
      <w:suppressAutoHyphens/>
      <w:spacing w:after="0"/>
      <w:ind w:left="720"/>
      <w:jc w:val="left"/>
    </w:pPr>
    <w:rPr>
      <w:rFonts w:eastAsia="Arial Unicode MS" w:cs="Arial Unicode MS"/>
      <w:color w:val="000000"/>
      <w:kern w:val="2"/>
      <w:sz w:val="24"/>
      <w:szCs w:val="24"/>
      <w:lang w:eastAsia="fr-FR" w:bidi="fr-FR"/>
    </w:rPr>
  </w:style>
  <w:style w:type="character" w:customStyle="1" w:styleId="date1">
    <w:name w:val="date1"/>
    <w:basedOn w:val="Policepardfaut"/>
    <w:rsid w:val="00BD5B7F"/>
  </w:style>
  <w:style w:type="character" w:styleId="Numrodepage">
    <w:name w:val="page number"/>
    <w:basedOn w:val="Policepardfaut"/>
    <w:rsid w:val="00BD5B7F"/>
  </w:style>
  <w:style w:type="paragraph" w:customStyle="1" w:styleId="Level2Number">
    <w:name w:val="Level 2 Number"/>
    <w:basedOn w:val="Corpsdetexte"/>
    <w:uiPriority w:val="29"/>
    <w:rsid w:val="00BD5B7F"/>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exact"/>
      <w:jc w:val="both"/>
    </w:pPr>
    <w:rPr>
      <w:rFonts w:ascii="Calibri" w:eastAsia="Times New Roman" w:hAnsi="Calibri"/>
      <w:sz w:val="22"/>
      <w:bdr w:val="none" w:sz="0" w:space="0" w:color="auto"/>
      <w:lang w:val="en-GB" w:eastAsia="en-GB"/>
    </w:rPr>
  </w:style>
  <w:style w:type="paragraph" w:customStyle="1" w:styleId="Default">
    <w:name w:val="Default"/>
    <w:rsid w:val="00BD5B7F"/>
    <w:pPr>
      <w:autoSpaceDE w:val="0"/>
      <w:autoSpaceDN w:val="0"/>
      <w:adjustRightInd w:val="0"/>
      <w:spacing w:after="0"/>
      <w:jc w:val="left"/>
    </w:pPr>
    <w:rPr>
      <w:rFonts w:eastAsia="Arial Unicode MS" w:cs="Times New Roman"/>
      <w:color w:val="000000"/>
      <w:sz w:val="24"/>
      <w:szCs w:val="24"/>
      <w:bdr w:val="nil"/>
      <w:lang w:val="en-GB" w:eastAsia="fr-FR"/>
    </w:rPr>
  </w:style>
  <w:style w:type="character" w:customStyle="1" w:styleId="normal10">
    <w:name w:val="normal10"/>
    <w:basedOn w:val="Policepardfaut"/>
    <w:rsid w:val="00BD5B7F"/>
  </w:style>
  <w:style w:type="character" w:styleId="lev">
    <w:name w:val="Strong"/>
    <w:basedOn w:val="Policepardfaut"/>
    <w:qFormat/>
    <w:rsid w:val="00BD5B7F"/>
    <w:rPr>
      <w:b/>
      <w:bCs/>
    </w:rPr>
  </w:style>
  <w:style w:type="character" w:customStyle="1" w:styleId="ParagraphedelisteCar">
    <w:name w:val="Paragraphe de liste Car"/>
    <w:basedOn w:val="Policepardfaut"/>
    <w:link w:val="Paragraphedeliste"/>
    <w:uiPriority w:val="34"/>
    <w:locked/>
    <w:rsid w:val="00BD5B7F"/>
    <w:rPr>
      <w:rFonts w:eastAsia="Times New Roman" w:cs="Times New Roman"/>
      <w:sz w:val="24"/>
      <w:szCs w:val="24"/>
      <w:lang w:val="en-GB" w:eastAsia="en-GB"/>
    </w:rPr>
  </w:style>
  <w:style w:type="character" w:customStyle="1" w:styleId="apple-style-span">
    <w:name w:val="apple-style-span"/>
    <w:basedOn w:val="Policepardfaut"/>
    <w:rsid w:val="00BD5B7F"/>
  </w:style>
  <w:style w:type="paragraph" w:styleId="Commentaire">
    <w:name w:val="annotation text"/>
    <w:basedOn w:val="Normal"/>
    <w:link w:val="CommentaireCar"/>
    <w:uiPriority w:val="99"/>
    <w:unhideWhenUsed/>
    <w:rsid w:val="00BD5B7F"/>
    <w:rPr>
      <w:sz w:val="20"/>
      <w:szCs w:val="20"/>
    </w:rPr>
  </w:style>
  <w:style w:type="character" w:customStyle="1" w:styleId="CommentaireCar">
    <w:name w:val="Commentaire Car"/>
    <w:basedOn w:val="Policepardfaut"/>
    <w:link w:val="Commentaire"/>
    <w:uiPriority w:val="99"/>
    <w:rsid w:val="00BD5B7F"/>
    <w:rPr>
      <w:rFonts w:eastAsia="Arial Unicode MS" w:cs="Times New Roman"/>
      <w:sz w:val="20"/>
      <w:szCs w:val="20"/>
      <w:bdr w:val="nil"/>
      <w:lang w:val="en-US"/>
    </w:rPr>
  </w:style>
  <w:style w:type="paragraph" w:styleId="Objetducommentaire">
    <w:name w:val="annotation subject"/>
    <w:basedOn w:val="Commentaire"/>
    <w:next w:val="Commentaire"/>
    <w:link w:val="ObjetducommentaireCar"/>
    <w:uiPriority w:val="99"/>
    <w:rsid w:val="00BD5B7F"/>
    <w:pPr>
      <w:pBdr>
        <w:top w:val="none" w:sz="0" w:space="0" w:color="auto"/>
        <w:left w:val="none" w:sz="0" w:space="0" w:color="auto"/>
        <w:bottom w:val="none" w:sz="0" w:space="0" w:color="auto"/>
        <w:right w:val="none" w:sz="0" w:space="0" w:color="auto"/>
        <w:between w:val="none" w:sz="0" w:space="0" w:color="auto"/>
        <w:bar w:val="none" w:sz="0" w:color="auto"/>
      </w:pBdr>
    </w:pPr>
    <w:rPr>
      <w:rFonts w:ascii="Verdana" w:eastAsia="Times New Roman" w:hAnsi="Verdana"/>
      <w:b/>
      <w:bCs/>
      <w:bdr w:val="none" w:sz="0" w:space="0" w:color="auto"/>
      <w:lang w:val="fr-FR" w:eastAsia="fr-FR"/>
    </w:rPr>
  </w:style>
  <w:style w:type="character" w:customStyle="1" w:styleId="ObjetducommentaireCar">
    <w:name w:val="Objet du commentaire Car"/>
    <w:basedOn w:val="CommentaireCar"/>
    <w:link w:val="Objetducommentaire"/>
    <w:uiPriority w:val="99"/>
    <w:rsid w:val="00BD5B7F"/>
    <w:rPr>
      <w:rFonts w:ascii="Verdana" w:eastAsia="Times New Roman" w:hAnsi="Verdana" w:cs="Times New Roman"/>
      <w:b/>
      <w:bCs/>
      <w:sz w:val="20"/>
      <w:szCs w:val="20"/>
      <w:bdr w:val="nil"/>
      <w:lang w:val="en-US" w:eastAsia="fr-FR"/>
    </w:rPr>
  </w:style>
  <w:style w:type="paragraph" w:styleId="Retraitcorpsdetexte">
    <w:name w:val="Body Text Indent"/>
    <w:basedOn w:val="Normal"/>
    <w:link w:val="RetraitcorpsdetexteCar"/>
    <w:unhideWhenUsed/>
    <w:rsid w:val="00BD5B7F"/>
    <w:pPr>
      <w:spacing w:after="120"/>
      <w:ind w:left="283"/>
    </w:pPr>
  </w:style>
  <w:style w:type="character" w:customStyle="1" w:styleId="RetraitcorpsdetexteCar">
    <w:name w:val="Retrait corps de texte Car"/>
    <w:basedOn w:val="Policepardfaut"/>
    <w:link w:val="Retraitcorpsdetexte"/>
    <w:rsid w:val="00BD5B7F"/>
    <w:rPr>
      <w:rFonts w:eastAsia="Arial Unicode MS" w:cs="Times New Roman"/>
      <w:sz w:val="24"/>
      <w:szCs w:val="24"/>
      <w:bdr w:val="nil"/>
      <w:lang w:val="en-US"/>
    </w:rPr>
  </w:style>
  <w:style w:type="character" w:styleId="Accentuation">
    <w:name w:val="Emphasis"/>
    <w:uiPriority w:val="20"/>
    <w:qFormat/>
    <w:rsid w:val="00BD5B7F"/>
    <w:rPr>
      <w:rFonts w:ascii="Times New Roman" w:hAnsi="Times New Roman" w:cs="Times New Roman" w:hint="default"/>
      <w:i/>
      <w:iCs/>
    </w:rPr>
  </w:style>
  <w:style w:type="paragraph" w:styleId="TM1">
    <w:name w:val="toc 1"/>
    <w:basedOn w:val="Normal"/>
    <w:next w:val="Normal"/>
    <w:autoRedefine/>
    <w:uiPriority w:val="39"/>
    <w:unhideWhenUsed/>
    <w:qFormat/>
    <w:rsid w:val="00BD5B7F"/>
    <w:pPr>
      <w:pBdr>
        <w:top w:val="none" w:sz="0" w:space="0" w:color="auto"/>
        <w:left w:val="none" w:sz="0" w:space="0" w:color="auto"/>
        <w:bottom w:val="none" w:sz="0" w:space="0" w:color="auto"/>
        <w:right w:val="none" w:sz="0" w:space="0" w:color="auto"/>
        <w:between w:val="none" w:sz="0" w:space="0" w:color="auto"/>
        <w:bar w:val="none" w:sz="0" w:color="auto"/>
      </w:pBdr>
      <w:tabs>
        <w:tab w:val="left" w:pos="9090"/>
        <w:tab w:val="left" w:pos="9360"/>
      </w:tabs>
      <w:spacing w:after="100" w:line="276" w:lineRule="auto"/>
    </w:pPr>
    <w:rPr>
      <w:rFonts w:ascii="Calibri" w:eastAsia="Calibri" w:hAnsi="Calibri"/>
      <w:noProof/>
      <w:sz w:val="22"/>
      <w:szCs w:val="22"/>
      <w:bdr w:val="none" w:sz="0" w:space="0" w:color="auto"/>
      <w:lang w:val="en-GB"/>
    </w:rPr>
  </w:style>
  <w:style w:type="paragraph" w:styleId="TM2">
    <w:name w:val="toc 2"/>
    <w:basedOn w:val="Normal"/>
    <w:next w:val="Normal"/>
    <w:autoRedefine/>
    <w:uiPriority w:val="39"/>
    <w:unhideWhenUsed/>
    <w:qFormat/>
    <w:rsid w:val="00BD5B7F"/>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360"/>
      </w:tabs>
      <w:spacing w:after="100" w:line="276" w:lineRule="auto"/>
      <w:ind w:left="630" w:hanging="540"/>
      <w:jc w:val="center"/>
    </w:pPr>
    <w:rPr>
      <w:rFonts w:eastAsia="Calibri"/>
      <w:b/>
      <w:smallCaps/>
      <w:bdr w:val="none" w:sz="0" w:space="0" w:color="auto"/>
      <w:lang w:val="en-GB"/>
    </w:rPr>
  </w:style>
  <w:style w:type="paragraph" w:styleId="TM3">
    <w:name w:val="toc 3"/>
    <w:basedOn w:val="Normal"/>
    <w:next w:val="Normal"/>
    <w:autoRedefine/>
    <w:uiPriority w:val="39"/>
    <w:unhideWhenUsed/>
    <w:qFormat/>
    <w:rsid w:val="00BD5B7F"/>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39"/>
      </w:tabs>
      <w:spacing w:after="100" w:line="276" w:lineRule="auto"/>
      <w:ind w:left="440"/>
      <w:jc w:val="both"/>
    </w:pPr>
    <w:rPr>
      <w:rFonts w:ascii="Calibri" w:eastAsia="Calibri" w:hAnsi="Calibri"/>
      <w:sz w:val="22"/>
      <w:szCs w:val="22"/>
      <w:bdr w:val="none" w:sz="0" w:space="0" w:color="auto"/>
      <w:lang w:val="en-GB"/>
    </w:rPr>
  </w:style>
  <w:style w:type="paragraph" w:styleId="TM4">
    <w:name w:val="toc 4"/>
    <w:basedOn w:val="Normal"/>
    <w:next w:val="Normal"/>
    <w:autoRedefine/>
    <w:uiPriority w:val="39"/>
    <w:unhideWhenUsed/>
    <w:rsid w:val="00BD5B7F"/>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39"/>
      </w:tabs>
      <w:spacing w:after="100" w:line="276" w:lineRule="auto"/>
      <w:ind w:left="660"/>
    </w:pPr>
    <w:rPr>
      <w:rFonts w:ascii="Calibri" w:eastAsia="Calibri" w:hAnsi="Calibri"/>
      <w:sz w:val="22"/>
      <w:szCs w:val="22"/>
      <w:bdr w:val="none" w:sz="0" w:space="0" w:color="auto"/>
      <w:lang w:val="en-GB"/>
    </w:rPr>
  </w:style>
  <w:style w:type="character" w:customStyle="1" w:styleId="NotedefinCar">
    <w:name w:val="Note de fin Car"/>
    <w:basedOn w:val="Policepardfaut"/>
    <w:link w:val="Notedefin"/>
    <w:uiPriority w:val="99"/>
    <w:semiHidden/>
    <w:rsid w:val="00BD5B7F"/>
    <w:rPr>
      <w:rFonts w:ascii="Arial" w:eastAsia="Calibri" w:hAnsi="Arial"/>
      <w:color w:val="000000"/>
      <w:lang w:val="en-GB"/>
    </w:rPr>
  </w:style>
  <w:style w:type="paragraph" w:styleId="Notedefin">
    <w:name w:val="endnote text"/>
    <w:basedOn w:val="Normal"/>
    <w:link w:val="NotedefinCar"/>
    <w:uiPriority w:val="99"/>
    <w:semiHidden/>
    <w:unhideWhenUsed/>
    <w:rsid w:val="00BD5B7F"/>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Calibri" w:hAnsi="Arial" w:cstheme="minorBidi"/>
      <w:color w:val="000000"/>
      <w:sz w:val="22"/>
      <w:szCs w:val="22"/>
      <w:bdr w:val="none" w:sz="0" w:space="0" w:color="auto"/>
      <w:lang w:val="en-GB"/>
    </w:rPr>
  </w:style>
  <w:style w:type="character" w:customStyle="1" w:styleId="NotedefinCar1">
    <w:name w:val="Note de fin Car1"/>
    <w:basedOn w:val="Policepardfaut"/>
    <w:uiPriority w:val="99"/>
    <w:semiHidden/>
    <w:rsid w:val="00BD5B7F"/>
    <w:rPr>
      <w:rFonts w:eastAsia="Arial Unicode MS" w:cs="Times New Roman"/>
      <w:sz w:val="20"/>
      <w:szCs w:val="20"/>
      <w:bdr w:val="nil"/>
      <w:lang w:val="en-US"/>
    </w:rPr>
  </w:style>
  <w:style w:type="paragraph" w:styleId="Titre">
    <w:name w:val="Title"/>
    <w:basedOn w:val="Normal"/>
    <w:link w:val="TitreCar"/>
    <w:uiPriority w:val="10"/>
    <w:qFormat/>
    <w:rsid w:val="00BD5B7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autoSpaceDN w:val="0"/>
      <w:adjustRightInd w:val="0"/>
      <w:jc w:val="center"/>
    </w:pPr>
    <w:rPr>
      <w:rFonts w:ascii="Arial" w:eastAsia="Times New Roman" w:hAnsi="Arial" w:cs="Arial"/>
      <w:b/>
      <w:bCs/>
      <w:sz w:val="32"/>
      <w:szCs w:val="22"/>
      <w:bdr w:val="none" w:sz="0" w:space="0" w:color="auto"/>
      <w:lang w:val="en-GB"/>
    </w:rPr>
  </w:style>
  <w:style w:type="character" w:customStyle="1" w:styleId="TitreCar">
    <w:name w:val="Titre Car"/>
    <w:basedOn w:val="Policepardfaut"/>
    <w:link w:val="Titre"/>
    <w:uiPriority w:val="10"/>
    <w:rsid w:val="00BD5B7F"/>
    <w:rPr>
      <w:rFonts w:ascii="Arial" w:eastAsia="Times New Roman" w:hAnsi="Arial" w:cs="Arial"/>
      <w:b/>
      <w:bCs/>
      <w:sz w:val="32"/>
      <w:lang w:val="en-GB"/>
    </w:rPr>
  </w:style>
  <w:style w:type="character" w:customStyle="1" w:styleId="Corpsdetexte2Car">
    <w:name w:val="Corps de texte 2 Car"/>
    <w:basedOn w:val="Policepardfaut"/>
    <w:link w:val="Corpsdetexte2"/>
    <w:rsid w:val="00BD5B7F"/>
    <w:rPr>
      <w:rFonts w:eastAsia="Times New Roman"/>
      <w:szCs w:val="24"/>
      <w:lang w:val="en-US"/>
    </w:rPr>
  </w:style>
  <w:style w:type="paragraph" w:styleId="Corpsdetexte2">
    <w:name w:val="Body Text 2"/>
    <w:basedOn w:val="Normal"/>
    <w:link w:val="Corpsdetexte2Car"/>
    <w:unhideWhenUsed/>
    <w:rsid w:val="00BD5B7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stheme="minorBidi"/>
      <w:sz w:val="22"/>
      <w:bdr w:val="none" w:sz="0" w:space="0" w:color="auto"/>
    </w:rPr>
  </w:style>
  <w:style w:type="character" w:customStyle="1" w:styleId="Corpsdetexte2Car1">
    <w:name w:val="Corps de texte 2 Car1"/>
    <w:basedOn w:val="Policepardfaut"/>
    <w:uiPriority w:val="99"/>
    <w:semiHidden/>
    <w:rsid w:val="00BD5B7F"/>
    <w:rPr>
      <w:rFonts w:eastAsia="Arial Unicode MS" w:cs="Times New Roman"/>
      <w:sz w:val="24"/>
      <w:szCs w:val="24"/>
      <w:bdr w:val="nil"/>
      <w:lang w:val="en-US"/>
    </w:rPr>
  </w:style>
  <w:style w:type="character" w:customStyle="1" w:styleId="Corpsdetexte3Car">
    <w:name w:val="Corps de texte 3 Car"/>
    <w:basedOn w:val="Policepardfaut"/>
    <w:link w:val="Corpsdetexte3"/>
    <w:rsid w:val="00BD5B7F"/>
    <w:rPr>
      <w:rFonts w:eastAsia="Times New Roman"/>
      <w:b/>
      <w:bCs/>
      <w:sz w:val="24"/>
      <w:szCs w:val="24"/>
      <w:lang w:val="en-GB"/>
    </w:rPr>
  </w:style>
  <w:style w:type="paragraph" w:styleId="Corpsdetexte3">
    <w:name w:val="Body Text 3"/>
    <w:basedOn w:val="Normal"/>
    <w:link w:val="Corpsdetexte3Car"/>
    <w:unhideWhenUsed/>
    <w:rsid w:val="00BD5B7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autoSpaceDN w:val="0"/>
      <w:adjustRightInd w:val="0"/>
      <w:spacing w:line="230" w:lineRule="auto"/>
      <w:jc w:val="center"/>
    </w:pPr>
    <w:rPr>
      <w:rFonts w:eastAsia="Times New Roman" w:cstheme="minorBidi"/>
      <w:b/>
      <w:bCs/>
      <w:bdr w:val="none" w:sz="0" w:space="0" w:color="auto"/>
      <w:lang w:val="en-GB"/>
    </w:rPr>
  </w:style>
  <w:style w:type="character" w:customStyle="1" w:styleId="Corpsdetexte3Car1">
    <w:name w:val="Corps de texte 3 Car1"/>
    <w:basedOn w:val="Policepardfaut"/>
    <w:uiPriority w:val="99"/>
    <w:semiHidden/>
    <w:rsid w:val="00BD5B7F"/>
    <w:rPr>
      <w:rFonts w:eastAsia="Arial Unicode MS" w:cs="Times New Roman"/>
      <w:sz w:val="16"/>
      <w:szCs w:val="16"/>
      <w:bdr w:val="nil"/>
      <w:lang w:val="en-US"/>
    </w:rPr>
  </w:style>
  <w:style w:type="paragraph" w:styleId="Sansinterligne">
    <w:name w:val="No Spacing"/>
    <w:uiPriority w:val="99"/>
    <w:qFormat/>
    <w:rsid w:val="00BD5B7F"/>
    <w:pPr>
      <w:widowControl w:val="0"/>
      <w:autoSpaceDE w:val="0"/>
      <w:autoSpaceDN w:val="0"/>
      <w:adjustRightInd w:val="0"/>
      <w:spacing w:after="0"/>
      <w:jc w:val="left"/>
    </w:pPr>
    <w:rPr>
      <w:rFonts w:eastAsia="Times New Roman" w:cs="Times New Roman"/>
      <w:sz w:val="20"/>
      <w:szCs w:val="24"/>
      <w:lang w:val="en-US"/>
    </w:rPr>
  </w:style>
  <w:style w:type="paragraph" w:customStyle="1" w:styleId="Level1">
    <w:name w:val="Level 1"/>
    <w:basedOn w:val="Normal"/>
    <w:uiPriority w:val="99"/>
    <w:rsid w:val="00BD5B7F"/>
    <w:pPr>
      <w:widowControl w:val="0"/>
      <w:numPr>
        <w:numId w:val="20"/>
      </w:numPr>
      <w:pBdr>
        <w:top w:val="none" w:sz="0" w:space="0" w:color="auto"/>
        <w:left w:val="none" w:sz="0" w:space="0" w:color="auto"/>
        <w:bottom w:val="none" w:sz="0" w:space="0" w:color="auto"/>
        <w:right w:val="none" w:sz="0" w:space="0" w:color="auto"/>
        <w:between w:val="none" w:sz="0" w:space="0" w:color="auto"/>
        <w:bar w:val="none" w:sz="0" w:color="auto"/>
      </w:pBdr>
      <w:tabs>
        <w:tab w:val="clear" w:pos="566"/>
      </w:tabs>
      <w:autoSpaceDE w:val="0"/>
      <w:autoSpaceDN w:val="0"/>
      <w:adjustRightInd w:val="0"/>
      <w:outlineLvl w:val="0"/>
    </w:pPr>
    <w:rPr>
      <w:rFonts w:eastAsia="Times New Roman"/>
      <w:sz w:val="20"/>
      <w:bdr w:val="none" w:sz="0" w:space="0" w:color="auto"/>
    </w:rPr>
  </w:style>
  <w:style w:type="paragraph" w:customStyle="1" w:styleId="Level2">
    <w:name w:val="Level 2"/>
    <w:basedOn w:val="Normal"/>
    <w:uiPriority w:val="99"/>
    <w:rsid w:val="00BD5B7F"/>
    <w:pPr>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clear" w:pos="1132"/>
      </w:tabs>
      <w:autoSpaceDE w:val="0"/>
      <w:autoSpaceDN w:val="0"/>
      <w:adjustRightInd w:val="0"/>
      <w:outlineLvl w:val="1"/>
    </w:pPr>
    <w:rPr>
      <w:rFonts w:eastAsia="Times New Roman"/>
      <w:sz w:val="20"/>
      <w:bdr w:val="none" w:sz="0" w:space="0" w:color="auto"/>
    </w:rPr>
  </w:style>
  <w:style w:type="paragraph" w:customStyle="1" w:styleId="Level3">
    <w:name w:val="Level 3"/>
    <w:basedOn w:val="Normal"/>
    <w:uiPriority w:val="99"/>
    <w:rsid w:val="00BD5B7F"/>
    <w:pPr>
      <w:widowControl w:val="0"/>
      <w:numPr>
        <w:ilvl w:val="2"/>
        <w:numId w:val="20"/>
      </w:numPr>
      <w:pBdr>
        <w:top w:val="none" w:sz="0" w:space="0" w:color="auto"/>
        <w:left w:val="none" w:sz="0" w:space="0" w:color="auto"/>
        <w:bottom w:val="none" w:sz="0" w:space="0" w:color="auto"/>
        <w:right w:val="none" w:sz="0" w:space="0" w:color="auto"/>
        <w:between w:val="none" w:sz="0" w:space="0" w:color="auto"/>
        <w:bar w:val="none" w:sz="0" w:color="auto"/>
      </w:pBdr>
      <w:tabs>
        <w:tab w:val="clear" w:pos="1700"/>
      </w:tabs>
      <w:autoSpaceDE w:val="0"/>
      <w:autoSpaceDN w:val="0"/>
      <w:adjustRightInd w:val="0"/>
      <w:outlineLvl w:val="2"/>
    </w:pPr>
    <w:rPr>
      <w:rFonts w:eastAsia="Times New Roman"/>
      <w:sz w:val="20"/>
      <w:bdr w:val="none" w:sz="0" w:space="0" w:color="auto"/>
    </w:rPr>
  </w:style>
  <w:style w:type="character" w:customStyle="1" w:styleId="MediumGrid2Char">
    <w:name w:val="Medium Grid 2 Char"/>
    <w:link w:val="Grigliamedia21"/>
    <w:uiPriority w:val="1"/>
    <w:semiHidden/>
    <w:locked/>
    <w:rsid w:val="00BD5B7F"/>
    <w:rPr>
      <w:rFonts w:ascii="Calibri" w:hAnsi="Calibri"/>
      <w:lang w:val="it-IT" w:eastAsia="it-IT"/>
    </w:rPr>
  </w:style>
  <w:style w:type="paragraph" w:customStyle="1" w:styleId="Grigliamedia21">
    <w:name w:val="Griglia media 21"/>
    <w:link w:val="MediumGrid2Char"/>
    <w:uiPriority w:val="1"/>
    <w:semiHidden/>
    <w:qFormat/>
    <w:rsid w:val="00BD5B7F"/>
    <w:pPr>
      <w:spacing w:after="0"/>
      <w:jc w:val="left"/>
    </w:pPr>
    <w:rPr>
      <w:rFonts w:ascii="Calibri" w:hAnsi="Calibri"/>
      <w:lang w:val="it-IT" w:eastAsia="it-IT"/>
    </w:rPr>
  </w:style>
  <w:style w:type="paragraph" w:customStyle="1" w:styleId="contenth2">
    <w:name w:val="content_h2"/>
    <w:basedOn w:val="Normal"/>
    <w:rsid w:val="00BD5B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Georgia" w:eastAsia="Times New Roman" w:hAnsi="Georgia"/>
      <w:color w:val="013976"/>
      <w:sz w:val="54"/>
      <w:szCs w:val="54"/>
      <w:bdr w:val="none" w:sz="0" w:space="0" w:color="auto"/>
      <w:lang w:val="en-GB" w:eastAsia="en-GB"/>
    </w:rPr>
  </w:style>
  <w:style w:type="character" w:customStyle="1" w:styleId="Normal1">
    <w:name w:val="Normal1"/>
    <w:rsid w:val="00BD5B7F"/>
  </w:style>
  <w:style w:type="table" w:styleId="Grillemoyenne2">
    <w:name w:val="Medium Grid 2"/>
    <w:basedOn w:val="TableauNormal"/>
    <w:link w:val="Grillemoyenne2Car"/>
    <w:uiPriority w:val="1"/>
    <w:unhideWhenUsed/>
    <w:rsid w:val="00BD5B7F"/>
    <w:pPr>
      <w:spacing w:after="0"/>
      <w:jc w:val="left"/>
    </w:pPr>
    <w:rPr>
      <w:rFonts w:ascii="Calibri" w:hAnsi="Calibri"/>
      <w:lang w:val="it-IT"/>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Grillemoyenne2Car">
    <w:name w:val="Grille moyenne 2 Car"/>
    <w:link w:val="Grillemoyenne2"/>
    <w:uiPriority w:val="1"/>
    <w:locked/>
    <w:rsid w:val="00BD5B7F"/>
    <w:rPr>
      <w:rFonts w:ascii="Calibri" w:hAnsi="Calibri" w:hint="default"/>
      <w:sz w:val="22"/>
      <w:szCs w:val="22"/>
      <w:lang w:val="it-IT"/>
    </w:rPr>
  </w:style>
  <w:style w:type="character" w:customStyle="1" w:styleId="NoSpacingChar">
    <w:name w:val="No Spacing Char"/>
    <w:uiPriority w:val="1"/>
    <w:rsid w:val="00BD5B7F"/>
    <w:rPr>
      <w:rFonts w:ascii="Times New Roman" w:eastAsia="Times New Roman" w:hAnsi="Times New Roman" w:cs="Times New Roman" w:hint="default"/>
      <w:lang w:val="it-IT"/>
    </w:rPr>
  </w:style>
  <w:style w:type="table" w:styleId="Grillemoyenne2-Accent2">
    <w:name w:val="Medium Grid 2 Accent 2"/>
    <w:basedOn w:val="TableauNormal"/>
    <w:uiPriority w:val="73"/>
    <w:unhideWhenUsed/>
    <w:rsid w:val="00BD5B7F"/>
    <w:pPr>
      <w:spacing w:after="0"/>
      <w:jc w:val="left"/>
    </w:pPr>
    <w:rPr>
      <w:rFonts w:ascii="Calibri" w:eastAsia="Calibri" w:hAnsi="Calibri" w:cs="Times New Roman"/>
      <w:color w:val="000000"/>
      <w:lang w:val="it-IT" w:eastAsia="it-IT"/>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1">
    <w:name w:val="Table Grid1"/>
    <w:basedOn w:val="TableauNormal"/>
    <w:uiPriority w:val="59"/>
    <w:rsid w:val="00BD5B7F"/>
    <w:pPr>
      <w:spacing w:after="0"/>
      <w:jc w:val="left"/>
    </w:pPr>
    <w:rPr>
      <w:rFonts w:ascii="Calibri" w:eastAsia="Calibri" w:hAnsi="Calibri" w:cs="Times New Roman"/>
      <w:lang w:val="en-GB" w:eastAsia="it-I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BD5B7F"/>
    <w:pPr>
      <w:widowControl w:val="0"/>
      <w:autoSpaceDE w:val="0"/>
      <w:autoSpaceDN w:val="0"/>
      <w:adjustRightInd w:val="0"/>
      <w:spacing w:before="240" w:after="60"/>
      <w:jc w:val="left"/>
      <w:outlineLvl w:val="9"/>
    </w:pPr>
    <w:rPr>
      <w:rFonts w:ascii="Calibri Light" w:hAnsi="Calibri Light"/>
      <w:bCs/>
      <w:kern w:val="32"/>
      <w:sz w:val="32"/>
      <w:szCs w:val="32"/>
      <w:lang w:val="en-US"/>
    </w:rPr>
  </w:style>
  <w:style w:type="character" w:customStyle="1" w:styleId="spelle">
    <w:name w:val="spelle"/>
    <w:basedOn w:val="Policepardfaut"/>
    <w:rsid w:val="00BD5B7F"/>
  </w:style>
  <w:style w:type="paragraph" w:styleId="Textebrut">
    <w:name w:val="Plain Text"/>
    <w:basedOn w:val="Normal"/>
    <w:link w:val="TextebrutCar"/>
    <w:uiPriority w:val="99"/>
    <w:unhideWhenUsed/>
    <w:rsid w:val="00BD5B7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fr-FR"/>
    </w:rPr>
  </w:style>
  <w:style w:type="character" w:customStyle="1" w:styleId="TextebrutCar">
    <w:name w:val="Texte brut Car"/>
    <w:basedOn w:val="Policepardfaut"/>
    <w:link w:val="Textebrut"/>
    <w:uiPriority w:val="99"/>
    <w:rsid w:val="00BD5B7F"/>
    <w:rPr>
      <w:rFonts w:ascii="Calibri" w:hAnsi="Calibri"/>
      <w:szCs w:val="21"/>
    </w:rPr>
  </w:style>
  <w:style w:type="paragraph" w:customStyle="1" w:styleId="paragraphedeliste10">
    <w:name w:val="paragraphedeliste1"/>
    <w:basedOn w:val="Normal"/>
    <w:rsid w:val="00BD5B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fr-FR" w:eastAsia="fr-FR"/>
    </w:rPr>
  </w:style>
  <w:style w:type="paragraph" w:customStyle="1" w:styleId="1AutoList1">
    <w:name w:val="1AutoList1"/>
    <w:uiPriority w:val="99"/>
    <w:rsid w:val="00BD5B7F"/>
    <w:pPr>
      <w:widowControl w:val="0"/>
      <w:tabs>
        <w:tab w:val="left" w:pos="720"/>
      </w:tabs>
      <w:autoSpaceDE w:val="0"/>
      <w:autoSpaceDN w:val="0"/>
      <w:adjustRightInd w:val="0"/>
      <w:spacing w:after="0"/>
      <w:ind w:left="720" w:hanging="720"/>
    </w:pPr>
    <w:rPr>
      <w:rFonts w:eastAsia="Times New Roman" w:cs="Times New Roman"/>
      <w:sz w:val="24"/>
      <w:szCs w:val="24"/>
      <w:lang w:val="en-GB"/>
    </w:rPr>
  </w:style>
  <w:style w:type="paragraph" w:customStyle="1" w:styleId="Preformatted">
    <w:name w:val="Preformatted"/>
    <w:uiPriority w:val="99"/>
    <w:rsid w:val="00BD5B7F"/>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spacing w:after="0"/>
      <w:jc w:val="left"/>
    </w:pPr>
    <w:rPr>
      <w:rFonts w:ascii="Courier New" w:eastAsia="Times New Roman" w:hAnsi="Courier New" w:cs="Courier New"/>
      <w:sz w:val="20"/>
      <w:szCs w:val="20"/>
      <w:lang w:val="en-US"/>
    </w:rPr>
  </w:style>
  <w:style w:type="paragraph" w:customStyle="1" w:styleId="footnotetex">
    <w:name w:val="footnote tex"/>
    <w:uiPriority w:val="99"/>
    <w:rsid w:val="00BD5B7F"/>
    <w:pPr>
      <w:widowControl w:val="0"/>
      <w:autoSpaceDE w:val="0"/>
      <w:autoSpaceDN w:val="0"/>
      <w:adjustRightInd w:val="0"/>
      <w:spacing w:after="0"/>
    </w:pPr>
    <w:rPr>
      <w:rFonts w:eastAsia="Times New Roman" w:cs="Times New Roman"/>
      <w:sz w:val="20"/>
      <w:szCs w:val="20"/>
      <w:lang w:val="de-DE"/>
    </w:rPr>
  </w:style>
  <w:style w:type="paragraph" w:styleId="Normalcentr">
    <w:name w:val="Block Text"/>
    <w:basedOn w:val="Normal"/>
    <w:uiPriority w:val="99"/>
    <w:rsid w:val="00BD5B7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right="283" w:hanging="709"/>
    </w:pPr>
    <w:rPr>
      <w:rFonts w:eastAsia="Times New Roman"/>
      <w:szCs w:val="23"/>
      <w:bdr w:val="none" w:sz="0" w:space="0" w:color="auto"/>
    </w:rPr>
  </w:style>
  <w:style w:type="character" w:styleId="Lienhypertextesuivivisit">
    <w:name w:val="FollowedHyperlink"/>
    <w:rsid w:val="00BD5B7F"/>
    <w:rPr>
      <w:rFonts w:cs="Times New Roman"/>
      <w:color w:val="800080"/>
      <w:u w:val="single"/>
    </w:rPr>
  </w:style>
  <w:style w:type="paragraph" w:customStyle="1" w:styleId="ColorfulList-Accent11">
    <w:name w:val="Colorful List - Accent 11"/>
    <w:basedOn w:val="Normal"/>
    <w:uiPriority w:val="99"/>
    <w:rsid w:val="00BD5B7F"/>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bdr w:val="none" w:sz="0" w:space="0" w:color="auto"/>
      <w:lang w:val="es-UY"/>
    </w:rPr>
  </w:style>
  <w:style w:type="character" w:styleId="Marquedecommentaire">
    <w:name w:val="annotation reference"/>
    <w:uiPriority w:val="99"/>
    <w:semiHidden/>
    <w:rsid w:val="00BD5B7F"/>
    <w:rPr>
      <w:rFonts w:cs="Times New Roman"/>
      <w:sz w:val="18"/>
    </w:rPr>
  </w:style>
  <w:style w:type="table" w:styleId="Grillecouleur-Accent4">
    <w:name w:val="Colorful Grid Accent 4"/>
    <w:basedOn w:val="TableauNormal"/>
    <w:uiPriority w:val="64"/>
    <w:rsid w:val="00BD5B7F"/>
    <w:pPr>
      <w:spacing w:after="0"/>
      <w:jc w:val="left"/>
    </w:pPr>
    <w:rPr>
      <w:rFonts w:ascii="Calibri" w:eastAsia="Calibri" w:hAnsi="Calibri" w:cs="Times New Roman"/>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11">
    <w:name w:val="Sfondo medio 2 - Colore 11"/>
    <w:basedOn w:val="TableauNormal"/>
    <w:uiPriority w:val="64"/>
    <w:rsid w:val="00BD5B7F"/>
    <w:pPr>
      <w:spacing w:after="0"/>
      <w:jc w:val="left"/>
    </w:pPr>
    <w:rPr>
      <w:rFonts w:ascii="Calibri" w:eastAsia="Calibri" w:hAnsi="Calibri" w:cs="Times New Roman"/>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1">
    <w:name w:val="Sfondo medio 21"/>
    <w:basedOn w:val="TableauNormal"/>
    <w:uiPriority w:val="64"/>
    <w:rsid w:val="00BD5B7F"/>
    <w:pPr>
      <w:spacing w:after="0"/>
      <w:jc w:val="left"/>
    </w:pPr>
    <w:rPr>
      <w:rFonts w:ascii="Calibri" w:eastAsia="Calibri" w:hAnsi="Calibri" w:cs="Times New Roman"/>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Elencochiaro-Colore11">
    <w:name w:val="Elenco chiaro - Colore 11"/>
    <w:basedOn w:val="TableauNormal"/>
    <w:uiPriority w:val="61"/>
    <w:rsid w:val="00BD5B7F"/>
    <w:pPr>
      <w:spacing w:after="0"/>
      <w:jc w:val="left"/>
    </w:pPr>
    <w:rPr>
      <w:rFonts w:ascii="Calibri" w:eastAsia="Calibri" w:hAnsi="Calibri" w:cs="Times New Roman"/>
      <w:lang w:val="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fondoacolori1">
    <w:name w:val="Sfondo a colori1"/>
    <w:basedOn w:val="TableauNormal"/>
    <w:uiPriority w:val="71"/>
    <w:rsid w:val="00BD5B7F"/>
    <w:pPr>
      <w:spacing w:after="0"/>
      <w:jc w:val="left"/>
    </w:pPr>
    <w:rPr>
      <w:rFonts w:ascii="Calibri" w:eastAsia="Calibri" w:hAnsi="Calibri" w:cs="Times New Roman"/>
      <w:color w:val="000000"/>
      <w:lang w:val="it-IT"/>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Grillemoyenne3-Accent1">
    <w:name w:val="Medium Grid 3 Accent 1"/>
    <w:basedOn w:val="TableauNormal"/>
    <w:uiPriority w:val="64"/>
    <w:rsid w:val="00BD5B7F"/>
    <w:pPr>
      <w:spacing w:after="0"/>
      <w:jc w:val="left"/>
    </w:pPr>
    <w:rPr>
      <w:rFonts w:ascii="Calibri" w:eastAsia="Calibri" w:hAnsi="Calibri" w:cs="Times New Roman"/>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11">
    <w:name w:val="Colorful Grid - Accent 11"/>
    <w:basedOn w:val="TableauNormal"/>
    <w:next w:val="Grillemoyenne2-Accent2"/>
    <w:uiPriority w:val="73"/>
    <w:rsid w:val="00BD5B7F"/>
    <w:pPr>
      <w:spacing w:after="0"/>
      <w:jc w:val="left"/>
    </w:pPr>
    <w:rPr>
      <w:rFonts w:ascii="Calibri" w:eastAsia="Calibri" w:hAnsi="Calibri" w:cs="Times New Roman"/>
      <w:color w:val="000000"/>
      <w:lang w:val="it-IT"/>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NoList1">
    <w:name w:val="No List1"/>
    <w:next w:val="Aucuneliste"/>
    <w:uiPriority w:val="99"/>
    <w:semiHidden/>
    <w:unhideWhenUsed/>
    <w:rsid w:val="00BD5B7F"/>
  </w:style>
  <w:style w:type="paragraph" w:customStyle="1" w:styleId="contenth3">
    <w:name w:val="content_h3"/>
    <w:basedOn w:val="Normal"/>
    <w:rsid w:val="00BD5B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Georgia" w:eastAsia="Times New Roman" w:hAnsi="Georgia"/>
      <w:color w:val="013976"/>
      <w:sz w:val="36"/>
      <w:szCs w:val="36"/>
      <w:bdr w:val="none" w:sz="0" w:space="0" w:color="auto"/>
      <w:lang w:val="en-GB" w:eastAsia="en-GB"/>
    </w:rPr>
  </w:style>
  <w:style w:type="table" w:customStyle="1" w:styleId="TableGrid2">
    <w:name w:val="Table Grid2"/>
    <w:basedOn w:val="TableauNormal"/>
    <w:next w:val="Grilledutableau"/>
    <w:uiPriority w:val="59"/>
    <w:rsid w:val="00BD5B7F"/>
    <w:pPr>
      <w:spacing w:after="0"/>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41">
    <w:name w:val="Medium Shading 2 - Accent 41"/>
    <w:basedOn w:val="TableauNormal"/>
    <w:next w:val="Tramemoyenne2-Accent4"/>
    <w:uiPriority w:val="64"/>
    <w:rsid w:val="00BD5B7F"/>
    <w:pPr>
      <w:spacing w:after="0"/>
      <w:jc w:val="left"/>
    </w:pPr>
    <w:rPr>
      <w:rFonts w:ascii="Calibri" w:eastAsia="Calibri" w:hAnsi="Calibri" w:cs="Times New Roman"/>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111">
    <w:name w:val="Sfondo medio 2 - Colore 111"/>
    <w:basedOn w:val="TableauNormal"/>
    <w:uiPriority w:val="64"/>
    <w:rsid w:val="00BD5B7F"/>
    <w:pPr>
      <w:spacing w:after="0"/>
      <w:jc w:val="left"/>
    </w:pPr>
    <w:rPr>
      <w:rFonts w:ascii="Calibri" w:eastAsia="Calibri" w:hAnsi="Calibri" w:cs="Times New Roman"/>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11">
    <w:name w:val="Sfondo medio 211"/>
    <w:basedOn w:val="TableauNormal"/>
    <w:uiPriority w:val="64"/>
    <w:rsid w:val="00BD5B7F"/>
    <w:pPr>
      <w:spacing w:after="0"/>
      <w:jc w:val="left"/>
    </w:pPr>
    <w:rPr>
      <w:rFonts w:ascii="Calibri" w:eastAsia="Calibri" w:hAnsi="Calibri" w:cs="Times New Roman"/>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Elencochiaro-Colore111">
    <w:name w:val="Elenco chiaro - Colore 111"/>
    <w:basedOn w:val="TableauNormal"/>
    <w:uiPriority w:val="61"/>
    <w:rsid w:val="00BD5B7F"/>
    <w:pPr>
      <w:spacing w:after="0"/>
      <w:jc w:val="left"/>
    </w:pPr>
    <w:rPr>
      <w:rFonts w:ascii="Calibri" w:eastAsia="Calibri" w:hAnsi="Calibri" w:cs="Times New Roman"/>
      <w:lang w:val="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Spacing1">
    <w:name w:val="No Spacing1"/>
    <w:next w:val="Sansinterligne"/>
    <w:uiPriority w:val="1"/>
    <w:qFormat/>
    <w:rsid w:val="00BD5B7F"/>
    <w:pPr>
      <w:spacing w:after="0"/>
      <w:jc w:val="left"/>
    </w:pPr>
    <w:rPr>
      <w:rFonts w:ascii="Calibri" w:eastAsia="Times New Roman" w:hAnsi="Calibri" w:cs="Times New Roman"/>
      <w:lang w:val="it-IT"/>
    </w:rPr>
  </w:style>
  <w:style w:type="table" w:customStyle="1" w:styleId="Sfondoacolori11">
    <w:name w:val="Sfondo a colori11"/>
    <w:basedOn w:val="TableauNormal"/>
    <w:uiPriority w:val="71"/>
    <w:rsid w:val="00BD5B7F"/>
    <w:pPr>
      <w:spacing w:after="0"/>
      <w:jc w:val="left"/>
    </w:pPr>
    <w:rPr>
      <w:rFonts w:ascii="Calibri" w:eastAsia="Calibri" w:hAnsi="Calibri" w:cs="Times New Roman"/>
      <w:color w:val="000000"/>
      <w:lang w:val="it-IT"/>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Grid-Accent12">
    <w:name w:val="Colorful Grid - Accent 12"/>
    <w:basedOn w:val="TableauNormal"/>
    <w:next w:val="Grillecouleur-Accent1"/>
    <w:uiPriority w:val="73"/>
    <w:rsid w:val="00BD5B7F"/>
    <w:pPr>
      <w:spacing w:after="0"/>
      <w:jc w:val="left"/>
    </w:pPr>
    <w:rPr>
      <w:rFonts w:ascii="Calibri" w:eastAsia="Calibri" w:hAnsi="Calibri" w:cs="Times New Roman"/>
      <w:color w:val="000000"/>
      <w:lang w:val="it-IT"/>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Sfondomedio2-Colore12">
    <w:name w:val="Sfondo medio 2 - Colore 12"/>
    <w:basedOn w:val="TableauNormal"/>
    <w:uiPriority w:val="64"/>
    <w:rsid w:val="00BD5B7F"/>
    <w:pPr>
      <w:spacing w:after="0"/>
      <w:jc w:val="left"/>
    </w:pPr>
    <w:rPr>
      <w:rFonts w:ascii="Calibri" w:eastAsia="Calibri" w:hAnsi="Calibri" w:cs="Times New Roman"/>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vision">
    <w:name w:val="Revision"/>
    <w:hidden/>
    <w:uiPriority w:val="99"/>
    <w:rsid w:val="00BD5B7F"/>
    <w:pPr>
      <w:spacing w:after="0"/>
      <w:jc w:val="left"/>
    </w:pPr>
    <w:rPr>
      <w:rFonts w:ascii="Calibri" w:eastAsia="Calibri" w:hAnsi="Calibri" w:cs="Times New Roman"/>
      <w:lang w:val="en-GB"/>
    </w:rPr>
  </w:style>
  <w:style w:type="paragraph" w:customStyle="1" w:styleId="Caption1">
    <w:name w:val="Caption1"/>
    <w:basedOn w:val="Normal"/>
    <w:next w:val="Normal"/>
    <w:uiPriority w:val="35"/>
    <w:unhideWhenUsed/>
    <w:qFormat/>
    <w:rsid w:val="00BD5B7F"/>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Arial" w:eastAsia="Calibri" w:hAnsi="Arial"/>
      <w:b/>
      <w:bCs/>
      <w:color w:val="4F81BD"/>
      <w:sz w:val="18"/>
      <w:szCs w:val="18"/>
      <w:bdr w:val="none" w:sz="0" w:space="0" w:color="auto"/>
      <w:lang w:val="en-GB"/>
    </w:rPr>
  </w:style>
  <w:style w:type="character" w:styleId="Appeldenotedefin">
    <w:name w:val="endnote reference"/>
    <w:uiPriority w:val="99"/>
    <w:semiHidden/>
    <w:unhideWhenUsed/>
    <w:rsid w:val="00BD5B7F"/>
    <w:rPr>
      <w:vertAlign w:val="superscript"/>
    </w:rPr>
  </w:style>
  <w:style w:type="table" w:customStyle="1" w:styleId="Elencochiaro-Colore12">
    <w:name w:val="Elenco chiaro - Colore 12"/>
    <w:basedOn w:val="TableauNormal"/>
    <w:uiPriority w:val="61"/>
    <w:rsid w:val="00BD5B7F"/>
    <w:pPr>
      <w:spacing w:after="0"/>
      <w:jc w:val="left"/>
    </w:pPr>
    <w:rPr>
      <w:rFonts w:ascii="Calibri" w:eastAsia="Calibri" w:hAnsi="Calibri"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TMLTypewriter1">
    <w:name w:val="HTML Typewriter1"/>
    <w:uiPriority w:val="99"/>
    <w:semiHidden/>
    <w:unhideWhenUsed/>
    <w:rsid w:val="00BD5B7F"/>
    <w:rPr>
      <w:rFonts w:ascii="Courier New" w:eastAsia="Calibri" w:hAnsi="Courier New" w:cs="Courier New" w:hint="default"/>
      <w:sz w:val="20"/>
      <w:szCs w:val="20"/>
    </w:rPr>
  </w:style>
  <w:style w:type="table" w:styleId="Tramemoyenne2-Accent4">
    <w:name w:val="Medium Shading 2 Accent 4"/>
    <w:basedOn w:val="TableauNormal"/>
    <w:uiPriority w:val="69"/>
    <w:rsid w:val="00BD5B7F"/>
    <w:pPr>
      <w:spacing w:after="0"/>
      <w:jc w:val="left"/>
    </w:pPr>
    <w:rPr>
      <w:rFonts w:eastAsia="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couleur-Accent1">
    <w:name w:val="Colorful Grid Accent 1"/>
    <w:basedOn w:val="TableauNormal"/>
    <w:uiPriority w:val="29"/>
    <w:qFormat/>
    <w:rsid w:val="00BD5B7F"/>
    <w:pPr>
      <w:spacing w:after="0"/>
      <w:jc w:val="left"/>
    </w:pPr>
    <w:rPr>
      <w:rFonts w:eastAsia="Times New Roman" w:cs="Times New Roman"/>
      <w:color w:val="000000"/>
      <w:sz w:val="20"/>
      <w:szCs w:val="20"/>
      <w:lang w:val="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character" w:styleId="MachinecrireHTML">
    <w:name w:val="HTML Typewriter"/>
    <w:unhideWhenUsed/>
    <w:rsid w:val="00BD5B7F"/>
    <w:rPr>
      <w:rFonts w:ascii="Courier New" w:hAnsi="Courier New" w:cs="Courier New"/>
      <w:sz w:val="20"/>
      <w:szCs w:val="20"/>
    </w:rPr>
  </w:style>
  <w:style w:type="paragraph" w:styleId="Signaturelectronique">
    <w:name w:val="E-mail Signature"/>
    <w:basedOn w:val="Normal"/>
    <w:link w:val="SignaturelectroniqueCar"/>
    <w:rsid w:val="00BD5B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SignaturelectroniqueCar">
    <w:name w:val="Signature électronique Car"/>
    <w:basedOn w:val="Policepardfaut"/>
    <w:link w:val="Signaturelectronique"/>
    <w:rsid w:val="00BD5B7F"/>
    <w:rPr>
      <w:rFonts w:eastAsia="Times New Roman" w:cs="Times New Roman"/>
      <w:sz w:val="24"/>
      <w:szCs w:val="24"/>
      <w:lang w:val="en-US"/>
    </w:rPr>
  </w:style>
  <w:style w:type="character" w:customStyle="1" w:styleId="yshortcuts">
    <w:name w:val="yshortcuts"/>
    <w:basedOn w:val="Policepardfaut"/>
    <w:rsid w:val="00BD5B7F"/>
  </w:style>
  <w:style w:type="paragraph" w:customStyle="1" w:styleId="CharCharCarCharCarCharCarCharCarChar">
    <w:name w:val="Char Char Car Char Car Char Car Char Car Char"/>
    <w:basedOn w:val="Normal"/>
    <w:rsid w:val="00BD5B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60" w:line="240" w:lineRule="exact"/>
    </w:pPr>
    <w:rPr>
      <w:rFonts w:ascii="Arial" w:eastAsia="Times New Roman" w:hAnsi="Arial" w:cs="Arial"/>
      <w:sz w:val="20"/>
      <w:szCs w:val="20"/>
      <w:bdr w:val="none" w:sz="0" w:space="0" w:color="auto"/>
    </w:rPr>
  </w:style>
  <w:style w:type="character" w:customStyle="1" w:styleId="nav2">
    <w:name w:val="nav2"/>
    <w:basedOn w:val="Policepardfaut"/>
    <w:rsid w:val="00BD5B7F"/>
  </w:style>
  <w:style w:type="character" w:customStyle="1" w:styleId="apple-tab-span">
    <w:name w:val="apple-tab-span"/>
    <w:basedOn w:val="Policepardfaut"/>
    <w:rsid w:val="00BD5B7F"/>
  </w:style>
  <w:style w:type="character" w:customStyle="1" w:styleId="BorisBarov">
    <w:name w:val="Boris.Barov"/>
    <w:basedOn w:val="Policepardfaut"/>
    <w:semiHidden/>
    <w:rsid w:val="00BD5B7F"/>
    <w:rPr>
      <w:rFonts w:ascii="Arial" w:hAnsi="Arial" w:cs="Arial"/>
      <w:color w:val="auto"/>
      <w:sz w:val="20"/>
      <w:szCs w:val="20"/>
    </w:rPr>
  </w:style>
  <w:style w:type="paragraph" w:customStyle="1" w:styleId="msolistparagraph0">
    <w:name w:val="msolistparagraph"/>
    <w:basedOn w:val="Normal"/>
    <w:rsid w:val="00BD5B7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Calibri" w:eastAsia="MS Mincho" w:hAnsi="Calibri"/>
      <w:sz w:val="22"/>
      <w:szCs w:val="22"/>
      <w:bdr w:val="none" w:sz="0" w:space="0" w:color="auto"/>
      <w:lang w:eastAsia="ja-JP"/>
    </w:rPr>
  </w:style>
  <w:style w:type="paragraph" w:styleId="PrformatHTML">
    <w:name w:val="HTML Preformatted"/>
    <w:basedOn w:val="Normal"/>
    <w:link w:val="PrformatHTMLCar"/>
    <w:uiPriority w:val="99"/>
    <w:rsid w:val="00BD5B7F"/>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color w:val="000000"/>
      <w:sz w:val="20"/>
      <w:szCs w:val="20"/>
      <w:bdr w:val="none" w:sz="0" w:space="0" w:color="auto"/>
      <w:lang w:eastAsia="ja-JP"/>
    </w:rPr>
  </w:style>
  <w:style w:type="character" w:customStyle="1" w:styleId="PrformatHTMLCar">
    <w:name w:val="Préformaté HTML Car"/>
    <w:basedOn w:val="Policepardfaut"/>
    <w:link w:val="PrformatHTML"/>
    <w:uiPriority w:val="99"/>
    <w:rsid w:val="00BD5B7F"/>
    <w:rPr>
      <w:rFonts w:ascii="Courier New" w:eastAsia="MS Mincho" w:hAnsi="Courier New" w:cs="Courier New"/>
      <w:color w:val="000000"/>
      <w:sz w:val="20"/>
      <w:szCs w:val="20"/>
      <w:lang w:val="en-US" w:eastAsia="ja-JP"/>
    </w:rPr>
  </w:style>
  <w:style w:type="paragraph" w:customStyle="1" w:styleId="CharCharCarCarCharCharCarCarCharCharCarCarCharCharCarCarCharCharCarCar">
    <w:name w:val="Char Char Car Car Char Char Car Car Char Char Car Car Char Char Car Car Char Char Car Car"/>
    <w:basedOn w:val="Normal"/>
    <w:rsid w:val="00BD5B7F"/>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Arial" w:eastAsia="Times New Roman" w:hAnsi="Arial" w:cs="Arial"/>
      <w:sz w:val="20"/>
      <w:szCs w:val="20"/>
      <w:bdr w:val="none" w:sz="0" w:space="0" w:color="auto"/>
    </w:rPr>
  </w:style>
  <w:style w:type="character" w:customStyle="1" w:styleId="grisclair">
    <w:name w:val="gris_clair"/>
    <w:basedOn w:val="Policepardfaut"/>
    <w:rsid w:val="00BD5B7F"/>
  </w:style>
  <w:style w:type="character" w:customStyle="1" w:styleId="bleuemail">
    <w:name w:val="bleu_email"/>
    <w:basedOn w:val="Policepardfaut"/>
    <w:rsid w:val="00BD5B7F"/>
  </w:style>
  <w:style w:type="character" w:customStyle="1" w:styleId="st">
    <w:name w:val="st"/>
    <w:basedOn w:val="Policepardfaut"/>
    <w:rsid w:val="00BD5B7F"/>
  </w:style>
  <w:style w:type="character" w:customStyle="1" w:styleId="normalchar">
    <w:name w:val="normal__char"/>
    <w:basedOn w:val="Policepardfaut"/>
    <w:rsid w:val="00BD5B7F"/>
  </w:style>
  <w:style w:type="character" w:customStyle="1" w:styleId="hyperlinkchar">
    <w:name w:val="hyperlink__char"/>
    <w:basedOn w:val="Policepardfaut"/>
    <w:rsid w:val="00BD5B7F"/>
  </w:style>
  <w:style w:type="character" w:customStyle="1" w:styleId="hps">
    <w:name w:val="hps"/>
    <w:basedOn w:val="Policepardfaut"/>
    <w:rsid w:val="00BD5B7F"/>
  </w:style>
  <w:style w:type="character" w:customStyle="1" w:styleId="atn">
    <w:name w:val="atn"/>
    <w:basedOn w:val="Policepardfaut"/>
    <w:rsid w:val="00BD5B7F"/>
  </w:style>
  <w:style w:type="paragraph" w:customStyle="1" w:styleId="xmsonormal">
    <w:name w:val="xmsonormal"/>
    <w:basedOn w:val="Normal"/>
    <w:rsid w:val="00BD5B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en-GB" w:eastAsia="en-GB"/>
    </w:rPr>
  </w:style>
  <w:style w:type="character" w:customStyle="1" w:styleId="egovstyle-style-normal">
    <w:name w:val="egovstyle-style-normal"/>
    <w:basedOn w:val="Policepardfaut"/>
    <w:uiPriority w:val="99"/>
    <w:rsid w:val="00BD5B7F"/>
    <w:rPr>
      <w:rFonts w:ascii="Times New Roman" w:hAnsi="Times New Roman" w:cs="Times New Roman" w:hint="default"/>
    </w:rPr>
  </w:style>
  <w:style w:type="character" w:customStyle="1" w:styleId="st1">
    <w:name w:val="st1"/>
    <w:basedOn w:val="Policepardfaut"/>
    <w:rsid w:val="00BD5B7F"/>
  </w:style>
  <w:style w:type="character" w:customStyle="1" w:styleId="text5">
    <w:name w:val="text5"/>
    <w:basedOn w:val="Policepardfaut"/>
    <w:rsid w:val="00BD5B7F"/>
    <w:rPr>
      <w:sz w:val="24"/>
      <w:szCs w:val="24"/>
      <w:bdr w:val="none" w:sz="0" w:space="0" w:color="auto" w:frame="1"/>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S:\TEAMS-Species\TEAM_Avian_Species\Illegal_Killing_Mediterranean_TF\COP12\French\cms_cop12_doc.24.1.1_rev.2_abattage-ill&#233;gal-oiseaux_f.docx" TargetMode="External"/><Relationship Id="rId18" Type="http://schemas.openxmlformats.org/officeDocument/2006/relationships/hyperlink" Target="file:///S:\TEAMS-Species\TEAM_Avian_Species\Illegal_Killing_Mediterranean_TF\COP12\French\cms_cop12_doc.24.1.1_rev.2_abattage-ill&#233;gal-oiseaux_f.docx" TargetMode="External"/><Relationship Id="rId26" Type="http://schemas.openxmlformats.org/officeDocument/2006/relationships/hyperlink" Target="file:///S:\TEAMS-Species\TEAM_Avian_Species\Illegal_Killing_Mediterranean_TF\COP12\French\cms_cop12_doc.24.1.1_rev.2_abattage-ill&#233;gal-oiseaux_f.docx" TargetMode="External"/><Relationship Id="rId39" Type="http://schemas.openxmlformats.org/officeDocument/2006/relationships/hyperlink" Target="file:///S:\TEAMS-Species\TEAM_Avian_Species\Illegal_Killing_Mediterranean_TF\COP12\French\cms_cop12_doc.24.1.1_rev.2_abattage-ill&#233;gal-oiseaux_f.docx" TargetMode="External"/><Relationship Id="rId21" Type="http://schemas.openxmlformats.org/officeDocument/2006/relationships/hyperlink" Target="file:///S:\TEAMS-Species\TEAM_Avian_Species\Illegal_Killing_Mediterranean_TF\COP12\French\cms_cop12_doc.24.1.1_rev.2_abattage-ill&#233;gal-oiseaux_f.docx" TargetMode="External"/><Relationship Id="rId34" Type="http://schemas.openxmlformats.org/officeDocument/2006/relationships/hyperlink" Target="file:///S:\TEAMS-Species\TEAM_Avian_Species\Illegal_Killing_Mediterranean_TF\COP12\French\cms_cop12_doc.24.1.1_rev.2_abattage-ill&#233;gal-oiseaux_f.docx" TargetMode="External"/><Relationship Id="rId42" Type="http://schemas.openxmlformats.org/officeDocument/2006/relationships/hyperlink" Target="file:///S:\TEAMS-Species\TEAM_Avian_Species\Illegal_Killing_Mediterranean_TF\COP12\French\cms_cop12_doc.24.1.1_rev.2_abattage-ill&#233;gal-oiseaux_f.docx" TargetMode="External"/><Relationship Id="rId47" Type="http://schemas.openxmlformats.org/officeDocument/2006/relationships/hyperlink" Target="file:///S:\TEAMS-Species\TEAM_Avian_Species\Illegal_Killing_Mediterranean_TF\COP12\French\cms_cop12_doc.24.1.1_rev.2_abattage-ill&#233;gal-oiseaux_f.docx" TargetMode="External"/><Relationship Id="rId50" Type="http://schemas.openxmlformats.org/officeDocument/2006/relationships/hyperlink" Target="file:///S:\TEAMS-Species\TEAM_Avian_Species\Illegal_Killing_Mediterranean_TF\COP12\French\cms_cop12_doc.24.1.1_rev.2_abattage-ill&#233;gal-oiseaux_f.docx" TargetMode="External"/><Relationship Id="rId55" Type="http://schemas.openxmlformats.org/officeDocument/2006/relationships/image" Target="media/image2.jpeg"/><Relationship Id="rId63" Type="http://schemas.openxmlformats.org/officeDocument/2006/relationships/image" Target="media/image10.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file:///S:\TEAMS-Species\TEAM_Avian_Species\Illegal_Killing_Mediterranean_TF\COP12\French\cms_cop12_doc.24.1.1_rev.2_abattage-ill&#233;gal-oiseaux_f.docx" TargetMode="External"/><Relationship Id="rId20" Type="http://schemas.openxmlformats.org/officeDocument/2006/relationships/hyperlink" Target="file:///S:\TEAMS-Species\TEAM_Avian_Species\Illegal_Killing_Mediterranean_TF\COP12\French\cms_cop12_doc.24.1.1_rev.2_abattage-ill&#233;gal-oiseaux_f.docx" TargetMode="External"/><Relationship Id="rId29" Type="http://schemas.openxmlformats.org/officeDocument/2006/relationships/hyperlink" Target="file:///S:\TEAMS-Species\TEAM_Avian_Species\Illegal_Killing_Mediterranean_TF\COP12\French\cms_cop12_doc.24.1.1_rev.2_abattage-ill&#233;gal-oiseaux_f.docx" TargetMode="External"/><Relationship Id="rId41" Type="http://schemas.openxmlformats.org/officeDocument/2006/relationships/hyperlink" Target="file:///S:\TEAMS-Species\TEAM_Avian_Species\Illegal_Killing_Mediterranean_TF\COP12\French\cms_cop12_doc.24.1.1_rev.2_abattage-ill&#233;gal-oiseaux_f.docx" TargetMode="External"/><Relationship Id="rId54" Type="http://schemas.openxmlformats.org/officeDocument/2006/relationships/hyperlink" Target="file:///S:\TEAMS-Species\TEAM_Avian_Species\Illegal_Killing_Mediterranean_TF\COP12\French\cms_cop12_doc.24.1.1_rev.2_abattage-ill&#233;gal-oiseaux_f.docx" TargetMode="External"/><Relationship Id="rId62"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S:\TEAMS-Species\TEAM_Avian_Species\Illegal_Killing_Mediterranean_TF\COP12\French\cms_cop12_doc.24.1.1_rev.2_abattage-ill&#233;gal-oiseaux_f.docx" TargetMode="External"/><Relationship Id="rId24" Type="http://schemas.openxmlformats.org/officeDocument/2006/relationships/hyperlink" Target="file:///S:\TEAMS-Species\TEAM_Avian_Species\Illegal_Killing_Mediterranean_TF\COP12\French\cms_cop12_doc.24.1.1_rev.2_abattage-ill&#233;gal-oiseaux_f.docx" TargetMode="External"/><Relationship Id="rId32" Type="http://schemas.openxmlformats.org/officeDocument/2006/relationships/hyperlink" Target="file:///S:\TEAMS-Species\TEAM_Avian_Species\Illegal_Killing_Mediterranean_TF\COP12\French\cms_cop12_doc.24.1.1_rev.2_abattage-ill&#233;gal-oiseaux_f.docx" TargetMode="External"/><Relationship Id="rId37" Type="http://schemas.openxmlformats.org/officeDocument/2006/relationships/hyperlink" Target="file:///S:\TEAMS-Species\TEAM_Avian_Species\Illegal_Killing_Mediterranean_TF\COP12\French\cms_cop12_doc.24.1.1_rev.2_abattage-ill&#233;gal-oiseaux_f.docx" TargetMode="External"/><Relationship Id="rId40" Type="http://schemas.openxmlformats.org/officeDocument/2006/relationships/hyperlink" Target="file:///S:\TEAMS-Species\TEAM_Avian_Species\Illegal_Killing_Mediterranean_TF\COP12\French\cms_cop12_doc.24.1.1_rev.2_abattage-ill&#233;gal-oiseaux_f.docx" TargetMode="External"/><Relationship Id="rId45" Type="http://schemas.openxmlformats.org/officeDocument/2006/relationships/hyperlink" Target="file:///S:\TEAMS-Species\TEAM_Avian_Species\Illegal_Killing_Mediterranean_TF\COP12\French\cms_cop12_doc.24.1.1_rev.2_abattage-ill&#233;gal-oiseaux_f.docx" TargetMode="External"/><Relationship Id="rId53" Type="http://schemas.openxmlformats.org/officeDocument/2006/relationships/hyperlink" Target="file:///S:\TEAMS-Species\TEAM_Avian_Species\Illegal_Killing_Mediterranean_TF\COP12\French\cms_cop12_doc.24.1.1_rev.2_abattage-ill&#233;gal-oiseaux_f.docx" TargetMode="External"/><Relationship Id="rId58" Type="http://schemas.openxmlformats.org/officeDocument/2006/relationships/image" Target="media/image5.tif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S:\TEAMS-Species\TEAM_Avian_Species\Illegal_Killing_Mediterranean_TF\COP12\French\cms_cop12_doc.24.1.1_rev.2_abattage-ill&#233;gal-oiseaux_f.docx" TargetMode="External"/><Relationship Id="rId23" Type="http://schemas.openxmlformats.org/officeDocument/2006/relationships/hyperlink" Target="file:///S:\TEAMS-Species\TEAM_Avian_Species\Illegal_Killing_Mediterranean_TF\COP12\French\cms_cop12_doc.24.1.1_rev.2_abattage-ill&#233;gal-oiseaux_f.docx" TargetMode="External"/><Relationship Id="rId28" Type="http://schemas.openxmlformats.org/officeDocument/2006/relationships/hyperlink" Target="file:///S:\TEAMS-Species\TEAM_Avian_Species\Illegal_Killing_Mediterranean_TF\COP12\French\cms_cop12_doc.24.1.1_rev.2_abattage-ill&#233;gal-oiseaux_f.docx" TargetMode="External"/><Relationship Id="rId36" Type="http://schemas.openxmlformats.org/officeDocument/2006/relationships/hyperlink" Target="file:///S:\TEAMS-Species\TEAM_Avian_Species\Illegal_Killing_Mediterranean_TF\COP12\French\cms_cop12_doc.24.1.1_rev.2_abattage-ill&#233;gal-oiseaux_f.docx" TargetMode="External"/><Relationship Id="rId49" Type="http://schemas.openxmlformats.org/officeDocument/2006/relationships/hyperlink" Target="file:///S:\TEAMS-Species\TEAM_Avian_Species\Illegal_Killing_Mediterranean_TF\COP12\French\cms_cop12_doc.24.1.1_rev.2_abattage-ill&#233;gal-oiseaux_f.docx" TargetMode="External"/><Relationship Id="rId57" Type="http://schemas.openxmlformats.org/officeDocument/2006/relationships/image" Target="media/image4.emf"/><Relationship Id="rId61" Type="http://schemas.openxmlformats.org/officeDocument/2006/relationships/image" Target="media/image8.jpeg"/><Relationship Id="rId10" Type="http://schemas.openxmlformats.org/officeDocument/2006/relationships/hyperlink" Target="file:///S:\TEAMS-Species\TEAM_Avian_Species\Illegal_Killing_Mediterranean_TF\COP12\French\cms_cop12_doc.24.1.1_rev.2_abattage-ill&#233;gal-oiseaux_f.docx" TargetMode="External"/><Relationship Id="rId19" Type="http://schemas.openxmlformats.org/officeDocument/2006/relationships/hyperlink" Target="file:///S:\TEAMS-Species\TEAM_Avian_Species\Illegal_Killing_Mediterranean_TF\COP12\French\cms_cop12_doc.24.1.1_rev.2_abattage-ill&#233;gal-oiseaux_f.docx" TargetMode="External"/><Relationship Id="rId31" Type="http://schemas.openxmlformats.org/officeDocument/2006/relationships/hyperlink" Target="file:///S:\TEAMS-Species\TEAM_Avian_Species\Illegal_Killing_Mediterranean_TF\COP12\French\cms_cop12_doc.24.1.1_rev.2_abattage-ill&#233;gal-oiseaux_f.docx" TargetMode="External"/><Relationship Id="rId44" Type="http://schemas.openxmlformats.org/officeDocument/2006/relationships/hyperlink" Target="file:///S:\TEAMS-Species\TEAM_Avian_Species\Illegal_Killing_Mediterranean_TF\COP12\French\cms_cop12_doc.24.1.1_rev.2_abattage-ill&#233;gal-oiseaux_f.docx" TargetMode="External"/><Relationship Id="rId52" Type="http://schemas.openxmlformats.org/officeDocument/2006/relationships/hyperlink" Target="file:///S:\TEAMS-Species\TEAM_Avian_Species\Illegal_Killing_Mediterranean_TF\COP12\French\cms_cop12_doc.24.1.1_rev.2_abattage-ill&#233;gal-oiseaux_f.docx" TargetMode="External"/><Relationship Id="rId60" Type="http://schemas.openxmlformats.org/officeDocument/2006/relationships/image" Target="media/image7.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S:\TEAMS-Species\TEAM_Avian_Species\Illegal_Killing_Mediterranean_TF\COP12\French\cms_cop12_doc.24.1.1_rev.2_abattage-ill&#233;gal-oiseaux_f.docx" TargetMode="External"/><Relationship Id="rId14" Type="http://schemas.openxmlformats.org/officeDocument/2006/relationships/hyperlink" Target="file:///S:\TEAMS-Species\TEAM_Avian_Species\Illegal_Killing_Mediterranean_TF\COP12\French\cms_cop12_doc.24.1.1_rev.2_abattage-ill&#233;gal-oiseaux_f.docx" TargetMode="External"/><Relationship Id="rId22" Type="http://schemas.openxmlformats.org/officeDocument/2006/relationships/hyperlink" Target="file:///S:\TEAMS-Species\TEAM_Avian_Species\Illegal_Killing_Mediterranean_TF\COP12\French\cms_cop12_doc.24.1.1_rev.2_abattage-ill&#233;gal-oiseaux_f.docx" TargetMode="External"/><Relationship Id="rId27" Type="http://schemas.openxmlformats.org/officeDocument/2006/relationships/hyperlink" Target="file:///S:\TEAMS-Species\TEAM_Avian_Species\Illegal_Killing_Mediterranean_TF\COP12\French\cms_cop12_doc.24.1.1_rev.2_abattage-ill&#233;gal-oiseaux_f.docx" TargetMode="External"/><Relationship Id="rId30" Type="http://schemas.openxmlformats.org/officeDocument/2006/relationships/hyperlink" Target="file:///S:\TEAMS-Species\TEAM_Avian_Species\Illegal_Killing_Mediterranean_TF\COP12\French\cms_cop12_doc.24.1.1_rev.2_abattage-ill&#233;gal-oiseaux_f.docx" TargetMode="External"/><Relationship Id="rId35" Type="http://schemas.openxmlformats.org/officeDocument/2006/relationships/hyperlink" Target="file:///S:\TEAMS-Species\TEAM_Avian_Species\Illegal_Killing_Mediterranean_TF\COP12\French\cms_cop12_doc.24.1.1_rev.2_abattage-ill&#233;gal-oiseaux_f.docx" TargetMode="External"/><Relationship Id="rId43" Type="http://schemas.openxmlformats.org/officeDocument/2006/relationships/hyperlink" Target="file:///S:\TEAMS-Species\TEAM_Avian_Species\Illegal_Killing_Mediterranean_TF\COP12\French\cms_cop12_doc.24.1.1_rev.2_abattage-ill&#233;gal-oiseaux_f.docx" TargetMode="External"/><Relationship Id="rId48" Type="http://schemas.openxmlformats.org/officeDocument/2006/relationships/hyperlink" Target="file:///S:\TEAMS-Species\TEAM_Avian_Species\Illegal_Killing_Mediterranean_TF\COP12\French\cms_cop12_doc.24.1.1_rev.2_abattage-ill&#233;gal-oiseaux_f.docx" TargetMode="External"/><Relationship Id="rId56" Type="http://schemas.openxmlformats.org/officeDocument/2006/relationships/image" Target="media/image3.emf"/><Relationship Id="rId64" Type="http://schemas.openxmlformats.org/officeDocument/2006/relationships/image" Target="media/image11.jpeg"/><Relationship Id="rId8" Type="http://schemas.openxmlformats.org/officeDocument/2006/relationships/image" Target="media/image1.jpeg"/><Relationship Id="rId51" Type="http://schemas.openxmlformats.org/officeDocument/2006/relationships/hyperlink" Target="file:///S:\TEAMS-Species\TEAM_Avian_Species\Illegal_Killing_Mediterranean_TF\COP12\French\cms_cop12_doc.24.1.1_rev.2_abattage-ill&#233;gal-oiseaux_f.docx" TargetMode="External"/><Relationship Id="rId3" Type="http://schemas.microsoft.com/office/2007/relationships/stylesWithEffects" Target="stylesWithEffects.xml"/><Relationship Id="rId12" Type="http://schemas.openxmlformats.org/officeDocument/2006/relationships/hyperlink" Target="file:///S:\TEAMS-Species\TEAM_Avian_Species\Illegal_Killing_Mediterranean_TF\COP12\French\cms_cop12_doc.24.1.1_rev.2_abattage-ill&#233;gal-oiseaux_f.docx" TargetMode="External"/><Relationship Id="rId17" Type="http://schemas.openxmlformats.org/officeDocument/2006/relationships/hyperlink" Target="file:///S:\TEAMS-Species\TEAM_Avian_Species\Illegal_Killing_Mediterranean_TF\COP12\French\cms_cop12_doc.24.1.1_rev.2_abattage-ill&#233;gal-oiseaux_f.docx" TargetMode="External"/><Relationship Id="rId25" Type="http://schemas.openxmlformats.org/officeDocument/2006/relationships/hyperlink" Target="file:///S:\TEAMS-Species\TEAM_Avian_Species\Illegal_Killing_Mediterranean_TF\COP12\French\cms_cop12_doc.24.1.1_rev.2_abattage-ill&#233;gal-oiseaux_f.docx" TargetMode="External"/><Relationship Id="rId33" Type="http://schemas.openxmlformats.org/officeDocument/2006/relationships/hyperlink" Target="file:///S:\TEAMS-Species\TEAM_Avian_Species\Illegal_Killing_Mediterranean_TF\COP12\French\cms_cop12_doc.24.1.1_rev.2_abattage-ill&#233;gal-oiseaux_f.docx" TargetMode="External"/><Relationship Id="rId38" Type="http://schemas.openxmlformats.org/officeDocument/2006/relationships/hyperlink" Target="file:///S:\TEAMS-Species\TEAM_Avian_Species\Illegal_Killing_Mediterranean_TF\COP12\French\cms_cop12_doc.24.1.1_rev.2_abattage-ill&#233;gal-oiseaux_f.docx" TargetMode="External"/><Relationship Id="rId46" Type="http://schemas.openxmlformats.org/officeDocument/2006/relationships/hyperlink" Target="file:///S:\TEAMS-Species\TEAM_Avian_Species\Illegal_Killing_Mediterranean_TF\COP12\French\cms_cop12_doc.24.1.1_rev.2_abattage-ill&#233;gal-oiseaux_f.docx" TargetMode="External"/><Relationship Id="rId59"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cd.coe.int/com.instranet.InstraServlet?command=com.instranet.CmdBlobGet&amp;InstranetImage=2919703&amp;SecMode=1&amp;DocId=2369656&amp;Usage=2" TargetMode="External"/><Relationship Id="rId2" Type="http://schemas.openxmlformats.org/officeDocument/2006/relationships/hyperlink" Target="http://www.cms.int/en/document/best-practice-guide-monitoring-illegal-and-taking-birds" TargetMode="External"/><Relationship Id="rId1" Type="http://schemas.openxmlformats.org/officeDocument/2006/relationships/hyperlink" Target="https://cites.org/eng/prog/iccwc.php" TargetMode="External"/><Relationship Id="rId4" Type="http://schemas.openxmlformats.org/officeDocument/2006/relationships/hyperlink" Target="https://wcd.coe.int/com.instranet.InstraServlet?command=com.instranet.CmdBlobGet&amp;InstranetImage=1952251&amp;SecMode=1&amp;DocId=1646536&amp;Usag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16212</Words>
  <Characters>89167</Characters>
  <Application>Microsoft Office Word</Application>
  <DocSecurity>0</DocSecurity>
  <Lines>743</Lines>
  <Paragraphs>210</Paragraphs>
  <ScaleCrop>false</ScaleCrop>
  <HeadingPairs>
    <vt:vector size="2" baseType="variant">
      <vt:variant>
        <vt:lpstr>Titre</vt:lpstr>
      </vt:variant>
      <vt:variant>
        <vt:i4>1</vt:i4>
      </vt:variant>
    </vt:vector>
  </HeadingPairs>
  <TitlesOfParts>
    <vt:vector size="1" baseType="lpstr">
      <vt:lpstr/>
    </vt:vector>
  </TitlesOfParts>
  <Company>Council of Europe</Company>
  <LinksUpToDate>false</LinksUpToDate>
  <CharactersWithSpaces>105169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CUSSAC Véronique</dc:creator>
  <cp:lastModifiedBy>de CUSSAC Véronique</cp:lastModifiedBy>
  <cp:revision>1</cp:revision>
  <dcterms:created xsi:type="dcterms:W3CDTF">2019-01-22T10:25:00Z</dcterms:created>
  <dcterms:modified xsi:type="dcterms:W3CDTF">2019-01-22T10:26:00Z</dcterms:modified>
</cp:coreProperties>
</file>