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DD" w:rsidRPr="000837DD" w:rsidRDefault="000837DD" w:rsidP="000837DD">
      <w:pPr>
        <w:pStyle w:val="Heading2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Exercício de contacto visual</w:t>
      </w:r>
      <w:r>
        <w:rPr>
          <w:rFonts w:asciiTheme="majorHAnsi" w:hAnsiTheme="majorHAnsi"/>
        </w:rPr>
        <w:t xml:space="preserve"> </w:t>
      </w:r>
    </w:p>
    <w:p w:rsidR="000837DD" w:rsidRPr="000837DD" w:rsidRDefault="000837DD" w:rsidP="000837DD">
      <w:pPr>
        <w:ind w:left="180" w:hanging="180"/>
        <w:rPr>
          <w:rFonts w:asciiTheme="majorHAnsi" w:hAnsiTheme="majorHAnsi"/>
        </w:rPr>
      </w:pPr>
    </w:p>
    <w:p w:rsidR="000837DD" w:rsidRPr="000837DD" w:rsidRDefault="000837DD" w:rsidP="000837DD">
      <w:pPr>
        <w:ind w:left="180" w:hanging="1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 contacto visual é uma das ferramentas mais fortes que os Formadores têm à sua disposição.</w:t>
      </w:r>
    </w:p>
    <w:p w:rsidR="000837DD" w:rsidRPr="000837DD" w:rsidRDefault="000837DD" w:rsidP="000837DD">
      <w:pPr>
        <w:ind w:left="180" w:hanging="18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Cada pessoa, na sua vez, fica à frente do grupo.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2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Lembrando o que foi dito sobre o contacto visual, olhe de pessoa em pessoa.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3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Mova-se à volta da mesa, se desejar.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4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Passe de dois a três segundos com cada pessoa, depois mude aleatoriamente para outra, etc.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5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Não diga nada e pense em olhar para todos.</w:t>
      </w:r>
      <w:r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Se realmente tiver necessidade de falar, conte em voz alta.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6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Quando acha que olhou para todos </w:t>
      </w:r>
      <w:r>
        <w:rPr>
          <w:b/>
          <w:rFonts w:asciiTheme="majorHAnsi" w:hAnsiTheme="majorHAnsi"/>
        </w:rPr>
        <w:t xml:space="preserve">duas vezes,</w:t>
      </w:r>
      <w:r>
        <w:rPr>
          <w:rFonts w:asciiTheme="majorHAnsi" w:hAnsiTheme="majorHAnsi"/>
        </w:rPr>
        <w:t xml:space="preserve"> diga "Concluído".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7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Cada membro do grupo que pensa que não olhou duas vezes, levanta as mãos para indicar "sentiu a minha falta".</w:t>
      </w:r>
      <w:r>
        <w:rPr>
          <w:rFonts w:asciiTheme="majorHAnsi" w:hAnsiTheme="majorHAnsi"/>
        </w:rPr>
        <w:t xml:space="preserve"> </w:t>
      </w:r>
    </w:p>
    <w:p w:rsidR="000837DD" w:rsidRPr="000837DD" w:rsidRDefault="000837DD" w:rsidP="000837DD">
      <w:pPr>
        <w:ind w:left="0"/>
        <w:rPr>
          <w:rFonts w:asciiTheme="majorHAnsi" w:hAnsiTheme="majorHAnsi"/>
        </w:rPr>
      </w:pPr>
    </w:p>
    <w:p w:rsidR="000837DD" w:rsidRPr="000837DD" w:rsidRDefault="000837DD" w:rsidP="000837DD">
      <w:pPr>
        <w:numPr>
          <w:ilvl w:val="0"/>
          <w:numId w:val="8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Este exercício irá dizer a cada pessoa se têm um ponto cego para a direita ou esquerda que devem trabalhar.</w:t>
      </w:r>
    </w:p>
    <w:p w:rsidR="0095019D" w:rsidRPr="000837DD" w:rsidRDefault="0095019D">
      <w:pPr>
        <w:rPr>
          <w:rFonts w:asciiTheme="majorHAnsi" w:hAnsiTheme="majorHAnsi"/>
        </w:rPr>
      </w:pPr>
    </w:p>
    <w:bookmarkEnd w:id="0"/>
    <w:sectPr w:rsidR="0095019D" w:rsidRPr="000837DD" w:rsidSect="0095019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0086A"/>
    <w:multiLevelType w:val="singleLevel"/>
    <w:tmpl w:val="06CC0BA4"/>
    <w:lvl w:ilvl="0">
      <w:start w:val="1"/>
      <w:numFmt w:val="decimal"/>
      <w:lvlText w:val="%1."/>
      <w:legacy w:legacy="1" w:legacySpace="0" w:legacyIndent="180"/>
      <w:lvlJc w:val="left"/>
      <w:pPr>
        <w:ind w:left="9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5"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DD"/>
    <w:rsid w:val="000837DD"/>
    <w:rsid w:val="0095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93E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DD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0837DD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837DD"/>
    <w:rPr>
      <w:rFonts w:ascii="Arial" w:eastAsia="Times New Roman" w:hAnsi="Arial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DD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0837DD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837DD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Macintosh Word</Application>
  <DocSecurity>0</DocSecurity>
  <Lines>5</Lines>
  <Paragraphs>1</Paragraphs>
  <ScaleCrop>false</ScaleCrop>
  <Company>Technology Risk Limited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Nigel Jones</cp:lastModifiedBy>
  <cp:revision>1</cp:revision>
  <dcterms:created xsi:type="dcterms:W3CDTF">2012-02-08T11:28:00Z</dcterms:created>
  <dcterms:modified xsi:type="dcterms:W3CDTF">2012-02-08T11:28:00Z</dcterms:modified>
</cp:coreProperties>
</file>