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D2E59" w14:textId="43C88A53" w:rsidR="00D82C18" w:rsidRPr="003406F3" w:rsidRDefault="00B71D66" w:rsidP="000D2DE3">
      <w:pPr>
        <w:pStyle w:val="PargrafodaLista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  <w:b/>
          <w:sz w:val="32"/>
          <w:szCs w:val="32"/>
        </w:rPr>
        <w:t>P</w:t>
      </w:r>
      <w:bookmarkStart w:id="0" w:name="_GoBack"/>
      <w:bookmarkEnd w:id="0"/>
      <w:r>
        <w:rPr>
          <w:rFonts w:ascii="Verdana" w:hAnsi="Verdana"/>
          <w:b/>
          <w:sz w:val="32"/>
          <w:szCs w:val="32"/>
        </w:rPr>
        <w:t>lano de aula</w:t>
      </w:r>
    </w:p>
    <w:p w14:paraId="297047B4" w14:textId="77777777" w:rsidR="00B71D66" w:rsidRPr="003406F3" w:rsidRDefault="00B71D66" w:rsidP="00B71D66">
      <w:pPr>
        <w:pStyle w:val="PargrafodaLista"/>
        <w:ind w:left="360"/>
        <w:rPr>
          <w:rFonts w:ascii="Verdana" w:hAnsi="Verdana"/>
        </w:rPr>
      </w:pPr>
    </w:p>
    <w:p w14:paraId="6857C56D" w14:textId="767BA540" w:rsidR="00D82C18" w:rsidRPr="003406F3" w:rsidRDefault="00D82C18" w:rsidP="00D82C18">
      <w:pPr>
        <w:pStyle w:val="PargrafodaLista"/>
        <w:numPr>
          <w:ilvl w:val="1"/>
          <w:numId w:val="3"/>
        </w:num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sz w:val="28"/>
          <w:szCs w:val="28"/>
        </w:rPr>
        <w:t>Aula 1.4.2 (Cooperação pública privada)</w:t>
      </w:r>
    </w:p>
    <w:p w14:paraId="0A3DD02D" w14:textId="77777777"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7D356C37" w:rsidR="00D82C18" w:rsidRPr="003406F3" w:rsidRDefault="00D82C18" w:rsidP="0036129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Aula 1.4.2 (Cooperação internacional)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2F43BF74" w:rsidR="00D82C18" w:rsidRPr="003406F3" w:rsidRDefault="00D82C18" w:rsidP="0036129C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90 minutos</w:t>
            </w:r>
          </w:p>
        </w:tc>
      </w:tr>
      <w:tr w:rsidR="003406F3" w:rsidRPr="003406F3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5D5B0179"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14:paraId="3E3ADEA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PC/computador portátil com versões de software compatíveis com os materiais preparados</w:t>
            </w:r>
          </w:p>
          <w:p w14:paraId="737B876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14:paraId="6505534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14:paraId="14CF9EF0" w14:textId="73EC6711"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>Bloco de notas de estudante e canetas.</w:t>
            </w:r>
          </w:p>
        </w:tc>
      </w:tr>
      <w:tr w:rsidR="003406F3" w:rsidRPr="003406F3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7EA26E9E"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 da sessão:</w:t>
            </w:r>
            <w:r w:rsidR="00770395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</w:p>
          <w:p w14:paraId="3FE58655" w14:textId="19EA6C2A" w:rsidR="00A03CF0" w:rsidRPr="003406F3" w:rsidRDefault="007B75A9" w:rsidP="0036129C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 finalidade geral desta sessão é fornecer aos delegados uma compreensão abrangente dos meios e canais disponíveis para a cooperação entre o setor público e privado, nacional e internacionalmente para fins de combate ao cibercrime.</w:t>
            </w:r>
          </w:p>
        </w:tc>
      </w:tr>
      <w:tr w:rsidR="003406F3" w:rsidRPr="003406F3" w14:paraId="1B5A80A7" w14:textId="77777777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3406F3" w:rsidRDefault="0027101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14:paraId="3BEE7864" w14:textId="77777777" w:rsidR="005703B7" w:rsidRPr="003406F3" w:rsidRDefault="005703B7" w:rsidP="00CB3026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 final da sessão, os estudantes serão capazes de:</w:t>
            </w:r>
          </w:p>
          <w:p w14:paraId="468D77E8" w14:textId="72EFD1A5" w:rsidR="005703B7" w:rsidRPr="003406F3" w:rsidRDefault="0036129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>Reconhecer que a cooperação com o setor privado é essencial para questões de combate ao cibercrime</w:t>
            </w:r>
          </w:p>
          <w:p w14:paraId="3C3DE87B" w14:textId="39F5A35A" w:rsidR="005703B7" w:rsidRPr="003406F3" w:rsidRDefault="0036129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>Identificar os níveis de cooperação com a indústria doméstica (cooperação compulsiva e voluntária)</w:t>
            </w:r>
          </w:p>
          <w:p w14:paraId="23100547" w14:textId="1D17E971" w:rsidR="00E95703" w:rsidRPr="0051122C" w:rsidRDefault="0036129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i/>
                <w:szCs w:val="18"/>
              </w:rPr>
            </w:pPr>
            <w:r>
              <w:t>Identificar as várias ferramentas na legislação nacional que permite a cooperação obrigatória entre as agências da lei e a indústria doméstica</w:t>
            </w:r>
          </w:p>
          <w:p w14:paraId="0524678D" w14:textId="5045AC7A" w:rsidR="0051122C" w:rsidRPr="0051122C" w:rsidRDefault="0036129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>Reconhecer os desafios que os dados na nuvem possuem relativamente à realização de investigações de cibercrimes</w:t>
            </w:r>
          </w:p>
          <w:p w14:paraId="4C583BEC" w14:textId="77777777" w:rsidR="0051122C" w:rsidRPr="0036129C" w:rsidRDefault="0036129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>Identificar os diferentes níveis em que a cooperação pode aplicar-se com a indústria estrangeira</w:t>
            </w:r>
          </w:p>
          <w:p w14:paraId="1072FF9A" w14:textId="77777777" w:rsidR="0036129C" w:rsidRPr="0036129C" w:rsidRDefault="0036129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>Explicar as barreiras que as agências de autoridades policiais relativamente ao acesso aos dados detido pelos fornecedores de serviços multinacionais</w:t>
            </w:r>
          </w:p>
          <w:p w14:paraId="193A8006" w14:textId="77777777" w:rsidR="0036129C" w:rsidRPr="0036129C" w:rsidRDefault="0036129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>Identificar que a cooperação pode ocorrer formalmente através dos governos ou informalmente pelos oficiais da autoridade diretamente com fornecedores de serviços multinacionais</w:t>
            </w:r>
          </w:p>
          <w:p w14:paraId="7FFF47C2" w14:textId="77777777" w:rsidR="0036129C" w:rsidRPr="0036129C" w:rsidRDefault="0036129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>Discutir exemplos de cooperação com fornecedores de serviços multinacionais na obtenção do acesso aos dados</w:t>
            </w:r>
          </w:p>
          <w:p w14:paraId="61ABEAC5" w14:textId="04158EE4" w:rsidR="0036129C" w:rsidRPr="0051122C" w:rsidRDefault="0036129C" w:rsidP="0051122C">
            <w:pPr>
              <w:pStyle w:val="bul1"/>
              <w:spacing w:before="120" w:after="120" w:line="280" w:lineRule="exact"/>
              <w:ind w:left="697" w:hanging="360"/>
              <w:contextualSpacing/>
              <w:rPr>
                <w:szCs w:val="18"/>
              </w:rPr>
            </w:pPr>
            <w:r>
              <w:t>Identificar os desafios enfrentados comummente relativamente à cooperação direta com fornecedores de serviços multinacionais</w:t>
            </w:r>
          </w:p>
        </w:tc>
      </w:tr>
      <w:tr w:rsidR="003406F3" w:rsidRPr="003406F3" w14:paraId="03110757" w14:textId="77777777" w:rsidTr="00F813A3">
        <w:trPr>
          <w:trHeight w:val="530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1EE254E2"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14:paraId="5EFF4BEF" w14:textId="555BC2C1" w:rsidR="007B75A9" w:rsidRPr="003406F3" w:rsidRDefault="00F813A3" w:rsidP="00F813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 cooperação pública privada é de extrema importância na batalha global contra o cibercrime. Esta sessão foi preparada com vista a proporcionar aos delegados uma compreensão abrangente de cooperação pública privada, dentro de um contexto nacional e internacional. Esta sessão foi dividida em quatro partes, além de uma introdução e uma conclusão. A primeira parte abrange as definições básicas dos termos incluindo os dados da nuvem, bem como os desafios impostos pelos dados da nuvem para leis processuais relativas às provas eletrónicas. A segunda parte trata da cooperação pública privada num contexto nacional, incluindo cooperação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obrigatória e voluntária. A terceira parte abrange a cooperação pública privada num contexto internacional, incluindo a cooperação obrigatória, cooperação voluntária com um mandato legal e cooperação voluntária com um mandato legal. A quarta parte contém estudos de caso que foram preparados com vista a permitir os formadores a testar o conhecimento adquirido pelos delegados neste módulo e nos módulos anteriores em direito substancial, direito processual e cooperação internacional.</w:t>
            </w:r>
            <w:r w:rsidR="00770395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3406F3" w:rsidRPr="003406F3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lastRenderedPageBreak/>
              <w:t>Conteúdo da aula</w:t>
            </w:r>
          </w:p>
        </w:tc>
      </w:tr>
      <w:tr w:rsidR="003406F3" w:rsidRPr="003406F3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 w14:paraId="11A12D7E" w14:textId="77777777" w:rsidTr="00DB09DC">
        <w:trPr>
          <w:trHeight w:val="530"/>
        </w:trPr>
        <w:tc>
          <w:tcPr>
            <w:tcW w:w="1615" w:type="dxa"/>
            <w:vAlign w:val="center"/>
          </w:tcPr>
          <w:p w14:paraId="5A89CF27" w14:textId="3D54ED1A" w:rsidR="00D82C18" w:rsidRPr="003406F3" w:rsidRDefault="003630ED" w:rsidP="00A53D26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5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281A5A31"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primeiros slides expõem a estrutura e objetivos desta sessão. Os delegados devem ter a oportunidade de fazer quaisquer perguntas preliminares que possam ter relativamente à estrutura e objetivos da sessão.</w:t>
            </w:r>
          </w:p>
        </w:tc>
      </w:tr>
      <w:tr w:rsidR="003406F3" w:rsidRPr="003406F3" w14:paraId="65F07CB5" w14:textId="77777777" w:rsidTr="00CF0C7C">
        <w:trPr>
          <w:trHeight w:val="1241"/>
        </w:trPr>
        <w:tc>
          <w:tcPr>
            <w:tcW w:w="1615" w:type="dxa"/>
            <w:vAlign w:val="center"/>
          </w:tcPr>
          <w:p w14:paraId="6F5AEB2D" w14:textId="20628FFA" w:rsidR="00D82C18" w:rsidRPr="003406F3" w:rsidRDefault="00A53D26" w:rsidP="00A53D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 a 17</w:t>
            </w:r>
          </w:p>
        </w:tc>
        <w:tc>
          <w:tcPr>
            <w:tcW w:w="7395" w:type="dxa"/>
            <w:gridSpan w:val="2"/>
            <w:vAlign w:val="center"/>
          </w:tcPr>
          <w:p w14:paraId="649FEA68" w14:textId="5D8D3392" w:rsidR="003406F3" w:rsidRPr="003406F3" w:rsidRDefault="0036129C" w:rsidP="0079197D">
            <w:pPr>
              <w:pStyle w:val="Subttulo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>Estes slides apresentam aos delegados algumas definições básicas que são pertinentes para as restantes partes da sessão. Alguns termos que foram definidos nesta secção foram abrangidos noutros módulos e o formador pode selecionar para ignorar os slides marcados como não importantes ou abrangê-los brevemente. Esta secção também apresenta os delegados ao trabalho do Grupo de Provas em Nuvem.</w:t>
            </w:r>
          </w:p>
        </w:tc>
      </w:tr>
      <w:tr w:rsidR="003406F3" w:rsidRPr="003406F3" w14:paraId="3236CF7B" w14:textId="77777777" w:rsidTr="001B428D">
        <w:trPr>
          <w:trHeight w:val="2015"/>
        </w:trPr>
        <w:tc>
          <w:tcPr>
            <w:tcW w:w="1615" w:type="dxa"/>
            <w:vAlign w:val="center"/>
          </w:tcPr>
          <w:p w14:paraId="63F93ACC" w14:textId="7F297766" w:rsidR="00A00A58" w:rsidRPr="003406F3" w:rsidRDefault="0079197D" w:rsidP="003F60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18 a 40</w:t>
            </w:r>
          </w:p>
        </w:tc>
        <w:tc>
          <w:tcPr>
            <w:tcW w:w="7395" w:type="dxa"/>
            <w:gridSpan w:val="2"/>
            <w:vAlign w:val="center"/>
          </w:tcPr>
          <w:p w14:paraId="6B518A62" w14:textId="2963706C" w:rsidR="0033609D" w:rsidRPr="003406F3" w:rsidRDefault="0079197D" w:rsidP="007F2601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abrangem a cooperação entre os setores públicos e privados num contexto nacional, obrigatório e voluntário. É recomendada uma breve explicação de lei nacional que permite esta cooperação, com exemplos de como estes poderes processuais podem ser exercidos em relação ao prestador de serviços nacional. Espera-se também que o formador discuta exemplos, caso existam, de notas explicativas de entendimento ou acordos formais entre organismos do setor privado e agências do setor público em relação à cooperação em questões relacionadas com cibercrime e provas eletrónicas. O formador deve esclarecer aos delegados que todos os poderes processuais internos se aplicam aos dados em nuvem. </w:t>
            </w:r>
          </w:p>
        </w:tc>
      </w:tr>
      <w:tr w:rsidR="003406F3" w:rsidRPr="003406F3" w14:paraId="5AA3C4AD" w14:textId="77777777" w:rsidTr="000509A6">
        <w:trPr>
          <w:trHeight w:val="557"/>
        </w:trPr>
        <w:tc>
          <w:tcPr>
            <w:tcW w:w="1615" w:type="dxa"/>
            <w:vAlign w:val="center"/>
          </w:tcPr>
          <w:p w14:paraId="07F9F799" w14:textId="6529834F" w:rsidR="00A00A58" w:rsidRPr="003406F3" w:rsidRDefault="007F2601" w:rsidP="003F6045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41 a 72</w:t>
            </w:r>
          </w:p>
        </w:tc>
        <w:tc>
          <w:tcPr>
            <w:tcW w:w="7395" w:type="dxa"/>
            <w:gridSpan w:val="2"/>
            <w:vAlign w:val="center"/>
          </w:tcPr>
          <w:p w14:paraId="604875A9" w14:textId="77777777" w:rsidR="00A9431E" w:rsidRDefault="00A9431E" w:rsidP="00A9431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abrangem a cooperação entre os setores público e privado num contexto internacional. Esta parte do módulo trata de três níveis de cooperação; nomeadamente cooperação obrigatória com mandato legal, cooperação voluntária com mandato legal e cooperação voluntária independentemente do mandato legal. Os slides lidam com cada nível de cooperação individualmente. </w:t>
            </w:r>
          </w:p>
          <w:p w14:paraId="5A7CC07D" w14:textId="2D152E7F" w:rsidR="000509A6" w:rsidRDefault="00A9431E" w:rsidP="009A2F6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Em relação à cooperação obrigatória, espera-se que o formador explique como os canais formais de cooperação internacional permitem que o setor público de um país determine a cooperação do prestador de serviços do setor privado de outro país, solicitando que o segundo país exerça poderes processuais que exigem cooperação do prestador de serviços do setor privado. O formador também deve reiterar a aplicação extraterritorial de ordens de produção e como elas podem permitir a procura de cooperação obrigatória de prestadores de serviços estrangeiros que operam no território, com respeito a informações especificadas do subscritor na posse ou controlo de tal prestador de serviços.</w:t>
            </w:r>
            <w:r w:rsidR="00770395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049F636A" w14:textId="4DF9EE2A" w:rsidR="003F6045" w:rsidRDefault="00A9431E" w:rsidP="009A2F6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No que diz respeito à cooperação voluntária com mandatos legais, o formador deve centrar-se no artigo 32.º da Convenção de Budapeste, que permite o </w:t>
            </w:r>
            <w:r>
              <w:rPr>
                <w:rFonts w:ascii="Verdana" w:hAnsi="Verdana"/>
                <w:sz w:val="18"/>
                <w:szCs w:val="18"/>
              </w:rPr>
              <w:lastRenderedPageBreak/>
              <w:t>acesso transfronteiriço direto a dados de computadores armazenados com consentimento ou quando disponíveis publicamente. Esta secção já foi tratada nos mesmos detalhes no Módulo sobre Cooperação Internacional (1.4.1), de modo que o formador pode decidir utilizar os slides apenas como uma atualização, concentrando-se apenas nos aspetos salientes que podem surgir na colaboração com os prestadores de serviços estrangeiros.</w:t>
            </w:r>
          </w:p>
          <w:p w14:paraId="1B9C6A39" w14:textId="71B59AB1" w:rsidR="009A2F63" w:rsidRPr="003406F3" w:rsidRDefault="009A2F63" w:rsidP="009A2F6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Por fim, estes slides discutem mecanismos pelos quais a cooperação com prestadores de serviços estrangeiros pode ser realizada sem qualquer mandato legal. Esta secção abrange os processos adotados por alguns prestadores de serviços para cooperação direta. </w:t>
            </w:r>
          </w:p>
        </w:tc>
      </w:tr>
      <w:tr w:rsidR="00DB09DC" w:rsidRPr="003406F3" w14:paraId="29253992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7CB27A05" w14:textId="1DB15CA6" w:rsidR="00DB09DC" w:rsidRDefault="009A2F63" w:rsidP="000509A6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74 a 83</w:t>
            </w:r>
          </w:p>
        </w:tc>
        <w:tc>
          <w:tcPr>
            <w:tcW w:w="7395" w:type="dxa"/>
            <w:gridSpan w:val="2"/>
            <w:vAlign w:val="center"/>
          </w:tcPr>
          <w:p w14:paraId="660000A2" w14:textId="0F26080E" w:rsidR="00DB09DC" w:rsidRDefault="009A2F63" w:rsidP="009A2F63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enumeram as considerações que devem ser consideradas ao cooperar com prestadores de serviços estrangeiros. Espera-se que o formador forneça informações aos delegados sobres estas considerações, de modo a destacar a função dos delegados em garantir a cooperação eficaz com estes prestadores de serviços.</w:t>
            </w:r>
          </w:p>
        </w:tc>
      </w:tr>
      <w:tr w:rsidR="009A2F63" w:rsidRPr="003406F3" w14:paraId="0951A486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5D758CF8" w14:textId="7626E9DE" w:rsidR="009A2F63" w:rsidRDefault="009A2F63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84 a 103</w:t>
            </w:r>
          </w:p>
        </w:tc>
        <w:tc>
          <w:tcPr>
            <w:tcW w:w="7395" w:type="dxa"/>
            <w:gridSpan w:val="2"/>
            <w:vAlign w:val="center"/>
          </w:tcPr>
          <w:p w14:paraId="01ADF30B" w14:textId="620E5C25" w:rsidR="009A2F63" w:rsidRDefault="009A2F63" w:rsidP="009A2F63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contêm estudos de caso individuais. Cada estudo de caso consiste em breves factos relacionados com os materiais abordados na sessão. O formador deve primeiro ler os factos de um estudo de caso e, em seguida, dar aos delegados uma oportunidade de propor respostas. O formador pode ter de intervir e orientar os delegados relativamente a possíveis respostas. O formador deve garantir que esta parte da sessão é interativa, pois dará ao formador a oportunidade de avaliar se a formação foi eficaz.</w:t>
            </w:r>
          </w:p>
        </w:tc>
      </w:tr>
      <w:tr w:rsidR="003406F3" w:rsidRPr="003406F3" w14:paraId="07D9F9A7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0F0112E8" w14:textId="5D5BF9CF" w:rsidR="00A00A58" w:rsidRPr="003406F3" w:rsidRDefault="009A2F63" w:rsidP="007C58CF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104 a 107</w:t>
            </w:r>
          </w:p>
        </w:tc>
        <w:tc>
          <w:tcPr>
            <w:tcW w:w="7395" w:type="dxa"/>
            <w:gridSpan w:val="2"/>
            <w:vAlign w:val="center"/>
          </w:tcPr>
          <w:p w14:paraId="373F061B" w14:textId="67C52077" w:rsidR="00A00A58" w:rsidRPr="003406F3" w:rsidRDefault="00FC677E" w:rsidP="00B468A3">
            <w:pPr>
              <w:spacing w:before="120" w:after="120" w:line="280" w:lineRule="exact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formador deve recapitular os objetivos da sessão com os delegados e dar-lhes a oportunidade de fazer perguntas relacionadas com o material abrangido neste módulo.</w:t>
            </w:r>
          </w:p>
        </w:tc>
      </w:tr>
      <w:tr w:rsidR="003406F3" w:rsidRPr="003406F3" w14:paraId="2ECF09B7" w14:textId="77777777" w:rsidTr="00CB3026">
        <w:trPr>
          <w:trHeight w:val="1412"/>
        </w:trPr>
        <w:tc>
          <w:tcPr>
            <w:tcW w:w="9010" w:type="dxa"/>
            <w:gridSpan w:val="3"/>
            <w:vAlign w:val="center"/>
          </w:tcPr>
          <w:p w14:paraId="55ED1F4B" w14:textId="77777777"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14:paraId="04D65D89" w14:textId="6D5C4DD0" w:rsidR="00CB3026" w:rsidRPr="003406F3" w:rsidRDefault="00CB3026" w:rsidP="004639E3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são previstos exercícios práticos para esta aula.</w:t>
            </w:r>
          </w:p>
        </w:tc>
      </w:tr>
      <w:tr w:rsidR="003406F3" w:rsidRPr="003406F3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Avaliação de conhecimentos</w:t>
            </w:r>
          </w:p>
          <w:p w14:paraId="4496975B" w14:textId="637D9668" w:rsidR="00CB3026" w:rsidRPr="003406F3" w:rsidRDefault="00B468A3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foi apresentada uma avaliação formal para esta sessão. O formador é encorajado a verificar o conhecimento e compreensão ao fazer perguntas importantes ao longo da sessão. O formador também deve utilizar os estudos de caso para avaliar se os objetivos da sessão foram cumpridos.</w:t>
            </w:r>
          </w:p>
        </w:tc>
      </w:tr>
    </w:tbl>
    <w:p w14:paraId="15498912" w14:textId="77777777"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Verdana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509A6"/>
    <w:rsid w:val="00105DD4"/>
    <w:rsid w:val="00175ADE"/>
    <w:rsid w:val="00185B76"/>
    <w:rsid w:val="001B428D"/>
    <w:rsid w:val="001B5DAD"/>
    <w:rsid w:val="00271010"/>
    <w:rsid w:val="0027512B"/>
    <w:rsid w:val="002F375E"/>
    <w:rsid w:val="0033609D"/>
    <w:rsid w:val="003406F3"/>
    <w:rsid w:val="0036129C"/>
    <w:rsid w:val="003630ED"/>
    <w:rsid w:val="00397FEA"/>
    <w:rsid w:val="003E0EDB"/>
    <w:rsid w:val="003F6045"/>
    <w:rsid w:val="004639E3"/>
    <w:rsid w:val="0051122C"/>
    <w:rsid w:val="00534FB7"/>
    <w:rsid w:val="005703B7"/>
    <w:rsid w:val="00594B3F"/>
    <w:rsid w:val="005951B6"/>
    <w:rsid w:val="005A4E47"/>
    <w:rsid w:val="006B6864"/>
    <w:rsid w:val="007169BB"/>
    <w:rsid w:val="00761BA4"/>
    <w:rsid w:val="00770395"/>
    <w:rsid w:val="0079197D"/>
    <w:rsid w:val="007B75A9"/>
    <w:rsid w:val="007C58CF"/>
    <w:rsid w:val="007F2601"/>
    <w:rsid w:val="00823B30"/>
    <w:rsid w:val="008E3FE7"/>
    <w:rsid w:val="009277BD"/>
    <w:rsid w:val="0094072C"/>
    <w:rsid w:val="009A2F63"/>
    <w:rsid w:val="00A00A58"/>
    <w:rsid w:val="00A03CF0"/>
    <w:rsid w:val="00A4110D"/>
    <w:rsid w:val="00A53D26"/>
    <w:rsid w:val="00A734A5"/>
    <w:rsid w:val="00A9431E"/>
    <w:rsid w:val="00AF62EC"/>
    <w:rsid w:val="00B03741"/>
    <w:rsid w:val="00B468A3"/>
    <w:rsid w:val="00B569A5"/>
    <w:rsid w:val="00B71D66"/>
    <w:rsid w:val="00C541A2"/>
    <w:rsid w:val="00CB02C4"/>
    <w:rsid w:val="00CB3026"/>
    <w:rsid w:val="00CF0C7C"/>
    <w:rsid w:val="00D82C18"/>
    <w:rsid w:val="00D944B5"/>
    <w:rsid w:val="00DB09DC"/>
    <w:rsid w:val="00E13BE7"/>
    <w:rsid w:val="00E17E67"/>
    <w:rsid w:val="00E55549"/>
    <w:rsid w:val="00E7344B"/>
    <w:rsid w:val="00E95703"/>
    <w:rsid w:val="00F35B67"/>
    <w:rsid w:val="00F62A15"/>
    <w:rsid w:val="00F813A3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docId w15:val="{6A0AEA66-54FF-4700-A602-BDC6767DE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3</Pages>
  <Words>1182</Words>
  <Characters>6387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w701</cp:lastModifiedBy>
  <cp:revision>15</cp:revision>
  <dcterms:created xsi:type="dcterms:W3CDTF">2017-05-23T08:37:00Z</dcterms:created>
  <dcterms:modified xsi:type="dcterms:W3CDTF">2018-09-07T00:46:00Z</dcterms:modified>
</cp:coreProperties>
</file>