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8F" w:rsidRPr="00CC5C3C" w:rsidRDefault="00337A9B" w:rsidP="008B478F">
      <w:pPr>
        <w:pStyle w:val="Title"/>
        <w:jc w:val="center"/>
        <w:rPr>
          <w:rFonts w:ascii="Arial" w:eastAsia="MyriadPro-Cond" w:hAnsi="Arial" w:cs="Arial"/>
          <w:b/>
          <w:lang w:val="fr-FR"/>
        </w:rPr>
      </w:pPr>
      <w:r>
        <w:rPr>
          <w:rFonts w:ascii="Arial" w:eastAsia="MyriadPro-Cond" w:hAnsi="Arial" w:cs="Arial"/>
          <w:b/>
          <w:sz w:val="28"/>
          <w:lang w:val="fr-FR"/>
        </w:rPr>
        <w:t xml:space="preserve">Projet de </w:t>
      </w:r>
      <w:r w:rsidR="00044F49" w:rsidRPr="00CC5C3C">
        <w:rPr>
          <w:rFonts w:ascii="Arial" w:eastAsia="MyriadPro-Cond" w:hAnsi="Arial" w:cs="Arial"/>
          <w:b/>
          <w:sz w:val="28"/>
          <w:lang w:val="fr-FR"/>
        </w:rPr>
        <w:t>Déclaration de Copenhague</w:t>
      </w:r>
    </w:p>
    <w:p w:rsidR="008B478F" w:rsidRPr="00CC5C3C" w:rsidRDefault="008B478F" w:rsidP="008B478F">
      <w:pPr>
        <w:autoSpaceDE w:val="0"/>
        <w:autoSpaceDN w:val="0"/>
        <w:adjustRightInd w:val="0"/>
        <w:spacing w:after="0" w:line="240" w:lineRule="auto"/>
        <w:rPr>
          <w:rFonts w:ascii="Arial" w:eastAsia="MyriadPro-Cond" w:hAnsi="Arial" w:cs="Arial"/>
          <w:sz w:val="20"/>
          <w:szCs w:val="20"/>
          <w:lang w:val="fr-FR"/>
        </w:rPr>
      </w:pPr>
    </w:p>
    <w:p w:rsidR="00044F49" w:rsidRPr="00CC5C3C" w:rsidRDefault="00044F49" w:rsidP="00CA01B3">
      <w:pPr>
        <w:spacing w:line="240" w:lineRule="auto"/>
        <w:rPr>
          <w:rFonts w:ascii="Arial" w:hAnsi="Arial" w:cs="Arial"/>
          <w:sz w:val="20"/>
          <w:szCs w:val="20"/>
          <w:lang w:val="fr-FR"/>
        </w:rPr>
      </w:pPr>
      <w:r w:rsidRPr="00CC5C3C">
        <w:rPr>
          <w:rFonts w:ascii="Arial" w:hAnsi="Arial" w:cs="Arial"/>
          <w:sz w:val="20"/>
          <w:szCs w:val="20"/>
          <w:lang w:val="fr-FR"/>
        </w:rPr>
        <w:t>La Conférence à haut niveau réunie à Copenhague les 12 et 13</w:t>
      </w:r>
      <w:r w:rsidR="00A7541A" w:rsidRPr="00CC5C3C">
        <w:rPr>
          <w:rFonts w:ascii="Arial" w:hAnsi="Arial" w:cs="Arial"/>
          <w:sz w:val="20"/>
          <w:szCs w:val="20"/>
          <w:lang w:val="fr-FR"/>
        </w:rPr>
        <w:t> </w:t>
      </w:r>
      <w:r w:rsidRPr="00CC5C3C">
        <w:rPr>
          <w:rFonts w:ascii="Arial" w:hAnsi="Arial" w:cs="Arial"/>
          <w:sz w:val="20"/>
          <w:szCs w:val="20"/>
          <w:lang w:val="fr-FR"/>
        </w:rPr>
        <w:t>avril 2018 à l'initiative de la présidence danoise du Comité des Ministres du Conseil de l'Europe (« la Conférence ») déclare ce qui suit :</w:t>
      </w:r>
    </w:p>
    <w:p w:rsidR="008B478F" w:rsidRPr="00CC5C3C" w:rsidRDefault="00D26D43" w:rsidP="00CA01B3">
      <w:pPr>
        <w:pStyle w:val="Default"/>
        <w:numPr>
          <w:ilvl w:val="0"/>
          <w:numId w:val="2"/>
        </w:numPr>
        <w:rPr>
          <w:sz w:val="20"/>
          <w:szCs w:val="20"/>
          <w:lang w:val="fr-FR"/>
        </w:rPr>
      </w:pPr>
      <w:r w:rsidRPr="00CC5C3C">
        <w:rPr>
          <w:sz w:val="20"/>
          <w:szCs w:val="20"/>
          <w:lang w:val="fr-FR"/>
        </w:rPr>
        <w:t xml:space="preserve">Les États </w:t>
      </w:r>
      <w:r w:rsidR="00337A9B">
        <w:rPr>
          <w:sz w:val="20"/>
          <w:szCs w:val="20"/>
          <w:lang w:val="fr-FR"/>
        </w:rPr>
        <w:t>P</w:t>
      </w:r>
      <w:r w:rsidRPr="00CC5C3C">
        <w:rPr>
          <w:sz w:val="20"/>
          <w:szCs w:val="20"/>
          <w:lang w:val="fr-FR"/>
        </w:rPr>
        <w:t>arties à la Convention de sauvegarde des droits de l’homme et des libertés fondamentales (« la Convention ») réaffirment leur attachement profond et constant à la Convention et leur engagement fort à l’égard du droit de recours individuel devant la Cour européenne des droits de l’homme (« la Cour ») en tant que pierre angulaire du système de protection des droits et libertés énoncés dans la Convention.</w:t>
      </w:r>
    </w:p>
    <w:p w:rsidR="008B478F" w:rsidRPr="00CC5C3C" w:rsidRDefault="008B478F" w:rsidP="00CA01B3">
      <w:pPr>
        <w:pStyle w:val="Default"/>
        <w:ind w:left="720"/>
        <w:rPr>
          <w:sz w:val="20"/>
          <w:szCs w:val="20"/>
          <w:lang w:val="fr-FR"/>
        </w:rPr>
      </w:pPr>
    </w:p>
    <w:p w:rsidR="00E038D2" w:rsidRPr="00CC5C3C" w:rsidRDefault="00D26D43" w:rsidP="00CA01B3">
      <w:pPr>
        <w:pStyle w:val="ListParagraph"/>
        <w:numPr>
          <w:ilvl w:val="0"/>
          <w:numId w:val="2"/>
        </w:numPr>
        <w:autoSpaceDE w:val="0"/>
        <w:autoSpaceDN w:val="0"/>
        <w:adjustRightInd w:val="0"/>
        <w:spacing w:after="0" w:line="240" w:lineRule="auto"/>
        <w:rPr>
          <w:rFonts w:ascii="Arial" w:hAnsi="Arial" w:cs="Arial"/>
          <w:color w:val="000000"/>
          <w:sz w:val="20"/>
          <w:szCs w:val="20"/>
          <w:lang w:val="fr-FR"/>
        </w:rPr>
      </w:pPr>
      <w:r w:rsidRPr="00CC5C3C">
        <w:rPr>
          <w:rFonts w:ascii="Arial" w:hAnsi="Arial" w:cs="Arial"/>
          <w:color w:val="000000"/>
          <w:sz w:val="20"/>
          <w:szCs w:val="20"/>
          <w:lang w:val="fr-FR"/>
        </w:rPr>
        <w:t>Le système de la</w:t>
      </w:r>
      <w:r w:rsidR="009F7FD2" w:rsidRPr="00CC5C3C">
        <w:rPr>
          <w:rFonts w:ascii="Arial" w:hAnsi="Arial" w:cs="Arial"/>
          <w:color w:val="000000"/>
          <w:sz w:val="20"/>
          <w:szCs w:val="20"/>
          <w:lang w:val="fr-FR"/>
        </w:rPr>
        <w:t xml:space="preserve"> Convention </w:t>
      </w:r>
      <w:r w:rsidR="00E038D2" w:rsidRPr="00CC5C3C">
        <w:rPr>
          <w:rFonts w:ascii="Arial" w:hAnsi="Arial" w:cs="Arial"/>
          <w:color w:val="000000"/>
          <w:sz w:val="20"/>
          <w:szCs w:val="20"/>
          <w:lang w:val="fr-FR"/>
        </w:rPr>
        <w:t xml:space="preserve">a apporté une </w:t>
      </w:r>
      <w:r w:rsidRPr="00CC5C3C">
        <w:rPr>
          <w:rFonts w:ascii="Arial" w:hAnsi="Arial" w:cs="Arial"/>
          <w:color w:val="000000"/>
          <w:sz w:val="20"/>
          <w:szCs w:val="20"/>
          <w:lang w:val="fr-FR"/>
        </w:rPr>
        <w:t xml:space="preserve">immense contribution à la protection et au développement des droits de l’homme </w:t>
      </w:r>
      <w:r w:rsidR="00E038D2" w:rsidRPr="00CC5C3C">
        <w:rPr>
          <w:rFonts w:ascii="Arial" w:hAnsi="Arial" w:cs="Arial"/>
          <w:color w:val="000000"/>
          <w:sz w:val="20"/>
          <w:szCs w:val="20"/>
          <w:lang w:val="fr-FR"/>
        </w:rPr>
        <w:t xml:space="preserve">et de l’État de droit </w:t>
      </w:r>
      <w:r w:rsidRPr="00CC5C3C">
        <w:rPr>
          <w:rFonts w:ascii="Arial" w:hAnsi="Arial" w:cs="Arial"/>
          <w:color w:val="000000"/>
          <w:sz w:val="20"/>
          <w:szCs w:val="20"/>
          <w:lang w:val="fr-FR"/>
        </w:rPr>
        <w:t xml:space="preserve">en Europe depuis sa mise en place et </w:t>
      </w:r>
      <w:r w:rsidR="00E038D2" w:rsidRPr="00CC5C3C">
        <w:rPr>
          <w:rFonts w:ascii="Arial" w:hAnsi="Arial" w:cs="Arial"/>
          <w:color w:val="000000"/>
          <w:sz w:val="20"/>
          <w:szCs w:val="20"/>
          <w:lang w:val="fr-FR"/>
        </w:rPr>
        <w:t xml:space="preserve">joue aujourd’hui un </w:t>
      </w:r>
      <w:r w:rsidRPr="00CC5C3C">
        <w:rPr>
          <w:rFonts w:ascii="Arial" w:hAnsi="Arial" w:cs="Arial"/>
          <w:color w:val="000000"/>
          <w:sz w:val="20"/>
          <w:szCs w:val="20"/>
          <w:lang w:val="fr-FR"/>
        </w:rPr>
        <w:t xml:space="preserve">rôle central dans le maintien de la </w:t>
      </w:r>
      <w:r w:rsidR="00E038D2" w:rsidRPr="00CC5C3C">
        <w:rPr>
          <w:rFonts w:ascii="Arial" w:hAnsi="Arial" w:cs="Arial"/>
          <w:color w:val="000000"/>
          <w:sz w:val="20"/>
          <w:szCs w:val="20"/>
          <w:lang w:val="fr-FR"/>
        </w:rPr>
        <w:t>sécurité</w:t>
      </w:r>
      <w:r w:rsidRPr="00CC5C3C">
        <w:rPr>
          <w:rFonts w:ascii="Arial" w:hAnsi="Arial" w:cs="Arial"/>
          <w:color w:val="000000"/>
          <w:sz w:val="20"/>
          <w:szCs w:val="20"/>
          <w:lang w:val="fr-FR"/>
        </w:rPr>
        <w:t xml:space="preserve"> démocratique </w:t>
      </w:r>
      <w:r w:rsidR="00E038D2" w:rsidRPr="00CC5C3C">
        <w:rPr>
          <w:rFonts w:ascii="Arial" w:hAnsi="Arial" w:cs="Arial"/>
          <w:color w:val="000000"/>
          <w:sz w:val="20"/>
          <w:szCs w:val="20"/>
          <w:lang w:val="fr-FR"/>
        </w:rPr>
        <w:t xml:space="preserve">et l’amélioration de la bonne gouvernance </w:t>
      </w:r>
      <w:r w:rsidRPr="00CC5C3C">
        <w:rPr>
          <w:rFonts w:ascii="Arial" w:hAnsi="Arial" w:cs="Arial"/>
          <w:color w:val="000000"/>
          <w:sz w:val="20"/>
          <w:szCs w:val="20"/>
          <w:lang w:val="fr-FR"/>
        </w:rPr>
        <w:t>sur l’ensemble du continent</w:t>
      </w:r>
      <w:r w:rsidR="00E859B5" w:rsidRPr="00CC5C3C">
        <w:rPr>
          <w:rFonts w:ascii="Arial" w:hAnsi="Arial" w:cs="Arial"/>
          <w:color w:val="000000"/>
          <w:sz w:val="20"/>
          <w:szCs w:val="20"/>
          <w:lang w:val="fr-FR"/>
        </w:rPr>
        <w:t>.</w:t>
      </w:r>
    </w:p>
    <w:p w:rsidR="008B478F" w:rsidRPr="00CC5C3C" w:rsidRDefault="008B478F" w:rsidP="00CA01B3">
      <w:pPr>
        <w:autoSpaceDE w:val="0"/>
        <w:autoSpaceDN w:val="0"/>
        <w:adjustRightInd w:val="0"/>
        <w:spacing w:after="0" w:line="240" w:lineRule="auto"/>
        <w:rPr>
          <w:rFonts w:ascii="Arial" w:hAnsi="Arial" w:cs="Arial"/>
          <w:color w:val="000000"/>
          <w:sz w:val="20"/>
          <w:szCs w:val="20"/>
          <w:lang w:val="fr-FR"/>
        </w:rPr>
      </w:pPr>
    </w:p>
    <w:p w:rsidR="00EE412E" w:rsidRPr="00CC5C3C" w:rsidRDefault="00001BC5" w:rsidP="00CA01B3">
      <w:pPr>
        <w:pStyle w:val="Default"/>
        <w:numPr>
          <w:ilvl w:val="0"/>
          <w:numId w:val="2"/>
        </w:numPr>
        <w:rPr>
          <w:sz w:val="20"/>
          <w:szCs w:val="20"/>
          <w:lang w:val="fr-FR"/>
        </w:rPr>
      </w:pPr>
      <w:r w:rsidRPr="00CC5C3C">
        <w:rPr>
          <w:sz w:val="20"/>
          <w:szCs w:val="20"/>
          <w:lang w:val="fr-FR"/>
        </w:rPr>
        <w:t>Le processus de réforme en cours</w:t>
      </w:r>
      <w:r w:rsidR="009F7FD2" w:rsidRPr="00CC5C3C">
        <w:rPr>
          <w:sz w:val="20"/>
          <w:szCs w:val="20"/>
          <w:lang w:val="fr-FR"/>
        </w:rPr>
        <w:t xml:space="preserve">, </w:t>
      </w:r>
      <w:r w:rsidRPr="00CC5C3C">
        <w:rPr>
          <w:sz w:val="20"/>
          <w:szCs w:val="20"/>
          <w:lang w:val="fr-FR"/>
        </w:rPr>
        <w:t>qui a été lancé à la Conférence à haut niveau d’</w:t>
      </w:r>
      <w:r w:rsidR="009F7FD2" w:rsidRPr="00CC5C3C">
        <w:rPr>
          <w:sz w:val="20"/>
          <w:szCs w:val="20"/>
          <w:lang w:val="fr-FR"/>
        </w:rPr>
        <w:t xml:space="preserve">Interlaken </w:t>
      </w:r>
      <w:r w:rsidRPr="00CC5C3C">
        <w:rPr>
          <w:sz w:val="20"/>
          <w:szCs w:val="20"/>
          <w:lang w:val="fr-FR"/>
        </w:rPr>
        <w:t>e</w:t>
      </w:r>
      <w:r w:rsidR="009F7FD2" w:rsidRPr="00CC5C3C">
        <w:rPr>
          <w:sz w:val="20"/>
          <w:szCs w:val="20"/>
          <w:lang w:val="fr-FR"/>
        </w:rPr>
        <w:t xml:space="preserve">n 2010 </w:t>
      </w:r>
      <w:r w:rsidRPr="00CC5C3C">
        <w:rPr>
          <w:sz w:val="20"/>
          <w:szCs w:val="20"/>
          <w:lang w:val="fr-FR"/>
        </w:rPr>
        <w:t>et s’est poursuivi lors des Conférences à haut niveau d’</w:t>
      </w:r>
      <w:r w:rsidR="009F7FD2" w:rsidRPr="00CC5C3C">
        <w:rPr>
          <w:sz w:val="20"/>
          <w:szCs w:val="20"/>
          <w:lang w:val="fr-FR"/>
        </w:rPr>
        <w:t xml:space="preserve">Izmir, </w:t>
      </w:r>
      <w:r w:rsidRPr="00CC5C3C">
        <w:rPr>
          <w:sz w:val="20"/>
          <w:szCs w:val="20"/>
          <w:lang w:val="fr-FR"/>
        </w:rPr>
        <w:t xml:space="preserve">de </w:t>
      </w:r>
      <w:r w:rsidR="009F7FD2" w:rsidRPr="00CC5C3C">
        <w:rPr>
          <w:sz w:val="20"/>
          <w:szCs w:val="20"/>
          <w:lang w:val="fr-FR"/>
        </w:rPr>
        <w:t xml:space="preserve">Brighton </w:t>
      </w:r>
      <w:r w:rsidRPr="00CC5C3C">
        <w:rPr>
          <w:sz w:val="20"/>
          <w:szCs w:val="20"/>
          <w:lang w:val="fr-FR"/>
        </w:rPr>
        <w:t xml:space="preserve">et de Bruxelles, </w:t>
      </w:r>
      <w:r w:rsidR="00BC5002" w:rsidRPr="00CC5C3C">
        <w:rPr>
          <w:sz w:val="20"/>
          <w:szCs w:val="20"/>
          <w:lang w:val="fr-FR"/>
        </w:rPr>
        <w:t>offre</w:t>
      </w:r>
      <w:r w:rsidR="00E5666B" w:rsidRPr="00CC5C3C">
        <w:rPr>
          <w:sz w:val="20"/>
          <w:szCs w:val="20"/>
          <w:lang w:val="fr-FR"/>
        </w:rPr>
        <w:t xml:space="preserve"> une occasion </w:t>
      </w:r>
      <w:r w:rsidR="00BC5002" w:rsidRPr="00CC5C3C">
        <w:rPr>
          <w:sz w:val="20"/>
          <w:szCs w:val="20"/>
          <w:lang w:val="fr-FR"/>
        </w:rPr>
        <w:t xml:space="preserve">importante </w:t>
      </w:r>
      <w:r w:rsidR="00E5666B" w:rsidRPr="00CC5C3C">
        <w:rPr>
          <w:sz w:val="20"/>
          <w:szCs w:val="20"/>
          <w:lang w:val="fr-FR"/>
        </w:rPr>
        <w:t xml:space="preserve">de </w:t>
      </w:r>
      <w:r w:rsidR="00E859B5" w:rsidRPr="00CC5C3C">
        <w:rPr>
          <w:sz w:val="20"/>
          <w:szCs w:val="20"/>
          <w:lang w:val="fr-FR"/>
        </w:rPr>
        <w:t>déterminer</w:t>
      </w:r>
      <w:r w:rsidR="00E5666B" w:rsidRPr="00CC5C3C">
        <w:rPr>
          <w:sz w:val="20"/>
          <w:szCs w:val="20"/>
          <w:lang w:val="fr-FR"/>
        </w:rPr>
        <w:t xml:space="preserve"> la future orientation du système de la Convention et de garantir sa pérennité. En réunissant des acteurs </w:t>
      </w:r>
      <w:r w:rsidR="00DC6646" w:rsidRPr="00CC5C3C">
        <w:rPr>
          <w:sz w:val="20"/>
          <w:szCs w:val="20"/>
          <w:lang w:val="fr-FR"/>
        </w:rPr>
        <w:t xml:space="preserve">pouvant </w:t>
      </w:r>
      <w:r w:rsidR="00E5666B" w:rsidRPr="00CC5C3C">
        <w:rPr>
          <w:sz w:val="20"/>
          <w:szCs w:val="20"/>
          <w:lang w:val="fr-FR"/>
        </w:rPr>
        <w:t xml:space="preserve">engager la responsabilité de leur pays sur le plan politique, il </w:t>
      </w:r>
      <w:r w:rsidR="00E859B5" w:rsidRPr="00CC5C3C">
        <w:rPr>
          <w:sz w:val="20"/>
          <w:szCs w:val="20"/>
          <w:lang w:val="fr-FR"/>
        </w:rPr>
        <w:t>réaffirme</w:t>
      </w:r>
      <w:r w:rsidR="00E5666B" w:rsidRPr="00CC5C3C">
        <w:rPr>
          <w:sz w:val="20"/>
          <w:szCs w:val="20"/>
          <w:lang w:val="fr-FR"/>
        </w:rPr>
        <w:t xml:space="preserve"> l’attachement des États </w:t>
      </w:r>
      <w:r w:rsidR="00337A9B">
        <w:rPr>
          <w:sz w:val="20"/>
          <w:szCs w:val="20"/>
          <w:lang w:val="fr-FR"/>
        </w:rPr>
        <w:t>P</w:t>
      </w:r>
      <w:r w:rsidR="00E5666B" w:rsidRPr="00CC5C3C">
        <w:rPr>
          <w:sz w:val="20"/>
          <w:szCs w:val="20"/>
          <w:lang w:val="fr-FR"/>
        </w:rPr>
        <w:t xml:space="preserve">arties au système de la Convention, </w:t>
      </w:r>
      <w:r w:rsidR="00337A9B">
        <w:rPr>
          <w:sz w:val="20"/>
          <w:szCs w:val="20"/>
          <w:lang w:val="fr-FR"/>
        </w:rPr>
        <w:t>y compris le</w:t>
      </w:r>
      <w:r w:rsidR="00E5666B" w:rsidRPr="00CC5C3C">
        <w:rPr>
          <w:sz w:val="20"/>
          <w:szCs w:val="20"/>
          <w:lang w:val="fr-FR"/>
        </w:rPr>
        <w:t xml:space="preserve"> droit de recours individuel, tout en clarifiant la relation entre les autorités nationales et le </w:t>
      </w:r>
      <w:r w:rsidR="008169E5" w:rsidRPr="00CC5C3C">
        <w:rPr>
          <w:sz w:val="20"/>
          <w:szCs w:val="20"/>
          <w:lang w:val="fr-FR"/>
        </w:rPr>
        <w:t xml:space="preserve">mécanisme </w:t>
      </w:r>
      <w:r w:rsidR="00E5666B" w:rsidRPr="00CC5C3C">
        <w:rPr>
          <w:sz w:val="20"/>
          <w:szCs w:val="20"/>
          <w:lang w:val="fr-FR"/>
        </w:rPr>
        <w:t>de la Convention.</w:t>
      </w:r>
    </w:p>
    <w:p w:rsidR="00EE412E" w:rsidRPr="00CC5C3C" w:rsidRDefault="00EE412E" w:rsidP="00CA01B3">
      <w:pPr>
        <w:autoSpaceDE w:val="0"/>
        <w:autoSpaceDN w:val="0"/>
        <w:adjustRightInd w:val="0"/>
        <w:spacing w:after="0" w:line="240" w:lineRule="auto"/>
        <w:rPr>
          <w:rFonts w:ascii="Arial" w:hAnsi="Arial" w:cs="Arial"/>
          <w:color w:val="000000"/>
          <w:sz w:val="20"/>
          <w:szCs w:val="20"/>
          <w:lang w:val="fr-FR"/>
        </w:rPr>
      </w:pPr>
    </w:p>
    <w:p w:rsidR="00EE412E" w:rsidRPr="00CC5C3C" w:rsidRDefault="00EE412E" w:rsidP="00CA01B3">
      <w:pPr>
        <w:pStyle w:val="Default"/>
        <w:numPr>
          <w:ilvl w:val="0"/>
          <w:numId w:val="2"/>
        </w:numPr>
        <w:rPr>
          <w:sz w:val="20"/>
          <w:szCs w:val="20"/>
          <w:lang w:val="fr-FR"/>
        </w:rPr>
      </w:pPr>
      <w:r w:rsidRPr="00CC5C3C">
        <w:rPr>
          <w:sz w:val="20"/>
          <w:szCs w:val="20"/>
          <w:lang w:val="fr-FR"/>
        </w:rPr>
        <w:t xml:space="preserve">Les États </w:t>
      </w:r>
      <w:r w:rsidR="00337A9B">
        <w:rPr>
          <w:sz w:val="20"/>
          <w:szCs w:val="20"/>
          <w:lang w:val="fr-FR"/>
        </w:rPr>
        <w:t>P</w:t>
      </w:r>
      <w:r w:rsidRPr="00CC5C3C">
        <w:rPr>
          <w:sz w:val="20"/>
          <w:szCs w:val="20"/>
          <w:lang w:val="fr-FR"/>
        </w:rPr>
        <w:t>arties ont souligné la nécessité d</w:t>
      </w:r>
      <w:r w:rsidR="00425F3D" w:rsidRPr="00CC5C3C">
        <w:rPr>
          <w:sz w:val="20"/>
          <w:szCs w:val="20"/>
          <w:lang w:val="fr-FR"/>
        </w:rPr>
        <w:t xml:space="preserve">e parvenir à </w:t>
      </w:r>
      <w:r w:rsidRPr="00CC5C3C">
        <w:rPr>
          <w:sz w:val="20"/>
          <w:szCs w:val="20"/>
          <w:lang w:val="fr-FR"/>
        </w:rPr>
        <w:t>un système de la Convention plus eff</w:t>
      </w:r>
      <w:r w:rsidR="009855C8">
        <w:rPr>
          <w:sz w:val="20"/>
          <w:szCs w:val="20"/>
          <w:lang w:val="fr-FR"/>
        </w:rPr>
        <w:t>ectif</w:t>
      </w:r>
      <w:r w:rsidRPr="00CC5C3C">
        <w:rPr>
          <w:sz w:val="20"/>
          <w:szCs w:val="20"/>
          <w:lang w:val="fr-FR"/>
        </w:rPr>
        <w:t>, ciblé</w:t>
      </w:r>
      <w:r w:rsidR="003D4A67" w:rsidRPr="00CC5C3C">
        <w:rPr>
          <w:sz w:val="20"/>
          <w:szCs w:val="20"/>
          <w:lang w:val="fr-FR"/>
        </w:rPr>
        <w:t xml:space="preserve"> et équilibré</w:t>
      </w:r>
      <w:r w:rsidRPr="00CC5C3C">
        <w:rPr>
          <w:sz w:val="20"/>
          <w:szCs w:val="20"/>
          <w:lang w:val="fr-FR"/>
        </w:rPr>
        <w:t xml:space="preserve">, dans lequel la Cour </w:t>
      </w:r>
      <w:r w:rsidR="009855C8">
        <w:rPr>
          <w:sz w:val="20"/>
          <w:szCs w:val="20"/>
          <w:lang w:val="fr-FR"/>
        </w:rPr>
        <w:t>peut</w:t>
      </w:r>
      <w:r w:rsidRPr="00CC5C3C">
        <w:rPr>
          <w:sz w:val="20"/>
          <w:szCs w:val="20"/>
          <w:lang w:val="fr-FR"/>
        </w:rPr>
        <w:t xml:space="preserve"> concentrer ses efforts sur l’identification des violations graves ou rép</w:t>
      </w:r>
      <w:r w:rsidR="00E859B5" w:rsidRPr="00CC5C3C">
        <w:rPr>
          <w:sz w:val="20"/>
          <w:szCs w:val="20"/>
          <w:lang w:val="fr-FR"/>
        </w:rPr>
        <w:t>a</w:t>
      </w:r>
      <w:r w:rsidRPr="00CC5C3C">
        <w:rPr>
          <w:sz w:val="20"/>
          <w:szCs w:val="20"/>
          <w:lang w:val="fr-FR"/>
        </w:rPr>
        <w:t>ndues, sur les problèmes systémiques et structurels et sur les questions importantes relatives à l’interprétation et à l’application de la Convention.</w:t>
      </w:r>
      <w:r w:rsidR="00A867D2" w:rsidRPr="00CC5C3C">
        <w:rPr>
          <w:sz w:val="20"/>
          <w:szCs w:val="20"/>
          <w:lang w:val="fr-FR"/>
        </w:rPr>
        <w:t xml:space="preserve"> Une grande importance a été accordée au principe de subsidiarité, en vertu duquel la protection des droits de l’homme relève </w:t>
      </w:r>
      <w:r w:rsidR="00195B25" w:rsidRPr="00CC5C3C">
        <w:rPr>
          <w:sz w:val="20"/>
          <w:szCs w:val="20"/>
          <w:lang w:val="fr-FR"/>
        </w:rPr>
        <w:t>d’abord</w:t>
      </w:r>
      <w:r w:rsidR="0054063B" w:rsidRPr="00CC5C3C">
        <w:rPr>
          <w:sz w:val="20"/>
          <w:szCs w:val="20"/>
          <w:lang w:val="fr-FR"/>
        </w:rPr>
        <w:t xml:space="preserve"> </w:t>
      </w:r>
      <w:r w:rsidR="00A867D2" w:rsidRPr="00CC5C3C">
        <w:rPr>
          <w:sz w:val="20"/>
          <w:szCs w:val="20"/>
          <w:lang w:val="fr-FR"/>
        </w:rPr>
        <w:t>des autorités nationales.</w:t>
      </w:r>
    </w:p>
    <w:p w:rsidR="008B478F" w:rsidRPr="00CC5C3C" w:rsidRDefault="008B478F" w:rsidP="00CA01B3">
      <w:pPr>
        <w:pStyle w:val="Default"/>
        <w:ind w:left="720"/>
        <w:rPr>
          <w:sz w:val="20"/>
          <w:szCs w:val="20"/>
          <w:lang w:val="fr-FR"/>
        </w:rPr>
      </w:pPr>
    </w:p>
    <w:p w:rsidR="00324D36" w:rsidRPr="00CC5C3C" w:rsidRDefault="006E59B6" w:rsidP="00CA01B3">
      <w:pPr>
        <w:pStyle w:val="Default"/>
        <w:numPr>
          <w:ilvl w:val="0"/>
          <w:numId w:val="2"/>
        </w:numPr>
        <w:rPr>
          <w:sz w:val="20"/>
          <w:szCs w:val="20"/>
          <w:lang w:val="fr-FR"/>
        </w:rPr>
      </w:pPr>
      <w:r w:rsidRPr="00CC5C3C">
        <w:rPr>
          <w:sz w:val="20"/>
          <w:szCs w:val="20"/>
          <w:lang w:val="fr-FR"/>
        </w:rPr>
        <w:t>Des résultats notables ont été obtenus, en particulier en renforçant la subsidiarité, en améliorant l’</w:t>
      </w:r>
      <w:r w:rsidR="00B02AE1" w:rsidRPr="00CC5C3C">
        <w:rPr>
          <w:sz w:val="20"/>
          <w:szCs w:val="20"/>
          <w:lang w:val="fr-FR"/>
        </w:rPr>
        <w:t xml:space="preserve">efficacité </w:t>
      </w:r>
      <w:r w:rsidRPr="00CC5C3C">
        <w:rPr>
          <w:sz w:val="20"/>
          <w:szCs w:val="20"/>
          <w:lang w:val="fr-FR"/>
        </w:rPr>
        <w:t xml:space="preserve">de la Cour et en répondant à la nécessité d’une </w:t>
      </w:r>
      <w:r w:rsidR="00670AC5" w:rsidRPr="00CC5C3C">
        <w:rPr>
          <w:sz w:val="20"/>
          <w:szCs w:val="20"/>
          <w:lang w:val="fr-FR"/>
        </w:rPr>
        <w:t>meilleure mise en œuvre</w:t>
      </w:r>
      <w:r w:rsidR="00D043C4" w:rsidRPr="00CC5C3C">
        <w:rPr>
          <w:sz w:val="20"/>
          <w:szCs w:val="20"/>
          <w:lang w:val="fr-FR"/>
        </w:rPr>
        <w:t>,</w:t>
      </w:r>
      <w:r w:rsidR="009F7FD2" w:rsidRPr="00CC5C3C">
        <w:rPr>
          <w:sz w:val="20"/>
          <w:szCs w:val="20"/>
          <w:lang w:val="fr-FR"/>
        </w:rPr>
        <w:t xml:space="preserve"> </w:t>
      </w:r>
      <w:r w:rsidR="00D043C4" w:rsidRPr="00CC5C3C">
        <w:rPr>
          <w:sz w:val="20"/>
          <w:szCs w:val="20"/>
          <w:lang w:val="fr-FR"/>
        </w:rPr>
        <w:t>m</w:t>
      </w:r>
      <w:r w:rsidR="00E44378" w:rsidRPr="00CC5C3C">
        <w:rPr>
          <w:sz w:val="20"/>
          <w:szCs w:val="20"/>
          <w:lang w:val="fr-FR"/>
        </w:rPr>
        <w:t xml:space="preserve">ais le système de la Convention </w:t>
      </w:r>
      <w:r w:rsidR="006B6D1B" w:rsidRPr="00CC5C3C">
        <w:rPr>
          <w:sz w:val="20"/>
          <w:szCs w:val="20"/>
          <w:lang w:val="fr-FR"/>
        </w:rPr>
        <w:t xml:space="preserve">est toujours </w:t>
      </w:r>
      <w:r w:rsidR="00576567" w:rsidRPr="00CC5C3C">
        <w:rPr>
          <w:sz w:val="20"/>
          <w:szCs w:val="20"/>
          <w:lang w:val="fr-FR"/>
        </w:rPr>
        <w:t xml:space="preserve">aux prises </w:t>
      </w:r>
      <w:r w:rsidR="006B6D1B" w:rsidRPr="00CC5C3C">
        <w:rPr>
          <w:sz w:val="20"/>
          <w:szCs w:val="20"/>
          <w:lang w:val="fr-FR"/>
        </w:rPr>
        <w:t xml:space="preserve">avec </w:t>
      </w:r>
      <w:r w:rsidR="00E44378" w:rsidRPr="00CC5C3C">
        <w:rPr>
          <w:sz w:val="20"/>
          <w:szCs w:val="20"/>
          <w:lang w:val="fr-FR"/>
        </w:rPr>
        <w:t xml:space="preserve">de </w:t>
      </w:r>
      <w:r w:rsidR="00324D36" w:rsidRPr="00CC5C3C">
        <w:rPr>
          <w:sz w:val="20"/>
          <w:szCs w:val="20"/>
          <w:lang w:val="fr-FR"/>
        </w:rPr>
        <w:t xml:space="preserve">sérieuses </w:t>
      </w:r>
      <w:r w:rsidR="00E44378" w:rsidRPr="00CC5C3C">
        <w:rPr>
          <w:sz w:val="20"/>
          <w:szCs w:val="20"/>
          <w:lang w:val="fr-FR"/>
        </w:rPr>
        <w:t xml:space="preserve">difficultés. </w:t>
      </w:r>
      <w:r w:rsidR="00324D36" w:rsidRPr="00CC5C3C">
        <w:rPr>
          <w:sz w:val="20"/>
          <w:szCs w:val="20"/>
          <w:lang w:val="fr-FR"/>
        </w:rPr>
        <w:t xml:space="preserve">Les </w:t>
      </w:r>
      <w:r w:rsidR="00C75AB4">
        <w:rPr>
          <w:sz w:val="20"/>
          <w:szCs w:val="20"/>
          <w:lang w:val="fr-FR"/>
        </w:rPr>
        <w:t xml:space="preserve">États Parties </w:t>
      </w:r>
      <w:r w:rsidR="00324D36" w:rsidRPr="00CC5C3C">
        <w:rPr>
          <w:sz w:val="20"/>
          <w:szCs w:val="20"/>
          <w:lang w:val="fr-FR"/>
        </w:rPr>
        <w:t xml:space="preserve">restent déterminés à </w:t>
      </w:r>
      <w:r w:rsidR="00FB4444" w:rsidRPr="00CC5C3C">
        <w:rPr>
          <w:sz w:val="20"/>
          <w:szCs w:val="20"/>
          <w:lang w:val="fr-FR"/>
        </w:rPr>
        <w:t xml:space="preserve">évaluer </w:t>
      </w:r>
      <w:r w:rsidR="009855C8">
        <w:rPr>
          <w:sz w:val="20"/>
          <w:szCs w:val="20"/>
          <w:lang w:val="fr-FR"/>
        </w:rPr>
        <w:t>périodiquement l’effe</w:t>
      </w:r>
      <w:r w:rsidR="00324D36" w:rsidRPr="00CC5C3C">
        <w:rPr>
          <w:sz w:val="20"/>
          <w:szCs w:val="20"/>
          <w:lang w:val="fr-FR"/>
        </w:rPr>
        <w:t>c</w:t>
      </w:r>
      <w:r w:rsidR="009855C8">
        <w:rPr>
          <w:sz w:val="20"/>
          <w:szCs w:val="20"/>
          <w:lang w:val="fr-FR"/>
        </w:rPr>
        <w:t>tivi</w:t>
      </w:r>
      <w:r w:rsidR="00324D36" w:rsidRPr="00CC5C3C">
        <w:rPr>
          <w:sz w:val="20"/>
          <w:szCs w:val="20"/>
          <w:lang w:val="fr-FR"/>
        </w:rPr>
        <w:t>té du système de la Convention et à prendre toutes les mesures nécessaires pour garantir son fonctionnement</w:t>
      </w:r>
      <w:r w:rsidR="0028174B" w:rsidRPr="00CC5C3C">
        <w:rPr>
          <w:sz w:val="20"/>
          <w:szCs w:val="20"/>
          <w:lang w:val="fr-FR"/>
        </w:rPr>
        <w:t xml:space="preserve"> eff</w:t>
      </w:r>
      <w:r w:rsidR="009855C8">
        <w:rPr>
          <w:sz w:val="20"/>
          <w:szCs w:val="20"/>
          <w:lang w:val="fr-FR"/>
        </w:rPr>
        <w:t>ectif</w:t>
      </w:r>
      <w:r w:rsidR="00324D36" w:rsidRPr="00CC5C3C">
        <w:rPr>
          <w:sz w:val="20"/>
          <w:szCs w:val="20"/>
          <w:lang w:val="fr-FR"/>
        </w:rPr>
        <w:t>.</w:t>
      </w:r>
    </w:p>
    <w:p w:rsidR="008B478F" w:rsidRPr="00CC5C3C" w:rsidRDefault="008B478F" w:rsidP="00CA01B3">
      <w:pPr>
        <w:pStyle w:val="Default"/>
        <w:ind w:left="720"/>
        <w:rPr>
          <w:sz w:val="20"/>
          <w:szCs w:val="20"/>
          <w:lang w:val="fr-FR"/>
        </w:rPr>
      </w:pPr>
    </w:p>
    <w:p w:rsidR="008B478F" w:rsidRPr="00CC5C3C" w:rsidRDefault="006248E1" w:rsidP="00CA01B3">
      <w:pPr>
        <w:pStyle w:val="Default"/>
        <w:numPr>
          <w:ilvl w:val="0"/>
          <w:numId w:val="2"/>
        </w:numPr>
        <w:rPr>
          <w:sz w:val="20"/>
          <w:szCs w:val="20"/>
          <w:lang w:val="fr-FR"/>
        </w:rPr>
      </w:pPr>
      <w:r w:rsidRPr="00CC5C3C">
        <w:rPr>
          <w:sz w:val="20"/>
          <w:szCs w:val="20"/>
          <w:lang w:val="fr-FR"/>
        </w:rPr>
        <w:t xml:space="preserve">Les États </w:t>
      </w:r>
      <w:r w:rsidR="00337A9B">
        <w:rPr>
          <w:sz w:val="20"/>
          <w:szCs w:val="20"/>
          <w:lang w:val="fr-FR"/>
        </w:rPr>
        <w:t>P</w:t>
      </w:r>
      <w:r w:rsidRPr="00CC5C3C">
        <w:rPr>
          <w:sz w:val="20"/>
          <w:szCs w:val="20"/>
          <w:lang w:val="fr-FR"/>
        </w:rPr>
        <w:t xml:space="preserve">arties </w:t>
      </w:r>
      <w:r w:rsidR="008A3E86" w:rsidRPr="00CC5C3C">
        <w:rPr>
          <w:sz w:val="20"/>
          <w:szCs w:val="20"/>
          <w:lang w:val="fr-FR"/>
        </w:rPr>
        <w:t>s</w:t>
      </w:r>
      <w:r w:rsidRPr="00CC5C3C">
        <w:rPr>
          <w:sz w:val="20"/>
          <w:szCs w:val="20"/>
          <w:lang w:val="fr-FR"/>
        </w:rPr>
        <w:t xml:space="preserve">ont </w:t>
      </w:r>
      <w:r w:rsidR="008A3E86" w:rsidRPr="00CC5C3C">
        <w:rPr>
          <w:sz w:val="20"/>
          <w:szCs w:val="20"/>
          <w:lang w:val="fr-FR"/>
        </w:rPr>
        <w:t xml:space="preserve">convenus </w:t>
      </w:r>
      <w:r w:rsidRPr="00CC5C3C">
        <w:rPr>
          <w:sz w:val="20"/>
          <w:szCs w:val="20"/>
          <w:lang w:val="fr-FR"/>
        </w:rPr>
        <w:t>que le Comité des Ministres dev</w:t>
      </w:r>
      <w:r w:rsidR="008A3E86" w:rsidRPr="00CC5C3C">
        <w:rPr>
          <w:sz w:val="20"/>
          <w:szCs w:val="20"/>
          <w:lang w:val="fr-FR"/>
        </w:rPr>
        <w:t>ra</w:t>
      </w:r>
      <w:r w:rsidRPr="00CC5C3C">
        <w:rPr>
          <w:sz w:val="20"/>
          <w:szCs w:val="20"/>
          <w:lang w:val="fr-FR"/>
        </w:rPr>
        <w:t xml:space="preserve"> se prononcer, avant fin 2019, sur la question de savoir si les mesures prises jusque-là </w:t>
      </w:r>
      <w:r w:rsidR="004E0F89" w:rsidRPr="00CC5C3C">
        <w:rPr>
          <w:sz w:val="20"/>
          <w:szCs w:val="20"/>
          <w:lang w:val="fr-FR"/>
        </w:rPr>
        <w:t>so</w:t>
      </w:r>
      <w:r w:rsidR="008A73FB" w:rsidRPr="00CC5C3C">
        <w:rPr>
          <w:sz w:val="20"/>
          <w:szCs w:val="20"/>
          <w:lang w:val="fr-FR"/>
        </w:rPr>
        <w:t>nt</w:t>
      </w:r>
      <w:r w:rsidRPr="00CC5C3C">
        <w:rPr>
          <w:sz w:val="20"/>
          <w:szCs w:val="20"/>
          <w:lang w:val="fr-FR"/>
        </w:rPr>
        <w:t xml:space="preserve"> suffisantes pour assurer le fonctionnement durable du mécanisme de contrôle de la Convention ou s’il y a lieu d’envisager des changements plus profonds.</w:t>
      </w:r>
      <w:r w:rsidR="004E0F89" w:rsidRPr="00CC5C3C">
        <w:rPr>
          <w:sz w:val="20"/>
          <w:szCs w:val="20"/>
          <w:lang w:val="fr-FR"/>
        </w:rPr>
        <w:t xml:space="preserve"> </w:t>
      </w:r>
      <w:r w:rsidR="009700F6" w:rsidRPr="00CC5C3C">
        <w:rPr>
          <w:sz w:val="20"/>
          <w:szCs w:val="20"/>
          <w:lang w:val="fr-FR"/>
        </w:rPr>
        <w:t>Dans cette perspective</w:t>
      </w:r>
      <w:r w:rsidR="009F7FD2" w:rsidRPr="00CC5C3C">
        <w:rPr>
          <w:sz w:val="20"/>
          <w:szCs w:val="20"/>
          <w:lang w:val="fr-FR"/>
        </w:rPr>
        <w:t xml:space="preserve">, </w:t>
      </w:r>
      <w:r w:rsidR="00D608B5" w:rsidRPr="00CC5C3C">
        <w:rPr>
          <w:sz w:val="20"/>
          <w:szCs w:val="20"/>
          <w:lang w:val="fr-FR"/>
        </w:rPr>
        <w:t xml:space="preserve">la Conférence fait le point sur le processus de réforme afin </w:t>
      </w:r>
      <w:r w:rsidR="00D24BF6" w:rsidRPr="00CC5C3C">
        <w:rPr>
          <w:sz w:val="20"/>
          <w:szCs w:val="20"/>
          <w:lang w:val="fr-FR"/>
        </w:rPr>
        <w:t>d’examiner</w:t>
      </w:r>
      <w:r w:rsidR="00D608B5" w:rsidRPr="00CC5C3C">
        <w:rPr>
          <w:sz w:val="20"/>
          <w:szCs w:val="20"/>
          <w:lang w:val="fr-FR"/>
        </w:rPr>
        <w:t xml:space="preserve"> les défis actuels et </w:t>
      </w:r>
      <w:r w:rsidR="0084760B" w:rsidRPr="00CC5C3C">
        <w:rPr>
          <w:sz w:val="20"/>
          <w:szCs w:val="20"/>
          <w:lang w:val="fr-FR"/>
        </w:rPr>
        <w:t xml:space="preserve">futurs </w:t>
      </w:r>
      <w:r w:rsidR="00D608B5" w:rsidRPr="00CC5C3C">
        <w:rPr>
          <w:sz w:val="20"/>
          <w:szCs w:val="20"/>
          <w:lang w:val="fr-FR"/>
        </w:rPr>
        <w:t xml:space="preserve">et </w:t>
      </w:r>
      <w:r w:rsidR="006F2D3B" w:rsidRPr="00CC5C3C">
        <w:rPr>
          <w:sz w:val="20"/>
          <w:szCs w:val="20"/>
          <w:lang w:val="fr-FR"/>
        </w:rPr>
        <w:t>d</w:t>
      </w:r>
      <w:r w:rsidR="00E62BBD" w:rsidRPr="00CC5C3C">
        <w:rPr>
          <w:sz w:val="20"/>
          <w:szCs w:val="20"/>
          <w:lang w:val="fr-FR"/>
        </w:rPr>
        <w:t xml:space="preserve">e préparer </w:t>
      </w:r>
      <w:r w:rsidR="00D608B5" w:rsidRPr="00CC5C3C">
        <w:rPr>
          <w:sz w:val="20"/>
          <w:szCs w:val="20"/>
          <w:lang w:val="fr-FR"/>
        </w:rPr>
        <w:t>l’échéance de 2019</w:t>
      </w:r>
      <w:r w:rsidR="009F7FD2" w:rsidRPr="00CC5C3C">
        <w:rPr>
          <w:sz w:val="20"/>
          <w:szCs w:val="20"/>
          <w:lang w:val="fr-FR"/>
        </w:rPr>
        <w:t>.</w:t>
      </w:r>
    </w:p>
    <w:p w:rsidR="008B478F" w:rsidRPr="00CC5C3C" w:rsidRDefault="008B478F" w:rsidP="00CA01B3">
      <w:pPr>
        <w:pStyle w:val="Default"/>
        <w:ind w:left="720"/>
        <w:rPr>
          <w:sz w:val="20"/>
          <w:szCs w:val="20"/>
          <w:lang w:val="fr-FR"/>
        </w:rPr>
      </w:pPr>
    </w:p>
    <w:p w:rsidR="008B478F" w:rsidRPr="00CC5C3C" w:rsidRDefault="00686608" w:rsidP="00CA01B3">
      <w:pPr>
        <w:rPr>
          <w:rFonts w:ascii="Arial" w:hAnsi="Arial" w:cs="Arial"/>
          <w:sz w:val="20"/>
          <w:szCs w:val="20"/>
          <w:lang w:val="fr-FR"/>
        </w:rPr>
      </w:pPr>
      <w:r w:rsidRPr="00CC5C3C">
        <w:rPr>
          <w:rFonts w:ascii="Arial" w:hAnsi="Arial" w:cs="Arial"/>
          <w:b/>
          <w:bCs/>
          <w:sz w:val="20"/>
          <w:szCs w:val="20"/>
          <w:lang w:val="fr-FR"/>
        </w:rPr>
        <w:t xml:space="preserve">Responsabilité partagée </w:t>
      </w:r>
      <w:r w:rsidR="009F7FD2" w:rsidRPr="00CC5C3C">
        <w:rPr>
          <w:rFonts w:ascii="Arial" w:hAnsi="Arial" w:cs="Arial"/>
          <w:b/>
          <w:bCs/>
          <w:sz w:val="20"/>
          <w:szCs w:val="20"/>
          <w:lang w:val="fr-FR"/>
        </w:rPr>
        <w:t xml:space="preserve">– </w:t>
      </w:r>
      <w:r w:rsidRPr="00CC5C3C">
        <w:rPr>
          <w:rFonts w:ascii="Arial" w:hAnsi="Arial" w:cs="Arial"/>
          <w:b/>
          <w:bCs/>
          <w:sz w:val="20"/>
          <w:szCs w:val="20"/>
          <w:lang w:val="fr-FR"/>
        </w:rPr>
        <w:t>un meilleur équilibre</w:t>
      </w:r>
      <w:r w:rsidR="009F7FD2" w:rsidRPr="00CC5C3C">
        <w:rPr>
          <w:rFonts w:ascii="Arial" w:hAnsi="Arial" w:cs="Arial"/>
          <w:b/>
          <w:bCs/>
          <w:sz w:val="20"/>
          <w:szCs w:val="20"/>
          <w:lang w:val="fr-FR"/>
        </w:rPr>
        <w:t xml:space="preserve"> </w:t>
      </w:r>
      <w:r w:rsidR="00444F5C" w:rsidRPr="00CC5C3C">
        <w:rPr>
          <w:rFonts w:ascii="Arial" w:hAnsi="Arial" w:cs="Arial"/>
          <w:b/>
          <w:bCs/>
          <w:sz w:val="20"/>
          <w:szCs w:val="20"/>
          <w:lang w:val="fr-FR"/>
        </w:rPr>
        <w:t xml:space="preserve">et </w:t>
      </w:r>
      <w:r w:rsidRPr="00CC5C3C">
        <w:rPr>
          <w:rFonts w:ascii="Arial" w:hAnsi="Arial" w:cs="Arial"/>
          <w:b/>
          <w:bCs/>
          <w:sz w:val="20"/>
          <w:szCs w:val="20"/>
          <w:lang w:val="fr-FR"/>
        </w:rPr>
        <w:t>une protection</w:t>
      </w:r>
      <w:r w:rsidR="00337A9B">
        <w:rPr>
          <w:rFonts w:ascii="Arial" w:hAnsi="Arial" w:cs="Arial"/>
          <w:b/>
          <w:bCs/>
          <w:sz w:val="20"/>
          <w:szCs w:val="20"/>
          <w:lang w:val="fr-FR"/>
        </w:rPr>
        <w:t xml:space="preserve"> améliorée</w:t>
      </w:r>
    </w:p>
    <w:p w:rsidR="008B478F" w:rsidRPr="00CC5C3C" w:rsidRDefault="009354DF"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 xml:space="preserve">Le processus de réforme en cours </w:t>
      </w:r>
      <w:r w:rsidR="009F7FD2" w:rsidRPr="00CC5C3C">
        <w:rPr>
          <w:rFonts w:ascii="Arial" w:hAnsi="Arial" w:cs="Arial"/>
          <w:sz w:val="20"/>
          <w:szCs w:val="20"/>
          <w:lang w:val="fr-FR" w:eastAsia="da-DK"/>
        </w:rPr>
        <w:t xml:space="preserve">a </w:t>
      </w:r>
      <w:r w:rsidRPr="00CC5C3C">
        <w:rPr>
          <w:rFonts w:ascii="Arial" w:hAnsi="Arial" w:cs="Arial"/>
          <w:sz w:val="20"/>
          <w:szCs w:val="20"/>
          <w:lang w:val="fr-FR" w:eastAsia="da-DK"/>
        </w:rPr>
        <w:t xml:space="preserve">permis de créer un modèle </w:t>
      </w:r>
      <w:r w:rsidR="00AB7656" w:rsidRPr="00CC5C3C">
        <w:rPr>
          <w:rFonts w:ascii="Arial" w:hAnsi="Arial" w:cs="Arial"/>
          <w:sz w:val="20"/>
          <w:szCs w:val="20"/>
          <w:lang w:val="fr-FR" w:eastAsia="da-DK"/>
        </w:rPr>
        <w:t>fonctionnel tenant compte</w:t>
      </w:r>
      <w:r w:rsidR="00502CA5" w:rsidRPr="00CC5C3C">
        <w:rPr>
          <w:rFonts w:ascii="Arial" w:hAnsi="Arial" w:cs="Arial"/>
          <w:sz w:val="20"/>
          <w:szCs w:val="20"/>
          <w:lang w:val="fr-FR" w:eastAsia="da-DK"/>
        </w:rPr>
        <w:t xml:space="preserve"> </w:t>
      </w:r>
      <w:r w:rsidR="00AB7656" w:rsidRPr="00CC5C3C">
        <w:rPr>
          <w:rFonts w:ascii="Arial" w:hAnsi="Arial" w:cs="Arial"/>
          <w:sz w:val="20"/>
          <w:szCs w:val="20"/>
          <w:lang w:val="fr-FR" w:eastAsia="da-DK"/>
        </w:rPr>
        <w:t>d</w:t>
      </w:r>
      <w:r w:rsidRPr="00CC5C3C">
        <w:rPr>
          <w:rFonts w:ascii="Arial" w:hAnsi="Arial" w:cs="Arial"/>
          <w:sz w:val="20"/>
          <w:szCs w:val="20"/>
          <w:lang w:val="fr-FR" w:eastAsia="da-DK"/>
        </w:rPr>
        <w:t xml:space="preserve">es rôles respectifs des États </w:t>
      </w:r>
      <w:r w:rsidR="00337A9B">
        <w:rPr>
          <w:rFonts w:ascii="Arial" w:hAnsi="Arial" w:cs="Arial"/>
          <w:sz w:val="20"/>
          <w:szCs w:val="20"/>
          <w:lang w:val="fr-FR" w:eastAsia="da-DK"/>
        </w:rPr>
        <w:t>P</w:t>
      </w:r>
      <w:r w:rsidRPr="00CC5C3C">
        <w:rPr>
          <w:rFonts w:ascii="Arial" w:hAnsi="Arial" w:cs="Arial"/>
          <w:sz w:val="20"/>
          <w:szCs w:val="20"/>
          <w:lang w:val="fr-FR" w:eastAsia="da-DK"/>
        </w:rPr>
        <w:t xml:space="preserve">arties et de la Cour </w:t>
      </w:r>
      <w:r w:rsidR="00502CA5" w:rsidRPr="00CC5C3C">
        <w:rPr>
          <w:rFonts w:ascii="Arial" w:hAnsi="Arial" w:cs="Arial"/>
          <w:sz w:val="20"/>
          <w:szCs w:val="20"/>
          <w:lang w:val="fr-FR" w:eastAsia="da-DK"/>
        </w:rPr>
        <w:t xml:space="preserve">et reposant </w:t>
      </w:r>
      <w:r w:rsidRPr="00CC5C3C">
        <w:rPr>
          <w:rFonts w:ascii="Arial" w:hAnsi="Arial" w:cs="Arial"/>
          <w:sz w:val="20"/>
          <w:szCs w:val="20"/>
          <w:lang w:val="fr-FR" w:eastAsia="da-DK"/>
        </w:rPr>
        <w:t>sur une responsabilité partagée</w:t>
      </w:r>
      <w:r w:rsidR="00502CA5" w:rsidRPr="00CC5C3C">
        <w:rPr>
          <w:rFonts w:ascii="Arial" w:hAnsi="Arial" w:cs="Arial"/>
          <w:sz w:val="20"/>
          <w:szCs w:val="20"/>
          <w:lang w:val="fr-FR" w:eastAsia="da-DK"/>
        </w:rPr>
        <w:t> ;</w:t>
      </w:r>
      <w:r w:rsidRPr="00CC5C3C">
        <w:rPr>
          <w:rFonts w:ascii="Arial" w:hAnsi="Arial" w:cs="Arial"/>
          <w:sz w:val="20"/>
          <w:szCs w:val="20"/>
          <w:lang w:val="fr-FR" w:eastAsia="da-DK"/>
        </w:rPr>
        <w:t xml:space="preserve"> </w:t>
      </w:r>
      <w:r w:rsidR="00502CA5" w:rsidRPr="00CC5C3C">
        <w:rPr>
          <w:rFonts w:ascii="Arial" w:hAnsi="Arial" w:cs="Arial"/>
          <w:sz w:val="20"/>
          <w:szCs w:val="20"/>
          <w:lang w:val="fr-FR" w:eastAsia="da-DK"/>
        </w:rPr>
        <w:t>il s’agit d’</w:t>
      </w:r>
      <w:r w:rsidR="00334E7C" w:rsidRPr="00CC5C3C">
        <w:rPr>
          <w:rFonts w:ascii="Arial" w:hAnsi="Arial" w:cs="Arial"/>
          <w:sz w:val="20"/>
          <w:szCs w:val="20"/>
          <w:lang w:val="fr-FR" w:eastAsia="da-DK"/>
        </w:rPr>
        <w:t xml:space="preserve">une avancée majeure sur laquelle </w:t>
      </w:r>
      <w:r w:rsidR="00502CA5" w:rsidRPr="00CC5C3C">
        <w:rPr>
          <w:rFonts w:ascii="Arial" w:hAnsi="Arial" w:cs="Arial"/>
          <w:sz w:val="20"/>
          <w:szCs w:val="20"/>
          <w:lang w:val="fr-FR" w:eastAsia="da-DK"/>
        </w:rPr>
        <w:t>pourront</w:t>
      </w:r>
      <w:r w:rsidR="00334E7C" w:rsidRPr="00CC5C3C">
        <w:rPr>
          <w:rFonts w:ascii="Arial" w:hAnsi="Arial" w:cs="Arial"/>
          <w:sz w:val="20"/>
          <w:szCs w:val="20"/>
          <w:lang w:val="fr-FR" w:eastAsia="da-DK"/>
        </w:rPr>
        <w:t xml:space="preserve"> </w:t>
      </w:r>
      <w:r w:rsidR="00F96A95" w:rsidRPr="00CC5C3C">
        <w:rPr>
          <w:rFonts w:ascii="Arial" w:hAnsi="Arial" w:cs="Arial"/>
          <w:sz w:val="20"/>
          <w:szCs w:val="20"/>
          <w:lang w:val="fr-FR" w:eastAsia="da-DK"/>
        </w:rPr>
        <w:t xml:space="preserve">s’appuyer </w:t>
      </w:r>
      <w:r w:rsidR="003B1BA8" w:rsidRPr="00CC5C3C">
        <w:rPr>
          <w:rFonts w:ascii="Arial" w:hAnsi="Arial" w:cs="Arial"/>
          <w:sz w:val="20"/>
          <w:szCs w:val="20"/>
          <w:lang w:val="fr-FR" w:eastAsia="da-DK"/>
        </w:rPr>
        <w:t>les</w:t>
      </w:r>
      <w:r w:rsidR="00334E7C" w:rsidRPr="00CC5C3C">
        <w:rPr>
          <w:rFonts w:ascii="Arial" w:hAnsi="Arial" w:cs="Arial"/>
          <w:sz w:val="20"/>
          <w:szCs w:val="20"/>
          <w:lang w:val="fr-FR" w:eastAsia="da-DK"/>
        </w:rPr>
        <w:t xml:space="preserve"> futures réformes.</w:t>
      </w:r>
    </w:p>
    <w:p w:rsidR="008B478F" w:rsidRPr="00CC5C3C" w:rsidRDefault="008B478F" w:rsidP="00CA01B3">
      <w:pPr>
        <w:pStyle w:val="ListParagraph"/>
        <w:spacing w:line="240" w:lineRule="auto"/>
        <w:rPr>
          <w:rFonts w:ascii="Arial" w:hAnsi="Arial" w:cs="Arial"/>
          <w:sz w:val="20"/>
          <w:szCs w:val="20"/>
          <w:lang w:val="fr-FR"/>
        </w:rPr>
      </w:pPr>
    </w:p>
    <w:p w:rsidR="008B478F" w:rsidRPr="00CC5C3C" w:rsidRDefault="00C71991"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 xml:space="preserve">Il </w:t>
      </w:r>
      <w:r w:rsidR="00A5171F" w:rsidRPr="00CC5C3C">
        <w:rPr>
          <w:rFonts w:ascii="Arial" w:hAnsi="Arial" w:cs="Arial"/>
          <w:sz w:val="20"/>
          <w:szCs w:val="20"/>
          <w:lang w:val="fr-FR"/>
        </w:rPr>
        <w:t xml:space="preserve">traduit le fait </w:t>
      </w:r>
      <w:r w:rsidRPr="00CC5C3C">
        <w:rPr>
          <w:rFonts w:ascii="Arial" w:hAnsi="Arial" w:cs="Arial"/>
          <w:sz w:val="20"/>
          <w:szCs w:val="20"/>
          <w:lang w:val="fr-FR"/>
        </w:rPr>
        <w:t xml:space="preserve">que les </w:t>
      </w:r>
      <w:r w:rsidRPr="00CC5C3C">
        <w:rPr>
          <w:rFonts w:ascii="Arial" w:hAnsi="Arial" w:cs="Arial"/>
          <w:sz w:val="20"/>
          <w:szCs w:val="20"/>
          <w:lang w:val="fr-FR" w:eastAsia="da-DK"/>
        </w:rPr>
        <w:t xml:space="preserve">États </w:t>
      </w:r>
      <w:r w:rsidR="00337A9B">
        <w:rPr>
          <w:rFonts w:ascii="Arial" w:hAnsi="Arial" w:cs="Arial"/>
          <w:sz w:val="20"/>
          <w:szCs w:val="20"/>
          <w:lang w:val="fr-FR" w:eastAsia="da-DK"/>
        </w:rPr>
        <w:t>P</w:t>
      </w:r>
      <w:r w:rsidRPr="00CC5C3C">
        <w:rPr>
          <w:rFonts w:ascii="Arial" w:hAnsi="Arial" w:cs="Arial"/>
          <w:sz w:val="20"/>
          <w:szCs w:val="20"/>
          <w:lang w:val="fr-FR" w:eastAsia="da-DK"/>
        </w:rPr>
        <w:t>arties et la Cour partagent la responsabilité de la mise en œuvre effective de la Convention, sur la base du principe fondamental de subsidiarité.</w:t>
      </w:r>
    </w:p>
    <w:p w:rsidR="008B478F" w:rsidRPr="00CC5C3C" w:rsidRDefault="008B478F" w:rsidP="00CA01B3">
      <w:pPr>
        <w:pStyle w:val="ListParagraph"/>
        <w:rPr>
          <w:rFonts w:ascii="Arial" w:hAnsi="Arial" w:cs="Arial"/>
          <w:sz w:val="20"/>
          <w:szCs w:val="20"/>
          <w:lang w:val="fr-FR"/>
        </w:rPr>
      </w:pPr>
    </w:p>
    <w:p w:rsidR="008B478F" w:rsidRPr="00CC5C3C" w:rsidRDefault="005D5D3B"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 xml:space="preserve">Le principe de subsidiarité influe à la fois sur la façon dont les États s’acquittent de leurs obligations et sur la façon dont la Cour exerce ses fonctions. </w:t>
      </w:r>
      <w:r w:rsidR="0016211D" w:rsidRPr="00CC5C3C">
        <w:rPr>
          <w:rFonts w:ascii="Arial" w:hAnsi="Arial" w:cs="Arial"/>
          <w:sz w:val="20"/>
          <w:szCs w:val="20"/>
          <w:lang w:val="fr-FR"/>
        </w:rPr>
        <w:t>Comme l’indique le préambule de la Convention</w:t>
      </w:r>
      <w:r w:rsidR="00D8588E" w:rsidRPr="00CC5C3C">
        <w:rPr>
          <w:rFonts w:ascii="Arial" w:hAnsi="Arial" w:cs="Arial"/>
          <w:sz w:val="20"/>
          <w:szCs w:val="20"/>
          <w:lang w:val="fr-FR"/>
        </w:rPr>
        <w:t xml:space="preserve">, </w:t>
      </w:r>
      <w:r w:rsidR="0016211D" w:rsidRPr="00CC5C3C">
        <w:rPr>
          <w:rFonts w:ascii="Arial" w:hAnsi="Arial" w:cs="Arial"/>
          <w:sz w:val="20"/>
          <w:szCs w:val="20"/>
          <w:lang w:val="fr-FR"/>
        </w:rPr>
        <w:t>tel</w:t>
      </w:r>
      <w:r w:rsidR="001E5458" w:rsidRPr="00CC5C3C">
        <w:rPr>
          <w:rFonts w:ascii="Arial" w:hAnsi="Arial" w:cs="Arial"/>
          <w:sz w:val="20"/>
          <w:szCs w:val="20"/>
          <w:lang w:val="fr-FR"/>
        </w:rPr>
        <w:t>le</w:t>
      </w:r>
      <w:r w:rsidR="0016211D" w:rsidRPr="00CC5C3C">
        <w:rPr>
          <w:rFonts w:ascii="Arial" w:hAnsi="Arial" w:cs="Arial"/>
          <w:sz w:val="20"/>
          <w:szCs w:val="20"/>
          <w:lang w:val="fr-FR"/>
        </w:rPr>
        <w:t xml:space="preserve"> qu</w:t>
      </w:r>
      <w:r w:rsidR="001E5458" w:rsidRPr="00CC5C3C">
        <w:rPr>
          <w:rFonts w:ascii="Arial" w:hAnsi="Arial" w:cs="Arial"/>
          <w:sz w:val="20"/>
          <w:szCs w:val="20"/>
          <w:lang w:val="fr-FR"/>
        </w:rPr>
        <w:t>’amendée</w:t>
      </w:r>
      <w:r w:rsidR="0016211D" w:rsidRPr="00CC5C3C">
        <w:rPr>
          <w:rFonts w:ascii="Arial" w:hAnsi="Arial" w:cs="Arial"/>
          <w:sz w:val="20"/>
          <w:szCs w:val="20"/>
          <w:lang w:val="fr-FR"/>
        </w:rPr>
        <w:t xml:space="preserve"> par le Protocole n° </w:t>
      </w:r>
      <w:r w:rsidR="009F7FD2" w:rsidRPr="00CC5C3C">
        <w:rPr>
          <w:rFonts w:ascii="Arial" w:hAnsi="Arial" w:cs="Arial"/>
          <w:sz w:val="20"/>
          <w:szCs w:val="20"/>
          <w:lang w:val="fr-FR"/>
        </w:rPr>
        <w:t xml:space="preserve">15, </w:t>
      </w:r>
      <w:r w:rsidR="009855C8" w:rsidRPr="00CC5C3C">
        <w:rPr>
          <w:rFonts w:ascii="Arial" w:hAnsi="Arial" w:cs="Arial"/>
          <w:sz w:val="20"/>
          <w:szCs w:val="20"/>
          <w:lang w:val="fr-FR"/>
        </w:rPr>
        <w:t xml:space="preserve">il incombe </w:t>
      </w:r>
      <w:r w:rsidR="0016211D" w:rsidRPr="00CC5C3C">
        <w:rPr>
          <w:rFonts w:ascii="Arial" w:hAnsi="Arial" w:cs="Arial"/>
          <w:sz w:val="20"/>
          <w:szCs w:val="20"/>
          <w:lang w:val="fr-FR"/>
        </w:rPr>
        <w:t xml:space="preserve">aux </w:t>
      </w:r>
      <w:r w:rsidR="0016211D" w:rsidRPr="00CC5C3C">
        <w:rPr>
          <w:rFonts w:ascii="Arial" w:hAnsi="Arial" w:cs="Arial"/>
          <w:sz w:val="20"/>
          <w:szCs w:val="20"/>
          <w:lang w:val="fr-FR" w:eastAsia="da-DK"/>
        </w:rPr>
        <w:t xml:space="preserve">États </w:t>
      </w:r>
      <w:r w:rsidR="00337A9B">
        <w:rPr>
          <w:rFonts w:ascii="Arial" w:hAnsi="Arial" w:cs="Arial"/>
          <w:sz w:val="20"/>
          <w:szCs w:val="20"/>
          <w:lang w:val="fr-FR" w:eastAsia="da-DK"/>
        </w:rPr>
        <w:t>P</w:t>
      </w:r>
      <w:r w:rsidR="0016211D" w:rsidRPr="00CC5C3C">
        <w:rPr>
          <w:rFonts w:ascii="Arial" w:hAnsi="Arial" w:cs="Arial"/>
          <w:sz w:val="20"/>
          <w:szCs w:val="20"/>
          <w:lang w:val="fr-FR" w:eastAsia="da-DK"/>
        </w:rPr>
        <w:t xml:space="preserve">arties </w:t>
      </w:r>
      <w:r w:rsidR="00BB2E3E" w:rsidRPr="00CC5C3C">
        <w:rPr>
          <w:rFonts w:ascii="Arial" w:hAnsi="Arial" w:cs="Arial"/>
          <w:sz w:val="20"/>
          <w:szCs w:val="20"/>
          <w:lang w:val="fr-FR"/>
        </w:rPr>
        <w:t>au premier chef</w:t>
      </w:r>
      <w:r w:rsidR="0016211D" w:rsidRPr="00CC5C3C">
        <w:rPr>
          <w:rFonts w:ascii="Arial" w:hAnsi="Arial" w:cs="Arial"/>
          <w:sz w:val="20"/>
          <w:szCs w:val="20"/>
          <w:lang w:val="fr-FR"/>
        </w:rPr>
        <w:t xml:space="preserve">, conformément au principe de subsidiarité, de garantir le respect des droits et libertés définis dans la Convention et ses </w:t>
      </w:r>
      <w:r w:rsidR="00337A9B">
        <w:rPr>
          <w:rFonts w:ascii="Arial" w:hAnsi="Arial" w:cs="Arial"/>
          <w:sz w:val="20"/>
          <w:szCs w:val="20"/>
          <w:lang w:val="fr-FR"/>
        </w:rPr>
        <w:t>p</w:t>
      </w:r>
      <w:r w:rsidR="0016211D" w:rsidRPr="00CC5C3C">
        <w:rPr>
          <w:rFonts w:ascii="Arial" w:hAnsi="Arial" w:cs="Arial"/>
          <w:sz w:val="20"/>
          <w:szCs w:val="20"/>
          <w:lang w:val="fr-FR"/>
        </w:rPr>
        <w:t>rotocoles</w:t>
      </w:r>
      <w:r w:rsidR="000E43B0" w:rsidRPr="00CC5C3C">
        <w:rPr>
          <w:rFonts w:ascii="Arial" w:hAnsi="Arial" w:cs="Arial"/>
          <w:sz w:val="20"/>
          <w:szCs w:val="20"/>
          <w:lang w:val="fr-FR"/>
        </w:rPr>
        <w:t xml:space="preserve"> ; </w:t>
      </w:r>
      <w:r w:rsidR="009855C8">
        <w:rPr>
          <w:rFonts w:ascii="Arial" w:hAnsi="Arial" w:cs="Arial"/>
          <w:sz w:val="20"/>
          <w:szCs w:val="20"/>
          <w:lang w:val="fr-FR"/>
        </w:rPr>
        <w:t>et</w:t>
      </w:r>
      <w:r w:rsidR="00337A9B">
        <w:rPr>
          <w:rFonts w:ascii="Arial" w:hAnsi="Arial" w:cs="Arial"/>
          <w:sz w:val="20"/>
          <w:szCs w:val="20"/>
          <w:lang w:val="fr-FR"/>
        </w:rPr>
        <w:t>,</w:t>
      </w:r>
      <w:r w:rsidR="009855C8">
        <w:rPr>
          <w:rFonts w:ascii="Arial" w:hAnsi="Arial" w:cs="Arial"/>
          <w:sz w:val="20"/>
          <w:szCs w:val="20"/>
          <w:lang w:val="fr-FR"/>
        </w:rPr>
        <w:t xml:space="preserve"> </w:t>
      </w:r>
      <w:r w:rsidR="0016211D" w:rsidRPr="00CC5C3C">
        <w:rPr>
          <w:rFonts w:ascii="Arial" w:hAnsi="Arial" w:cs="Arial"/>
          <w:sz w:val="20"/>
          <w:szCs w:val="20"/>
          <w:lang w:val="fr-FR"/>
        </w:rPr>
        <w:t xml:space="preserve">ce faisant, </w:t>
      </w:r>
      <w:r w:rsidR="000E43B0" w:rsidRPr="00CC5C3C">
        <w:rPr>
          <w:rFonts w:ascii="Arial" w:hAnsi="Arial" w:cs="Arial"/>
          <w:sz w:val="20"/>
          <w:szCs w:val="20"/>
          <w:lang w:val="fr-FR"/>
        </w:rPr>
        <w:t xml:space="preserve">ils </w:t>
      </w:r>
      <w:r w:rsidR="0016211D" w:rsidRPr="00CC5C3C">
        <w:rPr>
          <w:rFonts w:ascii="Arial" w:hAnsi="Arial" w:cs="Arial"/>
          <w:sz w:val="20"/>
          <w:szCs w:val="20"/>
          <w:lang w:val="fr-FR"/>
        </w:rPr>
        <w:t xml:space="preserve">jouissent d’une marge d’appréciation, sous le contrôle de la </w:t>
      </w:r>
      <w:r w:rsidR="000E43B0" w:rsidRPr="00CC5C3C">
        <w:rPr>
          <w:rFonts w:ascii="Arial" w:hAnsi="Arial" w:cs="Arial"/>
          <w:sz w:val="20"/>
          <w:szCs w:val="20"/>
          <w:lang w:val="fr-FR"/>
        </w:rPr>
        <w:t>Cour.</w:t>
      </w:r>
    </w:p>
    <w:p w:rsidR="008B478F" w:rsidRPr="00CC5C3C" w:rsidRDefault="00F45121" w:rsidP="00CA01B3">
      <w:pPr>
        <w:pStyle w:val="Default"/>
        <w:numPr>
          <w:ilvl w:val="0"/>
          <w:numId w:val="2"/>
        </w:numPr>
        <w:adjustRightInd w:val="0"/>
        <w:rPr>
          <w:sz w:val="20"/>
          <w:szCs w:val="20"/>
          <w:lang w:val="fr-FR"/>
        </w:rPr>
      </w:pPr>
      <w:r w:rsidRPr="00CC5C3C">
        <w:rPr>
          <w:sz w:val="20"/>
          <w:szCs w:val="20"/>
          <w:lang w:val="fr-FR"/>
        </w:rPr>
        <w:lastRenderedPageBreak/>
        <w:t>Il est cohérent avec l’objet et le but de la Convention de s</w:t>
      </w:r>
      <w:r w:rsidR="007A1736" w:rsidRPr="00CC5C3C">
        <w:rPr>
          <w:sz w:val="20"/>
          <w:szCs w:val="20"/>
          <w:lang w:val="fr-FR"/>
        </w:rPr>
        <w:t xml:space="preserve">ouligner l’importance </w:t>
      </w:r>
      <w:r w:rsidR="009855C8">
        <w:rPr>
          <w:sz w:val="20"/>
          <w:szCs w:val="20"/>
          <w:lang w:val="fr-FR"/>
        </w:rPr>
        <w:t xml:space="preserve">de garantir et de déterminer </w:t>
      </w:r>
      <w:r w:rsidR="00FC29B7" w:rsidRPr="00CC5C3C">
        <w:rPr>
          <w:sz w:val="20"/>
          <w:szCs w:val="20"/>
          <w:lang w:val="fr-FR"/>
        </w:rPr>
        <w:t>la</w:t>
      </w:r>
      <w:r w:rsidR="007A1736" w:rsidRPr="00CC5C3C">
        <w:rPr>
          <w:sz w:val="20"/>
          <w:szCs w:val="20"/>
          <w:lang w:val="fr-FR"/>
        </w:rPr>
        <w:t xml:space="preserve"> protection des droits de l’homme au niveau national. Cela correspond également à une </w:t>
      </w:r>
      <w:r w:rsidR="00C92A16" w:rsidRPr="00CC5C3C">
        <w:rPr>
          <w:sz w:val="20"/>
          <w:szCs w:val="20"/>
          <w:lang w:val="fr-FR"/>
        </w:rPr>
        <w:t>étape</w:t>
      </w:r>
      <w:r w:rsidR="007A1736" w:rsidRPr="00CC5C3C">
        <w:rPr>
          <w:sz w:val="20"/>
          <w:szCs w:val="20"/>
          <w:lang w:val="fr-FR"/>
        </w:rPr>
        <w:t xml:space="preserve"> naturelle dans l’évolution du système de la </w:t>
      </w:r>
      <w:r w:rsidR="00A92048" w:rsidRPr="00CC5C3C">
        <w:rPr>
          <w:sz w:val="20"/>
          <w:szCs w:val="20"/>
          <w:lang w:val="fr-FR"/>
        </w:rPr>
        <w:t>Convention et</w:t>
      </w:r>
      <w:r w:rsidR="00F5452B" w:rsidRPr="00CC5C3C">
        <w:rPr>
          <w:sz w:val="20"/>
          <w:szCs w:val="20"/>
          <w:lang w:val="fr-FR"/>
        </w:rPr>
        <w:t xml:space="preserve"> reflète le fait que la Convention a été in</w:t>
      </w:r>
      <w:r w:rsidR="009855C8">
        <w:rPr>
          <w:sz w:val="20"/>
          <w:szCs w:val="20"/>
          <w:lang w:val="fr-FR"/>
        </w:rPr>
        <w:t>corpo</w:t>
      </w:r>
      <w:r w:rsidR="00F5452B" w:rsidRPr="00CC5C3C">
        <w:rPr>
          <w:sz w:val="20"/>
          <w:szCs w:val="20"/>
          <w:lang w:val="fr-FR"/>
        </w:rPr>
        <w:t>rée</w:t>
      </w:r>
      <w:r w:rsidR="00174514" w:rsidRPr="00CC5C3C">
        <w:rPr>
          <w:sz w:val="20"/>
          <w:szCs w:val="20"/>
          <w:lang w:val="fr-FR"/>
        </w:rPr>
        <w:t>,</w:t>
      </w:r>
      <w:r w:rsidR="00F5452B" w:rsidRPr="00CC5C3C">
        <w:rPr>
          <w:sz w:val="20"/>
          <w:szCs w:val="20"/>
          <w:lang w:val="fr-FR"/>
        </w:rPr>
        <w:t xml:space="preserve"> et dans une large mesure </w:t>
      </w:r>
      <w:r w:rsidR="0011386C" w:rsidRPr="00CC5C3C">
        <w:rPr>
          <w:sz w:val="20"/>
          <w:szCs w:val="20"/>
          <w:lang w:val="fr-FR"/>
        </w:rPr>
        <w:t xml:space="preserve">s’est </w:t>
      </w:r>
      <w:r w:rsidR="00A833BD" w:rsidRPr="00CC5C3C">
        <w:rPr>
          <w:sz w:val="20"/>
          <w:szCs w:val="20"/>
          <w:lang w:val="fr-FR"/>
        </w:rPr>
        <w:t>enracinée</w:t>
      </w:r>
      <w:r w:rsidR="00467F9E" w:rsidRPr="00CC5C3C">
        <w:rPr>
          <w:sz w:val="20"/>
          <w:szCs w:val="20"/>
          <w:lang w:val="fr-FR"/>
        </w:rPr>
        <w:t>,</w:t>
      </w:r>
      <w:r w:rsidR="0011386C" w:rsidRPr="00CC5C3C">
        <w:rPr>
          <w:sz w:val="20"/>
          <w:szCs w:val="20"/>
          <w:lang w:val="fr-FR"/>
        </w:rPr>
        <w:t xml:space="preserve"> </w:t>
      </w:r>
      <w:r w:rsidR="00F45427" w:rsidRPr="00CC5C3C">
        <w:rPr>
          <w:sz w:val="20"/>
          <w:szCs w:val="20"/>
          <w:lang w:val="fr-FR"/>
        </w:rPr>
        <w:t xml:space="preserve">dans </w:t>
      </w:r>
      <w:r w:rsidR="00F5452B" w:rsidRPr="00CC5C3C">
        <w:rPr>
          <w:sz w:val="20"/>
          <w:szCs w:val="20"/>
          <w:lang w:val="fr-FR"/>
        </w:rPr>
        <w:t>les systèmes juridiques nationaux des États parties.</w:t>
      </w:r>
      <w:r w:rsidR="00F27F0B" w:rsidRPr="00CC5C3C">
        <w:rPr>
          <w:sz w:val="20"/>
          <w:szCs w:val="20"/>
          <w:lang w:val="fr-FR"/>
        </w:rPr>
        <w:t xml:space="preserve"> </w:t>
      </w:r>
      <w:r w:rsidR="007B0F67" w:rsidRPr="00CC5C3C">
        <w:rPr>
          <w:sz w:val="20"/>
          <w:szCs w:val="20"/>
          <w:lang w:val="fr-FR"/>
        </w:rPr>
        <w:t>Parallèlement</w:t>
      </w:r>
      <w:r w:rsidR="00F27F0B" w:rsidRPr="00CC5C3C">
        <w:rPr>
          <w:sz w:val="20"/>
          <w:szCs w:val="20"/>
          <w:lang w:val="fr-FR"/>
        </w:rPr>
        <w:t xml:space="preserve">, la Cour a formulé des principes généraux </w:t>
      </w:r>
      <w:r w:rsidR="00251512" w:rsidRPr="00CC5C3C">
        <w:rPr>
          <w:sz w:val="20"/>
          <w:szCs w:val="20"/>
          <w:lang w:val="fr-FR"/>
        </w:rPr>
        <w:t>s</w:t>
      </w:r>
      <w:r w:rsidR="00BE7DE4" w:rsidRPr="00CC5C3C">
        <w:rPr>
          <w:sz w:val="20"/>
          <w:szCs w:val="20"/>
          <w:lang w:val="fr-FR"/>
        </w:rPr>
        <w:t xml:space="preserve">ur </w:t>
      </w:r>
      <w:r w:rsidR="00F27F0B" w:rsidRPr="00CC5C3C">
        <w:rPr>
          <w:sz w:val="20"/>
          <w:szCs w:val="20"/>
          <w:lang w:val="fr-FR"/>
        </w:rPr>
        <w:t xml:space="preserve">l’interprétation des droits </w:t>
      </w:r>
      <w:r w:rsidR="00337A9B">
        <w:rPr>
          <w:sz w:val="20"/>
          <w:szCs w:val="20"/>
          <w:lang w:val="fr-FR"/>
        </w:rPr>
        <w:t>protégés</w:t>
      </w:r>
      <w:r w:rsidR="00F27F0B" w:rsidRPr="00CC5C3C">
        <w:rPr>
          <w:sz w:val="20"/>
          <w:szCs w:val="20"/>
          <w:lang w:val="fr-FR"/>
        </w:rPr>
        <w:t xml:space="preserve"> par la Convention. Les conditions ont ainsi été créées pour </w:t>
      </w:r>
      <w:r w:rsidR="00FC29B7" w:rsidRPr="00CC5C3C">
        <w:rPr>
          <w:sz w:val="20"/>
          <w:szCs w:val="20"/>
          <w:lang w:val="fr-FR"/>
        </w:rPr>
        <w:t>que l</w:t>
      </w:r>
      <w:r w:rsidR="002711FF" w:rsidRPr="00CC5C3C">
        <w:rPr>
          <w:sz w:val="20"/>
          <w:szCs w:val="20"/>
          <w:lang w:val="fr-FR"/>
        </w:rPr>
        <w:t xml:space="preserve">es droits de l'homme </w:t>
      </w:r>
      <w:r w:rsidR="00FC29B7" w:rsidRPr="00CC5C3C">
        <w:rPr>
          <w:sz w:val="20"/>
          <w:szCs w:val="20"/>
          <w:lang w:val="fr-FR"/>
        </w:rPr>
        <w:t xml:space="preserve">reviennent </w:t>
      </w:r>
      <w:r w:rsidR="00AC4566" w:rsidRPr="00CC5C3C">
        <w:rPr>
          <w:sz w:val="20"/>
          <w:szCs w:val="20"/>
          <w:lang w:val="fr-FR"/>
        </w:rPr>
        <w:t xml:space="preserve">de plus en plus </w:t>
      </w:r>
      <w:r w:rsidR="00DB4FBA" w:rsidRPr="00CC5C3C">
        <w:rPr>
          <w:sz w:val="20"/>
          <w:szCs w:val="20"/>
          <w:lang w:val="fr-FR"/>
        </w:rPr>
        <w:t xml:space="preserve">dans le giron </w:t>
      </w:r>
      <w:r w:rsidR="00406E89" w:rsidRPr="00CC5C3C">
        <w:rPr>
          <w:sz w:val="20"/>
          <w:szCs w:val="20"/>
          <w:lang w:val="fr-FR"/>
        </w:rPr>
        <w:t>d</w:t>
      </w:r>
      <w:r w:rsidR="00FC29B7" w:rsidRPr="00CC5C3C">
        <w:rPr>
          <w:sz w:val="20"/>
          <w:szCs w:val="20"/>
          <w:lang w:val="fr-FR"/>
        </w:rPr>
        <w:t>e</w:t>
      </w:r>
      <w:r w:rsidR="00406E89" w:rsidRPr="00CC5C3C">
        <w:rPr>
          <w:sz w:val="20"/>
          <w:szCs w:val="20"/>
          <w:lang w:val="fr-FR"/>
        </w:rPr>
        <w:t>s États</w:t>
      </w:r>
      <w:r w:rsidR="00F27F0B" w:rsidRPr="00CC5C3C">
        <w:rPr>
          <w:sz w:val="20"/>
          <w:szCs w:val="20"/>
          <w:lang w:val="fr-FR"/>
        </w:rPr>
        <w:t>.</w:t>
      </w:r>
    </w:p>
    <w:p w:rsidR="008B478F" w:rsidRPr="00CC5C3C" w:rsidRDefault="008B478F" w:rsidP="00CA01B3">
      <w:pPr>
        <w:pStyle w:val="Default"/>
        <w:adjustRightInd w:val="0"/>
        <w:ind w:left="720"/>
        <w:rPr>
          <w:sz w:val="20"/>
          <w:szCs w:val="20"/>
          <w:lang w:val="fr-FR"/>
        </w:rPr>
      </w:pPr>
    </w:p>
    <w:p w:rsidR="008B478F" w:rsidRPr="00CC5C3C" w:rsidRDefault="003A0CFB" w:rsidP="00CA01B3">
      <w:pPr>
        <w:rPr>
          <w:rFonts w:ascii="Arial" w:hAnsi="Arial" w:cs="Arial"/>
          <w:sz w:val="20"/>
          <w:szCs w:val="20"/>
          <w:lang w:val="fr-FR"/>
        </w:rPr>
      </w:pPr>
      <w:r w:rsidRPr="00CC5C3C">
        <w:rPr>
          <w:rFonts w:ascii="Arial" w:hAnsi="Arial" w:cs="Arial"/>
          <w:sz w:val="20"/>
          <w:szCs w:val="20"/>
          <w:lang w:val="fr-FR"/>
        </w:rPr>
        <w:t>En conséquence, la Conférence :</w:t>
      </w:r>
    </w:p>
    <w:p w:rsidR="005D7840" w:rsidRPr="00CC5C3C" w:rsidRDefault="00337A9B" w:rsidP="00CA01B3">
      <w:pPr>
        <w:pStyle w:val="ListParagraph"/>
        <w:numPr>
          <w:ilvl w:val="0"/>
          <w:numId w:val="2"/>
        </w:numPr>
        <w:spacing w:after="0" w:line="240" w:lineRule="auto"/>
        <w:rPr>
          <w:rFonts w:ascii="Arial" w:hAnsi="Arial" w:cs="Arial"/>
          <w:sz w:val="20"/>
          <w:szCs w:val="20"/>
          <w:lang w:val="fr-FR"/>
        </w:rPr>
      </w:pPr>
      <w:r>
        <w:rPr>
          <w:rFonts w:ascii="Arial" w:hAnsi="Arial" w:cs="Arial"/>
          <w:sz w:val="20"/>
          <w:szCs w:val="20"/>
          <w:lang w:val="fr-FR"/>
        </w:rPr>
        <w:t>S</w:t>
      </w:r>
      <w:r w:rsidR="005D7840" w:rsidRPr="00CC5C3C">
        <w:rPr>
          <w:rFonts w:ascii="Arial" w:hAnsi="Arial" w:cs="Arial"/>
          <w:sz w:val="20"/>
          <w:szCs w:val="20"/>
          <w:lang w:val="fr-FR"/>
        </w:rPr>
        <w:t>alue et encourage la notion de responsabilité partagée, en vertu de laquelle un meilleur équilibre pourrait être trouvé entre le</w:t>
      </w:r>
      <w:r w:rsidR="00404AC9" w:rsidRPr="00CC5C3C">
        <w:rPr>
          <w:rFonts w:ascii="Arial" w:hAnsi="Arial" w:cs="Arial"/>
          <w:sz w:val="20"/>
          <w:szCs w:val="20"/>
          <w:lang w:val="fr-FR"/>
        </w:rPr>
        <w:t>s niveaux national</w:t>
      </w:r>
      <w:r w:rsidR="005D7840" w:rsidRPr="00CC5C3C">
        <w:rPr>
          <w:rFonts w:ascii="Arial" w:hAnsi="Arial" w:cs="Arial"/>
          <w:sz w:val="20"/>
          <w:szCs w:val="20"/>
          <w:lang w:val="fr-FR"/>
        </w:rPr>
        <w:t xml:space="preserve"> et européen du système de la Convention et une meilleure protection de</w:t>
      </w:r>
      <w:r>
        <w:rPr>
          <w:rFonts w:ascii="Arial" w:hAnsi="Arial" w:cs="Arial"/>
          <w:sz w:val="20"/>
          <w:szCs w:val="20"/>
          <w:lang w:val="fr-FR"/>
        </w:rPr>
        <w:t>s droits pourrait être assurée</w:t>
      </w:r>
      <w:r w:rsidR="00236B6A">
        <w:rPr>
          <w:rFonts w:ascii="Arial" w:hAnsi="Arial" w:cs="Arial"/>
          <w:sz w:val="20"/>
          <w:szCs w:val="20"/>
          <w:lang w:val="fr-FR"/>
        </w:rPr>
        <w:t> ;</w:t>
      </w:r>
    </w:p>
    <w:p w:rsidR="008B478F" w:rsidRPr="00CC5C3C" w:rsidRDefault="008B478F" w:rsidP="00CA01B3">
      <w:pPr>
        <w:pStyle w:val="ListParagraph"/>
        <w:spacing w:after="0" w:line="240" w:lineRule="auto"/>
        <w:rPr>
          <w:rFonts w:ascii="Arial" w:hAnsi="Arial" w:cs="Arial"/>
          <w:sz w:val="20"/>
          <w:szCs w:val="20"/>
          <w:lang w:val="fr-FR"/>
        </w:rPr>
      </w:pPr>
    </w:p>
    <w:p w:rsidR="00647B09" w:rsidRPr="00CC5C3C" w:rsidRDefault="00337A9B" w:rsidP="00CA01B3">
      <w:pPr>
        <w:pStyle w:val="Default"/>
        <w:numPr>
          <w:ilvl w:val="0"/>
          <w:numId w:val="2"/>
        </w:numPr>
        <w:contextualSpacing/>
        <w:rPr>
          <w:sz w:val="20"/>
          <w:szCs w:val="20"/>
          <w:lang w:val="fr-FR"/>
        </w:rPr>
      </w:pPr>
      <w:r>
        <w:rPr>
          <w:sz w:val="20"/>
          <w:szCs w:val="20"/>
          <w:lang w:val="fr-FR"/>
        </w:rPr>
        <w:t>S</w:t>
      </w:r>
      <w:r w:rsidR="00647B09" w:rsidRPr="00CC5C3C">
        <w:rPr>
          <w:sz w:val="20"/>
          <w:szCs w:val="20"/>
          <w:lang w:val="fr-FR"/>
        </w:rPr>
        <w:t xml:space="preserve">e félicite que la subsidiarité joue de plus en plus souvent un rôle influent dans la jurisprudence de la Cour et en tant que principe d’organisation du système de la Convention, et </w:t>
      </w:r>
      <w:r w:rsidR="00236B6A">
        <w:rPr>
          <w:sz w:val="20"/>
          <w:szCs w:val="20"/>
          <w:lang w:val="fr-FR"/>
        </w:rPr>
        <w:t>encourage à aller dans ce sens ;</w:t>
      </w:r>
    </w:p>
    <w:p w:rsidR="00647B09" w:rsidRPr="00CC5C3C" w:rsidRDefault="00647B09" w:rsidP="00CA01B3">
      <w:pPr>
        <w:pStyle w:val="Default"/>
        <w:ind w:left="720"/>
        <w:contextualSpacing/>
        <w:rPr>
          <w:sz w:val="20"/>
          <w:szCs w:val="20"/>
          <w:lang w:val="fr-FR"/>
        </w:rPr>
      </w:pPr>
    </w:p>
    <w:p w:rsidR="005E75E8" w:rsidRPr="00CC5C3C" w:rsidRDefault="00337A9B" w:rsidP="00CA01B3">
      <w:pPr>
        <w:pStyle w:val="Default"/>
        <w:numPr>
          <w:ilvl w:val="0"/>
          <w:numId w:val="2"/>
        </w:numPr>
        <w:adjustRightInd w:val="0"/>
        <w:rPr>
          <w:sz w:val="20"/>
          <w:szCs w:val="20"/>
          <w:lang w:val="fr-FR"/>
        </w:rPr>
      </w:pPr>
      <w:r>
        <w:rPr>
          <w:sz w:val="20"/>
          <w:szCs w:val="20"/>
          <w:lang w:val="fr-FR"/>
        </w:rPr>
        <w:t>N</w:t>
      </w:r>
      <w:r w:rsidR="005E75E8" w:rsidRPr="00CC5C3C">
        <w:rPr>
          <w:sz w:val="20"/>
          <w:szCs w:val="20"/>
          <w:lang w:val="fr-FR"/>
        </w:rPr>
        <w:t xml:space="preserve">ote que le moyen le plus efficace de traiter les violations des droits de l’homme </w:t>
      </w:r>
      <w:r w:rsidR="005E75E8" w:rsidRPr="00CC5C3C">
        <w:rPr>
          <w:i/>
          <w:sz w:val="20"/>
          <w:szCs w:val="20"/>
          <w:lang w:val="fr-FR"/>
        </w:rPr>
        <w:t>(in fine)</w:t>
      </w:r>
      <w:r w:rsidR="005E75E8" w:rsidRPr="00CC5C3C">
        <w:rPr>
          <w:sz w:val="20"/>
          <w:szCs w:val="20"/>
          <w:lang w:val="fr-FR"/>
        </w:rPr>
        <w:t xml:space="preserve"> est d’agir au niveau national, surtout lorsque le nombre de personnes concernées est tel qu’une solution individuelle à l’échelle in</w:t>
      </w:r>
      <w:r w:rsidR="00647B09" w:rsidRPr="00CC5C3C">
        <w:rPr>
          <w:sz w:val="20"/>
          <w:szCs w:val="20"/>
          <w:lang w:val="fr-FR"/>
        </w:rPr>
        <w:t>t</w:t>
      </w:r>
      <w:r w:rsidR="00236B6A">
        <w:rPr>
          <w:sz w:val="20"/>
          <w:szCs w:val="20"/>
          <w:lang w:val="fr-FR"/>
        </w:rPr>
        <w:t>ernationale n’est pas réaliste ;</w:t>
      </w:r>
    </w:p>
    <w:p w:rsidR="005E75E8" w:rsidRPr="00CC5C3C" w:rsidRDefault="005E75E8" w:rsidP="00CA01B3">
      <w:pPr>
        <w:pStyle w:val="Default"/>
        <w:adjustRightInd w:val="0"/>
        <w:ind w:left="720"/>
        <w:rPr>
          <w:sz w:val="20"/>
          <w:szCs w:val="20"/>
          <w:lang w:val="fr-FR"/>
        </w:rPr>
      </w:pPr>
    </w:p>
    <w:p w:rsidR="005E75E8" w:rsidRPr="00CC5C3C" w:rsidRDefault="00337A9B" w:rsidP="00CA01B3">
      <w:pPr>
        <w:pStyle w:val="Default"/>
        <w:numPr>
          <w:ilvl w:val="0"/>
          <w:numId w:val="2"/>
        </w:numPr>
        <w:contextualSpacing/>
        <w:rPr>
          <w:sz w:val="20"/>
          <w:szCs w:val="20"/>
          <w:lang w:val="fr-FR"/>
        </w:rPr>
      </w:pPr>
      <w:r>
        <w:rPr>
          <w:sz w:val="20"/>
          <w:szCs w:val="20"/>
          <w:lang w:val="fr-FR"/>
        </w:rPr>
        <w:t>A</w:t>
      </w:r>
      <w:r w:rsidR="00647B09" w:rsidRPr="00CC5C3C">
        <w:rPr>
          <w:sz w:val="20"/>
          <w:szCs w:val="20"/>
          <w:lang w:val="fr-FR"/>
        </w:rPr>
        <w:t>ffirme l’importance d’</w:t>
      </w:r>
      <w:r w:rsidR="005E75E8" w:rsidRPr="00CC5C3C">
        <w:rPr>
          <w:sz w:val="20"/>
          <w:szCs w:val="20"/>
          <w:lang w:val="fr-FR"/>
        </w:rPr>
        <w:t xml:space="preserve">emporter l’adhésion de toutes les personnes en Europe et leur soutien aux droits de l’homme, </w:t>
      </w:r>
      <w:r w:rsidR="00CC5DC8" w:rsidRPr="00CC5C3C">
        <w:rPr>
          <w:sz w:val="20"/>
          <w:szCs w:val="20"/>
          <w:lang w:val="fr-FR"/>
        </w:rPr>
        <w:t>c</w:t>
      </w:r>
      <w:r w:rsidR="005E75E8" w:rsidRPr="00CC5C3C">
        <w:rPr>
          <w:sz w:val="20"/>
          <w:szCs w:val="20"/>
          <w:lang w:val="fr-FR"/>
        </w:rPr>
        <w:t>e</w:t>
      </w:r>
      <w:r w:rsidR="00CC5DC8" w:rsidRPr="00CC5C3C">
        <w:rPr>
          <w:sz w:val="20"/>
          <w:szCs w:val="20"/>
          <w:lang w:val="fr-FR"/>
        </w:rPr>
        <w:t>ux-ci</w:t>
      </w:r>
      <w:r w:rsidR="005E75E8" w:rsidRPr="00CC5C3C">
        <w:rPr>
          <w:sz w:val="20"/>
          <w:szCs w:val="20"/>
          <w:lang w:val="fr-FR"/>
        </w:rPr>
        <w:t xml:space="preserve"> </w:t>
      </w:r>
      <w:r w:rsidR="002F5F5C" w:rsidRPr="00CC5C3C">
        <w:rPr>
          <w:sz w:val="20"/>
          <w:szCs w:val="20"/>
          <w:lang w:val="fr-FR"/>
        </w:rPr>
        <w:t xml:space="preserve">devant être </w:t>
      </w:r>
      <w:r w:rsidR="005E75E8" w:rsidRPr="00CC5C3C">
        <w:rPr>
          <w:sz w:val="20"/>
          <w:szCs w:val="20"/>
          <w:lang w:val="fr-FR"/>
        </w:rPr>
        <w:t xml:space="preserve">protégés </w:t>
      </w:r>
      <w:r>
        <w:rPr>
          <w:sz w:val="20"/>
          <w:szCs w:val="20"/>
          <w:lang w:val="fr-FR"/>
        </w:rPr>
        <w:t>p</w:t>
      </w:r>
      <w:r w:rsidR="00236B6A">
        <w:rPr>
          <w:sz w:val="20"/>
          <w:szCs w:val="20"/>
          <w:lang w:val="fr-FR"/>
        </w:rPr>
        <w:t>rincipalement</w:t>
      </w:r>
      <w:r w:rsidR="005E75E8" w:rsidRPr="00CC5C3C">
        <w:rPr>
          <w:sz w:val="20"/>
          <w:szCs w:val="20"/>
          <w:lang w:val="fr-FR"/>
        </w:rPr>
        <w:t xml:space="preserve"> au niveau national par les autorités étatiques conformément à leurs traditions constitutionnelles et compte tenu des circonstances nationales</w:t>
      </w:r>
      <w:r w:rsidR="00236B6A">
        <w:rPr>
          <w:sz w:val="20"/>
          <w:szCs w:val="20"/>
          <w:lang w:val="fr-FR"/>
        </w:rPr>
        <w:t> ;</w:t>
      </w:r>
    </w:p>
    <w:p w:rsidR="005E75E8" w:rsidRPr="00CC5C3C" w:rsidRDefault="005E75E8" w:rsidP="00CA01B3">
      <w:pPr>
        <w:pStyle w:val="Default"/>
        <w:adjustRightInd w:val="0"/>
        <w:ind w:left="720"/>
        <w:rPr>
          <w:sz w:val="20"/>
          <w:szCs w:val="20"/>
          <w:lang w:val="fr-FR"/>
        </w:rPr>
      </w:pPr>
    </w:p>
    <w:p w:rsidR="005D7840" w:rsidRPr="00CC5C3C" w:rsidRDefault="00337A9B" w:rsidP="00CA01B3">
      <w:pPr>
        <w:pStyle w:val="Default"/>
        <w:numPr>
          <w:ilvl w:val="0"/>
          <w:numId w:val="2"/>
        </w:numPr>
        <w:contextualSpacing/>
        <w:rPr>
          <w:sz w:val="20"/>
          <w:szCs w:val="20"/>
          <w:lang w:val="fr-FR"/>
        </w:rPr>
      </w:pPr>
      <w:r>
        <w:rPr>
          <w:sz w:val="20"/>
          <w:szCs w:val="20"/>
          <w:lang w:val="fr-FR"/>
        </w:rPr>
        <w:t>E</w:t>
      </w:r>
      <w:r w:rsidR="005D7840" w:rsidRPr="00CC5C3C">
        <w:rPr>
          <w:sz w:val="20"/>
          <w:szCs w:val="20"/>
          <w:lang w:val="fr-FR"/>
        </w:rPr>
        <w:t xml:space="preserve">ncourage vivement </w:t>
      </w:r>
      <w:r w:rsidR="000F79A5" w:rsidRPr="00CC5C3C">
        <w:rPr>
          <w:sz w:val="20"/>
          <w:szCs w:val="20"/>
          <w:lang w:val="fr-FR"/>
        </w:rPr>
        <w:t>les États qui ne l’ont pas encore fait</w:t>
      </w:r>
      <w:r w:rsidR="009855C8">
        <w:rPr>
          <w:sz w:val="20"/>
          <w:szCs w:val="20"/>
          <w:lang w:val="fr-FR"/>
        </w:rPr>
        <w:t>,</w:t>
      </w:r>
      <w:r w:rsidR="000F79A5" w:rsidRPr="00CC5C3C">
        <w:rPr>
          <w:sz w:val="20"/>
          <w:szCs w:val="20"/>
          <w:lang w:val="fr-FR"/>
        </w:rPr>
        <w:t xml:space="preserve"> à </w:t>
      </w:r>
      <w:r w:rsidR="005D7840" w:rsidRPr="00CC5C3C">
        <w:rPr>
          <w:sz w:val="20"/>
          <w:szCs w:val="20"/>
          <w:lang w:val="fr-FR"/>
        </w:rPr>
        <w:t>ratif</w:t>
      </w:r>
      <w:r w:rsidR="000F79A5" w:rsidRPr="00CC5C3C">
        <w:rPr>
          <w:sz w:val="20"/>
          <w:szCs w:val="20"/>
          <w:lang w:val="fr-FR"/>
        </w:rPr>
        <w:t>ier</w:t>
      </w:r>
      <w:r w:rsidR="005D7840" w:rsidRPr="00CC5C3C">
        <w:rPr>
          <w:sz w:val="20"/>
          <w:szCs w:val="20"/>
          <w:lang w:val="fr-FR"/>
        </w:rPr>
        <w:t xml:space="preserve"> immédiate</w:t>
      </w:r>
      <w:r w:rsidR="000F79A5" w:rsidRPr="00CC5C3C">
        <w:rPr>
          <w:sz w:val="20"/>
          <w:szCs w:val="20"/>
          <w:lang w:val="fr-FR"/>
        </w:rPr>
        <w:t>ment le</w:t>
      </w:r>
      <w:r w:rsidR="005D7840" w:rsidRPr="00CC5C3C">
        <w:rPr>
          <w:sz w:val="20"/>
          <w:szCs w:val="20"/>
          <w:lang w:val="fr-FR"/>
        </w:rPr>
        <w:t xml:space="preserve"> Protocole n°</w:t>
      </w:r>
      <w:r w:rsidR="00AC6392" w:rsidRPr="00CC5C3C">
        <w:rPr>
          <w:sz w:val="20"/>
          <w:szCs w:val="20"/>
          <w:lang w:val="fr-FR"/>
        </w:rPr>
        <w:t> </w:t>
      </w:r>
      <w:r w:rsidR="005D7840" w:rsidRPr="00CC5C3C">
        <w:rPr>
          <w:sz w:val="20"/>
          <w:szCs w:val="20"/>
          <w:lang w:val="fr-FR"/>
        </w:rPr>
        <w:t>15 à la Convention</w:t>
      </w:r>
      <w:r w:rsidR="00647B09" w:rsidRPr="00CC5C3C">
        <w:rPr>
          <w:sz w:val="20"/>
          <w:szCs w:val="20"/>
          <w:lang w:val="fr-FR"/>
        </w:rPr>
        <w:t>.</w:t>
      </w:r>
    </w:p>
    <w:p w:rsidR="008B478F" w:rsidRPr="00CC5C3C" w:rsidRDefault="008B478F" w:rsidP="00CA01B3">
      <w:pPr>
        <w:pStyle w:val="Default"/>
        <w:ind w:left="720"/>
        <w:contextualSpacing/>
        <w:rPr>
          <w:sz w:val="20"/>
          <w:szCs w:val="20"/>
          <w:lang w:val="fr-FR"/>
        </w:rPr>
      </w:pPr>
    </w:p>
    <w:p w:rsidR="008B478F" w:rsidRPr="00CC5C3C" w:rsidRDefault="007937FC" w:rsidP="00CA01B3">
      <w:pPr>
        <w:spacing w:line="240" w:lineRule="auto"/>
        <w:rPr>
          <w:rFonts w:ascii="Arial" w:hAnsi="Arial" w:cs="Arial"/>
          <w:b/>
          <w:sz w:val="20"/>
          <w:szCs w:val="20"/>
          <w:lang w:val="fr-FR"/>
        </w:rPr>
      </w:pPr>
      <w:r w:rsidRPr="00CC5C3C">
        <w:rPr>
          <w:rFonts w:ascii="Arial" w:hAnsi="Arial" w:cs="Arial"/>
          <w:b/>
          <w:sz w:val="20"/>
          <w:szCs w:val="20"/>
          <w:lang w:val="fr-FR"/>
        </w:rPr>
        <w:t>Mise en œuvre n</w:t>
      </w:r>
      <w:r w:rsidR="009F7FD2" w:rsidRPr="00CC5C3C">
        <w:rPr>
          <w:rFonts w:ascii="Arial" w:hAnsi="Arial" w:cs="Arial"/>
          <w:b/>
          <w:sz w:val="20"/>
          <w:szCs w:val="20"/>
          <w:lang w:val="fr-FR"/>
        </w:rPr>
        <w:t>ational</w:t>
      </w:r>
      <w:r w:rsidRPr="00CC5C3C">
        <w:rPr>
          <w:rFonts w:ascii="Arial" w:hAnsi="Arial" w:cs="Arial"/>
          <w:b/>
          <w:sz w:val="20"/>
          <w:szCs w:val="20"/>
          <w:lang w:val="fr-FR"/>
        </w:rPr>
        <w:t>e</w:t>
      </w:r>
      <w:r w:rsidR="009F7FD2" w:rsidRPr="00CC5C3C">
        <w:rPr>
          <w:rFonts w:ascii="Arial" w:hAnsi="Arial" w:cs="Arial"/>
          <w:b/>
          <w:sz w:val="20"/>
          <w:szCs w:val="20"/>
          <w:lang w:val="fr-FR"/>
        </w:rPr>
        <w:t xml:space="preserve"> – </w:t>
      </w:r>
      <w:r w:rsidRPr="00CC5C3C">
        <w:rPr>
          <w:rFonts w:ascii="Arial" w:hAnsi="Arial" w:cs="Arial"/>
          <w:b/>
          <w:sz w:val="20"/>
          <w:szCs w:val="20"/>
          <w:lang w:val="fr-FR"/>
        </w:rPr>
        <w:t>le</w:t>
      </w:r>
      <w:r w:rsidR="009F7FD2" w:rsidRPr="00CC5C3C">
        <w:rPr>
          <w:rFonts w:ascii="Arial" w:hAnsi="Arial" w:cs="Arial"/>
          <w:b/>
          <w:sz w:val="20"/>
          <w:szCs w:val="20"/>
          <w:lang w:val="fr-FR"/>
        </w:rPr>
        <w:t xml:space="preserve"> </w:t>
      </w:r>
      <w:r w:rsidRPr="00CC5C3C">
        <w:rPr>
          <w:rFonts w:ascii="Arial" w:hAnsi="Arial" w:cs="Arial"/>
          <w:b/>
          <w:sz w:val="20"/>
          <w:szCs w:val="20"/>
          <w:lang w:val="fr-FR"/>
        </w:rPr>
        <w:t>rôle premier des États</w:t>
      </w:r>
    </w:p>
    <w:p w:rsidR="00161AF5" w:rsidRPr="00CC5C3C" w:rsidRDefault="00161AF5" w:rsidP="00CA01B3">
      <w:pPr>
        <w:pStyle w:val="Default"/>
        <w:numPr>
          <w:ilvl w:val="0"/>
          <w:numId w:val="2"/>
        </w:numPr>
        <w:contextualSpacing/>
        <w:rPr>
          <w:sz w:val="20"/>
          <w:szCs w:val="20"/>
          <w:lang w:val="fr-FR"/>
        </w:rPr>
      </w:pPr>
      <w:r w:rsidRPr="00CC5C3C">
        <w:rPr>
          <w:sz w:val="20"/>
          <w:szCs w:val="20"/>
          <w:lang w:val="fr-FR"/>
        </w:rPr>
        <w:t>La mise en œuvre in</w:t>
      </w:r>
      <w:r w:rsidR="00E236B6" w:rsidRPr="00CC5C3C">
        <w:rPr>
          <w:sz w:val="20"/>
          <w:szCs w:val="20"/>
          <w:lang w:val="fr-FR"/>
        </w:rPr>
        <w:t>suffisante</w:t>
      </w:r>
      <w:r w:rsidRPr="00CC5C3C">
        <w:rPr>
          <w:sz w:val="20"/>
          <w:szCs w:val="20"/>
          <w:lang w:val="fr-FR"/>
        </w:rPr>
        <w:t xml:space="preserve"> de la Convention au niveau national,</w:t>
      </w:r>
      <w:r w:rsidR="00D30CB3">
        <w:rPr>
          <w:sz w:val="20"/>
          <w:szCs w:val="20"/>
          <w:lang w:val="fr-FR"/>
        </w:rPr>
        <w:t xml:space="preserve"> due</w:t>
      </w:r>
      <w:r w:rsidRPr="00CC5C3C">
        <w:rPr>
          <w:sz w:val="20"/>
          <w:szCs w:val="20"/>
          <w:lang w:val="fr-FR"/>
        </w:rPr>
        <w:t xml:space="preserve"> en particulier </w:t>
      </w:r>
      <w:r w:rsidR="0034491B" w:rsidRPr="00CC5C3C">
        <w:rPr>
          <w:sz w:val="20"/>
          <w:szCs w:val="20"/>
          <w:lang w:val="fr-FR"/>
        </w:rPr>
        <w:t xml:space="preserve">à des </w:t>
      </w:r>
      <w:r w:rsidRPr="00CC5C3C">
        <w:rPr>
          <w:sz w:val="20"/>
          <w:szCs w:val="20"/>
          <w:lang w:val="fr-FR"/>
        </w:rPr>
        <w:t xml:space="preserve">problèmes graves, systémiques et structurels de droits de l’homme dans certains États, demeure l’un des principaux défis auxquels </w:t>
      </w:r>
      <w:r w:rsidR="00367BA7" w:rsidRPr="00CC5C3C">
        <w:rPr>
          <w:sz w:val="20"/>
          <w:szCs w:val="20"/>
          <w:lang w:val="fr-FR"/>
        </w:rPr>
        <w:t>se heurte</w:t>
      </w:r>
      <w:r w:rsidRPr="00CC5C3C">
        <w:rPr>
          <w:sz w:val="20"/>
          <w:szCs w:val="20"/>
          <w:lang w:val="fr-FR"/>
        </w:rPr>
        <w:t xml:space="preserve"> le</w:t>
      </w:r>
      <w:r w:rsidR="00615886" w:rsidRPr="00CC5C3C">
        <w:rPr>
          <w:sz w:val="20"/>
          <w:szCs w:val="20"/>
          <w:lang w:val="fr-FR"/>
        </w:rPr>
        <w:t xml:space="preserve"> système</w:t>
      </w:r>
      <w:r w:rsidRPr="00CC5C3C">
        <w:rPr>
          <w:sz w:val="20"/>
          <w:szCs w:val="20"/>
          <w:lang w:val="fr-FR"/>
        </w:rPr>
        <w:t xml:space="preserve"> de la Convention.</w:t>
      </w:r>
      <w:r w:rsidR="008E1A5F" w:rsidRPr="00CC5C3C">
        <w:rPr>
          <w:sz w:val="20"/>
          <w:szCs w:val="20"/>
          <w:lang w:val="fr-FR"/>
        </w:rPr>
        <w:t xml:space="preserve"> </w:t>
      </w:r>
      <w:r w:rsidR="00BC7284" w:rsidRPr="00CC5C3C">
        <w:rPr>
          <w:sz w:val="20"/>
          <w:szCs w:val="20"/>
          <w:lang w:val="fr-FR"/>
        </w:rPr>
        <w:t>La situation générale des droits de l’homme en Europe dépend en premier lieu de l’action des États et de leur respect des exigences de la Convention.</w:t>
      </w:r>
    </w:p>
    <w:p w:rsidR="008B478F" w:rsidRPr="00CC5C3C" w:rsidRDefault="008B478F" w:rsidP="00CA01B3">
      <w:pPr>
        <w:pStyle w:val="Default"/>
        <w:ind w:left="720"/>
        <w:contextualSpacing/>
        <w:rPr>
          <w:sz w:val="20"/>
          <w:szCs w:val="20"/>
          <w:lang w:val="fr-FR"/>
        </w:rPr>
      </w:pPr>
    </w:p>
    <w:p w:rsidR="000D3D2F" w:rsidRPr="00CC5C3C" w:rsidRDefault="000D3D2F" w:rsidP="00CA01B3">
      <w:pPr>
        <w:pStyle w:val="Default"/>
        <w:numPr>
          <w:ilvl w:val="0"/>
          <w:numId w:val="2"/>
        </w:numPr>
        <w:contextualSpacing/>
        <w:rPr>
          <w:sz w:val="20"/>
          <w:szCs w:val="20"/>
          <w:lang w:val="fr-FR"/>
        </w:rPr>
      </w:pPr>
      <w:r w:rsidRPr="00CC5C3C">
        <w:rPr>
          <w:sz w:val="20"/>
          <w:szCs w:val="20"/>
          <w:lang w:val="fr-FR"/>
        </w:rPr>
        <w:t xml:space="preserve">En créant les conditions </w:t>
      </w:r>
      <w:r w:rsidR="00844138" w:rsidRPr="00CC5C3C">
        <w:rPr>
          <w:sz w:val="20"/>
          <w:szCs w:val="20"/>
          <w:lang w:val="fr-FR"/>
        </w:rPr>
        <w:t>pour juger</w:t>
      </w:r>
      <w:r w:rsidR="000F5931" w:rsidRPr="00CC5C3C">
        <w:rPr>
          <w:sz w:val="20"/>
          <w:szCs w:val="20"/>
          <w:lang w:val="fr-FR"/>
        </w:rPr>
        <w:t xml:space="preserve"> </w:t>
      </w:r>
      <w:r w:rsidR="009650C9" w:rsidRPr="00CC5C3C">
        <w:rPr>
          <w:sz w:val="20"/>
          <w:szCs w:val="20"/>
          <w:lang w:val="fr-FR"/>
        </w:rPr>
        <w:t xml:space="preserve">convenablement </w:t>
      </w:r>
      <w:r w:rsidRPr="00CC5C3C">
        <w:rPr>
          <w:sz w:val="20"/>
          <w:szCs w:val="20"/>
          <w:lang w:val="fr-FR"/>
        </w:rPr>
        <w:t>les violations présumées au niveau national, le droit à un recours effectif garanti par l’article</w:t>
      </w:r>
      <w:r w:rsidR="00CA7C1C" w:rsidRPr="00CC5C3C">
        <w:rPr>
          <w:sz w:val="20"/>
          <w:szCs w:val="20"/>
          <w:lang w:val="fr-FR"/>
        </w:rPr>
        <w:t> </w:t>
      </w:r>
      <w:r w:rsidRPr="00CC5C3C">
        <w:rPr>
          <w:sz w:val="20"/>
          <w:szCs w:val="20"/>
          <w:lang w:val="fr-FR"/>
        </w:rPr>
        <w:t xml:space="preserve">13 de la Convention </w:t>
      </w:r>
      <w:r w:rsidR="006166DC" w:rsidRPr="00CC5C3C">
        <w:rPr>
          <w:sz w:val="20"/>
          <w:szCs w:val="20"/>
          <w:lang w:val="fr-FR"/>
        </w:rPr>
        <w:t xml:space="preserve">consacre </w:t>
      </w:r>
      <w:r w:rsidRPr="00CC5C3C">
        <w:rPr>
          <w:sz w:val="20"/>
          <w:szCs w:val="20"/>
          <w:lang w:val="fr-FR"/>
        </w:rPr>
        <w:t>le principe de subsidiarité.</w:t>
      </w:r>
    </w:p>
    <w:p w:rsidR="008B478F" w:rsidRPr="00CC5C3C" w:rsidRDefault="008B478F" w:rsidP="00CA01B3">
      <w:pPr>
        <w:pStyle w:val="Default"/>
        <w:ind w:left="720"/>
        <w:contextualSpacing/>
        <w:rPr>
          <w:sz w:val="20"/>
          <w:szCs w:val="20"/>
          <w:lang w:val="fr-FR"/>
        </w:rPr>
      </w:pPr>
    </w:p>
    <w:p w:rsidR="0037005E" w:rsidRPr="00CC5C3C" w:rsidRDefault="0037005E" w:rsidP="00CA01B3">
      <w:pPr>
        <w:pStyle w:val="Default"/>
        <w:numPr>
          <w:ilvl w:val="0"/>
          <w:numId w:val="2"/>
        </w:numPr>
        <w:contextualSpacing/>
        <w:rPr>
          <w:sz w:val="20"/>
          <w:szCs w:val="20"/>
          <w:lang w:val="fr-FR"/>
        </w:rPr>
      </w:pPr>
      <w:r w:rsidRPr="00CC5C3C">
        <w:rPr>
          <w:sz w:val="20"/>
          <w:szCs w:val="20"/>
          <w:lang w:val="fr-FR"/>
        </w:rPr>
        <w:t xml:space="preserve">Une mise en œuvre effective au niveau national exige l’implication effective et l’interaction d’un large éventail d’acteurs, notamment les membres du gouvernement, les parlementaires et </w:t>
      </w:r>
      <w:r w:rsidR="00C75AB4">
        <w:rPr>
          <w:sz w:val="20"/>
          <w:szCs w:val="20"/>
          <w:lang w:val="fr-FR"/>
        </w:rPr>
        <w:t>la magistrature</w:t>
      </w:r>
      <w:r w:rsidRPr="00CC5C3C">
        <w:rPr>
          <w:sz w:val="20"/>
          <w:szCs w:val="20"/>
          <w:lang w:val="fr-FR"/>
        </w:rPr>
        <w:t xml:space="preserve">, </w:t>
      </w:r>
      <w:r w:rsidR="00CC7E51" w:rsidRPr="00CC5C3C">
        <w:rPr>
          <w:sz w:val="20"/>
          <w:szCs w:val="20"/>
          <w:lang w:val="fr-FR"/>
        </w:rPr>
        <w:t xml:space="preserve">mais aussi </w:t>
      </w:r>
      <w:r w:rsidRPr="00CC5C3C">
        <w:rPr>
          <w:sz w:val="20"/>
          <w:szCs w:val="20"/>
          <w:lang w:val="fr-FR"/>
        </w:rPr>
        <w:t xml:space="preserve">les institutions nationales de protection des droits de l’homme, la société civile </w:t>
      </w:r>
      <w:r w:rsidR="000E4C11" w:rsidRPr="00CC5C3C">
        <w:rPr>
          <w:sz w:val="20"/>
          <w:szCs w:val="20"/>
          <w:lang w:val="fr-FR"/>
        </w:rPr>
        <w:t xml:space="preserve">et </w:t>
      </w:r>
      <w:r w:rsidRPr="00CC5C3C">
        <w:rPr>
          <w:sz w:val="20"/>
          <w:szCs w:val="20"/>
          <w:lang w:val="fr-FR"/>
        </w:rPr>
        <w:t>les représentants des professions juridiques</w:t>
      </w:r>
      <w:r w:rsidR="00BB6CB3" w:rsidRPr="00CC5C3C">
        <w:rPr>
          <w:sz w:val="20"/>
          <w:szCs w:val="20"/>
          <w:lang w:val="fr-FR"/>
        </w:rPr>
        <w:t>,</w:t>
      </w:r>
      <w:r w:rsidRPr="00CC5C3C">
        <w:rPr>
          <w:sz w:val="20"/>
          <w:szCs w:val="20"/>
          <w:lang w:val="fr-FR"/>
        </w:rPr>
        <w:t xml:space="preserve"> </w:t>
      </w:r>
      <w:r w:rsidR="00F1617F" w:rsidRPr="00CC5C3C">
        <w:rPr>
          <w:sz w:val="20"/>
          <w:szCs w:val="20"/>
          <w:lang w:val="fr-FR"/>
        </w:rPr>
        <w:t xml:space="preserve">afin </w:t>
      </w:r>
      <w:r w:rsidRPr="00CC5C3C">
        <w:rPr>
          <w:sz w:val="20"/>
          <w:szCs w:val="20"/>
          <w:lang w:val="fr-FR"/>
        </w:rPr>
        <w:t xml:space="preserve">que </w:t>
      </w:r>
      <w:r w:rsidR="003B0319" w:rsidRPr="00CC5C3C">
        <w:rPr>
          <w:sz w:val="20"/>
          <w:szCs w:val="20"/>
          <w:lang w:val="fr-FR"/>
        </w:rPr>
        <w:t>les mesures législatives et autres</w:t>
      </w:r>
      <w:r w:rsidRPr="00CC5C3C">
        <w:rPr>
          <w:sz w:val="20"/>
          <w:szCs w:val="20"/>
          <w:lang w:val="fr-FR"/>
        </w:rPr>
        <w:t xml:space="preserve"> </w:t>
      </w:r>
      <w:r w:rsidR="003B0319" w:rsidRPr="00CC5C3C">
        <w:rPr>
          <w:sz w:val="20"/>
          <w:szCs w:val="20"/>
          <w:lang w:val="fr-FR"/>
        </w:rPr>
        <w:t>et</w:t>
      </w:r>
      <w:r w:rsidRPr="00CC5C3C">
        <w:rPr>
          <w:sz w:val="20"/>
          <w:szCs w:val="20"/>
          <w:lang w:val="fr-FR"/>
        </w:rPr>
        <w:t xml:space="preserve"> leur mise en pratique soient pleinement conformes aux </w:t>
      </w:r>
      <w:r w:rsidR="00D30CB3">
        <w:rPr>
          <w:sz w:val="20"/>
          <w:szCs w:val="20"/>
          <w:lang w:val="fr-FR"/>
        </w:rPr>
        <w:t>norme</w:t>
      </w:r>
      <w:r w:rsidR="00C75AB4">
        <w:rPr>
          <w:sz w:val="20"/>
          <w:szCs w:val="20"/>
          <w:lang w:val="fr-FR"/>
        </w:rPr>
        <w:t>s</w:t>
      </w:r>
      <w:r w:rsidRPr="00CC5C3C">
        <w:rPr>
          <w:sz w:val="20"/>
          <w:szCs w:val="20"/>
          <w:lang w:val="fr-FR"/>
        </w:rPr>
        <w:t xml:space="preserve"> de la Convention.</w:t>
      </w:r>
    </w:p>
    <w:p w:rsidR="008B478F" w:rsidRPr="00CC5C3C" w:rsidRDefault="008B478F" w:rsidP="00CA01B3">
      <w:pPr>
        <w:pStyle w:val="Default"/>
        <w:rPr>
          <w:sz w:val="20"/>
          <w:szCs w:val="20"/>
          <w:lang w:val="fr-FR"/>
        </w:rPr>
      </w:pPr>
    </w:p>
    <w:p w:rsidR="002471B3" w:rsidRPr="00CC5C3C" w:rsidRDefault="002471B3" w:rsidP="00CA01B3">
      <w:pPr>
        <w:pStyle w:val="Default"/>
        <w:rPr>
          <w:sz w:val="20"/>
          <w:szCs w:val="20"/>
          <w:lang w:val="fr-FR"/>
        </w:rPr>
      </w:pPr>
      <w:r w:rsidRPr="00CC5C3C">
        <w:rPr>
          <w:sz w:val="20"/>
          <w:szCs w:val="20"/>
          <w:lang w:val="fr-FR"/>
        </w:rPr>
        <w:t>En conséquence, la Conférence :</w:t>
      </w:r>
    </w:p>
    <w:p w:rsidR="008B478F" w:rsidRPr="00CC5C3C" w:rsidRDefault="008B478F" w:rsidP="00CA01B3">
      <w:pPr>
        <w:pStyle w:val="Default"/>
        <w:rPr>
          <w:sz w:val="20"/>
          <w:szCs w:val="20"/>
          <w:lang w:val="fr-FR"/>
        </w:rPr>
      </w:pPr>
    </w:p>
    <w:p w:rsidR="001F7A53" w:rsidRPr="00CC5C3C" w:rsidRDefault="00C75AB4" w:rsidP="00CA01B3">
      <w:pPr>
        <w:pStyle w:val="Default"/>
        <w:numPr>
          <w:ilvl w:val="0"/>
          <w:numId w:val="2"/>
        </w:numPr>
        <w:adjustRightInd w:val="0"/>
        <w:rPr>
          <w:sz w:val="20"/>
          <w:szCs w:val="20"/>
          <w:lang w:val="fr-FR"/>
        </w:rPr>
      </w:pPr>
      <w:r>
        <w:rPr>
          <w:sz w:val="20"/>
          <w:szCs w:val="20"/>
          <w:lang w:val="fr-FR"/>
        </w:rPr>
        <w:t>A</w:t>
      </w:r>
      <w:r w:rsidR="00A07DD3" w:rsidRPr="00CC5C3C">
        <w:rPr>
          <w:sz w:val="20"/>
          <w:szCs w:val="20"/>
          <w:lang w:val="fr-FR"/>
        </w:rPr>
        <w:t xml:space="preserve">ffirme la ferme volonté des États </w:t>
      </w:r>
      <w:r>
        <w:rPr>
          <w:sz w:val="20"/>
          <w:szCs w:val="20"/>
          <w:lang w:val="fr-FR"/>
        </w:rPr>
        <w:t>P</w:t>
      </w:r>
      <w:r w:rsidR="00A07DD3" w:rsidRPr="00CC5C3C">
        <w:rPr>
          <w:sz w:val="20"/>
          <w:szCs w:val="20"/>
          <w:lang w:val="fr-FR"/>
        </w:rPr>
        <w:t xml:space="preserve">arties de s’acquitter de </w:t>
      </w:r>
      <w:r w:rsidR="009855C8">
        <w:rPr>
          <w:sz w:val="20"/>
          <w:szCs w:val="20"/>
          <w:lang w:val="fr-FR"/>
        </w:rPr>
        <w:t>la responsabilité</w:t>
      </w:r>
      <w:r w:rsidR="00A07DD3" w:rsidRPr="00CC5C3C">
        <w:rPr>
          <w:sz w:val="20"/>
          <w:szCs w:val="20"/>
          <w:lang w:val="fr-FR"/>
        </w:rPr>
        <w:t xml:space="preserve">, qui leur incombe au premier chef, de mettre en œuvre </w:t>
      </w:r>
      <w:r w:rsidR="001F7A53" w:rsidRPr="00CC5C3C">
        <w:rPr>
          <w:sz w:val="20"/>
          <w:szCs w:val="20"/>
          <w:lang w:val="fr-FR"/>
        </w:rPr>
        <w:t xml:space="preserve">et </w:t>
      </w:r>
      <w:r w:rsidR="00C314AE" w:rsidRPr="00CC5C3C">
        <w:rPr>
          <w:sz w:val="20"/>
          <w:szCs w:val="20"/>
          <w:lang w:val="fr-FR"/>
        </w:rPr>
        <w:t xml:space="preserve">de </w:t>
      </w:r>
      <w:r w:rsidR="001F7A53" w:rsidRPr="00CC5C3C">
        <w:rPr>
          <w:sz w:val="20"/>
          <w:szCs w:val="20"/>
          <w:lang w:val="fr-FR"/>
        </w:rPr>
        <w:t xml:space="preserve">faire appliquer </w:t>
      </w:r>
      <w:r w:rsidR="00A07DD3" w:rsidRPr="00CC5C3C">
        <w:rPr>
          <w:sz w:val="20"/>
          <w:szCs w:val="20"/>
          <w:lang w:val="fr-FR"/>
        </w:rPr>
        <w:t>la Convention au niveau national</w:t>
      </w:r>
      <w:r w:rsidR="00D30CB3">
        <w:rPr>
          <w:sz w:val="20"/>
          <w:szCs w:val="20"/>
          <w:lang w:val="fr-FR"/>
        </w:rPr>
        <w:t> ;</w:t>
      </w:r>
    </w:p>
    <w:p w:rsidR="008B478F" w:rsidRPr="00CC5C3C" w:rsidRDefault="008B478F" w:rsidP="00CA01B3">
      <w:pPr>
        <w:pStyle w:val="Default"/>
        <w:ind w:left="720"/>
        <w:rPr>
          <w:sz w:val="20"/>
          <w:szCs w:val="20"/>
          <w:lang w:val="fr-FR"/>
        </w:rPr>
      </w:pPr>
    </w:p>
    <w:p w:rsidR="009B666B" w:rsidRDefault="009B666B">
      <w:pPr>
        <w:rPr>
          <w:rFonts w:ascii="Arial" w:hAnsi="Arial" w:cs="Arial"/>
          <w:color w:val="000000"/>
          <w:sz w:val="20"/>
          <w:szCs w:val="20"/>
          <w:lang w:val="fr-FR"/>
        </w:rPr>
      </w:pPr>
      <w:r>
        <w:rPr>
          <w:sz w:val="20"/>
          <w:szCs w:val="20"/>
          <w:lang w:val="fr-FR"/>
        </w:rPr>
        <w:br w:type="page"/>
      </w:r>
    </w:p>
    <w:p w:rsidR="00393E19" w:rsidRPr="00CC5C3C" w:rsidRDefault="00C75AB4" w:rsidP="00CA01B3">
      <w:pPr>
        <w:pStyle w:val="Default"/>
        <w:numPr>
          <w:ilvl w:val="0"/>
          <w:numId w:val="2"/>
        </w:numPr>
        <w:adjustRightInd w:val="0"/>
        <w:rPr>
          <w:sz w:val="20"/>
          <w:szCs w:val="20"/>
          <w:lang w:val="fr-FR"/>
        </w:rPr>
      </w:pPr>
      <w:r>
        <w:rPr>
          <w:sz w:val="20"/>
          <w:szCs w:val="20"/>
          <w:lang w:val="fr-FR"/>
        </w:rPr>
        <w:lastRenderedPageBreak/>
        <w:t>A</w:t>
      </w:r>
      <w:r w:rsidR="00033E19" w:rsidRPr="00CC5C3C">
        <w:rPr>
          <w:sz w:val="20"/>
          <w:szCs w:val="20"/>
          <w:lang w:val="fr-FR"/>
        </w:rPr>
        <w:t xml:space="preserve">ppelle les États </w:t>
      </w:r>
      <w:r>
        <w:rPr>
          <w:sz w:val="20"/>
          <w:szCs w:val="20"/>
          <w:lang w:val="fr-FR"/>
        </w:rPr>
        <w:t>P</w:t>
      </w:r>
      <w:r w:rsidR="00033E19" w:rsidRPr="00CC5C3C">
        <w:rPr>
          <w:sz w:val="20"/>
          <w:szCs w:val="20"/>
          <w:lang w:val="fr-FR"/>
        </w:rPr>
        <w:t xml:space="preserve">arties à </w:t>
      </w:r>
      <w:r w:rsidR="009F7FD2" w:rsidRPr="00CC5C3C">
        <w:rPr>
          <w:sz w:val="20"/>
          <w:szCs w:val="20"/>
          <w:lang w:val="fr-FR"/>
        </w:rPr>
        <w:t>continue</w:t>
      </w:r>
      <w:r w:rsidR="00033E19" w:rsidRPr="00CC5C3C">
        <w:rPr>
          <w:sz w:val="20"/>
          <w:szCs w:val="20"/>
          <w:lang w:val="fr-FR"/>
        </w:rPr>
        <w:t>r</w:t>
      </w:r>
      <w:r w:rsidR="009F7FD2" w:rsidRPr="00CC5C3C">
        <w:rPr>
          <w:sz w:val="20"/>
          <w:szCs w:val="20"/>
          <w:lang w:val="fr-FR"/>
        </w:rPr>
        <w:t xml:space="preserve"> </w:t>
      </w:r>
      <w:r w:rsidR="00033E19" w:rsidRPr="00CC5C3C">
        <w:rPr>
          <w:sz w:val="20"/>
          <w:szCs w:val="20"/>
          <w:lang w:val="fr-FR"/>
        </w:rPr>
        <w:t xml:space="preserve">de renforcer la mise en œuvre de la Convention au niveau national conformément aux précédentes déclarations, notamment à la Déclaration de Bruxelles sur </w:t>
      </w:r>
      <w:r w:rsidR="005C4209" w:rsidRPr="00CC5C3C">
        <w:rPr>
          <w:sz w:val="20"/>
          <w:szCs w:val="20"/>
          <w:lang w:val="fr-FR"/>
        </w:rPr>
        <w:t>« </w:t>
      </w:r>
      <w:r w:rsidR="00033E19" w:rsidRPr="00CC5C3C">
        <w:rPr>
          <w:sz w:val="20"/>
          <w:szCs w:val="20"/>
          <w:lang w:val="fr-FR"/>
        </w:rPr>
        <w:t>la mise en œuvre de la Convention européenne des droits de l’homme, une responsabilité partagée », et au rapport du Comité directeur pour les droits de l’homme du Comité des Ministres consacré à l’avenir à plus long terme du système de la Convention, en particulier :</w:t>
      </w:r>
      <w:r w:rsidR="003B6273">
        <w:rPr>
          <w:sz w:val="20"/>
          <w:szCs w:val="20"/>
          <w:lang w:val="fr-FR"/>
        </w:rPr>
        <w:br/>
      </w:r>
    </w:p>
    <w:p w:rsidR="008B478F" w:rsidRPr="00CC5C3C" w:rsidRDefault="00A459CF" w:rsidP="00CA01B3">
      <w:pPr>
        <w:pStyle w:val="Default"/>
        <w:numPr>
          <w:ilvl w:val="1"/>
          <w:numId w:val="4"/>
        </w:numPr>
        <w:adjustRightInd w:val="0"/>
        <w:rPr>
          <w:sz w:val="20"/>
          <w:szCs w:val="20"/>
          <w:lang w:val="fr-FR"/>
        </w:rPr>
      </w:pPr>
      <w:r w:rsidRPr="00CC5C3C">
        <w:rPr>
          <w:sz w:val="20"/>
          <w:szCs w:val="20"/>
          <w:lang w:val="fr-FR"/>
        </w:rPr>
        <w:t xml:space="preserve">en </w:t>
      </w:r>
      <w:r w:rsidR="00577E16" w:rsidRPr="00CC5C3C">
        <w:rPr>
          <w:sz w:val="20"/>
          <w:szCs w:val="20"/>
          <w:lang w:val="fr-FR"/>
        </w:rPr>
        <w:t xml:space="preserve">mettant en place </w:t>
      </w:r>
      <w:r w:rsidR="009855C8">
        <w:rPr>
          <w:sz w:val="20"/>
          <w:szCs w:val="20"/>
          <w:lang w:val="fr-FR"/>
        </w:rPr>
        <w:t>et</w:t>
      </w:r>
      <w:r w:rsidR="00577E16" w:rsidRPr="00CC5C3C">
        <w:rPr>
          <w:sz w:val="20"/>
          <w:szCs w:val="20"/>
          <w:lang w:val="fr-FR"/>
        </w:rPr>
        <w:t xml:space="preserve"> </w:t>
      </w:r>
      <w:r w:rsidRPr="00CC5C3C">
        <w:rPr>
          <w:sz w:val="20"/>
          <w:szCs w:val="20"/>
          <w:lang w:val="fr-FR"/>
        </w:rPr>
        <w:t xml:space="preserve">en </w:t>
      </w:r>
      <w:r w:rsidR="00577E16" w:rsidRPr="00CC5C3C">
        <w:rPr>
          <w:sz w:val="20"/>
          <w:szCs w:val="20"/>
          <w:lang w:val="fr-FR"/>
        </w:rPr>
        <w:t xml:space="preserve">améliorant </w:t>
      </w:r>
      <w:r w:rsidR="00DD3C12" w:rsidRPr="00CC5C3C">
        <w:rPr>
          <w:sz w:val="20"/>
          <w:szCs w:val="20"/>
          <w:lang w:val="fr-FR"/>
        </w:rPr>
        <w:t>l</w:t>
      </w:r>
      <w:r w:rsidR="00577E16" w:rsidRPr="00CC5C3C">
        <w:rPr>
          <w:sz w:val="20"/>
          <w:szCs w:val="20"/>
          <w:lang w:val="fr-FR"/>
        </w:rPr>
        <w:t>es</w:t>
      </w:r>
      <w:r w:rsidR="009F7FD2" w:rsidRPr="00CC5C3C">
        <w:rPr>
          <w:sz w:val="20"/>
          <w:szCs w:val="20"/>
          <w:lang w:val="fr-FR"/>
        </w:rPr>
        <w:t xml:space="preserve"> </w:t>
      </w:r>
      <w:r w:rsidR="00577E16" w:rsidRPr="00CC5C3C">
        <w:rPr>
          <w:sz w:val="20"/>
          <w:szCs w:val="20"/>
          <w:lang w:val="fr-FR"/>
        </w:rPr>
        <w:t>recours internes effectifs</w:t>
      </w:r>
      <w:r w:rsidR="009F7FD2" w:rsidRPr="00CC5C3C">
        <w:rPr>
          <w:sz w:val="20"/>
          <w:szCs w:val="20"/>
          <w:lang w:val="fr-FR"/>
        </w:rPr>
        <w:t xml:space="preserve">, </w:t>
      </w:r>
      <w:r w:rsidR="00B649E1" w:rsidRPr="00CC5C3C">
        <w:rPr>
          <w:sz w:val="20"/>
          <w:szCs w:val="20"/>
          <w:lang w:val="fr-FR"/>
        </w:rPr>
        <w:t>de nature spécifique ou générale, pour les violations alléguées des droits et libertés protégés par la Convention</w:t>
      </w:r>
      <w:r w:rsidR="009F7FD2" w:rsidRPr="00CC5C3C">
        <w:rPr>
          <w:sz w:val="20"/>
          <w:szCs w:val="20"/>
          <w:lang w:val="fr-FR"/>
        </w:rPr>
        <w:t xml:space="preserve">, </w:t>
      </w:r>
      <w:r w:rsidR="00DD3C12" w:rsidRPr="00CC5C3C">
        <w:rPr>
          <w:sz w:val="20"/>
          <w:szCs w:val="20"/>
          <w:lang w:val="fr-FR"/>
        </w:rPr>
        <w:t>surtou</w:t>
      </w:r>
      <w:r w:rsidR="00B649E1" w:rsidRPr="00CC5C3C">
        <w:rPr>
          <w:sz w:val="20"/>
          <w:szCs w:val="20"/>
          <w:lang w:val="fr-FR"/>
        </w:rPr>
        <w:t xml:space="preserve">t </w:t>
      </w:r>
      <w:r w:rsidR="008F3267" w:rsidRPr="00CC5C3C">
        <w:rPr>
          <w:sz w:val="20"/>
          <w:szCs w:val="20"/>
          <w:lang w:val="fr-FR"/>
        </w:rPr>
        <w:t xml:space="preserve">en cas </w:t>
      </w:r>
      <w:r w:rsidR="00B649E1" w:rsidRPr="00CC5C3C">
        <w:rPr>
          <w:sz w:val="20"/>
          <w:szCs w:val="20"/>
          <w:lang w:val="fr-FR"/>
        </w:rPr>
        <w:t>de graves problèmes structurels ou systémiques ;</w:t>
      </w:r>
    </w:p>
    <w:p w:rsidR="008B478F" w:rsidRPr="00CC5C3C" w:rsidRDefault="00A459CF" w:rsidP="00CA01B3">
      <w:pPr>
        <w:pStyle w:val="Default"/>
        <w:numPr>
          <w:ilvl w:val="1"/>
          <w:numId w:val="4"/>
        </w:numPr>
        <w:adjustRightInd w:val="0"/>
        <w:rPr>
          <w:sz w:val="20"/>
          <w:szCs w:val="20"/>
          <w:lang w:val="fr-FR"/>
        </w:rPr>
      </w:pPr>
      <w:r w:rsidRPr="00CC5C3C">
        <w:rPr>
          <w:sz w:val="20"/>
          <w:szCs w:val="20"/>
          <w:lang w:val="fr-FR"/>
        </w:rPr>
        <w:t xml:space="preserve">en </w:t>
      </w:r>
      <w:r w:rsidR="002A2BF2" w:rsidRPr="00CC5C3C">
        <w:rPr>
          <w:sz w:val="20"/>
          <w:szCs w:val="20"/>
          <w:lang w:val="fr-FR"/>
        </w:rPr>
        <w:t>veillant à ce que les politiques et la législation soient pleinement conformes à la Convention</w:t>
      </w:r>
      <w:r w:rsidR="009F7FD2" w:rsidRPr="00CC5C3C">
        <w:rPr>
          <w:sz w:val="20"/>
          <w:szCs w:val="20"/>
          <w:lang w:val="fr-FR"/>
        </w:rPr>
        <w:t xml:space="preserve">, </w:t>
      </w:r>
      <w:r w:rsidR="00FE6423" w:rsidRPr="00CC5C3C">
        <w:rPr>
          <w:sz w:val="20"/>
          <w:szCs w:val="20"/>
          <w:lang w:val="fr-FR"/>
        </w:rPr>
        <w:t>notamment en vérifiant, de manière systématique et à un stade précoce du processus, la compatibilité des projets de loi et de la pratique administrative</w:t>
      </w:r>
      <w:r w:rsidR="00407F4C" w:rsidRPr="00CC5C3C">
        <w:rPr>
          <w:sz w:val="20"/>
          <w:szCs w:val="20"/>
          <w:lang w:val="fr-FR"/>
        </w:rPr>
        <w:t> ;</w:t>
      </w:r>
    </w:p>
    <w:p w:rsidR="008B478F" w:rsidRPr="00CC5C3C" w:rsidRDefault="00276673" w:rsidP="00CA01B3">
      <w:pPr>
        <w:pStyle w:val="Default"/>
        <w:numPr>
          <w:ilvl w:val="1"/>
          <w:numId w:val="4"/>
        </w:numPr>
        <w:adjustRightInd w:val="0"/>
        <w:rPr>
          <w:sz w:val="20"/>
          <w:szCs w:val="20"/>
          <w:lang w:val="fr-FR"/>
        </w:rPr>
      </w:pPr>
      <w:r w:rsidRPr="00CC5C3C">
        <w:rPr>
          <w:sz w:val="20"/>
          <w:szCs w:val="20"/>
          <w:lang w:val="fr-FR"/>
        </w:rPr>
        <w:t>en accordant une haute priorité à l</w:t>
      </w:r>
      <w:r w:rsidR="000601DF" w:rsidRPr="00CC5C3C">
        <w:rPr>
          <w:sz w:val="20"/>
          <w:szCs w:val="20"/>
          <w:lang w:val="fr-FR"/>
        </w:rPr>
        <w:t>a formation professionnelle et aux</w:t>
      </w:r>
      <w:r w:rsidRPr="00CC5C3C">
        <w:rPr>
          <w:sz w:val="20"/>
          <w:szCs w:val="20"/>
          <w:lang w:val="fr-FR"/>
        </w:rPr>
        <w:t xml:space="preserve"> activités de sensibilisation à la Convention et à la jurisprudence de la Cour</w:t>
      </w:r>
      <w:r w:rsidR="000601DF" w:rsidRPr="00CC5C3C">
        <w:rPr>
          <w:sz w:val="20"/>
          <w:szCs w:val="20"/>
          <w:lang w:val="fr-FR"/>
        </w:rPr>
        <w:t> ;</w:t>
      </w:r>
    </w:p>
    <w:p w:rsidR="008B478F" w:rsidRPr="00CC5C3C" w:rsidRDefault="00B1694A" w:rsidP="00CA01B3">
      <w:pPr>
        <w:pStyle w:val="Default"/>
        <w:numPr>
          <w:ilvl w:val="1"/>
          <w:numId w:val="4"/>
        </w:numPr>
        <w:adjustRightInd w:val="0"/>
        <w:rPr>
          <w:sz w:val="20"/>
          <w:szCs w:val="20"/>
          <w:lang w:val="fr-FR"/>
        </w:rPr>
      </w:pPr>
      <w:r w:rsidRPr="00CC5C3C">
        <w:rPr>
          <w:sz w:val="20"/>
          <w:szCs w:val="20"/>
          <w:lang w:val="fr-FR"/>
        </w:rPr>
        <w:t>outre leurs</w:t>
      </w:r>
      <w:r w:rsidR="009F7FD2" w:rsidRPr="00CC5C3C">
        <w:rPr>
          <w:sz w:val="20"/>
          <w:szCs w:val="20"/>
          <w:lang w:val="fr-FR"/>
        </w:rPr>
        <w:t xml:space="preserve"> obligations </w:t>
      </w:r>
      <w:r w:rsidRPr="00CC5C3C">
        <w:rPr>
          <w:sz w:val="20"/>
          <w:szCs w:val="20"/>
          <w:lang w:val="fr-FR"/>
        </w:rPr>
        <w:t>au titre de l’a</w:t>
      </w:r>
      <w:r w:rsidR="009F7FD2" w:rsidRPr="00CC5C3C">
        <w:rPr>
          <w:sz w:val="20"/>
          <w:szCs w:val="20"/>
          <w:lang w:val="fr-FR"/>
        </w:rPr>
        <w:t>rticle</w:t>
      </w:r>
      <w:r w:rsidR="00CA7C1C" w:rsidRPr="00CC5C3C">
        <w:rPr>
          <w:sz w:val="20"/>
          <w:szCs w:val="20"/>
          <w:lang w:val="fr-FR"/>
        </w:rPr>
        <w:t> </w:t>
      </w:r>
      <w:r w:rsidR="009F7FD2" w:rsidRPr="00CC5C3C">
        <w:rPr>
          <w:sz w:val="20"/>
          <w:szCs w:val="20"/>
          <w:lang w:val="fr-FR"/>
        </w:rPr>
        <w:t xml:space="preserve">46(1) </w:t>
      </w:r>
      <w:r w:rsidRPr="00CC5C3C">
        <w:rPr>
          <w:sz w:val="20"/>
          <w:szCs w:val="20"/>
          <w:lang w:val="fr-FR"/>
        </w:rPr>
        <w:t xml:space="preserve">de la </w:t>
      </w:r>
      <w:r w:rsidR="009F7FD2" w:rsidRPr="00CC5C3C">
        <w:rPr>
          <w:sz w:val="20"/>
          <w:szCs w:val="20"/>
          <w:lang w:val="fr-FR"/>
        </w:rPr>
        <w:t xml:space="preserve">Convention, </w:t>
      </w:r>
      <w:r w:rsidR="008B3CF4" w:rsidRPr="00CC5C3C">
        <w:rPr>
          <w:sz w:val="20"/>
          <w:szCs w:val="20"/>
          <w:lang w:val="fr-FR"/>
        </w:rPr>
        <w:t xml:space="preserve">en prenant mieux en compte les principes généraux figurant dans les arrêts rendus par la Cour à l’encontre d’autres États </w:t>
      </w:r>
      <w:r w:rsidR="00D30CB3">
        <w:rPr>
          <w:sz w:val="20"/>
          <w:szCs w:val="20"/>
          <w:lang w:val="fr-FR"/>
        </w:rPr>
        <w:t>Parties ;</w:t>
      </w:r>
    </w:p>
    <w:p w:rsidR="008B478F" w:rsidRPr="00CC5C3C" w:rsidRDefault="008B478F" w:rsidP="00CA01B3">
      <w:pPr>
        <w:pStyle w:val="Default"/>
        <w:adjustRightInd w:val="0"/>
        <w:ind w:left="1440"/>
        <w:rPr>
          <w:sz w:val="20"/>
          <w:szCs w:val="20"/>
          <w:lang w:val="fr-FR"/>
        </w:rPr>
      </w:pPr>
    </w:p>
    <w:p w:rsidR="008B478F" w:rsidRPr="00CC5C3C" w:rsidRDefault="00C75AB4" w:rsidP="00CA01B3">
      <w:pPr>
        <w:pStyle w:val="ListParagraph"/>
        <w:numPr>
          <w:ilvl w:val="0"/>
          <w:numId w:val="2"/>
        </w:numPr>
        <w:autoSpaceDE w:val="0"/>
        <w:autoSpaceDN w:val="0"/>
        <w:adjustRightInd w:val="0"/>
        <w:spacing w:after="0" w:line="240" w:lineRule="auto"/>
        <w:rPr>
          <w:rFonts w:ascii="Arial" w:hAnsi="Arial" w:cs="Arial"/>
          <w:sz w:val="20"/>
          <w:szCs w:val="20"/>
          <w:lang w:val="fr-FR"/>
        </w:rPr>
      </w:pPr>
      <w:r>
        <w:rPr>
          <w:rFonts w:ascii="Arial" w:hAnsi="Arial" w:cs="Arial"/>
          <w:sz w:val="20"/>
          <w:szCs w:val="20"/>
          <w:lang w:val="fr-FR"/>
        </w:rPr>
        <w:t>R</w:t>
      </w:r>
      <w:r w:rsidR="008D40CE" w:rsidRPr="00CC5C3C">
        <w:rPr>
          <w:rFonts w:ascii="Arial" w:hAnsi="Arial" w:cs="Arial"/>
          <w:sz w:val="20"/>
          <w:szCs w:val="20"/>
          <w:lang w:val="fr-FR"/>
        </w:rPr>
        <w:t xml:space="preserve">éitère le rôle significatif </w:t>
      </w:r>
      <w:r w:rsidR="00883936" w:rsidRPr="00CC5C3C">
        <w:rPr>
          <w:rFonts w:ascii="Arial" w:hAnsi="Arial" w:cs="Arial"/>
          <w:sz w:val="20"/>
          <w:szCs w:val="20"/>
          <w:lang w:val="fr-FR"/>
        </w:rPr>
        <w:t xml:space="preserve">joué par </w:t>
      </w:r>
      <w:r w:rsidR="008D40CE" w:rsidRPr="00CC5C3C">
        <w:rPr>
          <w:rFonts w:ascii="Arial" w:hAnsi="Arial" w:cs="Arial"/>
          <w:sz w:val="20"/>
          <w:szCs w:val="20"/>
          <w:lang w:val="fr-FR"/>
        </w:rPr>
        <w:t>les structures nationales des droits de l’homme et les parties prenantes dans la mise en œuvre de la Convention</w:t>
      </w:r>
      <w:r w:rsidR="009855C8">
        <w:rPr>
          <w:rFonts w:ascii="Arial" w:hAnsi="Arial" w:cs="Arial"/>
          <w:sz w:val="20"/>
          <w:szCs w:val="20"/>
          <w:lang w:val="fr-FR"/>
        </w:rPr>
        <w:t>,</w:t>
      </w:r>
      <w:r w:rsidR="005A5193" w:rsidRPr="00CC5C3C">
        <w:rPr>
          <w:rFonts w:ascii="Arial" w:hAnsi="Arial" w:cs="Arial"/>
          <w:sz w:val="20"/>
          <w:szCs w:val="20"/>
          <w:lang w:val="fr-FR"/>
        </w:rPr>
        <w:t xml:space="preserve"> et appelle les États </w:t>
      </w:r>
      <w:r>
        <w:rPr>
          <w:rFonts w:ascii="Arial" w:hAnsi="Arial" w:cs="Arial"/>
          <w:sz w:val="20"/>
          <w:szCs w:val="20"/>
          <w:lang w:val="fr-FR"/>
        </w:rPr>
        <w:t>P</w:t>
      </w:r>
      <w:r w:rsidR="005A5193" w:rsidRPr="00CC5C3C">
        <w:rPr>
          <w:rFonts w:ascii="Arial" w:hAnsi="Arial" w:cs="Arial"/>
          <w:sz w:val="20"/>
          <w:szCs w:val="20"/>
          <w:lang w:val="fr-FR"/>
        </w:rPr>
        <w:t>arties, s’ils ne l’ont pas encore fait, à envisager d’établir une institution nationale indépendante chargée des droits de l'homme</w:t>
      </w:r>
      <w:r w:rsidR="003576EA" w:rsidRPr="00CC5C3C">
        <w:rPr>
          <w:rFonts w:ascii="Arial" w:hAnsi="Arial" w:cs="Arial"/>
          <w:sz w:val="20"/>
          <w:szCs w:val="20"/>
          <w:lang w:val="fr-FR"/>
        </w:rPr>
        <w:t xml:space="preserve">, conformément aux </w:t>
      </w:r>
      <w:r w:rsidR="00531FFD" w:rsidRPr="00CC5C3C">
        <w:rPr>
          <w:rFonts w:ascii="Arial" w:hAnsi="Arial" w:cs="Arial"/>
          <w:sz w:val="20"/>
          <w:szCs w:val="20"/>
          <w:lang w:val="fr-FR"/>
        </w:rPr>
        <w:t>P</w:t>
      </w:r>
      <w:r w:rsidR="003576EA" w:rsidRPr="00CC5C3C">
        <w:rPr>
          <w:rFonts w:ascii="Arial" w:hAnsi="Arial" w:cs="Arial"/>
          <w:sz w:val="20"/>
          <w:szCs w:val="20"/>
          <w:lang w:val="fr-FR"/>
        </w:rPr>
        <w:t>rincipes de Paris</w:t>
      </w:r>
      <w:r w:rsidR="00013C16" w:rsidRPr="00CC5C3C">
        <w:rPr>
          <w:rFonts w:ascii="Arial" w:hAnsi="Arial" w:cs="Arial"/>
          <w:sz w:val="20"/>
          <w:szCs w:val="20"/>
          <w:lang w:val="fr-FR"/>
        </w:rPr>
        <w:t>.</w:t>
      </w:r>
    </w:p>
    <w:p w:rsidR="008B478F" w:rsidRPr="00CC5C3C" w:rsidRDefault="008B478F" w:rsidP="00CA01B3">
      <w:pPr>
        <w:pStyle w:val="Default"/>
        <w:adjustRightInd w:val="0"/>
        <w:ind w:left="1440"/>
        <w:rPr>
          <w:sz w:val="20"/>
          <w:szCs w:val="20"/>
          <w:lang w:val="fr-FR"/>
        </w:rPr>
      </w:pPr>
    </w:p>
    <w:p w:rsidR="008B478F" w:rsidRPr="00CC5C3C" w:rsidRDefault="009855C8" w:rsidP="00CA01B3">
      <w:pPr>
        <w:spacing w:line="240" w:lineRule="auto"/>
        <w:rPr>
          <w:rFonts w:ascii="Arial" w:hAnsi="Arial" w:cs="Arial"/>
          <w:b/>
          <w:sz w:val="20"/>
          <w:szCs w:val="20"/>
          <w:lang w:val="fr-FR"/>
        </w:rPr>
      </w:pPr>
      <w:r>
        <w:rPr>
          <w:rFonts w:ascii="Arial" w:hAnsi="Arial" w:cs="Arial"/>
          <w:b/>
          <w:sz w:val="20"/>
          <w:szCs w:val="20"/>
          <w:lang w:val="fr-FR"/>
        </w:rPr>
        <w:t>Surveillance</w:t>
      </w:r>
      <w:r w:rsidR="006C700D" w:rsidRPr="00CC5C3C">
        <w:rPr>
          <w:rFonts w:ascii="Arial" w:hAnsi="Arial" w:cs="Arial"/>
          <w:b/>
          <w:sz w:val="20"/>
          <w:szCs w:val="20"/>
          <w:lang w:val="fr-FR"/>
        </w:rPr>
        <w:t xml:space="preserve"> européen</w:t>
      </w:r>
      <w:r>
        <w:rPr>
          <w:rFonts w:ascii="Arial" w:hAnsi="Arial" w:cs="Arial"/>
          <w:b/>
          <w:sz w:val="20"/>
          <w:szCs w:val="20"/>
          <w:lang w:val="fr-FR"/>
        </w:rPr>
        <w:t>ne</w:t>
      </w:r>
      <w:r w:rsidR="006C700D" w:rsidRPr="00CC5C3C">
        <w:rPr>
          <w:rFonts w:ascii="Arial" w:hAnsi="Arial" w:cs="Arial"/>
          <w:b/>
          <w:sz w:val="20"/>
          <w:szCs w:val="20"/>
          <w:lang w:val="fr-FR"/>
        </w:rPr>
        <w:t xml:space="preserve"> </w:t>
      </w:r>
      <w:r w:rsidR="009F7FD2" w:rsidRPr="00CC5C3C">
        <w:rPr>
          <w:rFonts w:ascii="Arial" w:hAnsi="Arial" w:cs="Arial"/>
          <w:b/>
          <w:sz w:val="20"/>
          <w:szCs w:val="20"/>
          <w:lang w:val="fr-FR"/>
        </w:rPr>
        <w:t xml:space="preserve">– </w:t>
      </w:r>
      <w:r w:rsidR="006C700D" w:rsidRPr="00CC5C3C">
        <w:rPr>
          <w:rFonts w:ascii="Arial" w:hAnsi="Arial" w:cs="Arial"/>
          <w:b/>
          <w:sz w:val="20"/>
          <w:szCs w:val="20"/>
          <w:lang w:val="fr-FR"/>
        </w:rPr>
        <w:t>le rôle subsidiaire de la Cour</w:t>
      </w:r>
    </w:p>
    <w:p w:rsidR="008B478F" w:rsidRPr="00CC5C3C" w:rsidRDefault="00871E54" w:rsidP="00CA01B3">
      <w:pPr>
        <w:pStyle w:val="ListParagraph"/>
        <w:numPr>
          <w:ilvl w:val="0"/>
          <w:numId w:val="2"/>
        </w:numPr>
        <w:autoSpaceDE w:val="0"/>
        <w:autoSpaceDN w:val="0"/>
        <w:adjustRightInd w:val="0"/>
        <w:spacing w:after="0" w:line="240" w:lineRule="auto"/>
        <w:rPr>
          <w:rFonts w:ascii="Arial" w:eastAsia="MyriadPro-Cond" w:hAnsi="Arial" w:cs="Arial"/>
          <w:sz w:val="20"/>
          <w:szCs w:val="20"/>
          <w:lang w:val="fr-FR"/>
        </w:rPr>
      </w:pPr>
      <w:r w:rsidRPr="00CC5C3C">
        <w:rPr>
          <w:rFonts w:ascii="Arial" w:eastAsia="MyriadPro-Cond" w:hAnsi="Arial" w:cs="Arial"/>
          <w:sz w:val="20"/>
          <w:szCs w:val="20"/>
          <w:lang w:val="fr-FR"/>
        </w:rPr>
        <w:t xml:space="preserve">Le mécanisme de sauvegarde instauré par la Convention revêt un caractère subsidiaire et complémentaire par rapport aux systèmes nationaux de garantie des droits de l’homme. </w:t>
      </w:r>
      <w:r w:rsidR="00AB2E37" w:rsidRPr="00CC5C3C">
        <w:rPr>
          <w:rFonts w:ascii="Arial" w:eastAsia="MyriadPro-Cond" w:hAnsi="Arial" w:cs="Arial"/>
          <w:sz w:val="20"/>
          <w:szCs w:val="20"/>
          <w:lang w:val="fr-FR"/>
        </w:rPr>
        <w:t xml:space="preserve">La Cour </w:t>
      </w:r>
      <w:r w:rsidR="00884EE6" w:rsidRPr="00CC5C3C">
        <w:rPr>
          <w:rFonts w:ascii="Arial" w:eastAsia="MyriadPro-Cond" w:hAnsi="Arial" w:cs="Arial"/>
          <w:sz w:val="20"/>
          <w:szCs w:val="20"/>
          <w:lang w:val="fr-FR"/>
        </w:rPr>
        <w:t xml:space="preserve">constitue une garantie </w:t>
      </w:r>
      <w:r w:rsidR="00AB2E37" w:rsidRPr="00CC5C3C">
        <w:rPr>
          <w:rFonts w:ascii="Arial" w:eastAsia="MyriadPro-Cond" w:hAnsi="Arial" w:cs="Arial"/>
          <w:sz w:val="20"/>
          <w:szCs w:val="20"/>
          <w:lang w:val="fr-FR"/>
        </w:rPr>
        <w:t xml:space="preserve">si des violations n’ont pas </w:t>
      </w:r>
      <w:r w:rsidR="009855C8">
        <w:rPr>
          <w:rFonts w:ascii="Arial" w:eastAsia="MyriadPro-Cond" w:hAnsi="Arial" w:cs="Arial"/>
          <w:sz w:val="20"/>
          <w:szCs w:val="20"/>
          <w:lang w:val="fr-FR"/>
        </w:rPr>
        <w:t>été réparées</w:t>
      </w:r>
      <w:r w:rsidR="00AB2E37" w:rsidRPr="00CC5C3C">
        <w:rPr>
          <w:rFonts w:ascii="Arial" w:eastAsia="MyriadPro-Cond" w:hAnsi="Arial" w:cs="Arial"/>
          <w:sz w:val="20"/>
          <w:szCs w:val="20"/>
          <w:lang w:val="fr-FR"/>
        </w:rPr>
        <w:t xml:space="preserve"> au niveau national</w:t>
      </w:r>
      <w:r w:rsidR="002A4A18" w:rsidRPr="00CC5C3C">
        <w:rPr>
          <w:rFonts w:ascii="Arial" w:eastAsia="MyriadPro-Cond" w:hAnsi="Arial" w:cs="Arial"/>
          <w:sz w:val="20"/>
          <w:szCs w:val="20"/>
          <w:lang w:val="fr-FR"/>
        </w:rPr>
        <w:t xml:space="preserve"> et</w:t>
      </w:r>
      <w:r w:rsidR="00CE3B80" w:rsidRPr="00CC5C3C">
        <w:rPr>
          <w:rFonts w:ascii="Arial" w:eastAsia="MyriadPro-Cond" w:hAnsi="Arial" w:cs="Arial"/>
          <w:sz w:val="20"/>
          <w:szCs w:val="20"/>
          <w:lang w:val="fr-FR"/>
        </w:rPr>
        <w:t xml:space="preserve"> </w:t>
      </w:r>
      <w:r w:rsidR="00884EE6" w:rsidRPr="00CC5C3C">
        <w:rPr>
          <w:rFonts w:ascii="Arial" w:eastAsia="MyriadPro-Cond" w:hAnsi="Arial" w:cs="Arial"/>
          <w:sz w:val="20"/>
          <w:szCs w:val="20"/>
          <w:lang w:val="fr-FR"/>
        </w:rPr>
        <w:t xml:space="preserve">elle </w:t>
      </w:r>
      <w:r w:rsidR="002A4A18" w:rsidRPr="00CC5C3C">
        <w:rPr>
          <w:rFonts w:ascii="Arial" w:eastAsia="MyriadPro-Cond" w:hAnsi="Arial" w:cs="Arial"/>
          <w:sz w:val="20"/>
          <w:szCs w:val="20"/>
          <w:lang w:val="fr-FR"/>
        </w:rPr>
        <w:t>interprète de manière authentique la Convention.</w:t>
      </w:r>
      <w:r w:rsidR="009F7FD2" w:rsidRPr="00CC5C3C">
        <w:rPr>
          <w:rFonts w:ascii="Arial" w:eastAsia="MyriadPro-Cond" w:hAnsi="Arial" w:cs="Arial"/>
          <w:sz w:val="20"/>
          <w:szCs w:val="20"/>
          <w:lang w:val="fr-FR"/>
        </w:rPr>
        <w:t xml:space="preserve"> </w:t>
      </w:r>
      <w:r w:rsidR="00081770" w:rsidRPr="00CC5C3C">
        <w:rPr>
          <w:rFonts w:ascii="Arial" w:eastAsia="MyriadPro-Cond" w:hAnsi="Arial" w:cs="Arial"/>
          <w:sz w:val="20"/>
          <w:szCs w:val="20"/>
          <w:lang w:val="fr-FR"/>
        </w:rPr>
        <w:t xml:space="preserve">Elle ne doit pas se substituer aux États </w:t>
      </w:r>
      <w:r w:rsidR="00C75AB4">
        <w:rPr>
          <w:rFonts w:ascii="Arial" w:eastAsia="MyriadPro-Cond" w:hAnsi="Arial" w:cs="Arial"/>
          <w:sz w:val="20"/>
          <w:szCs w:val="20"/>
          <w:lang w:val="fr-FR"/>
        </w:rPr>
        <w:t>P</w:t>
      </w:r>
      <w:r w:rsidR="00081770" w:rsidRPr="00CC5C3C">
        <w:rPr>
          <w:rFonts w:ascii="Arial" w:eastAsia="MyriadPro-Cond" w:hAnsi="Arial" w:cs="Arial"/>
          <w:sz w:val="20"/>
          <w:szCs w:val="20"/>
          <w:lang w:val="fr-FR"/>
        </w:rPr>
        <w:t>arties, auxquels il incombe de veiller à ce que les droits et libertés consacrés par la Convention soient respectés et protégés au niveau national</w:t>
      </w:r>
      <w:r w:rsidR="009F7FD2" w:rsidRPr="00CC5C3C">
        <w:rPr>
          <w:rFonts w:ascii="Arial" w:eastAsia="MyriadPro-Cond" w:hAnsi="Arial" w:cs="Arial"/>
          <w:sz w:val="20"/>
          <w:szCs w:val="20"/>
          <w:lang w:val="fr-FR"/>
        </w:rPr>
        <w:t>.</w:t>
      </w:r>
    </w:p>
    <w:p w:rsidR="008B478F" w:rsidRPr="00CC5C3C" w:rsidRDefault="008B478F" w:rsidP="00CA01B3">
      <w:pPr>
        <w:pStyle w:val="Default"/>
        <w:adjustRightInd w:val="0"/>
        <w:contextualSpacing/>
        <w:rPr>
          <w:rFonts w:eastAsia="MyriadPro-Cond"/>
          <w:sz w:val="20"/>
          <w:szCs w:val="20"/>
          <w:lang w:val="fr-FR"/>
        </w:rPr>
      </w:pPr>
    </w:p>
    <w:p w:rsidR="008B478F" w:rsidRPr="00CC5C3C" w:rsidRDefault="003F58EE" w:rsidP="00CA01B3">
      <w:pPr>
        <w:pStyle w:val="ListParagraph"/>
        <w:numPr>
          <w:ilvl w:val="0"/>
          <w:numId w:val="2"/>
        </w:numPr>
        <w:autoSpaceDE w:val="0"/>
        <w:autoSpaceDN w:val="0"/>
        <w:adjustRightInd w:val="0"/>
        <w:spacing w:after="0" w:line="240" w:lineRule="auto"/>
        <w:rPr>
          <w:rFonts w:ascii="Arial" w:eastAsia="MyriadPro-Cond" w:hAnsi="Arial" w:cs="Arial"/>
          <w:sz w:val="20"/>
          <w:szCs w:val="20"/>
          <w:lang w:val="fr-FR"/>
        </w:rPr>
      </w:pPr>
      <w:r w:rsidRPr="00CC5C3C">
        <w:rPr>
          <w:rFonts w:ascii="Arial" w:eastAsia="MyriadPro-Cond" w:hAnsi="Arial" w:cs="Arial"/>
          <w:sz w:val="20"/>
          <w:szCs w:val="20"/>
          <w:lang w:val="fr-FR"/>
        </w:rPr>
        <w:t xml:space="preserve">Les États </w:t>
      </w:r>
      <w:r w:rsidR="00C75AB4">
        <w:rPr>
          <w:rFonts w:ascii="Arial" w:eastAsia="MyriadPro-Cond" w:hAnsi="Arial" w:cs="Arial"/>
          <w:sz w:val="20"/>
          <w:szCs w:val="20"/>
          <w:lang w:val="fr-FR"/>
        </w:rPr>
        <w:t>P</w:t>
      </w:r>
      <w:r w:rsidRPr="00CC5C3C">
        <w:rPr>
          <w:rFonts w:ascii="Arial" w:eastAsia="MyriadPro-Cond" w:hAnsi="Arial" w:cs="Arial"/>
          <w:sz w:val="20"/>
          <w:szCs w:val="20"/>
          <w:lang w:val="fr-FR"/>
        </w:rPr>
        <w:t xml:space="preserve">arties disposent, quant à la façon dont ils appliquent et mettent en œuvre la Convention, d’une marge d’appréciation qui dépend des circonstances de l’affaire et des droits et libertés en cause. </w:t>
      </w:r>
      <w:r w:rsidR="00701C6E" w:rsidRPr="00CC5C3C">
        <w:rPr>
          <w:rFonts w:ascii="Arial" w:eastAsia="MyriadPro-Cond" w:hAnsi="Arial" w:cs="Arial"/>
          <w:sz w:val="20"/>
          <w:szCs w:val="20"/>
          <w:lang w:val="fr-FR"/>
        </w:rPr>
        <w:t xml:space="preserve">Les autorités nationales jouissent d’une légitimité démocratique et, ainsi que la Cour l’a affirmé à maintes reprises, </w:t>
      </w:r>
      <w:r w:rsidR="008C174B" w:rsidRPr="00CC5C3C">
        <w:rPr>
          <w:rFonts w:ascii="Arial" w:eastAsia="MyriadPro-Cond" w:hAnsi="Arial" w:cs="Arial"/>
          <w:sz w:val="20"/>
          <w:szCs w:val="20"/>
          <w:lang w:val="fr-FR"/>
        </w:rPr>
        <w:t>se trouvent en principe mieux placées que le juge international pour se prononcer sur les besoins et contextes locaux</w:t>
      </w:r>
      <w:r w:rsidR="00701C6E" w:rsidRPr="00CC5C3C">
        <w:rPr>
          <w:rFonts w:ascii="Arial" w:eastAsia="MyriadPro-Cond" w:hAnsi="Arial" w:cs="Arial"/>
          <w:sz w:val="20"/>
          <w:szCs w:val="20"/>
          <w:lang w:val="fr-FR"/>
        </w:rPr>
        <w:t xml:space="preserve">. </w:t>
      </w:r>
      <w:r w:rsidR="00B855FF" w:rsidRPr="00CC5C3C">
        <w:rPr>
          <w:rFonts w:ascii="Arial" w:eastAsia="MyriadPro-Cond" w:hAnsi="Arial" w:cs="Arial"/>
          <w:sz w:val="20"/>
          <w:szCs w:val="20"/>
          <w:lang w:val="fr-FR"/>
        </w:rPr>
        <w:t>Lorsque des questions de politique générale sont en jeu, sur lesquelles de profondes divergences peuvent raisonnablement exister dans un État démocratique, il y a lieu d’accorder une importance particulière au rôle du décideur national</w:t>
      </w:r>
      <w:r w:rsidR="009F7FD2" w:rsidRPr="00CC5C3C">
        <w:rPr>
          <w:rFonts w:ascii="Arial" w:eastAsia="MyriadPro-Cond" w:hAnsi="Arial" w:cs="Arial"/>
          <w:sz w:val="20"/>
          <w:szCs w:val="20"/>
          <w:lang w:val="fr-FR"/>
        </w:rPr>
        <w:t xml:space="preserve">. </w:t>
      </w:r>
    </w:p>
    <w:p w:rsidR="008B478F" w:rsidRPr="00CC5C3C" w:rsidRDefault="008B478F" w:rsidP="00CA01B3">
      <w:pPr>
        <w:pStyle w:val="ListParagraph"/>
        <w:rPr>
          <w:rFonts w:ascii="Arial" w:eastAsia="MyriadPro-Cond" w:hAnsi="Arial" w:cs="Arial"/>
          <w:sz w:val="20"/>
          <w:szCs w:val="20"/>
          <w:lang w:val="fr-FR"/>
        </w:rPr>
      </w:pPr>
    </w:p>
    <w:p w:rsidR="008B478F" w:rsidRPr="00CC5C3C" w:rsidRDefault="008B46AA" w:rsidP="00CA01B3">
      <w:pPr>
        <w:pStyle w:val="ListParagraph"/>
        <w:numPr>
          <w:ilvl w:val="0"/>
          <w:numId w:val="2"/>
        </w:numPr>
        <w:spacing w:line="240" w:lineRule="auto"/>
        <w:rPr>
          <w:rFonts w:ascii="Arial" w:hAnsi="Arial" w:cs="Arial"/>
          <w:iCs/>
          <w:sz w:val="20"/>
          <w:szCs w:val="20"/>
          <w:lang w:val="fr-FR"/>
        </w:rPr>
      </w:pPr>
      <w:r w:rsidRPr="00CC5C3C">
        <w:rPr>
          <w:rFonts w:ascii="Arial" w:eastAsia="MyriadPro-Cond" w:hAnsi="Arial" w:cs="Arial"/>
          <w:sz w:val="20"/>
          <w:szCs w:val="20"/>
          <w:lang w:val="fr-FR"/>
        </w:rPr>
        <w:t xml:space="preserve">Le contrôle effectué par la Cour </w:t>
      </w:r>
      <w:r w:rsidR="00563677" w:rsidRPr="00CC5C3C">
        <w:rPr>
          <w:rFonts w:ascii="Arial" w:eastAsia="MyriadPro-Cond" w:hAnsi="Arial" w:cs="Arial"/>
          <w:sz w:val="20"/>
          <w:szCs w:val="20"/>
          <w:lang w:val="fr-FR"/>
        </w:rPr>
        <w:t xml:space="preserve">repose </w:t>
      </w:r>
      <w:r w:rsidRPr="00CC5C3C">
        <w:rPr>
          <w:rFonts w:ascii="Arial" w:eastAsia="MyriadPro-Cond" w:hAnsi="Arial" w:cs="Arial"/>
          <w:sz w:val="20"/>
          <w:szCs w:val="20"/>
          <w:lang w:val="fr-FR"/>
        </w:rPr>
        <w:t>sur l</w:t>
      </w:r>
      <w:r w:rsidR="002D1691" w:rsidRPr="00CC5C3C">
        <w:rPr>
          <w:rFonts w:ascii="Arial" w:eastAsia="MyriadPro-Cond" w:hAnsi="Arial" w:cs="Arial"/>
          <w:sz w:val="20"/>
          <w:szCs w:val="20"/>
          <w:lang w:val="fr-FR"/>
        </w:rPr>
        <w:t>e principe de subsidiarité</w:t>
      </w:r>
      <w:r w:rsidR="009F7FD2" w:rsidRPr="00CC5C3C">
        <w:rPr>
          <w:rFonts w:ascii="Arial" w:eastAsia="MyriadPro-Cond" w:hAnsi="Arial" w:cs="Arial"/>
          <w:sz w:val="20"/>
          <w:szCs w:val="20"/>
          <w:lang w:val="fr-FR"/>
        </w:rPr>
        <w:t xml:space="preserve">. </w:t>
      </w:r>
      <w:r w:rsidR="005C61ED" w:rsidRPr="00CC5C3C">
        <w:rPr>
          <w:rFonts w:ascii="Arial" w:eastAsia="MyriadPro-Cond" w:hAnsi="Arial" w:cs="Arial"/>
          <w:sz w:val="20"/>
          <w:szCs w:val="20"/>
          <w:lang w:val="fr-FR"/>
        </w:rPr>
        <w:t xml:space="preserve">Si les différents intérêts ont été correctement </w:t>
      </w:r>
      <w:r w:rsidR="00D7396F" w:rsidRPr="00CC5C3C">
        <w:rPr>
          <w:rFonts w:ascii="Arial" w:eastAsia="MyriadPro-Cond" w:hAnsi="Arial" w:cs="Arial"/>
          <w:sz w:val="20"/>
          <w:szCs w:val="20"/>
          <w:lang w:val="fr-FR"/>
        </w:rPr>
        <w:t>mis en balance</w:t>
      </w:r>
      <w:r w:rsidR="005C61ED" w:rsidRPr="00CC5C3C">
        <w:rPr>
          <w:rFonts w:ascii="Arial" w:eastAsia="MyriadPro-Cond" w:hAnsi="Arial" w:cs="Arial"/>
          <w:sz w:val="20"/>
          <w:szCs w:val="20"/>
          <w:lang w:val="fr-FR"/>
        </w:rPr>
        <w:t xml:space="preserve"> au niveau national, </w:t>
      </w:r>
      <w:r w:rsidR="00797FB3">
        <w:rPr>
          <w:rFonts w:ascii="Arial" w:eastAsia="MyriadPro-Cond" w:hAnsi="Arial" w:cs="Arial"/>
          <w:sz w:val="20"/>
          <w:szCs w:val="20"/>
          <w:lang w:val="fr-FR"/>
        </w:rPr>
        <w:t>il n’appartient pas à</w:t>
      </w:r>
      <w:r w:rsidR="005C61ED" w:rsidRPr="00CC5C3C">
        <w:rPr>
          <w:rFonts w:ascii="Arial" w:eastAsia="MyriadPro-Cond" w:hAnsi="Arial" w:cs="Arial"/>
          <w:sz w:val="20"/>
          <w:szCs w:val="20"/>
          <w:lang w:val="fr-FR"/>
        </w:rPr>
        <w:t xml:space="preserve"> la Cour d</w:t>
      </w:r>
      <w:r w:rsidR="00123A80" w:rsidRPr="00CC5C3C">
        <w:rPr>
          <w:rFonts w:ascii="Arial" w:eastAsia="MyriadPro-Cond" w:hAnsi="Arial" w:cs="Arial"/>
          <w:sz w:val="20"/>
          <w:szCs w:val="20"/>
          <w:lang w:val="fr-FR"/>
        </w:rPr>
        <w:t>’</w:t>
      </w:r>
      <w:r w:rsidR="00797FB3">
        <w:rPr>
          <w:rFonts w:ascii="Arial" w:eastAsia="MyriadPro-Cond" w:hAnsi="Arial" w:cs="Arial"/>
          <w:sz w:val="20"/>
          <w:szCs w:val="20"/>
          <w:lang w:val="fr-FR"/>
        </w:rPr>
        <w:t xml:space="preserve">effectuer une nouvelle évaluation de </w:t>
      </w:r>
      <w:r w:rsidR="005C61ED" w:rsidRPr="00CC5C3C">
        <w:rPr>
          <w:rFonts w:ascii="Arial" w:eastAsia="MyriadPro-Cond" w:hAnsi="Arial" w:cs="Arial"/>
          <w:sz w:val="20"/>
          <w:szCs w:val="20"/>
          <w:lang w:val="fr-FR"/>
        </w:rPr>
        <w:t xml:space="preserve">la proportionnalité. </w:t>
      </w:r>
      <w:r w:rsidR="001A0B6F" w:rsidRPr="00CC5C3C">
        <w:rPr>
          <w:rFonts w:ascii="Arial" w:eastAsia="MyriadPro-Cond" w:hAnsi="Arial" w:cs="Arial"/>
          <w:sz w:val="20"/>
          <w:szCs w:val="20"/>
          <w:lang w:val="fr-FR"/>
        </w:rPr>
        <w:t>Lorsque les juridictions internes ont soigneusement examiné les faits, en appliquant les normes pertinentes des droits de l’homme conformément à la Convention et à la jurisprudence de la Cour</w:t>
      </w:r>
      <w:r w:rsidR="00633AAB" w:rsidRPr="00CC5C3C">
        <w:rPr>
          <w:rFonts w:ascii="Arial" w:eastAsia="MyriadPro-Cond" w:hAnsi="Arial" w:cs="Arial"/>
          <w:sz w:val="20"/>
          <w:szCs w:val="20"/>
          <w:lang w:val="fr-FR"/>
        </w:rPr>
        <w:t>,</w:t>
      </w:r>
      <w:r w:rsidR="001A0B6F" w:rsidRPr="00CC5C3C">
        <w:rPr>
          <w:rFonts w:ascii="Arial" w:eastAsia="MyriadPro-Cond" w:hAnsi="Arial" w:cs="Arial"/>
          <w:sz w:val="20"/>
          <w:szCs w:val="20"/>
          <w:lang w:val="fr-FR"/>
        </w:rPr>
        <w:t xml:space="preserve"> </w:t>
      </w:r>
      <w:r w:rsidR="00633AAB" w:rsidRPr="00CC5C3C">
        <w:rPr>
          <w:rFonts w:ascii="Arial" w:eastAsia="MyriadPro-Cond" w:hAnsi="Arial" w:cs="Arial"/>
          <w:sz w:val="20"/>
          <w:szCs w:val="20"/>
          <w:lang w:val="fr-FR"/>
        </w:rPr>
        <w:t xml:space="preserve">et </w:t>
      </w:r>
      <w:r w:rsidR="009F7FD2" w:rsidRPr="00CC5C3C">
        <w:rPr>
          <w:rFonts w:ascii="Arial" w:eastAsia="MyriadPro-Cond" w:hAnsi="Arial" w:cs="Arial"/>
          <w:sz w:val="20"/>
          <w:szCs w:val="20"/>
          <w:lang w:val="fr-FR"/>
        </w:rPr>
        <w:t xml:space="preserve"> </w:t>
      </w:r>
      <w:r w:rsidR="00633AAB" w:rsidRPr="00CC5C3C">
        <w:rPr>
          <w:rFonts w:ascii="Arial" w:eastAsia="MyriadPro-Cond" w:hAnsi="Arial" w:cs="Arial"/>
          <w:sz w:val="20"/>
          <w:szCs w:val="20"/>
          <w:lang w:val="fr-FR"/>
        </w:rPr>
        <w:t xml:space="preserve">correctement mis en balance les intérêts en jeu, </w:t>
      </w:r>
      <w:r w:rsidR="007D3C97" w:rsidRPr="00CC5C3C">
        <w:rPr>
          <w:rFonts w:ascii="Arial" w:eastAsia="MyriadPro-Cond" w:hAnsi="Arial" w:cs="Arial"/>
          <w:sz w:val="20"/>
          <w:szCs w:val="20"/>
          <w:lang w:val="fr-FR"/>
        </w:rPr>
        <w:t>il n’appartient pas à la Cour de substituer sa propre appréciation à celle de ces juridictions</w:t>
      </w:r>
      <w:r w:rsidR="00C75AB4">
        <w:rPr>
          <w:rFonts w:ascii="Arial" w:eastAsia="MyriadPro-Cond" w:hAnsi="Arial" w:cs="Arial"/>
          <w:sz w:val="20"/>
          <w:szCs w:val="20"/>
          <w:lang w:val="fr-FR"/>
        </w:rPr>
        <w:t xml:space="preserve">, à moins qu’elle n’ait identifié </w:t>
      </w:r>
      <w:r w:rsidR="00D55E5C" w:rsidRPr="00CC5C3C">
        <w:rPr>
          <w:rFonts w:ascii="Arial" w:eastAsia="MyriadPro-Cond" w:hAnsi="Arial" w:cs="Arial"/>
          <w:sz w:val="20"/>
          <w:szCs w:val="20"/>
          <w:lang w:val="fr-FR"/>
        </w:rPr>
        <w:t xml:space="preserve">des raisons sérieuses et </w:t>
      </w:r>
      <w:r w:rsidR="005415A3" w:rsidRPr="00CC5C3C">
        <w:rPr>
          <w:rFonts w:ascii="Arial" w:eastAsia="MyriadPro-Cond" w:hAnsi="Arial" w:cs="Arial"/>
          <w:sz w:val="20"/>
          <w:szCs w:val="20"/>
          <w:lang w:val="fr-FR"/>
        </w:rPr>
        <w:t>évidente</w:t>
      </w:r>
      <w:r w:rsidR="00D55E5C" w:rsidRPr="00CC5C3C">
        <w:rPr>
          <w:rFonts w:ascii="Arial" w:eastAsia="MyriadPro-Cond" w:hAnsi="Arial" w:cs="Arial"/>
          <w:sz w:val="20"/>
          <w:szCs w:val="20"/>
          <w:lang w:val="fr-FR"/>
        </w:rPr>
        <w:t>s de le faire</w:t>
      </w:r>
      <w:r w:rsidR="009F7FD2" w:rsidRPr="00CC5C3C">
        <w:rPr>
          <w:rFonts w:ascii="Arial" w:eastAsia="MyriadPro-Cond" w:hAnsi="Arial" w:cs="Arial"/>
          <w:sz w:val="20"/>
          <w:szCs w:val="20"/>
          <w:lang w:val="fr-FR"/>
        </w:rPr>
        <w:t>.</w:t>
      </w:r>
    </w:p>
    <w:p w:rsidR="008B478F" w:rsidRPr="00CC5C3C" w:rsidRDefault="008B478F" w:rsidP="00CA01B3">
      <w:pPr>
        <w:pStyle w:val="ListParagraph"/>
        <w:rPr>
          <w:rFonts w:ascii="Arial" w:hAnsi="Arial" w:cs="Arial"/>
          <w:iCs/>
          <w:sz w:val="20"/>
          <w:szCs w:val="20"/>
          <w:lang w:val="fr-FR"/>
        </w:rPr>
      </w:pPr>
    </w:p>
    <w:p w:rsidR="008B478F" w:rsidRPr="00CC5C3C" w:rsidRDefault="005C6D83"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 xml:space="preserve">Il est </w:t>
      </w:r>
      <w:r w:rsidR="00797FB3">
        <w:rPr>
          <w:rFonts w:ascii="Arial" w:hAnsi="Arial" w:cs="Arial"/>
          <w:sz w:val="20"/>
          <w:szCs w:val="20"/>
          <w:lang w:val="fr-FR"/>
        </w:rPr>
        <w:t xml:space="preserve">largement </w:t>
      </w:r>
      <w:r w:rsidRPr="00CC5C3C">
        <w:rPr>
          <w:rFonts w:ascii="Arial" w:hAnsi="Arial" w:cs="Arial"/>
          <w:sz w:val="20"/>
          <w:szCs w:val="20"/>
          <w:lang w:val="fr-FR"/>
        </w:rPr>
        <w:t>admis que la Cour ne doit pas agir en tant que « juridiction de quatrième instance » ou « tribunal d’appel traitant des questions d’immigration »</w:t>
      </w:r>
      <w:r w:rsidR="005415A3" w:rsidRPr="00CC5C3C">
        <w:rPr>
          <w:rFonts w:ascii="Arial" w:hAnsi="Arial" w:cs="Arial"/>
          <w:sz w:val="20"/>
          <w:szCs w:val="20"/>
          <w:lang w:val="fr-FR"/>
        </w:rPr>
        <w:t>,</w:t>
      </w:r>
      <w:r w:rsidR="009F7FD2" w:rsidRPr="00CC5C3C">
        <w:rPr>
          <w:rFonts w:ascii="Arial" w:hAnsi="Arial" w:cs="Arial"/>
          <w:sz w:val="20"/>
          <w:szCs w:val="20"/>
          <w:lang w:val="fr-FR"/>
        </w:rPr>
        <w:t xml:space="preserve"> </w:t>
      </w:r>
      <w:r w:rsidR="00B91B48" w:rsidRPr="00CC5C3C">
        <w:rPr>
          <w:rFonts w:ascii="Arial" w:hAnsi="Arial" w:cs="Arial"/>
          <w:sz w:val="20"/>
          <w:szCs w:val="20"/>
          <w:lang w:val="fr-FR"/>
        </w:rPr>
        <w:t xml:space="preserve">mais </w:t>
      </w:r>
      <w:r w:rsidR="009F7FD2" w:rsidRPr="00CC5C3C">
        <w:rPr>
          <w:rFonts w:ascii="Arial" w:hAnsi="Arial" w:cs="Arial"/>
          <w:sz w:val="20"/>
          <w:szCs w:val="20"/>
          <w:lang w:val="fr-FR"/>
        </w:rPr>
        <w:t>respect</w:t>
      </w:r>
      <w:r w:rsidR="00B91B48" w:rsidRPr="00CC5C3C">
        <w:rPr>
          <w:rFonts w:ascii="Arial" w:hAnsi="Arial" w:cs="Arial"/>
          <w:sz w:val="20"/>
          <w:szCs w:val="20"/>
          <w:lang w:val="fr-FR"/>
        </w:rPr>
        <w:t>er</w:t>
      </w:r>
      <w:r w:rsidR="009F7FD2" w:rsidRPr="00CC5C3C">
        <w:rPr>
          <w:rFonts w:ascii="Arial" w:hAnsi="Arial" w:cs="Arial"/>
          <w:sz w:val="20"/>
          <w:szCs w:val="20"/>
          <w:lang w:val="fr-FR"/>
        </w:rPr>
        <w:t xml:space="preserve"> </w:t>
      </w:r>
      <w:r w:rsidR="005415A3" w:rsidRPr="00CC5C3C">
        <w:rPr>
          <w:rFonts w:ascii="Arial" w:hAnsi="Arial" w:cs="Arial"/>
          <w:sz w:val="20"/>
          <w:szCs w:val="20"/>
          <w:lang w:val="fr-FR"/>
        </w:rPr>
        <w:t>l’</w:t>
      </w:r>
      <w:r w:rsidR="00797FB3">
        <w:rPr>
          <w:rFonts w:ascii="Arial" w:hAnsi="Arial" w:cs="Arial"/>
          <w:sz w:val="20"/>
          <w:szCs w:val="20"/>
          <w:lang w:val="fr-FR"/>
        </w:rPr>
        <w:t>évalu</w:t>
      </w:r>
      <w:r w:rsidR="005415A3" w:rsidRPr="00CC5C3C">
        <w:rPr>
          <w:rFonts w:ascii="Arial" w:hAnsi="Arial" w:cs="Arial"/>
          <w:sz w:val="20"/>
          <w:szCs w:val="20"/>
          <w:lang w:val="fr-FR"/>
        </w:rPr>
        <w:t xml:space="preserve">ation des éléments de preuve </w:t>
      </w:r>
      <w:r w:rsidR="004C785E" w:rsidRPr="00CC5C3C">
        <w:rPr>
          <w:rFonts w:ascii="Arial" w:hAnsi="Arial" w:cs="Arial"/>
          <w:sz w:val="20"/>
          <w:szCs w:val="20"/>
          <w:lang w:val="fr-FR"/>
        </w:rPr>
        <w:t xml:space="preserve">faite </w:t>
      </w:r>
      <w:r w:rsidR="005415A3" w:rsidRPr="00CC5C3C">
        <w:rPr>
          <w:rFonts w:ascii="Arial" w:hAnsi="Arial" w:cs="Arial"/>
          <w:sz w:val="20"/>
          <w:szCs w:val="20"/>
          <w:lang w:val="fr-FR"/>
        </w:rPr>
        <w:t>par le juge interne ainsi que l’interprétation et l’application de la législation interne</w:t>
      </w:r>
      <w:r w:rsidR="009F7FD2" w:rsidRPr="00CC5C3C">
        <w:rPr>
          <w:rFonts w:ascii="Arial" w:hAnsi="Arial" w:cs="Arial"/>
          <w:sz w:val="20"/>
          <w:szCs w:val="20"/>
          <w:lang w:val="fr-FR"/>
        </w:rPr>
        <w:t xml:space="preserve">, </w:t>
      </w:r>
      <w:r w:rsidR="004C785E" w:rsidRPr="00CC5C3C">
        <w:rPr>
          <w:rFonts w:ascii="Arial" w:hAnsi="Arial" w:cs="Arial"/>
          <w:sz w:val="20"/>
          <w:szCs w:val="20"/>
          <w:lang w:val="fr-FR"/>
        </w:rPr>
        <w:t>sauf si c</w:t>
      </w:r>
      <w:r w:rsidR="00BD7F39" w:rsidRPr="00CC5C3C">
        <w:rPr>
          <w:rFonts w:ascii="Arial" w:hAnsi="Arial" w:cs="Arial"/>
          <w:sz w:val="20"/>
          <w:szCs w:val="20"/>
          <w:lang w:val="fr-FR"/>
        </w:rPr>
        <w:t xml:space="preserve">elles-ci sont </w:t>
      </w:r>
      <w:r w:rsidR="004C785E" w:rsidRPr="00CC5C3C">
        <w:rPr>
          <w:rFonts w:ascii="Arial" w:hAnsi="Arial" w:cs="Arial"/>
          <w:sz w:val="20"/>
          <w:szCs w:val="20"/>
          <w:lang w:val="fr-FR"/>
        </w:rPr>
        <w:t>arbitraire</w:t>
      </w:r>
      <w:r w:rsidR="00BD7F39" w:rsidRPr="00CC5C3C">
        <w:rPr>
          <w:rFonts w:ascii="Arial" w:hAnsi="Arial" w:cs="Arial"/>
          <w:sz w:val="20"/>
          <w:szCs w:val="20"/>
          <w:lang w:val="fr-FR"/>
        </w:rPr>
        <w:t>s</w:t>
      </w:r>
      <w:r w:rsidR="009F7FD2" w:rsidRPr="00CC5C3C">
        <w:rPr>
          <w:rFonts w:ascii="Arial" w:hAnsi="Arial" w:cs="Arial"/>
          <w:sz w:val="20"/>
          <w:szCs w:val="20"/>
          <w:lang w:val="fr-FR"/>
        </w:rPr>
        <w:t xml:space="preserve"> o</w:t>
      </w:r>
      <w:r w:rsidR="004C785E" w:rsidRPr="00CC5C3C">
        <w:rPr>
          <w:rFonts w:ascii="Arial" w:hAnsi="Arial" w:cs="Arial"/>
          <w:sz w:val="20"/>
          <w:szCs w:val="20"/>
          <w:lang w:val="fr-FR"/>
        </w:rPr>
        <w:t>u manifestement déraisonnable</w:t>
      </w:r>
      <w:r w:rsidR="00BD7F39" w:rsidRPr="00CC5C3C">
        <w:rPr>
          <w:rFonts w:ascii="Arial" w:hAnsi="Arial" w:cs="Arial"/>
          <w:sz w:val="20"/>
          <w:szCs w:val="20"/>
          <w:lang w:val="fr-FR"/>
        </w:rPr>
        <w:t>s</w:t>
      </w:r>
      <w:r w:rsidR="009F7FD2" w:rsidRPr="00CC5C3C">
        <w:rPr>
          <w:rFonts w:ascii="Arial" w:hAnsi="Arial" w:cs="Arial"/>
          <w:sz w:val="20"/>
          <w:szCs w:val="20"/>
          <w:lang w:val="fr-FR"/>
        </w:rPr>
        <w:t>.</w:t>
      </w:r>
    </w:p>
    <w:p w:rsidR="005208E2" w:rsidRPr="00CC5C3C" w:rsidRDefault="005208E2" w:rsidP="00CA01B3">
      <w:pPr>
        <w:pStyle w:val="ListParagraph"/>
        <w:rPr>
          <w:rFonts w:ascii="Arial" w:hAnsi="Arial" w:cs="Arial"/>
          <w:sz w:val="20"/>
          <w:szCs w:val="20"/>
          <w:lang w:val="fr-FR"/>
        </w:rPr>
      </w:pPr>
    </w:p>
    <w:p w:rsidR="005208E2" w:rsidRPr="00CC5C3C" w:rsidRDefault="00797FB3"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Lorsqu’elle est saisie de</w:t>
      </w:r>
      <w:r w:rsidR="005208E2" w:rsidRPr="00CC5C3C">
        <w:rPr>
          <w:rFonts w:ascii="Arial" w:hAnsi="Arial" w:cs="Arial"/>
          <w:sz w:val="20"/>
          <w:szCs w:val="20"/>
          <w:lang w:val="fr-FR"/>
        </w:rPr>
        <w:t xml:space="preserve"> requêtes relatives à l’asile et à l’immigration, la Cour devrait évaluer et tenir pleinement compte de l’effectivité des procédures nationales et, lorsqu’il apparaît que ces procédures fonctionnent de manière équitable et dans le respect des droits de l’homme, </w:t>
      </w:r>
      <w:r>
        <w:rPr>
          <w:rFonts w:ascii="Arial" w:hAnsi="Arial" w:cs="Arial"/>
          <w:sz w:val="20"/>
          <w:szCs w:val="20"/>
          <w:lang w:val="fr-FR"/>
        </w:rPr>
        <w:t xml:space="preserve">elle devrait </w:t>
      </w:r>
      <w:r w:rsidR="005208E2" w:rsidRPr="00CC5C3C">
        <w:rPr>
          <w:rFonts w:ascii="Arial" w:hAnsi="Arial" w:cs="Arial"/>
          <w:sz w:val="20"/>
          <w:szCs w:val="20"/>
          <w:lang w:val="fr-FR"/>
        </w:rPr>
        <w:t xml:space="preserve">éviter d’intervenir sauf dans les circonstances les plus </w:t>
      </w:r>
      <w:r w:rsidR="00770070" w:rsidRPr="00CC5C3C">
        <w:rPr>
          <w:rFonts w:ascii="Arial" w:hAnsi="Arial" w:cs="Arial"/>
          <w:sz w:val="20"/>
          <w:szCs w:val="20"/>
          <w:lang w:val="fr-FR"/>
        </w:rPr>
        <w:t>exceptionnelles.</w:t>
      </w:r>
    </w:p>
    <w:p w:rsidR="009B666B" w:rsidRDefault="009B666B">
      <w:pPr>
        <w:rPr>
          <w:rFonts w:ascii="Arial" w:hAnsi="Arial" w:cs="Arial"/>
          <w:color w:val="000000"/>
          <w:sz w:val="20"/>
          <w:szCs w:val="20"/>
          <w:lang w:val="fr-FR"/>
        </w:rPr>
      </w:pPr>
      <w:r>
        <w:rPr>
          <w:sz w:val="20"/>
          <w:szCs w:val="20"/>
          <w:lang w:val="fr-FR"/>
        </w:rPr>
        <w:br w:type="page"/>
      </w:r>
    </w:p>
    <w:p w:rsidR="008B478F" w:rsidRPr="00CC5C3C" w:rsidRDefault="008C6D23" w:rsidP="00CA01B3">
      <w:pPr>
        <w:pStyle w:val="Default"/>
        <w:rPr>
          <w:sz w:val="20"/>
          <w:szCs w:val="20"/>
          <w:lang w:val="fr-FR"/>
        </w:rPr>
      </w:pPr>
      <w:r w:rsidRPr="00CC5C3C">
        <w:rPr>
          <w:sz w:val="20"/>
          <w:szCs w:val="20"/>
          <w:lang w:val="fr-FR"/>
        </w:rPr>
        <w:lastRenderedPageBreak/>
        <w:t>En conséquence, la Conférence :</w:t>
      </w:r>
    </w:p>
    <w:p w:rsidR="008B478F" w:rsidRPr="00CC5C3C" w:rsidRDefault="008B478F" w:rsidP="00CA01B3">
      <w:pPr>
        <w:pStyle w:val="Default"/>
        <w:rPr>
          <w:sz w:val="20"/>
          <w:szCs w:val="20"/>
          <w:lang w:val="fr-FR"/>
        </w:rPr>
      </w:pPr>
    </w:p>
    <w:p w:rsidR="00474C9D" w:rsidRPr="00CC5C3C" w:rsidRDefault="00C75AB4" w:rsidP="00CA01B3">
      <w:pPr>
        <w:pStyle w:val="ListParagraph"/>
        <w:numPr>
          <w:ilvl w:val="0"/>
          <w:numId w:val="2"/>
        </w:numPr>
        <w:spacing w:line="240" w:lineRule="auto"/>
        <w:rPr>
          <w:rFonts w:ascii="Arial" w:eastAsia="MyriadPro-Cond" w:hAnsi="Arial" w:cs="Arial"/>
          <w:sz w:val="20"/>
          <w:szCs w:val="20"/>
          <w:lang w:val="fr-FR"/>
        </w:rPr>
      </w:pPr>
      <w:r>
        <w:rPr>
          <w:rFonts w:ascii="Arial" w:eastAsia="MyriadPro-Cond" w:hAnsi="Arial" w:cs="Arial"/>
          <w:sz w:val="20"/>
          <w:szCs w:val="20"/>
          <w:lang w:val="fr-FR"/>
        </w:rPr>
        <w:t>S</w:t>
      </w:r>
      <w:r w:rsidR="00474C9D" w:rsidRPr="00CC5C3C">
        <w:rPr>
          <w:rFonts w:ascii="Arial" w:eastAsia="MyriadPro-Cond" w:hAnsi="Arial" w:cs="Arial"/>
          <w:sz w:val="20"/>
          <w:szCs w:val="20"/>
          <w:lang w:val="fr-FR"/>
        </w:rPr>
        <w:t xml:space="preserve">e félicite que la Cour </w:t>
      </w:r>
      <w:r w:rsidR="00A15A1F" w:rsidRPr="00CC5C3C">
        <w:rPr>
          <w:rFonts w:ascii="Arial" w:eastAsia="MyriadPro-Cond" w:hAnsi="Arial" w:cs="Arial"/>
          <w:sz w:val="20"/>
          <w:szCs w:val="20"/>
          <w:lang w:val="fr-FR"/>
        </w:rPr>
        <w:t>so</w:t>
      </w:r>
      <w:r w:rsidR="00474C9D" w:rsidRPr="00CC5C3C">
        <w:rPr>
          <w:rFonts w:ascii="Arial" w:eastAsia="MyriadPro-Cond" w:hAnsi="Arial" w:cs="Arial"/>
          <w:sz w:val="20"/>
          <w:szCs w:val="20"/>
          <w:lang w:val="fr-FR"/>
        </w:rPr>
        <w:t xml:space="preserve">it </w:t>
      </w:r>
      <w:r w:rsidR="00A15A1F" w:rsidRPr="00CC5C3C">
        <w:rPr>
          <w:rFonts w:ascii="Arial" w:eastAsia="MyriadPro-Cond" w:hAnsi="Arial" w:cs="Arial"/>
          <w:sz w:val="20"/>
          <w:szCs w:val="20"/>
          <w:lang w:val="fr-FR"/>
        </w:rPr>
        <w:t xml:space="preserve">engagée dans </w:t>
      </w:r>
      <w:r w:rsidR="00474C9D" w:rsidRPr="00CC5C3C">
        <w:rPr>
          <w:rFonts w:ascii="Arial" w:eastAsia="MyriadPro-Cond" w:hAnsi="Arial" w:cs="Arial"/>
          <w:sz w:val="20"/>
          <w:szCs w:val="20"/>
          <w:lang w:val="fr-FR"/>
        </w:rPr>
        <w:t xml:space="preserve">un processus </w:t>
      </w:r>
      <w:r w:rsidR="005F32C6" w:rsidRPr="00CC5C3C">
        <w:rPr>
          <w:rFonts w:ascii="Arial" w:eastAsia="MyriadPro-Cond" w:hAnsi="Arial" w:cs="Arial"/>
          <w:sz w:val="20"/>
          <w:szCs w:val="20"/>
          <w:lang w:val="fr-FR"/>
        </w:rPr>
        <w:t xml:space="preserve">visant à </w:t>
      </w:r>
      <w:r w:rsidR="00474C9D" w:rsidRPr="00CC5C3C">
        <w:rPr>
          <w:rFonts w:ascii="Arial" w:eastAsia="MyriadPro-Cond" w:hAnsi="Arial" w:cs="Arial"/>
          <w:sz w:val="20"/>
          <w:szCs w:val="20"/>
          <w:lang w:val="fr-FR"/>
        </w:rPr>
        <w:t xml:space="preserve">appliquer plus </w:t>
      </w:r>
      <w:r w:rsidR="00A15A1F" w:rsidRPr="00CC5C3C">
        <w:rPr>
          <w:rFonts w:ascii="Arial" w:eastAsia="MyriadPro-Cond" w:hAnsi="Arial" w:cs="Arial"/>
          <w:sz w:val="20"/>
          <w:szCs w:val="20"/>
          <w:lang w:val="fr-FR"/>
        </w:rPr>
        <w:t>ferme</w:t>
      </w:r>
      <w:r w:rsidR="00474C9D" w:rsidRPr="00CC5C3C">
        <w:rPr>
          <w:rFonts w:ascii="Arial" w:eastAsia="MyriadPro-Cond" w:hAnsi="Arial" w:cs="Arial"/>
          <w:sz w:val="20"/>
          <w:szCs w:val="20"/>
          <w:lang w:val="fr-FR"/>
        </w:rPr>
        <w:t xml:space="preserve">ment le principe de subsidiarité et la marge d’appréciation dans sa jurisprudence, soutenant ainsi </w:t>
      </w:r>
      <w:r w:rsidR="00773EA4" w:rsidRPr="00CC5C3C">
        <w:rPr>
          <w:rFonts w:ascii="Arial" w:eastAsia="MyriadPro-Cond" w:hAnsi="Arial" w:cs="Arial"/>
          <w:sz w:val="20"/>
          <w:szCs w:val="20"/>
          <w:lang w:val="fr-FR"/>
        </w:rPr>
        <w:t>les avancées vers un</w:t>
      </w:r>
      <w:r w:rsidR="00AD12C1" w:rsidRPr="00CC5C3C">
        <w:rPr>
          <w:rFonts w:ascii="Arial" w:eastAsia="MyriadPro-Cond" w:hAnsi="Arial" w:cs="Arial"/>
          <w:sz w:val="20"/>
          <w:szCs w:val="20"/>
          <w:lang w:val="fr-FR"/>
        </w:rPr>
        <w:t xml:space="preserve"> </w:t>
      </w:r>
      <w:r w:rsidR="00474C9D" w:rsidRPr="00CC5C3C">
        <w:rPr>
          <w:rFonts w:ascii="Arial" w:eastAsia="MyriadPro-Cond" w:hAnsi="Arial" w:cs="Arial"/>
          <w:sz w:val="20"/>
          <w:szCs w:val="20"/>
          <w:lang w:val="fr-FR"/>
        </w:rPr>
        <w:t>partage accru de</w:t>
      </w:r>
      <w:r w:rsidR="00AD12C1" w:rsidRPr="00CC5C3C">
        <w:rPr>
          <w:rFonts w:ascii="Arial" w:eastAsia="MyriadPro-Cond" w:hAnsi="Arial" w:cs="Arial"/>
          <w:sz w:val="20"/>
          <w:szCs w:val="20"/>
          <w:lang w:val="fr-FR"/>
        </w:rPr>
        <w:t>s</w:t>
      </w:r>
      <w:r w:rsidR="00474C9D" w:rsidRPr="00CC5C3C">
        <w:rPr>
          <w:rFonts w:ascii="Arial" w:eastAsia="MyriadPro-Cond" w:hAnsi="Arial" w:cs="Arial"/>
          <w:sz w:val="20"/>
          <w:szCs w:val="20"/>
          <w:lang w:val="fr-FR"/>
        </w:rPr>
        <w:t xml:space="preserve"> responsabilité</w:t>
      </w:r>
      <w:r w:rsidR="00AD12C1" w:rsidRPr="00CC5C3C">
        <w:rPr>
          <w:rFonts w:ascii="Arial" w:eastAsia="MyriadPro-Cond" w:hAnsi="Arial" w:cs="Arial"/>
          <w:sz w:val="20"/>
          <w:szCs w:val="20"/>
          <w:lang w:val="fr-FR"/>
        </w:rPr>
        <w:t>s</w:t>
      </w:r>
      <w:r w:rsidR="00474C9D" w:rsidRPr="00CC5C3C">
        <w:rPr>
          <w:rFonts w:ascii="Arial" w:eastAsia="MyriadPro-Cond" w:hAnsi="Arial" w:cs="Arial"/>
          <w:sz w:val="20"/>
          <w:szCs w:val="20"/>
          <w:lang w:val="fr-FR"/>
        </w:rPr>
        <w:t xml:space="preserve"> </w:t>
      </w:r>
      <w:r w:rsidR="00AD12C1" w:rsidRPr="00CC5C3C">
        <w:rPr>
          <w:rFonts w:ascii="Arial" w:eastAsia="MyriadPro-Cond" w:hAnsi="Arial" w:cs="Arial"/>
          <w:sz w:val="20"/>
          <w:szCs w:val="20"/>
          <w:lang w:val="fr-FR"/>
        </w:rPr>
        <w:t xml:space="preserve">concernant </w:t>
      </w:r>
      <w:r w:rsidR="00474C9D" w:rsidRPr="00CC5C3C">
        <w:rPr>
          <w:rFonts w:ascii="Arial" w:eastAsia="MyriadPro-Cond" w:hAnsi="Arial" w:cs="Arial"/>
          <w:sz w:val="20"/>
          <w:szCs w:val="20"/>
          <w:lang w:val="fr-FR"/>
        </w:rPr>
        <w:t>le système de la Convention et incita</w:t>
      </w:r>
      <w:r w:rsidR="00E92AE4" w:rsidRPr="00CC5C3C">
        <w:rPr>
          <w:rFonts w:ascii="Arial" w:eastAsia="MyriadPro-Cond" w:hAnsi="Arial" w:cs="Arial"/>
          <w:sz w:val="20"/>
          <w:szCs w:val="20"/>
          <w:lang w:val="fr-FR"/>
        </w:rPr>
        <w:t xml:space="preserve">nt grandement les </w:t>
      </w:r>
      <w:r w:rsidR="00474C9D" w:rsidRPr="00CC5C3C">
        <w:rPr>
          <w:rFonts w:ascii="Arial" w:eastAsia="MyriadPro-Cond" w:hAnsi="Arial" w:cs="Arial"/>
          <w:sz w:val="20"/>
          <w:szCs w:val="20"/>
          <w:lang w:val="fr-FR"/>
        </w:rPr>
        <w:t xml:space="preserve">autorités nationales à </w:t>
      </w:r>
      <w:r w:rsidR="00456A86" w:rsidRPr="00CC5C3C">
        <w:rPr>
          <w:rFonts w:ascii="Arial" w:eastAsia="MyriadPro-Cond" w:hAnsi="Arial" w:cs="Arial"/>
          <w:sz w:val="20"/>
          <w:szCs w:val="20"/>
          <w:lang w:val="fr-FR"/>
        </w:rPr>
        <w:t>jouer</w:t>
      </w:r>
      <w:r w:rsidR="00474C9D" w:rsidRPr="00CC5C3C">
        <w:rPr>
          <w:rFonts w:ascii="Arial" w:eastAsia="MyriadPro-Cond" w:hAnsi="Arial" w:cs="Arial"/>
          <w:sz w:val="20"/>
          <w:szCs w:val="20"/>
          <w:lang w:val="fr-FR"/>
        </w:rPr>
        <w:t xml:space="preserve"> correctement le</w:t>
      </w:r>
      <w:r w:rsidR="00150CA9" w:rsidRPr="00CC5C3C">
        <w:rPr>
          <w:rFonts w:ascii="Arial" w:eastAsia="MyriadPro-Cond" w:hAnsi="Arial" w:cs="Arial"/>
          <w:sz w:val="20"/>
          <w:szCs w:val="20"/>
          <w:lang w:val="fr-FR"/>
        </w:rPr>
        <w:t>ur</w:t>
      </w:r>
      <w:r w:rsidR="00474C9D" w:rsidRPr="00CC5C3C">
        <w:rPr>
          <w:rFonts w:ascii="Arial" w:eastAsia="MyriadPro-Cond" w:hAnsi="Arial" w:cs="Arial"/>
          <w:sz w:val="20"/>
          <w:szCs w:val="20"/>
          <w:lang w:val="fr-FR"/>
        </w:rPr>
        <w:t xml:space="preserve"> r</w:t>
      </w:r>
      <w:r w:rsidR="00D30CB3">
        <w:rPr>
          <w:rFonts w:ascii="Arial" w:eastAsia="MyriadPro-Cond" w:hAnsi="Arial" w:cs="Arial"/>
          <w:sz w:val="20"/>
          <w:szCs w:val="20"/>
          <w:lang w:val="fr-FR"/>
        </w:rPr>
        <w:t>ôle à l’égard de la Convention ;</w:t>
      </w:r>
    </w:p>
    <w:p w:rsidR="008B478F" w:rsidRPr="00CC5C3C" w:rsidRDefault="008B478F" w:rsidP="00CA01B3">
      <w:pPr>
        <w:pStyle w:val="ListParagraph"/>
        <w:spacing w:line="240" w:lineRule="auto"/>
        <w:rPr>
          <w:rFonts w:ascii="Arial" w:hAnsi="Arial" w:cs="Arial"/>
          <w:iCs/>
          <w:sz w:val="20"/>
          <w:szCs w:val="20"/>
          <w:lang w:val="fr-FR"/>
        </w:rPr>
      </w:pPr>
    </w:p>
    <w:p w:rsidR="00474C9D" w:rsidRPr="00CC5C3C" w:rsidRDefault="00C75AB4" w:rsidP="00CA01B3">
      <w:pPr>
        <w:pStyle w:val="ListParagraph"/>
        <w:numPr>
          <w:ilvl w:val="0"/>
          <w:numId w:val="2"/>
        </w:numPr>
        <w:spacing w:line="240" w:lineRule="auto"/>
        <w:rPr>
          <w:rFonts w:ascii="Arial" w:hAnsi="Arial" w:cs="Arial"/>
          <w:iCs/>
          <w:sz w:val="20"/>
          <w:szCs w:val="20"/>
          <w:lang w:val="fr-FR"/>
        </w:rPr>
      </w:pPr>
      <w:r>
        <w:rPr>
          <w:rFonts w:ascii="Arial" w:hAnsi="Arial" w:cs="Arial"/>
          <w:iCs/>
          <w:sz w:val="20"/>
          <w:szCs w:val="20"/>
          <w:lang w:val="fr-FR"/>
        </w:rPr>
        <w:t>E</w:t>
      </w:r>
      <w:r w:rsidR="00474C9D" w:rsidRPr="00CC5C3C">
        <w:rPr>
          <w:rFonts w:ascii="Arial" w:hAnsi="Arial" w:cs="Arial"/>
          <w:iCs/>
          <w:sz w:val="20"/>
          <w:szCs w:val="20"/>
          <w:lang w:val="fr-FR"/>
        </w:rPr>
        <w:t>ncourage vivement la Cour à poursuivre dans</w:t>
      </w:r>
      <w:r w:rsidR="00D30CB3">
        <w:rPr>
          <w:rFonts w:ascii="Arial" w:hAnsi="Arial" w:cs="Arial"/>
          <w:iCs/>
          <w:sz w:val="20"/>
          <w:szCs w:val="20"/>
          <w:lang w:val="fr-FR"/>
        </w:rPr>
        <w:t xml:space="preserve"> cette voie de façon cohérente ;</w:t>
      </w:r>
    </w:p>
    <w:p w:rsidR="008B478F" w:rsidRPr="00CC5C3C" w:rsidRDefault="008B478F" w:rsidP="00CA01B3">
      <w:pPr>
        <w:pStyle w:val="ListParagraph"/>
        <w:spacing w:line="240" w:lineRule="auto"/>
        <w:rPr>
          <w:rFonts w:ascii="Arial" w:eastAsia="MyriadPro-Cond" w:hAnsi="Arial" w:cs="Arial"/>
          <w:sz w:val="20"/>
          <w:szCs w:val="20"/>
          <w:lang w:val="fr-FR"/>
        </w:rPr>
      </w:pPr>
    </w:p>
    <w:p w:rsidR="00474C9D" w:rsidRPr="00CC5C3C" w:rsidRDefault="00C75AB4" w:rsidP="00CA01B3">
      <w:pPr>
        <w:pStyle w:val="ListParagraph"/>
        <w:numPr>
          <w:ilvl w:val="0"/>
          <w:numId w:val="2"/>
        </w:numPr>
        <w:spacing w:line="240" w:lineRule="auto"/>
        <w:rPr>
          <w:rFonts w:ascii="Arial" w:hAnsi="Arial" w:cs="Arial"/>
          <w:iCs/>
          <w:sz w:val="20"/>
          <w:szCs w:val="20"/>
          <w:lang w:val="fr-FR"/>
        </w:rPr>
      </w:pPr>
      <w:r>
        <w:rPr>
          <w:rFonts w:ascii="Arial" w:hAnsi="Arial" w:cs="Arial"/>
          <w:iCs/>
          <w:sz w:val="20"/>
          <w:szCs w:val="20"/>
          <w:lang w:val="fr-FR"/>
        </w:rPr>
        <w:t>S</w:t>
      </w:r>
      <w:r w:rsidR="00BE08D5" w:rsidRPr="00CC5C3C">
        <w:rPr>
          <w:rFonts w:ascii="Arial" w:hAnsi="Arial" w:cs="Arial"/>
          <w:iCs/>
          <w:sz w:val="20"/>
          <w:szCs w:val="20"/>
          <w:lang w:val="fr-FR"/>
        </w:rPr>
        <w:t>e félicite</w:t>
      </w:r>
      <w:r w:rsidR="00474C9D" w:rsidRPr="00CC5C3C">
        <w:rPr>
          <w:rFonts w:ascii="Arial" w:hAnsi="Arial" w:cs="Arial"/>
          <w:iCs/>
          <w:sz w:val="20"/>
          <w:szCs w:val="20"/>
          <w:lang w:val="fr-FR"/>
        </w:rPr>
        <w:t xml:space="preserve"> </w:t>
      </w:r>
      <w:r w:rsidR="00BE08D5" w:rsidRPr="00CC5C3C">
        <w:rPr>
          <w:rFonts w:ascii="Arial" w:hAnsi="Arial" w:cs="Arial"/>
          <w:iCs/>
          <w:sz w:val="20"/>
          <w:szCs w:val="20"/>
          <w:lang w:val="fr-FR"/>
        </w:rPr>
        <w:t xml:space="preserve">que </w:t>
      </w:r>
      <w:r w:rsidR="00474C9D" w:rsidRPr="00CC5C3C">
        <w:rPr>
          <w:rFonts w:ascii="Arial" w:hAnsi="Arial" w:cs="Arial"/>
          <w:iCs/>
          <w:sz w:val="20"/>
          <w:szCs w:val="20"/>
          <w:lang w:val="fr-FR"/>
        </w:rPr>
        <w:t xml:space="preserve">la Cour </w:t>
      </w:r>
      <w:r w:rsidR="00BE08D5" w:rsidRPr="00CC5C3C">
        <w:rPr>
          <w:rFonts w:ascii="Arial" w:hAnsi="Arial" w:cs="Arial"/>
          <w:iCs/>
          <w:sz w:val="20"/>
          <w:szCs w:val="20"/>
          <w:lang w:val="fr-FR"/>
        </w:rPr>
        <w:t>applique strictement et rigoureusement l</w:t>
      </w:r>
      <w:r w:rsidR="00474C9D" w:rsidRPr="00CC5C3C">
        <w:rPr>
          <w:rFonts w:ascii="Arial" w:hAnsi="Arial" w:cs="Arial"/>
          <w:iCs/>
          <w:sz w:val="20"/>
          <w:szCs w:val="20"/>
          <w:lang w:val="fr-FR"/>
        </w:rPr>
        <w:t xml:space="preserve">es exigences formelles relatives au dépôt d’une requête et </w:t>
      </w:r>
      <w:r w:rsidR="00E05D3D">
        <w:rPr>
          <w:rFonts w:ascii="Arial" w:hAnsi="Arial" w:cs="Arial"/>
          <w:iCs/>
          <w:sz w:val="20"/>
          <w:szCs w:val="20"/>
          <w:lang w:val="fr-FR"/>
        </w:rPr>
        <w:t>aux</w:t>
      </w:r>
      <w:r w:rsidR="00474C9D" w:rsidRPr="00CC5C3C">
        <w:rPr>
          <w:rFonts w:ascii="Arial" w:hAnsi="Arial" w:cs="Arial"/>
          <w:iCs/>
          <w:sz w:val="20"/>
          <w:szCs w:val="20"/>
          <w:lang w:val="fr-FR"/>
        </w:rPr>
        <w:t xml:space="preserve"> critères de recevabilité, </w:t>
      </w:r>
      <w:r w:rsidR="00C36363" w:rsidRPr="00CC5C3C">
        <w:rPr>
          <w:rFonts w:ascii="Arial" w:hAnsi="Arial" w:cs="Arial"/>
          <w:iCs/>
          <w:sz w:val="20"/>
          <w:szCs w:val="20"/>
          <w:lang w:val="fr-FR"/>
        </w:rPr>
        <w:t xml:space="preserve">ce </w:t>
      </w:r>
      <w:r w:rsidR="00474C9D" w:rsidRPr="00CC5C3C">
        <w:rPr>
          <w:rFonts w:ascii="Arial" w:hAnsi="Arial" w:cs="Arial"/>
          <w:iCs/>
          <w:sz w:val="20"/>
          <w:szCs w:val="20"/>
          <w:lang w:val="fr-FR"/>
        </w:rPr>
        <w:t>qui est essentiel pour garantir</w:t>
      </w:r>
      <w:r w:rsidR="00A8331C" w:rsidRPr="00CC5C3C">
        <w:rPr>
          <w:rFonts w:ascii="Arial" w:hAnsi="Arial" w:cs="Arial"/>
          <w:iCs/>
          <w:sz w:val="20"/>
          <w:szCs w:val="20"/>
          <w:lang w:val="fr-FR"/>
        </w:rPr>
        <w:t xml:space="preserve"> le caractère subsidiaire du mécanisme de la Convention, notamment en </w:t>
      </w:r>
      <w:r w:rsidR="00347B84" w:rsidRPr="00CC5C3C">
        <w:rPr>
          <w:rFonts w:ascii="Arial" w:hAnsi="Arial" w:cs="Arial"/>
          <w:iCs/>
          <w:sz w:val="20"/>
          <w:szCs w:val="20"/>
          <w:lang w:val="fr-FR"/>
        </w:rPr>
        <w:t xml:space="preserve">contraignant </w:t>
      </w:r>
      <w:r w:rsidR="00A8331C" w:rsidRPr="00CC5C3C">
        <w:rPr>
          <w:rFonts w:ascii="Arial" w:hAnsi="Arial" w:cs="Arial"/>
          <w:iCs/>
          <w:sz w:val="20"/>
          <w:szCs w:val="20"/>
          <w:lang w:val="fr-FR"/>
        </w:rPr>
        <w:t xml:space="preserve">les requérants </w:t>
      </w:r>
      <w:r w:rsidR="00B7516C" w:rsidRPr="00CC5C3C">
        <w:rPr>
          <w:rFonts w:ascii="Arial" w:hAnsi="Arial" w:cs="Arial"/>
          <w:iCs/>
          <w:sz w:val="20"/>
          <w:szCs w:val="20"/>
          <w:lang w:val="fr-FR"/>
        </w:rPr>
        <w:t xml:space="preserve">à faire </w:t>
      </w:r>
      <w:r w:rsidR="00A8331C" w:rsidRPr="00CC5C3C">
        <w:rPr>
          <w:rFonts w:ascii="Arial" w:hAnsi="Arial" w:cs="Arial"/>
          <w:iCs/>
          <w:sz w:val="20"/>
          <w:szCs w:val="20"/>
          <w:lang w:val="fr-FR"/>
        </w:rPr>
        <w:t xml:space="preserve">preuve d’une diligence accrue </w:t>
      </w:r>
      <w:r w:rsidR="00866B1A" w:rsidRPr="00CC5C3C">
        <w:rPr>
          <w:rFonts w:ascii="Arial" w:hAnsi="Arial" w:cs="Arial"/>
          <w:iCs/>
          <w:sz w:val="20"/>
          <w:szCs w:val="20"/>
          <w:lang w:val="fr-FR"/>
        </w:rPr>
        <w:t>pour</w:t>
      </w:r>
      <w:r w:rsidR="00A8331C" w:rsidRPr="00CC5C3C">
        <w:rPr>
          <w:rFonts w:ascii="Arial" w:hAnsi="Arial" w:cs="Arial"/>
          <w:iCs/>
          <w:sz w:val="20"/>
          <w:szCs w:val="20"/>
          <w:lang w:val="fr-FR"/>
        </w:rPr>
        <w:t xml:space="preserve"> </w:t>
      </w:r>
      <w:r w:rsidR="00566B81" w:rsidRPr="00CC5C3C">
        <w:rPr>
          <w:rFonts w:ascii="Arial" w:hAnsi="Arial" w:cs="Arial"/>
          <w:iCs/>
          <w:sz w:val="20"/>
          <w:szCs w:val="20"/>
          <w:lang w:val="fr-FR"/>
        </w:rPr>
        <w:t>soulev</w:t>
      </w:r>
      <w:r w:rsidR="00A8331C" w:rsidRPr="00CC5C3C">
        <w:rPr>
          <w:rFonts w:ascii="Arial" w:hAnsi="Arial" w:cs="Arial"/>
          <w:iCs/>
          <w:sz w:val="20"/>
          <w:szCs w:val="20"/>
          <w:lang w:val="fr-FR"/>
        </w:rPr>
        <w:t>e</w:t>
      </w:r>
      <w:r w:rsidR="00866B1A" w:rsidRPr="00CC5C3C">
        <w:rPr>
          <w:rFonts w:ascii="Arial" w:hAnsi="Arial" w:cs="Arial"/>
          <w:iCs/>
          <w:sz w:val="20"/>
          <w:szCs w:val="20"/>
          <w:lang w:val="fr-FR"/>
        </w:rPr>
        <w:t>r</w:t>
      </w:r>
      <w:r w:rsidR="00A8331C" w:rsidRPr="00CC5C3C">
        <w:rPr>
          <w:rFonts w:ascii="Arial" w:hAnsi="Arial" w:cs="Arial"/>
          <w:iCs/>
          <w:sz w:val="20"/>
          <w:szCs w:val="20"/>
          <w:lang w:val="fr-FR"/>
        </w:rPr>
        <w:t xml:space="preserve"> leurs griefs </w:t>
      </w:r>
      <w:r w:rsidR="00866B1A" w:rsidRPr="00CC5C3C">
        <w:rPr>
          <w:rFonts w:ascii="Arial" w:hAnsi="Arial" w:cs="Arial"/>
          <w:iCs/>
          <w:sz w:val="20"/>
          <w:szCs w:val="20"/>
          <w:lang w:val="fr-FR"/>
        </w:rPr>
        <w:t>tirés de</w:t>
      </w:r>
      <w:r w:rsidR="00A8331C" w:rsidRPr="00CC5C3C">
        <w:rPr>
          <w:rFonts w:ascii="Arial" w:hAnsi="Arial" w:cs="Arial"/>
          <w:iCs/>
          <w:sz w:val="20"/>
          <w:szCs w:val="20"/>
          <w:lang w:val="fr-FR"/>
        </w:rPr>
        <w:t xml:space="preserve"> la </w:t>
      </w:r>
      <w:r w:rsidR="00866B1A" w:rsidRPr="00CC5C3C">
        <w:rPr>
          <w:rFonts w:ascii="Arial" w:hAnsi="Arial" w:cs="Arial"/>
          <w:iCs/>
          <w:sz w:val="20"/>
          <w:szCs w:val="20"/>
          <w:lang w:val="fr-FR"/>
        </w:rPr>
        <w:t xml:space="preserve">Convention </w:t>
      </w:r>
      <w:r w:rsidR="00A8331C" w:rsidRPr="00CC5C3C">
        <w:rPr>
          <w:rFonts w:ascii="Arial" w:hAnsi="Arial" w:cs="Arial"/>
          <w:iCs/>
          <w:sz w:val="20"/>
          <w:szCs w:val="20"/>
          <w:lang w:val="fr-FR"/>
        </w:rPr>
        <w:t xml:space="preserve">devant </w:t>
      </w:r>
      <w:r>
        <w:rPr>
          <w:rFonts w:ascii="Arial" w:hAnsi="Arial" w:cs="Arial"/>
          <w:iCs/>
          <w:sz w:val="20"/>
          <w:szCs w:val="20"/>
          <w:lang w:val="fr-FR"/>
        </w:rPr>
        <w:t>le</w:t>
      </w:r>
      <w:r w:rsidR="00D30CB3">
        <w:rPr>
          <w:rFonts w:ascii="Arial" w:hAnsi="Arial" w:cs="Arial"/>
          <w:iCs/>
          <w:sz w:val="20"/>
          <w:szCs w:val="20"/>
          <w:lang w:val="fr-FR"/>
        </w:rPr>
        <w:t>s juridictions internes ;</w:t>
      </w:r>
    </w:p>
    <w:p w:rsidR="008B478F" w:rsidRPr="00CC5C3C" w:rsidRDefault="008B478F" w:rsidP="00CA01B3">
      <w:pPr>
        <w:pStyle w:val="ListParagraph"/>
        <w:rPr>
          <w:rFonts w:ascii="Arial" w:hAnsi="Arial" w:cs="Arial"/>
          <w:iCs/>
          <w:sz w:val="20"/>
          <w:szCs w:val="20"/>
          <w:lang w:val="fr-FR"/>
        </w:rPr>
      </w:pPr>
    </w:p>
    <w:p w:rsidR="00A8331C" w:rsidRPr="00CC5C3C" w:rsidRDefault="00C75AB4" w:rsidP="00CA01B3">
      <w:pPr>
        <w:pStyle w:val="ListParagraph"/>
        <w:numPr>
          <w:ilvl w:val="0"/>
          <w:numId w:val="2"/>
        </w:numPr>
        <w:spacing w:line="240" w:lineRule="auto"/>
        <w:rPr>
          <w:rFonts w:ascii="Arial" w:hAnsi="Arial" w:cs="Arial"/>
          <w:iCs/>
          <w:sz w:val="20"/>
          <w:szCs w:val="20"/>
          <w:lang w:val="fr-FR"/>
        </w:rPr>
      </w:pPr>
      <w:r>
        <w:rPr>
          <w:rFonts w:ascii="Arial" w:hAnsi="Arial" w:cs="Arial"/>
          <w:iCs/>
          <w:sz w:val="20"/>
          <w:szCs w:val="20"/>
          <w:lang w:val="fr-FR"/>
        </w:rPr>
        <w:t>E</w:t>
      </w:r>
      <w:r w:rsidR="00A8331C" w:rsidRPr="00CC5C3C">
        <w:rPr>
          <w:rFonts w:ascii="Arial" w:hAnsi="Arial" w:cs="Arial"/>
          <w:iCs/>
          <w:sz w:val="20"/>
          <w:szCs w:val="20"/>
          <w:lang w:val="fr-FR"/>
        </w:rPr>
        <w:t xml:space="preserve">ncourage la Cour à </w:t>
      </w:r>
      <w:r w:rsidR="00BE08C2" w:rsidRPr="00CC5C3C">
        <w:rPr>
          <w:rFonts w:ascii="Arial" w:hAnsi="Arial" w:cs="Arial"/>
          <w:iCs/>
          <w:sz w:val="20"/>
          <w:szCs w:val="20"/>
          <w:lang w:val="fr-FR"/>
        </w:rPr>
        <w:t>tirer</w:t>
      </w:r>
      <w:r w:rsidR="00A8331C" w:rsidRPr="00CC5C3C">
        <w:rPr>
          <w:rFonts w:ascii="Arial" w:hAnsi="Arial" w:cs="Arial"/>
          <w:iCs/>
          <w:sz w:val="20"/>
          <w:szCs w:val="20"/>
          <w:lang w:val="fr-FR"/>
        </w:rPr>
        <w:t xml:space="preserve"> pleinement </w:t>
      </w:r>
      <w:r w:rsidR="00BE08C2" w:rsidRPr="00CC5C3C">
        <w:rPr>
          <w:rFonts w:ascii="Arial" w:hAnsi="Arial" w:cs="Arial"/>
          <w:iCs/>
          <w:sz w:val="20"/>
          <w:szCs w:val="20"/>
          <w:lang w:val="fr-FR"/>
        </w:rPr>
        <w:t xml:space="preserve">parti de </w:t>
      </w:r>
      <w:r w:rsidR="00A8331C" w:rsidRPr="00CC5C3C">
        <w:rPr>
          <w:rFonts w:ascii="Arial" w:hAnsi="Arial" w:cs="Arial"/>
          <w:iCs/>
          <w:sz w:val="20"/>
          <w:szCs w:val="20"/>
          <w:lang w:val="fr-FR"/>
        </w:rPr>
        <w:t>la possibilité offerte par l’article</w:t>
      </w:r>
      <w:r w:rsidR="00150CA9" w:rsidRPr="00CC5C3C">
        <w:rPr>
          <w:rFonts w:ascii="Arial" w:hAnsi="Arial" w:cs="Arial"/>
          <w:iCs/>
          <w:sz w:val="20"/>
          <w:szCs w:val="20"/>
          <w:lang w:val="fr-FR"/>
        </w:rPr>
        <w:t> </w:t>
      </w:r>
      <w:r w:rsidR="00A8331C" w:rsidRPr="00CC5C3C">
        <w:rPr>
          <w:rFonts w:ascii="Arial" w:hAnsi="Arial" w:cs="Arial"/>
          <w:iCs/>
          <w:sz w:val="20"/>
          <w:szCs w:val="20"/>
          <w:lang w:val="fr-FR"/>
        </w:rPr>
        <w:t>35</w:t>
      </w:r>
      <w:r w:rsidR="00150CA9" w:rsidRPr="00CC5C3C">
        <w:rPr>
          <w:rFonts w:ascii="Arial" w:hAnsi="Arial" w:cs="Arial"/>
          <w:iCs/>
          <w:sz w:val="20"/>
          <w:szCs w:val="20"/>
          <w:lang w:val="fr-FR"/>
        </w:rPr>
        <w:t> </w:t>
      </w:r>
      <w:r w:rsidR="00A8331C" w:rsidRPr="00CC5C3C">
        <w:rPr>
          <w:rFonts w:ascii="Arial" w:hAnsi="Arial" w:cs="Arial"/>
          <w:iCs/>
          <w:sz w:val="20"/>
          <w:szCs w:val="20"/>
          <w:lang w:val="fr-FR"/>
        </w:rPr>
        <w:t>§</w:t>
      </w:r>
      <w:r w:rsidR="00150CA9" w:rsidRPr="00CC5C3C">
        <w:rPr>
          <w:rFonts w:ascii="Arial" w:hAnsi="Arial" w:cs="Arial"/>
          <w:iCs/>
          <w:sz w:val="20"/>
          <w:szCs w:val="20"/>
          <w:lang w:val="fr-FR"/>
        </w:rPr>
        <w:t> </w:t>
      </w:r>
      <w:r w:rsidR="00A8331C" w:rsidRPr="00CC5C3C">
        <w:rPr>
          <w:rFonts w:ascii="Arial" w:hAnsi="Arial" w:cs="Arial"/>
          <w:iCs/>
          <w:sz w:val="20"/>
          <w:szCs w:val="20"/>
          <w:lang w:val="fr-FR"/>
        </w:rPr>
        <w:t>(3</w:t>
      </w:r>
      <w:r w:rsidR="00150CA9" w:rsidRPr="00CC5C3C">
        <w:rPr>
          <w:rFonts w:ascii="Arial" w:hAnsi="Arial" w:cs="Arial"/>
          <w:iCs/>
          <w:sz w:val="20"/>
          <w:szCs w:val="20"/>
          <w:lang w:val="fr-FR"/>
        </w:rPr>
        <w:t> </w:t>
      </w:r>
      <w:r w:rsidR="00A8331C" w:rsidRPr="00CC5C3C">
        <w:rPr>
          <w:rFonts w:ascii="Arial" w:hAnsi="Arial" w:cs="Arial"/>
          <w:iCs/>
          <w:sz w:val="20"/>
          <w:szCs w:val="20"/>
          <w:lang w:val="fr-FR"/>
        </w:rPr>
        <w:t xml:space="preserve">(b)) de la Convention, telle qu’amendée par le Protocole n° 15, </w:t>
      </w:r>
      <w:r w:rsidR="000A1329" w:rsidRPr="00CC5C3C">
        <w:rPr>
          <w:rFonts w:ascii="Arial" w:hAnsi="Arial" w:cs="Arial"/>
          <w:iCs/>
          <w:sz w:val="20"/>
          <w:szCs w:val="20"/>
          <w:lang w:val="fr-FR"/>
        </w:rPr>
        <w:t>pour</w:t>
      </w:r>
      <w:r w:rsidR="00A8331C" w:rsidRPr="00CC5C3C">
        <w:rPr>
          <w:rFonts w:ascii="Arial" w:hAnsi="Arial" w:cs="Arial"/>
          <w:iCs/>
          <w:sz w:val="20"/>
          <w:szCs w:val="20"/>
          <w:lang w:val="fr-FR"/>
        </w:rPr>
        <w:t xml:space="preserve"> déclarer irrecevable</w:t>
      </w:r>
      <w:r w:rsidR="00DF6FDC" w:rsidRPr="00CC5C3C">
        <w:rPr>
          <w:rFonts w:ascii="Arial" w:hAnsi="Arial" w:cs="Arial"/>
          <w:iCs/>
          <w:sz w:val="20"/>
          <w:szCs w:val="20"/>
          <w:lang w:val="fr-FR"/>
        </w:rPr>
        <w:t>,</w:t>
      </w:r>
      <w:r w:rsidR="00A8331C" w:rsidRPr="00CC5C3C">
        <w:rPr>
          <w:rFonts w:ascii="Arial" w:hAnsi="Arial" w:cs="Arial"/>
          <w:iCs/>
          <w:sz w:val="20"/>
          <w:szCs w:val="20"/>
          <w:lang w:val="fr-FR"/>
        </w:rPr>
        <w:t xml:space="preserve"> </w:t>
      </w:r>
      <w:r w:rsidR="00A15D82" w:rsidRPr="00CC5C3C">
        <w:rPr>
          <w:rFonts w:ascii="Arial" w:hAnsi="Arial" w:cs="Arial"/>
          <w:iCs/>
          <w:sz w:val="20"/>
          <w:szCs w:val="20"/>
          <w:lang w:val="fr-FR"/>
        </w:rPr>
        <w:t>de manière cohérente et uniforme</w:t>
      </w:r>
      <w:r w:rsidR="00DF6FDC" w:rsidRPr="00CC5C3C">
        <w:rPr>
          <w:rFonts w:ascii="Arial" w:hAnsi="Arial" w:cs="Arial"/>
          <w:iCs/>
          <w:sz w:val="20"/>
          <w:szCs w:val="20"/>
          <w:lang w:val="fr-FR"/>
        </w:rPr>
        <w:t>,</w:t>
      </w:r>
      <w:r w:rsidR="00A15D82" w:rsidRPr="00CC5C3C">
        <w:rPr>
          <w:rFonts w:ascii="Arial" w:hAnsi="Arial" w:cs="Arial"/>
          <w:iCs/>
          <w:sz w:val="20"/>
          <w:szCs w:val="20"/>
          <w:lang w:val="fr-FR"/>
        </w:rPr>
        <w:t xml:space="preserve"> toute </w:t>
      </w:r>
      <w:r w:rsidR="00A8331C" w:rsidRPr="00CC5C3C">
        <w:rPr>
          <w:rFonts w:ascii="Arial" w:hAnsi="Arial" w:cs="Arial"/>
          <w:iCs/>
          <w:sz w:val="20"/>
          <w:szCs w:val="20"/>
          <w:lang w:val="fr-FR"/>
        </w:rPr>
        <w:t xml:space="preserve">requête </w:t>
      </w:r>
      <w:r w:rsidR="00A15D82" w:rsidRPr="00CC5C3C">
        <w:rPr>
          <w:rFonts w:ascii="Arial" w:hAnsi="Arial" w:cs="Arial"/>
          <w:iCs/>
          <w:sz w:val="20"/>
          <w:szCs w:val="20"/>
          <w:lang w:val="fr-FR"/>
        </w:rPr>
        <w:t>dont l’auteur n’a subi aucun préjudice important.</w:t>
      </w:r>
    </w:p>
    <w:p w:rsidR="008B478F" w:rsidRPr="00CC5C3C" w:rsidRDefault="009F7FD2" w:rsidP="00CA01B3">
      <w:pPr>
        <w:spacing w:line="240" w:lineRule="auto"/>
        <w:rPr>
          <w:rFonts w:ascii="Arial" w:hAnsi="Arial" w:cs="Arial"/>
          <w:b/>
          <w:sz w:val="20"/>
          <w:szCs w:val="20"/>
          <w:lang w:val="fr-FR"/>
        </w:rPr>
      </w:pPr>
      <w:r w:rsidRPr="00CC5C3C">
        <w:rPr>
          <w:rFonts w:ascii="Arial" w:hAnsi="Arial" w:cs="Arial"/>
          <w:b/>
          <w:sz w:val="20"/>
          <w:szCs w:val="20"/>
          <w:lang w:val="fr-FR"/>
        </w:rPr>
        <w:t>Inter</w:t>
      </w:r>
      <w:r w:rsidR="00B44C84" w:rsidRPr="00CC5C3C">
        <w:rPr>
          <w:rFonts w:ascii="Arial" w:hAnsi="Arial" w:cs="Arial"/>
          <w:b/>
          <w:sz w:val="20"/>
          <w:szCs w:val="20"/>
          <w:lang w:val="fr-FR"/>
        </w:rPr>
        <w:t>action entre le</w:t>
      </w:r>
      <w:r w:rsidR="000106BA" w:rsidRPr="00CC5C3C">
        <w:rPr>
          <w:rFonts w:ascii="Arial" w:hAnsi="Arial" w:cs="Arial"/>
          <w:b/>
          <w:sz w:val="20"/>
          <w:szCs w:val="20"/>
          <w:lang w:val="fr-FR"/>
        </w:rPr>
        <w:t>s</w:t>
      </w:r>
      <w:r w:rsidR="00B44C84" w:rsidRPr="00CC5C3C">
        <w:rPr>
          <w:rFonts w:ascii="Arial" w:hAnsi="Arial" w:cs="Arial"/>
          <w:b/>
          <w:sz w:val="20"/>
          <w:szCs w:val="20"/>
          <w:lang w:val="fr-FR"/>
        </w:rPr>
        <w:t xml:space="preserve"> niveau</w:t>
      </w:r>
      <w:r w:rsidR="000106BA" w:rsidRPr="00CC5C3C">
        <w:rPr>
          <w:rFonts w:ascii="Arial" w:hAnsi="Arial" w:cs="Arial"/>
          <w:b/>
          <w:sz w:val="20"/>
          <w:szCs w:val="20"/>
          <w:lang w:val="fr-FR"/>
        </w:rPr>
        <w:t>x</w:t>
      </w:r>
      <w:r w:rsidR="00B44C84" w:rsidRPr="00CC5C3C">
        <w:rPr>
          <w:rFonts w:ascii="Arial" w:hAnsi="Arial" w:cs="Arial"/>
          <w:b/>
          <w:sz w:val="20"/>
          <w:szCs w:val="20"/>
          <w:lang w:val="fr-FR"/>
        </w:rPr>
        <w:t xml:space="preserve"> national et européen </w:t>
      </w:r>
      <w:r w:rsidRPr="00CC5C3C">
        <w:rPr>
          <w:rFonts w:ascii="Arial" w:hAnsi="Arial" w:cs="Arial"/>
          <w:b/>
          <w:sz w:val="20"/>
          <w:szCs w:val="20"/>
          <w:lang w:val="fr-FR"/>
        </w:rPr>
        <w:t xml:space="preserve">– </w:t>
      </w:r>
      <w:r w:rsidR="00B44C84" w:rsidRPr="00CC5C3C">
        <w:rPr>
          <w:rFonts w:ascii="Arial" w:hAnsi="Arial" w:cs="Arial"/>
          <w:b/>
          <w:sz w:val="20"/>
          <w:szCs w:val="20"/>
          <w:lang w:val="fr-FR"/>
        </w:rPr>
        <w:t>la nécessité d’un dialogue et d’une participation</w:t>
      </w:r>
    </w:p>
    <w:p w:rsidR="006C269F" w:rsidRPr="00CC5C3C" w:rsidRDefault="00C7069C" w:rsidP="00CA01B3">
      <w:pPr>
        <w:pStyle w:val="ListParagraph"/>
        <w:numPr>
          <w:ilvl w:val="0"/>
          <w:numId w:val="2"/>
        </w:numPr>
        <w:spacing w:line="240" w:lineRule="auto"/>
        <w:rPr>
          <w:rFonts w:ascii="Arial" w:hAnsi="Arial" w:cs="Arial"/>
          <w:iCs/>
          <w:sz w:val="20"/>
          <w:szCs w:val="20"/>
          <w:lang w:val="fr-FR"/>
        </w:rPr>
      </w:pPr>
      <w:r w:rsidRPr="00CC5C3C">
        <w:rPr>
          <w:rFonts w:ascii="Arial" w:hAnsi="Arial" w:cs="Arial"/>
          <w:sz w:val="20"/>
          <w:szCs w:val="20"/>
          <w:lang w:val="fr-FR"/>
        </w:rPr>
        <w:t>Pour qu’un système de responsabilité partagée soit eff</w:t>
      </w:r>
      <w:r w:rsidR="00E05D3D">
        <w:rPr>
          <w:rFonts w:ascii="Arial" w:hAnsi="Arial" w:cs="Arial"/>
          <w:sz w:val="20"/>
          <w:szCs w:val="20"/>
          <w:lang w:val="fr-FR"/>
        </w:rPr>
        <w:t>ectif</w:t>
      </w:r>
      <w:r w:rsidRPr="00CC5C3C">
        <w:rPr>
          <w:rFonts w:ascii="Arial" w:hAnsi="Arial" w:cs="Arial"/>
          <w:sz w:val="20"/>
          <w:szCs w:val="20"/>
          <w:lang w:val="fr-FR"/>
        </w:rPr>
        <w:t>, il faut une bonne interaction entre le niveau national et le niveau européen.</w:t>
      </w:r>
      <w:r w:rsidR="00905641" w:rsidRPr="00CC5C3C">
        <w:rPr>
          <w:rFonts w:ascii="Arial" w:hAnsi="Arial" w:cs="Arial"/>
          <w:sz w:val="20"/>
          <w:szCs w:val="20"/>
          <w:lang w:val="fr-FR"/>
        </w:rPr>
        <w:t xml:space="preserve"> Cela implique un dialogue constructif et </w:t>
      </w:r>
      <w:r w:rsidR="00EB7762" w:rsidRPr="00CC5C3C">
        <w:rPr>
          <w:rFonts w:ascii="Arial" w:hAnsi="Arial" w:cs="Arial"/>
          <w:sz w:val="20"/>
          <w:szCs w:val="20"/>
          <w:lang w:val="fr-FR"/>
        </w:rPr>
        <w:t>continu</w:t>
      </w:r>
      <w:r w:rsidR="00905641" w:rsidRPr="00CC5C3C">
        <w:rPr>
          <w:rFonts w:ascii="Arial" w:hAnsi="Arial" w:cs="Arial"/>
          <w:sz w:val="20"/>
          <w:szCs w:val="20"/>
          <w:lang w:val="fr-FR"/>
        </w:rPr>
        <w:t xml:space="preserve"> entre les États </w:t>
      </w:r>
      <w:r w:rsidR="00C75AB4">
        <w:rPr>
          <w:rFonts w:ascii="Arial" w:hAnsi="Arial" w:cs="Arial"/>
          <w:sz w:val="20"/>
          <w:szCs w:val="20"/>
          <w:lang w:val="fr-FR"/>
        </w:rPr>
        <w:t>P</w:t>
      </w:r>
      <w:r w:rsidR="00905641" w:rsidRPr="00CC5C3C">
        <w:rPr>
          <w:rFonts w:ascii="Arial" w:hAnsi="Arial" w:cs="Arial"/>
          <w:sz w:val="20"/>
          <w:szCs w:val="20"/>
          <w:lang w:val="fr-FR"/>
        </w:rPr>
        <w:t xml:space="preserve">arties et la Cour </w:t>
      </w:r>
      <w:r w:rsidR="00E05D3D">
        <w:rPr>
          <w:rFonts w:ascii="Arial" w:hAnsi="Arial" w:cs="Arial"/>
          <w:sz w:val="20"/>
          <w:szCs w:val="20"/>
          <w:lang w:val="fr-FR"/>
        </w:rPr>
        <w:t>sur</w:t>
      </w:r>
      <w:r w:rsidR="00905641" w:rsidRPr="00CC5C3C">
        <w:rPr>
          <w:rFonts w:ascii="Arial" w:hAnsi="Arial" w:cs="Arial"/>
          <w:sz w:val="20"/>
          <w:szCs w:val="20"/>
          <w:lang w:val="fr-FR"/>
        </w:rPr>
        <w:t xml:space="preserve"> leurs rôles respectifs dans l’application et le développement de la Convention.</w:t>
      </w:r>
    </w:p>
    <w:p w:rsidR="00465F4E" w:rsidRPr="00CC5C3C" w:rsidRDefault="00465F4E" w:rsidP="00CA01B3">
      <w:pPr>
        <w:pStyle w:val="Default"/>
        <w:numPr>
          <w:ilvl w:val="0"/>
          <w:numId w:val="2"/>
        </w:numPr>
        <w:adjustRightInd w:val="0"/>
        <w:rPr>
          <w:sz w:val="20"/>
          <w:szCs w:val="20"/>
          <w:lang w:val="fr-FR"/>
        </w:rPr>
      </w:pPr>
      <w:r w:rsidRPr="00CC5C3C">
        <w:rPr>
          <w:iCs/>
          <w:sz w:val="20"/>
          <w:szCs w:val="20"/>
          <w:lang w:val="fr-FR"/>
        </w:rPr>
        <w:t xml:space="preserve">La jurisprudence de la Cour développe la Convention et a un impact </w:t>
      </w:r>
      <w:r w:rsidR="00E05D3D">
        <w:rPr>
          <w:iCs/>
          <w:sz w:val="20"/>
          <w:szCs w:val="20"/>
          <w:lang w:val="fr-FR"/>
        </w:rPr>
        <w:t>significatif</w:t>
      </w:r>
      <w:r w:rsidRPr="00CC5C3C">
        <w:rPr>
          <w:iCs/>
          <w:sz w:val="20"/>
          <w:szCs w:val="20"/>
          <w:lang w:val="fr-FR"/>
        </w:rPr>
        <w:t xml:space="preserve"> sur </w:t>
      </w:r>
      <w:r w:rsidR="009F5C42" w:rsidRPr="00CC5C3C">
        <w:rPr>
          <w:iCs/>
          <w:sz w:val="20"/>
          <w:szCs w:val="20"/>
          <w:lang w:val="fr-FR"/>
        </w:rPr>
        <w:t>d</w:t>
      </w:r>
      <w:r w:rsidRPr="00CC5C3C">
        <w:rPr>
          <w:iCs/>
          <w:sz w:val="20"/>
          <w:szCs w:val="20"/>
          <w:lang w:val="fr-FR"/>
        </w:rPr>
        <w:t xml:space="preserve">es questions politiques </w:t>
      </w:r>
      <w:r w:rsidR="000B647F" w:rsidRPr="00CC5C3C">
        <w:rPr>
          <w:iCs/>
          <w:sz w:val="20"/>
          <w:szCs w:val="20"/>
          <w:lang w:val="fr-FR"/>
        </w:rPr>
        <w:t xml:space="preserve">majeures </w:t>
      </w:r>
      <w:r w:rsidRPr="00CC5C3C">
        <w:rPr>
          <w:iCs/>
          <w:sz w:val="20"/>
          <w:szCs w:val="20"/>
          <w:lang w:val="fr-FR"/>
        </w:rPr>
        <w:t xml:space="preserve">pour les États </w:t>
      </w:r>
      <w:r w:rsidR="00C75AB4">
        <w:rPr>
          <w:iCs/>
          <w:sz w:val="20"/>
          <w:szCs w:val="20"/>
          <w:lang w:val="fr-FR"/>
        </w:rPr>
        <w:t>P</w:t>
      </w:r>
      <w:r w:rsidRPr="00CC5C3C">
        <w:rPr>
          <w:iCs/>
          <w:sz w:val="20"/>
          <w:szCs w:val="20"/>
          <w:lang w:val="fr-FR"/>
        </w:rPr>
        <w:t>arties et leurs citoyens.</w:t>
      </w:r>
      <w:r w:rsidR="009F5C42" w:rsidRPr="00CC5C3C">
        <w:rPr>
          <w:iCs/>
          <w:sz w:val="20"/>
          <w:szCs w:val="20"/>
          <w:lang w:val="fr-FR"/>
        </w:rPr>
        <w:t xml:space="preserve"> Le développement</w:t>
      </w:r>
      <w:r w:rsidR="0096653F" w:rsidRPr="00CC5C3C">
        <w:rPr>
          <w:iCs/>
          <w:sz w:val="20"/>
          <w:szCs w:val="20"/>
          <w:lang w:val="fr-FR"/>
        </w:rPr>
        <w:t>,</w:t>
      </w:r>
      <w:r w:rsidR="009F5C42" w:rsidRPr="00CC5C3C">
        <w:rPr>
          <w:iCs/>
          <w:sz w:val="20"/>
          <w:szCs w:val="20"/>
          <w:lang w:val="fr-FR"/>
        </w:rPr>
        <w:t xml:space="preserve"> </w:t>
      </w:r>
      <w:r w:rsidR="0096653F" w:rsidRPr="00CC5C3C">
        <w:rPr>
          <w:iCs/>
          <w:sz w:val="20"/>
          <w:szCs w:val="20"/>
          <w:lang w:val="fr-FR"/>
        </w:rPr>
        <w:t xml:space="preserve">par la Cour, </w:t>
      </w:r>
      <w:r w:rsidR="009F5C42" w:rsidRPr="00CC5C3C">
        <w:rPr>
          <w:iCs/>
          <w:sz w:val="20"/>
          <w:szCs w:val="20"/>
          <w:lang w:val="fr-FR"/>
        </w:rPr>
        <w:t>des droits et des obligations énoncés dans la Convention devr</w:t>
      </w:r>
      <w:r w:rsidR="00444DB6" w:rsidRPr="00CC5C3C">
        <w:rPr>
          <w:iCs/>
          <w:sz w:val="20"/>
          <w:szCs w:val="20"/>
          <w:lang w:val="fr-FR"/>
        </w:rPr>
        <w:t>ai</w:t>
      </w:r>
      <w:r w:rsidR="009F5C42" w:rsidRPr="00CC5C3C">
        <w:rPr>
          <w:iCs/>
          <w:sz w:val="20"/>
          <w:szCs w:val="20"/>
          <w:lang w:val="fr-FR"/>
        </w:rPr>
        <w:t xml:space="preserve">t s’accompagner d’un dialogue continu </w:t>
      </w:r>
      <w:r w:rsidR="00E05D3D">
        <w:rPr>
          <w:iCs/>
          <w:sz w:val="20"/>
          <w:szCs w:val="20"/>
          <w:lang w:val="fr-FR"/>
        </w:rPr>
        <w:t>avec l’implication adéquate d</w:t>
      </w:r>
      <w:r w:rsidR="009F5C42" w:rsidRPr="00CC5C3C">
        <w:rPr>
          <w:iCs/>
          <w:sz w:val="20"/>
          <w:szCs w:val="20"/>
          <w:lang w:val="fr-FR"/>
        </w:rPr>
        <w:t xml:space="preserve">es États </w:t>
      </w:r>
      <w:r w:rsidR="00C75AB4">
        <w:rPr>
          <w:iCs/>
          <w:sz w:val="20"/>
          <w:szCs w:val="20"/>
          <w:lang w:val="fr-FR"/>
        </w:rPr>
        <w:t>P</w:t>
      </w:r>
      <w:r w:rsidR="009F5C42" w:rsidRPr="00CC5C3C">
        <w:rPr>
          <w:iCs/>
          <w:sz w:val="20"/>
          <w:szCs w:val="20"/>
          <w:lang w:val="fr-FR"/>
        </w:rPr>
        <w:t xml:space="preserve">arties </w:t>
      </w:r>
      <w:r w:rsidR="009E4FC7" w:rsidRPr="00CC5C3C">
        <w:rPr>
          <w:iCs/>
          <w:sz w:val="20"/>
          <w:szCs w:val="20"/>
          <w:lang w:val="fr-FR"/>
        </w:rPr>
        <w:t>et leur population, notamment la société civile.</w:t>
      </w:r>
    </w:p>
    <w:p w:rsidR="008B478F" w:rsidRPr="00CC5C3C" w:rsidRDefault="008B478F" w:rsidP="00CA01B3">
      <w:pPr>
        <w:pStyle w:val="Default"/>
        <w:adjustRightInd w:val="0"/>
        <w:rPr>
          <w:sz w:val="20"/>
          <w:szCs w:val="20"/>
          <w:lang w:val="fr-FR"/>
        </w:rPr>
      </w:pPr>
    </w:p>
    <w:p w:rsidR="009E4FC7" w:rsidRPr="00CC5C3C" w:rsidRDefault="009E4FC7" w:rsidP="00CA01B3">
      <w:pPr>
        <w:pStyle w:val="Default"/>
        <w:numPr>
          <w:ilvl w:val="0"/>
          <w:numId w:val="2"/>
        </w:numPr>
        <w:adjustRightInd w:val="0"/>
        <w:rPr>
          <w:rFonts w:eastAsia="MyriadPro-Cond"/>
          <w:sz w:val="20"/>
          <w:szCs w:val="20"/>
          <w:lang w:val="fr-FR"/>
        </w:rPr>
      </w:pPr>
      <w:r w:rsidRPr="00CC5C3C">
        <w:rPr>
          <w:sz w:val="20"/>
          <w:szCs w:val="20"/>
          <w:lang w:val="fr-FR"/>
        </w:rPr>
        <w:t xml:space="preserve">Un dialogue accru </w:t>
      </w:r>
      <w:r w:rsidR="00756638" w:rsidRPr="00CC5C3C">
        <w:rPr>
          <w:sz w:val="20"/>
          <w:szCs w:val="20"/>
          <w:lang w:val="fr-FR"/>
        </w:rPr>
        <w:t xml:space="preserve">portant </w:t>
      </w:r>
      <w:r w:rsidRPr="00CC5C3C">
        <w:rPr>
          <w:sz w:val="20"/>
          <w:szCs w:val="20"/>
          <w:lang w:val="fr-FR"/>
        </w:rPr>
        <w:t xml:space="preserve">sur le développement général de la jurisprudence dans des domaines importants, qui devrait avoir lieu en </w:t>
      </w:r>
      <w:r w:rsidR="000C0DB1" w:rsidRPr="00CC5C3C">
        <w:rPr>
          <w:sz w:val="20"/>
          <w:szCs w:val="20"/>
          <w:lang w:val="fr-FR"/>
        </w:rPr>
        <w:t xml:space="preserve">respectant </w:t>
      </w:r>
      <w:r w:rsidRPr="00CC5C3C">
        <w:rPr>
          <w:sz w:val="20"/>
          <w:szCs w:val="20"/>
          <w:lang w:val="fr-FR"/>
        </w:rPr>
        <w:t xml:space="preserve">l’indépendance de la Cour et </w:t>
      </w:r>
      <w:r w:rsidR="000C0DB1" w:rsidRPr="00CC5C3C">
        <w:rPr>
          <w:sz w:val="20"/>
          <w:szCs w:val="20"/>
          <w:lang w:val="fr-FR"/>
        </w:rPr>
        <w:t xml:space="preserve">le </w:t>
      </w:r>
      <w:r w:rsidRPr="00CC5C3C">
        <w:rPr>
          <w:sz w:val="20"/>
          <w:szCs w:val="20"/>
          <w:lang w:val="fr-FR"/>
        </w:rPr>
        <w:t>caractère contraignant de ses arrêts,</w:t>
      </w:r>
      <w:r w:rsidR="003A1C0B" w:rsidRPr="00CC5C3C">
        <w:rPr>
          <w:sz w:val="20"/>
          <w:szCs w:val="20"/>
          <w:lang w:val="fr-FR"/>
        </w:rPr>
        <w:t xml:space="preserve"> p</w:t>
      </w:r>
      <w:r w:rsidR="00E05D3D">
        <w:rPr>
          <w:sz w:val="20"/>
          <w:szCs w:val="20"/>
          <w:lang w:val="fr-FR"/>
        </w:rPr>
        <w:t>eut</w:t>
      </w:r>
      <w:r w:rsidR="003A1C0B" w:rsidRPr="00CC5C3C">
        <w:rPr>
          <w:sz w:val="20"/>
          <w:szCs w:val="20"/>
          <w:lang w:val="fr-FR"/>
        </w:rPr>
        <w:t xml:space="preserve"> donner une image plus</w:t>
      </w:r>
      <w:r w:rsidR="00524FE6" w:rsidRPr="00CC5C3C">
        <w:rPr>
          <w:sz w:val="20"/>
          <w:szCs w:val="20"/>
          <w:lang w:val="fr-FR"/>
        </w:rPr>
        <w:t xml:space="preserve"> précise </w:t>
      </w:r>
      <w:r w:rsidR="003A1C0B" w:rsidRPr="00CC5C3C">
        <w:rPr>
          <w:sz w:val="20"/>
          <w:szCs w:val="20"/>
          <w:lang w:val="fr-FR"/>
        </w:rPr>
        <w:t>des opinions et position</w:t>
      </w:r>
      <w:r w:rsidR="00524FE6" w:rsidRPr="00CC5C3C">
        <w:rPr>
          <w:sz w:val="20"/>
          <w:szCs w:val="20"/>
          <w:lang w:val="fr-FR"/>
        </w:rPr>
        <w:t>s</w:t>
      </w:r>
      <w:r w:rsidR="003A1C0B" w:rsidRPr="00CC5C3C">
        <w:rPr>
          <w:sz w:val="20"/>
          <w:szCs w:val="20"/>
          <w:lang w:val="fr-FR"/>
        </w:rPr>
        <w:t xml:space="preserve"> générale</w:t>
      </w:r>
      <w:r w:rsidR="00524FE6" w:rsidRPr="00CC5C3C">
        <w:rPr>
          <w:sz w:val="20"/>
          <w:szCs w:val="20"/>
          <w:lang w:val="fr-FR"/>
        </w:rPr>
        <w:t>s</w:t>
      </w:r>
      <w:r w:rsidR="003A1C0B" w:rsidRPr="00CC5C3C">
        <w:rPr>
          <w:sz w:val="20"/>
          <w:szCs w:val="20"/>
          <w:lang w:val="fr-FR"/>
        </w:rPr>
        <w:t xml:space="preserve"> des gouvernements et autres parties prenantes,</w:t>
      </w:r>
      <w:r w:rsidR="00363DF9" w:rsidRPr="00CC5C3C">
        <w:rPr>
          <w:sz w:val="20"/>
          <w:szCs w:val="20"/>
          <w:lang w:val="fr-FR"/>
        </w:rPr>
        <w:t xml:space="preserve"> ce qui résoudrait </w:t>
      </w:r>
      <w:r w:rsidR="00E05D3D">
        <w:rPr>
          <w:sz w:val="20"/>
          <w:szCs w:val="20"/>
          <w:lang w:val="fr-FR"/>
        </w:rPr>
        <w:t>certains</w:t>
      </w:r>
      <w:r w:rsidR="00363DF9" w:rsidRPr="00CC5C3C">
        <w:rPr>
          <w:sz w:val="20"/>
          <w:szCs w:val="20"/>
          <w:lang w:val="fr-FR"/>
        </w:rPr>
        <w:t xml:space="preserve"> défis </w:t>
      </w:r>
      <w:r w:rsidR="000A0B7E" w:rsidRPr="00CC5C3C">
        <w:rPr>
          <w:sz w:val="20"/>
          <w:szCs w:val="20"/>
          <w:lang w:val="fr-FR"/>
        </w:rPr>
        <w:t xml:space="preserve">liés au développement de </w:t>
      </w:r>
      <w:r w:rsidR="00363DF9" w:rsidRPr="00CC5C3C">
        <w:rPr>
          <w:sz w:val="20"/>
          <w:szCs w:val="20"/>
          <w:lang w:val="fr-FR"/>
        </w:rPr>
        <w:t xml:space="preserve">la Convention </w:t>
      </w:r>
      <w:r w:rsidR="002162B8" w:rsidRPr="00CC5C3C">
        <w:rPr>
          <w:sz w:val="20"/>
          <w:szCs w:val="20"/>
          <w:lang w:val="fr-FR"/>
        </w:rPr>
        <w:t>dans le</w:t>
      </w:r>
      <w:r w:rsidR="00363DF9" w:rsidRPr="00CC5C3C">
        <w:rPr>
          <w:sz w:val="20"/>
          <w:szCs w:val="20"/>
          <w:lang w:val="fr-FR"/>
        </w:rPr>
        <w:t xml:space="preserve"> temps.</w:t>
      </w:r>
      <w:r w:rsidR="000A619A" w:rsidRPr="00CC5C3C">
        <w:rPr>
          <w:sz w:val="20"/>
          <w:szCs w:val="20"/>
          <w:lang w:val="fr-FR"/>
        </w:rPr>
        <w:t xml:space="preserve"> </w:t>
      </w:r>
      <w:r w:rsidR="00101C70" w:rsidRPr="00CC5C3C">
        <w:rPr>
          <w:sz w:val="20"/>
          <w:szCs w:val="20"/>
          <w:lang w:val="fr-FR"/>
        </w:rPr>
        <w:t>Par ailleurs, c</w:t>
      </w:r>
      <w:r w:rsidR="000A619A" w:rsidRPr="00CC5C3C">
        <w:rPr>
          <w:sz w:val="20"/>
          <w:szCs w:val="20"/>
          <w:lang w:val="fr-FR"/>
        </w:rPr>
        <w:t>ela anc</w:t>
      </w:r>
      <w:r w:rsidR="00297395" w:rsidRPr="00CC5C3C">
        <w:rPr>
          <w:sz w:val="20"/>
          <w:szCs w:val="20"/>
          <w:lang w:val="fr-FR"/>
        </w:rPr>
        <w:t>rera</w:t>
      </w:r>
      <w:r w:rsidR="00245B1F" w:rsidRPr="00CC5C3C">
        <w:rPr>
          <w:sz w:val="20"/>
          <w:szCs w:val="20"/>
          <w:lang w:val="fr-FR"/>
        </w:rPr>
        <w:t>it</w:t>
      </w:r>
      <w:r w:rsidR="000A619A" w:rsidRPr="00CC5C3C">
        <w:rPr>
          <w:sz w:val="20"/>
          <w:szCs w:val="20"/>
          <w:lang w:val="fr-FR"/>
        </w:rPr>
        <w:t xml:space="preserve"> </w:t>
      </w:r>
      <w:r w:rsidR="00101C70" w:rsidRPr="00CC5C3C">
        <w:rPr>
          <w:sz w:val="20"/>
          <w:szCs w:val="20"/>
          <w:lang w:val="fr-FR"/>
        </w:rPr>
        <w:t xml:space="preserve">plus solidement </w:t>
      </w:r>
      <w:r w:rsidR="000A619A" w:rsidRPr="00CC5C3C">
        <w:rPr>
          <w:sz w:val="20"/>
          <w:szCs w:val="20"/>
          <w:lang w:val="fr-FR"/>
        </w:rPr>
        <w:t>le développement des droits de l’homme dans les démocraties européennes.</w:t>
      </w:r>
    </w:p>
    <w:p w:rsidR="008B478F" w:rsidRPr="00CC5C3C" w:rsidRDefault="008B478F" w:rsidP="00CA01B3">
      <w:pPr>
        <w:pStyle w:val="Default"/>
        <w:adjustRightInd w:val="0"/>
        <w:ind w:left="720"/>
        <w:rPr>
          <w:sz w:val="20"/>
          <w:szCs w:val="20"/>
          <w:lang w:val="fr-FR"/>
        </w:rPr>
      </w:pPr>
    </w:p>
    <w:p w:rsidR="00912A7B" w:rsidRPr="00CC5C3C" w:rsidRDefault="006E58EC" w:rsidP="00CA01B3">
      <w:pPr>
        <w:pStyle w:val="Default"/>
        <w:numPr>
          <w:ilvl w:val="0"/>
          <w:numId w:val="2"/>
        </w:numPr>
        <w:adjustRightInd w:val="0"/>
        <w:rPr>
          <w:sz w:val="20"/>
          <w:szCs w:val="20"/>
          <w:lang w:val="fr-FR"/>
        </w:rPr>
      </w:pPr>
      <w:r w:rsidRPr="00CC5C3C">
        <w:rPr>
          <w:iCs/>
          <w:sz w:val="20"/>
          <w:szCs w:val="20"/>
          <w:lang w:val="fr-FR"/>
        </w:rPr>
        <w:t>Les tierces interventions dans les affaires soumises à la Cour</w:t>
      </w:r>
      <w:r w:rsidRPr="00CC5C3C">
        <w:rPr>
          <w:sz w:val="20"/>
          <w:szCs w:val="20"/>
          <w:lang w:val="fr-FR"/>
        </w:rPr>
        <w:t xml:space="preserve"> sont l’un</w:t>
      </w:r>
      <w:r w:rsidR="00912A7B" w:rsidRPr="00CC5C3C">
        <w:rPr>
          <w:sz w:val="20"/>
          <w:szCs w:val="20"/>
          <w:lang w:val="fr-FR"/>
        </w:rPr>
        <w:t xml:space="preserve"> </w:t>
      </w:r>
      <w:r w:rsidRPr="00CC5C3C">
        <w:rPr>
          <w:sz w:val="20"/>
          <w:szCs w:val="20"/>
          <w:lang w:val="fr-FR"/>
        </w:rPr>
        <w:t xml:space="preserve">des </w:t>
      </w:r>
      <w:r w:rsidR="00180A94" w:rsidRPr="00CC5C3C">
        <w:rPr>
          <w:sz w:val="20"/>
          <w:szCs w:val="20"/>
          <w:lang w:val="fr-FR"/>
        </w:rPr>
        <w:t>outils</w:t>
      </w:r>
      <w:r w:rsidR="00046FF0" w:rsidRPr="00CC5C3C">
        <w:rPr>
          <w:sz w:val="20"/>
          <w:szCs w:val="20"/>
          <w:lang w:val="fr-FR"/>
        </w:rPr>
        <w:t xml:space="preserve"> </w:t>
      </w:r>
      <w:r w:rsidRPr="00CC5C3C">
        <w:rPr>
          <w:sz w:val="20"/>
          <w:szCs w:val="20"/>
          <w:lang w:val="fr-FR"/>
        </w:rPr>
        <w:t xml:space="preserve">dont disposent </w:t>
      </w:r>
      <w:r w:rsidR="00912A7B" w:rsidRPr="00CC5C3C">
        <w:rPr>
          <w:iCs/>
          <w:sz w:val="20"/>
          <w:szCs w:val="20"/>
          <w:lang w:val="fr-FR"/>
        </w:rPr>
        <w:t xml:space="preserve">les </w:t>
      </w:r>
      <w:r w:rsidR="00C75AB4">
        <w:rPr>
          <w:iCs/>
          <w:sz w:val="20"/>
          <w:szCs w:val="20"/>
          <w:lang w:val="fr-FR"/>
        </w:rPr>
        <w:t xml:space="preserve">États Parties </w:t>
      </w:r>
      <w:r w:rsidRPr="00CC5C3C">
        <w:rPr>
          <w:iCs/>
          <w:sz w:val="20"/>
          <w:szCs w:val="20"/>
          <w:lang w:val="fr-FR"/>
        </w:rPr>
        <w:t xml:space="preserve">pour </w:t>
      </w:r>
      <w:r w:rsidR="00912A7B" w:rsidRPr="00CC5C3C">
        <w:rPr>
          <w:iCs/>
          <w:sz w:val="20"/>
          <w:szCs w:val="20"/>
          <w:lang w:val="fr-FR"/>
        </w:rPr>
        <w:t>engager un dialogue et tenter d’influer sur la jurisprudence de la Cour.</w:t>
      </w:r>
      <w:r w:rsidR="00621936" w:rsidRPr="00CC5C3C">
        <w:rPr>
          <w:iCs/>
          <w:sz w:val="20"/>
          <w:szCs w:val="20"/>
          <w:lang w:val="fr-FR"/>
        </w:rPr>
        <w:t xml:space="preserve"> Garantir </w:t>
      </w:r>
      <w:r w:rsidR="00594EC5" w:rsidRPr="00CC5C3C">
        <w:rPr>
          <w:iCs/>
          <w:sz w:val="20"/>
          <w:szCs w:val="20"/>
          <w:lang w:val="fr-FR"/>
        </w:rPr>
        <w:t xml:space="preserve">aux </w:t>
      </w:r>
      <w:r w:rsidR="00C75AB4">
        <w:rPr>
          <w:iCs/>
          <w:sz w:val="20"/>
          <w:szCs w:val="20"/>
          <w:lang w:val="fr-FR"/>
        </w:rPr>
        <w:t xml:space="preserve">États Parties </w:t>
      </w:r>
      <w:r w:rsidR="00621936" w:rsidRPr="00CC5C3C">
        <w:rPr>
          <w:iCs/>
          <w:sz w:val="20"/>
          <w:szCs w:val="20"/>
          <w:lang w:val="fr-FR"/>
        </w:rPr>
        <w:t xml:space="preserve">un accès </w:t>
      </w:r>
      <w:r w:rsidR="005C0EE7" w:rsidRPr="00CC5C3C">
        <w:rPr>
          <w:iCs/>
          <w:sz w:val="20"/>
          <w:szCs w:val="20"/>
          <w:lang w:val="fr-FR"/>
        </w:rPr>
        <w:t>adéquat</w:t>
      </w:r>
      <w:r w:rsidR="00621936" w:rsidRPr="00CC5C3C">
        <w:rPr>
          <w:iCs/>
          <w:sz w:val="20"/>
          <w:szCs w:val="20"/>
          <w:lang w:val="fr-FR"/>
        </w:rPr>
        <w:t xml:space="preserve"> </w:t>
      </w:r>
      <w:r w:rsidR="00594EC5" w:rsidRPr="00CC5C3C">
        <w:rPr>
          <w:iCs/>
          <w:sz w:val="20"/>
          <w:szCs w:val="20"/>
          <w:lang w:val="fr-FR"/>
        </w:rPr>
        <w:t xml:space="preserve">pour </w:t>
      </w:r>
      <w:r w:rsidR="00621936" w:rsidRPr="00CC5C3C">
        <w:rPr>
          <w:iCs/>
          <w:sz w:val="20"/>
          <w:szCs w:val="20"/>
          <w:lang w:val="fr-FR"/>
        </w:rPr>
        <w:t xml:space="preserve">participer aux procédures pertinentes devant la Cour et </w:t>
      </w:r>
      <w:r w:rsidR="007A7D89" w:rsidRPr="00CC5C3C">
        <w:rPr>
          <w:iCs/>
          <w:sz w:val="20"/>
          <w:szCs w:val="20"/>
          <w:lang w:val="fr-FR"/>
        </w:rPr>
        <w:t xml:space="preserve">leur offrir </w:t>
      </w:r>
      <w:r w:rsidR="00621936" w:rsidRPr="00CC5C3C">
        <w:rPr>
          <w:iCs/>
          <w:sz w:val="20"/>
          <w:szCs w:val="20"/>
          <w:lang w:val="fr-FR"/>
        </w:rPr>
        <w:t>de</w:t>
      </w:r>
      <w:r w:rsidR="007612B4" w:rsidRPr="00CC5C3C">
        <w:rPr>
          <w:iCs/>
          <w:sz w:val="20"/>
          <w:szCs w:val="20"/>
          <w:lang w:val="fr-FR"/>
        </w:rPr>
        <w:t xml:space="preserve">s </w:t>
      </w:r>
      <w:r w:rsidR="00621936" w:rsidRPr="00CC5C3C">
        <w:rPr>
          <w:iCs/>
          <w:sz w:val="20"/>
          <w:szCs w:val="20"/>
          <w:lang w:val="fr-FR"/>
        </w:rPr>
        <w:t xml:space="preserve">possibilités </w:t>
      </w:r>
      <w:r w:rsidR="007612B4" w:rsidRPr="00CC5C3C">
        <w:rPr>
          <w:iCs/>
          <w:sz w:val="20"/>
          <w:szCs w:val="20"/>
          <w:lang w:val="fr-FR"/>
        </w:rPr>
        <w:t xml:space="preserve">supplémentaires </w:t>
      </w:r>
      <w:r w:rsidR="00621936" w:rsidRPr="00CC5C3C">
        <w:rPr>
          <w:iCs/>
          <w:sz w:val="20"/>
          <w:szCs w:val="20"/>
          <w:lang w:val="fr-FR"/>
        </w:rPr>
        <w:t xml:space="preserve">d’exprimer leurs </w:t>
      </w:r>
      <w:r w:rsidR="00621936" w:rsidRPr="00CC5C3C">
        <w:rPr>
          <w:sz w:val="20"/>
          <w:szCs w:val="20"/>
          <w:lang w:val="fr-FR"/>
        </w:rPr>
        <w:t>opinions et positions et d’attirer l’attention sur les conséquences éventuelles pour leur système juridique</w:t>
      </w:r>
      <w:r w:rsidR="00E05D3D">
        <w:rPr>
          <w:sz w:val="20"/>
          <w:szCs w:val="20"/>
          <w:lang w:val="fr-FR"/>
        </w:rPr>
        <w:t>,</w:t>
      </w:r>
      <w:r w:rsidR="00621936" w:rsidRPr="00CC5C3C">
        <w:rPr>
          <w:sz w:val="20"/>
          <w:szCs w:val="20"/>
          <w:lang w:val="fr-FR"/>
        </w:rPr>
        <w:t xml:space="preserve"> </w:t>
      </w:r>
      <w:proofErr w:type="gramStart"/>
      <w:r w:rsidR="00621936" w:rsidRPr="00CC5C3C">
        <w:rPr>
          <w:sz w:val="20"/>
          <w:szCs w:val="20"/>
          <w:lang w:val="fr-FR"/>
        </w:rPr>
        <w:t>constitue</w:t>
      </w:r>
      <w:r w:rsidR="00D91397" w:rsidRPr="00CC5C3C">
        <w:rPr>
          <w:sz w:val="20"/>
          <w:szCs w:val="20"/>
          <w:lang w:val="fr-FR"/>
        </w:rPr>
        <w:t>nt</w:t>
      </w:r>
      <w:proofErr w:type="gramEnd"/>
      <w:r w:rsidR="00621936" w:rsidRPr="00CC5C3C">
        <w:rPr>
          <w:sz w:val="20"/>
          <w:szCs w:val="20"/>
          <w:lang w:val="fr-FR"/>
        </w:rPr>
        <w:t xml:space="preserve"> </w:t>
      </w:r>
      <w:r w:rsidR="00D91397" w:rsidRPr="00CC5C3C">
        <w:rPr>
          <w:sz w:val="20"/>
          <w:szCs w:val="20"/>
          <w:lang w:val="fr-FR"/>
        </w:rPr>
        <w:t xml:space="preserve">des </w:t>
      </w:r>
      <w:r w:rsidR="00621936" w:rsidRPr="00CC5C3C">
        <w:rPr>
          <w:sz w:val="20"/>
          <w:szCs w:val="20"/>
          <w:lang w:val="fr-FR"/>
        </w:rPr>
        <w:t>moyen</w:t>
      </w:r>
      <w:r w:rsidR="00D91397" w:rsidRPr="00CC5C3C">
        <w:rPr>
          <w:sz w:val="20"/>
          <w:szCs w:val="20"/>
          <w:lang w:val="fr-FR"/>
        </w:rPr>
        <w:t>s</w:t>
      </w:r>
      <w:r w:rsidR="00621936" w:rsidRPr="00CC5C3C">
        <w:rPr>
          <w:sz w:val="20"/>
          <w:szCs w:val="20"/>
          <w:lang w:val="fr-FR"/>
        </w:rPr>
        <w:t xml:space="preserve"> de renforcer l’autorité et l’eff</w:t>
      </w:r>
      <w:r w:rsidR="00E05D3D">
        <w:rPr>
          <w:sz w:val="20"/>
          <w:szCs w:val="20"/>
          <w:lang w:val="fr-FR"/>
        </w:rPr>
        <w:t xml:space="preserve">ectivité </w:t>
      </w:r>
      <w:r w:rsidR="00621936" w:rsidRPr="00CC5C3C">
        <w:rPr>
          <w:sz w:val="20"/>
          <w:szCs w:val="20"/>
          <w:lang w:val="fr-FR"/>
        </w:rPr>
        <w:t>du système de la Convention.</w:t>
      </w:r>
    </w:p>
    <w:p w:rsidR="008B478F" w:rsidRPr="00CC5C3C" w:rsidRDefault="008B478F" w:rsidP="00CA01B3">
      <w:pPr>
        <w:pStyle w:val="Default"/>
        <w:adjustRightInd w:val="0"/>
        <w:rPr>
          <w:sz w:val="20"/>
          <w:szCs w:val="20"/>
          <w:lang w:val="fr-FR"/>
        </w:rPr>
      </w:pPr>
    </w:p>
    <w:p w:rsidR="00AB3675" w:rsidRPr="00CC5C3C" w:rsidRDefault="00AB3675" w:rsidP="00CA01B3">
      <w:pPr>
        <w:pStyle w:val="Default"/>
        <w:numPr>
          <w:ilvl w:val="0"/>
          <w:numId w:val="2"/>
        </w:numPr>
        <w:adjustRightInd w:val="0"/>
        <w:rPr>
          <w:sz w:val="20"/>
          <w:szCs w:val="20"/>
          <w:lang w:val="fr-FR"/>
        </w:rPr>
      </w:pPr>
      <w:r w:rsidRPr="00CC5C3C">
        <w:rPr>
          <w:sz w:val="20"/>
          <w:szCs w:val="20"/>
          <w:lang w:val="fr-FR"/>
        </w:rPr>
        <w:t xml:space="preserve">Pour garantir la transparence et une large participation, </w:t>
      </w:r>
      <w:r w:rsidR="00CA58ED" w:rsidRPr="00CC5C3C">
        <w:rPr>
          <w:sz w:val="20"/>
          <w:szCs w:val="20"/>
          <w:lang w:val="fr-FR"/>
        </w:rPr>
        <w:t xml:space="preserve">la solution la plus appropriée serait que </w:t>
      </w:r>
      <w:r w:rsidRPr="00CC5C3C">
        <w:rPr>
          <w:sz w:val="20"/>
          <w:szCs w:val="20"/>
          <w:lang w:val="fr-FR"/>
        </w:rPr>
        <w:t>les développements importants de la jurisprudence qui sont susceptibles de concerner davantage d’</w:t>
      </w:r>
      <w:r w:rsidRPr="00CC5C3C">
        <w:rPr>
          <w:iCs/>
          <w:sz w:val="20"/>
          <w:szCs w:val="20"/>
          <w:lang w:val="fr-FR"/>
        </w:rPr>
        <w:t xml:space="preserve">États </w:t>
      </w:r>
      <w:r w:rsidR="00C75AB4">
        <w:rPr>
          <w:iCs/>
          <w:sz w:val="20"/>
          <w:szCs w:val="20"/>
          <w:lang w:val="fr-FR"/>
        </w:rPr>
        <w:t>P</w:t>
      </w:r>
      <w:r w:rsidRPr="00CC5C3C">
        <w:rPr>
          <w:iCs/>
          <w:sz w:val="20"/>
          <w:szCs w:val="20"/>
          <w:lang w:val="fr-FR"/>
        </w:rPr>
        <w:t xml:space="preserve">arties, </w:t>
      </w:r>
      <w:r w:rsidR="00CA58ED" w:rsidRPr="00CC5C3C">
        <w:rPr>
          <w:iCs/>
          <w:sz w:val="20"/>
          <w:szCs w:val="20"/>
          <w:lang w:val="fr-FR"/>
        </w:rPr>
        <w:t xml:space="preserve">soient </w:t>
      </w:r>
      <w:r w:rsidRPr="00CC5C3C">
        <w:rPr>
          <w:iCs/>
          <w:sz w:val="20"/>
          <w:szCs w:val="20"/>
          <w:lang w:val="fr-FR"/>
        </w:rPr>
        <w:t>déterminés par la Grande Chambre.</w:t>
      </w:r>
    </w:p>
    <w:p w:rsidR="008B478F" w:rsidRPr="00CC5C3C" w:rsidRDefault="008B478F" w:rsidP="00CA01B3">
      <w:pPr>
        <w:pStyle w:val="Default"/>
        <w:adjustRightInd w:val="0"/>
        <w:rPr>
          <w:sz w:val="20"/>
          <w:szCs w:val="20"/>
          <w:lang w:val="fr-FR"/>
        </w:rPr>
      </w:pPr>
    </w:p>
    <w:p w:rsidR="00133287" w:rsidRPr="00CC5C3C" w:rsidRDefault="00133287" w:rsidP="00CA01B3">
      <w:pPr>
        <w:pStyle w:val="Default"/>
        <w:rPr>
          <w:sz w:val="20"/>
          <w:szCs w:val="20"/>
          <w:lang w:val="fr-FR"/>
        </w:rPr>
      </w:pPr>
      <w:r w:rsidRPr="00CC5C3C">
        <w:rPr>
          <w:sz w:val="20"/>
          <w:szCs w:val="20"/>
          <w:lang w:val="fr-FR"/>
        </w:rPr>
        <w:t>En conséquence, la Conférence :</w:t>
      </w:r>
    </w:p>
    <w:p w:rsidR="008B478F" w:rsidRPr="00CC5C3C" w:rsidRDefault="008B478F" w:rsidP="00CA01B3">
      <w:pPr>
        <w:pStyle w:val="Default"/>
        <w:adjustRightInd w:val="0"/>
        <w:rPr>
          <w:sz w:val="20"/>
          <w:szCs w:val="20"/>
          <w:lang w:val="fr-FR"/>
        </w:rPr>
      </w:pPr>
    </w:p>
    <w:p w:rsidR="008B478F" w:rsidRPr="00CC5C3C" w:rsidRDefault="003B6273" w:rsidP="00CA01B3">
      <w:pPr>
        <w:pStyle w:val="Default"/>
        <w:numPr>
          <w:ilvl w:val="0"/>
          <w:numId w:val="2"/>
        </w:numPr>
        <w:adjustRightInd w:val="0"/>
        <w:rPr>
          <w:sz w:val="20"/>
          <w:szCs w:val="20"/>
          <w:lang w:val="fr-FR"/>
        </w:rPr>
      </w:pPr>
      <w:r>
        <w:rPr>
          <w:iCs/>
          <w:sz w:val="20"/>
          <w:szCs w:val="20"/>
          <w:lang w:val="fr-FR"/>
        </w:rPr>
        <w:t>S</w:t>
      </w:r>
      <w:r w:rsidR="00133287" w:rsidRPr="00CC5C3C">
        <w:rPr>
          <w:iCs/>
          <w:sz w:val="20"/>
          <w:szCs w:val="20"/>
          <w:lang w:val="fr-FR"/>
        </w:rPr>
        <w:t>ouligne la nécessité d’un dialogue et d’une participation, aux niveaux judiciaire et politique</w:t>
      </w:r>
      <w:r w:rsidR="009F7FD2" w:rsidRPr="00CC5C3C">
        <w:rPr>
          <w:sz w:val="20"/>
          <w:szCs w:val="20"/>
          <w:lang w:val="fr-FR"/>
        </w:rPr>
        <w:t xml:space="preserve">, </w:t>
      </w:r>
      <w:r w:rsidR="00133287" w:rsidRPr="00CC5C3C">
        <w:rPr>
          <w:sz w:val="20"/>
          <w:szCs w:val="20"/>
          <w:lang w:val="fr-FR"/>
        </w:rPr>
        <w:t xml:space="preserve">pour garantir une interaction plus forte entre les </w:t>
      </w:r>
      <w:r w:rsidR="008B51ED" w:rsidRPr="00CC5C3C">
        <w:rPr>
          <w:sz w:val="20"/>
          <w:szCs w:val="20"/>
          <w:lang w:val="fr-FR"/>
        </w:rPr>
        <w:t>échelons national et européen</w:t>
      </w:r>
      <w:r w:rsidR="00D30CB3">
        <w:rPr>
          <w:sz w:val="20"/>
          <w:szCs w:val="20"/>
          <w:lang w:val="fr-FR"/>
        </w:rPr>
        <w:t xml:space="preserve"> du système ;</w:t>
      </w:r>
    </w:p>
    <w:p w:rsidR="008B478F" w:rsidRPr="00CC5C3C" w:rsidRDefault="008B478F" w:rsidP="00CA01B3">
      <w:pPr>
        <w:pStyle w:val="Default"/>
        <w:adjustRightInd w:val="0"/>
        <w:ind w:left="720"/>
        <w:rPr>
          <w:sz w:val="20"/>
          <w:szCs w:val="20"/>
          <w:lang w:val="fr-FR"/>
        </w:rPr>
      </w:pPr>
    </w:p>
    <w:p w:rsidR="008B478F" w:rsidRPr="003B6273" w:rsidRDefault="003B6273" w:rsidP="003B6273">
      <w:pPr>
        <w:pStyle w:val="Default"/>
        <w:numPr>
          <w:ilvl w:val="0"/>
          <w:numId w:val="2"/>
        </w:numPr>
        <w:adjustRightInd w:val="0"/>
        <w:rPr>
          <w:sz w:val="20"/>
          <w:szCs w:val="20"/>
          <w:lang w:val="fr-FR"/>
        </w:rPr>
      </w:pPr>
      <w:r>
        <w:rPr>
          <w:sz w:val="20"/>
          <w:szCs w:val="20"/>
          <w:lang w:val="fr-FR"/>
        </w:rPr>
        <w:t>S</w:t>
      </w:r>
      <w:r w:rsidR="00AC35D1" w:rsidRPr="00CC5C3C">
        <w:rPr>
          <w:sz w:val="20"/>
          <w:szCs w:val="20"/>
          <w:lang w:val="fr-FR"/>
        </w:rPr>
        <w:t>alue :</w:t>
      </w:r>
      <w:r>
        <w:rPr>
          <w:sz w:val="20"/>
          <w:szCs w:val="20"/>
          <w:lang w:val="fr-FR"/>
        </w:rPr>
        <w:br/>
      </w:r>
    </w:p>
    <w:p w:rsidR="008B478F" w:rsidRPr="00CC5C3C" w:rsidRDefault="00667EDA" w:rsidP="00CA01B3">
      <w:pPr>
        <w:pStyle w:val="ListParagraph"/>
        <w:numPr>
          <w:ilvl w:val="1"/>
          <w:numId w:val="1"/>
        </w:numPr>
        <w:autoSpaceDE w:val="0"/>
        <w:autoSpaceDN w:val="0"/>
        <w:adjustRightInd w:val="0"/>
        <w:spacing w:after="0" w:line="240" w:lineRule="auto"/>
        <w:rPr>
          <w:rFonts w:ascii="Arial" w:hAnsi="Arial" w:cs="Arial"/>
          <w:sz w:val="20"/>
          <w:szCs w:val="20"/>
          <w:lang w:val="fr-FR"/>
        </w:rPr>
      </w:pPr>
      <w:r w:rsidRPr="00CC5C3C">
        <w:rPr>
          <w:rFonts w:ascii="Arial" w:hAnsi="Arial" w:cs="Arial"/>
          <w:sz w:val="20"/>
          <w:szCs w:val="20"/>
          <w:lang w:val="fr-FR"/>
        </w:rPr>
        <w:t>l’entrée en vigueur du Protocole n° </w:t>
      </w:r>
      <w:r w:rsidR="009F7FD2" w:rsidRPr="00CC5C3C">
        <w:rPr>
          <w:rFonts w:ascii="Arial" w:hAnsi="Arial" w:cs="Arial"/>
          <w:sz w:val="20"/>
          <w:szCs w:val="20"/>
          <w:lang w:val="fr-FR"/>
        </w:rPr>
        <w:t>16</w:t>
      </w:r>
      <w:r w:rsidRPr="00CC5C3C">
        <w:rPr>
          <w:rFonts w:ascii="Arial" w:hAnsi="Arial" w:cs="Arial"/>
          <w:sz w:val="20"/>
          <w:szCs w:val="20"/>
          <w:lang w:val="fr-FR"/>
        </w:rPr>
        <w:t xml:space="preserve"> à la Convention, qui pourrait renforcer l’interaction entre la </w:t>
      </w:r>
      <w:r w:rsidR="00CC060C" w:rsidRPr="00CC5C3C">
        <w:rPr>
          <w:rFonts w:ascii="Arial" w:hAnsi="Arial" w:cs="Arial"/>
          <w:sz w:val="20"/>
          <w:szCs w:val="20"/>
          <w:lang w:val="fr-FR"/>
        </w:rPr>
        <w:t xml:space="preserve">Cour </w:t>
      </w:r>
      <w:r w:rsidRPr="00CC5C3C">
        <w:rPr>
          <w:rFonts w:ascii="Arial" w:hAnsi="Arial" w:cs="Arial"/>
          <w:sz w:val="20"/>
          <w:szCs w:val="20"/>
          <w:lang w:val="fr-FR"/>
        </w:rPr>
        <w:t>et les tribunaux nationaux ;</w:t>
      </w:r>
    </w:p>
    <w:p w:rsidR="008B478F" w:rsidRPr="00CC5C3C" w:rsidRDefault="00CC060C" w:rsidP="00CA01B3">
      <w:pPr>
        <w:pStyle w:val="ListParagraph"/>
        <w:numPr>
          <w:ilvl w:val="1"/>
          <w:numId w:val="1"/>
        </w:numPr>
        <w:autoSpaceDE w:val="0"/>
        <w:autoSpaceDN w:val="0"/>
        <w:adjustRightInd w:val="0"/>
        <w:spacing w:after="0" w:line="240" w:lineRule="auto"/>
        <w:rPr>
          <w:rFonts w:ascii="Arial" w:hAnsi="Arial" w:cs="Arial"/>
          <w:sz w:val="20"/>
          <w:szCs w:val="20"/>
          <w:lang w:val="fr-FR"/>
        </w:rPr>
      </w:pPr>
      <w:r w:rsidRPr="00CC5C3C">
        <w:rPr>
          <w:rFonts w:ascii="Arial" w:hAnsi="Arial" w:cs="Arial"/>
          <w:sz w:val="20"/>
          <w:szCs w:val="20"/>
          <w:lang w:val="fr-FR"/>
        </w:rPr>
        <w:t xml:space="preserve">la création par la Cour du </w:t>
      </w:r>
      <w:r w:rsidR="00EB00C3" w:rsidRPr="00CC5C3C">
        <w:rPr>
          <w:rFonts w:ascii="Arial" w:hAnsi="Arial" w:cs="Arial"/>
          <w:sz w:val="20"/>
          <w:szCs w:val="20"/>
          <w:lang w:val="fr-FR"/>
        </w:rPr>
        <w:t>R</w:t>
      </w:r>
      <w:r w:rsidRPr="00CC5C3C">
        <w:rPr>
          <w:rFonts w:ascii="Arial" w:hAnsi="Arial" w:cs="Arial"/>
          <w:sz w:val="20"/>
          <w:szCs w:val="20"/>
          <w:lang w:val="fr-FR"/>
        </w:rPr>
        <w:t xml:space="preserve">éseau des cours supérieures, visant à </w:t>
      </w:r>
      <w:r w:rsidR="00EB00C3" w:rsidRPr="00CC5C3C">
        <w:rPr>
          <w:rFonts w:ascii="Arial" w:hAnsi="Arial" w:cs="Arial"/>
          <w:sz w:val="20"/>
          <w:szCs w:val="20"/>
          <w:lang w:val="fr-FR"/>
        </w:rPr>
        <w:t>assurer</w:t>
      </w:r>
      <w:r w:rsidRPr="00CC5C3C">
        <w:rPr>
          <w:rFonts w:ascii="Arial" w:hAnsi="Arial" w:cs="Arial"/>
          <w:sz w:val="20"/>
          <w:szCs w:val="20"/>
          <w:lang w:val="fr-FR"/>
        </w:rPr>
        <w:t xml:space="preserve"> un échange efficace d’informations sur la jurisprudence relative à la Convention ;</w:t>
      </w:r>
    </w:p>
    <w:p w:rsidR="008B478F" w:rsidRPr="00CC5C3C" w:rsidRDefault="00804917" w:rsidP="00CA01B3">
      <w:pPr>
        <w:pStyle w:val="ListParagraph"/>
        <w:numPr>
          <w:ilvl w:val="1"/>
          <w:numId w:val="1"/>
        </w:numPr>
        <w:autoSpaceDE w:val="0"/>
        <w:autoSpaceDN w:val="0"/>
        <w:adjustRightInd w:val="0"/>
        <w:spacing w:after="0" w:line="240" w:lineRule="auto"/>
        <w:rPr>
          <w:rFonts w:ascii="Arial" w:hAnsi="Arial" w:cs="Arial"/>
          <w:sz w:val="20"/>
          <w:szCs w:val="20"/>
          <w:lang w:val="fr-FR"/>
        </w:rPr>
      </w:pPr>
      <w:r w:rsidRPr="00CC5C3C">
        <w:rPr>
          <w:rFonts w:ascii="Arial" w:hAnsi="Arial" w:cs="Arial"/>
          <w:sz w:val="20"/>
          <w:szCs w:val="20"/>
          <w:lang w:val="fr-FR"/>
        </w:rPr>
        <w:lastRenderedPageBreak/>
        <w:t>le recours à d</w:t>
      </w:r>
      <w:r w:rsidR="00725157" w:rsidRPr="00CC5C3C">
        <w:rPr>
          <w:rFonts w:ascii="Arial" w:hAnsi="Arial" w:cs="Arial"/>
          <w:sz w:val="20"/>
          <w:szCs w:val="20"/>
          <w:lang w:val="fr-FR"/>
        </w:rPr>
        <w:t>e</w:t>
      </w:r>
      <w:r w:rsidRPr="00CC5C3C">
        <w:rPr>
          <w:rFonts w:ascii="Arial" w:hAnsi="Arial" w:cs="Arial"/>
          <w:sz w:val="20"/>
          <w:szCs w:val="20"/>
          <w:lang w:val="fr-FR"/>
        </w:rPr>
        <w:t>s</w:t>
      </w:r>
      <w:r w:rsidR="00725157" w:rsidRPr="00CC5C3C">
        <w:rPr>
          <w:rFonts w:ascii="Arial" w:hAnsi="Arial" w:cs="Arial"/>
          <w:sz w:val="20"/>
          <w:szCs w:val="20"/>
          <w:lang w:val="fr-FR"/>
        </w:rPr>
        <w:t xml:space="preserve"> discussions thématiques au Comité des Ministres </w:t>
      </w:r>
      <w:r w:rsidR="00241745" w:rsidRPr="00CC5C3C">
        <w:rPr>
          <w:rFonts w:ascii="Arial" w:hAnsi="Arial" w:cs="Arial"/>
          <w:sz w:val="20"/>
          <w:szCs w:val="20"/>
          <w:lang w:val="fr-FR"/>
        </w:rPr>
        <w:t xml:space="preserve">pour </w:t>
      </w:r>
      <w:r w:rsidR="00843A5D" w:rsidRPr="00CC5C3C">
        <w:rPr>
          <w:rFonts w:ascii="Arial" w:hAnsi="Arial" w:cs="Arial"/>
          <w:sz w:val="20"/>
          <w:szCs w:val="20"/>
          <w:lang w:val="fr-FR"/>
        </w:rPr>
        <w:t xml:space="preserve">examiner les principaux problèmes liés à </w:t>
      </w:r>
      <w:r w:rsidRPr="00CC5C3C">
        <w:rPr>
          <w:rFonts w:ascii="Arial" w:hAnsi="Arial" w:cs="Arial"/>
          <w:sz w:val="20"/>
          <w:szCs w:val="20"/>
          <w:lang w:val="fr-FR"/>
        </w:rPr>
        <w:t>l’exécution d</w:t>
      </w:r>
      <w:r w:rsidR="00843A5D" w:rsidRPr="00CC5C3C">
        <w:rPr>
          <w:rFonts w:ascii="Arial" w:hAnsi="Arial" w:cs="Arial"/>
          <w:sz w:val="20"/>
          <w:szCs w:val="20"/>
          <w:lang w:val="fr-FR"/>
        </w:rPr>
        <w:t>’un certain nombre d’</w:t>
      </w:r>
      <w:r w:rsidRPr="00CC5C3C">
        <w:rPr>
          <w:rFonts w:ascii="Arial" w:hAnsi="Arial" w:cs="Arial"/>
          <w:sz w:val="20"/>
          <w:szCs w:val="20"/>
          <w:lang w:val="fr-FR"/>
        </w:rPr>
        <w:t>arrêts</w:t>
      </w:r>
      <w:r w:rsidR="00E1298A" w:rsidRPr="00CC5C3C">
        <w:rPr>
          <w:rFonts w:ascii="Arial" w:hAnsi="Arial" w:cs="Arial"/>
          <w:sz w:val="20"/>
          <w:szCs w:val="20"/>
          <w:lang w:val="fr-FR"/>
        </w:rPr>
        <w:t>,</w:t>
      </w:r>
      <w:r w:rsidRPr="00CC5C3C">
        <w:rPr>
          <w:rFonts w:ascii="Arial" w:hAnsi="Arial" w:cs="Arial"/>
          <w:sz w:val="20"/>
          <w:szCs w:val="20"/>
          <w:lang w:val="fr-FR"/>
        </w:rPr>
        <w:t xml:space="preserve"> </w:t>
      </w:r>
      <w:r w:rsidR="00086067" w:rsidRPr="00CC5C3C">
        <w:rPr>
          <w:rFonts w:ascii="Arial" w:hAnsi="Arial" w:cs="Arial"/>
          <w:sz w:val="20"/>
          <w:szCs w:val="20"/>
          <w:lang w:val="fr-FR"/>
        </w:rPr>
        <w:t>en vue de</w:t>
      </w:r>
      <w:r w:rsidR="00E1298A" w:rsidRPr="00CC5C3C">
        <w:rPr>
          <w:rFonts w:ascii="Arial" w:hAnsi="Arial" w:cs="Arial"/>
          <w:sz w:val="20"/>
          <w:szCs w:val="20"/>
          <w:lang w:val="fr-FR"/>
        </w:rPr>
        <w:t xml:space="preserve"> </w:t>
      </w:r>
      <w:r w:rsidRPr="00CC5C3C">
        <w:rPr>
          <w:rFonts w:ascii="Arial" w:hAnsi="Arial" w:cs="Arial"/>
          <w:sz w:val="20"/>
          <w:szCs w:val="20"/>
          <w:lang w:val="fr-FR"/>
        </w:rPr>
        <w:t xml:space="preserve">favoriser un échange de bonnes pratiques entre </w:t>
      </w:r>
      <w:r w:rsidR="00C75AB4">
        <w:rPr>
          <w:rFonts w:ascii="Arial" w:hAnsi="Arial" w:cs="Arial"/>
          <w:sz w:val="20"/>
          <w:szCs w:val="20"/>
          <w:lang w:val="fr-FR"/>
        </w:rPr>
        <w:t xml:space="preserve">États Parties </w:t>
      </w:r>
      <w:r w:rsidRPr="00CC5C3C">
        <w:rPr>
          <w:rFonts w:ascii="Arial" w:hAnsi="Arial" w:cs="Arial"/>
          <w:sz w:val="20"/>
          <w:szCs w:val="20"/>
          <w:lang w:val="fr-FR"/>
        </w:rPr>
        <w:t>faisant face à des difficultés similaires</w:t>
      </w:r>
      <w:r w:rsidR="00E170FF" w:rsidRPr="00CC5C3C">
        <w:rPr>
          <w:rFonts w:ascii="Arial" w:hAnsi="Arial" w:cs="Arial"/>
          <w:sz w:val="20"/>
          <w:szCs w:val="20"/>
          <w:lang w:val="fr-FR"/>
        </w:rPr>
        <w:t>,</w:t>
      </w:r>
      <w:r w:rsidRPr="00CC5C3C">
        <w:rPr>
          <w:rFonts w:ascii="Arial" w:hAnsi="Arial" w:cs="Arial"/>
          <w:sz w:val="20"/>
          <w:szCs w:val="20"/>
          <w:lang w:val="fr-FR"/>
        </w:rPr>
        <w:t xml:space="preserve"> </w:t>
      </w:r>
      <w:r w:rsidR="00E170FF" w:rsidRPr="00CC5C3C">
        <w:rPr>
          <w:rFonts w:ascii="Arial" w:hAnsi="Arial" w:cs="Arial"/>
          <w:sz w:val="20"/>
          <w:szCs w:val="20"/>
          <w:lang w:val="fr-FR"/>
        </w:rPr>
        <w:t xml:space="preserve">ainsi que </w:t>
      </w:r>
      <w:r w:rsidR="00691902" w:rsidRPr="00CC5C3C">
        <w:rPr>
          <w:rFonts w:ascii="Arial" w:hAnsi="Arial" w:cs="Arial"/>
          <w:sz w:val="20"/>
          <w:szCs w:val="20"/>
          <w:lang w:val="fr-FR"/>
        </w:rPr>
        <w:t xml:space="preserve">la </w:t>
      </w:r>
      <w:r w:rsidR="00D64CEC" w:rsidRPr="00CC5C3C">
        <w:rPr>
          <w:rFonts w:ascii="Arial" w:hAnsi="Arial" w:cs="Arial"/>
          <w:sz w:val="20"/>
          <w:szCs w:val="20"/>
          <w:lang w:val="fr-FR"/>
        </w:rPr>
        <w:t xml:space="preserve">pleine mise en œuvre des normes </w:t>
      </w:r>
      <w:r w:rsidR="000323BA" w:rsidRPr="00CC5C3C">
        <w:rPr>
          <w:rFonts w:ascii="Arial" w:hAnsi="Arial" w:cs="Arial"/>
          <w:sz w:val="20"/>
          <w:szCs w:val="20"/>
          <w:lang w:val="fr-FR"/>
        </w:rPr>
        <w:t>de</w:t>
      </w:r>
      <w:r w:rsidR="00D64CEC" w:rsidRPr="00CC5C3C">
        <w:rPr>
          <w:rFonts w:ascii="Arial" w:hAnsi="Arial" w:cs="Arial"/>
          <w:sz w:val="20"/>
          <w:szCs w:val="20"/>
          <w:lang w:val="fr-FR"/>
        </w:rPr>
        <w:t xml:space="preserve"> la Convention</w:t>
      </w:r>
      <w:r w:rsidR="00D30CB3">
        <w:rPr>
          <w:rFonts w:ascii="Arial" w:hAnsi="Arial" w:cs="Arial"/>
          <w:sz w:val="20"/>
          <w:szCs w:val="20"/>
          <w:lang w:val="fr-FR"/>
        </w:rPr>
        <w:t> ;</w:t>
      </w:r>
    </w:p>
    <w:p w:rsidR="008B478F" w:rsidRPr="00CC5C3C" w:rsidRDefault="008B478F" w:rsidP="00CA01B3">
      <w:pPr>
        <w:pStyle w:val="Default"/>
        <w:adjustRightInd w:val="0"/>
        <w:ind w:left="720"/>
        <w:rPr>
          <w:iCs/>
          <w:sz w:val="20"/>
          <w:szCs w:val="20"/>
          <w:lang w:val="fr-FR"/>
        </w:rPr>
      </w:pPr>
    </w:p>
    <w:p w:rsidR="00310E1C" w:rsidRPr="00CC5C3C" w:rsidRDefault="003B6273" w:rsidP="00CA01B3">
      <w:pPr>
        <w:pStyle w:val="Default"/>
        <w:numPr>
          <w:ilvl w:val="0"/>
          <w:numId w:val="2"/>
        </w:numPr>
        <w:adjustRightInd w:val="0"/>
        <w:rPr>
          <w:sz w:val="20"/>
          <w:szCs w:val="20"/>
          <w:lang w:val="fr-FR"/>
        </w:rPr>
      </w:pPr>
      <w:r>
        <w:rPr>
          <w:sz w:val="20"/>
          <w:szCs w:val="20"/>
          <w:lang w:val="fr-FR"/>
        </w:rPr>
        <w:t>I</w:t>
      </w:r>
      <w:r w:rsidR="009F7FD2" w:rsidRPr="00CC5C3C">
        <w:rPr>
          <w:sz w:val="20"/>
          <w:szCs w:val="20"/>
          <w:lang w:val="fr-FR"/>
        </w:rPr>
        <w:t>nvite</w:t>
      </w:r>
      <w:r w:rsidR="00310E1C" w:rsidRPr="00CC5C3C">
        <w:rPr>
          <w:sz w:val="20"/>
          <w:szCs w:val="20"/>
          <w:lang w:val="fr-FR"/>
        </w:rPr>
        <w:t xml:space="preserve"> la</w:t>
      </w:r>
      <w:r w:rsidR="009F7FD2" w:rsidRPr="00CC5C3C">
        <w:rPr>
          <w:sz w:val="20"/>
          <w:szCs w:val="20"/>
          <w:lang w:val="fr-FR"/>
        </w:rPr>
        <w:t xml:space="preserve"> </w:t>
      </w:r>
      <w:r w:rsidR="00310E1C" w:rsidRPr="00CC5C3C">
        <w:rPr>
          <w:sz w:val="20"/>
          <w:szCs w:val="20"/>
          <w:lang w:val="fr-FR"/>
        </w:rPr>
        <w:t xml:space="preserve">Cour à </w:t>
      </w:r>
      <w:r w:rsidR="00A55948" w:rsidRPr="00CC5C3C">
        <w:rPr>
          <w:sz w:val="20"/>
          <w:szCs w:val="20"/>
          <w:lang w:val="fr-FR"/>
        </w:rPr>
        <w:t xml:space="preserve">adapter ses procédures afin que </w:t>
      </w:r>
      <w:r w:rsidR="00310E1C" w:rsidRPr="00CC5C3C">
        <w:rPr>
          <w:sz w:val="20"/>
          <w:szCs w:val="20"/>
          <w:lang w:val="fr-FR"/>
        </w:rPr>
        <w:t xml:space="preserve">d’autres </w:t>
      </w:r>
      <w:r w:rsidR="00C75AB4">
        <w:rPr>
          <w:sz w:val="20"/>
          <w:szCs w:val="20"/>
          <w:lang w:val="fr-FR"/>
        </w:rPr>
        <w:t xml:space="preserve">États Parties </w:t>
      </w:r>
      <w:r w:rsidR="00A55948" w:rsidRPr="00CC5C3C">
        <w:rPr>
          <w:sz w:val="20"/>
          <w:szCs w:val="20"/>
          <w:lang w:val="fr-FR"/>
        </w:rPr>
        <w:t xml:space="preserve">puissent exprimer </w:t>
      </w:r>
      <w:r w:rsidR="00310E1C" w:rsidRPr="00CC5C3C">
        <w:rPr>
          <w:sz w:val="20"/>
          <w:szCs w:val="20"/>
          <w:lang w:val="fr-FR"/>
        </w:rPr>
        <w:t xml:space="preserve">leur soutien au renvoi d’une affaire de </w:t>
      </w:r>
      <w:r w:rsidR="00A81AE5" w:rsidRPr="00CC5C3C">
        <w:rPr>
          <w:sz w:val="20"/>
          <w:szCs w:val="20"/>
          <w:lang w:val="fr-FR"/>
        </w:rPr>
        <w:t>c</w:t>
      </w:r>
      <w:r w:rsidR="00310E1C" w:rsidRPr="00CC5C3C">
        <w:rPr>
          <w:sz w:val="20"/>
          <w:szCs w:val="20"/>
          <w:lang w:val="fr-FR"/>
        </w:rPr>
        <w:t>hambre devant la Grande Chambre</w:t>
      </w:r>
      <w:r w:rsidR="00A52D90" w:rsidRPr="00CC5C3C">
        <w:rPr>
          <w:sz w:val="20"/>
          <w:szCs w:val="20"/>
          <w:lang w:val="fr-FR"/>
        </w:rPr>
        <w:t>,</w:t>
      </w:r>
      <w:r w:rsidR="00310E1C" w:rsidRPr="00CC5C3C">
        <w:rPr>
          <w:sz w:val="20"/>
          <w:szCs w:val="20"/>
          <w:lang w:val="fr-FR"/>
        </w:rPr>
        <w:t xml:space="preserve"> et à tenir compte de ce soutien pour déterminer si les conditions énoncées à l’article</w:t>
      </w:r>
      <w:r w:rsidR="00CA7C1C" w:rsidRPr="00CC5C3C">
        <w:rPr>
          <w:sz w:val="20"/>
          <w:szCs w:val="20"/>
          <w:lang w:val="fr-FR"/>
        </w:rPr>
        <w:t> </w:t>
      </w:r>
      <w:r w:rsidR="00310E1C" w:rsidRPr="00CC5C3C">
        <w:rPr>
          <w:sz w:val="20"/>
          <w:szCs w:val="20"/>
          <w:lang w:val="fr-FR"/>
        </w:rPr>
        <w:t xml:space="preserve">43 (2) de </w:t>
      </w:r>
      <w:r w:rsidR="005D7E94">
        <w:rPr>
          <w:sz w:val="20"/>
          <w:szCs w:val="20"/>
          <w:lang w:val="fr-FR"/>
        </w:rPr>
        <w:t>la Convention sont satisfaites ;</w:t>
      </w:r>
    </w:p>
    <w:p w:rsidR="008B478F" w:rsidRPr="00CC5C3C" w:rsidRDefault="008B478F" w:rsidP="00CA01B3">
      <w:pPr>
        <w:pStyle w:val="Default"/>
        <w:adjustRightInd w:val="0"/>
        <w:ind w:left="720"/>
        <w:rPr>
          <w:iCs/>
          <w:sz w:val="20"/>
          <w:szCs w:val="20"/>
          <w:lang w:val="fr-FR"/>
        </w:rPr>
      </w:pPr>
    </w:p>
    <w:p w:rsidR="008B478F" w:rsidRPr="00CC5C3C" w:rsidRDefault="003B6273" w:rsidP="00CA01B3">
      <w:pPr>
        <w:pStyle w:val="ListParagraph"/>
        <w:numPr>
          <w:ilvl w:val="0"/>
          <w:numId w:val="2"/>
        </w:numPr>
        <w:autoSpaceDE w:val="0"/>
        <w:autoSpaceDN w:val="0"/>
        <w:adjustRightInd w:val="0"/>
        <w:spacing w:after="0" w:line="240" w:lineRule="auto"/>
        <w:rPr>
          <w:rFonts w:ascii="Arial" w:hAnsi="Arial" w:cs="Arial"/>
          <w:sz w:val="20"/>
          <w:szCs w:val="20"/>
          <w:lang w:val="fr-FR"/>
        </w:rPr>
      </w:pPr>
      <w:r>
        <w:rPr>
          <w:rFonts w:ascii="Arial" w:hAnsi="Arial" w:cs="Arial"/>
          <w:color w:val="000000"/>
          <w:sz w:val="20"/>
          <w:szCs w:val="20"/>
          <w:lang w:val="fr-FR"/>
        </w:rPr>
        <w:t>I</w:t>
      </w:r>
      <w:r w:rsidR="0019304A" w:rsidRPr="00CC5C3C">
        <w:rPr>
          <w:rFonts w:ascii="Arial" w:hAnsi="Arial" w:cs="Arial"/>
          <w:color w:val="000000"/>
          <w:sz w:val="20"/>
          <w:szCs w:val="20"/>
          <w:lang w:val="fr-FR"/>
        </w:rPr>
        <w:t xml:space="preserve">nvite la Cour à </w:t>
      </w:r>
      <w:r w:rsidR="00F119C3" w:rsidRPr="00CC5C3C">
        <w:rPr>
          <w:rFonts w:ascii="Arial" w:hAnsi="Arial" w:cs="Arial"/>
          <w:color w:val="000000"/>
          <w:sz w:val="20"/>
          <w:szCs w:val="20"/>
          <w:lang w:val="fr-FR"/>
        </w:rPr>
        <w:t xml:space="preserve">encourager </w:t>
      </w:r>
      <w:r w:rsidR="0019304A" w:rsidRPr="00CC5C3C">
        <w:rPr>
          <w:rFonts w:ascii="Arial" w:hAnsi="Arial" w:cs="Arial"/>
          <w:color w:val="000000"/>
          <w:sz w:val="20"/>
          <w:szCs w:val="20"/>
          <w:lang w:val="fr-FR"/>
        </w:rPr>
        <w:t xml:space="preserve">les interventions des </w:t>
      </w:r>
      <w:r w:rsidR="00C75AB4">
        <w:rPr>
          <w:rFonts w:ascii="Arial" w:hAnsi="Arial" w:cs="Arial"/>
          <w:sz w:val="20"/>
          <w:szCs w:val="20"/>
          <w:lang w:val="fr-FR"/>
        </w:rPr>
        <w:t xml:space="preserve">États Parties </w:t>
      </w:r>
      <w:r w:rsidR="0019304A" w:rsidRPr="00CC5C3C">
        <w:rPr>
          <w:rFonts w:ascii="Arial" w:hAnsi="Arial" w:cs="Arial"/>
          <w:sz w:val="20"/>
          <w:szCs w:val="20"/>
          <w:lang w:val="fr-FR"/>
        </w:rPr>
        <w:t>et d’autres parties prenantes, en particulier dans les affaires importantes</w:t>
      </w:r>
      <w:r w:rsidR="00244B0A" w:rsidRPr="00CC5C3C">
        <w:rPr>
          <w:rFonts w:ascii="Arial" w:hAnsi="Arial" w:cs="Arial"/>
          <w:sz w:val="20"/>
          <w:szCs w:val="20"/>
          <w:lang w:val="fr-FR"/>
        </w:rPr>
        <w:t xml:space="preserve"> et de principe </w:t>
      </w:r>
      <w:r w:rsidR="0019304A" w:rsidRPr="00CC5C3C">
        <w:rPr>
          <w:rFonts w:ascii="Arial" w:hAnsi="Arial" w:cs="Arial"/>
          <w:sz w:val="20"/>
          <w:szCs w:val="20"/>
          <w:lang w:val="fr-FR"/>
        </w:rPr>
        <w:t xml:space="preserve">soumises à la Grande </w:t>
      </w:r>
      <w:r w:rsidR="007B266A" w:rsidRPr="00CC5C3C">
        <w:rPr>
          <w:rFonts w:ascii="Arial" w:hAnsi="Arial" w:cs="Arial"/>
          <w:sz w:val="20"/>
          <w:szCs w:val="20"/>
          <w:lang w:val="fr-FR"/>
        </w:rPr>
        <w:t>Chambre :</w:t>
      </w:r>
      <w:r>
        <w:rPr>
          <w:rFonts w:ascii="Arial" w:hAnsi="Arial" w:cs="Arial"/>
          <w:sz w:val="20"/>
          <w:szCs w:val="20"/>
          <w:lang w:val="fr-FR"/>
        </w:rPr>
        <w:br/>
      </w:r>
    </w:p>
    <w:p w:rsidR="00D81197" w:rsidRPr="00CC5C3C" w:rsidRDefault="00D81197" w:rsidP="00CA01B3">
      <w:pPr>
        <w:pStyle w:val="Default"/>
        <w:numPr>
          <w:ilvl w:val="1"/>
          <w:numId w:val="5"/>
        </w:numPr>
        <w:adjustRightInd w:val="0"/>
        <w:rPr>
          <w:sz w:val="20"/>
          <w:szCs w:val="20"/>
          <w:lang w:val="fr-FR"/>
        </w:rPr>
      </w:pPr>
      <w:r w:rsidRPr="00CC5C3C">
        <w:rPr>
          <w:sz w:val="20"/>
          <w:szCs w:val="20"/>
          <w:lang w:val="fr-FR"/>
        </w:rPr>
        <w:t>en informant dûment les parties prenantes en temps utile sur les prochaines affaires qui pourraient soulever des questions de principe ;</w:t>
      </w:r>
    </w:p>
    <w:p w:rsidR="00D81197" w:rsidRPr="00CC5C3C" w:rsidRDefault="00D81197" w:rsidP="00CA01B3">
      <w:pPr>
        <w:pStyle w:val="Default"/>
        <w:numPr>
          <w:ilvl w:val="1"/>
          <w:numId w:val="5"/>
        </w:numPr>
        <w:adjustRightInd w:val="0"/>
        <w:rPr>
          <w:sz w:val="20"/>
          <w:szCs w:val="20"/>
          <w:lang w:val="fr-FR"/>
        </w:rPr>
      </w:pPr>
      <w:r w:rsidRPr="00CC5C3C">
        <w:rPr>
          <w:sz w:val="20"/>
          <w:szCs w:val="20"/>
          <w:lang w:val="fr-FR"/>
        </w:rPr>
        <w:t xml:space="preserve">en mettant les questions adressées aux parties à la disposition des </w:t>
      </w:r>
      <w:r w:rsidR="00C75AB4">
        <w:rPr>
          <w:sz w:val="20"/>
          <w:szCs w:val="20"/>
          <w:lang w:val="fr-FR"/>
        </w:rPr>
        <w:t xml:space="preserve">États Parties </w:t>
      </w:r>
      <w:r w:rsidR="004B4DE7" w:rsidRPr="00CC5C3C">
        <w:rPr>
          <w:sz w:val="20"/>
          <w:szCs w:val="20"/>
          <w:lang w:val="fr-FR"/>
        </w:rPr>
        <w:t>à un stade précoce ;</w:t>
      </w:r>
    </w:p>
    <w:p w:rsidR="004B4DE7" w:rsidRPr="00CC5C3C" w:rsidRDefault="004B4DE7" w:rsidP="00CA01B3">
      <w:pPr>
        <w:pStyle w:val="Default"/>
        <w:numPr>
          <w:ilvl w:val="1"/>
          <w:numId w:val="5"/>
        </w:numPr>
        <w:adjustRightInd w:val="0"/>
        <w:rPr>
          <w:sz w:val="20"/>
          <w:szCs w:val="20"/>
          <w:lang w:val="fr-FR"/>
        </w:rPr>
      </w:pPr>
      <w:r w:rsidRPr="00CC5C3C">
        <w:rPr>
          <w:sz w:val="20"/>
          <w:szCs w:val="20"/>
          <w:lang w:val="fr-FR"/>
        </w:rPr>
        <w:t>en veillant à ce que les questions aux parties soient formulées d’une façon qui présente les enjeux de l’affaire de manière claire et ciblée ;</w:t>
      </w:r>
    </w:p>
    <w:p w:rsidR="005840C0" w:rsidRPr="00CC5C3C" w:rsidRDefault="008634FD" w:rsidP="00CA01B3">
      <w:pPr>
        <w:pStyle w:val="Default"/>
        <w:numPr>
          <w:ilvl w:val="1"/>
          <w:numId w:val="5"/>
        </w:numPr>
        <w:adjustRightInd w:val="0"/>
        <w:rPr>
          <w:sz w:val="20"/>
          <w:szCs w:val="20"/>
          <w:lang w:val="fr-FR"/>
        </w:rPr>
      </w:pPr>
      <w:r w:rsidRPr="00CC5C3C">
        <w:rPr>
          <w:sz w:val="20"/>
          <w:szCs w:val="20"/>
          <w:lang w:val="fr-FR"/>
        </w:rPr>
        <w:t xml:space="preserve">en </w:t>
      </w:r>
      <w:r w:rsidR="002A54CC" w:rsidRPr="00CC5C3C">
        <w:rPr>
          <w:sz w:val="20"/>
          <w:szCs w:val="20"/>
          <w:lang w:val="fr-FR"/>
        </w:rPr>
        <w:t>avertissant</w:t>
      </w:r>
      <w:r w:rsidRPr="00CC5C3C">
        <w:rPr>
          <w:sz w:val="20"/>
          <w:szCs w:val="20"/>
          <w:lang w:val="fr-FR"/>
        </w:rPr>
        <w:t xml:space="preserve"> les </w:t>
      </w:r>
      <w:r w:rsidR="00C75AB4">
        <w:rPr>
          <w:sz w:val="20"/>
          <w:szCs w:val="20"/>
          <w:lang w:val="fr-FR"/>
        </w:rPr>
        <w:t xml:space="preserve">États Parties </w:t>
      </w:r>
      <w:r w:rsidRPr="00CC5C3C">
        <w:rPr>
          <w:sz w:val="20"/>
          <w:szCs w:val="20"/>
          <w:lang w:val="fr-FR"/>
        </w:rPr>
        <w:t>lorsque la Cour</w:t>
      </w:r>
      <w:r w:rsidR="00CA5878" w:rsidRPr="00CC5C3C">
        <w:rPr>
          <w:sz w:val="20"/>
          <w:szCs w:val="20"/>
          <w:lang w:val="fr-FR"/>
        </w:rPr>
        <w:t xml:space="preserve"> a conscience </w:t>
      </w:r>
      <w:r w:rsidRPr="00CC5C3C">
        <w:rPr>
          <w:sz w:val="20"/>
          <w:szCs w:val="20"/>
          <w:lang w:val="fr-FR"/>
        </w:rPr>
        <w:t>qu’une affaire soulève d</w:t>
      </w:r>
      <w:r w:rsidR="003B6273">
        <w:rPr>
          <w:sz w:val="20"/>
          <w:szCs w:val="20"/>
          <w:lang w:val="fr-FR"/>
        </w:rPr>
        <w:t>es questions d’intérêt général</w:t>
      </w:r>
      <w:r w:rsidR="005D7E94">
        <w:rPr>
          <w:sz w:val="20"/>
          <w:szCs w:val="20"/>
          <w:lang w:val="fr-FR"/>
        </w:rPr>
        <w:t> ;</w:t>
      </w:r>
    </w:p>
    <w:p w:rsidR="008B478F" w:rsidRPr="00CC5C3C" w:rsidRDefault="008B478F" w:rsidP="00CA01B3">
      <w:pPr>
        <w:pStyle w:val="Default"/>
        <w:adjustRightInd w:val="0"/>
        <w:rPr>
          <w:sz w:val="20"/>
          <w:szCs w:val="20"/>
          <w:lang w:val="fr-FR"/>
        </w:rPr>
      </w:pPr>
    </w:p>
    <w:p w:rsidR="003B6273" w:rsidRDefault="003B6273" w:rsidP="00CA01B3">
      <w:pPr>
        <w:pStyle w:val="Default"/>
        <w:numPr>
          <w:ilvl w:val="0"/>
          <w:numId w:val="2"/>
        </w:numPr>
        <w:adjustRightInd w:val="0"/>
        <w:rPr>
          <w:sz w:val="20"/>
          <w:szCs w:val="20"/>
          <w:lang w:val="fr-FR"/>
        </w:rPr>
      </w:pPr>
      <w:r>
        <w:rPr>
          <w:sz w:val="20"/>
          <w:szCs w:val="20"/>
          <w:lang w:val="fr-FR"/>
        </w:rPr>
        <w:t xml:space="preserve">Encourage </w:t>
      </w:r>
      <w:r w:rsidRPr="00CC5C3C">
        <w:rPr>
          <w:sz w:val="20"/>
          <w:szCs w:val="20"/>
          <w:lang w:val="fr-FR"/>
        </w:rPr>
        <w:t xml:space="preserve">les </w:t>
      </w:r>
      <w:r>
        <w:rPr>
          <w:sz w:val="20"/>
          <w:szCs w:val="20"/>
          <w:lang w:val="fr-FR"/>
        </w:rPr>
        <w:t>États Parties à accroître la coordination et la coopération sur les tierces interventions, y compris en communiquant de manière plus systématique à travers le réseau des agents de gouvernement sur les cas pouvant présenter un intérê</w:t>
      </w:r>
      <w:r w:rsidR="005D7E94">
        <w:rPr>
          <w:sz w:val="20"/>
          <w:szCs w:val="20"/>
          <w:lang w:val="fr-FR"/>
        </w:rPr>
        <w:t>t pour les autres États Parties ;</w:t>
      </w:r>
    </w:p>
    <w:p w:rsidR="003B6273" w:rsidRDefault="003B6273" w:rsidP="003B6273">
      <w:pPr>
        <w:pStyle w:val="Default"/>
        <w:adjustRightInd w:val="0"/>
        <w:ind w:left="720"/>
        <w:rPr>
          <w:sz w:val="20"/>
          <w:szCs w:val="20"/>
          <w:lang w:val="fr-FR"/>
        </w:rPr>
      </w:pPr>
    </w:p>
    <w:p w:rsidR="00720899" w:rsidRPr="00CC5C3C" w:rsidRDefault="003B6273" w:rsidP="00CA01B3">
      <w:pPr>
        <w:pStyle w:val="Default"/>
        <w:numPr>
          <w:ilvl w:val="0"/>
          <w:numId w:val="2"/>
        </w:numPr>
        <w:adjustRightInd w:val="0"/>
        <w:rPr>
          <w:sz w:val="20"/>
          <w:szCs w:val="20"/>
          <w:lang w:val="fr-FR"/>
        </w:rPr>
      </w:pPr>
      <w:r>
        <w:rPr>
          <w:sz w:val="20"/>
          <w:szCs w:val="20"/>
          <w:lang w:val="fr-FR"/>
        </w:rPr>
        <w:t>E</w:t>
      </w:r>
      <w:r w:rsidR="009F7FD2" w:rsidRPr="00CC5C3C">
        <w:rPr>
          <w:sz w:val="20"/>
          <w:szCs w:val="20"/>
          <w:lang w:val="fr-FR"/>
        </w:rPr>
        <w:t>ncourage</w:t>
      </w:r>
      <w:r w:rsidR="00720899" w:rsidRPr="00CC5C3C">
        <w:rPr>
          <w:sz w:val="20"/>
          <w:szCs w:val="20"/>
          <w:lang w:val="fr-FR"/>
        </w:rPr>
        <w:t xml:space="preserve"> les </w:t>
      </w:r>
      <w:r w:rsidR="00C75AB4">
        <w:rPr>
          <w:sz w:val="20"/>
          <w:szCs w:val="20"/>
          <w:lang w:val="fr-FR"/>
        </w:rPr>
        <w:t xml:space="preserve">États Parties </w:t>
      </w:r>
      <w:r w:rsidR="00720899" w:rsidRPr="00CC5C3C">
        <w:rPr>
          <w:sz w:val="20"/>
          <w:szCs w:val="20"/>
          <w:lang w:val="fr-FR"/>
        </w:rPr>
        <w:t xml:space="preserve">à </w:t>
      </w:r>
      <w:r w:rsidR="004F66F9" w:rsidRPr="00CC5C3C">
        <w:rPr>
          <w:sz w:val="20"/>
          <w:szCs w:val="20"/>
          <w:lang w:val="fr-FR"/>
        </w:rPr>
        <w:t>débattre du</w:t>
      </w:r>
      <w:r w:rsidR="00720899" w:rsidRPr="00CC5C3C">
        <w:rPr>
          <w:sz w:val="20"/>
          <w:szCs w:val="20"/>
          <w:lang w:val="fr-FR"/>
        </w:rPr>
        <w:t xml:space="preserve"> développement général des domaines de la jurisprudence de la Cour qui présentent un intérêt particulier à leurs yeux et, au besoin, à adopter </w:t>
      </w:r>
      <w:r w:rsidR="00E94D54" w:rsidRPr="00CC5C3C">
        <w:rPr>
          <w:sz w:val="20"/>
          <w:szCs w:val="20"/>
          <w:lang w:val="fr-FR"/>
        </w:rPr>
        <w:t>des</w:t>
      </w:r>
      <w:r w:rsidR="00730690" w:rsidRPr="00CC5C3C">
        <w:rPr>
          <w:sz w:val="20"/>
          <w:szCs w:val="20"/>
          <w:lang w:val="fr-FR"/>
        </w:rPr>
        <w:t xml:space="preserve"> texte</w:t>
      </w:r>
      <w:r w:rsidR="00E94D54" w:rsidRPr="00CC5C3C">
        <w:rPr>
          <w:sz w:val="20"/>
          <w:szCs w:val="20"/>
          <w:lang w:val="fr-FR"/>
        </w:rPr>
        <w:t>s</w:t>
      </w:r>
      <w:r w:rsidR="00720899" w:rsidRPr="00CC5C3C">
        <w:rPr>
          <w:sz w:val="20"/>
          <w:szCs w:val="20"/>
          <w:lang w:val="fr-FR"/>
        </w:rPr>
        <w:t xml:space="preserve"> exprimant leur point de vue général.</w:t>
      </w:r>
      <w:r w:rsidR="00730690" w:rsidRPr="00CC5C3C">
        <w:rPr>
          <w:sz w:val="20"/>
          <w:szCs w:val="20"/>
          <w:lang w:val="fr-FR"/>
        </w:rPr>
        <w:t xml:space="preserve"> Ces discussions, tout comme les textes éventuel</w:t>
      </w:r>
      <w:r w:rsidR="00A40686" w:rsidRPr="00CC5C3C">
        <w:rPr>
          <w:sz w:val="20"/>
          <w:szCs w:val="20"/>
          <w:lang w:val="fr-FR"/>
        </w:rPr>
        <w:t>lement</w:t>
      </w:r>
      <w:r w:rsidR="00730690" w:rsidRPr="00CC5C3C">
        <w:rPr>
          <w:sz w:val="20"/>
          <w:szCs w:val="20"/>
          <w:lang w:val="fr-FR"/>
        </w:rPr>
        <w:t xml:space="preserve"> adoptés, p</w:t>
      </w:r>
      <w:r w:rsidR="00832756" w:rsidRPr="00CC5C3C">
        <w:rPr>
          <w:sz w:val="20"/>
          <w:szCs w:val="20"/>
          <w:lang w:val="fr-FR"/>
        </w:rPr>
        <w:t>ourraie</w:t>
      </w:r>
      <w:r w:rsidR="00730690" w:rsidRPr="00CC5C3C">
        <w:rPr>
          <w:sz w:val="20"/>
          <w:szCs w:val="20"/>
          <w:lang w:val="fr-FR"/>
        </w:rPr>
        <w:t xml:space="preserve">nt </w:t>
      </w:r>
      <w:r w:rsidR="00B7360F" w:rsidRPr="00CC5C3C">
        <w:rPr>
          <w:sz w:val="20"/>
          <w:szCs w:val="20"/>
          <w:lang w:val="fr-FR"/>
        </w:rPr>
        <w:t xml:space="preserve">aider </w:t>
      </w:r>
      <w:r w:rsidR="00730690" w:rsidRPr="00CC5C3C">
        <w:rPr>
          <w:sz w:val="20"/>
          <w:szCs w:val="20"/>
          <w:lang w:val="fr-FR"/>
        </w:rPr>
        <w:t xml:space="preserve">la Cour </w:t>
      </w:r>
      <w:r w:rsidR="00B7360F" w:rsidRPr="00CC5C3C">
        <w:rPr>
          <w:sz w:val="20"/>
          <w:szCs w:val="20"/>
          <w:lang w:val="fr-FR"/>
        </w:rPr>
        <w:t xml:space="preserve">à </w:t>
      </w:r>
      <w:r w:rsidR="00730690" w:rsidRPr="00CC5C3C">
        <w:rPr>
          <w:sz w:val="20"/>
          <w:szCs w:val="20"/>
          <w:lang w:val="fr-FR"/>
        </w:rPr>
        <w:t>mieux comprendre les opinions et positions des États parties. Elles d</w:t>
      </w:r>
      <w:r w:rsidR="00E05D3D">
        <w:rPr>
          <w:sz w:val="20"/>
          <w:szCs w:val="20"/>
          <w:lang w:val="fr-FR"/>
        </w:rPr>
        <w:t>evrai</w:t>
      </w:r>
      <w:r w:rsidR="00730690" w:rsidRPr="00CC5C3C">
        <w:rPr>
          <w:sz w:val="20"/>
          <w:szCs w:val="20"/>
          <w:lang w:val="fr-FR"/>
        </w:rPr>
        <w:t>ent respecter l’indépendance de la Cour</w:t>
      </w:r>
      <w:r w:rsidR="005D7E94">
        <w:rPr>
          <w:sz w:val="20"/>
          <w:szCs w:val="20"/>
          <w:lang w:val="fr-FR"/>
        </w:rPr>
        <w:t> ;</w:t>
      </w:r>
    </w:p>
    <w:p w:rsidR="008B478F" w:rsidRPr="00CC5C3C" w:rsidRDefault="008B478F" w:rsidP="00CA01B3">
      <w:pPr>
        <w:autoSpaceDE w:val="0"/>
        <w:autoSpaceDN w:val="0"/>
        <w:adjustRightInd w:val="0"/>
        <w:spacing w:after="0" w:line="240" w:lineRule="auto"/>
        <w:rPr>
          <w:rFonts w:ascii="Arial" w:hAnsi="Arial" w:cs="Arial"/>
          <w:sz w:val="20"/>
          <w:szCs w:val="20"/>
          <w:lang w:val="fr-FR"/>
        </w:rPr>
      </w:pPr>
    </w:p>
    <w:p w:rsidR="008B478F" w:rsidRPr="00CC5C3C" w:rsidRDefault="003B6273" w:rsidP="00CA01B3">
      <w:pPr>
        <w:pStyle w:val="ListParagraph"/>
        <w:numPr>
          <w:ilvl w:val="0"/>
          <w:numId w:val="2"/>
        </w:numPr>
        <w:autoSpaceDE w:val="0"/>
        <w:autoSpaceDN w:val="0"/>
        <w:adjustRightInd w:val="0"/>
        <w:spacing w:after="0" w:line="240" w:lineRule="auto"/>
        <w:rPr>
          <w:rFonts w:ascii="Arial" w:hAnsi="Arial" w:cs="Arial"/>
          <w:sz w:val="20"/>
          <w:szCs w:val="20"/>
          <w:lang w:val="fr-FR"/>
        </w:rPr>
      </w:pPr>
      <w:r>
        <w:rPr>
          <w:rFonts w:ascii="Arial" w:hAnsi="Arial" w:cs="Arial"/>
          <w:sz w:val="20"/>
          <w:szCs w:val="20"/>
          <w:lang w:val="fr-FR"/>
        </w:rPr>
        <w:t>D</w:t>
      </w:r>
      <w:r w:rsidR="00DA541F" w:rsidRPr="00CC5C3C">
        <w:rPr>
          <w:rFonts w:ascii="Arial" w:hAnsi="Arial" w:cs="Arial"/>
          <w:sz w:val="20"/>
          <w:szCs w:val="20"/>
          <w:lang w:val="fr-FR"/>
        </w:rPr>
        <w:t>écide</w:t>
      </w:r>
      <w:r w:rsidR="00B24339" w:rsidRPr="00CC5C3C">
        <w:rPr>
          <w:rFonts w:ascii="Arial" w:hAnsi="Arial" w:cs="Arial"/>
          <w:sz w:val="20"/>
          <w:szCs w:val="20"/>
          <w:lang w:val="fr-FR"/>
        </w:rPr>
        <w:t xml:space="preserve"> par conséquent</w:t>
      </w:r>
      <w:r w:rsidR="009F7FD2" w:rsidRPr="00CC5C3C">
        <w:rPr>
          <w:rFonts w:ascii="Arial" w:hAnsi="Arial" w:cs="Arial"/>
          <w:sz w:val="20"/>
          <w:szCs w:val="20"/>
          <w:lang w:val="fr-FR"/>
        </w:rPr>
        <w:t xml:space="preserve">, </w:t>
      </w:r>
      <w:r w:rsidR="00B24339" w:rsidRPr="00CC5C3C">
        <w:rPr>
          <w:rFonts w:ascii="Arial" w:hAnsi="Arial" w:cs="Arial"/>
          <w:sz w:val="20"/>
          <w:szCs w:val="20"/>
          <w:lang w:val="fr-FR"/>
        </w:rPr>
        <w:t xml:space="preserve">dans le prolongement de la </w:t>
      </w:r>
      <w:r w:rsidR="001C167B" w:rsidRPr="00CC5C3C">
        <w:rPr>
          <w:rFonts w:ascii="Arial" w:hAnsi="Arial" w:cs="Arial"/>
          <w:sz w:val="20"/>
          <w:szCs w:val="20"/>
          <w:lang w:val="fr-FR"/>
        </w:rPr>
        <w:t>C</w:t>
      </w:r>
      <w:r w:rsidR="00B24339" w:rsidRPr="00CC5C3C">
        <w:rPr>
          <w:rFonts w:ascii="Arial" w:hAnsi="Arial" w:cs="Arial"/>
          <w:sz w:val="20"/>
          <w:szCs w:val="20"/>
          <w:lang w:val="fr-FR"/>
        </w:rPr>
        <w:t>onférence d’experts</w:t>
      </w:r>
      <w:r w:rsidR="001F3955" w:rsidRPr="00CC5C3C">
        <w:rPr>
          <w:rFonts w:ascii="Arial" w:hAnsi="Arial" w:cs="Arial"/>
          <w:sz w:val="20"/>
          <w:szCs w:val="20"/>
          <w:lang w:val="fr-FR"/>
        </w:rPr>
        <w:t xml:space="preserve"> à</w:t>
      </w:r>
      <w:r w:rsidR="00B24339" w:rsidRPr="00CC5C3C">
        <w:rPr>
          <w:rFonts w:ascii="Arial" w:hAnsi="Arial" w:cs="Arial"/>
          <w:sz w:val="20"/>
          <w:szCs w:val="20"/>
          <w:lang w:val="fr-FR"/>
        </w:rPr>
        <w:t xml:space="preserve"> haut niveau organisée en </w:t>
      </w:r>
      <w:r w:rsidR="009F7FD2" w:rsidRPr="00CC5C3C">
        <w:rPr>
          <w:rFonts w:ascii="Arial" w:hAnsi="Arial" w:cs="Arial"/>
          <w:sz w:val="20"/>
          <w:szCs w:val="20"/>
          <w:lang w:val="fr-FR"/>
        </w:rPr>
        <w:t xml:space="preserve">2017 </w:t>
      </w:r>
      <w:r w:rsidR="00B24339" w:rsidRPr="00CC5C3C">
        <w:rPr>
          <w:rFonts w:ascii="Arial" w:hAnsi="Arial" w:cs="Arial"/>
          <w:sz w:val="20"/>
          <w:szCs w:val="20"/>
          <w:lang w:val="fr-FR"/>
        </w:rPr>
        <w:t xml:space="preserve">à </w:t>
      </w:r>
      <w:proofErr w:type="spellStart"/>
      <w:r w:rsidR="00B24339" w:rsidRPr="00CC5C3C">
        <w:rPr>
          <w:rFonts w:ascii="Arial" w:hAnsi="Arial" w:cs="Arial"/>
          <w:sz w:val="20"/>
          <w:szCs w:val="20"/>
          <w:lang w:val="fr-FR"/>
        </w:rPr>
        <w:t>Kokkedal</w:t>
      </w:r>
      <w:proofErr w:type="spellEnd"/>
      <w:r w:rsidR="009F7FD2" w:rsidRPr="00CC5C3C">
        <w:rPr>
          <w:rFonts w:ascii="Arial" w:hAnsi="Arial" w:cs="Arial"/>
          <w:sz w:val="20"/>
          <w:szCs w:val="20"/>
          <w:lang w:val="fr-FR"/>
        </w:rPr>
        <w:t xml:space="preserve">, </w:t>
      </w:r>
      <w:r w:rsidR="00097F6D" w:rsidRPr="00CC5C3C">
        <w:rPr>
          <w:rFonts w:ascii="Arial" w:hAnsi="Arial" w:cs="Arial"/>
          <w:sz w:val="20"/>
          <w:szCs w:val="20"/>
          <w:lang w:val="fr-FR"/>
        </w:rPr>
        <w:t>à titre de projet pilote</w:t>
      </w:r>
      <w:r w:rsidR="009F7FD2" w:rsidRPr="00CC5C3C">
        <w:rPr>
          <w:rFonts w:ascii="Arial" w:hAnsi="Arial" w:cs="Arial"/>
          <w:sz w:val="20"/>
          <w:szCs w:val="20"/>
          <w:lang w:val="fr-FR"/>
        </w:rPr>
        <w:t xml:space="preserve">, </w:t>
      </w:r>
      <w:r w:rsidR="00097F6D" w:rsidRPr="00CC5C3C">
        <w:rPr>
          <w:rFonts w:ascii="Arial" w:hAnsi="Arial" w:cs="Arial"/>
          <w:sz w:val="20"/>
          <w:szCs w:val="20"/>
          <w:lang w:val="fr-FR"/>
        </w:rPr>
        <w:t>de tenir une série de</w:t>
      </w:r>
      <w:r w:rsidR="009F7FD2" w:rsidRPr="00CC5C3C">
        <w:rPr>
          <w:rFonts w:ascii="Arial" w:hAnsi="Arial" w:cs="Arial"/>
          <w:sz w:val="20"/>
          <w:szCs w:val="20"/>
          <w:lang w:val="fr-FR"/>
        </w:rPr>
        <w:t xml:space="preserve"> </w:t>
      </w:r>
      <w:r w:rsidR="00097F6D" w:rsidRPr="00CC5C3C">
        <w:rPr>
          <w:rFonts w:ascii="Arial" w:hAnsi="Arial" w:cs="Arial"/>
          <w:sz w:val="20"/>
          <w:szCs w:val="20"/>
          <w:lang w:val="fr-FR"/>
        </w:rPr>
        <w:t>réunions informelles</w:t>
      </w:r>
      <w:r w:rsidR="009F7FD2" w:rsidRPr="00CC5C3C">
        <w:rPr>
          <w:rFonts w:ascii="Arial" w:hAnsi="Arial" w:cs="Arial"/>
          <w:sz w:val="20"/>
          <w:szCs w:val="20"/>
          <w:lang w:val="fr-FR"/>
        </w:rPr>
        <w:t xml:space="preserve"> </w:t>
      </w:r>
      <w:r w:rsidR="00097F6D" w:rsidRPr="00CC5C3C">
        <w:rPr>
          <w:rFonts w:ascii="Arial" w:hAnsi="Arial" w:cs="Arial"/>
          <w:sz w:val="20"/>
          <w:szCs w:val="20"/>
          <w:lang w:val="fr-FR"/>
        </w:rPr>
        <w:t xml:space="preserve">des </w:t>
      </w:r>
      <w:r w:rsidR="00C75AB4">
        <w:rPr>
          <w:rFonts w:ascii="Arial" w:hAnsi="Arial" w:cs="Arial"/>
          <w:sz w:val="20"/>
          <w:szCs w:val="20"/>
          <w:lang w:val="fr-FR"/>
        </w:rPr>
        <w:t xml:space="preserve">États Parties </w:t>
      </w:r>
      <w:r w:rsidR="00097F6D" w:rsidRPr="00CC5C3C">
        <w:rPr>
          <w:rFonts w:ascii="Arial" w:hAnsi="Arial" w:cs="Arial"/>
          <w:sz w:val="20"/>
          <w:szCs w:val="20"/>
          <w:lang w:val="fr-FR"/>
        </w:rPr>
        <w:t xml:space="preserve">avant fin </w:t>
      </w:r>
      <w:r w:rsidR="009F7FD2" w:rsidRPr="00CC5C3C">
        <w:rPr>
          <w:rFonts w:ascii="Arial" w:hAnsi="Arial" w:cs="Arial"/>
          <w:sz w:val="20"/>
          <w:szCs w:val="20"/>
          <w:lang w:val="fr-FR"/>
        </w:rPr>
        <w:t xml:space="preserve">2019, </w:t>
      </w:r>
      <w:r w:rsidR="00AB7E13" w:rsidRPr="00CC5C3C">
        <w:rPr>
          <w:rFonts w:ascii="Arial" w:hAnsi="Arial" w:cs="Arial"/>
          <w:sz w:val="20"/>
          <w:szCs w:val="20"/>
          <w:lang w:val="fr-FR"/>
        </w:rPr>
        <w:t>au cours desquelles les développement</w:t>
      </w:r>
      <w:r w:rsidR="009F7FD2" w:rsidRPr="00CC5C3C">
        <w:rPr>
          <w:rFonts w:ascii="Arial" w:hAnsi="Arial" w:cs="Arial"/>
          <w:sz w:val="20"/>
          <w:szCs w:val="20"/>
          <w:lang w:val="fr-FR"/>
        </w:rPr>
        <w:t>s</w:t>
      </w:r>
      <w:r w:rsidR="00AB7E13" w:rsidRPr="00CC5C3C">
        <w:rPr>
          <w:rFonts w:ascii="Arial" w:hAnsi="Arial" w:cs="Arial"/>
          <w:sz w:val="20"/>
          <w:szCs w:val="20"/>
          <w:lang w:val="fr-FR"/>
        </w:rPr>
        <w:t xml:space="preserve"> pertinents de la </w:t>
      </w:r>
      <w:r w:rsidR="009F7FD2" w:rsidRPr="00CC5C3C">
        <w:rPr>
          <w:rFonts w:ascii="Arial" w:hAnsi="Arial" w:cs="Arial"/>
          <w:sz w:val="20"/>
          <w:szCs w:val="20"/>
          <w:lang w:val="fr-FR"/>
        </w:rPr>
        <w:t xml:space="preserve">jurisprudence </w:t>
      </w:r>
      <w:r w:rsidR="00AB7E13" w:rsidRPr="00CC5C3C">
        <w:rPr>
          <w:rFonts w:ascii="Arial" w:hAnsi="Arial" w:cs="Arial"/>
          <w:sz w:val="20"/>
          <w:szCs w:val="20"/>
          <w:lang w:val="fr-FR"/>
        </w:rPr>
        <w:t>de la Cour pourront être examinés, avec l</w:t>
      </w:r>
      <w:r w:rsidR="00F63082" w:rsidRPr="00CC5C3C">
        <w:rPr>
          <w:rFonts w:ascii="Arial" w:hAnsi="Arial" w:cs="Arial"/>
          <w:sz w:val="20"/>
          <w:szCs w:val="20"/>
          <w:lang w:val="fr-FR"/>
        </w:rPr>
        <w:t>es</w:t>
      </w:r>
      <w:r w:rsidR="00AB7E13" w:rsidRPr="00CC5C3C">
        <w:rPr>
          <w:rFonts w:ascii="Arial" w:hAnsi="Arial" w:cs="Arial"/>
          <w:sz w:val="20"/>
          <w:szCs w:val="20"/>
          <w:lang w:val="fr-FR"/>
        </w:rPr>
        <w:t xml:space="preserve"> contribution</w:t>
      </w:r>
      <w:r w:rsidR="00F63082" w:rsidRPr="00CC5C3C">
        <w:rPr>
          <w:rFonts w:ascii="Arial" w:hAnsi="Arial" w:cs="Arial"/>
          <w:sz w:val="20"/>
          <w:szCs w:val="20"/>
          <w:lang w:val="fr-FR"/>
        </w:rPr>
        <w:t>s</w:t>
      </w:r>
      <w:r w:rsidR="00AB7E13" w:rsidRPr="00CC5C3C">
        <w:rPr>
          <w:rFonts w:ascii="Arial" w:hAnsi="Arial" w:cs="Arial"/>
          <w:sz w:val="20"/>
          <w:szCs w:val="20"/>
          <w:lang w:val="fr-FR"/>
        </w:rPr>
        <w:t xml:space="preserve"> d’autres</w:t>
      </w:r>
      <w:r w:rsidR="009F7FD2" w:rsidRPr="00CC5C3C">
        <w:rPr>
          <w:rFonts w:ascii="Arial" w:hAnsi="Arial" w:cs="Arial"/>
          <w:sz w:val="20"/>
          <w:szCs w:val="20"/>
          <w:lang w:val="fr-FR"/>
        </w:rPr>
        <w:t xml:space="preserve"> </w:t>
      </w:r>
      <w:r w:rsidR="00AB7E13" w:rsidRPr="00CC5C3C">
        <w:rPr>
          <w:rFonts w:ascii="Arial" w:hAnsi="Arial" w:cs="Arial"/>
          <w:sz w:val="20"/>
          <w:szCs w:val="20"/>
          <w:lang w:val="fr-FR"/>
        </w:rPr>
        <w:t>acteurs compétents</w:t>
      </w:r>
      <w:r w:rsidR="009F7FD2" w:rsidRPr="00CC5C3C">
        <w:rPr>
          <w:rFonts w:ascii="Arial" w:hAnsi="Arial" w:cs="Arial"/>
          <w:sz w:val="20"/>
          <w:szCs w:val="20"/>
          <w:lang w:val="fr-FR"/>
        </w:rPr>
        <w:t xml:space="preserve">, </w:t>
      </w:r>
      <w:r w:rsidR="00AB7E13" w:rsidRPr="00CC5C3C">
        <w:rPr>
          <w:rFonts w:ascii="Arial" w:hAnsi="Arial" w:cs="Arial"/>
          <w:sz w:val="20"/>
          <w:szCs w:val="20"/>
          <w:lang w:val="fr-FR"/>
        </w:rPr>
        <w:t xml:space="preserve">et </w:t>
      </w:r>
      <w:r w:rsidR="00733B0F">
        <w:rPr>
          <w:rFonts w:ascii="Arial" w:hAnsi="Arial" w:cs="Arial"/>
          <w:sz w:val="20"/>
          <w:szCs w:val="20"/>
          <w:lang w:val="fr-FR"/>
        </w:rPr>
        <w:t>remer</w:t>
      </w:r>
      <w:r w:rsidR="00AB7E13" w:rsidRPr="00CC5C3C">
        <w:rPr>
          <w:rFonts w:ascii="Arial" w:hAnsi="Arial" w:cs="Arial"/>
          <w:sz w:val="20"/>
          <w:szCs w:val="20"/>
          <w:lang w:val="fr-FR"/>
        </w:rPr>
        <w:t xml:space="preserve">cie la Présidence danoise </w:t>
      </w:r>
      <w:r w:rsidR="00733B0F">
        <w:rPr>
          <w:rFonts w:ascii="Arial" w:hAnsi="Arial" w:cs="Arial"/>
          <w:sz w:val="20"/>
          <w:szCs w:val="20"/>
          <w:lang w:val="fr-FR"/>
        </w:rPr>
        <w:t>pour son invitation concernant l’</w:t>
      </w:r>
      <w:r w:rsidR="009F7FD2" w:rsidRPr="00CC5C3C">
        <w:rPr>
          <w:rFonts w:ascii="Arial" w:hAnsi="Arial" w:cs="Arial"/>
          <w:sz w:val="20"/>
          <w:szCs w:val="20"/>
          <w:lang w:val="fr-FR"/>
        </w:rPr>
        <w:t>organis</w:t>
      </w:r>
      <w:r w:rsidR="00733B0F">
        <w:rPr>
          <w:rFonts w:ascii="Arial" w:hAnsi="Arial" w:cs="Arial"/>
          <w:sz w:val="20"/>
          <w:szCs w:val="20"/>
          <w:lang w:val="fr-FR"/>
        </w:rPr>
        <w:t>ation</w:t>
      </w:r>
      <w:r w:rsidR="009F7FD2" w:rsidRPr="00CC5C3C">
        <w:rPr>
          <w:rFonts w:ascii="Arial" w:hAnsi="Arial" w:cs="Arial"/>
          <w:sz w:val="20"/>
          <w:szCs w:val="20"/>
          <w:lang w:val="fr-FR"/>
        </w:rPr>
        <w:t xml:space="preserve"> </w:t>
      </w:r>
      <w:r w:rsidR="00AB7E13" w:rsidRPr="00CC5C3C">
        <w:rPr>
          <w:rFonts w:ascii="Arial" w:hAnsi="Arial" w:cs="Arial"/>
          <w:sz w:val="20"/>
          <w:szCs w:val="20"/>
          <w:lang w:val="fr-FR"/>
        </w:rPr>
        <w:t xml:space="preserve">et </w:t>
      </w:r>
      <w:r w:rsidR="00733B0F">
        <w:rPr>
          <w:rFonts w:ascii="Arial" w:hAnsi="Arial" w:cs="Arial"/>
          <w:sz w:val="20"/>
          <w:szCs w:val="20"/>
          <w:lang w:val="fr-FR"/>
        </w:rPr>
        <w:t>l</w:t>
      </w:r>
      <w:r w:rsidR="00AB7E13" w:rsidRPr="00CC5C3C">
        <w:rPr>
          <w:rFonts w:ascii="Arial" w:hAnsi="Arial" w:cs="Arial"/>
          <w:sz w:val="20"/>
          <w:szCs w:val="20"/>
          <w:lang w:val="fr-FR"/>
        </w:rPr>
        <w:t>’accueil</w:t>
      </w:r>
      <w:r w:rsidR="00733B0F">
        <w:rPr>
          <w:rFonts w:ascii="Arial" w:hAnsi="Arial" w:cs="Arial"/>
          <w:sz w:val="20"/>
          <w:szCs w:val="20"/>
          <w:lang w:val="fr-FR"/>
        </w:rPr>
        <w:t xml:space="preserve"> de</w:t>
      </w:r>
      <w:r w:rsidR="00AB7E13" w:rsidRPr="00CC5C3C">
        <w:rPr>
          <w:rFonts w:ascii="Arial" w:hAnsi="Arial" w:cs="Arial"/>
          <w:sz w:val="20"/>
          <w:szCs w:val="20"/>
          <w:lang w:val="fr-FR"/>
        </w:rPr>
        <w:t xml:space="preserve"> ces</w:t>
      </w:r>
      <w:r w:rsidR="009F7FD2" w:rsidRPr="00CC5C3C">
        <w:rPr>
          <w:rFonts w:ascii="Arial" w:hAnsi="Arial" w:cs="Arial"/>
          <w:sz w:val="20"/>
          <w:szCs w:val="20"/>
          <w:lang w:val="fr-FR"/>
        </w:rPr>
        <w:t xml:space="preserve"> </w:t>
      </w:r>
      <w:r w:rsidR="00AB7E13" w:rsidRPr="00CC5C3C">
        <w:rPr>
          <w:rFonts w:ascii="Arial" w:hAnsi="Arial" w:cs="Arial"/>
          <w:sz w:val="20"/>
          <w:szCs w:val="20"/>
          <w:lang w:val="fr-FR"/>
        </w:rPr>
        <w:t>réunions</w:t>
      </w:r>
      <w:r w:rsidR="009F7FD2" w:rsidRPr="00CC5C3C">
        <w:rPr>
          <w:rFonts w:ascii="Arial" w:hAnsi="Arial" w:cs="Arial"/>
          <w:sz w:val="20"/>
          <w:szCs w:val="20"/>
          <w:lang w:val="fr-FR"/>
        </w:rPr>
        <w:t>.</w:t>
      </w:r>
    </w:p>
    <w:p w:rsidR="008B478F" w:rsidRPr="00CC5C3C" w:rsidRDefault="008B478F" w:rsidP="00CA01B3">
      <w:pPr>
        <w:spacing w:after="0" w:line="240" w:lineRule="auto"/>
        <w:rPr>
          <w:rFonts w:ascii="Arial" w:hAnsi="Arial" w:cs="Arial"/>
          <w:b/>
          <w:sz w:val="20"/>
          <w:szCs w:val="20"/>
          <w:lang w:val="fr-FR"/>
        </w:rPr>
      </w:pPr>
    </w:p>
    <w:p w:rsidR="008B478F" w:rsidRPr="00CC5C3C" w:rsidRDefault="00C00A60" w:rsidP="00CA01B3">
      <w:pPr>
        <w:spacing w:line="240" w:lineRule="auto"/>
        <w:rPr>
          <w:rFonts w:ascii="Arial" w:hAnsi="Arial" w:cs="Arial"/>
          <w:b/>
          <w:sz w:val="20"/>
          <w:szCs w:val="20"/>
          <w:lang w:val="fr-FR"/>
        </w:rPr>
      </w:pPr>
      <w:r w:rsidRPr="00CC5C3C">
        <w:rPr>
          <w:rFonts w:ascii="Arial" w:hAnsi="Arial" w:cs="Arial"/>
          <w:b/>
          <w:sz w:val="20"/>
          <w:szCs w:val="20"/>
          <w:lang w:val="fr-FR"/>
        </w:rPr>
        <w:t>Le défi du volume des affaires</w:t>
      </w:r>
      <w:r w:rsidR="009F7FD2" w:rsidRPr="00CC5C3C">
        <w:rPr>
          <w:rFonts w:ascii="Arial" w:hAnsi="Arial" w:cs="Arial"/>
          <w:b/>
          <w:sz w:val="20"/>
          <w:szCs w:val="20"/>
          <w:lang w:val="fr-FR"/>
        </w:rPr>
        <w:t xml:space="preserve"> – </w:t>
      </w:r>
      <w:r w:rsidRPr="00CC5C3C">
        <w:rPr>
          <w:rFonts w:ascii="Arial" w:hAnsi="Arial" w:cs="Arial"/>
          <w:b/>
          <w:sz w:val="20"/>
          <w:szCs w:val="20"/>
          <w:lang w:val="fr-FR"/>
        </w:rPr>
        <w:t>la nécessité d’entreprendre d’autres actions</w:t>
      </w:r>
    </w:p>
    <w:p w:rsidR="008B478F" w:rsidRPr="00CC5C3C" w:rsidRDefault="009773B1" w:rsidP="00CA01B3">
      <w:pPr>
        <w:pStyle w:val="Default"/>
        <w:numPr>
          <w:ilvl w:val="0"/>
          <w:numId w:val="2"/>
        </w:numPr>
        <w:adjustRightInd w:val="0"/>
        <w:rPr>
          <w:sz w:val="20"/>
          <w:szCs w:val="20"/>
          <w:lang w:val="fr-FR"/>
        </w:rPr>
      </w:pPr>
      <w:r w:rsidRPr="00CC5C3C">
        <w:rPr>
          <w:sz w:val="20"/>
          <w:szCs w:val="20"/>
          <w:lang w:val="fr-FR"/>
        </w:rPr>
        <w:t xml:space="preserve">Renforcer la capacité du système de la Convention à traiter le nombre croissant de requêtes a été dès le départ un objectif majeur du processus de réforme en cours. </w:t>
      </w:r>
      <w:r w:rsidR="00A414E2" w:rsidRPr="00CC5C3C">
        <w:rPr>
          <w:sz w:val="20"/>
          <w:szCs w:val="20"/>
          <w:lang w:val="fr-FR"/>
        </w:rPr>
        <w:t>Malgré les progrès notables réalisés, notamment en</w:t>
      </w:r>
      <w:r w:rsidR="009F7FD2" w:rsidRPr="00CC5C3C">
        <w:rPr>
          <w:sz w:val="20"/>
          <w:szCs w:val="20"/>
          <w:lang w:val="fr-FR"/>
        </w:rPr>
        <w:t xml:space="preserve"> </w:t>
      </w:r>
      <w:r w:rsidR="00A414E2" w:rsidRPr="00CC5C3C">
        <w:rPr>
          <w:sz w:val="20"/>
          <w:szCs w:val="20"/>
          <w:lang w:val="fr-FR"/>
        </w:rPr>
        <w:t>priorisant les affaires et en</w:t>
      </w:r>
      <w:r w:rsidR="009F7FD2" w:rsidRPr="00CC5C3C">
        <w:rPr>
          <w:sz w:val="20"/>
          <w:szCs w:val="20"/>
          <w:lang w:val="fr-FR"/>
        </w:rPr>
        <w:t xml:space="preserve"> </w:t>
      </w:r>
      <w:r w:rsidR="00A414E2" w:rsidRPr="00CC5C3C">
        <w:rPr>
          <w:sz w:val="20"/>
          <w:szCs w:val="20"/>
          <w:lang w:val="fr-FR"/>
        </w:rPr>
        <w:t>rationalisant les procédures</w:t>
      </w:r>
      <w:r w:rsidR="009F7FD2" w:rsidRPr="00CC5C3C">
        <w:rPr>
          <w:sz w:val="20"/>
          <w:szCs w:val="20"/>
          <w:lang w:val="fr-FR"/>
        </w:rPr>
        <w:t xml:space="preserve">, </w:t>
      </w:r>
      <w:r w:rsidR="00A414E2" w:rsidRPr="00CC5C3C">
        <w:rPr>
          <w:sz w:val="20"/>
          <w:szCs w:val="20"/>
          <w:lang w:val="fr-FR"/>
        </w:rPr>
        <w:t>et le recours plus fréquent aux arrêts pilotes</w:t>
      </w:r>
      <w:r w:rsidR="009F7FD2" w:rsidRPr="00CC5C3C">
        <w:rPr>
          <w:sz w:val="20"/>
          <w:szCs w:val="20"/>
          <w:lang w:val="fr-FR"/>
        </w:rPr>
        <w:t xml:space="preserve">, </w:t>
      </w:r>
      <w:r w:rsidR="00A414E2" w:rsidRPr="00CC5C3C">
        <w:rPr>
          <w:sz w:val="20"/>
          <w:szCs w:val="20"/>
          <w:lang w:val="fr-FR"/>
        </w:rPr>
        <w:t xml:space="preserve">la charge de travail de la Cour reste </w:t>
      </w:r>
      <w:r w:rsidR="007B0835" w:rsidRPr="00CC5C3C">
        <w:rPr>
          <w:sz w:val="20"/>
          <w:szCs w:val="20"/>
          <w:lang w:val="fr-FR"/>
        </w:rPr>
        <w:t>une source de grande préoccupation</w:t>
      </w:r>
      <w:r w:rsidR="009F7FD2" w:rsidRPr="00CC5C3C">
        <w:rPr>
          <w:sz w:val="20"/>
          <w:szCs w:val="20"/>
          <w:lang w:val="fr-FR"/>
        </w:rPr>
        <w:t>.</w:t>
      </w:r>
    </w:p>
    <w:p w:rsidR="008B478F" w:rsidRPr="00CC5C3C" w:rsidRDefault="008B478F" w:rsidP="00CA01B3">
      <w:pPr>
        <w:pStyle w:val="Default"/>
        <w:adjustRightInd w:val="0"/>
        <w:ind w:left="720"/>
        <w:rPr>
          <w:sz w:val="20"/>
          <w:szCs w:val="20"/>
          <w:lang w:val="fr-FR"/>
        </w:rPr>
      </w:pPr>
    </w:p>
    <w:p w:rsidR="00A81AE5" w:rsidRPr="00CC5C3C" w:rsidRDefault="001C167B" w:rsidP="00CA01B3">
      <w:pPr>
        <w:pStyle w:val="Default"/>
        <w:numPr>
          <w:ilvl w:val="0"/>
          <w:numId w:val="2"/>
        </w:numPr>
        <w:adjustRightInd w:val="0"/>
        <w:rPr>
          <w:sz w:val="20"/>
          <w:szCs w:val="20"/>
          <w:lang w:val="fr-FR"/>
        </w:rPr>
      </w:pPr>
      <w:r w:rsidRPr="00CC5C3C">
        <w:rPr>
          <w:sz w:val="20"/>
          <w:szCs w:val="20"/>
          <w:lang w:val="fr-FR"/>
        </w:rPr>
        <w:t xml:space="preserve">Lors de la Conférence d’experts à haut niveau de </w:t>
      </w:r>
      <w:r w:rsidR="009F7FD2" w:rsidRPr="00CC5C3C">
        <w:rPr>
          <w:sz w:val="20"/>
          <w:szCs w:val="20"/>
          <w:lang w:val="fr-FR"/>
        </w:rPr>
        <w:t xml:space="preserve">2017 </w:t>
      </w:r>
      <w:r w:rsidRPr="00CC5C3C">
        <w:rPr>
          <w:sz w:val="20"/>
          <w:szCs w:val="20"/>
          <w:lang w:val="fr-FR"/>
        </w:rPr>
        <w:t xml:space="preserve">à </w:t>
      </w:r>
      <w:proofErr w:type="spellStart"/>
      <w:r w:rsidR="009F7FD2" w:rsidRPr="00CC5C3C">
        <w:rPr>
          <w:sz w:val="20"/>
          <w:szCs w:val="20"/>
          <w:lang w:val="fr-FR"/>
        </w:rPr>
        <w:t>Kokkedal</w:t>
      </w:r>
      <w:proofErr w:type="spellEnd"/>
      <w:r w:rsidR="00A81AE5" w:rsidRPr="00CC5C3C">
        <w:rPr>
          <w:sz w:val="20"/>
          <w:szCs w:val="20"/>
          <w:lang w:val="fr-FR"/>
        </w:rPr>
        <w:t xml:space="preserve">, une analyse actualisée concernant le problème du volume des affaires a été présentée. Elle a conclu que la Cour avait la capacité de </w:t>
      </w:r>
      <w:r w:rsidR="00217996" w:rsidRPr="00CC5C3C">
        <w:rPr>
          <w:sz w:val="20"/>
          <w:szCs w:val="20"/>
          <w:lang w:val="fr-FR"/>
        </w:rPr>
        <w:t xml:space="preserve">juger chaque année </w:t>
      </w:r>
      <w:r w:rsidR="00A81AE5" w:rsidRPr="00CC5C3C">
        <w:rPr>
          <w:sz w:val="20"/>
          <w:szCs w:val="20"/>
          <w:lang w:val="fr-FR"/>
        </w:rPr>
        <w:t>un maximum de 2</w:t>
      </w:r>
      <w:r w:rsidR="00D46A8D" w:rsidRPr="00CC5C3C">
        <w:rPr>
          <w:sz w:val="20"/>
          <w:szCs w:val="20"/>
          <w:lang w:val="fr-FR"/>
        </w:rPr>
        <w:t> </w:t>
      </w:r>
      <w:r w:rsidR="00A81AE5" w:rsidRPr="00CC5C3C">
        <w:rPr>
          <w:sz w:val="20"/>
          <w:szCs w:val="20"/>
          <w:lang w:val="fr-FR"/>
        </w:rPr>
        <w:t>000</w:t>
      </w:r>
      <w:r w:rsidR="00D46A8D" w:rsidRPr="00CC5C3C">
        <w:rPr>
          <w:sz w:val="20"/>
          <w:szCs w:val="20"/>
          <w:lang w:val="fr-FR"/>
        </w:rPr>
        <w:t> </w:t>
      </w:r>
      <w:r w:rsidR="00A81AE5" w:rsidRPr="00CC5C3C">
        <w:rPr>
          <w:sz w:val="20"/>
          <w:szCs w:val="20"/>
          <w:lang w:val="fr-FR"/>
        </w:rPr>
        <w:t xml:space="preserve">affaires </w:t>
      </w:r>
      <w:r w:rsidR="00984177" w:rsidRPr="00CC5C3C">
        <w:rPr>
          <w:sz w:val="20"/>
          <w:szCs w:val="20"/>
          <w:lang w:val="fr-FR"/>
        </w:rPr>
        <w:t>soul</w:t>
      </w:r>
      <w:r w:rsidR="00217996" w:rsidRPr="00CC5C3C">
        <w:rPr>
          <w:sz w:val="20"/>
          <w:szCs w:val="20"/>
          <w:lang w:val="fr-FR"/>
        </w:rPr>
        <w:t>e</w:t>
      </w:r>
      <w:r w:rsidR="00984177" w:rsidRPr="00CC5C3C">
        <w:rPr>
          <w:sz w:val="20"/>
          <w:szCs w:val="20"/>
          <w:lang w:val="fr-FR"/>
        </w:rPr>
        <w:t>v</w:t>
      </w:r>
      <w:r w:rsidR="00217996" w:rsidRPr="00CC5C3C">
        <w:rPr>
          <w:sz w:val="20"/>
          <w:szCs w:val="20"/>
          <w:lang w:val="fr-FR"/>
        </w:rPr>
        <w:t>a</w:t>
      </w:r>
      <w:r w:rsidR="00984177" w:rsidRPr="00CC5C3C">
        <w:rPr>
          <w:sz w:val="20"/>
          <w:szCs w:val="20"/>
          <w:lang w:val="fr-FR"/>
        </w:rPr>
        <w:t>nt des questions de fond</w:t>
      </w:r>
      <w:r w:rsidR="00A81AE5" w:rsidRPr="00CC5C3C">
        <w:rPr>
          <w:sz w:val="20"/>
          <w:szCs w:val="20"/>
          <w:lang w:val="fr-FR"/>
        </w:rPr>
        <w:t xml:space="preserve"> (</w:t>
      </w:r>
      <w:r w:rsidR="00AC7A30" w:rsidRPr="00CC5C3C">
        <w:rPr>
          <w:sz w:val="20"/>
          <w:szCs w:val="20"/>
          <w:lang w:val="fr-FR"/>
        </w:rPr>
        <w:t>c</w:t>
      </w:r>
      <w:r w:rsidR="00A81AE5" w:rsidRPr="00CC5C3C">
        <w:rPr>
          <w:sz w:val="20"/>
          <w:szCs w:val="20"/>
          <w:lang w:val="fr-FR"/>
        </w:rPr>
        <w:t xml:space="preserve">hambre et Grande Chambre). Or, </w:t>
      </w:r>
      <w:r w:rsidR="00984177" w:rsidRPr="00CC5C3C">
        <w:rPr>
          <w:sz w:val="20"/>
          <w:szCs w:val="20"/>
          <w:lang w:val="fr-FR"/>
        </w:rPr>
        <w:t xml:space="preserve">le nombre d’affaires pendantes est nettement supérieur. L’un des principaux défis tient à l’arriéré important d’affaires prioritaires qui ne sont pas dues à des problèmes systémiques ou structurels, ainsi qu’au nombre élevé d’affaires pendantes </w:t>
      </w:r>
      <w:r w:rsidR="00733B0F">
        <w:rPr>
          <w:sz w:val="20"/>
          <w:szCs w:val="20"/>
          <w:lang w:val="fr-FR"/>
        </w:rPr>
        <w:t>devant les</w:t>
      </w:r>
      <w:r w:rsidR="00984177" w:rsidRPr="00CC5C3C">
        <w:rPr>
          <w:sz w:val="20"/>
          <w:szCs w:val="20"/>
          <w:lang w:val="fr-FR"/>
        </w:rPr>
        <w:t xml:space="preserve"> chambres</w:t>
      </w:r>
      <w:r w:rsidR="00ED467C" w:rsidRPr="00CC5C3C">
        <w:rPr>
          <w:sz w:val="20"/>
          <w:szCs w:val="20"/>
          <w:lang w:val="fr-FR"/>
        </w:rPr>
        <w:t>.</w:t>
      </w:r>
      <w:r w:rsidR="00FF4AAD" w:rsidRPr="00CC5C3C">
        <w:rPr>
          <w:sz w:val="20"/>
          <w:szCs w:val="20"/>
          <w:lang w:val="fr-FR"/>
        </w:rPr>
        <w:t xml:space="preserve"> Cela crée une situation </w:t>
      </w:r>
      <w:r w:rsidR="00D96A4F" w:rsidRPr="00CC5C3C">
        <w:rPr>
          <w:sz w:val="20"/>
          <w:szCs w:val="20"/>
          <w:lang w:val="fr-FR"/>
        </w:rPr>
        <w:t xml:space="preserve">qui contraint </w:t>
      </w:r>
      <w:r w:rsidR="00FF4AAD" w:rsidRPr="00CC5C3C">
        <w:rPr>
          <w:sz w:val="20"/>
          <w:szCs w:val="20"/>
          <w:lang w:val="fr-FR"/>
        </w:rPr>
        <w:t xml:space="preserve">de nombreux requérants, dont les griefs concernant de graves violations des droits de l’homme </w:t>
      </w:r>
      <w:r w:rsidR="00E940A9" w:rsidRPr="00CC5C3C">
        <w:rPr>
          <w:sz w:val="20"/>
          <w:szCs w:val="20"/>
          <w:lang w:val="fr-FR"/>
        </w:rPr>
        <w:t xml:space="preserve">sont </w:t>
      </w:r>
      <w:r w:rsidR="00733B0F">
        <w:rPr>
          <w:sz w:val="20"/>
          <w:szCs w:val="20"/>
          <w:lang w:val="fr-FR"/>
        </w:rPr>
        <w:t>potentiellement bien</w:t>
      </w:r>
      <w:r w:rsidR="00FF4AAD" w:rsidRPr="00CC5C3C">
        <w:rPr>
          <w:sz w:val="20"/>
          <w:szCs w:val="20"/>
          <w:lang w:val="fr-FR"/>
        </w:rPr>
        <w:t xml:space="preserve"> fondés, </w:t>
      </w:r>
      <w:r w:rsidR="00D96A4F" w:rsidRPr="00CC5C3C">
        <w:rPr>
          <w:sz w:val="20"/>
          <w:szCs w:val="20"/>
          <w:lang w:val="fr-FR"/>
        </w:rPr>
        <w:t xml:space="preserve">à </w:t>
      </w:r>
      <w:r w:rsidR="00FF4AAD" w:rsidRPr="00CC5C3C">
        <w:rPr>
          <w:sz w:val="20"/>
          <w:szCs w:val="20"/>
          <w:lang w:val="fr-FR"/>
        </w:rPr>
        <w:t>attendre des années la résolution de leur affaire.</w:t>
      </w:r>
      <w:r w:rsidR="000E50F7" w:rsidRPr="00CC5C3C">
        <w:rPr>
          <w:sz w:val="20"/>
          <w:szCs w:val="20"/>
          <w:lang w:val="fr-FR"/>
        </w:rPr>
        <w:t xml:space="preserve"> </w:t>
      </w:r>
      <w:r w:rsidR="00733B0F">
        <w:rPr>
          <w:sz w:val="20"/>
          <w:szCs w:val="20"/>
          <w:lang w:val="fr-FR"/>
        </w:rPr>
        <w:t>L</w:t>
      </w:r>
      <w:r w:rsidR="000E50F7" w:rsidRPr="00CC5C3C">
        <w:rPr>
          <w:sz w:val="20"/>
          <w:szCs w:val="20"/>
          <w:lang w:val="fr-FR"/>
        </w:rPr>
        <w:t>es nombreuses requêtes découl</w:t>
      </w:r>
      <w:r w:rsidR="00C82CC8" w:rsidRPr="00CC5C3C">
        <w:rPr>
          <w:sz w:val="20"/>
          <w:szCs w:val="20"/>
          <w:lang w:val="fr-FR"/>
        </w:rPr>
        <w:t>a</w:t>
      </w:r>
      <w:r w:rsidR="000E50F7" w:rsidRPr="00CC5C3C">
        <w:rPr>
          <w:sz w:val="20"/>
          <w:szCs w:val="20"/>
          <w:lang w:val="fr-FR"/>
        </w:rPr>
        <w:t xml:space="preserve">nt de conflits interétatiques et intra-étatiques, </w:t>
      </w:r>
      <w:r w:rsidR="00680FA1" w:rsidRPr="00CC5C3C">
        <w:rPr>
          <w:sz w:val="20"/>
          <w:szCs w:val="20"/>
          <w:lang w:val="fr-FR"/>
        </w:rPr>
        <w:t xml:space="preserve">qui </w:t>
      </w:r>
      <w:r w:rsidR="000E50F7" w:rsidRPr="00CC5C3C">
        <w:rPr>
          <w:sz w:val="20"/>
          <w:szCs w:val="20"/>
          <w:lang w:val="fr-FR"/>
        </w:rPr>
        <w:t xml:space="preserve">remontent </w:t>
      </w:r>
      <w:r w:rsidR="00680FA1" w:rsidRPr="00CC5C3C">
        <w:rPr>
          <w:sz w:val="20"/>
          <w:szCs w:val="20"/>
          <w:lang w:val="fr-FR"/>
        </w:rPr>
        <w:t xml:space="preserve">parfois </w:t>
      </w:r>
      <w:r w:rsidR="000E50F7" w:rsidRPr="00CC5C3C">
        <w:rPr>
          <w:sz w:val="20"/>
          <w:szCs w:val="20"/>
          <w:lang w:val="fr-FR"/>
        </w:rPr>
        <w:t>à plusieurs années</w:t>
      </w:r>
      <w:r w:rsidR="00067558" w:rsidRPr="00CC5C3C">
        <w:rPr>
          <w:sz w:val="20"/>
          <w:szCs w:val="20"/>
          <w:lang w:val="fr-FR"/>
        </w:rPr>
        <w:t>, sont particulièrement inquiétantes</w:t>
      </w:r>
      <w:r w:rsidR="000E50F7" w:rsidRPr="00CC5C3C">
        <w:rPr>
          <w:sz w:val="20"/>
          <w:szCs w:val="20"/>
          <w:lang w:val="fr-FR"/>
        </w:rPr>
        <w:t>.</w:t>
      </w:r>
      <w:r w:rsidR="00EB73C8" w:rsidRPr="00CC5C3C">
        <w:rPr>
          <w:sz w:val="20"/>
          <w:szCs w:val="20"/>
          <w:lang w:val="fr-FR"/>
        </w:rPr>
        <w:t xml:space="preserve"> </w:t>
      </w:r>
      <w:r w:rsidR="003B6273">
        <w:rPr>
          <w:sz w:val="20"/>
          <w:szCs w:val="20"/>
          <w:lang w:val="fr-FR"/>
        </w:rPr>
        <w:t>Un a</w:t>
      </w:r>
      <w:r w:rsidR="00EB73C8" w:rsidRPr="00CC5C3C">
        <w:rPr>
          <w:sz w:val="20"/>
          <w:szCs w:val="20"/>
          <w:lang w:val="fr-FR"/>
        </w:rPr>
        <w:t>utre sujet de préoccupation</w:t>
      </w:r>
      <w:r w:rsidR="00D71DAC">
        <w:rPr>
          <w:sz w:val="20"/>
          <w:szCs w:val="20"/>
          <w:lang w:val="fr-FR"/>
        </w:rPr>
        <w:t xml:space="preserve"> est</w:t>
      </w:r>
      <w:r w:rsidR="00EB73C8" w:rsidRPr="00CC5C3C">
        <w:rPr>
          <w:sz w:val="20"/>
          <w:szCs w:val="20"/>
          <w:lang w:val="fr-FR"/>
        </w:rPr>
        <w:t xml:space="preserve"> l’afflux </w:t>
      </w:r>
      <w:r w:rsidR="00B202A8" w:rsidRPr="00CC5C3C">
        <w:rPr>
          <w:sz w:val="20"/>
          <w:szCs w:val="20"/>
          <w:lang w:val="fr-FR"/>
        </w:rPr>
        <w:t xml:space="preserve">massif </w:t>
      </w:r>
      <w:r w:rsidR="00EB73C8" w:rsidRPr="00CC5C3C">
        <w:rPr>
          <w:sz w:val="20"/>
          <w:szCs w:val="20"/>
          <w:lang w:val="fr-FR"/>
        </w:rPr>
        <w:t>de requêtes observé ces dernières années en raison de la situation dans certains États</w:t>
      </w:r>
      <w:r w:rsidR="00996AB1" w:rsidRPr="00CC5C3C">
        <w:rPr>
          <w:sz w:val="20"/>
          <w:szCs w:val="20"/>
          <w:lang w:val="fr-FR"/>
        </w:rPr>
        <w:t xml:space="preserve">, qui </w:t>
      </w:r>
      <w:r w:rsidR="00E61343" w:rsidRPr="00CC5C3C">
        <w:rPr>
          <w:sz w:val="20"/>
          <w:szCs w:val="20"/>
          <w:lang w:val="fr-FR"/>
        </w:rPr>
        <w:t xml:space="preserve">fait varier sensiblement </w:t>
      </w:r>
      <w:r w:rsidR="00996AB1" w:rsidRPr="00CC5C3C">
        <w:rPr>
          <w:sz w:val="20"/>
          <w:szCs w:val="20"/>
          <w:lang w:val="fr-FR"/>
        </w:rPr>
        <w:t>le volume d</w:t>
      </w:r>
      <w:r w:rsidR="004D19BD" w:rsidRPr="00CC5C3C">
        <w:rPr>
          <w:sz w:val="20"/>
          <w:szCs w:val="20"/>
          <w:lang w:val="fr-FR"/>
        </w:rPr>
        <w:t xml:space="preserve">es </w:t>
      </w:r>
      <w:r w:rsidR="00996AB1" w:rsidRPr="00CC5C3C">
        <w:rPr>
          <w:sz w:val="20"/>
          <w:szCs w:val="20"/>
          <w:lang w:val="fr-FR"/>
        </w:rPr>
        <w:t xml:space="preserve">affaires et </w:t>
      </w:r>
      <w:r w:rsidR="00733B0F">
        <w:rPr>
          <w:sz w:val="20"/>
          <w:szCs w:val="20"/>
          <w:lang w:val="fr-FR"/>
        </w:rPr>
        <w:t>remet en question</w:t>
      </w:r>
      <w:r w:rsidR="00B5732B" w:rsidRPr="00CC5C3C">
        <w:rPr>
          <w:sz w:val="20"/>
          <w:szCs w:val="20"/>
          <w:lang w:val="fr-FR"/>
        </w:rPr>
        <w:t xml:space="preserve"> </w:t>
      </w:r>
      <w:r w:rsidR="00996AB1" w:rsidRPr="00CC5C3C">
        <w:rPr>
          <w:sz w:val="20"/>
          <w:szCs w:val="20"/>
          <w:lang w:val="fr-FR"/>
        </w:rPr>
        <w:t>la stabilité de la charge de travail de la Cour.</w:t>
      </w:r>
    </w:p>
    <w:p w:rsidR="008B478F" w:rsidRPr="00CC5C3C" w:rsidRDefault="008B478F" w:rsidP="00CA01B3">
      <w:pPr>
        <w:pStyle w:val="Default"/>
        <w:adjustRightInd w:val="0"/>
        <w:ind w:left="720"/>
        <w:rPr>
          <w:sz w:val="20"/>
          <w:szCs w:val="20"/>
          <w:lang w:val="fr-FR"/>
        </w:rPr>
      </w:pPr>
    </w:p>
    <w:p w:rsidR="008B478F" w:rsidRPr="00CC5C3C" w:rsidRDefault="00BF4D13" w:rsidP="00CA01B3">
      <w:pPr>
        <w:pStyle w:val="Default"/>
        <w:numPr>
          <w:ilvl w:val="0"/>
          <w:numId w:val="2"/>
        </w:numPr>
        <w:adjustRightInd w:val="0"/>
        <w:rPr>
          <w:sz w:val="20"/>
          <w:szCs w:val="20"/>
          <w:lang w:val="fr-FR"/>
        </w:rPr>
      </w:pPr>
      <w:r w:rsidRPr="00CC5C3C">
        <w:rPr>
          <w:sz w:val="20"/>
          <w:szCs w:val="20"/>
          <w:lang w:val="fr-FR"/>
        </w:rPr>
        <w:lastRenderedPageBreak/>
        <w:t>C</w:t>
      </w:r>
      <w:r w:rsidR="004D19BD" w:rsidRPr="00CC5C3C">
        <w:rPr>
          <w:sz w:val="20"/>
          <w:szCs w:val="20"/>
          <w:lang w:val="fr-FR"/>
        </w:rPr>
        <w:t>es éléments</w:t>
      </w:r>
      <w:r w:rsidRPr="00CC5C3C">
        <w:rPr>
          <w:sz w:val="20"/>
          <w:szCs w:val="20"/>
          <w:lang w:val="fr-FR"/>
        </w:rPr>
        <w:t xml:space="preserve"> démontrent</w:t>
      </w:r>
      <w:r w:rsidR="004D19BD" w:rsidRPr="00CC5C3C">
        <w:rPr>
          <w:sz w:val="20"/>
          <w:szCs w:val="20"/>
          <w:lang w:val="fr-FR"/>
        </w:rPr>
        <w:t xml:space="preserve"> </w:t>
      </w:r>
      <w:r w:rsidRPr="00CC5C3C">
        <w:rPr>
          <w:sz w:val="20"/>
          <w:szCs w:val="20"/>
          <w:lang w:val="fr-FR"/>
        </w:rPr>
        <w:t xml:space="preserve">la nécessité de prendre </w:t>
      </w:r>
      <w:r w:rsidR="004D19BD" w:rsidRPr="00CC5C3C">
        <w:rPr>
          <w:sz w:val="20"/>
          <w:szCs w:val="20"/>
          <w:lang w:val="fr-FR"/>
        </w:rPr>
        <w:t>de nouvelles mesures</w:t>
      </w:r>
      <w:r w:rsidR="00733B0F">
        <w:rPr>
          <w:sz w:val="20"/>
          <w:szCs w:val="20"/>
          <w:lang w:val="fr-FR"/>
        </w:rPr>
        <w:t>,</w:t>
      </w:r>
      <w:r w:rsidR="004D19BD" w:rsidRPr="00CC5C3C">
        <w:rPr>
          <w:sz w:val="20"/>
          <w:szCs w:val="20"/>
          <w:lang w:val="fr-FR"/>
        </w:rPr>
        <w:t xml:space="preserve"> </w:t>
      </w:r>
      <w:r w:rsidR="00D71DAC">
        <w:rPr>
          <w:sz w:val="20"/>
          <w:szCs w:val="20"/>
          <w:lang w:val="fr-FR"/>
        </w:rPr>
        <w:t>dans les</w:t>
      </w:r>
      <w:r w:rsidR="004D19BD" w:rsidRPr="00CC5C3C">
        <w:rPr>
          <w:sz w:val="20"/>
          <w:szCs w:val="20"/>
          <w:lang w:val="fr-FR"/>
        </w:rPr>
        <w:t xml:space="preserve"> prochaines années</w:t>
      </w:r>
      <w:r w:rsidR="00733B0F">
        <w:rPr>
          <w:sz w:val="20"/>
          <w:szCs w:val="20"/>
          <w:lang w:val="fr-FR"/>
        </w:rPr>
        <w:t>,</w:t>
      </w:r>
      <w:r w:rsidR="004D19BD" w:rsidRPr="00CC5C3C">
        <w:rPr>
          <w:sz w:val="20"/>
          <w:szCs w:val="20"/>
          <w:lang w:val="fr-FR"/>
        </w:rPr>
        <w:t xml:space="preserve"> pour améliorer la capacité du système de la Convention à traiter rapidement et eff</w:t>
      </w:r>
      <w:r w:rsidR="00733B0F">
        <w:rPr>
          <w:sz w:val="20"/>
          <w:szCs w:val="20"/>
          <w:lang w:val="fr-FR"/>
        </w:rPr>
        <w:t>ectiv</w:t>
      </w:r>
      <w:r w:rsidR="004D19BD" w:rsidRPr="00CC5C3C">
        <w:rPr>
          <w:sz w:val="20"/>
          <w:szCs w:val="20"/>
          <w:lang w:val="fr-FR"/>
        </w:rPr>
        <w:t xml:space="preserve">ement les graves violations. </w:t>
      </w:r>
      <w:r w:rsidR="00B35E35" w:rsidRPr="00CC5C3C">
        <w:rPr>
          <w:sz w:val="20"/>
          <w:szCs w:val="20"/>
          <w:lang w:val="fr-FR"/>
        </w:rPr>
        <w:t>Afin de r</w:t>
      </w:r>
      <w:r w:rsidR="004D19BD" w:rsidRPr="00CC5C3C">
        <w:rPr>
          <w:sz w:val="20"/>
          <w:szCs w:val="20"/>
          <w:lang w:val="fr-FR"/>
        </w:rPr>
        <w:t>elever le défi du volume des affaires</w:t>
      </w:r>
      <w:r w:rsidR="00B35E35" w:rsidRPr="00CC5C3C">
        <w:rPr>
          <w:sz w:val="20"/>
          <w:szCs w:val="20"/>
          <w:lang w:val="fr-FR"/>
        </w:rPr>
        <w:t xml:space="preserve">, </w:t>
      </w:r>
      <w:r w:rsidR="004D19BD" w:rsidRPr="00CC5C3C">
        <w:rPr>
          <w:sz w:val="20"/>
          <w:szCs w:val="20"/>
          <w:lang w:val="fr-FR"/>
        </w:rPr>
        <w:t xml:space="preserve">tous les acteurs concernés </w:t>
      </w:r>
      <w:r w:rsidR="00B35E35" w:rsidRPr="00CC5C3C">
        <w:rPr>
          <w:sz w:val="20"/>
          <w:szCs w:val="20"/>
          <w:lang w:val="fr-FR"/>
        </w:rPr>
        <w:t xml:space="preserve">devront conjuguer leurs efforts </w:t>
      </w:r>
      <w:r w:rsidR="004D19BD" w:rsidRPr="00CC5C3C">
        <w:rPr>
          <w:sz w:val="20"/>
          <w:szCs w:val="20"/>
          <w:lang w:val="fr-FR"/>
        </w:rPr>
        <w:t>–</w:t>
      </w:r>
      <w:r w:rsidR="00F114D9" w:rsidRPr="00CC5C3C">
        <w:rPr>
          <w:sz w:val="20"/>
          <w:szCs w:val="20"/>
          <w:lang w:val="fr-FR"/>
        </w:rPr>
        <w:t> </w:t>
      </w:r>
      <w:r w:rsidR="004D19BD" w:rsidRPr="00CC5C3C">
        <w:rPr>
          <w:sz w:val="20"/>
          <w:szCs w:val="20"/>
          <w:lang w:val="fr-FR"/>
        </w:rPr>
        <w:t xml:space="preserve">les </w:t>
      </w:r>
      <w:r w:rsidR="00C75AB4">
        <w:rPr>
          <w:sz w:val="20"/>
          <w:szCs w:val="20"/>
          <w:lang w:val="fr-FR"/>
        </w:rPr>
        <w:t xml:space="preserve">États Parties </w:t>
      </w:r>
      <w:r w:rsidR="004D19BD" w:rsidRPr="00CC5C3C">
        <w:rPr>
          <w:sz w:val="20"/>
          <w:szCs w:val="20"/>
          <w:lang w:val="fr-FR"/>
        </w:rPr>
        <w:t xml:space="preserve">en réduisant l’afflux </w:t>
      </w:r>
      <w:r w:rsidR="00691ACD" w:rsidRPr="00CC5C3C">
        <w:rPr>
          <w:sz w:val="20"/>
          <w:szCs w:val="20"/>
          <w:lang w:val="fr-FR"/>
        </w:rPr>
        <w:t>d’affaires</w:t>
      </w:r>
      <w:r w:rsidR="004D19BD" w:rsidRPr="00CC5C3C">
        <w:rPr>
          <w:sz w:val="20"/>
          <w:szCs w:val="20"/>
          <w:lang w:val="fr-FR"/>
        </w:rPr>
        <w:t xml:space="preserve"> </w:t>
      </w:r>
      <w:r w:rsidR="002040D1" w:rsidRPr="00CC5C3C">
        <w:rPr>
          <w:sz w:val="20"/>
          <w:szCs w:val="20"/>
          <w:lang w:val="fr-FR"/>
        </w:rPr>
        <w:t xml:space="preserve">grâce à </w:t>
      </w:r>
      <w:r w:rsidR="004D19BD" w:rsidRPr="00CC5C3C">
        <w:rPr>
          <w:sz w:val="20"/>
          <w:szCs w:val="20"/>
          <w:lang w:val="fr-FR"/>
        </w:rPr>
        <w:t>une mise en œuvre concrète et eff</w:t>
      </w:r>
      <w:r w:rsidR="00733B0F">
        <w:rPr>
          <w:sz w:val="20"/>
          <w:szCs w:val="20"/>
          <w:lang w:val="fr-FR"/>
        </w:rPr>
        <w:t>ectiv</w:t>
      </w:r>
      <w:r w:rsidR="004D19BD" w:rsidRPr="00CC5C3C">
        <w:rPr>
          <w:sz w:val="20"/>
          <w:szCs w:val="20"/>
          <w:lang w:val="fr-FR"/>
        </w:rPr>
        <w:t>e de la Convention, la Cour en traitant les requêtes et le Comité des Ministres en surv</w:t>
      </w:r>
      <w:r w:rsidR="009142DC" w:rsidRPr="00CC5C3C">
        <w:rPr>
          <w:sz w:val="20"/>
          <w:szCs w:val="20"/>
          <w:lang w:val="fr-FR"/>
        </w:rPr>
        <w:t>eill</w:t>
      </w:r>
      <w:r w:rsidR="004D19BD" w:rsidRPr="00CC5C3C">
        <w:rPr>
          <w:sz w:val="20"/>
          <w:szCs w:val="20"/>
          <w:lang w:val="fr-FR"/>
        </w:rPr>
        <w:t>ant l’exécution des arrêts.</w:t>
      </w:r>
    </w:p>
    <w:p w:rsidR="008B478F" w:rsidRPr="00CC5C3C" w:rsidRDefault="008B478F" w:rsidP="00CA01B3">
      <w:pPr>
        <w:autoSpaceDE w:val="0"/>
        <w:autoSpaceDN w:val="0"/>
        <w:adjustRightInd w:val="0"/>
        <w:spacing w:after="0" w:line="240" w:lineRule="auto"/>
        <w:rPr>
          <w:rFonts w:ascii="Arial" w:hAnsi="Arial" w:cs="Arial"/>
          <w:color w:val="000000"/>
          <w:sz w:val="20"/>
          <w:szCs w:val="20"/>
          <w:lang w:val="fr-FR"/>
        </w:rPr>
      </w:pPr>
    </w:p>
    <w:p w:rsidR="00127D43" w:rsidRPr="00CC5C3C" w:rsidRDefault="00127D43" w:rsidP="00CA01B3">
      <w:pPr>
        <w:pStyle w:val="Default"/>
        <w:rPr>
          <w:sz w:val="20"/>
          <w:szCs w:val="20"/>
          <w:lang w:val="fr-FR"/>
        </w:rPr>
      </w:pPr>
      <w:r w:rsidRPr="00CC5C3C">
        <w:rPr>
          <w:sz w:val="20"/>
          <w:szCs w:val="20"/>
          <w:lang w:val="fr-FR"/>
        </w:rPr>
        <w:t>En conséquence, la Conférence :</w:t>
      </w:r>
    </w:p>
    <w:p w:rsidR="00127D43" w:rsidRPr="00CC5C3C" w:rsidRDefault="00127D43" w:rsidP="00CA01B3">
      <w:pPr>
        <w:pStyle w:val="Default"/>
        <w:rPr>
          <w:sz w:val="20"/>
          <w:szCs w:val="20"/>
          <w:lang w:val="fr-FR"/>
        </w:rPr>
      </w:pPr>
    </w:p>
    <w:p w:rsidR="006D60A0" w:rsidRPr="00CC5C3C" w:rsidRDefault="00D71DAC" w:rsidP="00CA01B3">
      <w:pPr>
        <w:pStyle w:val="Default"/>
        <w:numPr>
          <w:ilvl w:val="0"/>
          <w:numId w:val="2"/>
        </w:numPr>
        <w:adjustRightInd w:val="0"/>
        <w:rPr>
          <w:sz w:val="20"/>
          <w:szCs w:val="20"/>
          <w:lang w:val="fr-FR"/>
        </w:rPr>
      </w:pPr>
      <w:r>
        <w:rPr>
          <w:sz w:val="20"/>
          <w:szCs w:val="20"/>
          <w:lang w:val="fr-FR"/>
        </w:rPr>
        <w:t>S</w:t>
      </w:r>
      <w:r w:rsidR="006D60A0" w:rsidRPr="00CC5C3C">
        <w:rPr>
          <w:sz w:val="20"/>
          <w:szCs w:val="20"/>
          <w:lang w:val="fr-FR"/>
        </w:rPr>
        <w:t xml:space="preserve">alue les efforts faits par la Cour pour </w:t>
      </w:r>
      <w:r w:rsidR="00061D19" w:rsidRPr="00CC5C3C">
        <w:rPr>
          <w:sz w:val="20"/>
          <w:szCs w:val="20"/>
          <w:lang w:val="fr-FR"/>
        </w:rPr>
        <w:t>diminuer</w:t>
      </w:r>
      <w:r w:rsidR="006D60A0" w:rsidRPr="00CC5C3C">
        <w:rPr>
          <w:sz w:val="20"/>
          <w:szCs w:val="20"/>
          <w:lang w:val="fr-FR"/>
        </w:rPr>
        <w:t xml:space="preserve"> l’arriéré, </w:t>
      </w:r>
      <w:r>
        <w:rPr>
          <w:sz w:val="20"/>
          <w:szCs w:val="20"/>
          <w:lang w:val="fr-FR"/>
        </w:rPr>
        <w:t>y compris</w:t>
      </w:r>
      <w:r w:rsidR="006D60A0" w:rsidRPr="00CC5C3C">
        <w:rPr>
          <w:sz w:val="20"/>
          <w:szCs w:val="20"/>
          <w:lang w:val="fr-FR"/>
        </w:rPr>
        <w:t xml:space="preserve"> en augmentant le nombre d’affaires examinées par les comités et en révisant et développ</w:t>
      </w:r>
      <w:r w:rsidR="00061D19" w:rsidRPr="00CC5C3C">
        <w:rPr>
          <w:sz w:val="20"/>
          <w:szCs w:val="20"/>
          <w:lang w:val="fr-FR"/>
        </w:rPr>
        <w:t>a</w:t>
      </w:r>
      <w:r w:rsidR="006D60A0" w:rsidRPr="00CC5C3C">
        <w:rPr>
          <w:sz w:val="20"/>
          <w:szCs w:val="20"/>
          <w:lang w:val="fr-FR"/>
        </w:rPr>
        <w:t>nt continuel</w:t>
      </w:r>
      <w:r w:rsidR="005D7E94">
        <w:rPr>
          <w:sz w:val="20"/>
          <w:szCs w:val="20"/>
          <w:lang w:val="fr-FR"/>
        </w:rPr>
        <w:t>lement ses méthodes de travail ;</w:t>
      </w:r>
    </w:p>
    <w:p w:rsidR="008B478F" w:rsidRPr="00CC5C3C" w:rsidRDefault="008B478F" w:rsidP="00CA01B3">
      <w:pPr>
        <w:pStyle w:val="Default"/>
        <w:adjustRightInd w:val="0"/>
        <w:ind w:left="720"/>
        <w:rPr>
          <w:sz w:val="20"/>
          <w:szCs w:val="20"/>
          <w:lang w:val="fr-FR"/>
        </w:rPr>
      </w:pPr>
    </w:p>
    <w:p w:rsidR="008C26E2" w:rsidRPr="00CC5C3C" w:rsidRDefault="00D71DAC" w:rsidP="00CA01B3">
      <w:pPr>
        <w:pStyle w:val="ListParagraph"/>
        <w:numPr>
          <w:ilvl w:val="0"/>
          <w:numId w:val="2"/>
        </w:numPr>
        <w:autoSpaceDE w:val="0"/>
        <w:autoSpaceDN w:val="0"/>
        <w:adjustRightInd w:val="0"/>
        <w:spacing w:after="0" w:line="240" w:lineRule="auto"/>
        <w:rPr>
          <w:rFonts w:ascii="Arial" w:hAnsi="Arial" w:cs="Arial"/>
          <w:color w:val="000000"/>
          <w:sz w:val="20"/>
          <w:szCs w:val="20"/>
          <w:lang w:val="fr-FR"/>
        </w:rPr>
      </w:pPr>
      <w:r>
        <w:rPr>
          <w:rFonts w:ascii="Arial" w:hAnsi="Arial" w:cs="Arial"/>
          <w:color w:val="000000"/>
          <w:sz w:val="20"/>
          <w:szCs w:val="20"/>
          <w:lang w:val="fr-FR"/>
        </w:rPr>
        <w:t>R</w:t>
      </w:r>
      <w:r w:rsidR="008C26E2" w:rsidRPr="00CC5C3C">
        <w:rPr>
          <w:rFonts w:ascii="Arial" w:hAnsi="Arial" w:cs="Arial"/>
          <w:color w:val="000000"/>
          <w:sz w:val="20"/>
          <w:szCs w:val="20"/>
          <w:lang w:val="fr-FR"/>
        </w:rPr>
        <w:t xml:space="preserve">appelle que l’ambition de la Déclaration de </w:t>
      </w:r>
      <w:r w:rsidR="009F7FD2" w:rsidRPr="00CC5C3C">
        <w:rPr>
          <w:rFonts w:ascii="Arial" w:hAnsi="Arial" w:cs="Arial"/>
          <w:color w:val="000000"/>
          <w:sz w:val="20"/>
          <w:szCs w:val="20"/>
          <w:lang w:val="fr-FR"/>
        </w:rPr>
        <w:t xml:space="preserve">Brighton </w:t>
      </w:r>
      <w:r w:rsidR="008C26E2" w:rsidRPr="00CC5C3C">
        <w:rPr>
          <w:rFonts w:ascii="Arial" w:hAnsi="Arial" w:cs="Arial"/>
          <w:color w:val="000000"/>
          <w:sz w:val="20"/>
          <w:szCs w:val="20"/>
          <w:lang w:val="fr-FR"/>
        </w:rPr>
        <w:t>était de</w:t>
      </w:r>
      <w:r w:rsidR="009F7FD2" w:rsidRPr="00CC5C3C">
        <w:rPr>
          <w:rFonts w:ascii="Arial" w:hAnsi="Arial" w:cs="Arial"/>
          <w:color w:val="000000"/>
          <w:sz w:val="20"/>
          <w:szCs w:val="20"/>
          <w:lang w:val="fr-FR"/>
        </w:rPr>
        <w:t xml:space="preserve"> </w:t>
      </w:r>
      <w:r w:rsidR="008C26E2" w:rsidRPr="00CC5C3C">
        <w:rPr>
          <w:rFonts w:ascii="Arial" w:hAnsi="Arial" w:cs="Arial"/>
          <w:color w:val="000000"/>
          <w:sz w:val="20"/>
          <w:szCs w:val="20"/>
          <w:lang w:val="fr-FR"/>
        </w:rPr>
        <w:t xml:space="preserve">permettre à la Cour de prendre la décision de communiquer ou non une affaire, dans un délai d’un an, puis de rendre une décision ou un arrêt sur toute affaire communiquée dans </w:t>
      </w:r>
      <w:r w:rsidR="00733B0F">
        <w:rPr>
          <w:rFonts w:ascii="Arial" w:hAnsi="Arial" w:cs="Arial"/>
          <w:color w:val="000000"/>
          <w:sz w:val="20"/>
          <w:szCs w:val="20"/>
          <w:lang w:val="fr-FR"/>
        </w:rPr>
        <w:t>les</w:t>
      </w:r>
      <w:r w:rsidR="008C26E2" w:rsidRPr="00CC5C3C">
        <w:rPr>
          <w:rFonts w:ascii="Arial" w:hAnsi="Arial" w:cs="Arial"/>
          <w:color w:val="000000"/>
          <w:sz w:val="20"/>
          <w:szCs w:val="20"/>
          <w:lang w:val="fr-FR"/>
        </w:rPr>
        <w:t xml:space="preserve"> deux ans </w:t>
      </w:r>
      <w:r w:rsidR="00733B0F">
        <w:rPr>
          <w:rFonts w:ascii="Arial" w:hAnsi="Arial" w:cs="Arial"/>
          <w:color w:val="000000"/>
          <w:sz w:val="20"/>
          <w:szCs w:val="20"/>
          <w:lang w:val="fr-FR"/>
        </w:rPr>
        <w:t>suivant</w:t>
      </w:r>
      <w:r>
        <w:rPr>
          <w:rFonts w:ascii="Arial" w:hAnsi="Arial" w:cs="Arial"/>
          <w:color w:val="000000"/>
          <w:sz w:val="20"/>
          <w:szCs w:val="20"/>
          <w:lang w:val="fr-FR"/>
        </w:rPr>
        <w:t xml:space="preserve"> sa communication</w:t>
      </w:r>
      <w:r w:rsidR="005D7E94">
        <w:rPr>
          <w:rFonts w:ascii="Arial" w:hAnsi="Arial" w:cs="Arial"/>
          <w:color w:val="000000"/>
          <w:sz w:val="20"/>
          <w:szCs w:val="20"/>
          <w:lang w:val="fr-FR"/>
        </w:rPr>
        <w:t> ;</w:t>
      </w:r>
    </w:p>
    <w:p w:rsidR="008B478F" w:rsidRPr="00CC5C3C" w:rsidRDefault="008B478F" w:rsidP="00CA01B3">
      <w:pPr>
        <w:pStyle w:val="Default"/>
        <w:adjustRightInd w:val="0"/>
        <w:ind w:left="720"/>
        <w:rPr>
          <w:sz w:val="20"/>
          <w:szCs w:val="20"/>
          <w:lang w:val="fr-FR"/>
        </w:rPr>
      </w:pPr>
    </w:p>
    <w:p w:rsidR="00C1101A" w:rsidRPr="00CC5C3C" w:rsidRDefault="00D71DAC" w:rsidP="00CA01B3">
      <w:pPr>
        <w:pStyle w:val="ListParagraph"/>
        <w:numPr>
          <w:ilvl w:val="0"/>
          <w:numId w:val="2"/>
        </w:numPr>
        <w:autoSpaceDE w:val="0"/>
        <w:autoSpaceDN w:val="0"/>
        <w:adjustRightInd w:val="0"/>
        <w:spacing w:after="0" w:line="240" w:lineRule="auto"/>
        <w:rPr>
          <w:rFonts w:ascii="Arial" w:hAnsi="Arial" w:cs="Arial"/>
          <w:color w:val="000000"/>
          <w:sz w:val="20"/>
          <w:szCs w:val="20"/>
          <w:lang w:val="fr-FR"/>
        </w:rPr>
      </w:pPr>
      <w:r>
        <w:rPr>
          <w:rFonts w:ascii="Arial" w:hAnsi="Arial" w:cs="Arial"/>
          <w:color w:val="000000"/>
          <w:sz w:val="20"/>
          <w:szCs w:val="20"/>
          <w:lang w:val="fr-FR"/>
        </w:rPr>
        <w:t>A</w:t>
      </w:r>
      <w:r w:rsidR="00C1101A" w:rsidRPr="00CC5C3C">
        <w:rPr>
          <w:rFonts w:ascii="Arial" w:hAnsi="Arial" w:cs="Arial"/>
          <w:color w:val="000000"/>
          <w:sz w:val="20"/>
          <w:szCs w:val="20"/>
          <w:lang w:val="fr-FR"/>
        </w:rPr>
        <w:t xml:space="preserve">pprouve l’approche de la Cour visant à concentrer les ressources judiciaires sur les affaires soulevant les questions les plus importantes et </w:t>
      </w:r>
      <w:r w:rsidR="001E6B53" w:rsidRPr="00CC5C3C">
        <w:rPr>
          <w:rFonts w:ascii="Arial" w:hAnsi="Arial" w:cs="Arial"/>
          <w:color w:val="000000"/>
          <w:sz w:val="20"/>
          <w:szCs w:val="20"/>
          <w:lang w:val="fr-FR"/>
        </w:rPr>
        <w:t xml:space="preserve">produisant </w:t>
      </w:r>
      <w:r w:rsidR="00C1101A" w:rsidRPr="00CC5C3C">
        <w:rPr>
          <w:rFonts w:ascii="Arial" w:hAnsi="Arial" w:cs="Arial"/>
          <w:color w:val="000000"/>
          <w:sz w:val="20"/>
          <w:szCs w:val="20"/>
          <w:lang w:val="fr-FR"/>
        </w:rPr>
        <w:t xml:space="preserve">le plus </w:t>
      </w:r>
      <w:r w:rsidR="007256E6" w:rsidRPr="00CC5C3C">
        <w:rPr>
          <w:rFonts w:ascii="Arial" w:hAnsi="Arial" w:cs="Arial"/>
          <w:color w:val="000000"/>
          <w:sz w:val="20"/>
          <w:szCs w:val="20"/>
          <w:lang w:val="fr-FR"/>
        </w:rPr>
        <w:t xml:space="preserve">grand </w:t>
      </w:r>
      <w:r w:rsidR="00C1101A" w:rsidRPr="00CC5C3C">
        <w:rPr>
          <w:rFonts w:ascii="Arial" w:hAnsi="Arial" w:cs="Arial"/>
          <w:color w:val="000000"/>
          <w:sz w:val="20"/>
          <w:szCs w:val="20"/>
          <w:lang w:val="fr-FR"/>
        </w:rPr>
        <w:t>impact pour identifier les dysfonctionnements dans la protection nationale des droits de l’homme.</w:t>
      </w:r>
      <w:r w:rsidR="009D1104" w:rsidRPr="00CC5C3C">
        <w:rPr>
          <w:rFonts w:ascii="Arial" w:hAnsi="Arial" w:cs="Arial"/>
          <w:color w:val="000000"/>
          <w:sz w:val="20"/>
          <w:szCs w:val="20"/>
          <w:lang w:val="fr-FR"/>
        </w:rPr>
        <w:t xml:space="preserve"> À cet égard et conformément à la logique du Protocole n° 14, </w:t>
      </w:r>
      <w:r w:rsidR="002E5AEF" w:rsidRPr="00CC5C3C">
        <w:rPr>
          <w:rFonts w:ascii="Arial" w:hAnsi="Arial" w:cs="Arial"/>
          <w:color w:val="000000"/>
          <w:sz w:val="20"/>
          <w:szCs w:val="20"/>
          <w:lang w:val="fr-FR"/>
        </w:rPr>
        <w:t>les procédures et techniques visant à traiter et juger les requêtes les plus simples selon une procédure sommaire</w:t>
      </w:r>
      <w:r>
        <w:rPr>
          <w:rFonts w:ascii="Arial" w:hAnsi="Arial" w:cs="Arial"/>
          <w:color w:val="000000"/>
          <w:sz w:val="20"/>
          <w:szCs w:val="20"/>
          <w:lang w:val="fr-FR"/>
        </w:rPr>
        <w:t xml:space="preserve"> sont acceptées et encouragées</w:t>
      </w:r>
      <w:r w:rsidR="005D7E94">
        <w:rPr>
          <w:rFonts w:ascii="Arial" w:hAnsi="Arial" w:cs="Arial"/>
          <w:color w:val="000000"/>
          <w:sz w:val="20"/>
          <w:szCs w:val="20"/>
          <w:lang w:val="fr-FR"/>
        </w:rPr>
        <w:t> ;</w:t>
      </w:r>
    </w:p>
    <w:p w:rsidR="008B478F" w:rsidRPr="00CC5C3C" w:rsidRDefault="008B478F" w:rsidP="00CA01B3">
      <w:pPr>
        <w:pStyle w:val="Default"/>
        <w:adjustRightInd w:val="0"/>
        <w:ind w:left="720"/>
        <w:rPr>
          <w:sz w:val="20"/>
          <w:szCs w:val="20"/>
          <w:lang w:val="fr-FR"/>
        </w:rPr>
      </w:pPr>
    </w:p>
    <w:p w:rsidR="009B2D86" w:rsidRPr="00CC5C3C" w:rsidRDefault="00D71DAC"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E</w:t>
      </w:r>
      <w:r w:rsidR="009B2D86" w:rsidRPr="00CC5C3C">
        <w:rPr>
          <w:rFonts w:ascii="Arial" w:hAnsi="Arial" w:cs="Arial"/>
          <w:sz w:val="20"/>
          <w:szCs w:val="20"/>
          <w:lang w:val="fr-FR"/>
        </w:rPr>
        <w:t>ncourage</w:t>
      </w:r>
      <w:r w:rsidR="009F7FD2" w:rsidRPr="00CC5C3C">
        <w:rPr>
          <w:rFonts w:ascii="Arial" w:hAnsi="Arial" w:cs="Arial"/>
          <w:sz w:val="20"/>
          <w:szCs w:val="20"/>
          <w:lang w:val="fr-FR"/>
        </w:rPr>
        <w:t xml:space="preserve"> </w:t>
      </w:r>
      <w:r w:rsidR="009B2D86" w:rsidRPr="00CC5C3C">
        <w:rPr>
          <w:rFonts w:ascii="Arial" w:hAnsi="Arial" w:cs="Arial"/>
          <w:sz w:val="20"/>
          <w:szCs w:val="20"/>
          <w:lang w:val="fr-FR"/>
        </w:rPr>
        <w:t>la Cour à</w:t>
      </w:r>
      <w:r w:rsidR="009F7FD2" w:rsidRPr="00CC5C3C">
        <w:rPr>
          <w:rFonts w:ascii="Arial" w:hAnsi="Arial" w:cs="Arial"/>
          <w:sz w:val="20"/>
          <w:szCs w:val="20"/>
          <w:lang w:val="fr-FR"/>
        </w:rPr>
        <w:t xml:space="preserve"> continue</w:t>
      </w:r>
      <w:r w:rsidR="009B2D86" w:rsidRPr="00CC5C3C">
        <w:rPr>
          <w:rFonts w:ascii="Arial" w:hAnsi="Arial" w:cs="Arial"/>
          <w:sz w:val="20"/>
          <w:szCs w:val="20"/>
          <w:lang w:val="fr-FR"/>
        </w:rPr>
        <w:t>r</w:t>
      </w:r>
      <w:r w:rsidR="009F7FD2" w:rsidRPr="00CC5C3C">
        <w:rPr>
          <w:rFonts w:ascii="Arial" w:hAnsi="Arial" w:cs="Arial"/>
          <w:sz w:val="20"/>
          <w:szCs w:val="20"/>
          <w:lang w:val="fr-FR"/>
        </w:rPr>
        <w:t xml:space="preserve"> </w:t>
      </w:r>
      <w:r w:rsidR="009B2D86" w:rsidRPr="00CC5C3C">
        <w:rPr>
          <w:rFonts w:ascii="Arial" w:hAnsi="Arial" w:cs="Arial"/>
          <w:sz w:val="20"/>
          <w:szCs w:val="20"/>
          <w:lang w:val="fr-FR"/>
        </w:rPr>
        <w:t xml:space="preserve">d’examiner toutes les pistes pour réduire le volume des affaires, notamment en exploitant au maximum les outils procéduraux offerts par le </w:t>
      </w:r>
      <w:r w:rsidR="009B2D86" w:rsidRPr="00CC5C3C">
        <w:rPr>
          <w:rFonts w:ascii="Arial" w:hAnsi="Arial" w:cs="Arial"/>
          <w:color w:val="000000"/>
          <w:sz w:val="20"/>
          <w:szCs w:val="20"/>
          <w:lang w:val="fr-FR"/>
        </w:rPr>
        <w:t xml:space="preserve">Protocole n° 14, ainsi que par </w:t>
      </w:r>
      <w:r w:rsidR="009B2D86" w:rsidRPr="00CC5C3C">
        <w:rPr>
          <w:rFonts w:ascii="Arial" w:hAnsi="Arial" w:cs="Arial"/>
          <w:sz w:val="20"/>
          <w:szCs w:val="20"/>
          <w:lang w:val="fr-FR"/>
        </w:rPr>
        <w:t xml:space="preserve">le </w:t>
      </w:r>
      <w:r w:rsidR="009B2D86" w:rsidRPr="00CC5C3C">
        <w:rPr>
          <w:rFonts w:ascii="Arial" w:hAnsi="Arial" w:cs="Arial"/>
          <w:color w:val="000000"/>
          <w:sz w:val="20"/>
          <w:szCs w:val="20"/>
          <w:lang w:val="fr-FR"/>
        </w:rPr>
        <w:t xml:space="preserve">Protocole n° 15 après son entrée en vigueur, afin que la Cour puisse consacrer </w:t>
      </w:r>
      <w:r w:rsidR="00E45DA8" w:rsidRPr="00CC5C3C">
        <w:rPr>
          <w:rFonts w:ascii="Arial" w:hAnsi="Arial" w:cs="Arial"/>
          <w:color w:val="000000"/>
          <w:sz w:val="20"/>
          <w:szCs w:val="20"/>
          <w:lang w:val="fr-FR"/>
        </w:rPr>
        <w:t>le</w:t>
      </w:r>
      <w:r w:rsidR="00F96945" w:rsidRPr="00CC5C3C">
        <w:rPr>
          <w:rFonts w:ascii="Arial" w:hAnsi="Arial" w:cs="Arial"/>
          <w:color w:val="000000"/>
          <w:sz w:val="20"/>
          <w:szCs w:val="20"/>
          <w:lang w:val="fr-FR"/>
        </w:rPr>
        <w:t xml:space="preserve"> </w:t>
      </w:r>
      <w:r w:rsidR="009B2D86" w:rsidRPr="00CC5C3C">
        <w:rPr>
          <w:rFonts w:ascii="Arial" w:hAnsi="Arial" w:cs="Arial"/>
          <w:color w:val="000000"/>
          <w:sz w:val="20"/>
          <w:szCs w:val="20"/>
          <w:lang w:val="fr-FR"/>
        </w:rPr>
        <w:t xml:space="preserve">temps et </w:t>
      </w:r>
      <w:r w:rsidR="00E45DA8" w:rsidRPr="00CC5C3C">
        <w:rPr>
          <w:rFonts w:ascii="Arial" w:hAnsi="Arial" w:cs="Arial"/>
          <w:color w:val="000000"/>
          <w:sz w:val="20"/>
          <w:szCs w:val="20"/>
          <w:lang w:val="fr-FR"/>
        </w:rPr>
        <w:t>l</w:t>
      </w:r>
      <w:r w:rsidR="009B2D86" w:rsidRPr="00CC5C3C">
        <w:rPr>
          <w:rFonts w:ascii="Arial" w:hAnsi="Arial" w:cs="Arial"/>
          <w:color w:val="000000"/>
          <w:sz w:val="20"/>
          <w:szCs w:val="20"/>
          <w:lang w:val="fr-FR"/>
        </w:rPr>
        <w:t>es ressources suffisantes aux</w:t>
      </w:r>
      <w:r w:rsidR="005D7E94">
        <w:rPr>
          <w:rFonts w:ascii="Arial" w:hAnsi="Arial" w:cs="Arial"/>
          <w:color w:val="000000"/>
          <w:sz w:val="20"/>
          <w:szCs w:val="20"/>
          <w:lang w:val="fr-FR"/>
        </w:rPr>
        <w:t xml:space="preserve"> affaires les plus importantes ;</w:t>
      </w:r>
    </w:p>
    <w:p w:rsidR="001E621C" w:rsidRPr="00CC5C3C" w:rsidRDefault="00D71DAC" w:rsidP="00CA01B3">
      <w:pPr>
        <w:pStyle w:val="Default"/>
        <w:numPr>
          <w:ilvl w:val="0"/>
          <w:numId w:val="2"/>
        </w:numPr>
        <w:adjustRightInd w:val="0"/>
        <w:rPr>
          <w:sz w:val="20"/>
          <w:szCs w:val="20"/>
          <w:lang w:val="fr-FR"/>
        </w:rPr>
      </w:pPr>
      <w:r>
        <w:rPr>
          <w:sz w:val="20"/>
          <w:szCs w:val="20"/>
          <w:lang w:val="fr-FR"/>
        </w:rPr>
        <w:t>A</w:t>
      </w:r>
      <w:r w:rsidR="001E621C" w:rsidRPr="00CC5C3C">
        <w:rPr>
          <w:sz w:val="20"/>
          <w:szCs w:val="20"/>
          <w:lang w:val="fr-FR"/>
        </w:rPr>
        <w:t>ppelle la Cour et le Comité des Ministres à réfléchir conjointement à la façon de traiter les requêtes répétitives découlant de la non-exécution d</w:t>
      </w:r>
      <w:r w:rsidR="00B629AD" w:rsidRPr="00CC5C3C">
        <w:rPr>
          <w:sz w:val="20"/>
          <w:szCs w:val="20"/>
          <w:lang w:val="fr-FR"/>
        </w:rPr>
        <w:t>’</w:t>
      </w:r>
      <w:r w:rsidR="001E621C" w:rsidRPr="00CC5C3C">
        <w:rPr>
          <w:sz w:val="20"/>
          <w:szCs w:val="20"/>
          <w:lang w:val="fr-FR"/>
        </w:rPr>
        <w:t xml:space="preserve">arrêts pilotes, en tenant compte </w:t>
      </w:r>
      <w:r w:rsidR="00E46D68" w:rsidRPr="00CC5C3C">
        <w:rPr>
          <w:sz w:val="20"/>
          <w:szCs w:val="20"/>
          <w:lang w:val="fr-FR"/>
        </w:rPr>
        <w:t xml:space="preserve">du fait que </w:t>
      </w:r>
      <w:r w:rsidR="001E621C" w:rsidRPr="00CC5C3C">
        <w:rPr>
          <w:sz w:val="20"/>
          <w:szCs w:val="20"/>
          <w:lang w:val="fr-FR"/>
        </w:rPr>
        <w:t>la Cour d</w:t>
      </w:r>
      <w:r w:rsidR="00E46D68" w:rsidRPr="00CC5C3C">
        <w:rPr>
          <w:sz w:val="20"/>
          <w:szCs w:val="20"/>
          <w:lang w:val="fr-FR"/>
        </w:rPr>
        <w:t>oit</w:t>
      </w:r>
      <w:r w:rsidR="001E621C" w:rsidRPr="00CC5C3C">
        <w:rPr>
          <w:sz w:val="20"/>
          <w:szCs w:val="20"/>
          <w:lang w:val="fr-FR"/>
        </w:rPr>
        <w:t xml:space="preserve"> se concentrer sur </w:t>
      </w:r>
      <w:r w:rsidR="008F7BC0" w:rsidRPr="00CC5C3C">
        <w:rPr>
          <w:sz w:val="20"/>
          <w:szCs w:val="20"/>
          <w:lang w:val="fr-FR"/>
        </w:rPr>
        <w:t>d</w:t>
      </w:r>
      <w:r w:rsidR="001E621C" w:rsidRPr="00CC5C3C">
        <w:rPr>
          <w:sz w:val="20"/>
          <w:szCs w:val="20"/>
          <w:lang w:val="fr-FR"/>
        </w:rPr>
        <w:t xml:space="preserve">es priorités </w:t>
      </w:r>
      <w:r w:rsidR="00626811" w:rsidRPr="00CC5C3C">
        <w:rPr>
          <w:sz w:val="20"/>
          <w:szCs w:val="20"/>
          <w:lang w:val="fr-FR"/>
        </w:rPr>
        <w:t xml:space="preserve">autres </w:t>
      </w:r>
      <w:r w:rsidR="001E621C" w:rsidRPr="00CC5C3C">
        <w:rPr>
          <w:sz w:val="20"/>
          <w:szCs w:val="20"/>
          <w:lang w:val="fr-FR"/>
        </w:rPr>
        <w:t xml:space="preserve">que </w:t>
      </w:r>
      <w:r w:rsidR="00626811" w:rsidRPr="00CC5C3C">
        <w:rPr>
          <w:sz w:val="20"/>
          <w:szCs w:val="20"/>
          <w:lang w:val="fr-FR"/>
        </w:rPr>
        <w:t>l</w:t>
      </w:r>
      <w:r w:rsidR="001E621C" w:rsidRPr="00CC5C3C">
        <w:rPr>
          <w:sz w:val="20"/>
          <w:szCs w:val="20"/>
          <w:lang w:val="fr-FR"/>
        </w:rPr>
        <w:t>’</w:t>
      </w:r>
      <w:r w:rsidR="00626811" w:rsidRPr="00CC5C3C">
        <w:rPr>
          <w:sz w:val="20"/>
          <w:szCs w:val="20"/>
          <w:lang w:val="fr-FR"/>
        </w:rPr>
        <w:t>octroi</w:t>
      </w:r>
      <w:r w:rsidR="001E621C" w:rsidRPr="00CC5C3C">
        <w:rPr>
          <w:sz w:val="20"/>
          <w:szCs w:val="20"/>
          <w:lang w:val="fr-FR"/>
        </w:rPr>
        <w:t xml:space="preserve"> </w:t>
      </w:r>
      <w:r w:rsidR="00626811" w:rsidRPr="00CC5C3C">
        <w:rPr>
          <w:sz w:val="20"/>
          <w:szCs w:val="20"/>
          <w:lang w:val="fr-FR"/>
        </w:rPr>
        <w:t>d’</w:t>
      </w:r>
      <w:r>
        <w:rPr>
          <w:sz w:val="20"/>
          <w:szCs w:val="20"/>
          <w:lang w:val="fr-FR"/>
        </w:rPr>
        <w:t>une indemnisation</w:t>
      </w:r>
      <w:r w:rsidR="005D7E94">
        <w:rPr>
          <w:sz w:val="20"/>
          <w:szCs w:val="20"/>
          <w:lang w:val="fr-FR"/>
        </w:rPr>
        <w:t> ;</w:t>
      </w:r>
    </w:p>
    <w:p w:rsidR="008B478F" w:rsidRPr="00CC5C3C" w:rsidRDefault="008B478F" w:rsidP="00CA01B3">
      <w:pPr>
        <w:pStyle w:val="Default"/>
        <w:adjustRightInd w:val="0"/>
        <w:ind w:left="720"/>
        <w:rPr>
          <w:b/>
          <w:sz w:val="20"/>
          <w:szCs w:val="20"/>
          <w:lang w:val="fr-FR"/>
        </w:rPr>
      </w:pPr>
    </w:p>
    <w:p w:rsidR="00994A30" w:rsidRPr="00CC5C3C" w:rsidRDefault="00D71DAC" w:rsidP="00CA01B3">
      <w:pPr>
        <w:pStyle w:val="Default"/>
        <w:numPr>
          <w:ilvl w:val="0"/>
          <w:numId w:val="2"/>
        </w:numPr>
        <w:adjustRightInd w:val="0"/>
        <w:rPr>
          <w:sz w:val="20"/>
          <w:szCs w:val="20"/>
          <w:lang w:val="fr-FR"/>
        </w:rPr>
      </w:pPr>
      <w:r>
        <w:rPr>
          <w:sz w:val="20"/>
          <w:szCs w:val="20"/>
          <w:lang w:val="fr-FR"/>
        </w:rPr>
        <w:t>E</w:t>
      </w:r>
      <w:r w:rsidR="00FB720B" w:rsidRPr="00CC5C3C">
        <w:rPr>
          <w:sz w:val="20"/>
          <w:szCs w:val="20"/>
          <w:lang w:val="fr-FR"/>
        </w:rPr>
        <w:t>xprime sa vive préoccupation</w:t>
      </w:r>
      <w:r w:rsidR="007F0967" w:rsidRPr="00CC5C3C">
        <w:rPr>
          <w:sz w:val="20"/>
          <w:szCs w:val="20"/>
          <w:lang w:val="fr-FR"/>
        </w:rPr>
        <w:t xml:space="preserve"> face au grand nombre de requêtes pendantes devant la Cour, </w:t>
      </w:r>
      <w:r w:rsidR="00EF3B0C" w:rsidRPr="00CC5C3C">
        <w:rPr>
          <w:sz w:val="20"/>
          <w:szCs w:val="20"/>
          <w:lang w:val="fr-FR"/>
        </w:rPr>
        <w:t xml:space="preserve">en </w:t>
      </w:r>
      <w:r w:rsidR="00733B0F">
        <w:rPr>
          <w:sz w:val="20"/>
          <w:szCs w:val="20"/>
          <w:lang w:val="fr-FR"/>
        </w:rPr>
        <w:t>not</w:t>
      </w:r>
      <w:r w:rsidR="00EF3B0C" w:rsidRPr="00CC5C3C">
        <w:rPr>
          <w:sz w:val="20"/>
          <w:szCs w:val="20"/>
          <w:lang w:val="fr-FR"/>
        </w:rPr>
        <w:t>ant</w:t>
      </w:r>
      <w:r w:rsidR="007F0967" w:rsidRPr="00CC5C3C">
        <w:rPr>
          <w:sz w:val="20"/>
          <w:szCs w:val="20"/>
          <w:lang w:val="fr-FR"/>
        </w:rPr>
        <w:t xml:space="preserve"> que le principal défi aujourd’hui </w:t>
      </w:r>
      <w:r w:rsidR="00FE0FAA" w:rsidRPr="00CC5C3C">
        <w:rPr>
          <w:sz w:val="20"/>
          <w:szCs w:val="20"/>
          <w:lang w:val="fr-FR"/>
        </w:rPr>
        <w:t xml:space="preserve">consiste </w:t>
      </w:r>
      <w:r w:rsidR="007F0967" w:rsidRPr="00CC5C3C">
        <w:rPr>
          <w:sz w:val="20"/>
          <w:szCs w:val="20"/>
          <w:lang w:val="fr-FR"/>
        </w:rPr>
        <w:t xml:space="preserve">à </w:t>
      </w:r>
      <w:r w:rsidR="00EA0B42" w:rsidRPr="00CC5C3C">
        <w:rPr>
          <w:sz w:val="20"/>
          <w:szCs w:val="20"/>
          <w:lang w:val="fr-FR"/>
        </w:rPr>
        <w:t>résorber</w:t>
      </w:r>
      <w:r w:rsidR="007F0967" w:rsidRPr="00CC5C3C">
        <w:rPr>
          <w:sz w:val="20"/>
          <w:szCs w:val="20"/>
          <w:lang w:val="fr-FR"/>
        </w:rPr>
        <w:t xml:space="preserve"> l’arriéré d’affaires pendantes non répétitives, </w:t>
      </w:r>
      <w:r w:rsidR="00733B0F">
        <w:rPr>
          <w:sz w:val="20"/>
          <w:szCs w:val="20"/>
          <w:lang w:val="fr-FR"/>
        </w:rPr>
        <w:t>y compris</w:t>
      </w:r>
      <w:r w:rsidR="006A7411" w:rsidRPr="00CC5C3C">
        <w:rPr>
          <w:sz w:val="20"/>
          <w:szCs w:val="20"/>
          <w:lang w:val="fr-FR"/>
        </w:rPr>
        <w:t xml:space="preserve"> </w:t>
      </w:r>
      <w:r w:rsidR="004801FF" w:rsidRPr="00CC5C3C">
        <w:rPr>
          <w:sz w:val="20"/>
          <w:szCs w:val="20"/>
          <w:lang w:val="fr-FR"/>
        </w:rPr>
        <w:t>d’</w:t>
      </w:r>
      <w:r w:rsidR="006A7411" w:rsidRPr="00CC5C3C">
        <w:rPr>
          <w:sz w:val="20"/>
          <w:szCs w:val="20"/>
          <w:lang w:val="fr-FR"/>
        </w:rPr>
        <w:t xml:space="preserve">affaires prioritaires, et à réduire et gérer l’afflux </w:t>
      </w:r>
      <w:r w:rsidR="00733B0F">
        <w:rPr>
          <w:sz w:val="20"/>
          <w:szCs w:val="20"/>
          <w:lang w:val="fr-FR"/>
        </w:rPr>
        <w:t>d’affaires</w:t>
      </w:r>
      <w:r w:rsidR="000E6081" w:rsidRPr="00CC5C3C">
        <w:rPr>
          <w:sz w:val="20"/>
          <w:szCs w:val="20"/>
          <w:lang w:val="fr-FR"/>
        </w:rPr>
        <w:t xml:space="preserve"> </w:t>
      </w:r>
      <w:r w:rsidR="00BD042E" w:rsidRPr="00CC5C3C">
        <w:rPr>
          <w:sz w:val="20"/>
          <w:szCs w:val="20"/>
          <w:lang w:val="fr-FR"/>
        </w:rPr>
        <w:t xml:space="preserve">portant </w:t>
      </w:r>
      <w:r w:rsidR="00277457" w:rsidRPr="00CC5C3C">
        <w:rPr>
          <w:sz w:val="20"/>
          <w:szCs w:val="20"/>
          <w:lang w:val="fr-FR"/>
        </w:rPr>
        <w:t xml:space="preserve">en particulier </w:t>
      </w:r>
      <w:r w:rsidR="00BD042E" w:rsidRPr="00CC5C3C">
        <w:rPr>
          <w:sz w:val="20"/>
          <w:szCs w:val="20"/>
          <w:lang w:val="fr-FR"/>
        </w:rPr>
        <w:t xml:space="preserve">sur </w:t>
      </w:r>
      <w:r w:rsidR="00277457" w:rsidRPr="00CC5C3C">
        <w:rPr>
          <w:sz w:val="20"/>
          <w:szCs w:val="20"/>
          <w:lang w:val="fr-FR"/>
        </w:rPr>
        <w:t xml:space="preserve">des violations à grande échelle </w:t>
      </w:r>
      <w:r w:rsidR="00620FA7" w:rsidRPr="00CC5C3C">
        <w:rPr>
          <w:sz w:val="20"/>
          <w:szCs w:val="20"/>
          <w:lang w:val="fr-FR"/>
        </w:rPr>
        <w:t xml:space="preserve">et sur </w:t>
      </w:r>
      <w:r w:rsidR="00277457" w:rsidRPr="00CC5C3C">
        <w:rPr>
          <w:sz w:val="20"/>
          <w:szCs w:val="20"/>
          <w:lang w:val="fr-FR"/>
        </w:rPr>
        <w:t>des problèmes grav</w:t>
      </w:r>
      <w:r w:rsidR="005D7E94">
        <w:rPr>
          <w:sz w:val="20"/>
          <w:szCs w:val="20"/>
          <w:lang w:val="fr-FR"/>
        </w:rPr>
        <w:t>es, structurels et systémiques ;</w:t>
      </w:r>
    </w:p>
    <w:p w:rsidR="008B478F" w:rsidRPr="00CC5C3C" w:rsidRDefault="008B478F" w:rsidP="00CA01B3">
      <w:pPr>
        <w:pStyle w:val="Default"/>
        <w:adjustRightInd w:val="0"/>
        <w:ind w:left="720"/>
        <w:rPr>
          <w:b/>
          <w:sz w:val="20"/>
          <w:szCs w:val="20"/>
          <w:lang w:val="fr-FR"/>
        </w:rPr>
      </w:pPr>
    </w:p>
    <w:p w:rsidR="009D2524" w:rsidRPr="00CC5C3C" w:rsidRDefault="00D71DAC" w:rsidP="00CA01B3">
      <w:pPr>
        <w:pStyle w:val="Default"/>
        <w:numPr>
          <w:ilvl w:val="0"/>
          <w:numId w:val="2"/>
        </w:numPr>
        <w:adjustRightInd w:val="0"/>
        <w:rPr>
          <w:sz w:val="20"/>
          <w:szCs w:val="20"/>
          <w:lang w:val="fr-FR"/>
        </w:rPr>
      </w:pPr>
      <w:r>
        <w:rPr>
          <w:sz w:val="20"/>
          <w:szCs w:val="20"/>
          <w:lang w:val="fr-FR"/>
        </w:rPr>
        <w:t>R</w:t>
      </w:r>
      <w:r w:rsidR="009D2524" w:rsidRPr="00CC5C3C">
        <w:rPr>
          <w:sz w:val="20"/>
          <w:szCs w:val="20"/>
          <w:lang w:val="fr-FR"/>
        </w:rPr>
        <w:t xml:space="preserve">econnaît l’importance de maintenir un budget suffisant pour que la Cour puisse relever les défis actuels et futurs. </w:t>
      </w:r>
      <w:r w:rsidR="00EC674C" w:rsidRPr="00CC5C3C">
        <w:rPr>
          <w:sz w:val="20"/>
          <w:szCs w:val="20"/>
          <w:lang w:val="fr-FR"/>
        </w:rPr>
        <w:t>Elle n</w:t>
      </w:r>
      <w:r w:rsidR="008A07DB" w:rsidRPr="00CC5C3C">
        <w:rPr>
          <w:sz w:val="20"/>
          <w:szCs w:val="20"/>
          <w:lang w:val="fr-FR"/>
        </w:rPr>
        <w:t>ote à cet égard que l’entrée en vigueur du Protocole n° 16</w:t>
      </w:r>
      <w:r w:rsidR="00763DFE" w:rsidRPr="00CC5C3C">
        <w:rPr>
          <w:sz w:val="20"/>
          <w:szCs w:val="20"/>
          <w:lang w:val="fr-FR"/>
        </w:rPr>
        <w:t xml:space="preserve"> alourdira encore l</w:t>
      </w:r>
      <w:r w:rsidR="005D7E94">
        <w:rPr>
          <w:sz w:val="20"/>
          <w:szCs w:val="20"/>
          <w:lang w:val="fr-FR"/>
        </w:rPr>
        <w:t>a charge de travail de la Cour ;</w:t>
      </w:r>
    </w:p>
    <w:p w:rsidR="008B478F" w:rsidRPr="00CC5C3C" w:rsidRDefault="008B478F" w:rsidP="00CA01B3">
      <w:pPr>
        <w:pStyle w:val="Default"/>
        <w:adjustRightInd w:val="0"/>
        <w:ind w:left="720"/>
        <w:rPr>
          <w:b/>
          <w:sz w:val="20"/>
          <w:szCs w:val="20"/>
          <w:lang w:val="fr-FR"/>
        </w:rPr>
      </w:pPr>
    </w:p>
    <w:p w:rsidR="00156808" w:rsidRPr="00CC5C3C" w:rsidRDefault="00D71DAC" w:rsidP="00CA01B3">
      <w:pPr>
        <w:pStyle w:val="Default"/>
        <w:numPr>
          <w:ilvl w:val="0"/>
          <w:numId w:val="2"/>
        </w:numPr>
        <w:adjustRightInd w:val="0"/>
        <w:rPr>
          <w:sz w:val="20"/>
          <w:szCs w:val="20"/>
          <w:lang w:val="fr-FR"/>
        </w:rPr>
      </w:pPr>
      <w:r>
        <w:rPr>
          <w:sz w:val="20"/>
          <w:szCs w:val="20"/>
          <w:lang w:val="fr-FR"/>
        </w:rPr>
        <w:t>A</w:t>
      </w:r>
      <w:r w:rsidR="00156808" w:rsidRPr="00CC5C3C">
        <w:rPr>
          <w:sz w:val="20"/>
          <w:szCs w:val="20"/>
          <w:lang w:val="fr-FR"/>
        </w:rPr>
        <w:t xml:space="preserve">ppelle les </w:t>
      </w:r>
      <w:r w:rsidR="00C75AB4">
        <w:rPr>
          <w:sz w:val="20"/>
          <w:szCs w:val="20"/>
          <w:lang w:val="fr-FR"/>
        </w:rPr>
        <w:t xml:space="preserve">États Parties </w:t>
      </w:r>
      <w:r w:rsidR="00156808" w:rsidRPr="00CC5C3C">
        <w:rPr>
          <w:sz w:val="20"/>
          <w:szCs w:val="20"/>
          <w:lang w:val="fr-FR"/>
        </w:rPr>
        <w:t xml:space="preserve">à soutenir les détachements temporaires auprès du </w:t>
      </w:r>
      <w:r w:rsidR="00850FB1" w:rsidRPr="00CC5C3C">
        <w:rPr>
          <w:sz w:val="20"/>
          <w:szCs w:val="20"/>
          <w:lang w:val="fr-FR"/>
        </w:rPr>
        <w:t>g</w:t>
      </w:r>
      <w:r w:rsidR="00156808" w:rsidRPr="00CC5C3C">
        <w:rPr>
          <w:sz w:val="20"/>
          <w:szCs w:val="20"/>
          <w:lang w:val="fr-FR"/>
        </w:rPr>
        <w:t xml:space="preserve">reffe de la </w:t>
      </w:r>
      <w:r w:rsidR="00990E55" w:rsidRPr="00CC5C3C">
        <w:rPr>
          <w:sz w:val="20"/>
          <w:szCs w:val="20"/>
          <w:lang w:val="fr-FR"/>
        </w:rPr>
        <w:t xml:space="preserve">Cour </w:t>
      </w:r>
      <w:r w:rsidR="00156808" w:rsidRPr="00CC5C3C">
        <w:rPr>
          <w:sz w:val="20"/>
          <w:szCs w:val="20"/>
          <w:lang w:val="fr-FR"/>
        </w:rPr>
        <w:t xml:space="preserve">afin </w:t>
      </w:r>
      <w:r w:rsidR="00550D44" w:rsidRPr="00CC5C3C">
        <w:rPr>
          <w:sz w:val="20"/>
          <w:szCs w:val="20"/>
          <w:lang w:val="fr-FR"/>
        </w:rPr>
        <w:t>d’aider</w:t>
      </w:r>
      <w:r w:rsidR="00156808" w:rsidRPr="00CC5C3C">
        <w:rPr>
          <w:sz w:val="20"/>
          <w:szCs w:val="20"/>
          <w:lang w:val="fr-FR"/>
        </w:rPr>
        <w:t xml:space="preserve"> </w:t>
      </w:r>
      <w:r w:rsidR="007C72C9" w:rsidRPr="00CC5C3C">
        <w:rPr>
          <w:sz w:val="20"/>
          <w:szCs w:val="20"/>
          <w:lang w:val="fr-FR"/>
        </w:rPr>
        <w:t>cette dernière</w:t>
      </w:r>
      <w:r w:rsidR="00156808" w:rsidRPr="00CC5C3C">
        <w:rPr>
          <w:sz w:val="20"/>
          <w:szCs w:val="20"/>
          <w:lang w:val="fr-FR"/>
        </w:rPr>
        <w:t>.</w:t>
      </w:r>
      <w:r w:rsidR="00EF54DF" w:rsidRPr="00CC5C3C">
        <w:rPr>
          <w:sz w:val="20"/>
          <w:szCs w:val="20"/>
          <w:lang w:val="fr-FR"/>
        </w:rPr>
        <w:t xml:space="preserve"> Cela permet à la Cour de </w:t>
      </w:r>
      <w:r w:rsidR="001D0353" w:rsidRPr="00CC5C3C">
        <w:rPr>
          <w:sz w:val="20"/>
          <w:szCs w:val="20"/>
          <w:lang w:val="fr-FR"/>
        </w:rPr>
        <w:t xml:space="preserve">profiter </w:t>
      </w:r>
      <w:r w:rsidR="00EF54DF" w:rsidRPr="00CC5C3C">
        <w:rPr>
          <w:sz w:val="20"/>
          <w:szCs w:val="20"/>
          <w:lang w:val="fr-FR"/>
        </w:rPr>
        <w:t>d</w:t>
      </w:r>
      <w:r w:rsidR="005111CE" w:rsidRPr="00CC5C3C">
        <w:rPr>
          <w:sz w:val="20"/>
          <w:szCs w:val="20"/>
          <w:lang w:val="fr-FR"/>
        </w:rPr>
        <w:t>e</w:t>
      </w:r>
      <w:r w:rsidR="006610E7" w:rsidRPr="00CC5C3C">
        <w:rPr>
          <w:sz w:val="20"/>
          <w:szCs w:val="20"/>
          <w:lang w:val="fr-FR"/>
        </w:rPr>
        <w:t>s</w:t>
      </w:r>
      <w:r w:rsidR="00EF54DF" w:rsidRPr="00CC5C3C">
        <w:rPr>
          <w:sz w:val="20"/>
          <w:szCs w:val="20"/>
          <w:lang w:val="fr-FR"/>
        </w:rPr>
        <w:t xml:space="preserve"> </w:t>
      </w:r>
      <w:r w:rsidR="005111CE" w:rsidRPr="00CC5C3C">
        <w:rPr>
          <w:sz w:val="20"/>
          <w:szCs w:val="20"/>
          <w:lang w:val="fr-FR"/>
        </w:rPr>
        <w:t>connaissances</w:t>
      </w:r>
      <w:r w:rsidR="00EF54DF" w:rsidRPr="00CC5C3C">
        <w:rPr>
          <w:sz w:val="20"/>
          <w:szCs w:val="20"/>
          <w:lang w:val="fr-FR"/>
        </w:rPr>
        <w:t xml:space="preserve"> </w:t>
      </w:r>
      <w:r w:rsidR="006610E7" w:rsidRPr="00CC5C3C">
        <w:rPr>
          <w:sz w:val="20"/>
          <w:szCs w:val="20"/>
          <w:lang w:val="fr-FR"/>
        </w:rPr>
        <w:t xml:space="preserve">les plus récentes </w:t>
      </w:r>
      <w:r w:rsidR="00EF54DF" w:rsidRPr="00CC5C3C">
        <w:rPr>
          <w:sz w:val="20"/>
          <w:szCs w:val="20"/>
          <w:lang w:val="fr-FR"/>
        </w:rPr>
        <w:t>sur le</w:t>
      </w:r>
      <w:r w:rsidR="005111CE" w:rsidRPr="00CC5C3C">
        <w:rPr>
          <w:sz w:val="20"/>
          <w:szCs w:val="20"/>
          <w:lang w:val="fr-FR"/>
        </w:rPr>
        <w:t>s</w:t>
      </w:r>
      <w:r w:rsidR="00EF54DF" w:rsidRPr="00CC5C3C">
        <w:rPr>
          <w:sz w:val="20"/>
          <w:szCs w:val="20"/>
          <w:lang w:val="fr-FR"/>
        </w:rPr>
        <w:t xml:space="preserve"> système</w:t>
      </w:r>
      <w:r w:rsidR="005111CE" w:rsidRPr="00CC5C3C">
        <w:rPr>
          <w:sz w:val="20"/>
          <w:szCs w:val="20"/>
          <w:lang w:val="fr-FR"/>
        </w:rPr>
        <w:t>s</w:t>
      </w:r>
      <w:r w:rsidR="00EF54DF" w:rsidRPr="00CC5C3C">
        <w:rPr>
          <w:sz w:val="20"/>
          <w:szCs w:val="20"/>
          <w:lang w:val="fr-FR"/>
        </w:rPr>
        <w:t xml:space="preserve"> juridique</w:t>
      </w:r>
      <w:r w:rsidR="005111CE" w:rsidRPr="00CC5C3C">
        <w:rPr>
          <w:sz w:val="20"/>
          <w:szCs w:val="20"/>
          <w:lang w:val="fr-FR"/>
        </w:rPr>
        <w:t>s nationaux</w:t>
      </w:r>
      <w:r w:rsidR="00EF54DF" w:rsidRPr="00CC5C3C">
        <w:rPr>
          <w:sz w:val="20"/>
          <w:szCs w:val="20"/>
          <w:lang w:val="fr-FR"/>
        </w:rPr>
        <w:t xml:space="preserve">, tout en donnant la possibilité aux personnes concernées d’acquérir une expertise </w:t>
      </w:r>
      <w:r w:rsidR="00A551D5" w:rsidRPr="00CC5C3C">
        <w:rPr>
          <w:sz w:val="20"/>
          <w:szCs w:val="20"/>
          <w:lang w:val="fr-FR"/>
        </w:rPr>
        <w:t>qu’</w:t>
      </w:r>
      <w:r w:rsidR="00EF54DF" w:rsidRPr="00CC5C3C">
        <w:rPr>
          <w:sz w:val="20"/>
          <w:szCs w:val="20"/>
          <w:lang w:val="fr-FR"/>
        </w:rPr>
        <w:t>elle</w:t>
      </w:r>
      <w:r w:rsidR="00222030" w:rsidRPr="00CC5C3C">
        <w:rPr>
          <w:sz w:val="20"/>
          <w:szCs w:val="20"/>
          <w:lang w:val="fr-FR"/>
        </w:rPr>
        <w:t>s</w:t>
      </w:r>
      <w:r w:rsidR="00EF54DF" w:rsidRPr="00CC5C3C">
        <w:rPr>
          <w:sz w:val="20"/>
          <w:szCs w:val="20"/>
          <w:lang w:val="fr-FR"/>
        </w:rPr>
        <w:t xml:space="preserve"> </w:t>
      </w:r>
      <w:r w:rsidR="008F7BC0" w:rsidRPr="00CC5C3C">
        <w:rPr>
          <w:sz w:val="20"/>
          <w:szCs w:val="20"/>
          <w:lang w:val="fr-FR"/>
        </w:rPr>
        <w:t>emport</w:t>
      </w:r>
      <w:r w:rsidR="00A551D5" w:rsidRPr="00CC5C3C">
        <w:rPr>
          <w:sz w:val="20"/>
          <w:szCs w:val="20"/>
          <w:lang w:val="fr-FR"/>
        </w:rPr>
        <w:t xml:space="preserve">eront </w:t>
      </w:r>
      <w:r w:rsidR="008F7BC0" w:rsidRPr="00CC5C3C">
        <w:rPr>
          <w:sz w:val="20"/>
          <w:szCs w:val="20"/>
          <w:lang w:val="fr-FR"/>
        </w:rPr>
        <w:t>avec elle</w:t>
      </w:r>
      <w:r w:rsidR="00075FBD" w:rsidRPr="00CC5C3C">
        <w:rPr>
          <w:sz w:val="20"/>
          <w:szCs w:val="20"/>
          <w:lang w:val="fr-FR"/>
        </w:rPr>
        <w:t>s</w:t>
      </w:r>
      <w:r w:rsidR="008F7BC0" w:rsidRPr="00CC5C3C">
        <w:rPr>
          <w:sz w:val="20"/>
          <w:szCs w:val="20"/>
          <w:lang w:val="fr-FR"/>
        </w:rPr>
        <w:t xml:space="preserve"> lorsqu’elles re</w:t>
      </w:r>
      <w:r w:rsidR="006B5E28" w:rsidRPr="00CC5C3C">
        <w:rPr>
          <w:sz w:val="20"/>
          <w:szCs w:val="20"/>
          <w:lang w:val="fr-FR"/>
        </w:rPr>
        <w:t>ntr</w:t>
      </w:r>
      <w:r w:rsidR="003C3A82" w:rsidRPr="00CC5C3C">
        <w:rPr>
          <w:sz w:val="20"/>
          <w:szCs w:val="20"/>
          <w:lang w:val="fr-FR"/>
        </w:rPr>
        <w:t>e</w:t>
      </w:r>
      <w:r w:rsidR="008F7BC0" w:rsidRPr="00CC5C3C">
        <w:rPr>
          <w:sz w:val="20"/>
          <w:szCs w:val="20"/>
          <w:lang w:val="fr-FR"/>
        </w:rPr>
        <w:t xml:space="preserve">ront </w:t>
      </w:r>
      <w:r w:rsidR="005D7E94">
        <w:rPr>
          <w:sz w:val="20"/>
          <w:szCs w:val="20"/>
          <w:lang w:val="fr-FR"/>
        </w:rPr>
        <w:t>dans leur pays d’origine ;</w:t>
      </w:r>
    </w:p>
    <w:p w:rsidR="008B478F" w:rsidRPr="00CC5C3C" w:rsidRDefault="008B478F" w:rsidP="00CA01B3">
      <w:pPr>
        <w:pStyle w:val="Default"/>
        <w:adjustRightInd w:val="0"/>
        <w:rPr>
          <w:b/>
          <w:sz w:val="20"/>
          <w:szCs w:val="20"/>
          <w:lang w:val="fr-FR"/>
        </w:rPr>
      </w:pPr>
    </w:p>
    <w:p w:rsidR="00A86F1B" w:rsidRPr="00CC5C3C" w:rsidRDefault="00D71DAC"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I</w:t>
      </w:r>
      <w:r w:rsidR="009F7FD2" w:rsidRPr="00CC5C3C">
        <w:rPr>
          <w:rFonts w:ascii="Arial" w:hAnsi="Arial" w:cs="Arial"/>
          <w:sz w:val="20"/>
          <w:szCs w:val="20"/>
          <w:lang w:val="fr-FR"/>
        </w:rPr>
        <w:t xml:space="preserve">nvite </w:t>
      </w:r>
      <w:r w:rsidR="00A86F1B" w:rsidRPr="00CC5C3C">
        <w:rPr>
          <w:rFonts w:ascii="Arial" w:hAnsi="Arial" w:cs="Arial"/>
          <w:sz w:val="20"/>
          <w:szCs w:val="20"/>
          <w:lang w:val="fr-FR"/>
        </w:rPr>
        <w:t>le Comité des Ministres, en consultation avec la Cour et avec l</w:t>
      </w:r>
      <w:r w:rsidR="00A96F9B" w:rsidRPr="00CC5C3C">
        <w:rPr>
          <w:rFonts w:ascii="Arial" w:hAnsi="Arial" w:cs="Arial"/>
          <w:sz w:val="20"/>
          <w:szCs w:val="20"/>
          <w:lang w:val="fr-FR"/>
        </w:rPr>
        <w:t>e</w:t>
      </w:r>
      <w:r w:rsidR="00A86F1B" w:rsidRPr="00CC5C3C">
        <w:rPr>
          <w:rFonts w:ascii="Arial" w:hAnsi="Arial" w:cs="Arial"/>
          <w:sz w:val="20"/>
          <w:szCs w:val="20"/>
          <w:lang w:val="fr-FR"/>
        </w:rPr>
        <w:t xml:space="preserve"> </w:t>
      </w:r>
      <w:r w:rsidR="00A96F9B" w:rsidRPr="00CC5C3C">
        <w:rPr>
          <w:rFonts w:ascii="Arial" w:hAnsi="Arial" w:cs="Arial"/>
          <w:sz w:val="20"/>
          <w:szCs w:val="20"/>
          <w:lang w:val="fr-FR"/>
        </w:rPr>
        <w:t>concours</w:t>
      </w:r>
      <w:r w:rsidR="00A86F1B" w:rsidRPr="00CC5C3C">
        <w:rPr>
          <w:rFonts w:ascii="Arial" w:hAnsi="Arial" w:cs="Arial"/>
          <w:sz w:val="20"/>
          <w:szCs w:val="20"/>
          <w:lang w:val="fr-FR"/>
        </w:rPr>
        <w:t xml:space="preserve"> d’experts, </w:t>
      </w:r>
      <w:r w:rsidR="00204147" w:rsidRPr="00CC5C3C">
        <w:rPr>
          <w:rFonts w:ascii="Arial" w:hAnsi="Arial" w:cs="Arial"/>
          <w:sz w:val="20"/>
          <w:szCs w:val="20"/>
          <w:lang w:val="fr-FR"/>
        </w:rPr>
        <w:t>à réaliser</w:t>
      </w:r>
      <w:r w:rsidR="00A86F1B" w:rsidRPr="00CC5C3C">
        <w:rPr>
          <w:rFonts w:ascii="Arial" w:hAnsi="Arial" w:cs="Arial"/>
          <w:sz w:val="20"/>
          <w:szCs w:val="20"/>
          <w:lang w:val="fr-FR"/>
        </w:rPr>
        <w:t xml:space="preserve"> une analyse plus </w:t>
      </w:r>
      <w:r w:rsidR="00204147" w:rsidRPr="00CC5C3C">
        <w:rPr>
          <w:rFonts w:ascii="Arial" w:hAnsi="Arial" w:cs="Arial"/>
          <w:sz w:val="20"/>
          <w:szCs w:val="20"/>
          <w:lang w:val="fr-FR"/>
        </w:rPr>
        <w:t>approfondie</w:t>
      </w:r>
      <w:r w:rsidR="00A86F1B" w:rsidRPr="00CC5C3C">
        <w:rPr>
          <w:rFonts w:ascii="Arial" w:hAnsi="Arial" w:cs="Arial"/>
          <w:sz w:val="20"/>
          <w:szCs w:val="20"/>
          <w:lang w:val="fr-FR"/>
        </w:rPr>
        <w:t xml:space="preserve">, comme l’envisageait la </w:t>
      </w:r>
      <w:r w:rsidR="00733B0F">
        <w:rPr>
          <w:rFonts w:ascii="Arial" w:hAnsi="Arial" w:cs="Arial"/>
          <w:sz w:val="20"/>
          <w:szCs w:val="20"/>
          <w:lang w:val="fr-FR"/>
        </w:rPr>
        <w:t xml:space="preserve">Déclaration de Brighton, avant </w:t>
      </w:r>
      <w:r w:rsidR="00A86F1B" w:rsidRPr="00CC5C3C">
        <w:rPr>
          <w:rFonts w:ascii="Arial" w:hAnsi="Arial" w:cs="Arial"/>
          <w:sz w:val="20"/>
          <w:szCs w:val="20"/>
          <w:lang w:val="fr-FR"/>
        </w:rPr>
        <w:t xml:space="preserve">2019, sur les perspectives de parvenir à un volume </w:t>
      </w:r>
      <w:r w:rsidR="00360943" w:rsidRPr="00CC5C3C">
        <w:rPr>
          <w:rFonts w:ascii="Arial" w:hAnsi="Arial" w:cs="Arial"/>
          <w:sz w:val="20"/>
          <w:szCs w:val="20"/>
          <w:lang w:val="fr-FR"/>
        </w:rPr>
        <w:t>d’affaires équilibré, notamment</w:t>
      </w:r>
      <w:r w:rsidR="00A86F1B" w:rsidRPr="00CC5C3C">
        <w:rPr>
          <w:rFonts w:ascii="Arial" w:hAnsi="Arial" w:cs="Arial"/>
          <w:sz w:val="20"/>
          <w:szCs w:val="20"/>
          <w:lang w:val="fr-FR"/>
        </w:rPr>
        <w:t> :</w:t>
      </w:r>
      <w:r>
        <w:rPr>
          <w:rFonts w:ascii="Arial" w:hAnsi="Arial" w:cs="Arial"/>
          <w:sz w:val="20"/>
          <w:szCs w:val="20"/>
          <w:lang w:val="fr-FR"/>
        </w:rPr>
        <w:br/>
      </w:r>
    </w:p>
    <w:p w:rsidR="00076850" w:rsidRPr="00CC5C3C" w:rsidRDefault="00360943" w:rsidP="00CA01B3">
      <w:pPr>
        <w:pStyle w:val="ListParagraph"/>
        <w:numPr>
          <w:ilvl w:val="1"/>
          <w:numId w:val="3"/>
        </w:numPr>
        <w:spacing w:line="240" w:lineRule="auto"/>
        <w:rPr>
          <w:rFonts w:ascii="Arial" w:hAnsi="Arial" w:cs="Arial"/>
          <w:sz w:val="20"/>
          <w:szCs w:val="20"/>
          <w:lang w:val="fr-FR"/>
        </w:rPr>
      </w:pPr>
      <w:r w:rsidRPr="00CC5C3C">
        <w:rPr>
          <w:rFonts w:ascii="Arial" w:hAnsi="Arial" w:cs="Arial"/>
          <w:sz w:val="20"/>
          <w:szCs w:val="20"/>
          <w:lang w:val="fr-FR"/>
        </w:rPr>
        <w:t xml:space="preserve">en </w:t>
      </w:r>
      <w:r w:rsidR="00076850" w:rsidRPr="00CC5C3C">
        <w:rPr>
          <w:rFonts w:ascii="Arial" w:hAnsi="Arial" w:cs="Arial"/>
          <w:sz w:val="20"/>
          <w:szCs w:val="20"/>
          <w:lang w:val="fr-FR"/>
        </w:rPr>
        <w:t>examinant l</w:t>
      </w:r>
      <w:r w:rsidR="0063044A" w:rsidRPr="00CC5C3C">
        <w:rPr>
          <w:rFonts w:ascii="Arial" w:hAnsi="Arial" w:cs="Arial"/>
          <w:sz w:val="20"/>
          <w:szCs w:val="20"/>
          <w:lang w:val="fr-FR"/>
        </w:rPr>
        <w:t>es</w:t>
      </w:r>
      <w:r w:rsidR="00076850" w:rsidRPr="00CC5C3C">
        <w:rPr>
          <w:rFonts w:ascii="Arial" w:hAnsi="Arial" w:cs="Arial"/>
          <w:sz w:val="20"/>
          <w:szCs w:val="20"/>
          <w:lang w:val="fr-FR"/>
        </w:rPr>
        <w:t xml:space="preserve"> </w:t>
      </w:r>
      <w:r w:rsidR="0063044A" w:rsidRPr="00CC5C3C">
        <w:rPr>
          <w:rFonts w:ascii="Arial" w:hAnsi="Arial" w:cs="Arial"/>
          <w:sz w:val="20"/>
          <w:szCs w:val="20"/>
          <w:lang w:val="fr-FR"/>
        </w:rPr>
        <w:t xml:space="preserve">moyens </w:t>
      </w:r>
      <w:r w:rsidR="00076850" w:rsidRPr="00CC5C3C">
        <w:rPr>
          <w:rFonts w:ascii="Arial" w:hAnsi="Arial" w:cs="Arial"/>
          <w:sz w:val="20"/>
          <w:szCs w:val="20"/>
          <w:lang w:val="fr-FR"/>
        </w:rPr>
        <w:t xml:space="preserve">d’encourager le recours le plus </w:t>
      </w:r>
      <w:r w:rsidR="00E85700" w:rsidRPr="00CC5C3C">
        <w:rPr>
          <w:rFonts w:ascii="Arial" w:hAnsi="Arial" w:cs="Arial"/>
          <w:sz w:val="20"/>
          <w:szCs w:val="20"/>
          <w:lang w:val="fr-FR"/>
        </w:rPr>
        <w:t>large</w:t>
      </w:r>
      <w:r w:rsidR="00076850" w:rsidRPr="00CC5C3C">
        <w:rPr>
          <w:rFonts w:ascii="Arial" w:hAnsi="Arial" w:cs="Arial"/>
          <w:sz w:val="20"/>
          <w:szCs w:val="20"/>
          <w:lang w:val="fr-FR"/>
        </w:rPr>
        <w:t xml:space="preserve"> possible au</w:t>
      </w:r>
      <w:r w:rsidR="00DF1B8E" w:rsidRPr="00CC5C3C">
        <w:rPr>
          <w:rFonts w:ascii="Arial" w:hAnsi="Arial" w:cs="Arial"/>
          <w:sz w:val="20"/>
          <w:szCs w:val="20"/>
          <w:lang w:val="fr-FR"/>
        </w:rPr>
        <w:t>x</w:t>
      </w:r>
      <w:r w:rsidR="00076850" w:rsidRPr="00CC5C3C">
        <w:rPr>
          <w:rFonts w:ascii="Arial" w:hAnsi="Arial" w:cs="Arial"/>
          <w:sz w:val="20"/>
          <w:szCs w:val="20"/>
          <w:lang w:val="fr-FR"/>
        </w:rPr>
        <w:t xml:space="preserve"> règlement</w:t>
      </w:r>
      <w:r w:rsidR="00DF1B8E" w:rsidRPr="00CC5C3C">
        <w:rPr>
          <w:rFonts w:ascii="Arial" w:hAnsi="Arial" w:cs="Arial"/>
          <w:sz w:val="20"/>
          <w:szCs w:val="20"/>
          <w:lang w:val="fr-FR"/>
        </w:rPr>
        <w:t>s</w:t>
      </w:r>
      <w:r w:rsidR="00076850" w:rsidRPr="00CC5C3C">
        <w:rPr>
          <w:rFonts w:ascii="Arial" w:hAnsi="Arial" w:cs="Arial"/>
          <w:sz w:val="20"/>
          <w:szCs w:val="20"/>
          <w:lang w:val="fr-FR"/>
        </w:rPr>
        <w:t xml:space="preserve"> amiable</w:t>
      </w:r>
      <w:r w:rsidR="00DF1B8E" w:rsidRPr="00CC5C3C">
        <w:rPr>
          <w:rFonts w:ascii="Arial" w:hAnsi="Arial" w:cs="Arial"/>
          <w:sz w:val="20"/>
          <w:szCs w:val="20"/>
          <w:lang w:val="fr-FR"/>
        </w:rPr>
        <w:t>s</w:t>
      </w:r>
      <w:r w:rsidR="00076850" w:rsidRPr="00CC5C3C">
        <w:rPr>
          <w:rFonts w:ascii="Arial" w:hAnsi="Arial" w:cs="Arial"/>
          <w:sz w:val="20"/>
          <w:szCs w:val="20"/>
          <w:lang w:val="fr-FR"/>
        </w:rPr>
        <w:t xml:space="preserve"> et aux déclarations unilatérales, avec les conseils du </w:t>
      </w:r>
      <w:r w:rsidR="00733B0F">
        <w:rPr>
          <w:rFonts w:ascii="Arial" w:hAnsi="Arial" w:cs="Arial"/>
          <w:sz w:val="20"/>
          <w:szCs w:val="20"/>
          <w:lang w:val="fr-FR"/>
        </w:rPr>
        <w:t>G</w:t>
      </w:r>
      <w:r w:rsidR="00076850" w:rsidRPr="00CC5C3C">
        <w:rPr>
          <w:rFonts w:ascii="Arial" w:hAnsi="Arial" w:cs="Arial"/>
          <w:sz w:val="20"/>
          <w:szCs w:val="20"/>
          <w:lang w:val="fr-FR"/>
        </w:rPr>
        <w:t xml:space="preserve">reffe de la Cour, </w:t>
      </w:r>
      <w:r w:rsidR="002E04AB" w:rsidRPr="00CC5C3C">
        <w:rPr>
          <w:rFonts w:ascii="Arial" w:hAnsi="Arial" w:cs="Arial"/>
          <w:sz w:val="20"/>
          <w:szCs w:val="20"/>
          <w:lang w:val="fr-FR"/>
        </w:rPr>
        <w:t xml:space="preserve">en vue </w:t>
      </w:r>
      <w:r w:rsidR="00076850" w:rsidRPr="00CC5C3C">
        <w:rPr>
          <w:rFonts w:ascii="Arial" w:hAnsi="Arial" w:cs="Arial"/>
          <w:sz w:val="20"/>
          <w:szCs w:val="20"/>
          <w:lang w:val="fr-FR"/>
        </w:rPr>
        <w:t xml:space="preserve">d’éviter </w:t>
      </w:r>
      <w:r w:rsidR="00A323F5" w:rsidRPr="00CC5C3C">
        <w:rPr>
          <w:rFonts w:ascii="Arial" w:hAnsi="Arial" w:cs="Arial"/>
          <w:sz w:val="20"/>
          <w:szCs w:val="20"/>
          <w:lang w:val="fr-FR"/>
        </w:rPr>
        <w:t>à</w:t>
      </w:r>
      <w:r w:rsidR="00076850" w:rsidRPr="00CC5C3C">
        <w:rPr>
          <w:rFonts w:ascii="Arial" w:hAnsi="Arial" w:cs="Arial"/>
          <w:sz w:val="20"/>
          <w:szCs w:val="20"/>
          <w:lang w:val="fr-FR"/>
        </w:rPr>
        <w:t xml:space="preserve"> la Cour</w:t>
      </w:r>
      <w:r w:rsidR="00A323F5" w:rsidRPr="00CC5C3C">
        <w:rPr>
          <w:rFonts w:ascii="Arial" w:hAnsi="Arial" w:cs="Arial"/>
          <w:sz w:val="20"/>
          <w:szCs w:val="20"/>
          <w:lang w:val="fr-FR"/>
        </w:rPr>
        <w:t>,</w:t>
      </w:r>
      <w:r w:rsidR="00076850" w:rsidRPr="00CC5C3C">
        <w:rPr>
          <w:rFonts w:ascii="Arial" w:hAnsi="Arial" w:cs="Arial"/>
          <w:sz w:val="20"/>
          <w:szCs w:val="20"/>
          <w:lang w:val="fr-FR"/>
        </w:rPr>
        <w:t xml:space="preserve"> </w:t>
      </w:r>
      <w:r w:rsidR="00A323F5" w:rsidRPr="00CC5C3C">
        <w:rPr>
          <w:rFonts w:ascii="Arial" w:hAnsi="Arial" w:cs="Arial"/>
          <w:sz w:val="20"/>
          <w:szCs w:val="20"/>
          <w:lang w:val="fr-FR"/>
        </w:rPr>
        <w:t xml:space="preserve">dans la mesure du possible, de </w:t>
      </w:r>
      <w:r w:rsidR="00076850" w:rsidRPr="00CC5C3C">
        <w:rPr>
          <w:rFonts w:ascii="Arial" w:hAnsi="Arial" w:cs="Arial"/>
          <w:sz w:val="20"/>
          <w:szCs w:val="20"/>
          <w:lang w:val="fr-FR"/>
        </w:rPr>
        <w:t>rendre un arrêt ;</w:t>
      </w:r>
    </w:p>
    <w:p w:rsidR="0032391F" w:rsidRPr="00CC5C3C" w:rsidRDefault="00360943" w:rsidP="00CA01B3">
      <w:pPr>
        <w:pStyle w:val="ListParagraph"/>
        <w:numPr>
          <w:ilvl w:val="1"/>
          <w:numId w:val="3"/>
        </w:numPr>
        <w:spacing w:line="240" w:lineRule="auto"/>
        <w:rPr>
          <w:rFonts w:ascii="Arial" w:hAnsi="Arial" w:cs="Arial"/>
          <w:sz w:val="20"/>
          <w:szCs w:val="20"/>
          <w:lang w:val="fr-FR"/>
        </w:rPr>
      </w:pPr>
      <w:r w:rsidRPr="00CC5C3C">
        <w:rPr>
          <w:rFonts w:ascii="Arial" w:hAnsi="Arial" w:cs="Arial"/>
          <w:sz w:val="20"/>
          <w:szCs w:val="20"/>
          <w:lang w:val="fr-FR"/>
        </w:rPr>
        <w:t xml:space="preserve">en </w:t>
      </w:r>
      <w:r w:rsidR="0032391F" w:rsidRPr="00CC5C3C">
        <w:rPr>
          <w:rFonts w:ascii="Arial" w:hAnsi="Arial" w:cs="Arial"/>
          <w:sz w:val="20"/>
          <w:szCs w:val="20"/>
          <w:lang w:val="fr-FR"/>
        </w:rPr>
        <w:t xml:space="preserve">envisageant la création de mécanismes distincts ou d’autres outils pour traiter les affaires </w:t>
      </w:r>
      <w:r w:rsidR="00E120EC" w:rsidRPr="00CC5C3C">
        <w:rPr>
          <w:rFonts w:ascii="Arial" w:hAnsi="Arial" w:cs="Arial"/>
          <w:sz w:val="20"/>
          <w:szCs w:val="20"/>
          <w:lang w:val="fr-FR"/>
        </w:rPr>
        <w:t>inter</w:t>
      </w:r>
      <w:r w:rsidR="0032391F" w:rsidRPr="00CC5C3C">
        <w:rPr>
          <w:rFonts w:ascii="Arial" w:hAnsi="Arial" w:cs="Arial"/>
          <w:sz w:val="20"/>
          <w:szCs w:val="20"/>
          <w:lang w:val="fr-FR"/>
        </w:rPr>
        <w:t xml:space="preserve">étatiques et les communications individuelles qui découlent d’un conflit entre deux </w:t>
      </w:r>
      <w:r w:rsidR="00C75AB4">
        <w:rPr>
          <w:rFonts w:ascii="Arial" w:hAnsi="Arial" w:cs="Arial"/>
          <w:sz w:val="20"/>
          <w:szCs w:val="20"/>
          <w:lang w:val="fr-FR"/>
        </w:rPr>
        <w:t xml:space="preserve">États Parties </w:t>
      </w:r>
      <w:r w:rsidR="0032391F" w:rsidRPr="00CC5C3C">
        <w:rPr>
          <w:rFonts w:ascii="Arial" w:hAnsi="Arial" w:cs="Arial"/>
          <w:sz w:val="20"/>
          <w:szCs w:val="20"/>
          <w:lang w:val="fr-FR"/>
        </w:rPr>
        <w:t>ou plus.</w:t>
      </w:r>
    </w:p>
    <w:p w:rsidR="009B666B" w:rsidRDefault="009B666B">
      <w:pPr>
        <w:rPr>
          <w:rFonts w:ascii="Arial" w:hAnsi="Arial" w:cs="Arial"/>
          <w:b/>
          <w:sz w:val="20"/>
          <w:szCs w:val="20"/>
          <w:lang w:val="fr-FR"/>
        </w:rPr>
      </w:pPr>
      <w:r>
        <w:rPr>
          <w:rFonts w:ascii="Arial" w:hAnsi="Arial" w:cs="Arial"/>
          <w:b/>
          <w:sz w:val="20"/>
          <w:szCs w:val="20"/>
          <w:lang w:val="fr-FR"/>
        </w:rPr>
        <w:br w:type="page"/>
      </w:r>
    </w:p>
    <w:p w:rsidR="008B478F" w:rsidRPr="00CC5C3C" w:rsidRDefault="008434A5" w:rsidP="00CA01B3">
      <w:pPr>
        <w:spacing w:line="240" w:lineRule="auto"/>
        <w:rPr>
          <w:rFonts w:ascii="Arial" w:hAnsi="Arial" w:cs="Arial"/>
          <w:b/>
          <w:sz w:val="20"/>
          <w:szCs w:val="20"/>
          <w:lang w:val="fr-FR"/>
        </w:rPr>
      </w:pPr>
      <w:r w:rsidRPr="00CC5C3C">
        <w:rPr>
          <w:rFonts w:ascii="Arial" w:hAnsi="Arial" w:cs="Arial"/>
          <w:b/>
          <w:sz w:val="20"/>
          <w:szCs w:val="20"/>
          <w:lang w:val="fr-FR"/>
        </w:rPr>
        <w:lastRenderedPageBreak/>
        <w:t xml:space="preserve">Interprétation </w:t>
      </w:r>
      <w:r w:rsidR="009F7FD2" w:rsidRPr="00CC5C3C">
        <w:rPr>
          <w:rFonts w:ascii="Arial" w:hAnsi="Arial" w:cs="Arial"/>
          <w:b/>
          <w:sz w:val="20"/>
          <w:szCs w:val="20"/>
          <w:lang w:val="fr-FR"/>
        </w:rPr>
        <w:t xml:space="preserve">– </w:t>
      </w:r>
      <w:r w:rsidRPr="00CC5C3C">
        <w:rPr>
          <w:rFonts w:ascii="Arial" w:hAnsi="Arial" w:cs="Arial"/>
          <w:b/>
          <w:sz w:val="20"/>
          <w:szCs w:val="20"/>
          <w:lang w:val="fr-FR"/>
        </w:rPr>
        <w:t>l</w:t>
      </w:r>
      <w:r w:rsidR="00510E6B" w:rsidRPr="00CC5C3C">
        <w:rPr>
          <w:rFonts w:ascii="Arial" w:hAnsi="Arial" w:cs="Arial"/>
          <w:b/>
          <w:sz w:val="20"/>
          <w:szCs w:val="20"/>
          <w:lang w:val="fr-FR"/>
        </w:rPr>
        <w:t>e</w:t>
      </w:r>
      <w:r w:rsidRPr="00CC5C3C">
        <w:rPr>
          <w:rFonts w:ascii="Arial" w:hAnsi="Arial" w:cs="Arial"/>
          <w:b/>
          <w:sz w:val="20"/>
          <w:szCs w:val="20"/>
          <w:lang w:val="fr-FR"/>
        </w:rPr>
        <w:t xml:space="preserve"> </w:t>
      </w:r>
      <w:r w:rsidR="00510E6B" w:rsidRPr="00CC5C3C">
        <w:rPr>
          <w:rFonts w:ascii="Arial" w:hAnsi="Arial" w:cs="Arial"/>
          <w:b/>
          <w:sz w:val="20"/>
          <w:szCs w:val="20"/>
          <w:lang w:val="fr-FR"/>
        </w:rPr>
        <w:t xml:space="preserve">besoin </w:t>
      </w:r>
      <w:r w:rsidRPr="00CC5C3C">
        <w:rPr>
          <w:rFonts w:ascii="Arial" w:hAnsi="Arial" w:cs="Arial"/>
          <w:b/>
          <w:sz w:val="20"/>
          <w:szCs w:val="20"/>
          <w:lang w:val="fr-FR"/>
        </w:rPr>
        <w:t>de clarté et de cohérence</w:t>
      </w:r>
    </w:p>
    <w:p w:rsidR="00590A87" w:rsidRPr="00CC5C3C" w:rsidRDefault="00590A87" w:rsidP="00CA01B3">
      <w:pPr>
        <w:pStyle w:val="ListParagraph"/>
        <w:numPr>
          <w:ilvl w:val="0"/>
          <w:numId w:val="2"/>
        </w:numPr>
        <w:autoSpaceDE w:val="0"/>
        <w:autoSpaceDN w:val="0"/>
        <w:spacing w:line="240" w:lineRule="auto"/>
        <w:rPr>
          <w:rFonts w:ascii="Arial" w:hAnsi="Arial" w:cs="Arial"/>
          <w:sz w:val="20"/>
          <w:szCs w:val="20"/>
          <w:lang w:val="fr-FR"/>
        </w:rPr>
      </w:pPr>
      <w:r w:rsidRPr="00CC5C3C">
        <w:rPr>
          <w:rFonts w:ascii="Arial" w:hAnsi="Arial" w:cs="Arial"/>
          <w:sz w:val="20"/>
          <w:szCs w:val="20"/>
          <w:lang w:val="fr-FR"/>
        </w:rPr>
        <w:t xml:space="preserve">La portée des droits et des libertés garantis par la Convention est définie dans le texte des dispositions pertinentes, telles qu’elles sont </w:t>
      </w:r>
      <w:r w:rsidR="003F5826" w:rsidRPr="00CC5C3C">
        <w:rPr>
          <w:rFonts w:ascii="Arial" w:hAnsi="Arial" w:cs="Arial"/>
          <w:sz w:val="20"/>
          <w:szCs w:val="20"/>
          <w:lang w:val="fr-FR"/>
        </w:rPr>
        <w:t xml:space="preserve">raisonnablement </w:t>
      </w:r>
      <w:r w:rsidRPr="00CC5C3C">
        <w:rPr>
          <w:rFonts w:ascii="Arial" w:hAnsi="Arial" w:cs="Arial"/>
          <w:sz w:val="20"/>
          <w:szCs w:val="20"/>
          <w:lang w:val="fr-FR"/>
        </w:rPr>
        <w:t xml:space="preserve">interprétées au </w:t>
      </w:r>
      <w:r w:rsidR="0027101C" w:rsidRPr="00CC5C3C">
        <w:rPr>
          <w:rFonts w:ascii="Arial" w:hAnsi="Arial" w:cs="Arial"/>
          <w:sz w:val="20"/>
          <w:szCs w:val="20"/>
          <w:lang w:val="fr-FR"/>
        </w:rPr>
        <w:t xml:space="preserve">regard </w:t>
      </w:r>
      <w:r w:rsidRPr="00CC5C3C">
        <w:rPr>
          <w:rFonts w:ascii="Arial" w:hAnsi="Arial" w:cs="Arial"/>
          <w:sz w:val="20"/>
          <w:szCs w:val="20"/>
          <w:lang w:val="fr-FR"/>
        </w:rPr>
        <w:t>de leur objet et de leur</w:t>
      </w:r>
      <w:r w:rsidR="003F0BD2" w:rsidRPr="00CC5C3C">
        <w:rPr>
          <w:rFonts w:ascii="Arial" w:hAnsi="Arial" w:cs="Arial"/>
          <w:sz w:val="20"/>
          <w:szCs w:val="20"/>
          <w:lang w:val="fr-FR"/>
        </w:rPr>
        <w:t xml:space="preserve"> but</w:t>
      </w:r>
      <w:r w:rsidRPr="00CC5C3C">
        <w:rPr>
          <w:rFonts w:ascii="Arial" w:hAnsi="Arial" w:cs="Arial"/>
          <w:sz w:val="20"/>
          <w:szCs w:val="20"/>
          <w:lang w:val="fr-FR"/>
        </w:rPr>
        <w:t xml:space="preserve"> conformément aux principes interprétatifs </w:t>
      </w:r>
      <w:r w:rsidR="00AD5581" w:rsidRPr="00CC5C3C">
        <w:rPr>
          <w:rFonts w:ascii="Arial" w:hAnsi="Arial" w:cs="Arial"/>
          <w:sz w:val="20"/>
          <w:szCs w:val="20"/>
          <w:lang w:val="fr-FR"/>
        </w:rPr>
        <w:t xml:space="preserve">énoncés dans </w:t>
      </w:r>
      <w:r w:rsidRPr="00CC5C3C">
        <w:rPr>
          <w:rFonts w:ascii="Arial" w:hAnsi="Arial" w:cs="Arial"/>
          <w:sz w:val="20"/>
          <w:szCs w:val="20"/>
          <w:lang w:val="fr-FR"/>
        </w:rPr>
        <w:t xml:space="preserve">la </w:t>
      </w:r>
      <w:r w:rsidR="00AD5581" w:rsidRPr="00CC5C3C">
        <w:rPr>
          <w:rFonts w:ascii="Arial" w:hAnsi="Arial" w:cs="Arial"/>
          <w:sz w:val="20"/>
          <w:szCs w:val="20"/>
          <w:lang w:val="fr-FR"/>
        </w:rPr>
        <w:t xml:space="preserve">Convention </w:t>
      </w:r>
      <w:r w:rsidRPr="00CC5C3C">
        <w:rPr>
          <w:rFonts w:ascii="Arial" w:hAnsi="Arial" w:cs="Arial"/>
          <w:sz w:val="20"/>
          <w:szCs w:val="20"/>
          <w:lang w:val="fr-FR"/>
        </w:rPr>
        <w:t>de Vienne sur le droit des traités.</w:t>
      </w:r>
    </w:p>
    <w:p w:rsidR="008B478F" w:rsidRPr="00CC5C3C" w:rsidRDefault="008B478F" w:rsidP="00CA01B3">
      <w:pPr>
        <w:pStyle w:val="ListParagraph"/>
        <w:autoSpaceDE w:val="0"/>
        <w:autoSpaceDN w:val="0"/>
        <w:spacing w:line="240" w:lineRule="auto"/>
        <w:rPr>
          <w:rFonts w:ascii="Arial" w:hAnsi="Arial" w:cs="Arial"/>
          <w:sz w:val="20"/>
          <w:szCs w:val="20"/>
          <w:lang w:val="fr-FR"/>
        </w:rPr>
      </w:pPr>
    </w:p>
    <w:p w:rsidR="008B478F" w:rsidRPr="00CC5C3C" w:rsidRDefault="00510E6B" w:rsidP="00CA01B3">
      <w:pPr>
        <w:pStyle w:val="ListParagraph"/>
        <w:numPr>
          <w:ilvl w:val="0"/>
          <w:numId w:val="2"/>
        </w:numPr>
        <w:autoSpaceDE w:val="0"/>
        <w:autoSpaceDN w:val="0"/>
        <w:spacing w:line="240" w:lineRule="auto"/>
        <w:rPr>
          <w:rFonts w:ascii="Arial" w:hAnsi="Arial" w:cs="Arial"/>
          <w:sz w:val="20"/>
          <w:szCs w:val="20"/>
          <w:lang w:val="fr-FR"/>
        </w:rPr>
      </w:pPr>
      <w:r w:rsidRPr="00CC5C3C">
        <w:rPr>
          <w:rFonts w:ascii="Arial" w:hAnsi="Arial" w:cs="Arial"/>
          <w:sz w:val="20"/>
          <w:szCs w:val="20"/>
          <w:lang w:val="fr-FR"/>
        </w:rPr>
        <w:t>La clarté et la cohérence des arrêts de la Cour, et l’acceptation qui s’ensuit par tous les acteurs du système de la Convention, y compris les gouvernements, les parlements, les juridictions nationales, les requérants et le grand public dans son ensemble</w:t>
      </w:r>
      <w:r w:rsidR="006F2F88" w:rsidRPr="00CC5C3C">
        <w:rPr>
          <w:rFonts w:ascii="Arial" w:hAnsi="Arial" w:cs="Arial"/>
          <w:sz w:val="20"/>
          <w:szCs w:val="20"/>
          <w:lang w:val="fr-FR"/>
        </w:rPr>
        <w:t>, sont vitale</w:t>
      </w:r>
      <w:r w:rsidR="002C57E3" w:rsidRPr="00CC5C3C">
        <w:rPr>
          <w:rFonts w:ascii="Arial" w:hAnsi="Arial" w:cs="Arial"/>
          <w:sz w:val="20"/>
          <w:szCs w:val="20"/>
          <w:lang w:val="fr-FR"/>
        </w:rPr>
        <w:t>s</w:t>
      </w:r>
      <w:r w:rsidR="006F2F88" w:rsidRPr="00CC5C3C">
        <w:rPr>
          <w:rFonts w:ascii="Arial" w:hAnsi="Arial" w:cs="Arial"/>
          <w:sz w:val="20"/>
          <w:szCs w:val="20"/>
          <w:lang w:val="fr-FR"/>
        </w:rPr>
        <w:t xml:space="preserve"> pour </w:t>
      </w:r>
      <w:r w:rsidR="000E1360">
        <w:rPr>
          <w:rFonts w:ascii="Arial" w:hAnsi="Arial" w:cs="Arial"/>
          <w:sz w:val="20"/>
          <w:szCs w:val="20"/>
          <w:lang w:val="fr-FR"/>
        </w:rPr>
        <w:t xml:space="preserve">garantir </w:t>
      </w:r>
      <w:r w:rsidR="006F2F88" w:rsidRPr="00CC5C3C">
        <w:rPr>
          <w:rFonts w:ascii="Arial" w:hAnsi="Arial" w:cs="Arial"/>
          <w:sz w:val="20"/>
          <w:szCs w:val="20"/>
          <w:lang w:val="fr-FR"/>
        </w:rPr>
        <w:t>l’autorité et l’eff</w:t>
      </w:r>
      <w:r w:rsidR="00733B0F">
        <w:rPr>
          <w:rFonts w:ascii="Arial" w:hAnsi="Arial" w:cs="Arial"/>
          <w:sz w:val="20"/>
          <w:szCs w:val="20"/>
          <w:lang w:val="fr-FR"/>
        </w:rPr>
        <w:t>ectiv</w:t>
      </w:r>
      <w:r w:rsidR="006F2F88" w:rsidRPr="00CC5C3C">
        <w:rPr>
          <w:rFonts w:ascii="Arial" w:hAnsi="Arial" w:cs="Arial"/>
          <w:sz w:val="20"/>
          <w:szCs w:val="20"/>
          <w:lang w:val="fr-FR"/>
        </w:rPr>
        <w:t xml:space="preserve">ité du système de la </w:t>
      </w:r>
      <w:r w:rsidR="00C45EF1" w:rsidRPr="00CC5C3C">
        <w:rPr>
          <w:rFonts w:ascii="Arial" w:hAnsi="Arial" w:cs="Arial"/>
          <w:sz w:val="20"/>
          <w:szCs w:val="20"/>
          <w:lang w:val="fr-FR"/>
        </w:rPr>
        <w:t>Convention.</w:t>
      </w:r>
    </w:p>
    <w:p w:rsidR="008B478F" w:rsidRPr="00CC5C3C" w:rsidRDefault="008B478F" w:rsidP="00CA01B3">
      <w:pPr>
        <w:pStyle w:val="ListParagraph"/>
        <w:autoSpaceDE w:val="0"/>
        <w:autoSpaceDN w:val="0"/>
        <w:spacing w:line="240" w:lineRule="auto"/>
        <w:rPr>
          <w:rFonts w:ascii="Arial" w:hAnsi="Arial" w:cs="Arial"/>
          <w:sz w:val="20"/>
          <w:szCs w:val="20"/>
          <w:lang w:val="fr-FR"/>
        </w:rPr>
      </w:pPr>
    </w:p>
    <w:p w:rsidR="008B478F" w:rsidRPr="00CC5C3C" w:rsidRDefault="006A00FA"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 xml:space="preserve">La Cour devrait prendre des positions stables et cohérentes, </w:t>
      </w:r>
      <w:r w:rsidR="00733B0F">
        <w:rPr>
          <w:rFonts w:ascii="Arial" w:hAnsi="Arial" w:cs="Arial"/>
          <w:sz w:val="20"/>
          <w:szCs w:val="20"/>
          <w:lang w:val="fr-FR"/>
        </w:rPr>
        <w:t xml:space="preserve">et étayer sa </w:t>
      </w:r>
      <w:r w:rsidRPr="00CC5C3C">
        <w:rPr>
          <w:rFonts w:ascii="Arial" w:hAnsi="Arial" w:cs="Arial"/>
          <w:sz w:val="20"/>
          <w:szCs w:val="20"/>
          <w:lang w:val="fr-FR"/>
        </w:rPr>
        <w:t>jurisprudence</w:t>
      </w:r>
      <w:r w:rsidR="00733B0F">
        <w:rPr>
          <w:rFonts w:ascii="Arial" w:hAnsi="Arial" w:cs="Arial"/>
          <w:sz w:val="20"/>
          <w:szCs w:val="20"/>
          <w:lang w:val="fr-FR"/>
        </w:rPr>
        <w:t xml:space="preserve"> par le biais de motivations solides</w:t>
      </w:r>
      <w:r w:rsidRPr="00CC5C3C">
        <w:rPr>
          <w:rFonts w:ascii="Arial" w:hAnsi="Arial" w:cs="Arial"/>
          <w:sz w:val="20"/>
          <w:szCs w:val="20"/>
          <w:lang w:val="fr-FR"/>
        </w:rPr>
        <w:t xml:space="preserve">, </w:t>
      </w:r>
      <w:r w:rsidR="00DD25CC" w:rsidRPr="00CC5C3C">
        <w:rPr>
          <w:rFonts w:ascii="Arial" w:hAnsi="Arial" w:cs="Arial"/>
          <w:sz w:val="20"/>
          <w:szCs w:val="20"/>
          <w:lang w:val="fr-FR"/>
        </w:rPr>
        <w:t xml:space="preserve">pour que les autorités nationales puissent mettre en œuvre et faire appliquer les principes de la Convention au niveau interne et </w:t>
      </w:r>
      <w:r w:rsidR="00733B0F">
        <w:rPr>
          <w:rFonts w:ascii="Arial" w:hAnsi="Arial" w:cs="Arial"/>
          <w:sz w:val="20"/>
          <w:szCs w:val="20"/>
          <w:lang w:val="fr-FR"/>
        </w:rPr>
        <w:t>se prononcer avec certitude sur</w:t>
      </w:r>
      <w:r w:rsidR="00DD25CC" w:rsidRPr="00CC5C3C">
        <w:rPr>
          <w:rFonts w:ascii="Arial" w:hAnsi="Arial" w:cs="Arial"/>
          <w:sz w:val="20"/>
          <w:szCs w:val="20"/>
          <w:lang w:val="fr-FR"/>
        </w:rPr>
        <w:t xml:space="preserve"> les situations qui leur sont soumises, sans s’exposer à un risque de désaveu</w:t>
      </w:r>
      <w:r w:rsidR="000E1360">
        <w:rPr>
          <w:rFonts w:ascii="Arial" w:hAnsi="Arial" w:cs="Arial"/>
          <w:sz w:val="20"/>
          <w:szCs w:val="20"/>
          <w:lang w:val="fr-FR"/>
        </w:rPr>
        <w:t xml:space="preserve"> par la suite</w:t>
      </w:r>
      <w:r w:rsidR="00F55C2B" w:rsidRPr="00CC5C3C">
        <w:rPr>
          <w:rFonts w:ascii="Arial" w:hAnsi="Arial" w:cs="Arial"/>
          <w:sz w:val="20"/>
          <w:szCs w:val="20"/>
          <w:lang w:val="fr-FR"/>
        </w:rPr>
        <w:t>.</w:t>
      </w:r>
      <w:r w:rsidR="00241386" w:rsidRPr="00CC5C3C">
        <w:rPr>
          <w:rFonts w:ascii="Arial" w:hAnsi="Arial" w:cs="Arial"/>
          <w:sz w:val="20"/>
          <w:szCs w:val="20"/>
          <w:lang w:val="fr-FR"/>
        </w:rPr>
        <w:t xml:space="preserve"> La Cour, comme elle l’a elle-même reconnu, ne devrait pas s’écarter sans raison valable de ses propres précédents, par souci de sécurité juridique, de prévisibilité et d’égalité devant la loi.</w:t>
      </w:r>
      <w:r w:rsidR="00AE6AF2" w:rsidRPr="00CC5C3C">
        <w:rPr>
          <w:rFonts w:ascii="Arial" w:hAnsi="Arial" w:cs="Arial"/>
          <w:sz w:val="20"/>
          <w:szCs w:val="20"/>
          <w:lang w:val="fr-FR"/>
        </w:rPr>
        <w:t xml:space="preserve"> La cohérence dans l’application de la Convention ne requiert pas que les </w:t>
      </w:r>
      <w:r w:rsidR="00C75AB4">
        <w:rPr>
          <w:rFonts w:ascii="Arial" w:hAnsi="Arial" w:cs="Arial"/>
          <w:sz w:val="20"/>
          <w:szCs w:val="20"/>
          <w:lang w:val="fr-FR"/>
        </w:rPr>
        <w:t xml:space="preserve">États Parties </w:t>
      </w:r>
      <w:r w:rsidR="00AE6AF2" w:rsidRPr="00CC5C3C">
        <w:rPr>
          <w:rFonts w:ascii="Arial" w:hAnsi="Arial" w:cs="Arial"/>
          <w:sz w:val="20"/>
          <w:szCs w:val="20"/>
          <w:lang w:val="fr-FR"/>
        </w:rPr>
        <w:t>mettent en œuvre celle-ci de manière uniforme.</w:t>
      </w:r>
    </w:p>
    <w:p w:rsidR="00041767" w:rsidRPr="00CC5C3C" w:rsidRDefault="00041767" w:rsidP="00CA01B3">
      <w:pPr>
        <w:pStyle w:val="Default"/>
        <w:rPr>
          <w:sz w:val="20"/>
          <w:szCs w:val="20"/>
          <w:lang w:val="fr-FR"/>
        </w:rPr>
      </w:pPr>
      <w:r w:rsidRPr="00CC5C3C">
        <w:rPr>
          <w:sz w:val="20"/>
          <w:szCs w:val="20"/>
          <w:lang w:val="fr-FR"/>
        </w:rPr>
        <w:t>En conséquence, la Conférence :</w:t>
      </w:r>
    </w:p>
    <w:p w:rsidR="008B478F" w:rsidRPr="00CC5C3C" w:rsidRDefault="008B478F" w:rsidP="00CA01B3">
      <w:pPr>
        <w:pStyle w:val="Default"/>
        <w:rPr>
          <w:sz w:val="20"/>
          <w:szCs w:val="20"/>
          <w:lang w:val="fr-FR"/>
        </w:rPr>
      </w:pPr>
    </w:p>
    <w:p w:rsidR="008B478F"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S</w:t>
      </w:r>
      <w:r w:rsidR="00DA3D08" w:rsidRPr="00CC5C3C">
        <w:rPr>
          <w:rFonts w:ascii="Arial" w:hAnsi="Arial" w:cs="Arial"/>
          <w:sz w:val="20"/>
          <w:szCs w:val="20"/>
          <w:lang w:val="fr-FR"/>
        </w:rPr>
        <w:t>alue les efforts faits par la Cour pour améliorer la clarté</w:t>
      </w:r>
      <w:r>
        <w:rPr>
          <w:rFonts w:ascii="Arial" w:hAnsi="Arial" w:cs="Arial"/>
          <w:sz w:val="20"/>
          <w:szCs w:val="20"/>
          <w:lang w:val="fr-FR"/>
        </w:rPr>
        <w:t xml:space="preserve"> et la cohérence de ses arrêts</w:t>
      </w:r>
      <w:r w:rsidR="00D77D61">
        <w:rPr>
          <w:rFonts w:ascii="Arial" w:hAnsi="Arial" w:cs="Arial"/>
          <w:sz w:val="20"/>
          <w:szCs w:val="20"/>
          <w:lang w:val="fr-FR"/>
        </w:rPr>
        <w:t> ;</w:t>
      </w:r>
    </w:p>
    <w:p w:rsidR="008B478F" w:rsidRPr="00CC5C3C" w:rsidRDefault="000E1360" w:rsidP="00CA01B3">
      <w:pPr>
        <w:pStyle w:val="Default"/>
        <w:numPr>
          <w:ilvl w:val="0"/>
          <w:numId w:val="2"/>
        </w:numPr>
        <w:adjustRightInd w:val="0"/>
        <w:rPr>
          <w:sz w:val="20"/>
          <w:szCs w:val="20"/>
          <w:lang w:val="fr-FR"/>
        </w:rPr>
      </w:pPr>
      <w:r>
        <w:rPr>
          <w:sz w:val="20"/>
          <w:szCs w:val="20"/>
          <w:lang w:val="fr-FR"/>
        </w:rPr>
        <w:t>S</w:t>
      </w:r>
      <w:r w:rsidR="00757B97" w:rsidRPr="00CC5C3C">
        <w:rPr>
          <w:sz w:val="20"/>
          <w:szCs w:val="20"/>
          <w:lang w:val="fr-FR"/>
        </w:rPr>
        <w:t>e félicite des travaux entrepris par le Comité directeur pour les droits de l’homme</w:t>
      </w:r>
      <w:r w:rsidR="0051270A">
        <w:rPr>
          <w:sz w:val="20"/>
          <w:szCs w:val="20"/>
          <w:lang w:val="fr-FR"/>
        </w:rPr>
        <w:t>,</w:t>
      </w:r>
      <w:r w:rsidR="00757B97" w:rsidRPr="00CC5C3C">
        <w:rPr>
          <w:sz w:val="20"/>
          <w:szCs w:val="20"/>
          <w:lang w:val="fr-FR"/>
        </w:rPr>
        <w:t xml:space="preserve"> du Comité des Ministres</w:t>
      </w:r>
      <w:r w:rsidR="0051270A">
        <w:rPr>
          <w:sz w:val="20"/>
          <w:szCs w:val="20"/>
          <w:lang w:val="fr-FR"/>
        </w:rPr>
        <w:t>,</w:t>
      </w:r>
      <w:r w:rsidR="00757B97" w:rsidRPr="00CC5C3C">
        <w:rPr>
          <w:sz w:val="20"/>
          <w:szCs w:val="20"/>
          <w:lang w:val="fr-FR"/>
        </w:rPr>
        <w:t xml:space="preserve"> sur la place de la Convention dans l’ordre jurid</w:t>
      </w:r>
      <w:r>
        <w:rPr>
          <w:sz w:val="20"/>
          <w:szCs w:val="20"/>
          <w:lang w:val="fr-FR"/>
        </w:rPr>
        <w:t>ique européen et international</w:t>
      </w:r>
      <w:r w:rsidR="00D77D61">
        <w:rPr>
          <w:sz w:val="20"/>
          <w:szCs w:val="20"/>
          <w:lang w:val="fr-FR"/>
        </w:rPr>
        <w:t> ;</w:t>
      </w:r>
    </w:p>
    <w:p w:rsidR="008B478F" w:rsidRPr="00CC5C3C" w:rsidRDefault="008B478F" w:rsidP="00CA01B3">
      <w:pPr>
        <w:pStyle w:val="Default"/>
        <w:adjustRightInd w:val="0"/>
        <w:ind w:left="720"/>
        <w:rPr>
          <w:sz w:val="20"/>
          <w:szCs w:val="20"/>
          <w:lang w:val="fr-FR"/>
        </w:rPr>
      </w:pPr>
    </w:p>
    <w:p w:rsidR="00FF19A2" w:rsidRPr="00CC5C3C" w:rsidRDefault="000E1360" w:rsidP="00CA01B3">
      <w:pPr>
        <w:pStyle w:val="Default"/>
        <w:numPr>
          <w:ilvl w:val="0"/>
          <w:numId w:val="2"/>
        </w:numPr>
        <w:adjustRightInd w:val="0"/>
        <w:rPr>
          <w:sz w:val="20"/>
          <w:szCs w:val="20"/>
          <w:lang w:val="fr-FR"/>
        </w:rPr>
      </w:pPr>
      <w:r>
        <w:rPr>
          <w:sz w:val="20"/>
          <w:szCs w:val="20"/>
          <w:lang w:val="fr-FR"/>
        </w:rPr>
        <w:t>E</w:t>
      </w:r>
      <w:r w:rsidR="009F7FD2" w:rsidRPr="00CC5C3C">
        <w:rPr>
          <w:sz w:val="20"/>
          <w:szCs w:val="20"/>
          <w:lang w:val="fr-FR"/>
        </w:rPr>
        <w:t>ncourage</w:t>
      </w:r>
      <w:r w:rsidR="00FF19A2" w:rsidRPr="00CC5C3C">
        <w:rPr>
          <w:sz w:val="20"/>
          <w:szCs w:val="20"/>
          <w:lang w:val="fr-FR"/>
        </w:rPr>
        <w:t xml:space="preserve"> la</w:t>
      </w:r>
      <w:r w:rsidR="009F7FD2" w:rsidRPr="00CC5C3C">
        <w:rPr>
          <w:sz w:val="20"/>
          <w:szCs w:val="20"/>
          <w:lang w:val="fr-FR"/>
        </w:rPr>
        <w:t xml:space="preserve"> </w:t>
      </w:r>
      <w:r w:rsidR="00FF19A2" w:rsidRPr="00CC5C3C">
        <w:rPr>
          <w:sz w:val="20"/>
          <w:szCs w:val="20"/>
          <w:lang w:val="fr-FR"/>
        </w:rPr>
        <w:t xml:space="preserve">Cour à veiller à </w:t>
      </w:r>
      <w:r w:rsidR="00634DC4" w:rsidRPr="00CC5C3C">
        <w:rPr>
          <w:sz w:val="20"/>
          <w:szCs w:val="20"/>
          <w:lang w:val="fr-FR"/>
        </w:rPr>
        <w:t xml:space="preserve">une </w:t>
      </w:r>
      <w:r w:rsidR="00FF19A2" w:rsidRPr="00CC5C3C">
        <w:rPr>
          <w:sz w:val="20"/>
          <w:szCs w:val="20"/>
          <w:lang w:val="fr-FR"/>
        </w:rPr>
        <w:t xml:space="preserve">interprétation </w:t>
      </w:r>
      <w:r w:rsidR="00634DC4" w:rsidRPr="00CC5C3C">
        <w:rPr>
          <w:sz w:val="20"/>
          <w:szCs w:val="20"/>
          <w:lang w:val="fr-FR"/>
        </w:rPr>
        <w:t xml:space="preserve">prudente et équilibrée </w:t>
      </w:r>
      <w:r w:rsidR="00FF19A2" w:rsidRPr="00CC5C3C">
        <w:rPr>
          <w:sz w:val="20"/>
          <w:szCs w:val="20"/>
          <w:lang w:val="fr-FR"/>
        </w:rPr>
        <w:t>de la Convention</w:t>
      </w:r>
      <w:r w:rsidR="00634DC4" w:rsidRPr="00CC5C3C">
        <w:rPr>
          <w:sz w:val="20"/>
          <w:szCs w:val="20"/>
          <w:lang w:val="fr-FR"/>
        </w:rPr>
        <w:t>, qui garantisse</w:t>
      </w:r>
      <w:r w:rsidR="00FF19A2" w:rsidRPr="00CC5C3C">
        <w:rPr>
          <w:sz w:val="20"/>
          <w:szCs w:val="20"/>
          <w:lang w:val="fr-FR"/>
        </w:rPr>
        <w:t xml:space="preserve"> un développement approprié et mesuré des normes de la Convention, </w:t>
      </w:r>
      <w:r w:rsidR="00B43F8A" w:rsidRPr="00CC5C3C">
        <w:rPr>
          <w:sz w:val="20"/>
          <w:szCs w:val="20"/>
          <w:lang w:val="fr-FR"/>
        </w:rPr>
        <w:t xml:space="preserve">notamment en indiquant </w:t>
      </w:r>
      <w:r w:rsidR="000F3E67" w:rsidRPr="00CC5C3C">
        <w:rPr>
          <w:sz w:val="20"/>
          <w:szCs w:val="20"/>
          <w:lang w:val="fr-FR"/>
        </w:rPr>
        <w:t xml:space="preserve">le cas échéant </w:t>
      </w:r>
      <w:r w:rsidR="00B43F8A" w:rsidRPr="00CC5C3C">
        <w:rPr>
          <w:sz w:val="20"/>
          <w:szCs w:val="20"/>
          <w:lang w:val="fr-FR"/>
        </w:rPr>
        <w:t xml:space="preserve">qu’un domaine </w:t>
      </w:r>
      <w:r w:rsidR="00B22165" w:rsidRPr="00CC5C3C">
        <w:rPr>
          <w:sz w:val="20"/>
          <w:szCs w:val="20"/>
          <w:lang w:val="fr-FR"/>
        </w:rPr>
        <w:t xml:space="preserve">appelle </w:t>
      </w:r>
      <w:r w:rsidR="000F3E67" w:rsidRPr="00CC5C3C">
        <w:rPr>
          <w:sz w:val="20"/>
          <w:szCs w:val="20"/>
          <w:lang w:val="fr-FR"/>
        </w:rPr>
        <w:t>un examen permanent</w:t>
      </w:r>
      <w:r w:rsidR="00D77D61">
        <w:rPr>
          <w:sz w:val="20"/>
          <w:szCs w:val="20"/>
          <w:lang w:val="fr-FR"/>
        </w:rPr>
        <w:t> ;</w:t>
      </w:r>
    </w:p>
    <w:p w:rsidR="008B478F" w:rsidRPr="00CC5C3C" w:rsidRDefault="008B478F" w:rsidP="00CA01B3">
      <w:pPr>
        <w:pStyle w:val="Default"/>
        <w:adjustRightInd w:val="0"/>
        <w:ind w:left="720"/>
        <w:rPr>
          <w:sz w:val="20"/>
          <w:szCs w:val="20"/>
          <w:lang w:val="fr-FR"/>
        </w:rPr>
      </w:pPr>
    </w:p>
    <w:p w:rsidR="008B478F" w:rsidRPr="00CC5C3C" w:rsidRDefault="000E1360" w:rsidP="00CA01B3">
      <w:pPr>
        <w:pStyle w:val="Default"/>
        <w:numPr>
          <w:ilvl w:val="0"/>
          <w:numId w:val="2"/>
        </w:numPr>
        <w:adjustRightInd w:val="0"/>
        <w:rPr>
          <w:sz w:val="20"/>
          <w:szCs w:val="20"/>
          <w:lang w:val="fr-FR"/>
        </w:rPr>
      </w:pPr>
      <w:r>
        <w:rPr>
          <w:sz w:val="20"/>
          <w:szCs w:val="20"/>
          <w:lang w:val="fr-FR"/>
        </w:rPr>
        <w:t>E</w:t>
      </w:r>
      <w:r w:rsidR="00676345" w:rsidRPr="00CC5C3C">
        <w:rPr>
          <w:sz w:val="20"/>
          <w:szCs w:val="20"/>
          <w:lang w:val="fr-FR"/>
        </w:rPr>
        <w:t>ncourage la Cour à être transparente lorsqu’elle révise sa jurisprudence en le reconnaissant et en en donnant des raisons claires.</w:t>
      </w:r>
    </w:p>
    <w:p w:rsidR="008B478F" w:rsidRPr="00CC5C3C" w:rsidRDefault="008B478F" w:rsidP="00CA01B3">
      <w:pPr>
        <w:pStyle w:val="Default"/>
        <w:adjustRightInd w:val="0"/>
        <w:ind w:left="720"/>
        <w:rPr>
          <w:sz w:val="20"/>
          <w:szCs w:val="20"/>
          <w:lang w:val="fr-FR"/>
        </w:rPr>
      </w:pPr>
    </w:p>
    <w:p w:rsidR="008B478F" w:rsidRPr="00CC5C3C" w:rsidRDefault="00990F87" w:rsidP="00CA01B3">
      <w:pPr>
        <w:autoSpaceDE w:val="0"/>
        <w:autoSpaceDN w:val="0"/>
        <w:spacing w:line="240" w:lineRule="auto"/>
        <w:rPr>
          <w:rFonts w:ascii="Arial" w:hAnsi="Arial" w:cs="Arial"/>
          <w:b/>
          <w:sz w:val="20"/>
          <w:szCs w:val="20"/>
          <w:lang w:val="fr-FR"/>
        </w:rPr>
      </w:pPr>
      <w:r w:rsidRPr="00CC5C3C">
        <w:rPr>
          <w:rFonts w:ascii="Arial" w:hAnsi="Arial" w:cs="Arial"/>
          <w:b/>
          <w:sz w:val="20"/>
          <w:szCs w:val="20"/>
          <w:lang w:val="fr-FR"/>
        </w:rPr>
        <w:t xml:space="preserve">La sélection et l’élection des juges </w:t>
      </w:r>
      <w:r w:rsidR="009F7FD2" w:rsidRPr="00CC5C3C">
        <w:rPr>
          <w:rFonts w:ascii="Arial" w:hAnsi="Arial" w:cs="Arial"/>
          <w:b/>
          <w:sz w:val="20"/>
          <w:szCs w:val="20"/>
          <w:lang w:val="fr-FR"/>
        </w:rPr>
        <w:t xml:space="preserve">– </w:t>
      </w:r>
      <w:r w:rsidRPr="00CC5C3C">
        <w:rPr>
          <w:rFonts w:ascii="Arial" w:hAnsi="Arial" w:cs="Arial"/>
          <w:b/>
          <w:sz w:val="20"/>
          <w:szCs w:val="20"/>
          <w:lang w:val="fr-FR"/>
        </w:rPr>
        <w:t>l’</w:t>
      </w:r>
      <w:r w:rsidR="009F7FD2" w:rsidRPr="00CC5C3C">
        <w:rPr>
          <w:rFonts w:ascii="Arial" w:hAnsi="Arial" w:cs="Arial"/>
          <w:b/>
          <w:sz w:val="20"/>
          <w:szCs w:val="20"/>
          <w:lang w:val="fr-FR"/>
        </w:rPr>
        <w:t xml:space="preserve">importance </w:t>
      </w:r>
      <w:r w:rsidRPr="00CC5C3C">
        <w:rPr>
          <w:rFonts w:ascii="Arial" w:hAnsi="Arial" w:cs="Arial"/>
          <w:b/>
          <w:sz w:val="20"/>
          <w:szCs w:val="20"/>
          <w:lang w:val="fr-FR"/>
        </w:rPr>
        <w:t>de la</w:t>
      </w:r>
      <w:r w:rsidR="009F7FD2" w:rsidRPr="00CC5C3C">
        <w:rPr>
          <w:rFonts w:ascii="Arial" w:hAnsi="Arial" w:cs="Arial"/>
          <w:b/>
          <w:sz w:val="20"/>
          <w:szCs w:val="20"/>
          <w:lang w:val="fr-FR"/>
        </w:rPr>
        <w:t xml:space="preserve"> </w:t>
      </w:r>
      <w:r w:rsidRPr="00CC5C3C">
        <w:rPr>
          <w:rFonts w:ascii="Arial" w:hAnsi="Arial" w:cs="Arial"/>
          <w:b/>
          <w:sz w:val="20"/>
          <w:szCs w:val="20"/>
          <w:lang w:val="fr-FR"/>
        </w:rPr>
        <w:t>coopération</w:t>
      </w:r>
    </w:p>
    <w:p w:rsidR="008B478F" w:rsidRPr="00CC5C3C" w:rsidRDefault="005808B1"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Un</w:t>
      </w:r>
      <w:r w:rsidR="009847EB" w:rsidRPr="00CC5C3C">
        <w:rPr>
          <w:rFonts w:ascii="Arial" w:hAnsi="Arial" w:cs="Arial"/>
          <w:sz w:val="20"/>
          <w:szCs w:val="20"/>
          <w:lang w:val="fr-FR"/>
        </w:rPr>
        <w:t xml:space="preserve"> défi </w:t>
      </w:r>
      <w:r w:rsidR="00231E30" w:rsidRPr="00CC5C3C">
        <w:rPr>
          <w:rFonts w:ascii="Arial" w:hAnsi="Arial" w:cs="Arial"/>
          <w:sz w:val="20"/>
          <w:szCs w:val="20"/>
          <w:lang w:val="fr-FR"/>
        </w:rPr>
        <w:t>central</w:t>
      </w:r>
      <w:r w:rsidR="00067E25" w:rsidRPr="00CC5C3C">
        <w:rPr>
          <w:rFonts w:ascii="Arial" w:hAnsi="Arial" w:cs="Arial"/>
          <w:sz w:val="20"/>
          <w:szCs w:val="20"/>
          <w:lang w:val="fr-FR"/>
        </w:rPr>
        <w:t xml:space="preserve">, qui a été clairement décrit, </w:t>
      </w:r>
      <w:r w:rsidR="009847EB" w:rsidRPr="00CC5C3C">
        <w:rPr>
          <w:rFonts w:ascii="Arial" w:hAnsi="Arial" w:cs="Arial"/>
          <w:sz w:val="20"/>
          <w:szCs w:val="20"/>
          <w:lang w:val="fr-FR"/>
        </w:rPr>
        <w:t xml:space="preserve">pour </w:t>
      </w:r>
      <w:r w:rsidR="00067E25" w:rsidRPr="00CC5C3C">
        <w:rPr>
          <w:rFonts w:ascii="Arial" w:hAnsi="Arial" w:cs="Arial"/>
          <w:sz w:val="20"/>
          <w:szCs w:val="20"/>
          <w:lang w:val="fr-FR"/>
        </w:rPr>
        <w:t xml:space="preserve">garantir </w:t>
      </w:r>
      <w:r w:rsidR="009847EB" w:rsidRPr="00CC5C3C">
        <w:rPr>
          <w:rFonts w:ascii="Arial" w:hAnsi="Arial" w:cs="Arial"/>
          <w:sz w:val="20"/>
          <w:szCs w:val="20"/>
          <w:lang w:val="fr-FR"/>
        </w:rPr>
        <w:t>l’eff</w:t>
      </w:r>
      <w:r w:rsidR="0051270A">
        <w:rPr>
          <w:rFonts w:ascii="Arial" w:hAnsi="Arial" w:cs="Arial"/>
          <w:sz w:val="20"/>
          <w:szCs w:val="20"/>
          <w:lang w:val="fr-FR"/>
        </w:rPr>
        <w:t>ectiv</w:t>
      </w:r>
      <w:r w:rsidR="009847EB" w:rsidRPr="00CC5C3C">
        <w:rPr>
          <w:rFonts w:ascii="Arial" w:hAnsi="Arial" w:cs="Arial"/>
          <w:sz w:val="20"/>
          <w:szCs w:val="20"/>
          <w:lang w:val="fr-FR"/>
        </w:rPr>
        <w:t xml:space="preserve">ité à long terme </w:t>
      </w:r>
      <w:r w:rsidR="00067E25" w:rsidRPr="00CC5C3C">
        <w:rPr>
          <w:rFonts w:ascii="Arial" w:hAnsi="Arial" w:cs="Arial"/>
          <w:sz w:val="20"/>
          <w:szCs w:val="20"/>
          <w:lang w:val="fr-FR"/>
        </w:rPr>
        <w:t xml:space="preserve">du système de la Convention </w:t>
      </w:r>
      <w:r w:rsidR="00C8675B" w:rsidRPr="00CC5C3C">
        <w:rPr>
          <w:rFonts w:ascii="Arial" w:hAnsi="Arial" w:cs="Arial"/>
          <w:sz w:val="20"/>
          <w:szCs w:val="20"/>
          <w:lang w:val="fr-FR"/>
        </w:rPr>
        <w:t>est de</w:t>
      </w:r>
      <w:r w:rsidR="009847EB" w:rsidRPr="00CC5C3C">
        <w:rPr>
          <w:rFonts w:ascii="Arial" w:hAnsi="Arial" w:cs="Arial"/>
          <w:sz w:val="20"/>
          <w:szCs w:val="20"/>
          <w:lang w:val="fr-FR"/>
        </w:rPr>
        <w:t xml:space="preserve"> veiller à ce que les juges de la Cour jouissent de la plus haute autorité en droit national et international.</w:t>
      </w:r>
    </w:p>
    <w:p w:rsidR="008B478F" w:rsidRPr="00CC5C3C" w:rsidRDefault="008B478F" w:rsidP="00CA01B3">
      <w:pPr>
        <w:pStyle w:val="ListParagraph"/>
        <w:spacing w:line="240" w:lineRule="auto"/>
        <w:rPr>
          <w:rFonts w:ascii="Arial" w:hAnsi="Arial" w:cs="Arial"/>
          <w:sz w:val="20"/>
          <w:szCs w:val="20"/>
          <w:lang w:val="fr-FR"/>
        </w:rPr>
      </w:pPr>
    </w:p>
    <w:p w:rsidR="006626DE" w:rsidRPr="00CC5C3C" w:rsidRDefault="006626DE"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 xml:space="preserve">Dans le cadre du processus de réforme en cours, le Comité des Ministres a </w:t>
      </w:r>
      <w:r w:rsidR="00AD1EBB" w:rsidRPr="00CC5C3C">
        <w:rPr>
          <w:rFonts w:ascii="Arial" w:hAnsi="Arial" w:cs="Arial"/>
          <w:sz w:val="20"/>
          <w:szCs w:val="20"/>
          <w:lang w:val="fr-FR"/>
        </w:rPr>
        <w:t>traité</w:t>
      </w:r>
      <w:r w:rsidR="00BA50F1" w:rsidRPr="00CC5C3C">
        <w:rPr>
          <w:rFonts w:ascii="Arial" w:hAnsi="Arial" w:cs="Arial"/>
          <w:sz w:val="20"/>
          <w:szCs w:val="20"/>
          <w:lang w:val="fr-FR"/>
        </w:rPr>
        <w:t xml:space="preserve"> ce problème</w:t>
      </w:r>
      <w:r w:rsidRPr="00CC5C3C">
        <w:rPr>
          <w:rFonts w:ascii="Arial" w:hAnsi="Arial" w:cs="Arial"/>
          <w:sz w:val="20"/>
          <w:szCs w:val="20"/>
          <w:lang w:val="fr-FR"/>
        </w:rPr>
        <w:t xml:space="preserve"> notamment en créant le Panel consultatif d’experts sur les candidats à l’élection de juges à la Cour (« le Panel ») et </w:t>
      </w:r>
      <w:r w:rsidR="00C45E6D" w:rsidRPr="00CC5C3C">
        <w:rPr>
          <w:rFonts w:ascii="Arial" w:hAnsi="Arial" w:cs="Arial"/>
          <w:sz w:val="20"/>
          <w:szCs w:val="20"/>
          <w:lang w:val="fr-FR"/>
        </w:rPr>
        <w:t xml:space="preserve">en adoptant des </w:t>
      </w:r>
      <w:r w:rsidR="007D409C" w:rsidRPr="00CC5C3C">
        <w:rPr>
          <w:rFonts w:ascii="Arial" w:hAnsi="Arial" w:cs="Arial"/>
          <w:sz w:val="20"/>
          <w:szCs w:val="20"/>
          <w:lang w:val="fr-FR"/>
        </w:rPr>
        <w:t>l</w:t>
      </w:r>
      <w:r w:rsidR="00C45E6D" w:rsidRPr="00CC5C3C">
        <w:rPr>
          <w:rFonts w:ascii="Arial" w:hAnsi="Arial" w:cs="Arial"/>
          <w:sz w:val="20"/>
          <w:szCs w:val="20"/>
          <w:lang w:val="fr-FR"/>
        </w:rPr>
        <w:t>ignes directrices concernant la sélection des candidats.</w:t>
      </w:r>
      <w:r w:rsidR="003E30FC" w:rsidRPr="00CC5C3C">
        <w:rPr>
          <w:rFonts w:ascii="Arial" w:hAnsi="Arial" w:cs="Arial"/>
          <w:sz w:val="20"/>
          <w:szCs w:val="20"/>
          <w:lang w:val="fr-FR"/>
        </w:rPr>
        <w:t xml:space="preserve"> L’Assemblée parlementaire a elle aussi </w:t>
      </w:r>
      <w:proofErr w:type="gramStart"/>
      <w:r w:rsidR="003E30FC" w:rsidRPr="00CC5C3C">
        <w:rPr>
          <w:rFonts w:ascii="Arial" w:hAnsi="Arial" w:cs="Arial"/>
          <w:sz w:val="20"/>
          <w:szCs w:val="20"/>
          <w:lang w:val="fr-FR"/>
        </w:rPr>
        <w:t>pris</w:t>
      </w:r>
      <w:proofErr w:type="gramEnd"/>
      <w:r w:rsidR="003E30FC" w:rsidRPr="00CC5C3C">
        <w:rPr>
          <w:rFonts w:ascii="Arial" w:hAnsi="Arial" w:cs="Arial"/>
          <w:sz w:val="20"/>
          <w:szCs w:val="20"/>
          <w:lang w:val="fr-FR"/>
        </w:rPr>
        <w:t xml:space="preserve"> des mesures importantes dans ce domaine, </w:t>
      </w:r>
      <w:r w:rsidR="000C788F" w:rsidRPr="00CC5C3C">
        <w:rPr>
          <w:rFonts w:ascii="Arial" w:hAnsi="Arial" w:cs="Arial"/>
          <w:sz w:val="20"/>
          <w:szCs w:val="20"/>
          <w:lang w:val="fr-FR"/>
        </w:rPr>
        <w:t>tout particulièrement</w:t>
      </w:r>
      <w:r w:rsidR="003E30FC" w:rsidRPr="00CC5C3C">
        <w:rPr>
          <w:rFonts w:ascii="Arial" w:hAnsi="Arial" w:cs="Arial"/>
          <w:sz w:val="20"/>
          <w:szCs w:val="20"/>
          <w:lang w:val="fr-FR"/>
        </w:rPr>
        <w:t xml:space="preserve"> en instaurant la Commission sur l’élection des juges à la Cour européenne des droits de l’homme (« la Commission »). </w:t>
      </w:r>
    </w:p>
    <w:p w:rsidR="006626DE" w:rsidRPr="00CC5C3C" w:rsidRDefault="006626DE" w:rsidP="00CA01B3">
      <w:pPr>
        <w:pStyle w:val="ListParagraph"/>
        <w:rPr>
          <w:rFonts w:ascii="Arial" w:hAnsi="Arial" w:cs="Arial"/>
          <w:sz w:val="20"/>
          <w:szCs w:val="20"/>
          <w:lang w:val="fr-FR"/>
        </w:rPr>
      </w:pPr>
    </w:p>
    <w:p w:rsidR="00474757" w:rsidRPr="00CC5C3C" w:rsidRDefault="00474757"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 xml:space="preserve">Comme l’a conclu le </w:t>
      </w:r>
      <w:r w:rsidR="007C787F" w:rsidRPr="00CC5C3C">
        <w:rPr>
          <w:rFonts w:ascii="Arial" w:hAnsi="Arial" w:cs="Arial"/>
          <w:sz w:val="20"/>
          <w:szCs w:val="20"/>
          <w:lang w:val="fr-FR"/>
        </w:rPr>
        <w:t xml:space="preserve">Comité </w:t>
      </w:r>
      <w:r w:rsidRPr="00CC5C3C">
        <w:rPr>
          <w:rFonts w:ascii="Arial" w:hAnsi="Arial" w:cs="Arial"/>
          <w:sz w:val="20"/>
          <w:szCs w:val="20"/>
          <w:lang w:val="fr-FR"/>
        </w:rPr>
        <w:t xml:space="preserve">directeur pour les droits de l’homme dans son rapport de 2017, </w:t>
      </w:r>
      <w:r w:rsidR="00D15221" w:rsidRPr="00CC5C3C">
        <w:rPr>
          <w:rFonts w:ascii="Arial" w:hAnsi="Arial" w:cs="Arial"/>
          <w:sz w:val="20"/>
          <w:szCs w:val="20"/>
          <w:lang w:val="fr-FR"/>
        </w:rPr>
        <w:t>des progrès ont certes été réalisés, mais des améliorations sont encore possibles</w:t>
      </w:r>
      <w:r w:rsidR="00316289" w:rsidRPr="00CC5C3C">
        <w:rPr>
          <w:rFonts w:ascii="Arial" w:hAnsi="Arial" w:cs="Arial"/>
          <w:sz w:val="20"/>
          <w:szCs w:val="20"/>
          <w:lang w:val="fr-FR"/>
        </w:rPr>
        <w:t xml:space="preserve"> dans plusieurs domaines</w:t>
      </w:r>
      <w:r w:rsidR="00D15221" w:rsidRPr="00CC5C3C">
        <w:rPr>
          <w:rFonts w:ascii="Arial" w:hAnsi="Arial" w:cs="Arial"/>
          <w:sz w:val="20"/>
          <w:szCs w:val="20"/>
          <w:lang w:val="fr-FR"/>
        </w:rPr>
        <w:t>.</w:t>
      </w:r>
    </w:p>
    <w:p w:rsidR="00F92228" w:rsidRPr="00CC5C3C" w:rsidRDefault="00F92228" w:rsidP="00CA01B3">
      <w:pPr>
        <w:rPr>
          <w:rFonts w:ascii="Arial" w:hAnsi="Arial" w:cs="Arial"/>
          <w:sz w:val="20"/>
          <w:szCs w:val="20"/>
          <w:lang w:val="fr-FR"/>
        </w:rPr>
      </w:pPr>
      <w:r w:rsidRPr="00CC5C3C">
        <w:rPr>
          <w:rFonts w:ascii="Arial" w:hAnsi="Arial" w:cs="Arial"/>
          <w:sz w:val="20"/>
          <w:szCs w:val="20"/>
          <w:lang w:val="fr-FR"/>
        </w:rPr>
        <w:t>En conséquence, la Conférence :</w:t>
      </w:r>
    </w:p>
    <w:p w:rsidR="008B478F"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S</w:t>
      </w:r>
      <w:r w:rsidR="00653D32" w:rsidRPr="00CC5C3C">
        <w:rPr>
          <w:rFonts w:ascii="Arial" w:hAnsi="Arial" w:cs="Arial"/>
          <w:sz w:val="20"/>
          <w:szCs w:val="20"/>
          <w:lang w:val="fr-FR"/>
        </w:rPr>
        <w:t xml:space="preserve">e félicite des </w:t>
      </w:r>
      <w:r w:rsidR="001B0AA7" w:rsidRPr="00CC5C3C">
        <w:rPr>
          <w:rFonts w:ascii="Arial" w:hAnsi="Arial" w:cs="Arial"/>
          <w:sz w:val="20"/>
          <w:szCs w:val="20"/>
          <w:lang w:val="fr-FR"/>
        </w:rPr>
        <w:t>avancées</w:t>
      </w:r>
      <w:r w:rsidR="00653D32" w:rsidRPr="00CC5C3C">
        <w:rPr>
          <w:rFonts w:ascii="Arial" w:hAnsi="Arial" w:cs="Arial"/>
          <w:sz w:val="20"/>
          <w:szCs w:val="20"/>
          <w:lang w:val="fr-FR"/>
        </w:rPr>
        <w:t xml:space="preserve"> déjà </w:t>
      </w:r>
      <w:r>
        <w:rPr>
          <w:rFonts w:ascii="Arial" w:hAnsi="Arial" w:cs="Arial"/>
          <w:sz w:val="20"/>
          <w:szCs w:val="20"/>
          <w:lang w:val="fr-FR"/>
        </w:rPr>
        <w:t>réalisées</w:t>
      </w:r>
      <w:r w:rsidR="001B0AA7" w:rsidRPr="00CC5C3C">
        <w:rPr>
          <w:rFonts w:ascii="Arial" w:hAnsi="Arial" w:cs="Arial"/>
          <w:sz w:val="20"/>
          <w:szCs w:val="20"/>
          <w:lang w:val="fr-FR"/>
        </w:rPr>
        <w:t xml:space="preserve"> </w:t>
      </w:r>
      <w:r w:rsidR="000D5319" w:rsidRPr="00CC5C3C">
        <w:rPr>
          <w:rFonts w:ascii="Arial" w:hAnsi="Arial" w:cs="Arial"/>
          <w:sz w:val="20"/>
          <w:szCs w:val="20"/>
          <w:lang w:val="fr-FR"/>
        </w:rPr>
        <w:t>afin</w:t>
      </w:r>
      <w:r w:rsidR="00653D32" w:rsidRPr="00CC5C3C">
        <w:rPr>
          <w:rFonts w:ascii="Arial" w:hAnsi="Arial" w:cs="Arial"/>
          <w:sz w:val="20"/>
          <w:szCs w:val="20"/>
          <w:lang w:val="fr-FR"/>
        </w:rPr>
        <w:t xml:space="preserve"> que les juges de la Cour jouissent de la plus haute autorité en d</w:t>
      </w:r>
      <w:r w:rsidR="00D77D61">
        <w:rPr>
          <w:rFonts w:ascii="Arial" w:hAnsi="Arial" w:cs="Arial"/>
          <w:sz w:val="20"/>
          <w:szCs w:val="20"/>
          <w:lang w:val="fr-FR"/>
        </w:rPr>
        <w:t>roit national et international ;</w:t>
      </w:r>
    </w:p>
    <w:p w:rsidR="008B478F" w:rsidRPr="00CC5C3C" w:rsidRDefault="008B478F" w:rsidP="00CA01B3">
      <w:pPr>
        <w:pStyle w:val="ListParagraph"/>
        <w:rPr>
          <w:rFonts w:ascii="Arial" w:hAnsi="Arial" w:cs="Arial"/>
          <w:sz w:val="20"/>
          <w:szCs w:val="20"/>
          <w:lang w:val="fr-FR"/>
        </w:rPr>
      </w:pPr>
    </w:p>
    <w:p w:rsidR="00067484"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A</w:t>
      </w:r>
      <w:r w:rsidR="00067484" w:rsidRPr="00CC5C3C">
        <w:rPr>
          <w:rFonts w:ascii="Arial" w:hAnsi="Arial" w:cs="Arial"/>
          <w:sz w:val="20"/>
          <w:szCs w:val="20"/>
          <w:lang w:val="fr-FR"/>
        </w:rPr>
        <w:t xml:space="preserve">ppelle les </w:t>
      </w:r>
      <w:r w:rsidR="00C75AB4">
        <w:rPr>
          <w:rFonts w:ascii="Arial" w:hAnsi="Arial" w:cs="Arial"/>
          <w:sz w:val="20"/>
          <w:szCs w:val="20"/>
          <w:lang w:val="fr-FR"/>
        </w:rPr>
        <w:t xml:space="preserve">États Parties </w:t>
      </w:r>
      <w:r w:rsidR="00067484" w:rsidRPr="00CC5C3C">
        <w:rPr>
          <w:rFonts w:ascii="Arial" w:hAnsi="Arial" w:cs="Arial"/>
          <w:sz w:val="20"/>
          <w:szCs w:val="20"/>
          <w:lang w:val="fr-FR"/>
        </w:rPr>
        <w:t>à faire tous les efforts pour que les candidats figurant sur les listes de trois candidats à l’élection</w:t>
      </w:r>
      <w:r w:rsidR="00B64900" w:rsidRPr="00CC5C3C">
        <w:rPr>
          <w:rFonts w:ascii="Arial" w:hAnsi="Arial" w:cs="Arial"/>
          <w:sz w:val="20"/>
          <w:szCs w:val="20"/>
          <w:lang w:val="fr-FR"/>
        </w:rPr>
        <w:t xml:space="preserve"> de juge</w:t>
      </w:r>
      <w:r w:rsidR="00067484" w:rsidRPr="00CC5C3C">
        <w:rPr>
          <w:rFonts w:ascii="Arial" w:hAnsi="Arial" w:cs="Arial"/>
          <w:sz w:val="20"/>
          <w:szCs w:val="20"/>
          <w:lang w:val="fr-FR"/>
        </w:rPr>
        <w:t xml:space="preserve"> à la Cour possèdent </w:t>
      </w:r>
      <w:r w:rsidR="00D56A01" w:rsidRPr="00CC5C3C">
        <w:rPr>
          <w:rFonts w:ascii="Arial" w:hAnsi="Arial" w:cs="Arial"/>
          <w:sz w:val="20"/>
          <w:szCs w:val="20"/>
          <w:lang w:val="fr-FR"/>
        </w:rPr>
        <w:t xml:space="preserve">tous </w:t>
      </w:r>
      <w:r w:rsidR="00067484" w:rsidRPr="00CC5C3C">
        <w:rPr>
          <w:rFonts w:ascii="Arial" w:hAnsi="Arial" w:cs="Arial"/>
          <w:sz w:val="20"/>
          <w:szCs w:val="20"/>
          <w:lang w:val="fr-FR"/>
        </w:rPr>
        <w:t>l</w:t>
      </w:r>
      <w:r w:rsidR="001B387F" w:rsidRPr="00CC5C3C">
        <w:rPr>
          <w:rFonts w:ascii="Arial" w:hAnsi="Arial" w:cs="Arial"/>
          <w:sz w:val="20"/>
          <w:szCs w:val="20"/>
          <w:lang w:val="fr-FR"/>
        </w:rPr>
        <w:t>a</w:t>
      </w:r>
      <w:r w:rsidR="00067484" w:rsidRPr="00CC5C3C">
        <w:rPr>
          <w:rFonts w:ascii="Arial" w:hAnsi="Arial" w:cs="Arial"/>
          <w:sz w:val="20"/>
          <w:szCs w:val="20"/>
          <w:lang w:val="fr-FR"/>
        </w:rPr>
        <w:t xml:space="preserve"> plus haut</w:t>
      </w:r>
      <w:r w:rsidR="001B387F" w:rsidRPr="00CC5C3C">
        <w:rPr>
          <w:rFonts w:ascii="Arial" w:hAnsi="Arial" w:cs="Arial"/>
          <w:sz w:val="20"/>
          <w:szCs w:val="20"/>
          <w:lang w:val="fr-FR"/>
        </w:rPr>
        <w:t>e</w:t>
      </w:r>
      <w:r w:rsidR="00067484" w:rsidRPr="00CC5C3C">
        <w:rPr>
          <w:rFonts w:ascii="Arial" w:hAnsi="Arial" w:cs="Arial"/>
          <w:sz w:val="20"/>
          <w:szCs w:val="20"/>
          <w:lang w:val="fr-FR"/>
        </w:rPr>
        <w:t xml:space="preserve"> qualification satisfaisant aux critères énoncés à l’article</w:t>
      </w:r>
      <w:r w:rsidR="00ED4C9A" w:rsidRPr="00CC5C3C">
        <w:rPr>
          <w:rFonts w:ascii="Arial" w:hAnsi="Arial" w:cs="Arial"/>
          <w:sz w:val="20"/>
          <w:szCs w:val="20"/>
          <w:lang w:val="fr-FR"/>
        </w:rPr>
        <w:t> </w:t>
      </w:r>
      <w:r>
        <w:rPr>
          <w:rFonts w:ascii="Arial" w:hAnsi="Arial" w:cs="Arial"/>
          <w:sz w:val="20"/>
          <w:szCs w:val="20"/>
          <w:lang w:val="fr-FR"/>
        </w:rPr>
        <w:t>21 de la Convention</w:t>
      </w:r>
      <w:r w:rsidR="00D77D61">
        <w:rPr>
          <w:rFonts w:ascii="Arial" w:hAnsi="Arial" w:cs="Arial"/>
          <w:sz w:val="20"/>
          <w:szCs w:val="20"/>
          <w:lang w:val="fr-FR"/>
        </w:rPr>
        <w:t> ;</w:t>
      </w:r>
    </w:p>
    <w:p w:rsidR="008B478F" w:rsidRPr="00CC5C3C" w:rsidRDefault="008B478F" w:rsidP="00CA01B3">
      <w:pPr>
        <w:pStyle w:val="ListParagraph"/>
        <w:spacing w:line="240" w:lineRule="auto"/>
        <w:rPr>
          <w:rFonts w:ascii="Arial" w:hAnsi="Arial" w:cs="Arial"/>
          <w:sz w:val="20"/>
          <w:szCs w:val="20"/>
          <w:lang w:val="fr-FR"/>
        </w:rPr>
      </w:pPr>
    </w:p>
    <w:p w:rsidR="007E2766"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A</w:t>
      </w:r>
      <w:r w:rsidR="007E2766" w:rsidRPr="00CC5C3C">
        <w:rPr>
          <w:rFonts w:ascii="Arial" w:hAnsi="Arial" w:cs="Arial"/>
          <w:sz w:val="20"/>
          <w:szCs w:val="20"/>
          <w:lang w:val="fr-FR"/>
        </w:rPr>
        <w:t xml:space="preserve">ppelle le Comité des Ministres et l’Assemblée parlementaire à travailler conjointement, dans un esprit </w:t>
      </w:r>
      <w:r w:rsidR="00487B7D" w:rsidRPr="00CC5C3C">
        <w:rPr>
          <w:rFonts w:ascii="Arial" w:hAnsi="Arial" w:cs="Arial"/>
          <w:sz w:val="20"/>
          <w:szCs w:val="20"/>
          <w:lang w:val="fr-FR"/>
        </w:rPr>
        <w:t xml:space="preserve">total </w:t>
      </w:r>
      <w:r w:rsidR="006D7183" w:rsidRPr="00CC5C3C">
        <w:rPr>
          <w:rFonts w:ascii="Arial" w:hAnsi="Arial" w:cs="Arial"/>
          <w:sz w:val="20"/>
          <w:szCs w:val="20"/>
          <w:lang w:val="fr-FR"/>
        </w:rPr>
        <w:t xml:space="preserve">et ouvert </w:t>
      </w:r>
      <w:r w:rsidR="007E2766" w:rsidRPr="00CC5C3C">
        <w:rPr>
          <w:rFonts w:ascii="Arial" w:hAnsi="Arial" w:cs="Arial"/>
          <w:sz w:val="20"/>
          <w:szCs w:val="20"/>
          <w:lang w:val="fr-FR"/>
        </w:rPr>
        <w:t>de coopération dans l’intérêt de l’eff</w:t>
      </w:r>
      <w:r w:rsidR="0051270A">
        <w:rPr>
          <w:rFonts w:ascii="Arial" w:hAnsi="Arial" w:cs="Arial"/>
          <w:sz w:val="20"/>
          <w:szCs w:val="20"/>
          <w:lang w:val="fr-FR"/>
        </w:rPr>
        <w:t>ectiv</w:t>
      </w:r>
      <w:r w:rsidR="007E2766" w:rsidRPr="00CC5C3C">
        <w:rPr>
          <w:rFonts w:ascii="Arial" w:hAnsi="Arial" w:cs="Arial"/>
          <w:sz w:val="20"/>
          <w:szCs w:val="20"/>
          <w:lang w:val="fr-FR"/>
        </w:rPr>
        <w:t xml:space="preserve">ité et de la crédibilité du système de la Convention, pour examiner l’ensemble du processus d’élection des juges à la </w:t>
      </w:r>
      <w:r w:rsidR="00D22563" w:rsidRPr="00CC5C3C">
        <w:rPr>
          <w:rFonts w:ascii="Arial" w:hAnsi="Arial" w:cs="Arial"/>
          <w:sz w:val="20"/>
          <w:szCs w:val="20"/>
          <w:lang w:val="fr-FR"/>
        </w:rPr>
        <w:t xml:space="preserve">Cour </w:t>
      </w:r>
      <w:r w:rsidR="007E2766" w:rsidRPr="00CC5C3C">
        <w:rPr>
          <w:rFonts w:ascii="Arial" w:hAnsi="Arial" w:cs="Arial"/>
          <w:sz w:val="20"/>
          <w:szCs w:val="20"/>
          <w:lang w:val="fr-FR"/>
        </w:rPr>
        <w:t xml:space="preserve">afin de </w:t>
      </w:r>
      <w:r w:rsidR="00EF41D0" w:rsidRPr="00CC5C3C">
        <w:rPr>
          <w:rFonts w:ascii="Arial" w:hAnsi="Arial" w:cs="Arial"/>
          <w:sz w:val="20"/>
          <w:szCs w:val="20"/>
          <w:lang w:val="fr-FR"/>
        </w:rPr>
        <w:t>garantir son équité et son efficacité</w:t>
      </w:r>
      <w:r w:rsidR="00854135" w:rsidRPr="00CC5C3C">
        <w:rPr>
          <w:rFonts w:ascii="Arial" w:hAnsi="Arial" w:cs="Arial"/>
          <w:sz w:val="20"/>
          <w:szCs w:val="20"/>
          <w:lang w:val="fr-FR"/>
        </w:rPr>
        <w:t>,</w:t>
      </w:r>
      <w:r w:rsidR="007E2766" w:rsidRPr="00CC5C3C">
        <w:rPr>
          <w:rFonts w:ascii="Arial" w:hAnsi="Arial" w:cs="Arial"/>
          <w:sz w:val="20"/>
          <w:szCs w:val="20"/>
          <w:lang w:val="fr-FR"/>
        </w:rPr>
        <w:t xml:space="preserve"> ainsi que l’él</w:t>
      </w:r>
      <w:r>
        <w:rPr>
          <w:rFonts w:ascii="Arial" w:hAnsi="Arial" w:cs="Arial"/>
          <w:sz w:val="20"/>
          <w:szCs w:val="20"/>
          <w:lang w:val="fr-FR"/>
        </w:rPr>
        <w:t>ection des meilleurs candidats</w:t>
      </w:r>
      <w:r w:rsidR="00D77D61">
        <w:rPr>
          <w:rFonts w:ascii="Arial" w:hAnsi="Arial" w:cs="Arial"/>
          <w:sz w:val="20"/>
          <w:szCs w:val="20"/>
          <w:lang w:val="fr-FR"/>
        </w:rPr>
        <w:t> ;</w:t>
      </w:r>
    </w:p>
    <w:p w:rsidR="008B478F" w:rsidRPr="00CC5C3C" w:rsidRDefault="008B478F" w:rsidP="00CA01B3">
      <w:pPr>
        <w:pStyle w:val="ListParagraph"/>
        <w:spacing w:line="240" w:lineRule="auto"/>
        <w:rPr>
          <w:rFonts w:ascii="Arial" w:hAnsi="Arial" w:cs="Arial"/>
          <w:sz w:val="20"/>
          <w:szCs w:val="20"/>
          <w:lang w:val="fr-FR"/>
        </w:rPr>
      </w:pPr>
    </w:p>
    <w:p w:rsidR="00F174D9"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S</w:t>
      </w:r>
      <w:r w:rsidR="00F174D9" w:rsidRPr="00CC5C3C">
        <w:rPr>
          <w:rFonts w:ascii="Arial" w:hAnsi="Arial" w:cs="Arial"/>
          <w:sz w:val="20"/>
          <w:szCs w:val="20"/>
          <w:lang w:val="fr-FR"/>
        </w:rPr>
        <w:t xml:space="preserve">ouligne l’importance que les </w:t>
      </w:r>
      <w:r w:rsidR="00C75AB4">
        <w:rPr>
          <w:rFonts w:ascii="Arial" w:hAnsi="Arial" w:cs="Arial"/>
          <w:sz w:val="20"/>
          <w:szCs w:val="20"/>
          <w:lang w:val="fr-FR"/>
        </w:rPr>
        <w:t xml:space="preserve">États Parties </w:t>
      </w:r>
      <w:r w:rsidR="00F174D9" w:rsidRPr="00CC5C3C">
        <w:rPr>
          <w:rFonts w:ascii="Arial" w:hAnsi="Arial" w:cs="Arial"/>
          <w:sz w:val="20"/>
          <w:szCs w:val="20"/>
          <w:lang w:val="fr-FR"/>
        </w:rPr>
        <w:t>consultent le Panel en temps opportun avant de soumettre à l’Assemblée parlementaire les listes de trois candidats à l’élection de juge à la Cour,</w:t>
      </w:r>
      <w:r w:rsidR="00877184" w:rsidRPr="00CC5C3C">
        <w:rPr>
          <w:rFonts w:ascii="Arial" w:hAnsi="Arial" w:cs="Arial"/>
          <w:sz w:val="20"/>
          <w:szCs w:val="20"/>
          <w:lang w:val="fr-FR"/>
        </w:rPr>
        <w:t xml:space="preserve"> répondent rapidement aux demandes d’information du Panel</w:t>
      </w:r>
      <w:r w:rsidR="00E93565" w:rsidRPr="00CC5C3C">
        <w:rPr>
          <w:rFonts w:ascii="Arial" w:hAnsi="Arial" w:cs="Arial"/>
          <w:sz w:val="20"/>
          <w:szCs w:val="20"/>
          <w:lang w:val="fr-FR"/>
        </w:rPr>
        <w:t>,</w:t>
      </w:r>
      <w:r w:rsidR="00877184" w:rsidRPr="00CC5C3C">
        <w:rPr>
          <w:rFonts w:ascii="Arial" w:hAnsi="Arial" w:cs="Arial"/>
          <w:sz w:val="20"/>
          <w:szCs w:val="20"/>
          <w:lang w:val="fr-FR"/>
        </w:rPr>
        <w:t xml:space="preserve"> examine</w:t>
      </w:r>
      <w:r w:rsidR="009A60A2" w:rsidRPr="00CC5C3C">
        <w:rPr>
          <w:rFonts w:ascii="Arial" w:hAnsi="Arial" w:cs="Arial"/>
          <w:sz w:val="20"/>
          <w:szCs w:val="20"/>
          <w:lang w:val="fr-FR"/>
        </w:rPr>
        <w:t>nt</w:t>
      </w:r>
      <w:r w:rsidR="00877184" w:rsidRPr="00CC5C3C">
        <w:rPr>
          <w:rFonts w:ascii="Arial" w:hAnsi="Arial" w:cs="Arial"/>
          <w:sz w:val="20"/>
          <w:szCs w:val="20"/>
          <w:lang w:val="fr-FR"/>
        </w:rPr>
        <w:t xml:space="preserve"> pleinement l’avis du Panel</w:t>
      </w:r>
      <w:r w:rsidR="00C603D5" w:rsidRPr="00CC5C3C">
        <w:rPr>
          <w:rFonts w:ascii="Arial" w:hAnsi="Arial" w:cs="Arial"/>
          <w:sz w:val="20"/>
          <w:szCs w:val="20"/>
          <w:lang w:val="fr-FR"/>
        </w:rPr>
        <w:t xml:space="preserve"> et y répondent</w:t>
      </w:r>
      <w:r w:rsidR="00877184" w:rsidRPr="00CC5C3C">
        <w:rPr>
          <w:rFonts w:ascii="Arial" w:hAnsi="Arial" w:cs="Arial"/>
          <w:sz w:val="20"/>
          <w:szCs w:val="20"/>
          <w:lang w:val="fr-FR"/>
        </w:rPr>
        <w:t>, et en particulier :</w:t>
      </w:r>
    </w:p>
    <w:p w:rsidR="00F174D9" w:rsidRPr="00CC5C3C" w:rsidRDefault="00F174D9" w:rsidP="00CA01B3">
      <w:pPr>
        <w:pStyle w:val="ListParagraph"/>
        <w:rPr>
          <w:rFonts w:ascii="Arial" w:hAnsi="Arial" w:cs="Arial"/>
          <w:sz w:val="20"/>
          <w:szCs w:val="20"/>
          <w:lang w:val="fr-FR"/>
        </w:rPr>
      </w:pPr>
    </w:p>
    <w:p w:rsidR="00D515CF" w:rsidRPr="00CC5C3C" w:rsidRDefault="00D515CF" w:rsidP="00CA01B3">
      <w:pPr>
        <w:pStyle w:val="ListParagraph"/>
        <w:numPr>
          <w:ilvl w:val="1"/>
          <w:numId w:val="10"/>
        </w:numPr>
        <w:spacing w:line="240" w:lineRule="auto"/>
        <w:rPr>
          <w:rFonts w:ascii="Arial" w:hAnsi="Arial" w:cs="Arial"/>
          <w:sz w:val="20"/>
          <w:szCs w:val="20"/>
          <w:lang w:val="fr-FR"/>
        </w:rPr>
      </w:pPr>
      <w:r w:rsidRPr="00CC5C3C">
        <w:rPr>
          <w:rFonts w:ascii="Arial" w:hAnsi="Arial" w:cs="Arial"/>
          <w:sz w:val="20"/>
          <w:szCs w:val="20"/>
          <w:lang w:val="fr-FR"/>
        </w:rPr>
        <w:t xml:space="preserve">appelle les </w:t>
      </w:r>
      <w:r w:rsidR="00C75AB4">
        <w:rPr>
          <w:rFonts w:ascii="Arial" w:hAnsi="Arial" w:cs="Arial"/>
          <w:sz w:val="20"/>
          <w:szCs w:val="20"/>
          <w:lang w:val="fr-FR"/>
        </w:rPr>
        <w:t xml:space="preserve">États Parties </w:t>
      </w:r>
      <w:r w:rsidRPr="00CC5C3C">
        <w:rPr>
          <w:rFonts w:ascii="Arial" w:hAnsi="Arial" w:cs="Arial"/>
          <w:sz w:val="20"/>
          <w:szCs w:val="20"/>
          <w:lang w:val="fr-FR"/>
        </w:rPr>
        <w:t xml:space="preserve">à ne pas transmettre de listes de candidats à l’Assemblée parlementaire lorsque le Panel n’a pas encore exprimé son </w:t>
      </w:r>
      <w:r w:rsidR="0051270A">
        <w:rPr>
          <w:rFonts w:ascii="Arial" w:hAnsi="Arial" w:cs="Arial"/>
          <w:sz w:val="20"/>
          <w:szCs w:val="20"/>
          <w:lang w:val="fr-FR"/>
        </w:rPr>
        <w:t>avis</w:t>
      </w:r>
      <w:r w:rsidRPr="00CC5C3C">
        <w:rPr>
          <w:rFonts w:ascii="Arial" w:hAnsi="Arial" w:cs="Arial"/>
          <w:sz w:val="20"/>
          <w:szCs w:val="20"/>
          <w:lang w:val="fr-FR"/>
        </w:rPr>
        <w:t>, ou s’il a rendu un avis négatif au sujet d’un ou de plusieurs candidats ; et</w:t>
      </w:r>
    </w:p>
    <w:p w:rsidR="006844CF" w:rsidRPr="00CC5C3C" w:rsidRDefault="00D515CF" w:rsidP="00CA01B3">
      <w:pPr>
        <w:pStyle w:val="ListParagraph"/>
        <w:numPr>
          <w:ilvl w:val="1"/>
          <w:numId w:val="10"/>
        </w:numPr>
        <w:spacing w:line="240" w:lineRule="auto"/>
        <w:rPr>
          <w:rFonts w:ascii="Arial" w:hAnsi="Arial" w:cs="Arial"/>
          <w:sz w:val="20"/>
          <w:szCs w:val="20"/>
          <w:lang w:val="fr-FR"/>
        </w:rPr>
      </w:pPr>
      <w:r w:rsidRPr="00CC5C3C">
        <w:rPr>
          <w:rFonts w:ascii="Arial" w:hAnsi="Arial" w:cs="Arial"/>
          <w:sz w:val="20"/>
          <w:szCs w:val="20"/>
          <w:lang w:val="fr-FR"/>
        </w:rPr>
        <w:t xml:space="preserve">appelle l’Assemblée parlementaire à refuser d’examiner </w:t>
      </w:r>
      <w:r w:rsidR="00684A2D" w:rsidRPr="00CC5C3C">
        <w:rPr>
          <w:rFonts w:ascii="Arial" w:hAnsi="Arial" w:cs="Arial"/>
          <w:sz w:val="20"/>
          <w:szCs w:val="20"/>
          <w:lang w:val="fr-FR"/>
        </w:rPr>
        <w:t>l</w:t>
      </w:r>
      <w:r w:rsidRPr="00CC5C3C">
        <w:rPr>
          <w:rFonts w:ascii="Arial" w:hAnsi="Arial" w:cs="Arial"/>
          <w:sz w:val="20"/>
          <w:szCs w:val="20"/>
          <w:lang w:val="fr-FR"/>
        </w:rPr>
        <w:t>es listes de candidats</w:t>
      </w:r>
      <w:r w:rsidR="006844CF" w:rsidRPr="00CC5C3C">
        <w:rPr>
          <w:rFonts w:ascii="Arial" w:hAnsi="Arial" w:cs="Arial"/>
          <w:sz w:val="20"/>
          <w:szCs w:val="20"/>
          <w:lang w:val="fr-FR"/>
        </w:rPr>
        <w:t xml:space="preserve"> si</w:t>
      </w:r>
      <w:r w:rsidRPr="00CC5C3C">
        <w:rPr>
          <w:rFonts w:ascii="Arial" w:hAnsi="Arial" w:cs="Arial"/>
          <w:sz w:val="20"/>
          <w:szCs w:val="20"/>
          <w:lang w:val="fr-FR"/>
        </w:rPr>
        <w:t xml:space="preserve"> le </w:t>
      </w:r>
      <w:r w:rsidR="006844CF" w:rsidRPr="00CC5C3C">
        <w:rPr>
          <w:rFonts w:ascii="Arial" w:hAnsi="Arial" w:cs="Arial"/>
          <w:sz w:val="20"/>
          <w:szCs w:val="20"/>
          <w:lang w:val="fr-FR"/>
        </w:rPr>
        <w:t>P</w:t>
      </w:r>
      <w:r w:rsidRPr="00CC5C3C">
        <w:rPr>
          <w:rFonts w:ascii="Arial" w:hAnsi="Arial" w:cs="Arial"/>
          <w:sz w:val="20"/>
          <w:szCs w:val="20"/>
          <w:lang w:val="fr-FR"/>
        </w:rPr>
        <w:t>anel</w:t>
      </w:r>
      <w:r w:rsidR="006844CF" w:rsidRPr="00CC5C3C">
        <w:rPr>
          <w:rFonts w:ascii="Arial" w:hAnsi="Arial" w:cs="Arial"/>
          <w:sz w:val="20"/>
          <w:szCs w:val="20"/>
          <w:lang w:val="fr-FR"/>
        </w:rPr>
        <w:t xml:space="preserve"> n’a pas eu </w:t>
      </w:r>
      <w:r w:rsidR="000E1360">
        <w:rPr>
          <w:rFonts w:ascii="Arial" w:hAnsi="Arial" w:cs="Arial"/>
          <w:sz w:val="20"/>
          <w:szCs w:val="20"/>
          <w:lang w:val="fr-FR"/>
        </w:rPr>
        <w:t>l’opportunité</w:t>
      </w:r>
      <w:r w:rsidR="00684A2D" w:rsidRPr="00CC5C3C">
        <w:rPr>
          <w:rFonts w:ascii="Arial" w:hAnsi="Arial" w:cs="Arial"/>
          <w:sz w:val="20"/>
          <w:szCs w:val="20"/>
          <w:lang w:val="fr-FR"/>
        </w:rPr>
        <w:t xml:space="preserve"> </w:t>
      </w:r>
      <w:r w:rsidR="006844CF" w:rsidRPr="00CC5C3C">
        <w:rPr>
          <w:rFonts w:ascii="Arial" w:hAnsi="Arial" w:cs="Arial"/>
          <w:sz w:val="20"/>
          <w:szCs w:val="20"/>
          <w:lang w:val="fr-FR"/>
        </w:rPr>
        <w:t xml:space="preserve">d’exprimer son </w:t>
      </w:r>
      <w:r w:rsidR="0051270A">
        <w:rPr>
          <w:rFonts w:ascii="Arial" w:hAnsi="Arial" w:cs="Arial"/>
          <w:sz w:val="20"/>
          <w:szCs w:val="20"/>
          <w:lang w:val="fr-FR"/>
        </w:rPr>
        <w:t>avis</w:t>
      </w:r>
      <w:r w:rsidR="006844CF" w:rsidRPr="00CC5C3C">
        <w:rPr>
          <w:rFonts w:ascii="Arial" w:hAnsi="Arial" w:cs="Arial"/>
          <w:sz w:val="20"/>
          <w:szCs w:val="20"/>
          <w:lang w:val="fr-FR"/>
        </w:rPr>
        <w:t>, et à a</w:t>
      </w:r>
      <w:r w:rsidR="00742DCC" w:rsidRPr="00CC5C3C">
        <w:rPr>
          <w:rFonts w:ascii="Arial" w:hAnsi="Arial" w:cs="Arial"/>
          <w:sz w:val="20"/>
          <w:szCs w:val="20"/>
          <w:lang w:val="fr-FR"/>
        </w:rPr>
        <w:t>ttacher</w:t>
      </w:r>
      <w:r w:rsidR="006844CF" w:rsidRPr="00CC5C3C">
        <w:rPr>
          <w:rFonts w:ascii="Arial" w:hAnsi="Arial" w:cs="Arial"/>
          <w:sz w:val="20"/>
          <w:szCs w:val="20"/>
          <w:lang w:val="fr-FR"/>
        </w:rPr>
        <w:t xml:space="preserve"> le poids qui convient aux avis </w:t>
      </w:r>
      <w:r w:rsidR="006A430E" w:rsidRPr="00CC5C3C">
        <w:rPr>
          <w:rFonts w:ascii="Arial" w:hAnsi="Arial" w:cs="Arial"/>
          <w:sz w:val="20"/>
          <w:szCs w:val="20"/>
          <w:lang w:val="fr-FR"/>
        </w:rPr>
        <w:t>rendus</w:t>
      </w:r>
      <w:r w:rsidR="006844CF" w:rsidRPr="00CC5C3C">
        <w:rPr>
          <w:rFonts w:ascii="Arial" w:hAnsi="Arial" w:cs="Arial"/>
          <w:sz w:val="20"/>
          <w:szCs w:val="20"/>
          <w:lang w:val="fr-FR"/>
        </w:rPr>
        <w:t xml:space="preserve"> par le Panel</w:t>
      </w:r>
      <w:r w:rsidR="00D77D61">
        <w:rPr>
          <w:rFonts w:ascii="Arial" w:hAnsi="Arial" w:cs="Arial"/>
          <w:sz w:val="20"/>
          <w:szCs w:val="20"/>
          <w:lang w:val="fr-FR"/>
        </w:rPr>
        <w:t> ;</w:t>
      </w:r>
    </w:p>
    <w:p w:rsidR="008B478F" w:rsidRPr="00CC5C3C" w:rsidRDefault="008B478F" w:rsidP="00CA01B3">
      <w:pPr>
        <w:pStyle w:val="ListParagraph"/>
        <w:rPr>
          <w:rFonts w:ascii="Arial" w:hAnsi="Arial" w:cs="Arial"/>
          <w:sz w:val="20"/>
          <w:szCs w:val="20"/>
          <w:lang w:val="fr-FR"/>
        </w:rPr>
      </w:pPr>
    </w:p>
    <w:p w:rsidR="008B478F"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E</w:t>
      </w:r>
      <w:r w:rsidR="00365CEE" w:rsidRPr="00CC5C3C">
        <w:rPr>
          <w:rFonts w:ascii="Arial" w:hAnsi="Arial" w:cs="Arial"/>
          <w:sz w:val="20"/>
          <w:szCs w:val="20"/>
          <w:lang w:val="fr-FR"/>
        </w:rPr>
        <w:t>ncourage</w:t>
      </w:r>
      <w:r w:rsidR="009F7FD2" w:rsidRPr="00CC5C3C">
        <w:rPr>
          <w:rFonts w:ascii="Arial" w:hAnsi="Arial" w:cs="Arial"/>
          <w:sz w:val="20"/>
          <w:szCs w:val="20"/>
          <w:lang w:val="fr-FR"/>
        </w:rPr>
        <w:t xml:space="preserve"> </w:t>
      </w:r>
      <w:r w:rsidR="00365CEE" w:rsidRPr="00CC5C3C">
        <w:rPr>
          <w:rFonts w:ascii="Arial" w:hAnsi="Arial" w:cs="Arial"/>
          <w:sz w:val="20"/>
          <w:szCs w:val="20"/>
          <w:lang w:val="fr-FR"/>
        </w:rPr>
        <w:t>l’Assemblée parlementaire à tenir compte des suggestions formulées dans le rapport de 2017 du Comité directeur pour les droits de l’homme lorsqu’elle révisera son Règlement.</w:t>
      </w:r>
    </w:p>
    <w:p w:rsidR="008B478F" w:rsidRPr="00CC5C3C" w:rsidRDefault="00FD1B7F" w:rsidP="00CA01B3">
      <w:pPr>
        <w:spacing w:line="240" w:lineRule="auto"/>
        <w:rPr>
          <w:rFonts w:ascii="Arial" w:hAnsi="Arial" w:cs="Arial"/>
          <w:b/>
          <w:sz w:val="20"/>
          <w:szCs w:val="20"/>
          <w:lang w:val="fr-FR"/>
        </w:rPr>
      </w:pPr>
      <w:r w:rsidRPr="00CC5C3C">
        <w:rPr>
          <w:rFonts w:ascii="Arial" w:hAnsi="Arial" w:cs="Arial"/>
          <w:b/>
          <w:sz w:val="20"/>
          <w:szCs w:val="20"/>
          <w:lang w:val="fr-FR"/>
        </w:rPr>
        <w:t>Exécution des arrêts</w:t>
      </w:r>
    </w:p>
    <w:p w:rsidR="006C2A88" w:rsidRPr="00CC5C3C" w:rsidRDefault="006C2A88" w:rsidP="00CA01B3">
      <w:pPr>
        <w:pStyle w:val="ListParagraph"/>
        <w:numPr>
          <w:ilvl w:val="0"/>
          <w:numId w:val="2"/>
        </w:numPr>
        <w:autoSpaceDE w:val="0"/>
        <w:autoSpaceDN w:val="0"/>
        <w:spacing w:line="240" w:lineRule="auto"/>
        <w:rPr>
          <w:rFonts w:ascii="Arial" w:hAnsi="Arial" w:cs="Arial"/>
          <w:sz w:val="20"/>
          <w:szCs w:val="20"/>
          <w:lang w:val="fr-FR"/>
        </w:rPr>
      </w:pPr>
      <w:r w:rsidRPr="00CC5C3C">
        <w:rPr>
          <w:rFonts w:ascii="Arial" w:hAnsi="Arial" w:cs="Arial"/>
          <w:sz w:val="20"/>
          <w:szCs w:val="20"/>
          <w:lang w:val="fr-FR"/>
        </w:rPr>
        <w:t xml:space="preserve">Les </w:t>
      </w:r>
      <w:r w:rsidR="00C75AB4">
        <w:rPr>
          <w:rFonts w:ascii="Arial" w:hAnsi="Arial" w:cs="Arial"/>
          <w:sz w:val="20"/>
          <w:szCs w:val="20"/>
          <w:lang w:val="fr-FR"/>
        </w:rPr>
        <w:t xml:space="preserve">États Parties </w:t>
      </w:r>
      <w:r w:rsidR="006453C9" w:rsidRPr="00CC5C3C">
        <w:rPr>
          <w:rFonts w:ascii="Arial" w:hAnsi="Arial" w:cs="Arial"/>
          <w:sz w:val="20"/>
          <w:szCs w:val="20"/>
          <w:lang w:val="fr-FR"/>
        </w:rPr>
        <w:t>se sont engagé</w:t>
      </w:r>
      <w:r w:rsidRPr="00CC5C3C">
        <w:rPr>
          <w:rFonts w:ascii="Arial" w:hAnsi="Arial" w:cs="Arial"/>
          <w:sz w:val="20"/>
          <w:szCs w:val="20"/>
          <w:lang w:val="fr-FR"/>
        </w:rPr>
        <w:t xml:space="preserve">s à se conformer aux arrêts définitifs de la Cour dans les litiges auxquels </w:t>
      </w:r>
      <w:r w:rsidR="008D463B" w:rsidRPr="00CC5C3C">
        <w:rPr>
          <w:rFonts w:ascii="Arial" w:hAnsi="Arial" w:cs="Arial"/>
          <w:sz w:val="20"/>
          <w:szCs w:val="20"/>
          <w:lang w:val="fr-FR"/>
        </w:rPr>
        <w:t xml:space="preserve">ils </w:t>
      </w:r>
      <w:r w:rsidRPr="00CC5C3C">
        <w:rPr>
          <w:rFonts w:ascii="Arial" w:hAnsi="Arial" w:cs="Arial"/>
          <w:sz w:val="20"/>
          <w:szCs w:val="20"/>
          <w:lang w:val="fr-FR"/>
        </w:rPr>
        <w:t xml:space="preserve">sont </w:t>
      </w:r>
      <w:proofErr w:type="gramStart"/>
      <w:r w:rsidR="008D463B" w:rsidRPr="00CC5C3C">
        <w:rPr>
          <w:rFonts w:ascii="Arial" w:hAnsi="Arial" w:cs="Arial"/>
          <w:sz w:val="20"/>
          <w:szCs w:val="20"/>
          <w:lang w:val="fr-FR"/>
        </w:rPr>
        <w:t>p</w:t>
      </w:r>
      <w:r w:rsidRPr="00CC5C3C">
        <w:rPr>
          <w:rFonts w:ascii="Arial" w:hAnsi="Arial" w:cs="Arial"/>
          <w:sz w:val="20"/>
          <w:szCs w:val="20"/>
          <w:lang w:val="fr-FR"/>
        </w:rPr>
        <w:t>arties</w:t>
      </w:r>
      <w:proofErr w:type="gramEnd"/>
      <w:r w:rsidR="008D463B" w:rsidRPr="00CC5C3C">
        <w:rPr>
          <w:rFonts w:ascii="Arial" w:hAnsi="Arial" w:cs="Arial"/>
          <w:sz w:val="20"/>
          <w:szCs w:val="20"/>
          <w:lang w:val="fr-FR"/>
        </w:rPr>
        <w:t>.</w:t>
      </w:r>
      <w:r w:rsidR="0019641C" w:rsidRPr="00CC5C3C">
        <w:rPr>
          <w:rFonts w:ascii="Arial" w:hAnsi="Arial" w:cs="Arial"/>
          <w:sz w:val="20"/>
          <w:szCs w:val="20"/>
          <w:lang w:val="fr-FR"/>
        </w:rPr>
        <w:t xml:space="preserve"> Par sa surveillance, le Comité des Ministres veille à ce qu’il soit donné suite de manière appropriée aux arrêts de la Cour, y compris par la mise en œuvre de mesures générales destinées à résoudre des problèmes systémiques plus larges.</w:t>
      </w:r>
    </w:p>
    <w:p w:rsidR="008B478F" w:rsidRPr="00CC5C3C" w:rsidRDefault="008B478F" w:rsidP="00CA01B3">
      <w:pPr>
        <w:pStyle w:val="ListParagraph"/>
        <w:autoSpaceDE w:val="0"/>
        <w:autoSpaceDN w:val="0"/>
        <w:spacing w:line="240" w:lineRule="auto"/>
        <w:rPr>
          <w:rFonts w:ascii="Arial" w:hAnsi="Arial" w:cs="Arial"/>
          <w:sz w:val="20"/>
          <w:szCs w:val="20"/>
          <w:lang w:val="fr-FR"/>
        </w:rPr>
      </w:pPr>
    </w:p>
    <w:p w:rsidR="008B478F" w:rsidRPr="00CC5C3C" w:rsidRDefault="00E865FC" w:rsidP="00CA01B3">
      <w:pPr>
        <w:pStyle w:val="ListParagraph"/>
        <w:numPr>
          <w:ilvl w:val="0"/>
          <w:numId w:val="2"/>
        </w:numPr>
        <w:autoSpaceDE w:val="0"/>
        <w:autoSpaceDN w:val="0"/>
        <w:spacing w:line="240" w:lineRule="auto"/>
        <w:rPr>
          <w:rFonts w:ascii="Arial" w:hAnsi="Arial" w:cs="Arial"/>
          <w:sz w:val="20"/>
          <w:szCs w:val="20"/>
          <w:lang w:val="fr-FR"/>
        </w:rPr>
      </w:pPr>
      <w:r w:rsidRPr="00CC5C3C">
        <w:rPr>
          <w:rFonts w:ascii="Arial" w:hAnsi="Arial" w:cs="Arial"/>
          <w:sz w:val="20"/>
          <w:szCs w:val="20"/>
          <w:lang w:val="fr-FR"/>
        </w:rPr>
        <w:t xml:space="preserve">L’exécution pleine, effective et rapide des arrêts et l’engagement politique fort des </w:t>
      </w:r>
      <w:r w:rsidR="00C75AB4">
        <w:rPr>
          <w:rFonts w:ascii="Arial" w:hAnsi="Arial" w:cs="Arial"/>
          <w:sz w:val="20"/>
          <w:szCs w:val="20"/>
          <w:lang w:val="fr-FR"/>
        </w:rPr>
        <w:t xml:space="preserve">États Parties </w:t>
      </w:r>
      <w:r w:rsidRPr="00CC5C3C">
        <w:rPr>
          <w:rFonts w:ascii="Arial" w:hAnsi="Arial" w:cs="Arial"/>
          <w:sz w:val="20"/>
          <w:szCs w:val="20"/>
          <w:lang w:val="fr-FR"/>
        </w:rPr>
        <w:t>à ce</w:t>
      </w:r>
      <w:r w:rsidR="0051270A">
        <w:rPr>
          <w:rFonts w:ascii="Arial" w:hAnsi="Arial" w:cs="Arial"/>
          <w:sz w:val="20"/>
          <w:szCs w:val="20"/>
          <w:lang w:val="fr-FR"/>
        </w:rPr>
        <w:t>t égard</w:t>
      </w:r>
      <w:r w:rsidRPr="00CC5C3C">
        <w:rPr>
          <w:rFonts w:ascii="Arial" w:hAnsi="Arial" w:cs="Arial"/>
          <w:sz w:val="20"/>
          <w:szCs w:val="20"/>
          <w:lang w:val="fr-FR"/>
        </w:rPr>
        <w:t xml:space="preserve"> renforcent l’autorité de la Cour et du système de la Convention en général et</w:t>
      </w:r>
      <w:r w:rsidR="006278AC" w:rsidRPr="00CC5C3C">
        <w:rPr>
          <w:rFonts w:ascii="Arial" w:hAnsi="Arial" w:cs="Arial"/>
          <w:sz w:val="20"/>
          <w:szCs w:val="20"/>
          <w:lang w:val="fr-FR"/>
        </w:rPr>
        <w:t>, en évitant les requêtes répétitives,</w:t>
      </w:r>
      <w:r w:rsidRPr="00CC5C3C">
        <w:rPr>
          <w:rFonts w:ascii="Arial" w:hAnsi="Arial" w:cs="Arial"/>
          <w:sz w:val="20"/>
          <w:szCs w:val="20"/>
          <w:lang w:val="fr-FR"/>
        </w:rPr>
        <w:t xml:space="preserve"> </w:t>
      </w:r>
      <w:r w:rsidR="009F11D9" w:rsidRPr="00CC5C3C">
        <w:rPr>
          <w:rFonts w:ascii="Arial" w:hAnsi="Arial" w:cs="Arial"/>
          <w:sz w:val="20"/>
          <w:szCs w:val="20"/>
          <w:lang w:val="fr-FR"/>
        </w:rPr>
        <w:t xml:space="preserve">ont une grande incidence </w:t>
      </w:r>
      <w:r w:rsidRPr="00CC5C3C">
        <w:rPr>
          <w:rFonts w:ascii="Arial" w:hAnsi="Arial" w:cs="Arial"/>
          <w:sz w:val="20"/>
          <w:szCs w:val="20"/>
          <w:lang w:val="fr-FR"/>
        </w:rPr>
        <w:t>sur le volume des affaires de la Cour</w:t>
      </w:r>
      <w:r w:rsidR="009F7FD2" w:rsidRPr="00CC5C3C">
        <w:rPr>
          <w:rFonts w:ascii="Arial" w:hAnsi="Arial" w:cs="Arial"/>
          <w:sz w:val="20"/>
          <w:szCs w:val="20"/>
          <w:lang w:val="fr-FR"/>
        </w:rPr>
        <w:t>.</w:t>
      </w:r>
    </w:p>
    <w:p w:rsidR="008B478F" w:rsidRPr="00CC5C3C" w:rsidRDefault="008B478F" w:rsidP="00CA01B3">
      <w:pPr>
        <w:pStyle w:val="ListParagraph"/>
        <w:spacing w:line="240" w:lineRule="auto"/>
        <w:rPr>
          <w:rFonts w:ascii="Arial" w:hAnsi="Arial" w:cs="Arial"/>
          <w:sz w:val="20"/>
          <w:szCs w:val="20"/>
          <w:lang w:val="fr-FR"/>
        </w:rPr>
      </w:pPr>
    </w:p>
    <w:p w:rsidR="00561117" w:rsidRPr="00CC5C3C" w:rsidRDefault="00561117"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 xml:space="preserve">La non-exécution d’un arrêt en temps </w:t>
      </w:r>
      <w:r w:rsidR="00CA5727" w:rsidRPr="00CC5C3C">
        <w:rPr>
          <w:rFonts w:ascii="Arial" w:hAnsi="Arial" w:cs="Arial"/>
          <w:sz w:val="20"/>
          <w:szCs w:val="20"/>
          <w:lang w:val="fr-FR"/>
        </w:rPr>
        <w:t xml:space="preserve">voulu </w:t>
      </w:r>
      <w:r w:rsidRPr="00CC5C3C">
        <w:rPr>
          <w:rFonts w:ascii="Arial" w:hAnsi="Arial" w:cs="Arial"/>
          <w:sz w:val="20"/>
          <w:szCs w:val="20"/>
          <w:lang w:val="fr-FR"/>
        </w:rPr>
        <w:t xml:space="preserve">peut porter préjudice au(x) requérant(s), alourdir la charge de travail de la Cour et du Comité des Ministres </w:t>
      </w:r>
      <w:r w:rsidR="006D06F2" w:rsidRPr="00CC5C3C">
        <w:rPr>
          <w:rFonts w:ascii="Arial" w:hAnsi="Arial" w:cs="Arial"/>
          <w:sz w:val="20"/>
          <w:szCs w:val="20"/>
          <w:lang w:val="fr-FR"/>
        </w:rPr>
        <w:t xml:space="preserve">et nuire à l’autorité et à la crédibilité du système de la Convention. </w:t>
      </w:r>
      <w:r w:rsidR="00806897" w:rsidRPr="00CC5C3C">
        <w:rPr>
          <w:rFonts w:ascii="Arial" w:hAnsi="Arial" w:cs="Arial"/>
          <w:sz w:val="20"/>
          <w:szCs w:val="20"/>
          <w:lang w:val="fr-FR"/>
        </w:rPr>
        <w:t xml:space="preserve">Il </w:t>
      </w:r>
      <w:r w:rsidR="00EF41D0" w:rsidRPr="00CC5C3C">
        <w:rPr>
          <w:rFonts w:ascii="Arial" w:hAnsi="Arial" w:cs="Arial"/>
          <w:sz w:val="20"/>
          <w:szCs w:val="20"/>
          <w:lang w:val="fr-FR"/>
        </w:rPr>
        <w:t>convient</w:t>
      </w:r>
      <w:r w:rsidR="00806897" w:rsidRPr="00CC5C3C">
        <w:rPr>
          <w:rFonts w:ascii="Arial" w:hAnsi="Arial" w:cs="Arial"/>
          <w:sz w:val="20"/>
          <w:szCs w:val="20"/>
          <w:lang w:val="fr-FR"/>
        </w:rPr>
        <w:t xml:space="preserve"> donc </w:t>
      </w:r>
      <w:r w:rsidR="00EF41D0" w:rsidRPr="00CC5C3C">
        <w:rPr>
          <w:rFonts w:ascii="Arial" w:hAnsi="Arial" w:cs="Arial"/>
          <w:sz w:val="20"/>
          <w:szCs w:val="20"/>
          <w:lang w:val="fr-FR"/>
        </w:rPr>
        <w:t xml:space="preserve">de </w:t>
      </w:r>
      <w:r w:rsidR="00806897" w:rsidRPr="00CC5C3C">
        <w:rPr>
          <w:rFonts w:ascii="Arial" w:hAnsi="Arial" w:cs="Arial"/>
          <w:sz w:val="20"/>
          <w:szCs w:val="20"/>
          <w:lang w:val="fr-FR"/>
        </w:rPr>
        <w:t xml:space="preserve">remédier </w:t>
      </w:r>
      <w:r w:rsidR="0051270A">
        <w:rPr>
          <w:rFonts w:ascii="Arial" w:hAnsi="Arial" w:cs="Arial"/>
          <w:sz w:val="20"/>
          <w:szCs w:val="20"/>
          <w:lang w:val="fr-FR"/>
        </w:rPr>
        <w:t xml:space="preserve">pleinement </w:t>
      </w:r>
      <w:r w:rsidR="00806897" w:rsidRPr="00CC5C3C">
        <w:rPr>
          <w:rFonts w:ascii="Arial" w:hAnsi="Arial" w:cs="Arial"/>
          <w:sz w:val="20"/>
          <w:szCs w:val="20"/>
          <w:lang w:val="fr-FR"/>
        </w:rPr>
        <w:t>à c</w:t>
      </w:r>
      <w:r w:rsidR="00E13E0D" w:rsidRPr="00CC5C3C">
        <w:rPr>
          <w:rFonts w:ascii="Arial" w:hAnsi="Arial" w:cs="Arial"/>
          <w:sz w:val="20"/>
          <w:szCs w:val="20"/>
          <w:lang w:val="fr-FR"/>
        </w:rPr>
        <w:t>e</w:t>
      </w:r>
      <w:r w:rsidR="005F2F79" w:rsidRPr="00CC5C3C">
        <w:rPr>
          <w:rFonts w:ascii="Arial" w:hAnsi="Arial" w:cs="Arial"/>
          <w:sz w:val="20"/>
          <w:szCs w:val="20"/>
          <w:lang w:val="fr-FR"/>
        </w:rPr>
        <w:t xml:space="preserve"> type de</w:t>
      </w:r>
      <w:r w:rsidR="00E13E0D" w:rsidRPr="00CC5C3C">
        <w:rPr>
          <w:rFonts w:ascii="Arial" w:hAnsi="Arial" w:cs="Arial"/>
          <w:sz w:val="20"/>
          <w:szCs w:val="20"/>
          <w:lang w:val="fr-FR"/>
        </w:rPr>
        <w:t xml:space="preserve"> manq</w:t>
      </w:r>
      <w:r w:rsidR="00696A94" w:rsidRPr="00CC5C3C">
        <w:rPr>
          <w:rFonts w:ascii="Arial" w:hAnsi="Arial" w:cs="Arial"/>
          <w:sz w:val="20"/>
          <w:szCs w:val="20"/>
          <w:lang w:val="fr-FR"/>
        </w:rPr>
        <w:t>uement</w:t>
      </w:r>
      <w:r w:rsidR="00E13E0D" w:rsidRPr="00CC5C3C">
        <w:rPr>
          <w:rFonts w:ascii="Arial" w:hAnsi="Arial" w:cs="Arial"/>
          <w:sz w:val="20"/>
          <w:szCs w:val="20"/>
          <w:lang w:val="fr-FR"/>
        </w:rPr>
        <w:t>.</w:t>
      </w:r>
    </w:p>
    <w:p w:rsidR="00B417E3" w:rsidRPr="00CC5C3C" w:rsidRDefault="00B417E3" w:rsidP="00CA01B3">
      <w:pPr>
        <w:pStyle w:val="Default"/>
        <w:rPr>
          <w:sz w:val="20"/>
          <w:szCs w:val="20"/>
          <w:lang w:val="fr-FR"/>
        </w:rPr>
      </w:pPr>
      <w:r w:rsidRPr="00CC5C3C">
        <w:rPr>
          <w:sz w:val="20"/>
          <w:szCs w:val="20"/>
          <w:lang w:val="fr-FR"/>
        </w:rPr>
        <w:t>En conséquence, la Conférence :</w:t>
      </w:r>
    </w:p>
    <w:p w:rsidR="00B417E3" w:rsidRPr="00CC5C3C" w:rsidRDefault="00B417E3" w:rsidP="00CA01B3">
      <w:pPr>
        <w:pStyle w:val="Default"/>
        <w:rPr>
          <w:sz w:val="20"/>
          <w:szCs w:val="20"/>
          <w:lang w:val="fr-FR"/>
        </w:rPr>
      </w:pPr>
    </w:p>
    <w:p w:rsidR="008B478F"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N</w:t>
      </w:r>
      <w:r w:rsidR="009F7FD2" w:rsidRPr="00CC5C3C">
        <w:rPr>
          <w:rFonts w:ascii="Arial" w:hAnsi="Arial" w:cs="Arial"/>
          <w:sz w:val="20"/>
          <w:szCs w:val="20"/>
          <w:lang w:val="fr-FR"/>
        </w:rPr>
        <w:t xml:space="preserve">ote </w:t>
      </w:r>
      <w:r w:rsidR="00382A39" w:rsidRPr="00CC5C3C">
        <w:rPr>
          <w:rFonts w:ascii="Arial" w:hAnsi="Arial" w:cs="Arial"/>
          <w:sz w:val="20"/>
          <w:szCs w:val="20"/>
          <w:lang w:val="fr-FR"/>
        </w:rPr>
        <w:t>et salue l</w:t>
      </w:r>
      <w:r w:rsidR="00753293" w:rsidRPr="00CC5C3C">
        <w:rPr>
          <w:rFonts w:ascii="Arial" w:hAnsi="Arial" w:cs="Arial"/>
          <w:sz w:val="20"/>
          <w:szCs w:val="20"/>
          <w:lang w:val="fr-FR"/>
        </w:rPr>
        <w:t>es progrès</w:t>
      </w:r>
      <w:r w:rsidR="009F7FD2" w:rsidRPr="00CC5C3C">
        <w:rPr>
          <w:rFonts w:ascii="Arial" w:hAnsi="Arial" w:cs="Arial"/>
          <w:sz w:val="20"/>
          <w:szCs w:val="20"/>
          <w:lang w:val="fr-FR"/>
        </w:rPr>
        <w:t xml:space="preserve"> </w:t>
      </w:r>
      <w:r w:rsidR="00753293" w:rsidRPr="00CC5C3C">
        <w:rPr>
          <w:rFonts w:ascii="Arial" w:hAnsi="Arial" w:cs="Arial"/>
          <w:sz w:val="20"/>
          <w:szCs w:val="20"/>
          <w:lang w:val="fr-FR"/>
        </w:rPr>
        <w:t xml:space="preserve">réalisés jusqu’à présent par les </w:t>
      </w:r>
      <w:r w:rsidR="00C75AB4">
        <w:rPr>
          <w:rFonts w:ascii="Arial" w:hAnsi="Arial" w:cs="Arial"/>
          <w:sz w:val="20"/>
          <w:szCs w:val="20"/>
          <w:lang w:val="fr-FR"/>
        </w:rPr>
        <w:t xml:space="preserve">États Parties </w:t>
      </w:r>
      <w:r w:rsidR="00753293" w:rsidRPr="00CC5C3C">
        <w:rPr>
          <w:rFonts w:ascii="Arial" w:hAnsi="Arial" w:cs="Arial"/>
          <w:sz w:val="20"/>
          <w:szCs w:val="20"/>
          <w:lang w:val="fr-FR"/>
        </w:rPr>
        <w:t>en matière d’exécution des</w:t>
      </w:r>
      <w:r w:rsidR="009F7FD2" w:rsidRPr="00CC5C3C">
        <w:rPr>
          <w:rFonts w:ascii="Arial" w:hAnsi="Arial" w:cs="Arial"/>
          <w:sz w:val="20"/>
          <w:szCs w:val="20"/>
          <w:lang w:val="fr-FR"/>
        </w:rPr>
        <w:t xml:space="preserve"> </w:t>
      </w:r>
      <w:r>
        <w:rPr>
          <w:rFonts w:ascii="Arial" w:hAnsi="Arial" w:cs="Arial"/>
          <w:sz w:val="20"/>
          <w:szCs w:val="20"/>
          <w:lang w:val="fr-FR"/>
        </w:rPr>
        <w:t>arrêts</w:t>
      </w:r>
      <w:r w:rsidR="00D77D61">
        <w:rPr>
          <w:rFonts w:ascii="Arial" w:hAnsi="Arial" w:cs="Arial"/>
          <w:sz w:val="20"/>
          <w:szCs w:val="20"/>
          <w:lang w:val="fr-FR"/>
        </w:rPr>
        <w:t> ;</w:t>
      </w:r>
    </w:p>
    <w:p w:rsidR="008B478F" w:rsidRPr="00CC5C3C" w:rsidRDefault="008B478F" w:rsidP="00CA01B3">
      <w:pPr>
        <w:pStyle w:val="ListParagraph"/>
        <w:spacing w:line="240" w:lineRule="auto"/>
        <w:rPr>
          <w:rFonts w:ascii="Arial" w:hAnsi="Arial" w:cs="Arial"/>
          <w:sz w:val="20"/>
          <w:szCs w:val="20"/>
          <w:lang w:val="fr-FR"/>
        </w:rPr>
      </w:pPr>
    </w:p>
    <w:p w:rsidR="008B478F"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R</w:t>
      </w:r>
      <w:r w:rsidR="00E2176F" w:rsidRPr="00CC5C3C">
        <w:rPr>
          <w:rFonts w:ascii="Arial" w:hAnsi="Arial" w:cs="Arial"/>
          <w:sz w:val="20"/>
          <w:szCs w:val="20"/>
          <w:lang w:val="fr-FR"/>
        </w:rPr>
        <w:t>éaffirme que la Déclaration de Bruxelles est</w:t>
      </w:r>
      <w:r w:rsidR="009F7FD2" w:rsidRPr="00CC5C3C">
        <w:rPr>
          <w:rFonts w:ascii="Arial" w:hAnsi="Arial" w:cs="Arial"/>
          <w:sz w:val="20"/>
          <w:szCs w:val="20"/>
          <w:lang w:val="fr-FR"/>
        </w:rPr>
        <w:t xml:space="preserve"> </w:t>
      </w:r>
      <w:r w:rsidR="00E2176F" w:rsidRPr="00CC5C3C">
        <w:rPr>
          <w:rFonts w:ascii="Arial" w:hAnsi="Arial" w:cs="Arial"/>
          <w:sz w:val="20"/>
          <w:szCs w:val="20"/>
          <w:lang w:val="fr-FR"/>
        </w:rPr>
        <w:t>u</w:t>
      </w:r>
      <w:r w:rsidR="009F7FD2" w:rsidRPr="00CC5C3C">
        <w:rPr>
          <w:rFonts w:ascii="Arial" w:hAnsi="Arial" w:cs="Arial"/>
          <w:sz w:val="20"/>
          <w:szCs w:val="20"/>
          <w:lang w:val="fr-FR"/>
        </w:rPr>
        <w:t xml:space="preserve">n instrument </w:t>
      </w:r>
      <w:r w:rsidR="00E2176F" w:rsidRPr="00CC5C3C">
        <w:rPr>
          <w:rFonts w:ascii="Arial" w:hAnsi="Arial" w:cs="Arial"/>
          <w:sz w:val="20"/>
          <w:szCs w:val="20"/>
          <w:lang w:val="fr-FR"/>
        </w:rPr>
        <w:t xml:space="preserve">important </w:t>
      </w:r>
      <w:r w:rsidR="003A3F79" w:rsidRPr="00CC5C3C">
        <w:rPr>
          <w:rFonts w:ascii="Arial" w:hAnsi="Arial" w:cs="Arial"/>
          <w:sz w:val="20"/>
          <w:szCs w:val="20"/>
          <w:lang w:val="fr-FR"/>
        </w:rPr>
        <w:t>s</w:t>
      </w:r>
      <w:r w:rsidR="00E2176F" w:rsidRPr="00CC5C3C">
        <w:rPr>
          <w:rFonts w:ascii="Arial" w:hAnsi="Arial" w:cs="Arial"/>
          <w:sz w:val="20"/>
          <w:szCs w:val="20"/>
          <w:lang w:val="fr-FR"/>
        </w:rPr>
        <w:t xml:space="preserve">ur la question de l’exécution des arrêts et </w:t>
      </w:r>
      <w:r>
        <w:rPr>
          <w:rFonts w:ascii="Arial" w:hAnsi="Arial" w:cs="Arial"/>
          <w:sz w:val="20"/>
          <w:szCs w:val="20"/>
          <w:lang w:val="fr-FR"/>
        </w:rPr>
        <w:t>fait siennes</w:t>
      </w:r>
      <w:r w:rsidR="00E2176F" w:rsidRPr="00CC5C3C">
        <w:rPr>
          <w:rFonts w:ascii="Arial" w:hAnsi="Arial" w:cs="Arial"/>
          <w:sz w:val="20"/>
          <w:szCs w:val="20"/>
          <w:lang w:val="fr-FR"/>
        </w:rPr>
        <w:t xml:space="preserve"> les recommandations qu</w:t>
      </w:r>
      <w:r w:rsidR="00BD1C6C" w:rsidRPr="00CC5C3C">
        <w:rPr>
          <w:rFonts w:ascii="Arial" w:hAnsi="Arial" w:cs="Arial"/>
          <w:sz w:val="20"/>
          <w:szCs w:val="20"/>
          <w:lang w:val="fr-FR"/>
        </w:rPr>
        <w:t>’elle</w:t>
      </w:r>
      <w:r w:rsidR="00E2176F" w:rsidRPr="00CC5C3C">
        <w:rPr>
          <w:rFonts w:ascii="Arial" w:hAnsi="Arial" w:cs="Arial"/>
          <w:sz w:val="20"/>
          <w:szCs w:val="20"/>
          <w:lang w:val="fr-FR"/>
        </w:rPr>
        <w:t xml:space="preserve"> </w:t>
      </w:r>
      <w:r w:rsidR="00BD1C6C" w:rsidRPr="00CC5C3C">
        <w:rPr>
          <w:rFonts w:ascii="Arial" w:hAnsi="Arial" w:cs="Arial"/>
          <w:sz w:val="20"/>
          <w:szCs w:val="20"/>
          <w:lang w:val="fr-FR"/>
        </w:rPr>
        <w:t>contient</w:t>
      </w:r>
      <w:r w:rsidR="00D77D61">
        <w:rPr>
          <w:rFonts w:ascii="Arial" w:hAnsi="Arial" w:cs="Arial"/>
          <w:sz w:val="20"/>
          <w:szCs w:val="20"/>
          <w:lang w:val="fr-FR"/>
        </w:rPr>
        <w:t> ;</w:t>
      </w:r>
    </w:p>
    <w:p w:rsidR="008B478F" w:rsidRPr="00CC5C3C" w:rsidRDefault="008B478F" w:rsidP="00CA01B3">
      <w:pPr>
        <w:pStyle w:val="ListParagraph"/>
        <w:spacing w:line="240" w:lineRule="auto"/>
        <w:rPr>
          <w:rFonts w:ascii="Arial" w:hAnsi="Arial" w:cs="Arial"/>
          <w:sz w:val="20"/>
          <w:szCs w:val="20"/>
          <w:lang w:val="fr-FR"/>
        </w:rPr>
      </w:pPr>
    </w:p>
    <w:p w:rsidR="008B478F"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E</w:t>
      </w:r>
      <w:r w:rsidR="001D2F56" w:rsidRPr="00CC5C3C">
        <w:rPr>
          <w:rFonts w:ascii="Arial" w:hAnsi="Arial" w:cs="Arial"/>
          <w:sz w:val="20"/>
          <w:szCs w:val="20"/>
          <w:lang w:val="fr-FR"/>
        </w:rPr>
        <w:t xml:space="preserve">ncourage vivement le Comité des Ministres à continuer d’utiliser l’arsenal des instruments à sa disposition pour s’acquitter de </w:t>
      </w:r>
      <w:r w:rsidR="00906120" w:rsidRPr="00CC5C3C">
        <w:rPr>
          <w:rFonts w:ascii="Arial" w:hAnsi="Arial" w:cs="Arial"/>
          <w:sz w:val="20"/>
          <w:szCs w:val="20"/>
          <w:lang w:val="fr-FR"/>
        </w:rPr>
        <w:t>l</w:t>
      </w:r>
      <w:r w:rsidR="001D2F56" w:rsidRPr="00CC5C3C">
        <w:rPr>
          <w:rFonts w:ascii="Arial" w:hAnsi="Arial" w:cs="Arial"/>
          <w:sz w:val="20"/>
          <w:szCs w:val="20"/>
          <w:lang w:val="fr-FR"/>
        </w:rPr>
        <w:t>a tâche importante de surveiller l'exécution des arrêts</w:t>
      </w:r>
      <w:r w:rsidR="009F7FD2" w:rsidRPr="00CC5C3C">
        <w:rPr>
          <w:rFonts w:ascii="Arial" w:hAnsi="Arial" w:cs="Arial"/>
          <w:sz w:val="20"/>
          <w:szCs w:val="20"/>
          <w:lang w:val="fr-FR"/>
        </w:rPr>
        <w:t xml:space="preserve">, </w:t>
      </w:r>
      <w:r w:rsidR="001D2F56" w:rsidRPr="00CC5C3C">
        <w:rPr>
          <w:rFonts w:ascii="Arial" w:hAnsi="Arial" w:cs="Arial"/>
          <w:sz w:val="20"/>
          <w:szCs w:val="20"/>
          <w:lang w:val="fr-FR"/>
        </w:rPr>
        <w:t xml:space="preserve">notamment </w:t>
      </w:r>
      <w:r>
        <w:rPr>
          <w:rFonts w:ascii="Arial" w:hAnsi="Arial" w:cs="Arial"/>
          <w:sz w:val="20"/>
          <w:szCs w:val="20"/>
          <w:lang w:val="fr-FR"/>
        </w:rPr>
        <w:t>les</w:t>
      </w:r>
      <w:r w:rsidR="001D2F56" w:rsidRPr="00CC5C3C">
        <w:rPr>
          <w:rFonts w:ascii="Arial" w:hAnsi="Arial" w:cs="Arial"/>
          <w:sz w:val="20"/>
          <w:szCs w:val="20"/>
          <w:lang w:val="fr-FR"/>
        </w:rPr>
        <w:t xml:space="preserve"> procédures prévues à l’article</w:t>
      </w:r>
      <w:r w:rsidR="00CA7C1C" w:rsidRPr="00CC5C3C">
        <w:rPr>
          <w:rFonts w:ascii="Arial" w:hAnsi="Arial" w:cs="Arial"/>
          <w:sz w:val="20"/>
          <w:szCs w:val="20"/>
          <w:lang w:val="fr-FR"/>
        </w:rPr>
        <w:t> </w:t>
      </w:r>
      <w:r>
        <w:rPr>
          <w:rFonts w:ascii="Arial" w:hAnsi="Arial" w:cs="Arial"/>
          <w:sz w:val="20"/>
          <w:szCs w:val="20"/>
          <w:lang w:val="fr-FR"/>
        </w:rPr>
        <w:t>46 de la Convention</w:t>
      </w:r>
      <w:r w:rsidR="00D77D61">
        <w:rPr>
          <w:rFonts w:ascii="Arial" w:hAnsi="Arial" w:cs="Arial"/>
          <w:sz w:val="20"/>
          <w:szCs w:val="20"/>
          <w:lang w:val="fr-FR"/>
        </w:rPr>
        <w:t> ;</w:t>
      </w:r>
    </w:p>
    <w:p w:rsidR="008B478F" w:rsidRPr="00CC5C3C" w:rsidRDefault="008B478F" w:rsidP="00CA01B3">
      <w:pPr>
        <w:pStyle w:val="ListParagraph"/>
        <w:spacing w:line="240" w:lineRule="auto"/>
        <w:rPr>
          <w:rFonts w:ascii="Arial" w:hAnsi="Arial" w:cs="Arial"/>
          <w:sz w:val="20"/>
          <w:szCs w:val="20"/>
          <w:lang w:val="fr-FR"/>
        </w:rPr>
      </w:pPr>
    </w:p>
    <w:p w:rsidR="008B478F"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A</w:t>
      </w:r>
      <w:r w:rsidR="00E62215" w:rsidRPr="00CC5C3C">
        <w:rPr>
          <w:rFonts w:ascii="Arial" w:hAnsi="Arial" w:cs="Arial"/>
          <w:sz w:val="20"/>
          <w:szCs w:val="20"/>
          <w:lang w:val="fr-FR"/>
        </w:rPr>
        <w:t>ppelle le Comité des Ministres et la Cour à</w:t>
      </w:r>
      <w:r w:rsidR="009F7FD2" w:rsidRPr="00CC5C3C">
        <w:rPr>
          <w:rFonts w:ascii="Arial" w:hAnsi="Arial" w:cs="Arial"/>
          <w:sz w:val="20"/>
          <w:szCs w:val="20"/>
          <w:lang w:val="fr-FR"/>
        </w:rPr>
        <w:t xml:space="preserve"> </w:t>
      </w:r>
      <w:r w:rsidR="00E62215" w:rsidRPr="00CC5C3C">
        <w:rPr>
          <w:rFonts w:ascii="Arial" w:hAnsi="Arial" w:cs="Arial"/>
          <w:sz w:val="20"/>
          <w:szCs w:val="20"/>
          <w:lang w:val="fr-FR"/>
        </w:rPr>
        <w:t xml:space="preserve">étudier la possibilité d’identifier </w:t>
      </w:r>
      <w:r w:rsidR="00C10E54" w:rsidRPr="00CC5C3C">
        <w:rPr>
          <w:rFonts w:ascii="Arial" w:hAnsi="Arial" w:cs="Arial"/>
          <w:sz w:val="20"/>
          <w:szCs w:val="20"/>
          <w:lang w:val="fr-FR"/>
        </w:rPr>
        <w:t>d</w:t>
      </w:r>
      <w:r w:rsidR="00E62215" w:rsidRPr="00CC5C3C">
        <w:rPr>
          <w:rFonts w:ascii="Arial" w:hAnsi="Arial" w:cs="Arial"/>
          <w:sz w:val="20"/>
          <w:szCs w:val="20"/>
          <w:lang w:val="fr-FR"/>
        </w:rPr>
        <w:t>es</w:t>
      </w:r>
      <w:r w:rsidR="009F7FD2" w:rsidRPr="00CC5C3C">
        <w:rPr>
          <w:rFonts w:ascii="Arial" w:hAnsi="Arial" w:cs="Arial"/>
          <w:sz w:val="20"/>
          <w:szCs w:val="20"/>
          <w:lang w:val="fr-FR"/>
        </w:rPr>
        <w:t xml:space="preserve"> synergies </w:t>
      </w:r>
      <w:r w:rsidR="00E62215" w:rsidRPr="00CC5C3C">
        <w:rPr>
          <w:rFonts w:ascii="Arial" w:hAnsi="Arial" w:cs="Arial"/>
          <w:sz w:val="20"/>
          <w:szCs w:val="20"/>
          <w:lang w:val="fr-FR"/>
        </w:rPr>
        <w:t xml:space="preserve">entre le </w:t>
      </w:r>
      <w:r w:rsidR="0051270A">
        <w:rPr>
          <w:rFonts w:ascii="Arial" w:hAnsi="Arial" w:cs="Arial"/>
          <w:sz w:val="20"/>
          <w:szCs w:val="20"/>
          <w:lang w:val="fr-FR"/>
        </w:rPr>
        <w:t>G</w:t>
      </w:r>
      <w:r w:rsidR="00E62215" w:rsidRPr="00CC5C3C">
        <w:rPr>
          <w:rFonts w:ascii="Arial" w:hAnsi="Arial" w:cs="Arial"/>
          <w:sz w:val="20"/>
          <w:szCs w:val="20"/>
          <w:lang w:val="fr-FR"/>
        </w:rPr>
        <w:t>ref</w:t>
      </w:r>
      <w:r w:rsidR="00E50C07" w:rsidRPr="00CC5C3C">
        <w:rPr>
          <w:rFonts w:ascii="Arial" w:hAnsi="Arial" w:cs="Arial"/>
          <w:sz w:val="20"/>
          <w:szCs w:val="20"/>
          <w:lang w:val="fr-FR"/>
        </w:rPr>
        <w:t>fe et le Service de l’</w:t>
      </w:r>
      <w:r w:rsidR="0051270A">
        <w:rPr>
          <w:rFonts w:ascii="Arial" w:hAnsi="Arial" w:cs="Arial"/>
          <w:sz w:val="20"/>
          <w:szCs w:val="20"/>
          <w:lang w:val="fr-FR"/>
        </w:rPr>
        <w:t>E</w:t>
      </w:r>
      <w:r w:rsidR="00E50C07" w:rsidRPr="00CC5C3C">
        <w:rPr>
          <w:rFonts w:ascii="Arial" w:hAnsi="Arial" w:cs="Arial"/>
          <w:sz w:val="20"/>
          <w:szCs w:val="20"/>
          <w:lang w:val="fr-FR"/>
        </w:rPr>
        <w:t>xécution</w:t>
      </w:r>
      <w:r>
        <w:rPr>
          <w:rFonts w:ascii="Arial" w:hAnsi="Arial" w:cs="Arial"/>
          <w:sz w:val="20"/>
          <w:szCs w:val="20"/>
          <w:lang w:val="fr-FR"/>
        </w:rPr>
        <w:t xml:space="preserve"> des arrêts de la Cour</w:t>
      </w:r>
      <w:r w:rsidR="00E62215" w:rsidRPr="00CC5C3C">
        <w:rPr>
          <w:rFonts w:ascii="Arial" w:hAnsi="Arial" w:cs="Arial"/>
          <w:sz w:val="20"/>
          <w:szCs w:val="20"/>
          <w:lang w:val="fr-FR"/>
        </w:rPr>
        <w:t>, afin d’améliorer le</w:t>
      </w:r>
      <w:r w:rsidR="009F7FD2" w:rsidRPr="00CC5C3C">
        <w:rPr>
          <w:rFonts w:ascii="Arial" w:hAnsi="Arial" w:cs="Arial"/>
          <w:sz w:val="20"/>
          <w:szCs w:val="20"/>
          <w:lang w:val="fr-FR"/>
        </w:rPr>
        <w:t xml:space="preserve"> </w:t>
      </w:r>
      <w:r w:rsidR="00E62215" w:rsidRPr="00CC5C3C">
        <w:rPr>
          <w:rFonts w:ascii="Arial" w:hAnsi="Arial" w:cs="Arial"/>
          <w:sz w:val="20"/>
          <w:szCs w:val="20"/>
          <w:lang w:val="fr-FR"/>
        </w:rPr>
        <w:t xml:space="preserve">partage de connaissances et de supprimer les </w:t>
      </w:r>
      <w:r w:rsidR="00677DC2" w:rsidRPr="00CC5C3C">
        <w:rPr>
          <w:rFonts w:ascii="Arial" w:hAnsi="Arial" w:cs="Arial"/>
          <w:sz w:val="20"/>
          <w:szCs w:val="20"/>
          <w:lang w:val="fr-FR"/>
        </w:rPr>
        <w:t>doublons</w:t>
      </w:r>
      <w:r w:rsidR="00D77D61">
        <w:rPr>
          <w:rFonts w:ascii="Arial" w:hAnsi="Arial" w:cs="Arial"/>
          <w:sz w:val="20"/>
          <w:szCs w:val="20"/>
          <w:lang w:val="fr-FR"/>
        </w:rPr>
        <w:t> ;</w:t>
      </w:r>
    </w:p>
    <w:p w:rsidR="008B478F" w:rsidRPr="00CC5C3C" w:rsidRDefault="008B478F" w:rsidP="00CA01B3">
      <w:pPr>
        <w:pStyle w:val="ListParagraph"/>
        <w:spacing w:line="240" w:lineRule="auto"/>
        <w:rPr>
          <w:rFonts w:ascii="Arial" w:hAnsi="Arial" w:cs="Arial"/>
          <w:sz w:val="20"/>
          <w:szCs w:val="20"/>
          <w:lang w:val="fr-FR"/>
        </w:rPr>
      </w:pPr>
    </w:p>
    <w:p w:rsidR="008B478F" w:rsidRPr="00CC5C3C" w:rsidRDefault="000E1360" w:rsidP="00CA01B3">
      <w:pPr>
        <w:pStyle w:val="ListParagraph"/>
        <w:numPr>
          <w:ilvl w:val="0"/>
          <w:numId w:val="2"/>
        </w:numPr>
        <w:spacing w:line="240" w:lineRule="auto"/>
        <w:rPr>
          <w:rStyle w:val="FootnoteReference"/>
          <w:rFonts w:ascii="Arial" w:hAnsi="Arial" w:cs="Arial"/>
          <w:sz w:val="20"/>
          <w:szCs w:val="20"/>
          <w:vertAlign w:val="baseline"/>
          <w:lang w:val="fr-FR"/>
        </w:rPr>
      </w:pPr>
      <w:r>
        <w:rPr>
          <w:rFonts w:ascii="Arial" w:hAnsi="Arial" w:cs="Arial"/>
          <w:sz w:val="20"/>
          <w:szCs w:val="20"/>
          <w:lang w:val="fr-FR"/>
        </w:rPr>
        <w:t>A</w:t>
      </w:r>
      <w:r w:rsidR="0085741D" w:rsidRPr="00CC5C3C">
        <w:rPr>
          <w:rFonts w:ascii="Arial" w:hAnsi="Arial" w:cs="Arial"/>
          <w:sz w:val="20"/>
          <w:szCs w:val="20"/>
          <w:lang w:val="fr-FR"/>
        </w:rPr>
        <w:t xml:space="preserve">ppelle le Comité des Ministres, lors de sa session annuelle au niveau ministériel, à prendre note et à débattre d’un rapport présentant de graves </w:t>
      </w:r>
      <w:r w:rsidR="00E50C07" w:rsidRPr="00CC5C3C">
        <w:rPr>
          <w:rFonts w:ascii="Arial" w:hAnsi="Arial" w:cs="Arial"/>
          <w:sz w:val="20"/>
          <w:szCs w:val="20"/>
          <w:lang w:val="fr-FR"/>
        </w:rPr>
        <w:t>ca</w:t>
      </w:r>
      <w:r w:rsidR="0085741D" w:rsidRPr="00CC5C3C">
        <w:rPr>
          <w:rFonts w:ascii="Arial" w:hAnsi="Arial" w:cs="Arial"/>
          <w:sz w:val="20"/>
          <w:szCs w:val="20"/>
          <w:lang w:val="fr-FR"/>
        </w:rPr>
        <w:t>s de non-exécution d’arrêts</w:t>
      </w:r>
      <w:r w:rsidR="009F7FD2" w:rsidRPr="00CC5C3C">
        <w:rPr>
          <w:rFonts w:ascii="Arial" w:hAnsi="Arial" w:cs="Arial"/>
          <w:sz w:val="20"/>
          <w:szCs w:val="20"/>
          <w:lang w:val="fr-FR"/>
        </w:rPr>
        <w:t xml:space="preserve">, </w:t>
      </w:r>
      <w:r w:rsidR="0085741D" w:rsidRPr="00CC5C3C">
        <w:rPr>
          <w:rFonts w:ascii="Arial" w:hAnsi="Arial" w:cs="Arial"/>
          <w:sz w:val="20"/>
          <w:szCs w:val="20"/>
          <w:lang w:val="fr-FR"/>
        </w:rPr>
        <w:t>selon des critères prédéfinis</w:t>
      </w:r>
      <w:r w:rsidR="009F7FD2" w:rsidRPr="00CC5C3C">
        <w:rPr>
          <w:rFonts w:ascii="Arial" w:hAnsi="Arial" w:cs="Arial"/>
          <w:sz w:val="20"/>
          <w:szCs w:val="20"/>
          <w:lang w:val="fr-FR"/>
        </w:rPr>
        <w:t xml:space="preserve">, </w:t>
      </w:r>
      <w:r w:rsidR="0085741D" w:rsidRPr="00CC5C3C">
        <w:rPr>
          <w:rFonts w:ascii="Arial" w:hAnsi="Arial" w:cs="Arial"/>
          <w:sz w:val="20"/>
          <w:szCs w:val="20"/>
          <w:lang w:val="fr-FR"/>
        </w:rPr>
        <w:t>et à demander</w:t>
      </w:r>
      <w:r>
        <w:rPr>
          <w:rFonts w:ascii="Arial" w:hAnsi="Arial" w:cs="Arial"/>
          <w:sz w:val="20"/>
          <w:szCs w:val="20"/>
          <w:lang w:val="fr-FR"/>
        </w:rPr>
        <w:t xml:space="preserve"> aux États concernés de réagir</w:t>
      </w:r>
      <w:r w:rsidR="00D77D61">
        <w:rPr>
          <w:rFonts w:ascii="Arial" w:hAnsi="Arial" w:cs="Arial"/>
          <w:sz w:val="20"/>
          <w:szCs w:val="20"/>
          <w:lang w:val="fr-FR"/>
        </w:rPr>
        <w:t> ;</w:t>
      </w:r>
    </w:p>
    <w:p w:rsidR="008B478F" w:rsidRPr="00CC5C3C" w:rsidRDefault="008B478F" w:rsidP="00CA01B3">
      <w:pPr>
        <w:pStyle w:val="ListParagraph"/>
        <w:rPr>
          <w:rFonts w:ascii="Arial" w:hAnsi="Arial" w:cs="Arial"/>
          <w:sz w:val="20"/>
          <w:szCs w:val="20"/>
          <w:lang w:val="fr-FR"/>
        </w:rPr>
      </w:pPr>
    </w:p>
    <w:p w:rsidR="009B666B" w:rsidRDefault="009B666B">
      <w:pPr>
        <w:rPr>
          <w:rFonts w:ascii="Arial" w:hAnsi="Arial" w:cs="Arial"/>
          <w:sz w:val="20"/>
          <w:szCs w:val="20"/>
          <w:lang w:val="fr-FR"/>
        </w:rPr>
      </w:pPr>
      <w:r>
        <w:rPr>
          <w:rFonts w:ascii="Arial" w:hAnsi="Arial" w:cs="Arial"/>
          <w:sz w:val="20"/>
          <w:szCs w:val="20"/>
          <w:lang w:val="fr-FR"/>
        </w:rPr>
        <w:br w:type="page"/>
      </w:r>
    </w:p>
    <w:p w:rsidR="00C23B58"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lastRenderedPageBreak/>
        <w:t>E</w:t>
      </w:r>
      <w:r w:rsidR="009F7FD2" w:rsidRPr="00CC5C3C">
        <w:rPr>
          <w:rFonts w:ascii="Arial" w:hAnsi="Arial" w:cs="Arial"/>
          <w:sz w:val="20"/>
          <w:szCs w:val="20"/>
          <w:lang w:val="fr-FR"/>
        </w:rPr>
        <w:t>ncourage</w:t>
      </w:r>
      <w:r w:rsidR="00C23B58" w:rsidRPr="00CC5C3C">
        <w:rPr>
          <w:rFonts w:ascii="Arial" w:hAnsi="Arial" w:cs="Arial"/>
          <w:sz w:val="20"/>
          <w:szCs w:val="20"/>
          <w:lang w:val="fr-FR"/>
        </w:rPr>
        <w:t xml:space="preserve"> le Comité des Ministres à </w:t>
      </w:r>
      <w:r w:rsidR="00E50C07" w:rsidRPr="00CC5C3C">
        <w:rPr>
          <w:rFonts w:ascii="Arial" w:hAnsi="Arial" w:cs="Arial"/>
          <w:sz w:val="20"/>
          <w:szCs w:val="20"/>
          <w:lang w:val="fr-FR"/>
        </w:rPr>
        <w:t>examiner</w:t>
      </w:r>
      <w:r w:rsidR="00C23B58" w:rsidRPr="00CC5C3C">
        <w:rPr>
          <w:rFonts w:ascii="Arial" w:hAnsi="Arial" w:cs="Arial"/>
          <w:sz w:val="20"/>
          <w:szCs w:val="20"/>
          <w:lang w:val="fr-FR"/>
        </w:rPr>
        <w:t xml:space="preserve"> la nécessité de renforcer la capacité </w:t>
      </w:r>
      <w:r w:rsidR="002655D4" w:rsidRPr="00CC5C3C">
        <w:rPr>
          <w:rFonts w:ascii="Arial" w:hAnsi="Arial" w:cs="Arial"/>
          <w:sz w:val="20"/>
          <w:szCs w:val="20"/>
          <w:lang w:val="fr-FR"/>
        </w:rPr>
        <w:t>à répondre rapidement et avec souplesse</w:t>
      </w:r>
      <w:r w:rsidR="00C23B58" w:rsidRPr="00CC5C3C">
        <w:rPr>
          <w:rFonts w:ascii="Arial" w:hAnsi="Arial" w:cs="Arial"/>
          <w:sz w:val="20"/>
          <w:szCs w:val="20"/>
          <w:lang w:val="fr-FR"/>
        </w:rPr>
        <w:t>, entre autres en envisageant la création d</w:t>
      </w:r>
      <w:r w:rsidR="00EC057C" w:rsidRPr="00CC5C3C">
        <w:rPr>
          <w:rFonts w:ascii="Arial" w:hAnsi="Arial" w:cs="Arial"/>
          <w:sz w:val="20"/>
          <w:szCs w:val="20"/>
          <w:lang w:val="fr-FR"/>
        </w:rPr>
        <w:t>’équipes</w:t>
      </w:r>
      <w:r w:rsidR="009E57AC" w:rsidRPr="00CC5C3C">
        <w:rPr>
          <w:rFonts w:ascii="Arial" w:hAnsi="Arial" w:cs="Arial"/>
          <w:sz w:val="20"/>
          <w:szCs w:val="20"/>
          <w:lang w:val="fr-FR"/>
        </w:rPr>
        <w:t xml:space="preserve"> spéciales qui seraient </w:t>
      </w:r>
      <w:r w:rsidR="00C23B58" w:rsidRPr="00CC5C3C">
        <w:rPr>
          <w:rFonts w:ascii="Arial" w:hAnsi="Arial" w:cs="Arial"/>
          <w:sz w:val="20"/>
          <w:szCs w:val="20"/>
          <w:lang w:val="fr-FR"/>
        </w:rPr>
        <w:t>déployé</w:t>
      </w:r>
      <w:r w:rsidR="009E57AC" w:rsidRPr="00CC5C3C">
        <w:rPr>
          <w:rFonts w:ascii="Arial" w:hAnsi="Arial" w:cs="Arial"/>
          <w:sz w:val="20"/>
          <w:szCs w:val="20"/>
          <w:lang w:val="fr-FR"/>
        </w:rPr>
        <w:t>es</w:t>
      </w:r>
      <w:r w:rsidR="00C23B58" w:rsidRPr="00CC5C3C">
        <w:rPr>
          <w:rFonts w:ascii="Arial" w:hAnsi="Arial" w:cs="Arial"/>
          <w:sz w:val="20"/>
          <w:szCs w:val="20"/>
          <w:lang w:val="fr-FR"/>
        </w:rPr>
        <w:t xml:space="preserve"> </w:t>
      </w:r>
      <w:r w:rsidR="00CC4AE5" w:rsidRPr="00CC5C3C">
        <w:rPr>
          <w:rFonts w:ascii="Arial" w:hAnsi="Arial" w:cs="Arial"/>
          <w:sz w:val="20"/>
          <w:szCs w:val="20"/>
          <w:lang w:val="fr-FR"/>
        </w:rPr>
        <w:t xml:space="preserve">à </w:t>
      </w:r>
      <w:r w:rsidR="0051270A">
        <w:rPr>
          <w:rFonts w:ascii="Arial" w:hAnsi="Arial" w:cs="Arial"/>
          <w:sz w:val="20"/>
          <w:szCs w:val="20"/>
          <w:lang w:val="fr-FR"/>
        </w:rPr>
        <w:t>court terme</w:t>
      </w:r>
      <w:r w:rsidR="00C23B58" w:rsidRPr="00CC5C3C">
        <w:rPr>
          <w:rFonts w:ascii="Arial" w:hAnsi="Arial" w:cs="Arial"/>
          <w:sz w:val="20"/>
          <w:szCs w:val="20"/>
          <w:lang w:val="fr-FR"/>
        </w:rPr>
        <w:t xml:space="preserve"> dans </w:t>
      </w:r>
      <w:r w:rsidR="00B07DCC" w:rsidRPr="00CC5C3C">
        <w:rPr>
          <w:rFonts w:ascii="Arial" w:hAnsi="Arial" w:cs="Arial"/>
          <w:sz w:val="20"/>
          <w:szCs w:val="20"/>
          <w:lang w:val="fr-FR"/>
        </w:rPr>
        <w:t>d</w:t>
      </w:r>
      <w:r w:rsidR="00C23B58" w:rsidRPr="00CC5C3C">
        <w:rPr>
          <w:rFonts w:ascii="Arial" w:hAnsi="Arial" w:cs="Arial"/>
          <w:sz w:val="20"/>
          <w:szCs w:val="20"/>
          <w:lang w:val="fr-FR"/>
        </w:rPr>
        <w:t xml:space="preserve">es pays </w:t>
      </w:r>
      <w:r w:rsidR="000021C4" w:rsidRPr="00CC5C3C">
        <w:rPr>
          <w:rFonts w:ascii="Arial" w:hAnsi="Arial" w:cs="Arial"/>
          <w:sz w:val="20"/>
          <w:szCs w:val="20"/>
          <w:lang w:val="fr-FR"/>
        </w:rPr>
        <w:t xml:space="preserve">confrontés au </w:t>
      </w:r>
      <w:r w:rsidR="00C23B58" w:rsidRPr="00CC5C3C">
        <w:rPr>
          <w:rFonts w:ascii="Arial" w:hAnsi="Arial" w:cs="Arial"/>
          <w:sz w:val="20"/>
          <w:szCs w:val="20"/>
          <w:lang w:val="fr-FR"/>
        </w:rPr>
        <w:t xml:space="preserve">défi de mettre en œuvre un arrêt pilote, afin d’offrir l’expertise </w:t>
      </w:r>
      <w:r w:rsidR="003942E7" w:rsidRPr="00CC5C3C">
        <w:rPr>
          <w:rFonts w:ascii="Arial" w:hAnsi="Arial" w:cs="Arial"/>
          <w:sz w:val="20"/>
          <w:szCs w:val="20"/>
          <w:lang w:val="fr-FR"/>
        </w:rPr>
        <w:t xml:space="preserve">et l’assistance </w:t>
      </w:r>
      <w:r w:rsidR="00C23B58" w:rsidRPr="00CC5C3C">
        <w:rPr>
          <w:rFonts w:ascii="Arial" w:hAnsi="Arial" w:cs="Arial"/>
          <w:sz w:val="20"/>
          <w:szCs w:val="20"/>
          <w:lang w:val="fr-FR"/>
        </w:rPr>
        <w:t>coordonnée</w:t>
      </w:r>
      <w:r w:rsidR="003942E7" w:rsidRPr="00CC5C3C">
        <w:rPr>
          <w:rFonts w:ascii="Arial" w:hAnsi="Arial" w:cs="Arial"/>
          <w:sz w:val="20"/>
          <w:szCs w:val="20"/>
          <w:lang w:val="fr-FR"/>
        </w:rPr>
        <w:t>s</w:t>
      </w:r>
      <w:r w:rsidR="00C23B58" w:rsidRPr="00CC5C3C">
        <w:rPr>
          <w:rFonts w:ascii="Arial" w:hAnsi="Arial" w:cs="Arial"/>
          <w:sz w:val="20"/>
          <w:szCs w:val="20"/>
          <w:lang w:val="fr-FR"/>
        </w:rPr>
        <w:t xml:space="preserve"> du </w:t>
      </w:r>
      <w:r w:rsidR="003942E7" w:rsidRPr="00CC5C3C">
        <w:rPr>
          <w:rFonts w:ascii="Arial" w:hAnsi="Arial" w:cs="Arial"/>
          <w:sz w:val="20"/>
          <w:szCs w:val="20"/>
          <w:lang w:val="fr-FR"/>
        </w:rPr>
        <w:t xml:space="preserve">Conseil de l'Europe </w:t>
      </w:r>
      <w:r w:rsidR="00C23B58" w:rsidRPr="00CC5C3C">
        <w:rPr>
          <w:rFonts w:ascii="Arial" w:hAnsi="Arial" w:cs="Arial"/>
          <w:sz w:val="20"/>
          <w:szCs w:val="20"/>
          <w:lang w:val="fr-FR"/>
        </w:rPr>
        <w:t xml:space="preserve">pour </w:t>
      </w:r>
      <w:r w:rsidR="009A7714" w:rsidRPr="00CC5C3C">
        <w:rPr>
          <w:rFonts w:ascii="Arial" w:hAnsi="Arial" w:cs="Arial"/>
          <w:sz w:val="20"/>
          <w:szCs w:val="20"/>
          <w:lang w:val="fr-FR"/>
        </w:rPr>
        <w:t xml:space="preserve">assurer </w:t>
      </w:r>
      <w:r w:rsidR="00C23B58" w:rsidRPr="00CC5C3C">
        <w:rPr>
          <w:rFonts w:ascii="Arial" w:hAnsi="Arial" w:cs="Arial"/>
          <w:sz w:val="20"/>
          <w:szCs w:val="20"/>
          <w:lang w:val="fr-FR"/>
        </w:rPr>
        <w:t>une exécution rapide.</w:t>
      </w:r>
      <w:r w:rsidR="003C2DA3" w:rsidRPr="00CC5C3C">
        <w:rPr>
          <w:rFonts w:ascii="Arial" w:hAnsi="Arial" w:cs="Arial"/>
          <w:sz w:val="20"/>
          <w:szCs w:val="20"/>
          <w:lang w:val="fr-FR"/>
        </w:rPr>
        <w:t xml:space="preserve"> </w:t>
      </w:r>
    </w:p>
    <w:p w:rsidR="008B478F" w:rsidRPr="00CC5C3C" w:rsidRDefault="00032099" w:rsidP="00CA01B3">
      <w:pPr>
        <w:spacing w:line="240" w:lineRule="auto"/>
        <w:rPr>
          <w:rFonts w:ascii="Arial" w:hAnsi="Arial" w:cs="Arial"/>
          <w:b/>
          <w:sz w:val="20"/>
          <w:szCs w:val="20"/>
          <w:lang w:val="fr-FR"/>
        </w:rPr>
      </w:pPr>
      <w:r w:rsidRPr="00CC5C3C">
        <w:rPr>
          <w:rFonts w:ascii="Arial" w:hAnsi="Arial" w:cs="Arial"/>
          <w:b/>
          <w:sz w:val="20"/>
          <w:szCs w:val="20"/>
          <w:lang w:val="fr-FR"/>
        </w:rPr>
        <w:t>Adhésion de l’U</w:t>
      </w:r>
      <w:r w:rsidR="000E1360">
        <w:rPr>
          <w:rFonts w:ascii="Arial" w:hAnsi="Arial" w:cs="Arial"/>
          <w:b/>
          <w:sz w:val="20"/>
          <w:szCs w:val="20"/>
          <w:lang w:val="fr-FR"/>
        </w:rPr>
        <w:t>nion européenne</w:t>
      </w:r>
    </w:p>
    <w:p w:rsidR="00C53E39" w:rsidRPr="00CC5C3C" w:rsidRDefault="00C53E39" w:rsidP="000045D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 xml:space="preserve">Les </w:t>
      </w:r>
      <w:r w:rsidR="00C75AB4">
        <w:rPr>
          <w:rFonts w:ascii="Arial" w:hAnsi="Arial" w:cs="Arial"/>
          <w:sz w:val="20"/>
          <w:szCs w:val="20"/>
          <w:lang w:val="fr-FR"/>
        </w:rPr>
        <w:t xml:space="preserve">États Parties </w:t>
      </w:r>
      <w:r w:rsidRPr="00CC5C3C">
        <w:rPr>
          <w:rFonts w:ascii="Arial" w:hAnsi="Arial" w:cs="Arial"/>
          <w:sz w:val="20"/>
          <w:szCs w:val="20"/>
          <w:lang w:val="fr-FR"/>
        </w:rPr>
        <w:t xml:space="preserve">réitèrent </w:t>
      </w:r>
      <w:r w:rsidR="00CF7D04">
        <w:rPr>
          <w:rFonts w:ascii="Arial" w:hAnsi="Arial" w:cs="Arial"/>
          <w:sz w:val="20"/>
          <w:szCs w:val="20"/>
          <w:lang w:val="fr-FR"/>
        </w:rPr>
        <w:t>l’importance de</w:t>
      </w:r>
      <w:r w:rsidRPr="00CC5C3C">
        <w:rPr>
          <w:rFonts w:ascii="Arial" w:hAnsi="Arial" w:cs="Arial"/>
          <w:sz w:val="20"/>
          <w:szCs w:val="20"/>
          <w:lang w:val="fr-FR"/>
        </w:rPr>
        <w:t xml:space="preserve"> l’adhésion de</w:t>
      </w:r>
      <w:r w:rsidR="009F7FD2" w:rsidRPr="00CC5C3C">
        <w:rPr>
          <w:rFonts w:ascii="Arial" w:hAnsi="Arial" w:cs="Arial"/>
          <w:sz w:val="20"/>
          <w:szCs w:val="20"/>
          <w:lang w:val="fr-FR"/>
        </w:rPr>
        <w:t xml:space="preserve"> </w:t>
      </w:r>
      <w:r w:rsidRPr="00CC5C3C">
        <w:rPr>
          <w:rFonts w:ascii="Arial" w:hAnsi="Arial" w:cs="Arial"/>
          <w:sz w:val="20"/>
          <w:szCs w:val="20"/>
          <w:lang w:val="fr-FR"/>
        </w:rPr>
        <w:t xml:space="preserve">l’Union européenne à la </w:t>
      </w:r>
      <w:r w:rsidR="009F7FD2" w:rsidRPr="00CC5C3C">
        <w:rPr>
          <w:rFonts w:ascii="Arial" w:hAnsi="Arial" w:cs="Arial"/>
          <w:sz w:val="20"/>
          <w:szCs w:val="20"/>
          <w:lang w:val="fr-FR"/>
        </w:rPr>
        <w:t xml:space="preserve">Convention </w:t>
      </w:r>
      <w:r w:rsidR="00E6365F">
        <w:rPr>
          <w:rFonts w:ascii="Arial" w:hAnsi="Arial" w:cs="Arial"/>
          <w:sz w:val="20"/>
          <w:szCs w:val="20"/>
          <w:lang w:val="fr-FR"/>
        </w:rPr>
        <w:t xml:space="preserve">qui </w:t>
      </w:r>
      <w:r w:rsidR="00C96953">
        <w:rPr>
          <w:rFonts w:ascii="Arial" w:hAnsi="Arial" w:cs="Arial"/>
          <w:sz w:val="20"/>
          <w:szCs w:val="20"/>
          <w:lang w:val="fr-FR"/>
        </w:rPr>
        <w:t xml:space="preserve">constituerait </w:t>
      </w:r>
      <w:r w:rsidR="00CF5078" w:rsidRPr="00E6365F">
        <w:rPr>
          <w:rFonts w:ascii="Arial" w:hAnsi="Arial" w:cs="Arial"/>
          <w:sz w:val="20"/>
          <w:szCs w:val="20"/>
          <w:lang w:val="fr-FR"/>
        </w:rPr>
        <w:t>un moyen d'améliorer la cohérence de la protection des droits de l'homme en Europe,</w:t>
      </w:r>
      <w:r w:rsidR="000045D3" w:rsidRPr="00E6365F">
        <w:rPr>
          <w:rFonts w:ascii="Arial" w:hAnsi="Arial" w:cs="Arial"/>
          <w:sz w:val="20"/>
          <w:szCs w:val="20"/>
          <w:lang w:val="fr-FR"/>
        </w:rPr>
        <w:t xml:space="preserve"> </w:t>
      </w:r>
      <w:r w:rsidRPr="00CC5C3C">
        <w:rPr>
          <w:rFonts w:ascii="Arial" w:hAnsi="Arial" w:cs="Arial"/>
          <w:sz w:val="20"/>
          <w:szCs w:val="20"/>
          <w:lang w:val="fr-FR"/>
        </w:rPr>
        <w:t>et appellent les institutio</w:t>
      </w:r>
      <w:bookmarkStart w:id="0" w:name="_GoBack"/>
      <w:bookmarkEnd w:id="0"/>
      <w:r w:rsidRPr="00CC5C3C">
        <w:rPr>
          <w:rFonts w:ascii="Arial" w:hAnsi="Arial" w:cs="Arial"/>
          <w:sz w:val="20"/>
          <w:szCs w:val="20"/>
          <w:lang w:val="fr-FR"/>
        </w:rPr>
        <w:t>ns de l’Union européenne à prendre les mesures nécessaires pour permettre</w:t>
      </w:r>
      <w:r w:rsidR="007744FB" w:rsidRPr="00CC5C3C">
        <w:rPr>
          <w:rFonts w:ascii="Arial" w:hAnsi="Arial" w:cs="Arial"/>
          <w:sz w:val="20"/>
          <w:szCs w:val="20"/>
          <w:lang w:val="fr-FR"/>
        </w:rPr>
        <w:t xml:space="preserve"> d’avancer dans le</w:t>
      </w:r>
      <w:r w:rsidRPr="00CC5C3C">
        <w:rPr>
          <w:rFonts w:ascii="Arial" w:hAnsi="Arial" w:cs="Arial"/>
          <w:sz w:val="20"/>
          <w:szCs w:val="20"/>
          <w:lang w:val="fr-FR"/>
        </w:rPr>
        <w:t xml:space="preserve"> processus prévu par l’article</w:t>
      </w:r>
      <w:r w:rsidR="0022522C" w:rsidRPr="00CC5C3C">
        <w:rPr>
          <w:rFonts w:ascii="Arial" w:hAnsi="Arial" w:cs="Arial"/>
          <w:sz w:val="20"/>
          <w:szCs w:val="20"/>
          <w:lang w:val="fr-FR"/>
        </w:rPr>
        <w:t> </w:t>
      </w:r>
      <w:r w:rsidRPr="00CC5C3C">
        <w:rPr>
          <w:rFonts w:ascii="Arial" w:hAnsi="Arial" w:cs="Arial"/>
          <w:sz w:val="20"/>
          <w:szCs w:val="20"/>
          <w:lang w:val="fr-FR"/>
        </w:rPr>
        <w:t>6</w:t>
      </w:r>
      <w:r w:rsidR="0022522C" w:rsidRPr="00CC5C3C">
        <w:rPr>
          <w:rFonts w:ascii="Arial" w:hAnsi="Arial" w:cs="Arial"/>
          <w:sz w:val="20"/>
          <w:szCs w:val="20"/>
          <w:lang w:val="fr-FR"/>
        </w:rPr>
        <w:t> </w:t>
      </w:r>
      <w:r w:rsidRPr="00CC5C3C">
        <w:rPr>
          <w:rFonts w:ascii="Arial" w:hAnsi="Arial" w:cs="Arial"/>
          <w:sz w:val="20"/>
          <w:szCs w:val="20"/>
          <w:lang w:val="fr-FR"/>
        </w:rPr>
        <w:t>§</w:t>
      </w:r>
      <w:r w:rsidR="0022522C" w:rsidRPr="00CC5C3C">
        <w:rPr>
          <w:rFonts w:ascii="Arial" w:hAnsi="Arial" w:cs="Arial"/>
          <w:sz w:val="20"/>
          <w:szCs w:val="20"/>
          <w:lang w:val="fr-FR"/>
        </w:rPr>
        <w:t> </w:t>
      </w:r>
      <w:r w:rsidRPr="00CC5C3C">
        <w:rPr>
          <w:rFonts w:ascii="Arial" w:hAnsi="Arial" w:cs="Arial"/>
          <w:sz w:val="20"/>
          <w:szCs w:val="20"/>
          <w:lang w:val="fr-FR"/>
        </w:rPr>
        <w:t>2 du Traité de Lisbonne.</w:t>
      </w:r>
      <w:r w:rsidR="003C2DA3" w:rsidRPr="00CC5C3C">
        <w:rPr>
          <w:rFonts w:ascii="Arial" w:hAnsi="Arial" w:cs="Arial"/>
          <w:sz w:val="20"/>
          <w:szCs w:val="20"/>
          <w:lang w:val="fr-FR"/>
        </w:rPr>
        <w:t xml:space="preserve"> À cet égard, il</w:t>
      </w:r>
      <w:r w:rsidR="00654167" w:rsidRPr="00CC5C3C">
        <w:rPr>
          <w:rFonts w:ascii="Arial" w:hAnsi="Arial" w:cs="Arial"/>
          <w:sz w:val="20"/>
          <w:szCs w:val="20"/>
          <w:lang w:val="fr-FR"/>
        </w:rPr>
        <w:t>s</w:t>
      </w:r>
      <w:r w:rsidR="003C2DA3" w:rsidRPr="00CC5C3C">
        <w:rPr>
          <w:rFonts w:ascii="Arial" w:hAnsi="Arial" w:cs="Arial"/>
          <w:sz w:val="20"/>
          <w:szCs w:val="20"/>
          <w:lang w:val="fr-FR"/>
        </w:rPr>
        <w:t xml:space="preserve"> se félicite</w:t>
      </w:r>
      <w:r w:rsidR="00654167" w:rsidRPr="00CC5C3C">
        <w:rPr>
          <w:rFonts w:ascii="Arial" w:hAnsi="Arial" w:cs="Arial"/>
          <w:sz w:val="20"/>
          <w:szCs w:val="20"/>
          <w:lang w:val="fr-FR"/>
        </w:rPr>
        <w:t>nt</w:t>
      </w:r>
      <w:r w:rsidR="003C2DA3" w:rsidRPr="00CC5C3C">
        <w:rPr>
          <w:rFonts w:ascii="Arial" w:hAnsi="Arial" w:cs="Arial"/>
          <w:sz w:val="20"/>
          <w:szCs w:val="20"/>
          <w:lang w:val="fr-FR"/>
        </w:rPr>
        <w:t xml:space="preserve"> des contacts réguliers entre la Cour de justice de l’Union européenne et la </w:t>
      </w:r>
      <w:r w:rsidR="00377973" w:rsidRPr="00CC5C3C">
        <w:rPr>
          <w:rFonts w:ascii="Arial" w:hAnsi="Arial" w:cs="Arial"/>
          <w:sz w:val="20"/>
          <w:szCs w:val="20"/>
          <w:lang w:val="fr-FR"/>
        </w:rPr>
        <w:t xml:space="preserve">Cour </w:t>
      </w:r>
      <w:r w:rsidR="003C2DA3" w:rsidRPr="00CC5C3C">
        <w:rPr>
          <w:rFonts w:ascii="Arial" w:hAnsi="Arial" w:cs="Arial"/>
          <w:sz w:val="20"/>
          <w:szCs w:val="20"/>
          <w:lang w:val="fr-FR"/>
        </w:rPr>
        <w:t xml:space="preserve">européenne des droits de l’homme, </w:t>
      </w:r>
      <w:r w:rsidR="000045D3" w:rsidRPr="000045D3">
        <w:rPr>
          <w:rFonts w:ascii="Arial" w:hAnsi="Arial" w:cs="Arial"/>
          <w:sz w:val="20"/>
          <w:szCs w:val="20"/>
          <w:lang w:val="fr-FR"/>
        </w:rPr>
        <w:t xml:space="preserve">et, le cas échéant, la </w:t>
      </w:r>
      <w:r w:rsidR="003C2DA3" w:rsidRPr="00CC5C3C">
        <w:rPr>
          <w:rFonts w:ascii="Arial" w:hAnsi="Arial" w:cs="Arial"/>
          <w:sz w:val="20"/>
          <w:szCs w:val="20"/>
          <w:lang w:val="fr-FR"/>
        </w:rPr>
        <w:t xml:space="preserve">convergence croissante </w:t>
      </w:r>
      <w:r w:rsidR="00377973" w:rsidRPr="00CC5C3C">
        <w:rPr>
          <w:rFonts w:ascii="Arial" w:hAnsi="Arial" w:cs="Arial"/>
          <w:sz w:val="20"/>
          <w:szCs w:val="20"/>
          <w:lang w:val="fr-FR"/>
        </w:rPr>
        <w:t>des</w:t>
      </w:r>
      <w:r w:rsidR="003C2DA3" w:rsidRPr="00CC5C3C">
        <w:rPr>
          <w:rFonts w:ascii="Arial" w:hAnsi="Arial" w:cs="Arial"/>
          <w:sz w:val="20"/>
          <w:szCs w:val="20"/>
          <w:lang w:val="fr-FR"/>
        </w:rPr>
        <w:t xml:space="preserve"> </w:t>
      </w:r>
      <w:r w:rsidR="000045D3">
        <w:rPr>
          <w:rFonts w:ascii="Arial" w:hAnsi="Arial" w:cs="Arial"/>
          <w:sz w:val="20"/>
          <w:szCs w:val="20"/>
          <w:lang w:val="fr-FR"/>
        </w:rPr>
        <w:t>interprétations</w:t>
      </w:r>
      <w:r w:rsidR="003C2DA3" w:rsidRPr="00CC5C3C">
        <w:rPr>
          <w:rFonts w:ascii="Arial" w:hAnsi="Arial" w:cs="Arial"/>
          <w:sz w:val="20"/>
          <w:szCs w:val="20"/>
          <w:lang w:val="fr-FR"/>
        </w:rPr>
        <w:t xml:space="preserve"> de ces deux </w:t>
      </w:r>
      <w:r w:rsidR="0051270A">
        <w:rPr>
          <w:rFonts w:ascii="Arial" w:hAnsi="Arial" w:cs="Arial"/>
          <w:sz w:val="20"/>
          <w:szCs w:val="20"/>
          <w:lang w:val="fr-FR"/>
        </w:rPr>
        <w:t>cours</w:t>
      </w:r>
      <w:r w:rsidR="003C2DA3" w:rsidRPr="00CC5C3C">
        <w:rPr>
          <w:rFonts w:ascii="Arial" w:hAnsi="Arial" w:cs="Arial"/>
          <w:sz w:val="20"/>
          <w:szCs w:val="20"/>
          <w:lang w:val="fr-FR"/>
        </w:rPr>
        <w:t>.</w:t>
      </w:r>
    </w:p>
    <w:p w:rsidR="008B478F" w:rsidRPr="00CC5C3C" w:rsidRDefault="00B95D9D" w:rsidP="00CA01B3">
      <w:pPr>
        <w:spacing w:line="240" w:lineRule="auto"/>
        <w:rPr>
          <w:rFonts w:ascii="Arial" w:hAnsi="Arial" w:cs="Arial"/>
          <w:b/>
          <w:sz w:val="20"/>
          <w:szCs w:val="20"/>
          <w:lang w:val="fr-FR"/>
        </w:rPr>
      </w:pPr>
      <w:r w:rsidRPr="00CC5C3C">
        <w:rPr>
          <w:rFonts w:ascii="Arial" w:hAnsi="Arial" w:cs="Arial"/>
          <w:b/>
          <w:sz w:val="20"/>
          <w:szCs w:val="20"/>
          <w:lang w:val="fr-FR"/>
        </w:rPr>
        <w:t>Autres mesures</w:t>
      </w:r>
    </w:p>
    <w:p w:rsidR="0098001E" w:rsidRPr="00CC5C3C" w:rsidRDefault="0098001E"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 xml:space="preserve">La présente Déclaration </w:t>
      </w:r>
      <w:r w:rsidR="00F82B71" w:rsidRPr="00CC5C3C">
        <w:rPr>
          <w:rFonts w:ascii="Arial" w:hAnsi="Arial" w:cs="Arial"/>
          <w:sz w:val="20"/>
          <w:szCs w:val="20"/>
          <w:lang w:val="fr-FR"/>
        </w:rPr>
        <w:t xml:space="preserve">a </w:t>
      </w:r>
      <w:r w:rsidRPr="00CC5C3C">
        <w:rPr>
          <w:rFonts w:ascii="Arial" w:hAnsi="Arial" w:cs="Arial"/>
          <w:sz w:val="20"/>
          <w:szCs w:val="20"/>
          <w:lang w:val="fr-FR"/>
        </w:rPr>
        <w:t>trait</w:t>
      </w:r>
      <w:r w:rsidR="00F82B71" w:rsidRPr="00CC5C3C">
        <w:rPr>
          <w:rFonts w:ascii="Arial" w:hAnsi="Arial" w:cs="Arial"/>
          <w:sz w:val="20"/>
          <w:szCs w:val="20"/>
          <w:lang w:val="fr-FR"/>
        </w:rPr>
        <w:t xml:space="preserve"> aux</w:t>
      </w:r>
      <w:r w:rsidRPr="00CC5C3C">
        <w:rPr>
          <w:rFonts w:ascii="Arial" w:hAnsi="Arial" w:cs="Arial"/>
          <w:sz w:val="20"/>
          <w:szCs w:val="20"/>
          <w:lang w:val="fr-FR"/>
        </w:rPr>
        <w:t xml:space="preserve"> défis actuels que doit relever le système de la Convention. Comme le montre la réforme en cours, les États </w:t>
      </w:r>
      <w:r w:rsidR="000E1360">
        <w:rPr>
          <w:rFonts w:ascii="Arial" w:hAnsi="Arial" w:cs="Arial"/>
          <w:sz w:val="20"/>
          <w:szCs w:val="20"/>
          <w:lang w:val="fr-FR"/>
        </w:rPr>
        <w:t>P</w:t>
      </w:r>
      <w:r w:rsidRPr="00CC5C3C">
        <w:rPr>
          <w:rFonts w:ascii="Arial" w:hAnsi="Arial" w:cs="Arial"/>
          <w:sz w:val="20"/>
          <w:szCs w:val="20"/>
          <w:lang w:val="fr-FR"/>
        </w:rPr>
        <w:t>arties, le Comité des Ministres, la Cour et le Secrétaire Général devront faire des efforts cont</w:t>
      </w:r>
      <w:r w:rsidR="00B51D28" w:rsidRPr="00CC5C3C">
        <w:rPr>
          <w:rFonts w:ascii="Arial" w:hAnsi="Arial" w:cs="Arial"/>
          <w:sz w:val="20"/>
          <w:szCs w:val="20"/>
          <w:lang w:val="fr-FR"/>
        </w:rPr>
        <w:t>inus et ciblés pour garantir l’</w:t>
      </w:r>
      <w:r w:rsidRPr="00CC5C3C">
        <w:rPr>
          <w:rFonts w:ascii="Arial" w:hAnsi="Arial" w:cs="Arial"/>
          <w:sz w:val="20"/>
          <w:szCs w:val="20"/>
          <w:lang w:val="fr-FR"/>
        </w:rPr>
        <w:t>eff</w:t>
      </w:r>
      <w:r w:rsidR="0051270A">
        <w:rPr>
          <w:rFonts w:ascii="Arial" w:hAnsi="Arial" w:cs="Arial"/>
          <w:sz w:val="20"/>
          <w:szCs w:val="20"/>
          <w:lang w:val="fr-FR"/>
        </w:rPr>
        <w:t>ectiv</w:t>
      </w:r>
      <w:r w:rsidRPr="00CC5C3C">
        <w:rPr>
          <w:rFonts w:ascii="Arial" w:hAnsi="Arial" w:cs="Arial"/>
          <w:sz w:val="20"/>
          <w:szCs w:val="20"/>
          <w:lang w:val="fr-FR"/>
        </w:rPr>
        <w:t xml:space="preserve">ité </w:t>
      </w:r>
      <w:r w:rsidR="00B51D28" w:rsidRPr="00CC5C3C">
        <w:rPr>
          <w:rFonts w:ascii="Arial" w:hAnsi="Arial" w:cs="Arial"/>
          <w:sz w:val="20"/>
          <w:szCs w:val="20"/>
          <w:lang w:val="fr-FR"/>
        </w:rPr>
        <w:t xml:space="preserve">future </w:t>
      </w:r>
      <w:r w:rsidRPr="00CC5C3C">
        <w:rPr>
          <w:rFonts w:ascii="Arial" w:hAnsi="Arial" w:cs="Arial"/>
          <w:sz w:val="20"/>
          <w:szCs w:val="20"/>
          <w:lang w:val="fr-FR"/>
        </w:rPr>
        <w:t>du système européen des droits de l’homme, en s’appuyant sur les résultats obtenus et en appréhendant les nouveaux défis qui émergeront.</w:t>
      </w:r>
    </w:p>
    <w:p w:rsidR="008B478F" w:rsidRPr="00CC5C3C" w:rsidRDefault="008B478F" w:rsidP="00CA01B3">
      <w:pPr>
        <w:pStyle w:val="ListParagraph"/>
        <w:spacing w:line="240" w:lineRule="auto"/>
        <w:rPr>
          <w:rFonts w:ascii="Arial" w:hAnsi="Arial" w:cs="Arial"/>
          <w:sz w:val="20"/>
          <w:szCs w:val="20"/>
          <w:lang w:val="fr-FR"/>
        </w:rPr>
      </w:pPr>
    </w:p>
    <w:p w:rsidR="008B478F" w:rsidRPr="00CC5C3C" w:rsidRDefault="00B84979"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 xml:space="preserve">Les </w:t>
      </w:r>
      <w:r w:rsidR="009F7FD2" w:rsidRPr="00CC5C3C">
        <w:rPr>
          <w:rFonts w:ascii="Arial" w:hAnsi="Arial" w:cs="Arial"/>
          <w:sz w:val="20"/>
          <w:szCs w:val="20"/>
          <w:lang w:val="fr-FR"/>
        </w:rPr>
        <w:t>Protocol</w:t>
      </w:r>
      <w:r w:rsidRPr="00CC5C3C">
        <w:rPr>
          <w:rFonts w:ascii="Arial" w:hAnsi="Arial" w:cs="Arial"/>
          <w:sz w:val="20"/>
          <w:szCs w:val="20"/>
          <w:lang w:val="fr-FR"/>
        </w:rPr>
        <w:t>e</w:t>
      </w:r>
      <w:r w:rsidR="009F7FD2" w:rsidRPr="00CC5C3C">
        <w:rPr>
          <w:rFonts w:ascii="Arial" w:hAnsi="Arial" w:cs="Arial"/>
          <w:sz w:val="20"/>
          <w:szCs w:val="20"/>
          <w:lang w:val="fr-FR"/>
        </w:rPr>
        <w:t xml:space="preserve">s </w:t>
      </w:r>
      <w:r w:rsidRPr="00CC5C3C">
        <w:rPr>
          <w:rFonts w:ascii="Arial" w:hAnsi="Arial" w:cs="Arial"/>
          <w:sz w:val="20"/>
          <w:szCs w:val="20"/>
          <w:lang w:val="fr-FR"/>
        </w:rPr>
        <w:t>n</w:t>
      </w:r>
      <w:r w:rsidRPr="00CC5C3C">
        <w:rPr>
          <w:rFonts w:ascii="Arial" w:hAnsi="Arial" w:cs="Arial"/>
          <w:sz w:val="20"/>
          <w:szCs w:val="20"/>
          <w:vertAlign w:val="superscript"/>
          <w:lang w:val="fr-FR"/>
        </w:rPr>
        <w:t>os</w:t>
      </w:r>
      <w:r w:rsidR="009F3CC3" w:rsidRPr="00CC5C3C">
        <w:rPr>
          <w:rFonts w:ascii="Arial" w:hAnsi="Arial" w:cs="Arial"/>
          <w:sz w:val="20"/>
          <w:szCs w:val="20"/>
          <w:lang w:val="fr-FR"/>
        </w:rPr>
        <w:t> </w:t>
      </w:r>
      <w:r w:rsidR="009F7FD2" w:rsidRPr="00CC5C3C">
        <w:rPr>
          <w:rFonts w:ascii="Arial" w:hAnsi="Arial" w:cs="Arial"/>
          <w:sz w:val="20"/>
          <w:szCs w:val="20"/>
          <w:lang w:val="fr-FR"/>
        </w:rPr>
        <w:t xml:space="preserve">15 </w:t>
      </w:r>
      <w:r w:rsidRPr="00CC5C3C">
        <w:rPr>
          <w:rFonts w:ascii="Arial" w:hAnsi="Arial" w:cs="Arial"/>
          <w:sz w:val="20"/>
          <w:szCs w:val="20"/>
          <w:lang w:val="fr-FR"/>
        </w:rPr>
        <w:t xml:space="preserve">et </w:t>
      </w:r>
      <w:r w:rsidR="009F7FD2" w:rsidRPr="00CC5C3C">
        <w:rPr>
          <w:rFonts w:ascii="Arial" w:hAnsi="Arial" w:cs="Arial"/>
          <w:sz w:val="20"/>
          <w:szCs w:val="20"/>
          <w:lang w:val="fr-FR"/>
        </w:rPr>
        <w:t xml:space="preserve">16 </w:t>
      </w:r>
      <w:r w:rsidR="00D81147" w:rsidRPr="00CC5C3C">
        <w:rPr>
          <w:rFonts w:ascii="Arial" w:hAnsi="Arial" w:cs="Arial"/>
          <w:sz w:val="20"/>
          <w:szCs w:val="20"/>
          <w:lang w:val="fr-FR"/>
        </w:rPr>
        <w:t xml:space="preserve">devraient tous deux avoir des effets importants et significatifs sur le système de la </w:t>
      </w:r>
      <w:r w:rsidR="0022662E" w:rsidRPr="00CC5C3C">
        <w:rPr>
          <w:rFonts w:ascii="Arial" w:hAnsi="Arial" w:cs="Arial"/>
          <w:sz w:val="20"/>
          <w:szCs w:val="20"/>
          <w:lang w:val="fr-FR"/>
        </w:rPr>
        <w:t>Convention,</w:t>
      </w:r>
      <w:r w:rsidR="00D81147" w:rsidRPr="00CC5C3C">
        <w:rPr>
          <w:rFonts w:ascii="Arial" w:hAnsi="Arial" w:cs="Arial"/>
          <w:sz w:val="20"/>
          <w:szCs w:val="20"/>
          <w:lang w:val="fr-FR"/>
        </w:rPr>
        <w:t xml:space="preserve"> et </w:t>
      </w:r>
      <w:r w:rsidR="009F3CC3" w:rsidRPr="00CC5C3C">
        <w:rPr>
          <w:rFonts w:ascii="Arial" w:hAnsi="Arial" w:cs="Arial"/>
          <w:sz w:val="20"/>
          <w:szCs w:val="20"/>
          <w:lang w:val="fr-FR"/>
        </w:rPr>
        <w:t>indique</w:t>
      </w:r>
      <w:r w:rsidR="00A165C8" w:rsidRPr="00CC5C3C">
        <w:rPr>
          <w:rFonts w:ascii="Arial" w:hAnsi="Arial" w:cs="Arial"/>
          <w:sz w:val="20"/>
          <w:szCs w:val="20"/>
          <w:lang w:val="fr-FR"/>
        </w:rPr>
        <w:t>nt</w:t>
      </w:r>
      <w:r w:rsidR="00D81147" w:rsidRPr="00CC5C3C">
        <w:rPr>
          <w:rFonts w:ascii="Arial" w:hAnsi="Arial" w:cs="Arial"/>
          <w:sz w:val="20"/>
          <w:szCs w:val="20"/>
          <w:lang w:val="fr-FR"/>
        </w:rPr>
        <w:t xml:space="preserve"> une direction claire pour </w:t>
      </w:r>
      <w:r w:rsidR="00E479CB" w:rsidRPr="00CC5C3C">
        <w:rPr>
          <w:rFonts w:ascii="Arial" w:hAnsi="Arial" w:cs="Arial"/>
          <w:sz w:val="20"/>
          <w:szCs w:val="20"/>
          <w:lang w:val="fr-FR"/>
        </w:rPr>
        <w:t>l’</w:t>
      </w:r>
      <w:r w:rsidR="00D81147" w:rsidRPr="00CC5C3C">
        <w:rPr>
          <w:rFonts w:ascii="Arial" w:hAnsi="Arial" w:cs="Arial"/>
          <w:sz w:val="20"/>
          <w:szCs w:val="20"/>
          <w:lang w:val="fr-FR"/>
        </w:rPr>
        <w:t>avenir</w:t>
      </w:r>
      <w:r w:rsidR="009F7FD2" w:rsidRPr="00CC5C3C">
        <w:rPr>
          <w:rFonts w:ascii="Arial" w:hAnsi="Arial" w:cs="Arial"/>
          <w:sz w:val="20"/>
          <w:szCs w:val="20"/>
          <w:lang w:val="fr-FR"/>
        </w:rPr>
        <w:t xml:space="preserve">. </w:t>
      </w:r>
      <w:r w:rsidR="00D81147" w:rsidRPr="00CC5C3C">
        <w:rPr>
          <w:rFonts w:ascii="Arial" w:hAnsi="Arial" w:cs="Arial"/>
          <w:sz w:val="20"/>
          <w:szCs w:val="20"/>
          <w:lang w:val="fr-FR"/>
        </w:rPr>
        <w:t xml:space="preserve">Leurs effets ne </w:t>
      </w:r>
      <w:r w:rsidR="006C38F0" w:rsidRPr="00CC5C3C">
        <w:rPr>
          <w:rFonts w:ascii="Arial" w:hAnsi="Arial" w:cs="Arial"/>
          <w:sz w:val="20"/>
          <w:szCs w:val="20"/>
          <w:lang w:val="fr-FR"/>
        </w:rPr>
        <w:t>s</w:t>
      </w:r>
      <w:r w:rsidR="00D81147" w:rsidRPr="00CC5C3C">
        <w:rPr>
          <w:rFonts w:ascii="Arial" w:hAnsi="Arial" w:cs="Arial"/>
          <w:sz w:val="20"/>
          <w:szCs w:val="20"/>
          <w:lang w:val="fr-FR"/>
        </w:rPr>
        <w:t xml:space="preserve">eront toutefois </w:t>
      </w:r>
      <w:r w:rsidR="006C38F0" w:rsidRPr="00CC5C3C">
        <w:rPr>
          <w:rFonts w:ascii="Arial" w:hAnsi="Arial" w:cs="Arial"/>
          <w:sz w:val="20"/>
          <w:szCs w:val="20"/>
          <w:lang w:val="fr-FR"/>
        </w:rPr>
        <w:t xml:space="preserve">perceptibles </w:t>
      </w:r>
      <w:r w:rsidR="00D81147" w:rsidRPr="00CC5C3C">
        <w:rPr>
          <w:rFonts w:ascii="Arial" w:hAnsi="Arial" w:cs="Arial"/>
          <w:sz w:val="20"/>
          <w:szCs w:val="20"/>
          <w:lang w:val="fr-FR"/>
        </w:rPr>
        <w:t>qu’à long terme.</w:t>
      </w:r>
    </w:p>
    <w:p w:rsidR="008A0F28" w:rsidRPr="00CC5C3C" w:rsidRDefault="008A0F28" w:rsidP="00CA01B3">
      <w:pPr>
        <w:pStyle w:val="Default"/>
        <w:rPr>
          <w:sz w:val="20"/>
          <w:szCs w:val="20"/>
          <w:lang w:val="fr-FR"/>
        </w:rPr>
      </w:pPr>
      <w:r w:rsidRPr="00CC5C3C">
        <w:rPr>
          <w:sz w:val="20"/>
          <w:szCs w:val="20"/>
          <w:lang w:val="fr-FR"/>
        </w:rPr>
        <w:t>En conséquence, la Conférence :</w:t>
      </w:r>
    </w:p>
    <w:p w:rsidR="008A0F28" w:rsidRPr="00CC5C3C" w:rsidRDefault="008A0F28" w:rsidP="00CA01B3">
      <w:pPr>
        <w:pStyle w:val="Default"/>
        <w:rPr>
          <w:sz w:val="20"/>
          <w:szCs w:val="20"/>
          <w:lang w:val="fr-FR"/>
        </w:rPr>
      </w:pPr>
    </w:p>
    <w:p w:rsidR="00C06B31"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A</w:t>
      </w:r>
      <w:r w:rsidR="00C06B31" w:rsidRPr="00CC5C3C">
        <w:rPr>
          <w:rFonts w:ascii="Arial" w:hAnsi="Arial" w:cs="Arial"/>
          <w:sz w:val="20"/>
          <w:szCs w:val="20"/>
          <w:lang w:val="fr-FR"/>
        </w:rPr>
        <w:t xml:space="preserve">ppelle le Comité des Ministres, qui </w:t>
      </w:r>
      <w:r w:rsidR="003374C7">
        <w:rPr>
          <w:rFonts w:ascii="Arial" w:hAnsi="Arial" w:cs="Arial"/>
          <w:sz w:val="20"/>
          <w:szCs w:val="20"/>
          <w:lang w:val="fr-FR"/>
        </w:rPr>
        <w:t>doit</w:t>
      </w:r>
      <w:r w:rsidR="00C06B31" w:rsidRPr="00CC5C3C">
        <w:rPr>
          <w:rFonts w:ascii="Arial" w:hAnsi="Arial" w:cs="Arial"/>
          <w:sz w:val="20"/>
          <w:szCs w:val="20"/>
          <w:lang w:val="fr-FR"/>
        </w:rPr>
        <w:t xml:space="preserve"> décider avant fin 2019 si des changements plus profonds sont nécessaires, à évaluer l</w:t>
      </w:r>
      <w:r w:rsidR="003374C7">
        <w:rPr>
          <w:rFonts w:ascii="Arial" w:hAnsi="Arial" w:cs="Arial"/>
          <w:sz w:val="20"/>
          <w:szCs w:val="20"/>
          <w:lang w:val="fr-FR"/>
        </w:rPr>
        <w:t>’</w:t>
      </w:r>
      <w:r w:rsidR="003374C7" w:rsidRPr="00CC5C3C">
        <w:rPr>
          <w:rFonts w:ascii="Arial" w:hAnsi="Arial" w:cs="Arial"/>
          <w:sz w:val="20"/>
          <w:szCs w:val="20"/>
          <w:lang w:val="fr-FR"/>
        </w:rPr>
        <w:t>eff</w:t>
      </w:r>
      <w:r w:rsidR="003374C7">
        <w:rPr>
          <w:rFonts w:ascii="Arial" w:hAnsi="Arial" w:cs="Arial"/>
          <w:sz w:val="20"/>
          <w:szCs w:val="20"/>
          <w:lang w:val="fr-FR"/>
        </w:rPr>
        <w:t>ectiv</w:t>
      </w:r>
      <w:r w:rsidR="003374C7" w:rsidRPr="00CC5C3C">
        <w:rPr>
          <w:rFonts w:ascii="Arial" w:hAnsi="Arial" w:cs="Arial"/>
          <w:sz w:val="20"/>
          <w:szCs w:val="20"/>
          <w:lang w:val="fr-FR"/>
        </w:rPr>
        <w:t>ité</w:t>
      </w:r>
      <w:r w:rsidR="00C06B31" w:rsidRPr="00CC5C3C">
        <w:rPr>
          <w:rFonts w:ascii="Arial" w:hAnsi="Arial" w:cs="Arial"/>
          <w:sz w:val="20"/>
          <w:szCs w:val="20"/>
          <w:lang w:val="fr-FR"/>
        </w:rPr>
        <w:t xml:space="preserve"> de chaque partie du système de la Convention, en tenant compte des réfor</w:t>
      </w:r>
      <w:r>
        <w:rPr>
          <w:rFonts w:ascii="Arial" w:hAnsi="Arial" w:cs="Arial"/>
          <w:sz w:val="20"/>
          <w:szCs w:val="20"/>
          <w:lang w:val="fr-FR"/>
        </w:rPr>
        <w:t>mes qui restent en préparation</w:t>
      </w:r>
      <w:r w:rsidR="00342148">
        <w:rPr>
          <w:rFonts w:ascii="Arial" w:hAnsi="Arial" w:cs="Arial"/>
          <w:sz w:val="20"/>
          <w:szCs w:val="20"/>
          <w:lang w:val="fr-FR"/>
        </w:rPr>
        <w:t> ;</w:t>
      </w:r>
    </w:p>
    <w:p w:rsidR="008B478F" w:rsidRPr="00CC5C3C" w:rsidRDefault="008B478F" w:rsidP="00CA01B3">
      <w:pPr>
        <w:pStyle w:val="ListParagraph"/>
        <w:spacing w:after="0" w:line="240" w:lineRule="auto"/>
        <w:rPr>
          <w:lang w:val="fr-FR"/>
        </w:rPr>
      </w:pPr>
    </w:p>
    <w:p w:rsidR="0046082B" w:rsidRPr="00CC5C3C" w:rsidRDefault="000E1360" w:rsidP="00CA01B3">
      <w:pPr>
        <w:pStyle w:val="ListParagraph"/>
        <w:numPr>
          <w:ilvl w:val="0"/>
          <w:numId w:val="2"/>
        </w:numPr>
        <w:spacing w:line="240" w:lineRule="auto"/>
        <w:rPr>
          <w:rFonts w:ascii="Arial" w:hAnsi="Arial" w:cs="Arial"/>
          <w:sz w:val="20"/>
          <w:szCs w:val="20"/>
          <w:lang w:val="fr-FR"/>
        </w:rPr>
      </w:pPr>
      <w:r>
        <w:rPr>
          <w:rFonts w:ascii="Arial" w:hAnsi="Arial" w:cs="Arial"/>
          <w:sz w:val="20"/>
          <w:szCs w:val="20"/>
          <w:lang w:val="fr-FR"/>
        </w:rPr>
        <w:t>A</w:t>
      </w:r>
      <w:r w:rsidR="008C0276" w:rsidRPr="00CC5C3C">
        <w:rPr>
          <w:rFonts w:ascii="Arial" w:hAnsi="Arial" w:cs="Arial"/>
          <w:sz w:val="20"/>
          <w:szCs w:val="20"/>
          <w:lang w:val="fr-FR"/>
        </w:rPr>
        <w:t xml:space="preserve">ppelle </w:t>
      </w:r>
      <w:r w:rsidR="0074384B" w:rsidRPr="00CC5C3C">
        <w:rPr>
          <w:rFonts w:ascii="Arial" w:hAnsi="Arial" w:cs="Arial"/>
          <w:sz w:val="20"/>
          <w:szCs w:val="20"/>
          <w:lang w:val="fr-FR"/>
        </w:rPr>
        <w:t xml:space="preserve">ensuite </w:t>
      </w:r>
      <w:r w:rsidR="008C0276" w:rsidRPr="00CC5C3C">
        <w:rPr>
          <w:rFonts w:ascii="Arial" w:hAnsi="Arial" w:cs="Arial"/>
          <w:sz w:val="20"/>
          <w:szCs w:val="20"/>
          <w:lang w:val="fr-FR"/>
        </w:rPr>
        <w:t xml:space="preserve">le Comité des Ministres, avant fin </w:t>
      </w:r>
      <w:r w:rsidR="009F7FD2" w:rsidRPr="00CC5C3C">
        <w:rPr>
          <w:rFonts w:ascii="Arial" w:hAnsi="Arial" w:cs="Arial"/>
          <w:sz w:val="20"/>
          <w:szCs w:val="20"/>
          <w:lang w:val="fr-FR"/>
        </w:rPr>
        <w:t xml:space="preserve">2020, </w:t>
      </w:r>
      <w:r w:rsidR="0046082B" w:rsidRPr="00CC5C3C">
        <w:rPr>
          <w:rFonts w:ascii="Arial" w:hAnsi="Arial" w:cs="Arial"/>
          <w:sz w:val="20"/>
          <w:szCs w:val="20"/>
          <w:lang w:val="fr-FR"/>
        </w:rPr>
        <w:t xml:space="preserve">à définir un processus pour répondre à cette évaluation et </w:t>
      </w:r>
      <w:r w:rsidR="00AF02E4" w:rsidRPr="00CC5C3C">
        <w:rPr>
          <w:rFonts w:ascii="Arial" w:hAnsi="Arial" w:cs="Arial"/>
          <w:sz w:val="20"/>
          <w:szCs w:val="20"/>
          <w:lang w:val="fr-FR"/>
        </w:rPr>
        <w:t xml:space="preserve">à </w:t>
      </w:r>
      <w:r w:rsidR="0098354F" w:rsidRPr="00CC5C3C">
        <w:rPr>
          <w:rFonts w:ascii="Arial" w:hAnsi="Arial" w:cs="Arial"/>
          <w:sz w:val="20"/>
          <w:szCs w:val="20"/>
          <w:lang w:val="fr-FR"/>
        </w:rPr>
        <w:t xml:space="preserve">fixer </w:t>
      </w:r>
      <w:r w:rsidR="0046082B" w:rsidRPr="00CC5C3C">
        <w:rPr>
          <w:rFonts w:ascii="Arial" w:hAnsi="Arial" w:cs="Arial"/>
          <w:sz w:val="20"/>
          <w:szCs w:val="20"/>
          <w:lang w:val="fr-FR"/>
        </w:rPr>
        <w:t xml:space="preserve">un calendrier </w:t>
      </w:r>
      <w:r w:rsidR="003374C7">
        <w:rPr>
          <w:rFonts w:ascii="Arial" w:hAnsi="Arial" w:cs="Arial"/>
          <w:sz w:val="20"/>
          <w:szCs w:val="20"/>
          <w:lang w:val="fr-FR"/>
        </w:rPr>
        <w:t>pour</w:t>
      </w:r>
      <w:r w:rsidR="0046082B" w:rsidRPr="00CC5C3C">
        <w:rPr>
          <w:rFonts w:ascii="Arial" w:hAnsi="Arial" w:cs="Arial"/>
          <w:sz w:val="20"/>
          <w:szCs w:val="20"/>
          <w:lang w:val="fr-FR"/>
        </w:rPr>
        <w:t xml:space="preserve"> la préparation et la mise en œuvre de</w:t>
      </w:r>
      <w:r w:rsidR="003374C7">
        <w:rPr>
          <w:rFonts w:ascii="Arial" w:hAnsi="Arial" w:cs="Arial"/>
          <w:sz w:val="20"/>
          <w:szCs w:val="20"/>
          <w:lang w:val="fr-FR"/>
        </w:rPr>
        <w:t xml:space="preserve"> tout </w:t>
      </w:r>
      <w:r w:rsidR="0046082B" w:rsidRPr="00CC5C3C">
        <w:rPr>
          <w:rFonts w:ascii="Arial" w:hAnsi="Arial" w:cs="Arial"/>
          <w:sz w:val="20"/>
          <w:szCs w:val="20"/>
          <w:lang w:val="fr-FR"/>
        </w:rPr>
        <w:t xml:space="preserve">changement supplémentaire requis, y compris l’examen des effets </w:t>
      </w:r>
      <w:r w:rsidR="00F10667" w:rsidRPr="00CC5C3C">
        <w:rPr>
          <w:rFonts w:ascii="Arial" w:hAnsi="Arial" w:cs="Arial"/>
          <w:sz w:val="20"/>
          <w:szCs w:val="20"/>
          <w:lang w:val="fr-FR"/>
        </w:rPr>
        <w:t>d</w:t>
      </w:r>
      <w:r w:rsidR="0046082B" w:rsidRPr="00CC5C3C">
        <w:rPr>
          <w:rFonts w:ascii="Arial" w:hAnsi="Arial" w:cs="Arial"/>
          <w:sz w:val="20"/>
          <w:szCs w:val="20"/>
          <w:lang w:val="fr-FR"/>
        </w:rPr>
        <w:t>es Protocoles n</w:t>
      </w:r>
      <w:r w:rsidR="0046082B" w:rsidRPr="00CC5C3C">
        <w:rPr>
          <w:rFonts w:ascii="Arial" w:hAnsi="Arial" w:cs="Arial"/>
          <w:sz w:val="20"/>
          <w:szCs w:val="20"/>
          <w:vertAlign w:val="superscript"/>
          <w:lang w:val="fr-FR"/>
        </w:rPr>
        <w:t>os</w:t>
      </w:r>
      <w:r w:rsidR="0046082B" w:rsidRPr="00CC5C3C">
        <w:rPr>
          <w:rFonts w:ascii="Arial" w:hAnsi="Arial" w:cs="Arial"/>
          <w:sz w:val="20"/>
          <w:szCs w:val="20"/>
          <w:lang w:val="fr-FR"/>
        </w:rPr>
        <w:t> 15 et 16</w:t>
      </w:r>
      <w:r w:rsidR="003374C7">
        <w:rPr>
          <w:rFonts w:ascii="Arial" w:hAnsi="Arial" w:cs="Arial"/>
          <w:sz w:val="20"/>
          <w:szCs w:val="20"/>
          <w:lang w:val="fr-FR"/>
        </w:rPr>
        <w:t>,</w:t>
      </w:r>
      <w:r w:rsidR="0046082B" w:rsidRPr="00CC5C3C">
        <w:rPr>
          <w:rFonts w:ascii="Arial" w:hAnsi="Arial" w:cs="Arial"/>
          <w:sz w:val="20"/>
          <w:szCs w:val="20"/>
          <w:lang w:val="fr-FR"/>
        </w:rPr>
        <w:t xml:space="preserve"> </w:t>
      </w:r>
      <w:r w:rsidR="00F10667" w:rsidRPr="00CC5C3C">
        <w:rPr>
          <w:rFonts w:ascii="Arial" w:hAnsi="Arial" w:cs="Arial"/>
          <w:sz w:val="20"/>
          <w:szCs w:val="20"/>
          <w:lang w:val="fr-FR"/>
        </w:rPr>
        <w:t xml:space="preserve">cinq ans </w:t>
      </w:r>
      <w:r w:rsidR="0046082B" w:rsidRPr="00CC5C3C">
        <w:rPr>
          <w:rFonts w:ascii="Arial" w:hAnsi="Arial" w:cs="Arial"/>
          <w:sz w:val="20"/>
          <w:szCs w:val="20"/>
          <w:lang w:val="fr-FR"/>
        </w:rPr>
        <w:t>après leur entrée en vigueur.</w:t>
      </w:r>
    </w:p>
    <w:p w:rsidR="008B478F" w:rsidRPr="00CC5C3C" w:rsidRDefault="008A0F28" w:rsidP="00CA01B3">
      <w:pPr>
        <w:spacing w:line="240" w:lineRule="auto"/>
        <w:rPr>
          <w:rFonts w:ascii="Arial" w:hAnsi="Arial" w:cs="Arial"/>
          <w:b/>
          <w:sz w:val="20"/>
          <w:szCs w:val="20"/>
          <w:lang w:val="fr-FR"/>
        </w:rPr>
      </w:pPr>
      <w:r w:rsidRPr="00CC5C3C">
        <w:rPr>
          <w:rFonts w:ascii="Arial" w:hAnsi="Arial" w:cs="Arial"/>
          <w:b/>
          <w:sz w:val="20"/>
          <w:szCs w:val="20"/>
          <w:lang w:val="fr-FR"/>
        </w:rPr>
        <w:t>Dispositions générales et finales</w:t>
      </w:r>
    </w:p>
    <w:p w:rsidR="008B478F" w:rsidRPr="00CC5C3C" w:rsidRDefault="008A0F28" w:rsidP="00CA01B3">
      <w:pPr>
        <w:pStyle w:val="ListParagraph"/>
        <w:numPr>
          <w:ilvl w:val="0"/>
          <w:numId w:val="2"/>
        </w:numPr>
        <w:spacing w:line="240" w:lineRule="auto"/>
        <w:rPr>
          <w:rFonts w:ascii="Arial" w:hAnsi="Arial" w:cs="Arial"/>
          <w:sz w:val="20"/>
          <w:szCs w:val="20"/>
          <w:lang w:val="fr-FR"/>
        </w:rPr>
      </w:pPr>
      <w:r w:rsidRPr="00CC5C3C">
        <w:rPr>
          <w:rFonts w:ascii="Arial" w:hAnsi="Arial" w:cs="Arial"/>
          <w:sz w:val="20"/>
          <w:szCs w:val="20"/>
          <w:lang w:val="fr-FR"/>
        </w:rPr>
        <w:t>La Conférence :</w:t>
      </w:r>
    </w:p>
    <w:p w:rsidR="008B478F" w:rsidRPr="00CC5C3C" w:rsidRDefault="008B478F" w:rsidP="00CA01B3">
      <w:pPr>
        <w:pStyle w:val="ListParagraph"/>
        <w:spacing w:line="240" w:lineRule="auto"/>
        <w:rPr>
          <w:rFonts w:ascii="Arial" w:hAnsi="Arial" w:cs="Arial"/>
          <w:sz w:val="20"/>
          <w:szCs w:val="20"/>
          <w:lang w:val="fr-FR"/>
        </w:rPr>
      </w:pPr>
    </w:p>
    <w:p w:rsidR="00667A8A" w:rsidRPr="00CC5C3C" w:rsidRDefault="00667A8A" w:rsidP="00CA01B3">
      <w:pPr>
        <w:pStyle w:val="ListParagraph"/>
        <w:numPr>
          <w:ilvl w:val="1"/>
          <w:numId w:val="6"/>
        </w:numPr>
        <w:spacing w:line="240" w:lineRule="auto"/>
        <w:rPr>
          <w:rFonts w:ascii="Arial" w:hAnsi="Arial" w:cs="Arial"/>
          <w:sz w:val="20"/>
          <w:szCs w:val="20"/>
          <w:lang w:val="fr-FR"/>
        </w:rPr>
      </w:pPr>
      <w:r w:rsidRPr="00CC5C3C">
        <w:rPr>
          <w:rFonts w:ascii="Arial" w:hAnsi="Arial" w:cs="Arial"/>
          <w:sz w:val="20"/>
          <w:szCs w:val="20"/>
          <w:lang w:val="fr-FR"/>
        </w:rPr>
        <w:t>invite la présidence danoise à transmettre la présente Déclaration au Comité des Ministres ;</w:t>
      </w:r>
    </w:p>
    <w:p w:rsidR="008B478F" w:rsidRPr="00CC5C3C" w:rsidRDefault="008B478F" w:rsidP="00CA01B3">
      <w:pPr>
        <w:pStyle w:val="ListParagraph"/>
        <w:spacing w:line="240" w:lineRule="auto"/>
        <w:ind w:left="1440"/>
        <w:rPr>
          <w:rFonts w:ascii="Arial" w:hAnsi="Arial" w:cs="Arial"/>
          <w:sz w:val="20"/>
          <w:szCs w:val="20"/>
          <w:lang w:val="fr-FR"/>
        </w:rPr>
      </w:pPr>
    </w:p>
    <w:p w:rsidR="00667A8A" w:rsidRPr="00CC5C3C" w:rsidRDefault="00667A8A" w:rsidP="00CA01B3">
      <w:pPr>
        <w:pStyle w:val="ListParagraph"/>
        <w:numPr>
          <w:ilvl w:val="1"/>
          <w:numId w:val="6"/>
        </w:numPr>
        <w:spacing w:line="240" w:lineRule="auto"/>
        <w:rPr>
          <w:rFonts w:ascii="Arial" w:hAnsi="Arial" w:cs="Arial"/>
          <w:sz w:val="20"/>
          <w:szCs w:val="20"/>
          <w:lang w:val="fr-FR"/>
        </w:rPr>
      </w:pPr>
      <w:r w:rsidRPr="00CC5C3C">
        <w:rPr>
          <w:rFonts w:ascii="Arial" w:hAnsi="Arial" w:cs="Arial"/>
          <w:sz w:val="20"/>
          <w:szCs w:val="20"/>
          <w:lang w:val="fr-FR"/>
        </w:rPr>
        <w:t xml:space="preserve">invite les États </w:t>
      </w:r>
      <w:r w:rsidR="00D948C1">
        <w:rPr>
          <w:rFonts w:ascii="Arial" w:hAnsi="Arial" w:cs="Arial"/>
          <w:sz w:val="20"/>
          <w:szCs w:val="20"/>
          <w:lang w:val="fr-FR"/>
        </w:rPr>
        <w:t>P</w:t>
      </w:r>
      <w:r w:rsidRPr="00CC5C3C">
        <w:rPr>
          <w:rFonts w:ascii="Arial" w:hAnsi="Arial" w:cs="Arial"/>
          <w:sz w:val="20"/>
          <w:szCs w:val="20"/>
          <w:lang w:val="fr-FR"/>
        </w:rPr>
        <w:t>arties, le Comité des Ministres, la Cour et le Secrétaire Général du Conseil de l’Europe à donner pleinement effet à la présente Déclaration ; et</w:t>
      </w:r>
    </w:p>
    <w:p w:rsidR="008B478F" w:rsidRPr="00CC5C3C" w:rsidRDefault="008B478F" w:rsidP="00CA01B3">
      <w:pPr>
        <w:pStyle w:val="ListParagraph"/>
        <w:spacing w:line="240" w:lineRule="auto"/>
        <w:ind w:left="1440"/>
        <w:rPr>
          <w:rFonts w:ascii="Arial" w:hAnsi="Arial" w:cs="Arial"/>
          <w:sz w:val="20"/>
          <w:szCs w:val="20"/>
          <w:lang w:val="fr-FR"/>
        </w:rPr>
      </w:pPr>
    </w:p>
    <w:p w:rsidR="008B478F" w:rsidRPr="00342148" w:rsidRDefault="00667A8A" w:rsidP="00CA01B3">
      <w:pPr>
        <w:pStyle w:val="ListParagraph"/>
        <w:numPr>
          <w:ilvl w:val="1"/>
          <w:numId w:val="6"/>
        </w:numPr>
        <w:spacing w:line="240" w:lineRule="auto"/>
        <w:rPr>
          <w:rFonts w:ascii="Arial" w:hAnsi="Arial" w:cs="Arial"/>
          <w:sz w:val="20"/>
          <w:szCs w:val="20"/>
          <w:lang w:val="fr-FR"/>
        </w:rPr>
      </w:pPr>
      <w:r w:rsidRPr="00CC5C3C">
        <w:rPr>
          <w:rFonts w:ascii="Arial" w:hAnsi="Arial" w:cs="Arial"/>
          <w:sz w:val="20"/>
          <w:szCs w:val="20"/>
          <w:lang w:val="fr-FR"/>
        </w:rPr>
        <w:t>invite les présidences futures du Comité des Ministres à maintenir la dynamique du processus de réforme et de la mise en œuvre de la Convention.</w:t>
      </w:r>
    </w:p>
    <w:sectPr w:rsidR="008B478F" w:rsidRPr="00342148" w:rsidSect="008B478F">
      <w:headerReference w:type="default" r:id="rId8"/>
      <w:footerReference w:type="default" r:id="rId9"/>
      <w:pgSz w:w="11906" w:h="16838"/>
      <w:pgMar w:top="1276"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C8" w:rsidRDefault="00D71FC8">
      <w:pPr>
        <w:spacing w:after="0" w:line="240" w:lineRule="auto"/>
      </w:pPr>
      <w:r>
        <w:separator/>
      </w:r>
    </w:p>
  </w:endnote>
  <w:endnote w:type="continuationSeparator" w:id="0">
    <w:p w:rsidR="00D71FC8" w:rsidRDefault="00D7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Pro-Cond">
    <w:altName w:val="MS Minch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647128"/>
      <w:docPartObj>
        <w:docPartGallery w:val="Page Numbers (Bottom of Page)"/>
        <w:docPartUnique/>
      </w:docPartObj>
    </w:sdtPr>
    <w:sdtEndPr>
      <w:rPr>
        <w:noProof/>
      </w:rPr>
    </w:sdtEndPr>
    <w:sdtContent>
      <w:p w:rsidR="00236B6A" w:rsidRDefault="00236B6A">
        <w:pPr>
          <w:pStyle w:val="Footer"/>
          <w:jc w:val="center"/>
        </w:pPr>
        <w:r>
          <w:fldChar w:fldCharType="begin"/>
        </w:r>
        <w:r>
          <w:instrText xml:space="preserve"> PAGE   \* MERGEFORMAT </w:instrText>
        </w:r>
        <w:r>
          <w:fldChar w:fldCharType="separate"/>
        </w:r>
        <w:r w:rsidR="00C96953">
          <w:rPr>
            <w:noProof/>
          </w:rPr>
          <w:t>9</w:t>
        </w:r>
        <w:r>
          <w:rPr>
            <w:noProof/>
          </w:rPr>
          <w:fldChar w:fldCharType="end"/>
        </w:r>
      </w:p>
    </w:sdtContent>
  </w:sdt>
  <w:p w:rsidR="00236B6A" w:rsidRDefault="00236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C8" w:rsidRDefault="00D71FC8">
      <w:pPr>
        <w:spacing w:after="0" w:line="240" w:lineRule="auto"/>
      </w:pPr>
      <w:r>
        <w:separator/>
      </w:r>
    </w:p>
  </w:footnote>
  <w:footnote w:type="continuationSeparator" w:id="0">
    <w:p w:rsidR="00D71FC8" w:rsidRDefault="00D71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FC8" w:rsidRPr="00337A9B" w:rsidRDefault="00236B6A" w:rsidP="008B478F">
    <w:pPr>
      <w:pStyle w:val="Header"/>
      <w:jc w:val="right"/>
      <w:rPr>
        <w:lang w:val="fr-FR"/>
      </w:rPr>
    </w:pPr>
    <w:r>
      <w:rPr>
        <w:lang w:val="fr-FR"/>
      </w:rPr>
      <w:t>5</w:t>
    </w:r>
    <w:r w:rsidR="00337A9B">
      <w:rPr>
        <w:lang w:val="fr-FR"/>
      </w:rPr>
      <w:t xml:space="preserve"> février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22B"/>
    <w:multiLevelType w:val="hybridMultilevel"/>
    <w:tmpl w:val="4ADC65AA"/>
    <w:lvl w:ilvl="0" w:tplc="DA184F82">
      <w:start w:val="1"/>
      <w:numFmt w:val="decimal"/>
      <w:lvlText w:val="%1."/>
      <w:lvlJc w:val="left"/>
      <w:pPr>
        <w:ind w:left="720" w:hanging="360"/>
      </w:pPr>
      <w:rPr>
        <w:rFonts w:asciiTheme="minorHAnsi" w:hAnsiTheme="minorHAnsi" w:cstheme="minorHAnsi" w:hint="default"/>
        <w:b w:val="0"/>
        <w:sz w:val="22"/>
        <w:szCs w:val="22"/>
      </w:rPr>
    </w:lvl>
    <w:lvl w:ilvl="1" w:tplc="99F49C64">
      <w:start w:val="1"/>
      <w:numFmt w:val="lowerLetter"/>
      <w:lvlText w:val="%2)"/>
      <w:lvlJc w:val="left"/>
      <w:pPr>
        <w:ind w:left="1440" w:hanging="360"/>
      </w:pPr>
      <w:rPr>
        <w:rFonts w:ascii="Arial" w:eastAsiaTheme="minorHAnsi" w:hAnsi="Arial" w:cs="Arial" w:hint="default"/>
      </w:rPr>
    </w:lvl>
    <w:lvl w:ilvl="2" w:tplc="EC287656">
      <w:start w:val="1"/>
      <w:numFmt w:val="bullet"/>
      <w:lvlText w:val=""/>
      <w:lvlJc w:val="left"/>
      <w:pPr>
        <w:ind w:left="2160" w:hanging="360"/>
      </w:pPr>
      <w:rPr>
        <w:rFonts w:ascii="Wingdings" w:hAnsi="Wingdings" w:hint="default"/>
      </w:rPr>
    </w:lvl>
    <w:lvl w:ilvl="3" w:tplc="2E0837D8">
      <w:start w:val="1"/>
      <w:numFmt w:val="bullet"/>
      <w:lvlText w:val=""/>
      <w:lvlJc w:val="left"/>
      <w:pPr>
        <w:ind w:left="2880" w:hanging="360"/>
      </w:pPr>
      <w:rPr>
        <w:rFonts w:ascii="Symbol" w:hAnsi="Symbol" w:hint="default"/>
      </w:rPr>
    </w:lvl>
    <w:lvl w:ilvl="4" w:tplc="CFC44366">
      <w:start w:val="1"/>
      <w:numFmt w:val="bullet"/>
      <w:lvlText w:val="o"/>
      <w:lvlJc w:val="left"/>
      <w:pPr>
        <w:ind w:left="3600" w:hanging="360"/>
      </w:pPr>
      <w:rPr>
        <w:rFonts w:ascii="Courier New" w:hAnsi="Courier New" w:cs="Courier New" w:hint="default"/>
      </w:rPr>
    </w:lvl>
    <w:lvl w:ilvl="5" w:tplc="169E0848">
      <w:start w:val="1"/>
      <w:numFmt w:val="bullet"/>
      <w:lvlText w:val=""/>
      <w:lvlJc w:val="left"/>
      <w:pPr>
        <w:ind w:left="4320" w:hanging="360"/>
      </w:pPr>
      <w:rPr>
        <w:rFonts w:ascii="Wingdings" w:hAnsi="Wingdings" w:hint="default"/>
      </w:rPr>
    </w:lvl>
    <w:lvl w:ilvl="6" w:tplc="25DEFFC6">
      <w:start w:val="1"/>
      <w:numFmt w:val="bullet"/>
      <w:lvlText w:val=""/>
      <w:lvlJc w:val="left"/>
      <w:pPr>
        <w:ind w:left="5040" w:hanging="360"/>
      </w:pPr>
      <w:rPr>
        <w:rFonts w:ascii="Symbol" w:hAnsi="Symbol" w:hint="default"/>
      </w:rPr>
    </w:lvl>
    <w:lvl w:ilvl="7" w:tplc="1BA6EEE2">
      <w:start w:val="1"/>
      <w:numFmt w:val="bullet"/>
      <w:lvlText w:val="o"/>
      <w:lvlJc w:val="left"/>
      <w:pPr>
        <w:ind w:left="5760" w:hanging="360"/>
      </w:pPr>
      <w:rPr>
        <w:rFonts w:ascii="Courier New" w:hAnsi="Courier New" w:cs="Courier New" w:hint="default"/>
      </w:rPr>
    </w:lvl>
    <w:lvl w:ilvl="8" w:tplc="0B90E200">
      <w:start w:val="1"/>
      <w:numFmt w:val="bullet"/>
      <w:lvlText w:val=""/>
      <w:lvlJc w:val="left"/>
      <w:pPr>
        <w:ind w:left="6480" w:hanging="360"/>
      </w:pPr>
      <w:rPr>
        <w:rFonts w:ascii="Wingdings" w:hAnsi="Wingdings" w:hint="default"/>
      </w:rPr>
    </w:lvl>
  </w:abstractNum>
  <w:abstractNum w:abstractNumId="1">
    <w:nsid w:val="01A138CA"/>
    <w:multiLevelType w:val="hybridMultilevel"/>
    <w:tmpl w:val="D6C029BA"/>
    <w:lvl w:ilvl="0" w:tplc="86E45DDE">
      <w:start w:val="1"/>
      <w:numFmt w:val="decimal"/>
      <w:lvlText w:val="%1."/>
      <w:lvlJc w:val="left"/>
      <w:pPr>
        <w:ind w:left="720" w:hanging="360"/>
      </w:pPr>
      <w:rPr>
        <w:rFonts w:asciiTheme="minorHAnsi" w:hAnsiTheme="minorHAnsi" w:cstheme="minorHAnsi" w:hint="default"/>
        <w:b w:val="0"/>
        <w:sz w:val="22"/>
        <w:szCs w:val="22"/>
      </w:rPr>
    </w:lvl>
    <w:lvl w:ilvl="1" w:tplc="49D84600">
      <w:start w:val="1"/>
      <w:numFmt w:val="lowerLetter"/>
      <w:lvlText w:val="%2)"/>
      <w:lvlJc w:val="left"/>
      <w:pPr>
        <w:ind w:left="1440" w:hanging="360"/>
      </w:pPr>
      <w:rPr>
        <w:rFonts w:ascii="Arial" w:eastAsiaTheme="minorHAnsi" w:hAnsi="Arial" w:cs="Arial" w:hint="default"/>
      </w:rPr>
    </w:lvl>
    <w:lvl w:ilvl="2" w:tplc="9F261CD8">
      <w:start w:val="1"/>
      <w:numFmt w:val="bullet"/>
      <w:lvlText w:val=""/>
      <w:lvlJc w:val="left"/>
      <w:pPr>
        <w:ind w:left="2160" w:hanging="360"/>
      </w:pPr>
      <w:rPr>
        <w:rFonts w:ascii="Wingdings" w:hAnsi="Wingdings" w:hint="default"/>
      </w:rPr>
    </w:lvl>
    <w:lvl w:ilvl="3" w:tplc="E086F5D4">
      <w:start w:val="1"/>
      <w:numFmt w:val="bullet"/>
      <w:lvlText w:val=""/>
      <w:lvlJc w:val="left"/>
      <w:pPr>
        <w:ind w:left="2880" w:hanging="360"/>
      </w:pPr>
      <w:rPr>
        <w:rFonts w:ascii="Symbol" w:hAnsi="Symbol" w:hint="default"/>
      </w:rPr>
    </w:lvl>
    <w:lvl w:ilvl="4" w:tplc="5A60B122">
      <w:start w:val="1"/>
      <w:numFmt w:val="bullet"/>
      <w:lvlText w:val="o"/>
      <w:lvlJc w:val="left"/>
      <w:pPr>
        <w:ind w:left="3600" w:hanging="360"/>
      </w:pPr>
      <w:rPr>
        <w:rFonts w:ascii="Courier New" w:hAnsi="Courier New" w:cs="Courier New" w:hint="default"/>
      </w:rPr>
    </w:lvl>
    <w:lvl w:ilvl="5" w:tplc="09463430">
      <w:start w:val="1"/>
      <w:numFmt w:val="bullet"/>
      <w:lvlText w:val=""/>
      <w:lvlJc w:val="left"/>
      <w:pPr>
        <w:ind w:left="4320" w:hanging="360"/>
      </w:pPr>
      <w:rPr>
        <w:rFonts w:ascii="Wingdings" w:hAnsi="Wingdings" w:hint="default"/>
      </w:rPr>
    </w:lvl>
    <w:lvl w:ilvl="6" w:tplc="64D48FD6">
      <w:start w:val="1"/>
      <w:numFmt w:val="bullet"/>
      <w:lvlText w:val=""/>
      <w:lvlJc w:val="left"/>
      <w:pPr>
        <w:ind w:left="5040" w:hanging="360"/>
      </w:pPr>
      <w:rPr>
        <w:rFonts w:ascii="Symbol" w:hAnsi="Symbol" w:hint="default"/>
      </w:rPr>
    </w:lvl>
    <w:lvl w:ilvl="7" w:tplc="9996BF48">
      <w:start w:val="1"/>
      <w:numFmt w:val="bullet"/>
      <w:lvlText w:val="o"/>
      <w:lvlJc w:val="left"/>
      <w:pPr>
        <w:ind w:left="5760" w:hanging="360"/>
      </w:pPr>
      <w:rPr>
        <w:rFonts w:ascii="Courier New" w:hAnsi="Courier New" w:cs="Courier New" w:hint="default"/>
      </w:rPr>
    </w:lvl>
    <w:lvl w:ilvl="8" w:tplc="DE645DE6">
      <w:start w:val="1"/>
      <w:numFmt w:val="bullet"/>
      <w:lvlText w:val=""/>
      <w:lvlJc w:val="left"/>
      <w:pPr>
        <w:ind w:left="6480" w:hanging="360"/>
      </w:pPr>
      <w:rPr>
        <w:rFonts w:ascii="Wingdings" w:hAnsi="Wingdings" w:hint="default"/>
      </w:rPr>
    </w:lvl>
  </w:abstractNum>
  <w:abstractNum w:abstractNumId="2">
    <w:nsid w:val="06AD3912"/>
    <w:multiLevelType w:val="hybridMultilevel"/>
    <w:tmpl w:val="332EFAE4"/>
    <w:lvl w:ilvl="0" w:tplc="49046D18">
      <w:start w:val="1"/>
      <w:numFmt w:val="decimal"/>
      <w:lvlText w:val="%1."/>
      <w:lvlJc w:val="left"/>
      <w:pPr>
        <w:ind w:left="720" w:hanging="360"/>
      </w:pPr>
      <w:rPr>
        <w:sz w:val="20"/>
        <w:szCs w:val="20"/>
      </w:rPr>
    </w:lvl>
    <w:lvl w:ilvl="1" w:tplc="C98A6AC0">
      <w:start w:val="1"/>
      <w:numFmt w:val="lowerLetter"/>
      <w:lvlText w:val="%2)"/>
      <w:lvlJc w:val="left"/>
      <w:pPr>
        <w:ind w:left="1440" w:hanging="360"/>
      </w:pPr>
    </w:lvl>
    <w:lvl w:ilvl="2" w:tplc="B38A4992" w:tentative="1">
      <w:start w:val="1"/>
      <w:numFmt w:val="lowerRoman"/>
      <w:lvlText w:val="%3."/>
      <w:lvlJc w:val="right"/>
      <w:pPr>
        <w:ind w:left="2160" w:hanging="180"/>
      </w:pPr>
    </w:lvl>
    <w:lvl w:ilvl="3" w:tplc="E514E90E" w:tentative="1">
      <w:start w:val="1"/>
      <w:numFmt w:val="decimal"/>
      <w:lvlText w:val="%4."/>
      <w:lvlJc w:val="left"/>
      <w:pPr>
        <w:ind w:left="2880" w:hanging="360"/>
      </w:pPr>
    </w:lvl>
    <w:lvl w:ilvl="4" w:tplc="434084FA" w:tentative="1">
      <w:start w:val="1"/>
      <w:numFmt w:val="lowerLetter"/>
      <w:lvlText w:val="%5."/>
      <w:lvlJc w:val="left"/>
      <w:pPr>
        <w:ind w:left="3600" w:hanging="360"/>
      </w:pPr>
    </w:lvl>
    <w:lvl w:ilvl="5" w:tplc="09C8A526" w:tentative="1">
      <w:start w:val="1"/>
      <w:numFmt w:val="lowerRoman"/>
      <w:lvlText w:val="%6."/>
      <w:lvlJc w:val="right"/>
      <w:pPr>
        <w:ind w:left="4320" w:hanging="180"/>
      </w:pPr>
    </w:lvl>
    <w:lvl w:ilvl="6" w:tplc="3DFC6398" w:tentative="1">
      <w:start w:val="1"/>
      <w:numFmt w:val="decimal"/>
      <w:lvlText w:val="%7."/>
      <w:lvlJc w:val="left"/>
      <w:pPr>
        <w:ind w:left="5040" w:hanging="360"/>
      </w:pPr>
    </w:lvl>
    <w:lvl w:ilvl="7" w:tplc="48AAFF78" w:tentative="1">
      <w:start w:val="1"/>
      <w:numFmt w:val="lowerLetter"/>
      <w:lvlText w:val="%8."/>
      <w:lvlJc w:val="left"/>
      <w:pPr>
        <w:ind w:left="5760" w:hanging="360"/>
      </w:pPr>
    </w:lvl>
    <w:lvl w:ilvl="8" w:tplc="47DE909A" w:tentative="1">
      <w:start w:val="1"/>
      <w:numFmt w:val="lowerRoman"/>
      <w:lvlText w:val="%9."/>
      <w:lvlJc w:val="right"/>
      <w:pPr>
        <w:ind w:left="6480" w:hanging="180"/>
      </w:pPr>
    </w:lvl>
  </w:abstractNum>
  <w:abstractNum w:abstractNumId="3">
    <w:nsid w:val="0CD575E3"/>
    <w:multiLevelType w:val="hybridMultilevel"/>
    <w:tmpl w:val="931C0B68"/>
    <w:lvl w:ilvl="0" w:tplc="E7D6A450">
      <w:start w:val="1"/>
      <w:numFmt w:val="decimal"/>
      <w:lvlText w:val="%1."/>
      <w:lvlJc w:val="left"/>
      <w:pPr>
        <w:ind w:left="720" w:hanging="360"/>
      </w:pPr>
      <w:rPr>
        <w:rFonts w:asciiTheme="minorHAnsi" w:hAnsiTheme="minorHAnsi" w:cstheme="minorHAnsi" w:hint="default"/>
        <w:b w:val="0"/>
        <w:sz w:val="22"/>
        <w:szCs w:val="22"/>
      </w:rPr>
    </w:lvl>
    <w:lvl w:ilvl="1" w:tplc="115E992E">
      <w:start w:val="1"/>
      <w:numFmt w:val="lowerLetter"/>
      <w:lvlText w:val="%2)"/>
      <w:lvlJc w:val="left"/>
      <w:pPr>
        <w:ind w:left="1440" w:hanging="360"/>
      </w:pPr>
      <w:rPr>
        <w:rFonts w:ascii="Arial" w:eastAsiaTheme="minorHAnsi" w:hAnsi="Arial" w:cs="Arial" w:hint="default"/>
      </w:rPr>
    </w:lvl>
    <w:lvl w:ilvl="2" w:tplc="48125AA2">
      <w:start w:val="1"/>
      <w:numFmt w:val="bullet"/>
      <w:lvlText w:val=""/>
      <w:lvlJc w:val="left"/>
      <w:pPr>
        <w:ind w:left="2160" w:hanging="360"/>
      </w:pPr>
      <w:rPr>
        <w:rFonts w:ascii="Wingdings" w:hAnsi="Wingdings" w:hint="default"/>
      </w:rPr>
    </w:lvl>
    <w:lvl w:ilvl="3" w:tplc="4E5C8F6A">
      <w:start w:val="1"/>
      <w:numFmt w:val="bullet"/>
      <w:lvlText w:val=""/>
      <w:lvlJc w:val="left"/>
      <w:pPr>
        <w:ind w:left="2880" w:hanging="360"/>
      </w:pPr>
      <w:rPr>
        <w:rFonts w:ascii="Symbol" w:hAnsi="Symbol" w:hint="default"/>
      </w:rPr>
    </w:lvl>
    <w:lvl w:ilvl="4" w:tplc="667861BA">
      <w:start w:val="1"/>
      <w:numFmt w:val="bullet"/>
      <w:lvlText w:val="o"/>
      <w:lvlJc w:val="left"/>
      <w:pPr>
        <w:ind w:left="3600" w:hanging="360"/>
      </w:pPr>
      <w:rPr>
        <w:rFonts w:ascii="Courier New" w:hAnsi="Courier New" w:cs="Courier New" w:hint="default"/>
      </w:rPr>
    </w:lvl>
    <w:lvl w:ilvl="5" w:tplc="844858D8">
      <w:start w:val="1"/>
      <w:numFmt w:val="bullet"/>
      <w:lvlText w:val=""/>
      <w:lvlJc w:val="left"/>
      <w:pPr>
        <w:ind w:left="4320" w:hanging="360"/>
      </w:pPr>
      <w:rPr>
        <w:rFonts w:ascii="Wingdings" w:hAnsi="Wingdings" w:hint="default"/>
      </w:rPr>
    </w:lvl>
    <w:lvl w:ilvl="6" w:tplc="E528D35A">
      <w:start w:val="1"/>
      <w:numFmt w:val="bullet"/>
      <w:lvlText w:val=""/>
      <w:lvlJc w:val="left"/>
      <w:pPr>
        <w:ind w:left="5040" w:hanging="360"/>
      </w:pPr>
      <w:rPr>
        <w:rFonts w:ascii="Symbol" w:hAnsi="Symbol" w:hint="default"/>
      </w:rPr>
    </w:lvl>
    <w:lvl w:ilvl="7" w:tplc="DCE02954">
      <w:start w:val="1"/>
      <w:numFmt w:val="bullet"/>
      <w:lvlText w:val="o"/>
      <w:lvlJc w:val="left"/>
      <w:pPr>
        <w:ind w:left="5760" w:hanging="360"/>
      </w:pPr>
      <w:rPr>
        <w:rFonts w:ascii="Courier New" w:hAnsi="Courier New" w:cs="Courier New" w:hint="default"/>
      </w:rPr>
    </w:lvl>
    <w:lvl w:ilvl="8" w:tplc="D514E6F8">
      <w:start w:val="1"/>
      <w:numFmt w:val="bullet"/>
      <w:lvlText w:val=""/>
      <w:lvlJc w:val="left"/>
      <w:pPr>
        <w:ind w:left="6480" w:hanging="360"/>
      </w:pPr>
      <w:rPr>
        <w:rFonts w:ascii="Wingdings" w:hAnsi="Wingdings" w:hint="default"/>
      </w:rPr>
    </w:lvl>
  </w:abstractNum>
  <w:abstractNum w:abstractNumId="4">
    <w:nsid w:val="12E3332F"/>
    <w:multiLevelType w:val="hybridMultilevel"/>
    <w:tmpl w:val="913653F0"/>
    <w:lvl w:ilvl="0" w:tplc="4006A892">
      <w:start w:val="1"/>
      <w:numFmt w:val="decimal"/>
      <w:lvlText w:val="%1."/>
      <w:lvlJc w:val="left"/>
      <w:pPr>
        <w:ind w:left="720" w:hanging="360"/>
      </w:pPr>
      <w:rPr>
        <w:b w:val="0"/>
      </w:rPr>
    </w:lvl>
    <w:lvl w:ilvl="1" w:tplc="9B8CF0BA">
      <w:start w:val="1"/>
      <w:numFmt w:val="lowerLetter"/>
      <w:lvlText w:val="%2)"/>
      <w:lvlJc w:val="left"/>
      <w:pPr>
        <w:ind w:left="1440" w:hanging="360"/>
      </w:pPr>
    </w:lvl>
    <w:lvl w:ilvl="2" w:tplc="8EAE1554" w:tentative="1">
      <w:start w:val="1"/>
      <w:numFmt w:val="lowerRoman"/>
      <w:lvlText w:val="%3."/>
      <w:lvlJc w:val="right"/>
      <w:pPr>
        <w:ind w:left="2160" w:hanging="180"/>
      </w:pPr>
    </w:lvl>
    <w:lvl w:ilvl="3" w:tplc="883267B2" w:tentative="1">
      <w:start w:val="1"/>
      <w:numFmt w:val="decimal"/>
      <w:lvlText w:val="%4."/>
      <w:lvlJc w:val="left"/>
      <w:pPr>
        <w:ind w:left="2880" w:hanging="360"/>
      </w:pPr>
    </w:lvl>
    <w:lvl w:ilvl="4" w:tplc="AA32D9E6" w:tentative="1">
      <w:start w:val="1"/>
      <w:numFmt w:val="lowerLetter"/>
      <w:lvlText w:val="%5."/>
      <w:lvlJc w:val="left"/>
      <w:pPr>
        <w:ind w:left="3600" w:hanging="360"/>
      </w:pPr>
    </w:lvl>
    <w:lvl w:ilvl="5" w:tplc="CF0EE410" w:tentative="1">
      <w:start w:val="1"/>
      <w:numFmt w:val="lowerRoman"/>
      <w:lvlText w:val="%6."/>
      <w:lvlJc w:val="right"/>
      <w:pPr>
        <w:ind w:left="4320" w:hanging="180"/>
      </w:pPr>
    </w:lvl>
    <w:lvl w:ilvl="6" w:tplc="E51E55C4" w:tentative="1">
      <w:start w:val="1"/>
      <w:numFmt w:val="decimal"/>
      <w:lvlText w:val="%7."/>
      <w:lvlJc w:val="left"/>
      <w:pPr>
        <w:ind w:left="5040" w:hanging="360"/>
      </w:pPr>
    </w:lvl>
    <w:lvl w:ilvl="7" w:tplc="CA10555C" w:tentative="1">
      <w:start w:val="1"/>
      <w:numFmt w:val="lowerLetter"/>
      <w:lvlText w:val="%8."/>
      <w:lvlJc w:val="left"/>
      <w:pPr>
        <w:ind w:left="5760" w:hanging="360"/>
      </w:pPr>
    </w:lvl>
    <w:lvl w:ilvl="8" w:tplc="406859C6" w:tentative="1">
      <w:start w:val="1"/>
      <w:numFmt w:val="lowerRoman"/>
      <w:lvlText w:val="%9."/>
      <w:lvlJc w:val="right"/>
      <w:pPr>
        <w:ind w:left="6480" w:hanging="180"/>
      </w:pPr>
    </w:lvl>
  </w:abstractNum>
  <w:abstractNum w:abstractNumId="5">
    <w:nsid w:val="19C31255"/>
    <w:multiLevelType w:val="hybridMultilevel"/>
    <w:tmpl w:val="EBE2F800"/>
    <w:lvl w:ilvl="0" w:tplc="CBD4FFDE">
      <w:start w:val="1"/>
      <w:numFmt w:val="decimal"/>
      <w:lvlText w:val="%1."/>
      <w:lvlJc w:val="left"/>
      <w:pPr>
        <w:ind w:left="720" w:hanging="360"/>
      </w:pPr>
      <w:rPr>
        <w:b w:val="0"/>
      </w:rPr>
    </w:lvl>
    <w:lvl w:ilvl="1" w:tplc="8690E72C">
      <w:start w:val="1"/>
      <w:numFmt w:val="lowerLetter"/>
      <w:lvlText w:val="%2."/>
      <w:lvlJc w:val="left"/>
      <w:pPr>
        <w:ind w:left="1440" w:hanging="360"/>
      </w:pPr>
    </w:lvl>
    <w:lvl w:ilvl="2" w:tplc="12B885A4" w:tentative="1">
      <w:start w:val="1"/>
      <w:numFmt w:val="lowerRoman"/>
      <w:lvlText w:val="%3."/>
      <w:lvlJc w:val="right"/>
      <w:pPr>
        <w:ind w:left="2160" w:hanging="180"/>
      </w:pPr>
    </w:lvl>
    <w:lvl w:ilvl="3" w:tplc="7AD0EAA2" w:tentative="1">
      <w:start w:val="1"/>
      <w:numFmt w:val="decimal"/>
      <w:lvlText w:val="%4."/>
      <w:lvlJc w:val="left"/>
      <w:pPr>
        <w:ind w:left="2880" w:hanging="360"/>
      </w:pPr>
    </w:lvl>
    <w:lvl w:ilvl="4" w:tplc="0F185652" w:tentative="1">
      <w:start w:val="1"/>
      <w:numFmt w:val="lowerLetter"/>
      <w:lvlText w:val="%5."/>
      <w:lvlJc w:val="left"/>
      <w:pPr>
        <w:ind w:left="3600" w:hanging="360"/>
      </w:pPr>
    </w:lvl>
    <w:lvl w:ilvl="5" w:tplc="171E2A62" w:tentative="1">
      <w:start w:val="1"/>
      <w:numFmt w:val="lowerRoman"/>
      <w:lvlText w:val="%6."/>
      <w:lvlJc w:val="right"/>
      <w:pPr>
        <w:ind w:left="4320" w:hanging="180"/>
      </w:pPr>
    </w:lvl>
    <w:lvl w:ilvl="6" w:tplc="65364EBA" w:tentative="1">
      <w:start w:val="1"/>
      <w:numFmt w:val="decimal"/>
      <w:lvlText w:val="%7."/>
      <w:lvlJc w:val="left"/>
      <w:pPr>
        <w:ind w:left="5040" w:hanging="360"/>
      </w:pPr>
    </w:lvl>
    <w:lvl w:ilvl="7" w:tplc="C5F49DD8" w:tentative="1">
      <w:start w:val="1"/>
      <w:numFmt w:val="lowerLetter"/>
      <w:lvlText w:val="%8."/>
      <w:lvlJc w:val="left"/>
      <w:pPr>
        <w:ind w:left="5760" w:hanging="360"/>
      </w:pPr>
    </w:lvl>
    <w:lvl w:ilvl="8" w:tplc="01FCA334" w:tentative="1">
      <w:start w:val="1"/>
      <w:numFmt w:val="lowerRoman"/>
      <w:lvlText w:val="%9."/>
      <w:lvlJc w:val="right"/>
      <w:pPr>
        <w:ind w:left="6480" w:hanging="180"/>
      </w:pPr>
    </w:lvl>
  </w:abstractNum>
  <w:abstractNum w:abstractNumId="6">
    <w:nsid w:val="3ABC0CA3"/>
    <w:multiLevelType w:val="hybridMultilevel"/>
    <w:tmpl w:val="59AEDAF8"/>
    <w:lvl w:ilvl="0" w:tplc="874038F4">
      <w:start w:val="1"/>
      <w:numFmt w:val="lowerLetter"/>
      <w:lvlText w:val="%1)"/>
      <w:lvlJc w:val="left"/>
      <w:pPr>
        <w:ind w:left="720" w:hanging="360"/>
      </w:pPr>
      <w:rPr>
        <w:rFonts w:hint="default"/>
      </w:rPr>
    </w:lvl>
    <w:lvl w:ilvl="1" w:tplc="7C368FA8" w:tentative="1">
      <w:start w:val="1"/>
      <w:numFmt w:val="lowerLetter"/>
      <w:lvlText w:val="%2."/>
      <w:lvlJc w:val="left"/>
      <w:pPr>
        <w:ind w:left="1440" w:hanging="360"/>
      </w:pPr>
    </w:lvl>
    <w:lvl w:ilvl="2" w:tplc="96B04EA6" w:tentative="1">
      <w:start w:val="1"/>
      <w:numFmt w:val="lowerRoman"/>
      <w:lvlText w:val="%3."/>
      <w:lvlJc w:val="right"/>
      <w:pPr>
        <w:ind w:left="2160" w:hanging="180"/>
      </w:pPr>
    </w:lvl>
    <w:lvl w:ilvl="3" w:tplc="8AB6F59C" w:tentative="1">
      <w:start w:val="1"/>
      <w:numFmt w:val="decimal"/>
      <w:lvlText w:val="%4."/>
      <w:lvlJc w:val="left"/>
      <w:pPr>
        <w:ind w:left="2880" w:hanging="360"/>
      </w:pPr>
    </w:lvl>
    <w:lvl w:ilvl="4" w:tplc="F8825592" w:tentative="1">
      <w:start w:val="1"/>
      <w:numFmt w:val="lowerLetter"/>
      <w:lvlText w:val="%5."/>
      <w:lvlJc w:val="left"/>
      <w:pPr>
        <w:ind w:left="3600" w:hanging="360"/>
      </w:pPr>
    </w:lvl>
    <w:lvl w:ilvl="5" w:tplc="2CA2CC98" w:tentative="1">
      <w:start w:val="1"/>
      <w:numFmt w:val="lowerRoman"/>
      <w:lvlText w:val="%6."/>
      <w:lvlJc w:val="right"/>
      <w:pPr>
        <w:ind w:left="4320" w:hanging="180"/>
      </w:pPr>
    </w:lvl>
    <w:lvl w:ilvl="6" w:tplc="7AA6B860" w:tentative="1">
      <w:start w:val="1"/>
      <w:numFmt w:val="decimal"/>
      <w:lvlText w:val="%7."/>
      <w:lvlJc w:val="left"/>
      <w:pPr>
        <w:ind w:left="5040" w:hanging="360"/>
      </w:pPr>
    </w:lvl>
    <w:lvl w:ilvl="7" w:tplc="ECCE3D6C" w:tentative="1">
      <w:start w:val="1"/>
      <w:numFmt w:val="lowerLetter"/>
      <w:lvlText w:val="%8."/>
      <w:lvlJc w:val="left"/>
      <w:pPr>
        <w:ind w:left="5760" w:hanging="360"/>
      </w:pPr>
    </w:lvl>
    <w:lvl w:ilvl="8" w:tplc="E64C7B30" w:tentative="1">
      <w:start w:val="1"/>
      <w:numFmt w:val="lowerRoman"/>
      <w:lvlText w:val="%9."/>
      <w:lvlJc w:val="right"/>
      <w:pPr>
        <w:ind w:left="6480" w:hanging="180"/>
      </w:pPr>
    </w:lvl>
  </w:abstractNum>
  <w:abstractNum w:abstractNumId="7">
    <w:nsid w:val="3CA37F2C"/>
    <w:multiLevelType w:val="hybridMultilevel"/>
    <w:tmpl w:val="0AD86578"/>
    <w:lvl w:ilvl="0" w:tplc="DC263E90">
      <w:start w:val="1"/>
      <w:numFmt w:val="decimal"/>
      <w:lvlText w:val="%1."/>
      <w:lvlJc w:val="left"/>
      <w:pPr>
        <w:ind w:left="720" w:hanging="360"/>
      </w:pPr>
    </w:lvl>
    <w:lvl w:ilvl="1" w:tplc="76D8D900" w:tentative="1">
      <w:start w:val="1"/>
      <w:numFmt w:val="lowerLetter"/>
      <w:lvlText w:val="%2."/>
      <w:lvlJc w:val="left"/>
      <w:pPr>
        <w:ind w:left="1440" w:hanging="360"/>
      </w:pPr>
    </w:lvl>
    <w:lvl w:ilvl="2" w:tplc="62606C82" w:tentative="1">
      <w:start w:val="1"/>
      <w:numFmt w:val="lowerRoman"/>
      <w:lvlText w:val="%3."/>
      <w:lvlJc w:val="right"/>
      <w:pPr>
        <w:ind w:left="2160" w:hanging="180"/>
      </w:pPr>
    </w:lvl>
    <w:lvl w:ilvl="3" w:tplc="38243C16" w:tentative="1">
      <w:start w:val="1"/>
      <w:numFmt w:val="decimal"/>
      <w:lvlText w:val="%4."/>
      <w:lvlJc w:val="left"/>
      <w:pPr>
        <w:ind w:left="2880" w:hanging="360"/>
      </w:pPr>
    </w:lvl>
    <w:lvl w:ilvl="4" w:tplc="85105764" w:tentative="1">
      <w:start w:val="1"/>
      <w:numFmt w:val="lowerLetter"/>
      <w:lvlText w:val="%5."/>
      <w:lvlJc w:val="left"/>
      <w:pPr>
        <w:ind w:left="3600" w:hanging="360"/>
      </w:pPr>
    </w:lvl>
    <w:lvl w:ilvl="5" w:tplc="062AD570" w:tentative="1">
      <w:start w:val="1"/>
      <w:numFmt w:val="lowerRoman"/>
      <w:lvlText w:val="%6."/>
      <w:lvlJc w:val="right"/>
      <w:pPr>
        <w:ind w:left="4320" w:hanging="180"/>
      </w:pPr>
    </w:lvl>
    <w:lvl w:ilvl="6" w:tplc="A8EA9944" w:tentative="1">
      <w:start w:val="1"/>
      <w:numFmt w:val="decimal"/>
      <w:lvlText w:val="%7."/>
      <w:lvlJc w:val="left"/>
      <w:pPr>
        <w:ind w:left="5040" w:hanging="360"/>
      </w:pPr>
    </w:lvl>
    <w:lvl w:ilvl="7" w:tplc="3C80747C" w:tentative="1">
      <w:start w:val="1"/>
      <w:numFmt w:val="lowerLetter"/>
      <w:lvlText w:val="%8."/>
      <w:lvlJc w:val="left"/>
      <w:pPr>
        <w:ind w:left="5760" w:hanging="360"/>
      </w:pPr>
    </w:lvl>
    <w:lvl w:ilvl="8" w:tplc="44F4D1C0" w:tentative="1">
      <w:start w:val="1"/>
      <w:numFmt w:val="lowerRoman"/>
      <w:lvlText w:val="%9."/>
      <w:lvlJc w:val="right"/>
      <w:pPr>
        <w:ind w:left="6480" w:hanging="180"/>
      </w:pPr>
    </w:lvl>
  </w:abstractNum>
  <w:abstractNum w:abstractNumId="8">
    <w:nsid w:val="5185184D"/>
    <w:multiLevelType w:val="hybridMultilevel"/>
    <w:tmpl w:val="D452F15C"/>
    <w:lvl w:ilvl="0" w:tplc="DF36C92A">
      <w:start w:val="1"/>
      <w:numFmt w:val="decimal"/>
      <w:lvlText w:val="%1."/>
      <w:lvlJc w:val="left"/>
      <w:pPr>
        <w:ind w:left="720" w:hanging="360"/>
      </w:pPr>
    </w:lvl>
    <w:lvl w:ilvl="1" w:tplc="EE1A036A" w:tentative="1">
      <w:start w:val="1"/>
      <w:numFmt w:val="lowerLetter"/>
      <w:lvlText w:val="%2."/>
      <w:lvlJc w:val="left"/>
      <w:pPr>
        <w:ind w:left="1440" w:hanging="360"/>
      </w:pPr>
    </w:lvl>
    <w:lvl w:ilvl="2" w:tplc="5A888DD2" w:tentative="1">
      <w:start w:val="1"/>
      <w:numFmt w:val="lowerRoman"/>
      <w:lvlText w:val="%3."/>
      <w:lvlJc w:val="right"/>
      <w:pPr>
        <w:ind w:left="2160" w:hanging="180"/>
      </w:pPr>
    </w:lvl>
    <w:lvl w:ilvl="3" w:tplc="440CFAC0" w:tentative="1">
      <w:start w:val="1"/>
      <w:numFmt w:val="decimal"/>
      <w:lvlText w:val="%4."/>
      <w:lvlJc w:val="left"/>
      <w:pPr>
        <w:ind w:left="2880" w:hanging="360"/>
      </w:pPr>
    </w:lvl>
    <w:lvl w:ilvl="4" w:tplc="5F64E858" w:tentative="1">
      <w:start w:val="1"/>
      <w:numFmt w:val="lowerLetter"/>
      <w:lvlText w:val="%5."/>
      <w:lvlJc w:val="left"/>
      <w:pPr>
        <w:ind w:left="3600" w:hanging="360"/>
      </w:pPr>
    </w:lvl>
    <w:lvl w:ilvl="5" w:tplc="364C49E2" w:tentative="1">
      <w:start w:val="1"/>
      <w:numFmt w:val="lowerRoman"/>
      <w:lvlText w:val="%6."/>
      <w:lvlJc w:val="right"/>
      <w:pPr>
        <w:ind w:left="4320" w:hanging="180"/>
      </w:pPr>
    </w:lvl>
    <w:lvl w:ilvl="6" w:tplc="CAF6EE8C" w:tentative="1">
      <w:start w:val="1"/>
      <w:numFmt w:val="decimal"/>
      <w:lvlText w:val="%7."/>
      <w:lvlJc w:val="left"/>
      <w:pPr>
        <w:ind w:left="5040" w:hanging="360"/>
      </w:pPr>
    </w:lvl>
    <w:lvl w:ilvl="7" w:tplc="125C9A82" w:tentative="1">
      <w:start w:val="1"/>
      <w:numFmt w:val="lowerLetter"/>
      <w:lvlText w:val="%8."/>
      <w:lvlJc w:val="left"/>
      <w:pPr>
        <w:ind w:left="5760" w:hanging="360"/>
      </w:pPr>
    </w:lvl>
    <w:lvl w:ilvl="8" w:tplc="F790044E" w:tentative="1">
      <w:start w:val="1"/>
      <w:numFmt w:val="lowerRoman"/>
      <w:lvlText w:val="%9."/>
      <w:lvlJc w:val="right"/>
      <w:pPr>
        <w:ind w:left="6480" w:hanging="180"/>
      </w:pPr>
    </w:lvl>
  </w:abstractNum>
  <w:abstractNum w:abstractNumId="9">
    <w:nsid w:val="6C566150"/>
    <w:multiLevelType w:val="hybridMultilevel"/>
    <w:tmpl w:val="EC04DCC0"/>
    <w:lvl w:ilvl="0" w:tplc="AC224262">
      <w:start w:val="1"/>
      <w:numFmt w:val="decimal"/>
      <w:lvlText w:val="%1."/>
      <w:lvlJc w:val="left"/>
      <w:pPr>
        <w:ind w:left="720" w:hanging="360"/>
      </w:pPr>
      <w:rPr>
        <w:b w:val="0"/>
        <w:sz w:val="20"/>
        <w:szCs w:val="20"/>
      </w:rPr>
    </w:lvl>
    <w:lvl w:ilvl="1" w:tplc="F8E8757A">
      <w:start w:val="1"/>
      <w:numFmt w:val="lowerLetter"/>
      <w:lvlText w:val="%2)"/>
      <w:lvlJc w:val="left"/>
      <w:pPr>
        <w:ind w:left="1440" w:hanging="360"/>
      </w:pPr>
    </w:lvl>
    <w:lvl w:ilvl="2" w:tplc="48208604" w:tentative="1">
      <w:start w:val="1"/>
      <w:numFmt w:val="lowerRoman"/>
      <w:lvlText w:val="%3."/>
      <w:lvlJc w:val="right"/>
      <w:pPr>
        <w:ind w:left="2160" w:hanging="180"/>
      </w:pPr>
    </w:lvl>
    <w:lvl w:ilvl="3" w:tplc="B148A4D4" w:tentative="1">
      <w:start w:val="1"/>
      <w:numFmt w:val="decimal"/>
      <w:lvlText w:val="%4."/>
      <w:lvlJc w:val="left"/>
      <w:pPr>
        <w:ind w:left="2880" w:hanging="360"/>
      </w:pPr>
    </w:lvl>
    <w:lvl w:ilvl="4" w:tplc="CEA05CBC" w:tentative="1">
      <w:start w:val="1"/>
      <w:numFmt w:val="lowerLetter"/>
      <w:lvlText w:val="%5."/>
      <w:lvlJc w:val="left"/>
      <w:pPr>
        <w:ind w:left="3600" w:hanging="360"/>
      </w:pPr>
    </w:lvl>
    <w:lvl w:ilvl="5" w:tplc="0BD67972" w:tentative="1">
      <w:start w:val="1"/>
      <w:numFmt w:val="lowerRoman"/>
      <w:lvlText w:val="%6."/>
      <w:lvlJc w:val="right"/>
      <w:pPr>
        <w:ind w:left="4320" w:hanging="180"/>
      </w:pPr>
    </w:lvl>
    <w:lvl w:ilvl="6" w:tplc="79D8E3D2" w:tentative="1">
      <w:start w:val="1"/>
      <w:numFmt w:val="decimal"/>
      <w:lvlText w:val="%7."/>
      <w:lvlJc w:val="left"/>
      <w:pPr>
        <w:ind w:left="5040" w:hanging="360"/>
      </w:pPr>
    </w:lvl>
    <w:lvl w:ilvl="7" w:tplc="96D87186" w:tentative="1">
      <w:start w:val="1"/>
      <w:numFmt w:val="lowerLetter"/>
      <w:lvlText w:val="%8."/>
      <w:lvlJc w:val="left"/>
      <w:pPr>
        <w:ind w:left="5760" w:hanging="360"/>
      </w:pPr>
    </w:lvl>
    <w:lvl w:ilvl="8" w:tplc="83BEAFBE"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2"/>
  </w:num>
  <w:num w:numId="5">
    <w:abstractNumId w:val="0"/>
  </w:num>
  <w:num w:numId="6">
    <w:abstractNumId w:val="3"/>
  </w:num>
  <w:num w:numId="7">
    <w:abstractNumId w:val="8"/>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A594797-B064-4DCC-A02E-CE3680453AFB}"/>
    <w:docVar w:name="dgnword-eventsink" w:val="99192536"/>
  </w:docVars>
  <w:rsids>
    <w:rsidRoot w:val="00044F49"/>
    <w:rsid w:val="00001BC5"/>
    <w:rsid w:val="000021C4"/>
    <w:rsid w:val="000045D3"/>
    <w:rsid w:val="000072F5"/>
    <w:rsid w:val="000106BA"/>
    <w:rsid w:val="00012D30"/>
    <w:rsid w:val="00013C16"/>
    <w:rsid w:val="00015134"/>
    <w:rsid w:val="000204DA"/>
    <w:rsid w:val="00032099"/>
    <w:rsid w:val="000323BA"/>
    <w:rsid w:val="00033CE9"/>
    <w:rsid w:val="00033E19"/>
    <w:rsid w:val="00034B05"/>
    <w:rsid w:val="00041767"/>
    <w:rsid w:val="00044F49"/>
    <w:rsid w:val="00045F6B"/>
    <w:rsid w:val="00046FF0"/>
    <w:rsid w:val="00050B28"/>
    <w:rsid w:val="00051693"/>
    <w:rsid w:val="000541F3"/>
    <w:rsid w:val="00055CDA"/>
    <w:rsid w:val="000601DF"/>
    <w:rsid w:val="00061D19"/>
    <w:rsid w:val="00064A16"/>
    <w:rsid w:val="0006720E"/>
    <w:rsid w:val="00067484"/>
    <w:rsid w:val="00067558"/>
    <w:rsid w:val="00067E25"/>
    <w:rsid w:val="00070E91"/>
    <w:rsid w:val="00075FBD"/>
    <w:rsid w:val="00076850"/>
    <w:rsid w:val="00077944"/>
    <w:rsid w:val="000800EE"/>
    <w:rsid w:val="00081770"/>
    <w:rsid w:val="000829A0"/>
    <w:rsid w:val="00082AB7"/>
    <w:rsid w:val="00086067"/>
    <w:rsid w:val="0009180F"/>
    <w:rsid w:val="00096F27"/>
    <w:rsid w:val="00097F6D"/>
    <w:rsid w:val="000A0B7E"/>
    <w:rsid w:val="000A1329"/>
    <w:rsid w:val="000A2371"/>
    <w:rsid w:val="000A58D2"/>
    <w:rsid w:val="000A619A"/>
    <w:rsid w:val="000B0148"/>
    <w:rsid w:val="000B2E07"/>
    <w:rsid w:val="000B54EA"/>
    <w:rsid w:val="000B5BA9"/>
    <w:rsid w:val="000B647F"/>
    <w:rsid w:val="000C0DB1"/>
    <w:rsid w:val="000C3CE5"/>
    <w:rsid w:val="000C6A0C"/>
    <w:rsid w:val="000C788F"/>
    <w:rsid w:val="000D3D2F"/>
    <w:rsid w:val="000D5319"/>
    <w:rsid w:val="000D7619"/>
    <w:rsid w:val="000E078A"/>
    <w:rsid w:val="000E1360"/>
    <w:rsid w:val="000E43B0"/>
    <w:rsid w:val="000E44AF"/>
    <w:rsid w:val="000E49D0"/>
    <w:rsid w:val="000E4C11"/>
    <w:rsid w:val="000E50F7"/>
    <w:rsid w:val="000E54CA"/>
    <w:rsid w:val="000E6081"/>
    <w:rsid w:val="000F2749"/>
    <w:rsid w:val="000F3445"/>
    <w:rsid w:val="000F3E67"/>
    <w:rsid w:val="000F4722"/>
    <w:rsid w:val="000F5931"/>
    <w:rsid w:val="000F5AEA"/>
    <w:rsid w:val="000F79A5"/>
    <w:rsid w:val="00101C70"/>
    <w:rsid w:val="001107E6"/>
    <w:rsid w:val="001118AF"/>
    <w:rsid w:val="00112A62"/>
    <w:rsid w:val="0011386C"/>
    <w:rsid w:val="001209C1"/>
    <w:rsid w:val="00121244"/>
    <w:rsid w:val="001223E2"/>
    <w:rsid w:val="00122C8A"/>
    <w:rsid w:val="001230C2"/>
    <w:rsid w:val="00123354"/>
    <w:rsid w:val="00123A80"/>
    <w:rsid w:val="00127D43"/>
    <w:rsid w:val="00131251"/>
    <w:rsid w:val="00133287"/>
    <w:rsid w:val="00133818"/>
    <w:rsid w:val="00134D1A"/>
    <w:rsid w:val="0013556A"/>
    <w:rsid w:val="001368BA"/>
    <w:rsid w:val="0014062E"/>
    <w:rsid w:val="00150CA9"/>
    <w:rsid w:val="001513AC"/>
    <w:rsid w:val="00152AFC"/>
    <w:rsid w:val="00156808"/>
    <w:rsid w:val="00161970"/>
    <w:rsid w:val="00161AF5"/>
    <w:rsid w:val="0016211D"/>
    <w:rsid w:val="00163166"/>
    <w:rsid w:val="00167B3E"/>
    <w:rsid w:val="00171178"/>
    <w:rsid w:val="001724B9"/>
    <w:rsid w:val="00173855"/>
    <w:rsid w:val="00173914"/>
    <w:rsid w:val="00174514"/>
    <w:rsid w:val="00180A94"/>
    <w:rsid w:val="001812E8"/>
    <w:rsid w:val="00182B66"/>
    <w:rsid w:val="00184FA8"/>
    <w:rsid w:val="001864BF"/>
    <w:rsid w:val="00190C8B"/>
    <w:rsid w:val="0019304A"/>
    <w:rsid w:val="00195B25"/>
    <w:rsid w:val="0019641C"/>
    <w:rsid w:val="00197B14"/>
    <w:rsid w:val="001A0B6F"/>
    <w:rsid w:val="001A18AD"/>
    <w:rsid w:val="001A2A2B"/>
    <w:rsid w:val="001A3081"/>
    <w:rsid w:val="001A43C7"/>
    <w:rsid w:val="001B0AA7"/>
    <w:rsid w:val="001B3828"/>
    <w:rsid w:val="001B387F"/>
    <w:rsid w:val="001B6BC1"/>
    <w:rsid w:val="001C07CE"/>
    <w:rsid w:val="001C167B"/>
    <w:rsid w:val="001C2A67"/>
    <w:rsid w:val="001C5141"/>
    <w:rsid w:val="001C5C2B"/>
    <w:rsid w:val="001D0353"/>
    <w:rsid w:val="001D0D5E"/>
    <w:rsid w:val="001D2F56"/>
    <w:rsid w:val="001D6418"/>
    <w:rsid w:val="001E12D6"/>
    <w:rsid w:val="001E1506"/>
    <w:rsid w:val="001E1681"/>
    <w:rsid w:val="001E5458"/>
    <w:rsid w:val="001E5F7B"/>
    <w:rsid w:val="001E621C"/>
    <w:rsid w:val="001E6B53"/>
    <w:rsid w:val="001E7478"/>
    <w:rsid w:val="001F0DD9"/>
    <w:rsid w:val="001F3955"/>
    <w:rsid w:val="001F54F7"/>
    <w:rsid w:val="001F7A53"/>
    <w:rsid w:val="00202D25"/>
    <w:rsid w:val="002040D1"/>
    <w:rsid w:val="00204147"/>
    <w:rsid w:val="00204529"/>
    <w:rsid w:val="00206580"/>
    <w:rsid w:val="00207F15"/>
    <w:rsid w:val="0021104D"/>
    <w:rsid w:val="002162B8"/>
    <w:rsid w:val="00217996"/>
    <w:rsid w:val="00222030"/>
    <w:rsid w:val="00223565"/>
    <w:rsid w:val="0022522C"/>
    <w:rsid w:val="0022662E"/>
    <w:rsid w:val="00231E30"/>
    <w:rsid w:val="00233626"/>
    <w:rsid w:val="00234BDA"/>
    <w:rsid w:val="00236B6A"/>
    <w:rsid w:val="00241386"/>
    <w:rsid w:val="00241745"/>
    <w:rsid w:val="00241D65"/>
    <w:rsid w:val="00242D4D"/>
    <w:rsid w:val="00244B0A"/>
    <w:rsid w:val="002458ED"/>
    <w:rsid w:val="00245B1F"/>
    <w:rsid w:val="002471B3"/>
    <w:rsid w:val="002474BE"/>
    <w:rsid w:val="002512F6"/>
    <w:rsid w:val="00251512"/>
    <w:rsid w:val="0025619A"/>
    <w:rsid w:val="00256742"/>
    <w:rsid w:val="0025678D"/>
    <w:rsid w:val="00257809"/>
    <w:rsid w:val="002625BD"/>
    <w:rsid w:val="002655D4"/>
    <w:rsid w:val="00266CBE"/>
    <w:rsid w:val="002674F7"/>
    <w:rsid w:val="0027101C"/>
    <w:rsid w:val="002711FF"/>
    <w:rsid w:val="0027190A"/>
    <w:rsid w:val="002722BB"/>
    <w:rsid w:val="00276673"/>
    <w:rsid w:val="00277457"/>
    <w:rsid w:val="0028174B"/>
    <w:rsid w:val="00283ED5"/>
    <w:rsid w:val="0028599D"/>
    <w:rsid w:val="00285C50"/>
    <w:rsid w:val="002913AF"/>
    <w:rsid w:val="00294770"/>
    <w:rsid w:val="00294F26"/>
    <w:rsid w:val="00297193"/>
    <w:rsid w:val="00297395"/>
    <w:rsid w:val="002A18AE"/>
    <w:rsid w:val="002A2BF2"/>
    <w:rsid w:val="002A4843"/>
    <w:rsid w:val="002A4A18"/>
    <w:rsid w:val="002A54CC"/>
    <w:rsid w:val="002A62A2"/>
    <w:rsid w:val="002A6335"/>
    <w:rsid w:val="002B0D0F"/>
    <w:rsid w:val="002B1DF3"/>
    <w:rsid w:val="002B4970"/>
    <w:rsid w:val="002B5A5A"/>
    <w:rsid w:val="002B7903"/>
    <w:rsid w:val="002B7D30"/>
    <w:rsid w:val="002C1E68"/>
    <w:rsid w:val="002C57E3"/>
    <w:rsid w:val="002D05EF"/>
    <w:rsid w:val="002D0EA0"/>
    <w:rsid w:val="002D1691"/>
    <w:rsid w:val="002E04AB"/>
    <w:rsid w:val="002E193D"/>
    <w:rsid w:val="002E4BC3"/>
    <w:rsid w:val="002E5AEF"/>
    <w:rsid w:val="002F1EA8"/>
    <w:rsid w:val="002F2A74"/>
    <w:rsid w:val="002F31C0"/>
    <w:rsid w:val="002F3DA2"/>
    <w:rsid w:val="002F49EC"/>
    <w:rsid w:val="002F4A36"/>
    <w:rsid w:val="002F5F5C"/>
    <w:rsid w:val="002F6935"/>
    <w:rsid w:val="002F6F00"/>
    <w:rsid w:val="002F7861"/>
    <w:rsid w:val="002F7A3E"/>
    <w:rsid w:val="003053B6"/>
    <w:rsid w:val="00310E1C"/>
    <w:rsid w:val="00312EA5"/>
    <w:rsid w:val="003144F0"/>
    <w:rsid w:val="0031481E"/>
    <w:rsid w:val="00316289"/>
    <w:rsid w:val="0032090A"/>
    <w:rsid w:val="0032303B"/>
    <w:rsid w:val="0032391F"/>
    <w:rsid w:val="00323C3E"/>
    <w:rsid w:val="00324D36"/>
    <w:rsid w:val="00327433"/>
    <w:rsid w:val="00327BA0"/>
    <w:rsid w:val="00334E7C"/>
    <w:rsid w:val="0033543A"/>
    <w:rsid w:val="003374C7"/>
    <w:rsid w:val="00337A9B"/>
    <w:rsid w:val="00340F45"/>
    <w:rsid w:val="00341647"/>
    <w:rsid w:val="00342148"/>
    <w:rsid w:val="00343CC0"/>
    <w:rsid w:val="0034491B"/>
    <w:rsid w:val="003453BD"/>
    <w:rsid w:val="00346A06"/>
    <w:rsid w:val="00347B84"/>
    <w:rsid w:val="003545EA"/>
    <w:rsid w:val="00354C40"/>
    <w:rsid w:val="003576EA"/>
    <w:rsid w:val="00360943"/>
    <w:rsid w:val="00361FC3"/>
    <w:rsid w:val="00363DF9"/>
    <w:rsid w:val="00365CEE"/>
    <w:rsid w:val="003660C8"/>
    <w:rsid w:val="00367BA7"/>
    <w:rsid w:val="0037005E"/>
    <w:rsid w:val="0037428E"/>
    <w:rsid w:val="0037562A"/>
    <w:rsid w:val="00377973"/>
    <w:rsid w:val="00380123"/>
    <w:rsid w:val="00382A39"/>
    <w:rsid w:val="0038360C"/>
    <w:rsid w:val="003918CD"/>
    <w:rsid w:val="00391E00"/>
    <w:rsid w:val="0039272F"/>
    <w:rsid w:val="00393E19"/>
    <w:rsid w:val="0039417C"/>
    <w:rsid w:val="003942E7"/>
    <w:rsid w:val="00395A63"/>
    <w:rsid w:val="00395CD1"/>
    <w:rsid w:val="003A0CFB"/>
    <w:rsid w:val="003A1C0B"/>
    <w:rsid w:val="003A3F79"/>
    <w:rsid w:val="003A635F"/>
    <w:rsid w:val="003A6D1F"/>
    <w:rsid w:val="003B02A2"/>
    <w:rsid w:val="003B0319"/>
    <w:rsid w:val="003B1BA8"/>
    <w:rsid w:val="003B563F"/>
    <w:rsid w:val="003B6273"/>
    <w:rsid w:val="003C2110"/>
    <w:rsid w:val="003C2A9C"/>
    <w:rsid w:val="003C2DA3"/>
    <w:rsid w:val="003C3A82"/>
    <w:rsid w:val="003C6F17"/>
    <w:rsid w:val="003D41A2"/>
    <w:rsid w:val="003D4220"/>
    <w:rsid w:val="003D4A67"/>
    <w:rsid w:val="003D71B7"/>
    <w:rsid w:val="003E2A13"/>
    <w:rsid w:val="003E30FC"/>
    <w:rsid w:val="003F0BD2"/>
    <w:rsid w:val="003F29D9"/>
    <w:rsid w:val="003F2D4D"/>
    <w:rsid w:val="003F4E87"/>
    <w:rsid w:val="003F5205"/>
    <w:rsid w:val="003F5826"/>
    <w:rsid w:val="003F58EE"/>
    <w:rsid w:val="0040231C"/>
    <w:rsid w:val="00404AC9"/>
    <w:rsid w:val="00406E89"/>
    <w:rsid w:val="0040737B"/>
    <w:rsid w:val="00407755"/>
    <w:rsid w:val="00407F4C"/>
    <w:rsid w:val="00416081"/>
    <w:rsid w:val="00416301"/>
    <w:rsid w:val="0042085D"/>
    <w:rsid w:val="00423E6F"/>
    <w:rsid w:val="00425F3D"/>
    <w:rsid w:val="00430918"/>
    <w:rsid w:val="004346EF"/>
    <w:rsid w:val="004364D0"/>
    <w:rsid w:val="00443556"/>
    <w:rsid w:val="00444DB6"/>
    <w:rsid w:val="00444E85"/>
    <w:rsid w:val="00444F5C"/>
    <w:rsid w:val="00446B9A"/>
    <w:rsid w:val="004518F6"/>
    <w:rsid w:val="00456A86"/>
    <w:rsid w:val="0046082B"/>
    <w:rsid w:val="0046202F"/>
    <w:rsid w:val="00465F4E"/>
    <w:rsid w:val="004665FC"/>
    <w:rsid w:val="00467F9E"/>
    <w:rsid w:val="00474757"/>
    <w:rsid w:val="00474C9D"/>
    <w:rsid w:val="0047712E"/>
    <w:rsid w:val="004801FF"/>
    <w:rsid w:val="0048554C"/>
    <w:rsid w:val="00487B7D"/>
    <w:rsid w:val="00491102"/>
    <w:rsid w:val="00493CFA"/>
    <w:rsid w:val="00494A15"/>
    <w:rsid w:val="004A14BA"/>
    <w:rsid w:val="004A1D90"/>
    <w:rsid w:val="004A2B57"/>
    <w:rsid w:val="004A7B51"/>
    <w:rsid w:val="004B4DE7"/>
    <w:rsid w:val="004B624E"/>
    <w:rsid w:val="004C0576"/>
    <w:rsid w:val="004C785E"/>
    <w:rsid w:val="004C7F6E"/>
    <w:rsid w:val="004D03E8"/>
    <w:rsid w:val="004D10A7"/>
    <w:rsid w:val="004D19BD"/>
    <w:rsid w:val="004D1F53"/>
    <w:rsid w:val="004D4637"/>
    <w:rsid w:val="004E0F89"/>
    <w:rsid w:val="004E567E"/>
    <w:rsid w:val="004F227B"/>
    <w:rsid w:val="004F3639"/>
    <w:rsid w:val="004F66F9"/>
    <w:rsid w:val="00502CA5"/>
    <w:rsid w:val="00503BB4"/>
    <w:rsid w:val="00505776"/>
    <w:rsid w:val="00507701"/>
    <w:rsid w:val="00510E6B"/>
    <w:rsid w:val="005111CE"/>
    <w:rsid w:val="005114EB"/>
    <w:rsid w:val="00511B43"/>
    <w:rsid w:val="0051270A"/>
    <w:rsid w:val="0052013E"/>
    <w:rsid w:val="005201E0"/>
    <w:rsid w:val="005208E2"/>
    <w:rsid w:val="00524EFF"/>
    <w:rsid w:val="00524FE6"/>
    <w:rsid w:val="00525DD7"/>
    <w:rsid w:val="00526B39"/>
    <w:rsid w:val="005303E9"/>
    <w:rsid w:val="00531FFD"/>
    <w:rsid w:val="00537A6A"/>
    <w:rsid w:val="00537BB0"/>
    <w:rsid w:val="0054063B"/>
    <w:rsid w:val="005415A3"/>
    <w:rsid w:val="00547062"/>
    <w:rsid w:val="00550D44"/>
    <w:rsid w:val="005516F2"/>
    <w:rsid w:val="00557A96"/>
    <w:rsid w:val="00561117"/>
    <w:rsid w:val="00563677"/>
    <w:rsid w:val="0056368B"/>
    <w:rsid w:val="00566107"/>
    <w:rsid w:val="00566B81"/>
    <w:rsid w:val="00576567"/>
    <w:rsid w:val="00576F89"/>
    <w:rsid w:val="005770F3"/>
    <w:rsid w:val="0057777C"/>
    <w:rsid w:val="00577E16"/>
    <w:rsid w:val="00580235"/>
    <w:rsid w:val="005808B1"/>
    <w:rsid w:val="005832D5"/>
    <w:rsid w:val="005840C0"/>
    <w:rsid w:val="00590A87"/>
    <w:rsid w:val="00594EC5"/>
    <w:rsid w:val="005A2C38"/>
    <w:rsid w:val="005A46D7"/>
    <w:rsid w:val="005A5193"/>
    <w:rsid w:val="005B08E8"/>
    <w:rsid w:val="005C0EE7"/>
    <w:rsid w:val="005C4209"/>
    <w:rsid w:val="005C61ED"/>
    <w:rsid w:val="005C6D83"/>
    <w:rsid w:val="005C741C"/>
    <w:rsid w:val="005D0786"/>
    <w:rsid w:val="005D3157"/>
    <w:rsid w:val="005D596D"/>
    <w:rsid w:val="005D5D3B"/>
    <w:rsid w:val="005D7840"/>
    <w:rsid w:val="005D7A50"/>
    <w:rsid w:val="005D7E94"/>
    <w:rsid w:val="005E75E8"/>
    <w:rsid w:val="005F2F79"/>
    <w:rsid w:val="005F32C6"/>
    <w:rsid w:val="00600052"/>
    <w:rsid w:val="006047A0"/>
    <w:rsid w:val="00615886"/>
    <w:rsid w:val="0061591A"/>
    <w:rsid w:val="006166DC"/>
    <w:rsid w:val="00617461"/>
    <w:rsid w:val="00620FA7"/>
    <w:rsid w:val="00621936"/>
    <w:rsid w:val="0062352F"/>
    <w:rsid w:val="006235D5"/>
    <w:rsid w:val="006248E1"/>
    <w:rsid w:val="00626472"/>
    <w:rsid w:val="00626811"/>
    <w:rsid w:val="006278AC"/>
    <w:rsid w:val="0063044A"/>
    <w:rsid w:val="006306EF"/>
    <w:rsid w:val="0063155F"/>
    <w:rsid w:val="00633AAB"/>
    <w:rsid w:val="00634DC4"/>
    <w:rsid w:val="00635B53"/>
    <w:rsid w:val="006453C9"/>
    <w:rsid w:val="00647B09"/>
    <w:rsid w:val="00651219"/>
    <w:rsid w:val="00653D32"/>
    <w:rsid w:val="00654167"/>
    <w:rsid w:val="0066042A"/>
    <w:rsid w:val="006610E7"/>
    <w:rsid w:val="006626DE"/>
    <w:rsid w:val="00662FA0"/>
    <w:rsid w:val="006658A8"/>
    <w:rsid w:val="00667A8A"/>
    <w:rsid w:val="00667EDA"/>
    <w:rsid w:val="00670AC5"/>
    <w:rsid w:val="00674B4F"/>
    <w:rsid w:val="0067589C"/>
    <w:rsid w:val="00675E11"/>
    <w:rsid w:val="00676345"/>
    <w:rsid w:val="00677DC2"/>
    <w:rsid w:val="0068079D"/>
    <w:rsid w:val="00680FA1"/>
    <w:rsid w:val="00680FB5"/>
    <w:rsid w:val="00681267"/>
    <w:rsid w:val="00682DEF"/>
    <w:rsid w:val="0068406B"/>
    <w:rsid w:val="006844CF"/>
    <w:rsid w:val="00684A2D"/>
    <w:rsid w:val="00686608"/>
    <w:rsid w:val="006867AC"/>
    <w:rsid w:val="00691902"/>
    <w:rsid w:val="00691ACD"/>
    <w:rsid w:val="00692549"/>
    <w:rsid w:val="006959F2"/>
    <w:rsid w:val="00696A94"/>
    <w:rsid w:val="00696B49"/>
    <w:rsid w:val="006A00FA"/>
    <w:rsid w:val="006A4153"/>
    <w:rsid w:val="006A430E"/>
    <w:rsid w:val="006A7411"/>
    <w:rsid w:val="006B1870"/>
    <w:rsid w:val="006B5E28"/>
    <w:rsid w:val="006B6449"/>
    <w:rsid w:val="006B67FE"/>
    <w:rsid w:val="006B6D1B"/>
    <w:rsid w:val="006B75A1"/>
    <w:rsid w:val="006C0C3A"/>
    <w:rsid w:val="006C269F"/>
    <w:rsid w:val="006C2A88"/>
    <w:rsid w:val="006C2C22"/>
    <w:rsid w:val="006C38F0"/>
    <w:rsid w:val="006C700D"/>
    <w:rsid w:val="006C7D74"/>
    <w:rsid w:val="006D06F2"/>
    <w:rsid w:val="006D2FF6"/>
    <w:rsid w:val="006D60A0"/>
    <w:rsid w:val="006D7183"/>
    <w:rsid w:val="006E012B"/>
    <w:rsid w:val="006E0374"/>
    <w:rsid w:val="006E40FD"/>
    <w:rsid w:val="006E589B"/>
    <w:rsid w:val="006E58EC"/>
    <w:rsid w:val="006E59B6"/>
    <w:rsid w:val="006E7E3C"/>
    <w:rsid w:val="006F2D3B"/>
    <w:rsid w:val="006F2F88"/>
    <w:rsid w:val="006F4B55"/>
    <w:rsid w:val="006F5BEF"/>
    <w:rsid w:val="006F6A4E"/>
    <w:rsid w:val="00701C6E"/>
    <w:rsid w:val="007059D1"/>
    <w:rsid w:val="0071230D"/>
    <w:rsid w:val="0071495E"/>
    <w:rsid w:val="007151BB"/>
    <w:rsid w:val="00715979"/>
    <w:rsid w:val="00716B0E"/>
    <w:rsid w:val="00720899"/>
    <w:rsid w:val="00725157"/>
    <w:rsid w:val="007256E6"/>
    <w:rsid w:val="00726B58"/>
    <w:rsid w:val="00730690"/>
    <w:rsid w:val="00733B0F"/>
    <w:rsid w:val="00736B4B"/>
    <w:rsid w:val="00742C79"/>
    <w:rsid w:val="00742DCC"/>
    <w:rsid w:val="0074384B"/>
    <w:rsid w:val="00745566"/>
    <w:rsid w:val="00753293"/>
    <w:rsid w:val="00756638"/>
    <w:rsid w:val="00757A12"/>
    <w:rsid w:val="00757B97"/>
    <w:rsid w:val="00757E88"/>
    <w:rsid w:val="007612B4"/>
    <w:rsid w:val="0076320B"/>
    <w:rsid w:val="00763DFE"/>
    <w:rsid w:val="007642CA"/>
    <w:rsid w:val="00767141"/>
    <w:rsid w:val="00770070"/>
    <w:rsid w:val="00773EA4"/>
    <w:rsid w:val="00773FBB"/>
    <w:rsid w:val="007744FB"/>
    <w:rsid w:val="00775171"/>
    <w:rsid w:val="00775D23"/>
    <w:rsid w:val="0078209F"/>
    <w:rsid w:val="0079204C"/>
    <w:rsid w:val="007937FC"/>
    <w:rsid w:val="00797FB3"/>
    <w:rsid w:val="007A08D0"/>
    <w:rsid w:val="007A1736"/>
    <w:rsid w:val="007A2AB8"/>
    <w:rsid w:val="007A7D89"/>
    <w:rsid w:val="007B0835"/>
    <w:rsid w:val="007B0F67"/>
    <w:rsid w:val="007B186D"/>
    <w:rsid w:val="007B266A"/>
    <w:rsid w:val="007B37E2"/>
    <w:rsid w:val="007B5C78"/>
    <w:rsid w:val="007C3908"/>
    <w:rsid w:val="007C6199"/>
    <w:rsid w:val="007C72C9"/>
    <w:rsid w:val="007C787F"/>
    <w:rsid w:val="007D3C97"/>
    <w:rsid w:val="007D409C"/>
    <w:rsid w:val="007D5934"/>
    <w:rsid w:val="007E2766"/>
    <w:rsid w:val="007F0967"/>
    <w:rsid w:val="007F47F4"/>
    <w:rsid w:val="00801452"/>
    <w:rsid w:val="00804917"/>
    <w:rsid w:val="00806897"/>
    <w:rsid w:val="00815184"/>
    <w:rsid w:val="008152C5"/>
    <w:rsid w:val="00815D92"/>
    <w:rsid w:val="008169E5"/>
    <w:rsid w:val="00817328"/>
    <w:rsid w:val="008203B5"/>
    <w:rsid w:val="00820961"/>
    <w:rsid w:val="00820B66"/>
    <w:rsid w:val="00822782"/>
    <w:rsid w:val="00822C96"/>
    <w:rsid w:val="00822F4D"/>
    <w:rsid w:val="008239B2"/>
    <w:rsid w:val="00824447"/>
    <w:rsid w:val="008309BE"/>
    <w:rsid w:val="00832756"/>
    <w:rsid w:val="00832D3A"/>
    <w:rsid w:val="008355E7"/>
    <w:rsid w:val="00836AE8"/>
    <w:rsid w:val="00841226"/>
    <w:rsid w:val="008434A5"/>
    <w:rsid w:val="00843A5D"/>
    <w:rsid w:val="00844138"/>
    <w:rsid w:val="00845063"/>
    <w:rsid w:val="008469F0"/>
    <w:rsid w:val="00847303"/>
    <w:rsid w:val="0084760B"/>
    <w:rsid w:val="00850FB1"/>
    <w:rsid w:val="0085220F"/>
    <w:rsid w:val="00854135"/>
    <w:rsid w:val="008546B6"/>
    <w:rsid w:val="0085741D"/>
    <w:rsid w:val="0085758A"/>
    <w:rsid w:val="00862275"/>
    <w:rsid w:val="008634FD"/>
    <w:rsid w:val="008648FE"/>
    <w:rsid w:val="00865E0B"/>
    <w:rsid w:val="00866462"/>
    <w:rsid w:val="00866B1A"/>
    <w:rsid w:val="00866E1E"/>
    <w:rsid w:val="008703A4"/>
    <w:rsid w:val="00871E54"/>
    <w:rsid w:val="008720A7"/>
    <w:rsid w:val="00872D8F"/>
    <w:rsid w:val="00877150"/>
    <w:rsid w:val="00877184"/>
    <w:rsid w:val="00881CEA"/>
    <w:rsid w:val="00883936"/>
    <w:rsid w:val="00884EE6"/>
    <w:rsid w:val="00887A47"/>
    <w:rsid w:val="00890269"/>
    <w:rsid w:val="008A07DB"/>
    <w:rsid w:val="008A0F28"/>
    <w:rsid w:val="008A3E86"/>
    <w:rsid w:val="008A432B"/>
    <w:rsid w:val="008A46E2"/>
    <w:rsid w:val="008A73FB"/>
    <w:rsid w:val="008B3CF4"/>
    <w:rsid w:val="008B46AA"/>
    <w:rsid w:val="008B478F"/>
    <w:rsid w:val="008B51ED"/>
    <w:rsid w:val="008B5511"/>
    <w:rsid w:val="008B55D3"/>
    <w:rsid w:val="008C0276"/>
    <w:rsid w:val="008C174B"/>
    <w:rsid w:val="008C26E2"/>
    <w:rsid w:val="008C6D23"/>
    <w:rsid w:val="008D127B"/>
    <w:rsid w:val="008D40CE"/>
    <w:rsid w:val="008D463B"/>
    <w:rsid w:val="008D5219"/>
    <w:rsid w:val="008E1A5F"/>
    <w:rsid w:val="008E1F53"/>
    <w:rsid w:val="008E3CA0"/>
    <w:rsid w:val="008E7DA5"/>
    <w:rsid w:val="008F080E"/>
    <w:rsid w:val="008F3267"/>
    <w:rsid w:val="008F7BC0"/>
    <w:rsid w:val="009037B8"/>
    <w:rsid w:val="00905366"/>
    <w:rsid w:val="00905641"/>
    <w:rsid w:val="00905F2C"/>
    <w:rsid w:val="00906120"/>
    <w:rsid w:val="00912A7B"/>
    <w:rsid w:val="00912B67"/>
    <w:rsid w:val="009142DC"/>
    <w:rsid w:val="00920A61"/>
    <w:rsid w:val="009354DF"/>
    <w:rsid w:val="0093566B"/>
    <w:rsid w:val="00936E0F"/>
    <w:rsid w:val="009404D3"/>
    <w:rsid w:val="0094101F"/>
    <w:rsid w:val="0094661D"/>
    <w:rsid w:val="00947605"/>
    <w:rsid w:val="00951050"/>
    <w:rsid w:val="009650C9"/>
    <w:rsid w:val="0096596E"/>
    <w:rsid w:val="0096653F"/>
    <w:rsid w:val="00966A5A"/>
    <w:rsid w:val="009700F6"/>
    <w:rsid w:val="00975F3A"/>
    <w:rsid w:val="009773B1"/>
    <w:rsid w:val="0098001E"/>
    <w:rsid w:val="0098354F"/>
    <w:rsid w:val="00984177"/>
    <w:rsid w:val="009847EB"/>
    <w:rsid w:val="00984B14"/>
    <w:rsid w:val="009855C8"/>
    <w:rsid w:val="0098768B"/>
    <w:rsid w:val="00990E55"/>
    <w:rsid w:val="00990F87"/>
    <w:rsid w:val="009920F4"/>
    <w:rsid w:val="00994A30"/>
    <w:rsid w:val="00996AB1"/>
    <w:rsid w:val="009A1948"/>
    <w:rsid w:val="009A3791"/>
    <w:rsid w:val="009A447B"/>
    <w:rsid w:val="009A44BC"/>
    <w:rsid w:val="009A51FC"/>
    <w:rsid w:val="009A60A2"/>
    <w:rsid w:val="009A7714"/>
    <w:rsid w:val="009B00E0"/>
    <w:rsid w:val="009B0F5B"/>
    <w:rsid w:val="009B2D86"/>
    <w:rsid w:val="009B36E8"/>
    <w:rsid w:val="009B666B"/>
    <w:rsid w:val="009C10B3"/>
    <w:rsid w:val="009C444F"/>
    <w:rsid w:val="009C7C68"/>
    <w:rsid w:val="009D0CEB"/>
    <w:rsid w:val="009D1104"/>
    <w:rsid w:val="009D2524"/>
    <w:rsid w:val="009D7FDC"/>
    <w:rsid w:val="009E3210"/>
    <w:rsid w:val="009E4FC7"/>
    <w:rsid w:val="009E57AC"/>
    <w:rsid w:val="009F11D9"/>
    <w:rsid w:val="009F34BA"/>
    <w:rsid w:val="009F3CC3"/>
    <w:rsid w:val="009F5C42"/>
    <w:rsid w:val="009F5D7C"/>
    <w:rsid w:val="009F7259"/>
    <w:rsid w:val="009F7FD2"/>
    <w:rsid w:val="00A01695"/>
    <w:rsid w:val="00A02088"/>
    <w:rsid w:val="00A07DD3"/>
    <w:rsid w:val="00A13440"/>
    <w:rsid w:val="00A15A1F"/>
    <w:rsid w:val="00A15D82"/>
    <w:rsid w:val="00A15FE3"/>
    <w:rsid w:val="00A165C8"/>
    <w:rsid w:val="00A2796E"/>
    <w:rsid w:val="00A3079C"/>
    <w:rsid w:val="00A31F8B"/>
    <w:rsid w:val="00A323F5"/>
    <w:rsid w:val="00A40686"/>
    <w:rsid w:val="00A4122E"/>
    <w:rsid w:val="00A414E2"/>
    <w:rsid w:val="00A4220D"/>
    <w:rsid w:val="00A43FAD"/>
    <w:rsid w:val="00A45832"/>
    <w:rsid w:val="00A459CF"/>
    <w:rsid w:val="00A510D2"/>
    <w:rsid w:val="00A5159A"/>
    <w:rsid w:val="00A5171F"/>
    <w:rsid w:val="00A52D90"/>
    <w:rsid w:val="00A551D5"/>
    <w:rsid w:val="00A55631"/>
    <w:rsid w:val="00A55948"/>
    <w:rsid w:val="00A60555"/>
    <w:rsid w:val="00A608A0"/>
    <w:rsid w:val="00A61659"/>
    <w:rsid w:val="00A61A1E"/>
    <w:rsid w:val="00A67E33"/>
    <w:rsid w:val="00A67EBD"/>
    <w:rsid w:val="00A702D0"/>
    <w:rsid w:val="00A745DD"/>
    <w:rsid w:val="00A7541A"/>
    <w:rsid w:val="00A76724"/>
    <w:rsid w:val="00A7763D"/>
    <w:rsid w:val="00A81AE5"/>
    <w:rsid w:val="00A82657"/>
    <w:rsid w:val="00A8331C"/>
    <w:rsid w:val="00A833BD"/>
    <w:rsid w:val="00A8536B"/>
    <w:rsid w:val="00A867D2"/>
    <w:rsid w:val="00A86F1B"/>
    <w:rsid w:val="00A90454"/>
    <w:rsid w:val="00A9159C"/>
    <w:rsid w:val="00A92048"/>
    <w:rsid w:val="00A93C96"/>
    <w:rsid w:val="00A96F9B"/>
    <w:rsid w:val="00AB2E37"/>
    <w:rsid w:val="00AB3492"/>
    <w:rsid w:val="00AB3675"/>
    <w:rsid w:val="00AB3886"/>
    <w:rsid w:val="00AB7656"/>
    <w:rsid w:val="00AB7E13"/>
    <w:rsid w:val="00AC0B44"/>
    <w:rsid w:val="00AC20AA"/>
    <w:rsid w:val="00AC2720"/>
    <w:rsid w:val="00AC35D1"/>
    <w:rsid w:val="00AC4566"/>
    <w:rsid w:val="00AC6392"/>
    <w:rsid w:val="00AC7A30"/>
    <w:rsid w:val="00AD12C1"/>
    <w:rsid w:val="00AD1EBB"/>
    <w:rsid w:val="00AD375F"/>
    <w:rsid w:val="00AD5581"/>
    <w:rsid w:val="00AE1242"/>
    <w:rsid w:val="00AE1BC9"/>
    <w:rsid w:val="00AE235E"/>
    <w:rsid w:val="00AE3DD0"/>
    <w:rsid w:val="00AE6AF2"/>
    <w:rsid w:val="00AE6DFE"/>
    <w:rsid w:val="00AF02E4"/>
    <w:rsid w:val="00AF7148"/>
    <w:rsid w:val="00B02AE1"/>
    <w:rsid w:val="00B07AC3"/>
    <w:rsid w:val="00B07DCC"/>
    <w:rsid w:val="00B13510"/>
    <w:rsid w:val="00B13530"/>
    <w:rsid w:val="00B161C8"/>
    <w:rsid w:val="00B1694A"/>
    <w:rsid w:val="00B16E31"/>
    <w:rsid w:val="00B179EE"/>
    <w:rsid w:val="00B202A8"/>
    <w:rsid w:val="00B22165"/>
    <w:rsid w:val="00B24339"/>
    <w:rsid w:val="00B27767"/>
    <w:rsid w:val="00B33924"/>
    <w:rsid w:val="00B346A8"/>
    <w:rsid w:val="00B35E35"/>
    <w:rsid w:val="00B3732D"/>
    <w:rsid w:val="00B417E3"/>
    <w:rsid w:val="00B43B95"/>
    <w:rsid w:val="00B43F8A"/>
    <w:rsid w:val="00B44C84"/>
    <w:rsid w:val="00B463C7"/>
    <w:rsid w:val="00B51D28"/>
    <w:rsid w:val="00B53DF9"/>
    <w:rsid w:val="00B56860"/>
    <w:rsid w:val="00B5732B"/>
    <w:rsid w:val="00B57860"/>
    <w:rsid w:val="00B629AD"/>
    <w:rsid w:val="00B63BAB"/>
    <w:rsid w:val="00B6427C"/>
    <w:rsid w:val="00B64900"/>
    <w:rsid w:val="00B649E1"/>
    <w:rsid w:val="00B654DC"/>
    <w:rsid w:val="00B675F2"/>
    <w:rsid w:val="00B70AE8"/>
    <w:rsid w:val="00B71D44"/>
    <w:rsid w:val="00B7360F"/>
    <w:rsid w:val="00B73A3C"/>
    <w:rsid w:val="00B7516C"/>
    <w:rsid w:val="00B83AA4"/>
    <w:rsid w:val="00B84873"/>
    <w:rsid w:val="00B84979"/>
    <w:rsid w:val="00B855FF"/>
    <w:rsid w:val="00B86999"/>
    <w:rsid w:val="00B86B29"/>
    <w:rsid w:val="00B91B48"/>
    <w:rsid w:val="00B93BDE"/>
    <w:rsid w:val="00B95D9D"/>
    <w:rsid w:val="00BA11F3"/>
    <w:rsid w:val="00BA4E13"/>
    <w:rsid w:val="00BA50F1"/>
    <w:rsid w:val="00BA5347"/>
    <w:rsid w:val="00BA5779"/>
    <w:rsid w:val="00BA62EC"/>
    <w:rsid w:val="00BB2E3E"/>
    <w:rsid w:val="00BB6CB3"/>
    <w:rsid w:val="00BC3290"/>
    <w:rsid w:val="00BC5002"/>
    <w:rsid w:val="00BC53F7"/>
    <w:rsid w:val="00BC7284"/>
    <w:rsid w:val="00BC75CE"/>
    <w:rsid w:val="00BD042E"/>
    <w:rsid w:val="00BD1C6C"/>
    <w:rsid w:val="00BD35AE"/>
    <w:rsid w:val="00BD42E1"/>
    <w:rsid w:val="00BD4E4D"/>
    <w:rsid w:val="00BD5857"/>
    <w:rsid w:val="00BD5E33"/>
    <w:rsid w:val="00BD69EF"/>
    <w:rsid w:val="00BD7BCC"/>
    <w:rsid w:val="00BD7F39"/>
    <w:rsid w:val="00BE08C2"/>
    <w:rsid w:val="00BE08D5"/>
    <w:rsid w:val="00BE4095"/>
    <w:rsid w:val="00BE44AC"/>
    <w:rsid w:val="00BE7DE4"/>
    <w:rsid w:val="00BF3724"/>
    <w:rsid w:val="00BF4D13"/>
    <w:rsid w:val="00BF5688"/>
    <w:rsid w:val="00BF59D5"/>
    <w:rsid w:val="00BF62A8"/>
    <w:rsid w:val="00C00A60"/>
    <w:rsid w:val="00C01AE7"/>
    <w:rsid w:val="00C053FB"/>
    <w:rsid w:val="00C06B31"/>
    <w:rsid w:val="00C07407"/>
    <w:rsid w:val="00C10E54"/>
    <w:rsid w:val="00C1101A"/>
    <w:rsid w:val="00C23B58"/>
    <w:rsid w:val="00C262C0"/>
    <w:rsid w:val="00C314AE"/>
    <w:rsid w:val="00C31C1D"/>
    <w:rsid w:val="00C33C5D"/>
    <w:rsid w:val="00C36363"/>
    <w:rsid w:val="00C43176"/>
    <w:rsid w:val="00C43D01"/>
    <w:rsid w:val="00C44E5B"/>
    <w:rsid w:val="00C45E6D"/>
    <w:rsid w:val="00C45EF1"/>
    <w:rsid w:val="00C5153E"/>
    <w:rsid w:val="00C52CD0"/>
    <w:rsid w:val="00C53E39"/>
    <w:rsid w:val="00C603D5"/>
    <w:rsid w:val="00C6377B"/>
    <w:rsid w:val="00C659C6"/>
    <w:rsid w:val="00C7069C"/>
    <w:rsid w:val="00C714E5"/>
    <w:rsid w:val="00C71991"/>
    <w:rsid w:val="00C75622"/>
    <w:rsid w:val="00C759A5"/>
    <w:rsid w:val="00C75AB4"/>
    <w:rsid w:val="00C80F3E"/>
    <w:rsid w:val="00C82CC8"/>
    <w:rsid w:val="00C8394F"/>
    <w:rsid w:val="00C8675B"/>
    <w:rsid w:val="00C8743E"/>
    <w:rsid w:val="00C87E3D"/>
    <w:rsid w:val="00C904A4"/>
    <w:rsid w:val="00C92A16"/>
    <w:rsid w:val="00C92B2A"/>
    <w:rsid w:val="00C93846"/>
    <w:rsid w:val="00C958F4"/>
    <w:rsid w:val="00C96953"/>
    <w:rsid w:val="00C97248"/>
    <w:rsid w:val="00CA01B3"/>
    <w:rsid w:val="00CA1605"/>
    <w:rsid w:val="00CA5727"/>
    <w:rsid w:val="00CA5878"/>
    <w:rsid w:val="00CA58ED"/>
    <w:rsid w:val="00CA72D0"/>
    <w:rsid w:val="00CA7C1C"/>
    <w:rsid w:val="00CB622D"/>
    <w:rsid w:val="00CC060C"/>
    <w:rsid w:val="00CC4AE5"/>
    <w:rsid w:val="00CC5C3C"/>
    <w:rsid w:val="00CC5DC8"/>
    <w:rsid w:val="00CC7E51"/>
    <w:rsid w:val="00CD08DB"/>
    <w:rsid w:val="00CD4288"/>
    <w:rsid w:val="00CD4B10"/>
    <w:rsid w:val="00CD53A5"/>
    <w:rsid w:val="00CD663D"/>
    <w:rsid w:val="00CD731E"/>
    <w:rsid w:val="00CD75CB"/>
    <w:rsid w:val="00CE28D7"/>
    <w:rsid w:val="00CE3B80"/>
    <w:rsid w:val="00CE4868"/>
    <w:rsid w:val="00CE5F10"/>
    <w:rsid w:val="00CE64A3"/>
    <w:rsid w:val="00CE6A7B"/>
    <w:rsid w:val="00CE779F"/>
    <w:rsid w:val="00CF16C4"/>
    <w:rsid w:val="00CF1941"/>
    <w:rsid w:val="00CF5078"/>
    <w:rsid w:val="00CF546F"/>
    <w:rsid w:val="00CF70B8"/>
    <w:rsid w:val="00CF7D04"/>
    <w:rsid w:val="00D0062A"/>
    <w:rsid w:val="00D00B50"/>
    <w:rsid w:val="00D043C4"/>
    <w:rsid w:val="00D044C0"/>
    <w:rsid w:val="00D0655E"/>
    <w:rsid w:val="00D06E23"/>
    <w:rsid w:val="00D06F90"/>
    <w:rsid w:val="00D116A5"/>
    <w:rsid w:val="00D11810"/>
    <w:rsid w:val="00D11A74"/>
    <w:rsid w:val="00D12ED0"/>
    <w:rsid w:val="00D15221"/>
    <w:rsid w:val="00D16FE0"/>
    <w:rsid w:val="00D22563"/>
    <w:rsid w:val="00D24BF6"/>
    <w:rsid w:val="00D25A32"/>
    <w:rsid w:val="00D26D43"/>
    <w:rsid w:val="00D30CB3"/>
    <w:rsid w:val="00D3110A"/>
    <w:rsid w:val="00D312FA"/>
    <w:rsid w:val="00D34312"/>
    <w:rsid w:val="00D46A8D"/>
    <w:rsid w:val="00D515CF"/>
    <w:rsid w:val="00D54F2E"/>
    <w:rsid w:val="00D55E5C"/>
    <w:rsid w:val="00D56A01"/>
    <w:rsid w:val="00D608B5"/>
    <w:rsid w:val="00D61799"/>
    <w:rsid w:val="00D64CEC"/>
    <w:rsid w:val="00D65016"/>
    <w:rsid w:val="00D71DAC"/>
    <w:rsid w:val="00D71FC8"/>
    <w:rsid w:val="00D7396F"/>
    <w:rsid w:val="00D75A7B"/>
    <w:rsid w:val="00D77AC4"/>
    <w:rsid w:val="00D77D61"/>
    <w:rsid w:val="00D81147"/>
    <w:rsid w:val="00D81197"/>
    <w:rsid w:val="00D82230"/>
    <w:rsid w:val="00D82930"/>
    <w:rsid w:val="00D83246"/>
    <w:rsid w:val="00D8588E"/>
    <w:rsid w:val="00D91397"/>
    <w:rsid w:val="00D91674"/>
    <w:rsid w:val="00D923BD"/>
    <w:rsid w:val="00D93EAE"/>
    <w:rsid w:val="00D948C1"/>
    <w:rsid w:val="00D96988"/>
    <w:rsid w:val="00D96A4F"/>
    <w:rsid w:val="00D97667"/>
    <w:rsid w:val="00DA0594"/>
    <w:rsid w:val="00DA1D8C"/>
    <w:rsid w:val="00DA3D08"/>
    <w:rsid w:val="00DA541F"/>
    <w:rsid w:val="00DA6FBB"/>
    <w:rsid w:val="00DA6FD7"/>
    <w:rsid w:val="00DB3B24"/>
    <w:rsid w:val="00DB4FBA"/>
    <w:rsid w:val="00DC26C3"/>
    <w:rsid w:val="00DC2C81"/>
    <w:rsid w:val="00DC6646"/>
    <w:rsid w:val="00DC731F"/>
    <w:rsid w:val="00DD25CC"/>
    <w:rsid w:val="00DD38DE"/>
    <w:rsid w:val="00DD3C12"/>
    <w:rsid w:val="00DD64F9"/>
    <w:rsid w:val="00DE0B31"/>
    <w:rsid w:val="00DE0EB6"/>
    <w:rsid w:val="00DF1B8E"/>
    <w:rsid w:val="00DF3EB0"/>
    <w:rsid w:val="00DF6FDC"/>
    <w:rsid w:val="00E020F8"/>
    <w:rsid w:val="00E038D2"/>
    <w:rsid w:val="00E05D3D"/>
    <w:rsid w:val="00E06FC8"/>
    <w:rsid w:val="00E120EC"/>
    <w:rsid w:val="00E1298A"/>
    <w:rsid w:val="00E13E0D"/>
    <w:rsid w:val="00E154A1"/>
    <w:rsid w:val="00E170FF"/>
    <w:rsid w:val="00E2176F"/>
    <w:rsid w:val="00E236B6"/>
    <w:rsid w:val="00E35080"/>
    <w:rsid w:val="00E3556B"/>
    <w:rsid w:val="00E35E4C"/>
    <w:rsid w:val="00E374D6"/>
    <w:rsid w:val="00E37A90"/>
    <w:rsid w:val="00E40503"/>
    <w:rsid w:val="00E44378"/>
    <w:rsid w:val="00E44D0B"/>
    <w:rsid w:val="00E45DA8"/>
    <w:rsid w:val="00E464FA"/>
    <w:rsid w:val="00E46D68"/>
    <w:rsid w:val="00E479CB"/>
    <w:rsid w:val="00E47A30"/>
    <w:rsid w:val="00E50ABA"/>
    <w:rsid w:val="00E50C07"/>
    <w:rsid w:val="00E51414"/>
    <w:rsid w:val="00E52BAF"/>
    <w:rsid w:val="00E531F9"/>
    <w:rsid w:val="00E54C1F"/>
    <w:rsid w:val="00E5666B"/>
    <w:rsid w:val="00E56733"/>
    <w:rsid w:val="00E61343"/>
    <w:rsid w:val="00E62215"/>
    <w:rsid w:val="00E626D9"/>
    <w:rsid w:val="00E629B8"/>
    <w:rsid w:val="00E62A74"/>
    <w:rsid w:val="00E62BBD"/>
    <w:rsid w:val="00E6365F"/>
    <w:rsid w:val="00E67902"/>
    <w:rsid w:val="00E705F8"/>
    <w:rsid w:val="00E73334"/>
    <w:rsid w:val="00E739E9"/>
    <w:rsid w:val="00E752E4"/>
    <w:rsid w:val="00E8346A"/>
    <w:rsid w:val="00E85700"/>
    <w:rsid w:val="00E859B5"/>
    <w:rsid w:val="00E865FC"/>
    <w:rsid w:val="00E90B27"/>
    <w:rsid w:val="00E92AE4"/>
    <w:rsid w:val="00E92D81"/>
    <w:rsid w:val="00E93565"/>
    <w:rsid w:val="00E94055"/>
    <w:rsid w:val="00E940A9"/>
    <w:rsid w:val="00E94D54"/>
    <w:rsid w:val="00E958C4"/>
    <w:rsid w:val="00EA0B42"/>
    <w:rsid w:val="00EA26A2"/>
    <w:rsid w:val="00EB00C3"/>
    <w:rsid w:val="00EB0CC4"/>
    <w:rsid w:val="00EB21E1"/>
    <w:rsid w:val="00EB29B8"/>
    <w:rsid w:val="00EB5370"/>
    <w:rsid w:val="00EB6C67"/>
    <w:rsid w:val="00EB73C8"/>
    <w:rsid w:val="00EB7762"/>
    <w:rsid w:val="00EC057C"/>
    <w:rsid w:val="00EC38CF"/>
    <w:rsid w:val="00EC674C"/>
    <w:rsid w:val="00ED02A6"/>
    <w:rsid w:val="00ED04F2"/>
    <w:rsid w:val="00ED28CA"/>
    <w:rsid w:val="00ED3AC9"/>
    <w:rsid w:val="00ED42E1"/>
    <w:rsid w:val="00ED467C"/>
    <w:rsid w:val="00ED4C9A"/>
    <w:rsid w:val="00ED5E5C"/>
    <w:rsid w:val="00ED733E"/>
    <w:rsid w:val="00EE00AA"/>
    <w:rsid w:val="00EE12AF"/>
    <w:rsid w:val="00EE412E"/>
    <w:rsid w:val="00EE60A2"/>
    <w:rsid w:val="00EF3068"/>
    <w:rsid w:val="00EF3B0C"/>
    <w:rsid w:val="00EF41D0"/>
    <w:rsid w:val="00EF5051"/>
    <w:rsid w:val="00EF54DF"/>
    <w:rsid w:val="00EF5C69"/>
    <w:rsid w:val="00F05D94"/>
    <w:rsid w:val="00F10667"/>
    <w:rsid w:val="00F114D9"/>
    <w:rsid w:val="00F119C3"/>
    <w:rsid w:val="00F1617F"/>
    <w:rsid w:val="00F16506"/>
    <w:rsid w:val="00F174D9"/>
    <w:rsid w:val="00F214BB"/>
    <w:rsid w:val="00F2306B"/>
    <w:rsid w:val="00F245AF"/>
    <w:rsid w:val="00F25C2E"/>
    <w:rsid w:val="00F27F0B"/>
    <w:rsid w:val="00F31168"/>
    <w:rsid w:val="00F375F9"/>
    <w:rsid w:val="00F41095"/>
    <w:rsid w:val="00F42224"/>
    <w:rsid w:val="00F45121"/>
    <w:rsid w:val="00F45427"/>
    <w:rsid w:val="00F5452B"/>
    <w:rsid w:val="00F55C2B"/>
    <w:rsid w:val="00F63082"/>
    <w:rsid w:val="00F648FF"/>
    <w:rsid w:val="00F65717"/>
    <w:rsid w:val="00F675F1"/>
    <w:rsid w:val="00F75B3E"/>
    <w:rsid w:val="00F82B71"/>
    <w:rsid w:val="00F8564A"/>
    <w:rsid w:val="00F857E8"/>
    <w:rsid w:val="00F86CBD"/>
    <w:rsid w:val="00F90510"/>
    <w:rsid w:val="00F92228"/>
    <w:rsid w:val="00F96945"/>
    <w:rsid w:val="00F96A95"/>
    <w:rsid w:val="00FA1151"/>
    <w:rsid w:val="00FA71C1"/>
    <w:rsid w:val="00FB4444"/>
    <w:rsid w:val="00FB5D33"/>
    <w:rsid w:val="00FB720B"/>
    <w:rsid w:val="00FC0AC4"/>
    <w:rsid w:val="00FC29B7"/>
    <w:rsid w:val="00FC3503"/>
    <w:rsid w:val="00FC4A48"/>
    <w:rsid w:val="00FD1336"/>
    <w:rsid w:val="00FD1B7F"/>
    <w:rsid w:val="00FD2AF3"/>
    <w:rsid w:val="00FE0FAA"/>
    <w:rsid w:val="00FE6423"/>
    <w:rsid w:val="00FE7E81"/>
    <w:rsid w:val="00FF19A2"/>
    <w:rsid w:val="00FF3D58"/>
    <w:rsid w:val="00FF4AAD"/>
    <w:rsid w:val="00FF4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3AE"/>
    <w:pPr>
      <w:ind w:left="720"/>
      <w:contextualSpacing/>
    </w:pPr>
  </w:style>
  <w:style w:type="paragraph" w:customStyle="1" w:styleId="Default">
    <w:name w:val="Default"/>
    <w:basedOn w:val="Normal"/>
    <w:rsid w:val="000973AE"/>
    <w:pPr>
      <w:autoSpaceDE w:val="0"/>
      <w:autoSpaceDN w:val="0"/>
      <w:spacing w:after="0" w:line="240" w:lineRule="auto"/>
    </w:pPr>
    <w:rPr>
      <w:rFonts w:ascii="Arial" w:hAnsi="Arial" w:cs="Arial"/>
      <w:color w:val="000000"/>
      <w:sz w:val="24"/>
      <w:szCs w:val="24"/>
    </w:rPr>
  </w:style>
  <w:style w:type="character" w:customStyle="1" w:styleId="st1">
    <w:name w:val="st1"/>
    <w:basedOn w:val="DefaultParagraphFont"/>
    <w:rsid w:val="000973AE"/>
  </w:style>
  <w:style w:type="paragraph" w:styleId="FootnoteText">
    <w:name w:val="footnote text"/>
    <w:basedOn w:val="Normal"/>
    <w:link w:val="FootnoteTextChar"/>
    <w:uiPriority w:val="99"/>
    <w:semiHidden/>
    <w:unhideWhenUsed/>
    <w:rsid w:val="000973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3AE"/>
    <w:rPr>
      <w:sz w:val="20"/>
      <w:szCs w:val="20"/>
    </w:rPr>
  </w:style>
  <w:style w:type="character" w:styleId="FootnoteReference">
    <w:name w:val="footnote reference"/>
    <w:basedOn w:val="DefaultParagraphFont"/>
    <w:uiPriority w:val="99"/>
    <w:semiHidden/>
    <w:unhideWhenUsed/>
    <w:rsid w:val="000973AE"/>
    <w:rPr>
      <w:vertAlign w:val="superscript"/>
    </w:rPr>
  </w:style>
  <w:style w:type="character" w:styleId="Hyperlink">
    <w:name w:val="Hyperlink"/>
    <w:basedOn w:val="DefaultParagraphFont"/>
    <w:uiPriority w:val="99"/>
    <w:unhideWhenUsed/>
    <w:rsid w:val="000973AE"/>
    <w:rPr>
      <w:color w:val="0000FF" w:themeColor="hyperlink"/>
      <w:u w:val="single"/>
    </w:rPr>
  </w:style>
  <w:style w:type="paragraph" w:styleId="Title">
    <w:name w:val="Title"/>
    <w:basedOn w:val="Normal"/>
    <w:next w:val="Normal"/>
    <w:link w:val="TitleChar"/>
    <w:uiPriority w:val="10"/>
    <w:qFormat/>
    <w:rsid w:val="000973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3A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973A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73AE"/>
  </w:style>
  <w:style w:type="paragraph" w:styleId="Footer">
    <w:name w:val="footer"/>
    <w:basedOn w:val="Normal"/>
    <w:link w:val="FooterChar"/>
    <w:uiPriority w:val="99"/>
    <w:unhideWhenUsed/>
    <w:rsid w:val="004A102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102D"/>
  </w:style>
  <w:style w:type="paragraph" w:styleId="BalloonText">
    <w:name w:val="Balloon Text"/>
    <w:basedOn w:val="Normal"/>
    <w:link w:val="BalloonTextChar"/>
    <w:uiPriority w:val="99"/>
    <w:semiHidden/>
    <w:unhideWhenUsed/>
    <w:rsid w:val="007C5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801"/>
    <w:rPr>
      <w:rFonts w:ascii="Segoe UI" w:hAnsi="Segoe UI" w:cs="Segoe UI"/>
      <w:sz w:val="18"/>
      <w:szCs w:val="18"/>
    </w:rPr>
  </w:style>
  <w:style w:type="paragraph" w:customStyle="1" w:styleId="ECHRParaSpaced">
    <w:name w:val="ECHR_Para_Spaced"/>
    <w:aliases w:val="Para_Spaced"/>
    <w:basedOn w:val="Normal"/>
    <w:uiPriority w:val="4"/>
    <w:qFormat/>
    <w:rsid w:val="006F4050"/>
    <w:pPr>
      <w:spacing w:before="120" w:after="120" w:line="240" w:lineRule="auto"/>
      <w:jc w:val="both"/>
    </w:pPr>
    <w:rPr>
      <w:lang w:val="en-GB"/>
    </w:rPr>
  </w:style>
  <w:style w:type="character" w:styleId="CommentReference">
    <w:name w:val="annotation reference"/>
    <w:basedOn w:val="DefaultParagraphFont"/>
    <w:uiPriority w:val="99"/>
    <w:semiHidden/>
    <w:unhideWhenUsed/>
    <w:rsid w:val="00226871"/>
    <w:rPr>
      <w:sz w:val="16"/>
      <w:szCs w:val="16"/>
    </w:rPr>
  </w:style>
  <w:style w:type="paragraph" w:styleId="CommentText">
    <w:name w:val="annotation text"/>
    <w:basedOn w:val="Normal"/>
    <w:link w:val="CommentTextChar"/>
    <w:uiPriority w:val="99"/>
    <w:semiHidden/>
    <w:unhideWhenUsed/>
    <w:rsid w:val="00226871"/>
    <w:pPr>
      <w:spacing w:line="240" w:lineRule="auto"/>
    </w:pPr>
    <w:rPr>
      <w:sz w:val="20"/>
      <w:szCs w:val="20"/>
    </w:rPr>
  </w:style>
  <w:style w:type="character" w:customStyle="1" w:styleId="CommentTextChar">
    <w:name w:val="Comment Text Char"/>
    <w:basedOn w:val="DefaultParagraphFont"/>
    <w:link w:val="CommentText"/>
    <w:uiPriority w:val="99"/>
    <w:semiHidden/>
    <w:rsid w:val="00226871"/>
    <w:rPr>
      <w:sz w:val="20"/>
      <w:szCs w:val="20"/>
    </w:rPr>
  </w:style>
  <w:style w:type="paragraph" w:styleId="CommentSubject">
    <w:name w:val="annotation subject"/>
    <w:basedOn w:val="CommentText"/>
    <w:next w:val="CommentText"/>
    <w:link w:val="CommentSubjectChar"/>
    <w:uiPriority w:val="99"/>
    <w:semiHidden/>
    <w:unhideWhenUsed/>
    <w:rsid w:val="00226871"/>
    <w:rPr>
      <w:b/>
      <w:bCs/>
    </w:rPr>
  </w:style>
  <w:style w:type="character" w:customStyle="1" w:styleId="CommentSubjectChar">
    <w:name w:val="Comment Subject Char"/>
    <w:basedOn w:val="CommentTextChar"/>
    <w:link w:val="CommentSubject"/>
    <w:uiPriority w:val="99"/>
    <w:semiHidden/>
    <w:rsid w:val="0022687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3AE"/>
    <w:pPr>
      <w:ind w:left="720"/>
      <w:contextualSpacing/>
    </w:pPr>
  </w:style>
  <w:style w:type="paragraph" w:customStyle="1" w:styleId="Default">
    <w:name w:val="Default"/>
    <w:basedOn w:val="Normal"/>
    <w:rsid w:val="000973AE"/>
    <w:pPr>
      <w:autoSpaceDE w:val="0"/>
      <w:autoSpaceDN w:val="0"/>
      <w:spacing w:after="0" w:line="240" w:lineRule="auto"/>
    </w:pPr>
    <w:rPr>
      <w:rFonts w:ascii="Arial" w:hAnsi="Arial" w:cs="Arial"/>
      <w:color w:val="000000"/>
      <w:sz w:val="24"/>
      <w:szCs w:val="24"/>
    </w:rPr>
  </w:style>
  <w:style w:type="character" w:customStyle="1" w:styleId="st1">
    <w:name w:val="st1"/>
    <w:basedOn w:val="DefaultParagraphFont"/>
    <w:rsid w:val="000973AE"/>
  </w:style>
  <w:style w:type="paragraph" w:styleId="FootnoteText">
    <w:name w:val="footnote text"/>
    <w:basedOn w:val="Normal"/>
    <w:link w:val="FootnoteTextChar"/>
    <w:uiPriority w:val="99"/>
    <w:semiHidden/>
    <w:unhideWhenUsed/>
    <w:rsid w:val="000973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3AE"/>
    <w:rPr>
      <w:sz w:val="20"/>
      <w:szCs w:val="20"/>
    </w:rPr>
  </w:style>
  <w:style w:type="character" w:styleId="FootnoteReference">
    <w:name w:val="footnote reference"/>
    <w:basedOn w:val="DefaultParagraphFont"/>
    <w:uiPriority w:val="99"/>
    <w:semiHidden/>
    <w:unhideWhenUsed/>
    <w:rsid w:val="000973AE"/>
    <w:rPr>
      <w:vertAlign w:val="superscript"/>
    </w:rPr>
  </w:style>
  <w:style w:type="character" w:styleId="Hyperlink">
    <w:name w:val="Hyperlink"/>
    <w:basedOn w:val="DefaultParagraphFont"/>
    <w:uiPriority w:val="99"/>
    <w:unhideWhenUsed/>
    <w:rsid w:val="000973AE"/>
    <w:rPr>
      <w:color w:val="0000FF" w:themeColor="hyperlink"/>
      <w:u w:val="single"/>
    </w:rPr>
  </w:style>
  <w:style w:type="paragraph" w:styleId="Title">
    <w:name w:val="Title"/>
    <w:basedOn w:val="Normal"/>
    <w:next w:val="Normal"/>
    <w:link w:val="TitleChar"/>
    <w:uiPriority w:val="10"/>
    <w:qFormat/>
    <w:rsid w:val="000973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3A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973A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73AE"/>
  </w:style>
  <w:style w:type="paragraph" w:styleId="Footer">
    <w:name w:val="footer"/>
    <w:basedOn w:val="Normal"/>
    <w:link w:val="FooterChar"/>
    <w:uiPriority w:val="99"/>
    <w:unhideWhenUsed/>
    <w:rsid w:val="004A102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102D"/>
  </w:style>
  <w:style w:type="paragraph" w:styleId="BalloonText">
    <w:name w:val="Balloon Text"/>
    <w:basedOn w:val="Normal"/>
    <w:link w:val="BalloonTextChar"/>
    <w:uiPriority w:val="99"/>
    <w:semiHidden/>
    <w:unhideWhenUsed/>
    <w:rsid w:val="007C5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801"/>
    <w:rPr>
      <w:rFonts w:ascii="Segoe UI" w:hAnsi="Segoe UI" w:cs="Segoe UI"/>
      <w:sz w:val="18"/>
      <w:szCs w:val="18"/>
    </w:rPr>
  </w:style>
  <w:style w:type="paragraph" w:customStyle="1" w:styleId="ECHRParaSpaced">
    <w:name w:val="ECHR_Para_Spaced"/>
    <w:aliases w:val="Para_Spaced"/>
    <w:basedOn w:val="Normal"/>
    <w:uiPriority w:val="4"/>
    <w:qFormat/>
    <w:rsid w:val="006F4050"/>
    <w:pPr>
      <w:spacing w:before="120" w:after="120" w:line="240" w:lineRule="auto"/>
      <w:jc w:val="both"/>
    </w:pPr>
    <w:rPr>
      <w:lang w:val="en-GB"/>
    </w:rPr>
  </w:style>
  <w:style w:type="character" w:styleId="CommentReference">
    <w:name w:val="annotation reference"/>
    <w:basedOn w:val="DefaultParagraphFont"/>
    <w:uiPriority w:val="99"/>
    <w:semiHidden/>
    <w:unhideWhenUsed/>
    <w:rsid w:val="00226871"/>
    <w:rPr>
      <w:sz w:val="16"/>
      <w:szCs w:val="16"/>
    </w:rPr>
  </w:style>
  <w:style w:type="paragraph" w:styleId="CommentText">
    <w:name w:val="annotation text"/>
    <w:basedOn w:val="Normal"/>
    <w:link w:val="CommentTextChar"/>
    <w:uiPriority w:val="99"/>
    <w:semiHidden/>
    <w:unhideWhenUsed/>
    <w:rsid w:val="00226871"/>
    <w:pPr>
      <w:spacing w:line="240" w:lineRule="auto"/>
    </w:pPr>
    <w:rPr>
      <w:sz w:val="20"/>
      <w:szCs w:val="20"/>
    </w:rPr>
  </w:style>
  <w:style w:type="character" w:customStyle="1" w:styleId="CommentTextChar">
    <w:name w:val="Comment Text Char"/>
    <w:basedOn w:val="DefaultParagraphFont"/>
    <w:link w:val="CommentText"/>
    <w:uiPriority w:val="99"/>
    <w:semiHidden/>
    <w:rsid w:val="00226871"/>
    <w:rPr>
      <w:sz w:val="20"/>
      <w:szCs w:val="20"/>
    </w:rPr>
  </w:style>
  <w:style w:type="paragraph" w:styleId="CommentSubject">
    <w:name w:val="annotation subject"/>
    <w:basedOn w:val="CommentText"/>
    <w:next w:val="CommentText"/>
    <w:link w:val="CommentSubjectChar"/>
    <w:uiPriority w:val="99"/>
    <w:semiHidden/>
    <w:unhideWhenUsed/>
    <w:rsid w:val="00226871"/>
    <w:rPr>
      <w:b/>
      <w:bCs/>
    </w:rPr>
  </w:style>
  <w:style w:type="character" w:customStyle="1" w:styleId="CommentSubjectChar">
    <w:name w:val="Comment Subject Char"/>
    <w:basedOn w:val="CommentTextChar"/>
    <w:link w:val="CommentSubject"/>
    <w:uiPriority w:val="99"/>
    <w:semiHidden/>
    <w:rsid w:val="00226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5334</Words>
  <Characters>28034</Characters>
  <Application>Microsoft Office Word</Application>
  <DocSecurity>0</DocSecurity>
  <Lines>233</Lines>
  <Paragraphs>66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Kriminalforsorgen</Company>
  <LinksUpToDate>false</LinksUpToDate>
  <CharactersWithSpaces>33302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Bang</dc:creator>
  <cp:lastModifiedBy>SCHUHLER Corinne</cp:lastModifiedBy>
  <cp:revision>6</cp:revision>
  <cp:lastPrinted>2018-01-29T09:13:00Z</cp:lastPrinted>
  <dcterms:created xsi:type="dcterms:W3CDTF">2018-02-03T20:43:00Z</dcterms:created>
  <dcterms:modified xsi:type="dcterms:W3CDTF">2018-02-05T07:50:00Z</dcterms:modified>
</cp:coreProperties>
</file>