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A544D" w14:textId="77777777" w:rsidR="004158B4" w:rsidRDefault="004158B4" w:rsidP="004158B4">
      <w:pPr>
        <w:pStyle w:val="COETitre"/>
        <w:rPr>
          <w:b/>
          <w:bCs/>
          <w:sz w:val="20"/>
          <w:lang w:val="en-GB"/>
        </w:rPr>
      </w:pPr>
    </w:p>
    <w:p w14:paraId="55643542" w14:textId="0EDEC9A4" w:rsidR="004158B4" w:rsidRPr="004C3CFF" w:rsidRDefault="004158B4" w:rsidP="004158B4">
      <w:pPr>
        <w:pStyle w:val="COETitre"/>
        <w:rPr>
          <w:b/>
          <w:bCs/>
          <w:sz w:val="20"/>
          <w:lang w:val="en-GB"/>
        </w:rPr>
      </w:pPr>
      <w:r>
        <w:rPr>
          <w:b/>
          <w:bCs/>
          <w:sz w:val="20"/>
          <w:lang w:val="en-GB"/>
        </w:rPr>
        <w:t>STATUTORY FORUM</w:t>
      </w:r>
    </w:p>
    <w:p w14:paraId="005BF587" w14:textId="77777777" w:rsidR="004158B4" w:rsidRPr="00DC5441" w:rsidRDefault="004158B4" w:rsidP="004158B4">
      <w:pPr>
        <w:pStyle w:val="COETitre"/>
        <w:ind w:right="141"/>
        <w:rPr>
          <w:bCs/>
          <w:sz w:val="20"/>
          <w:highlight w:val="lightGray"/>
          <w:lang w:val="en-GB"/>
        </w:rPr>
      </w:pPr>
    </w:p>
    <w:p w14:paraId="62E6F9A2" w14:textId="77777777" w:rsidR="004158B4" w:rsidRDefault="004158B4" w:rsidP="004158B4">
      <w:pPr>
        <w:pStyle w:val="COETitreRapport"/>
        <w:rPr>
          <w:sz w:val="28"/>
          <w:szCs w:val="28"/>
          <w:lang w:val="en-GB"/>
        </w:rPr>
      </w:pPr>
    </w:p>
    <w:p w14:paraId="5203A188" w14:textId="77777777" w:rsidR="004158B4" w:rsidRPr="004C3CFF" w:rsidRDefault="004158B4" w:rsidP="004158B4">
      <w:pPr>
        <w:pStyle w:val="COETitreRapport"/>
        <w:rPr>
          <w:sz w:val="28"/>
          <w:szCs w:val="28"/>
          <w:lang w:val="en-GB"/>
        </w:rPr>
      </w:pPr>
      <w:r>
        <w:rPr>
          <w:sz w:val="28"/>
          <w:szCs w:val="28"/>
          <w:lang w:val="en-GB"/>
        </w:rPr>
        <w:t>Congress budget for 2024-2025</w:t>
      </w:r>
    </w:p>
    <w:p w14:paraId="7058B2EC" w14:textId="77777777" w:rsidR="004158B4" w:rsidRPr="004C3CFF" w:rsidRDefault="004158B4" w:rsidP="004158B4">
      <w:pPr>
        <w:pStyle w:val="COETitreRapport"/>
        <w:rPr>
          <w:sz w:val="28"/>
          <w:szCs w:val="28"/>
          <w:lang w:val="en-GB"/>
        </w:rPr>
      </w:pPr>
    </w:p>
    <w:p w14:paraId="15D503BE" w14:textId="77777777" w:rsidR="004158B4" w:rsidRPr="004C3CFF" w:rsidRDefault="004158B4" w:rsidP="004158B4">
      <w:pPr>
        <w:rPr>
          <w:rFonts w:ascii="Arial" w:hAnsi="Arial" w:cs="Arial"/>
          <w:sz w:val="20"/>
          <w:szCs w:val="20"/>
        </w:rPr>
      </w:pPr>
      <w:r>
        <w:rPr>
          <w:rFonts w:ascii="Arial" w:hAnsi="Arial" w:cs="Arial"/>
          <w:sz w:val="20"/>
          <w:szCs w:val="20"/>
        </w:rPr>
        <w:t>Recommendation 495(2023)</w:t>
      </w:r>
      <w:r w:rsidRPr="00B04B21">
        <w:rPr>
          <w:rStyle w:val="FootnoteReference"/>
          <w:rFonts w:ascii="Arial" w:hAnsi="Arial" w:cs="Arial"/>
          <w:sz w:val="20"/>
          <w:szCs w:val="20"/>
        </w:rPr>
        <w:footnoteReference w:id="1"/>
      </w:r>
    </w:p>
    <w:p w14:paraId="27FD5B2E" w14:textId="77777777" w:rsidR="004158B4" w:rsidRPr="004C3CFF" w:rsidRDefault="004158B4" w:rsidP="004158B4">
      <w:pPr>
        <w:tabs>
          <w:tab w:val="left" w:pos="1985"/>
        </w:tabs>
        <w:ind w:left="4111" w:hanging="4111"/>
        <w:jc w:val="both"/>
        <w:rPr>
          <w:rFonts w:ascii="Arial" w:hAnsi="Arial" w:cs="Arial"/>
          <w:sz w:val="20"/>
          <w:szCs w:val="20"/>
        </w:rPr>
      </w:pPr>
    </w:p>
    <w:p w14:paraId="3D9FAE4E" w14:textId="77777777" w:rsidR="004158B4" w:rsidRPr="00B5268D" w:rsidRDefault="004158B4" w:rsidP="004158B4">
      <w:pPr>
        <w:pStyle w:val="TOC1"/>
        <w:rPr>
          <w:lang w:val="en-US"/>
        </w:rPr>
      </w:pPr>
    </w:p>
    <w:p w14:paraId="31EEC1D3" w14:textId="77777777" w:rsidR="004158B4" w:rsidRPr="008F168A" w:rsidRDefault="004158B4" w:rsidP="004158B4">
      <w:pPr>
        <w:jc w:val="both"/>
        <w:rPr>
          <w:rFonts w:ascii="Arial" w:hAnsi="Arial" w:cs="Arial"/>
          <w:sz w:val="20"/>
          <w:szCs w:val="20"/>
        </w:rPr>
      </w:pPr>
    </w:p>
    <w:p w14:paraId="2F8E8D2D"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The Congress of Local and Regional Authorities of the Council of Europe,</w:t>
      </w:r>
    </w:p>
    <w:p w14:paraId="0ACAC2CE" w14:textId="77777777" w:rsidR="004158B4" w:rsidRPr="008F168A" w:rsidRDefault="004158B4" w:rsidP="004158B4">
      <w:pPr>
        <w:jc w:val="both"/>
        <w:rPr>
          <w:rFonts w:ascii="Arial" w:hAnsi="Arial" w:cs="Arial"/>
          <w:iCs/>
          <w:sz w:val="20"/>
          <w:szCs w:val="20"/>
        </w:rPr>
      </w:pPr>
    </w:p>
    <w:p w14:paraId="1FA008F1"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1.</w:t>
      </w:r>
      <w:r w:rsidRPr="008F168A">
        <w:rPr>
          <w:rFonts w:ascii="Arial" w:hAnsi="Arial" w:cs="Arial"/>
          <w:iCs/>
          <w:sz w:val="20"/>
          <w:szCs w:val="20"/>
        </w:rPr>
        <w:tab/>
        <w:t>Reaffirming its institutional role as the voice of the local and regional authorities of the member States of the Council of Europe and guardian of the European Charter of Local Self-Government, which has been ratified by all member States, as well as its responsibility to promote and foster the implementation of the Council of Europe’s common standards at local and regional level;</w:t>
      </w:r>
    </w:p>
    <w:p w14:paraId="5983D08E" w14:textId="77777777" w:rsidR="004158B4" w:rsidRPr="008F168A" w:rsidRDefault="004158B4" w:rsidP="004158B4">
      <w:pPr>
        <w:jc w:val="both"/>
        <w:rPr>
          <w:rFonts w:ascii="Arial" w:hAnsi="Arial" w:cs="Arial"/>
          <w:iCs/>
          <w:sz w:val="20"/>
          <w:szCs w:val="20"/>
        </w:rPr>
      </w:pPr>
    </w:p>
    <w:p w14:paraId="30E4AA9C"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2.</w:t>
      </w:r>
      <w:r w:rsidRPr="008F168A">
        <w:rPr>
          <w:rFonts w:ascii="Arial" w:hAnsi="Arial" w:cs="Arial"/>
          <w:iCs/>
          <w:sz w:val="20"/>
          <w:szCs w:val="20"/>
        </w:rPr>
        <w:tab/>
        <w:t xml:space="preserve">Welcoming the results of the 4th Council of Europe Summit in Reykjavik and the joint declaration by the Heads of State and Government to recommit themselves to protecting the democratic foundations of our societies, in particular through the work of the Congress of Local and Regional Authorities; </w:t>
      </w:r>
    </w:p>
    <w:p w14:paraId="4F71E00A" w14:textId="77777777" w:rsidR="004158B4" w:rsidRPr="008F168A" w:rsidRDefault="004158B4" w:rsidP="004158B4">
      <w:pPr>
        <w:jc w:val="both"/>
        <w:rPr>
          <w:rFonts w:ascii="Arial" w:hAnsi="Arial" w:cs="Arial"/>
          <w:iCs/>
          <w:sz w:val="20"/>
          <w:szCs w:val="20"/>
        </w:rPr>
      </w:pPr>
    </w:p>
    <w:p w14:paraId="5EACB067"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3.</w:t>
      </w:r>
      <w:r w:rsidRPr="008F168A">
        <w:rPr>
          <w:rFonts w:ascii="Arial" w:hAnsi="Arial" w:cs="Arial"/>
          <w:iCs/>
          <w:sz w:val="20"/>
          <w:szCs w:val="20"/>
        </w:rPr>
        <w:tab/>
        <w:t>Welcoming the decisive support given by the Heads of State and Government in their Reykjavik Declaration to the essential role of multi-level governance in achieving the Organisation's vision;</w:t>
      </w:r>
    </w:p>
    <w:p w14:paraId="21F85848" w14:textId="77777777" w:rsidR="004158B4" w:rsidRPr="008F168A" w:rsidRDefault="004158B4" w:rsidP="004158B4">
      <w:pPr>
        <w:jc w:val="both"/>
        <w:rPr>
          <w:rFonts w:ascii="Arial" w:hAnsi="Arial" w:cs="Arial"/>
          <w:iCs/>
          <w:sz w:val="20"/>
          <w:szCs w:val="20"/>
        </w:rPr>
      </w:pPr>
    </w:p>
    <w:p w14:paraId="4F5F751B"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4.</w:t>
      </w:r>
      <w:r w:rsidRPr="008F168A">
        <w:rPr>
          <w:rFonts w:ascii="Arial" w:hAnsi="Arial" w:cs="Arial"/>
          <w:iCs/>
          <w:sz w:val="20"/>
          <w:szCs w:val="20"/>
        </w:rPr>
        <w:tab/>
        <w:t>Welcoming the adoption of the Reykjavik Principles for Democracy and the commitment made by the Heads of State and Government to guarantee and strengthen democracy and good governance at all levels throughout Europe;</w:t>
      </w:r>
    </w:p>
    <w:p w14:paraId="1C1C7A6E" w14:textId="77777777" w:rsidR="004158B4" w:rsidRPr="008F168A" w:rsidRDefault="004158B4" w:rsidP="004158B4">
      <w:pPr>
        <w:jc w:val="both"/>
        <w:rPr>
          <w:rFonts w:ascii="Arial" w:hAnsi="Arial" w:cs="Arial"/>
          <w:iCs/>
          <w:sz w:val="20"/>
          <w:szCs w:val="20"/>
        </w:rPr>
      </w:pPr>
    </w:p>
    <w:p w14:paraId="0B919DD7" w14:textId="765DBEE2" w:rsidR="004158B4" w:rsidRPr="008F168A" w:rsidRDefault="004158B4" w:rsidP="004158B4">
      <w:pPr>
        <w:jc w:val="both"/>
        <w:rPr>
          <w:rFonts w:ascii="Arial" w:hAnsi="Arial" w:cs="Arial"/>
          <w:iCs/>
          <w:sz w:val="20"/>
          <w:szCs w:val="20"/>
        </w:rPr>
      </w:pPr>
      <w:r w:rsidRPr="008F168A">
        <w:rPr>
          <w:rFonts w:ascii="Arial" w:hAnsi="Arial" w:cs="Arial"/>
          <w:iCs/>
          <w:sz w:val="20"/>
          <w:szCs w:val="20"/>
        </w:rPr>
        <w:t>5.</w:t>
      </w:r>
      <w:r w:rsidRPr="008F168A">
        <w:rPr>
          <w:rFonts w:ascii="Arial" w:hAnsi="Arial" w:cs="Arial"/>
          <w:iCs/>
          <w:sz w:val="20"/>
          <w:szCs w:val="20"/>
        </w:rPr>
        <w:tab/>
        <w:t>Noting the firm commitment of the Heads of State and Government to the European Convention on Human Rights’ system as the cornerstone of the Council of Europe’s protection of human rights and welcoming in this respect their consideration of the essential role played by local and regional authorities in the promotion and protection of human rights;</w:t>
      </w:r>
    </w:p>
    <w:p w14:paraId="6C60E658" w14:textId="77777777" w:rsidR="004158B4" w:rsidRPr="008F168A" w:rsidRDefault="004158B4" w:rsidP="004158B4">
      <w:pPr>
        <w:jc w:val="both"/>
        <w:rPr>
          <w:rFonts w:ascii="Arial" w:hAnsi="Arial" w:cs="Arial"/>
          <w:iCs/>
          <w:sz w:val="20"/>
          <w:szCs w:val="20"/>
        </w:rPr>
      </w:pPr>
    </w:p>
    <w:p w14:paraId="5C71A25F"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6.</w:t>
      </w:r>
      <w:r w:rsidRPr="008F168A">
        <w:rPr>
          <w:rFonts w:ascii="Arial" w:hAnsi="Arial" w:cs="Arial"/>
          <w:iCs/>
          <w:sz w:val="20"/>
          <w:szCs w:val="20"/>
        </w:rPr>
        <w:tab/>
        <w:t>Calling for local and regional authorities to be proactively involved in devising preventive and curative public policies to manage climate and environmental crises, since all major crises will ultimately have an impact on all levels of governance; supporting work to promote the role of local and regional authorities in achieving the Sustainable Development Goals (SDGs) in the Congress’ areas of competence;</w:t>
      </w:r>
    </w:p>
    <w:p w14:paraId="0E6EFFA4" w14:textId="77777777" w:rsidR="004158B4" w:rsidRPr="008F168A" w:rsidRDefault="004158B4" w:rsidP="004158B4">
      <w:pPr>
        <w:jc w:val="both"/>
        <w:rPr>
          <w:rFonts w:ascii="Arial" w:hAnsi="Arial" w:cs="Arial"/>
          <w:iCs/>
          <w:sz w:val="20"/>
          <w:szCs w:val="20"/>
        </w:rPr>
      </w:pPr>
    </w:p>
    <w:p w14:paraId="5351E3FC"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 xml:space="preserve">7. </w:t>
      </w:r>
      <w:r w:rsidRPr="008F168A">
        <w:rPr>
          <w:rFonts w:ascii="Arial" w:hAnsi="Arial" w:cs="Arial"/>
          <w:iCs/>
          <w:sz w:val="20"/>
          <w:szCs w:val="20"/>
        </w:rPr>
        <w:tab/>
        <w:t>Underlining the recognition, by the Heads of State and Government, that local authorities are among those responsible for implementing the Convention and ensuring compliance with the Court’s judgments; welcoming their call on the Congress to strengthen political dialogue with their respective national interlocutors on the implementation of the judgments;</w:t>
      </w:r>
    </w:p>
    <w:p w14:paraId="07A4173D" w14:textId="77777777" w:rsidR="004158B4" w:rsidRPr="008F168A" w:rsidRDefault="004158B4" w:rsidP="004158B4">
      <w:pPr>
        <w:jc w:val="both"/>
        <w:rPr>
          <w:rFonts w:ascii="Arial" w:hAnsi="Arial" w:cs="Arial"/>
          <w:iCs/>
          <w:sz w:val="20"/>
          <w:szCs w:val="20"/>
        </w:rPr>
      </w:pPr>
    </w:p>
    <w:p w14:paraId="3D1C26B9"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8.</w:t>
      </w:r>
      <w:r w:rsidRPr="008F168A">
        <w:rPr>
          <w:rFonts w:ascii="Arial" w:hAnsi="Arial" w:cs="Arial"/>
          <w:iCs/>
          <w:sz w:val="20"/>
          <w:szCs w:val="20"/>
        </w:rPr>
        <w:tab/>
        <w:t>Referring to the call by the Heads of State and Government to intensify efforts, at all levels of governance, for the effective protection of the rights of Ukrainian children, in response to the consequences of Russia’s war against Ukraine;</w:t>
      </w:r>
    </w:p>
    <w:p w14:paraId="7C065D72" w14:textId="77777777" w:rsidR="004158B4" w:rsidRPr="008F168A" w:rsidRDefault="004158B4" w:rsidP="004158B4">
      <w:pPr>
        <w:jc w:val="both"/>
        <w:rPr>
          <w:rFonts w:ascii="Arial" w:hAnsi="Arial" w:cs="Arial"/>
          <w:iCs/>
          <w:sz w:val="20"/>
          <w:szCs w:val="20"/>
        </w:rPr>
      </w:pPr>
    </w:p>
    <w:p w14:paraId="1B3BE13E"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9.</w:t>
      </w:r>
      <w:r w:rsidRPr="008F168A">
        <w:rPr>
          <w:rFonts w:ascii="Arial" w:hAnsi="Arial" w:cs="Arial"/>
          <w:iCs/>
          <w:sz w:val="20"/>
          <w:szCs w:val="20"/>
        </w:rPr>
        <w:tab/>
        <w:t>Supporting ongoing efforts to involve young people in decision making by helping local authorities to improve their policy and practice in working with young people; calling for future funding for the “Rejuvenating Politics” initiative, which gives 46 young people the opportunity to participate actively in the work of the Congress sessions and committees each year;</w:t>
      </w:r>
    </w:p>
    <w:p w14:paraId="633CC0B1" w14:textId="77777777" w:rsidR="004158B4" w:rsidRPr="008F168A" w:rsidRDefault="004158B4" w:rsidP="004158B4">
      <w:pPr>
        <w:jc w:val="both"/>
        <w:rPr>
          <w:rFonts w:ascii="Arial" w:hAnsi="Arial" w:cs="Arial"/>
          <w:iCs/>
          <w:sz w:val="20"/>
          <w:szCs w:val="20"/>
        </w:rPr>
      </w:pPr>
    </w:p>
    <w:p w14:paraId="2CB936D8"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lastRenderedPageBreak/>
        <w:t>10.</w:t>
      </w:r>
      <w:r w:rsidRPr="008F168A">
        <w:rPr>
          <w:rFonts w:ascii="Arial" w:hAnsi="Arial" w:cs="Arial"/>
          <w:iCs/>
          <w:sz w:val="20"/>
          <w:szCs w:val="20"/>
        </w:rPr>
        <w:tab/>
        <w:t>Underlining the need to review Congress activities in the light of the decisions of the 4th Summit and new developments in priority areas such as human rights and the rule of law, while strengthening statutory and cooperation activities and raising the profile of the Congress and its relations with its institutional partners;</w:t>
      </w:r>
    </w:p>
    <w:p w14:paraId="5879CF90" w14:textId="77777777" w:rsidR="004158B4" w:rsidRPr="008F168A" w:rsidRDefault="004158B4" w:rsidP="004158B4">
      <w:pPr>
        <w:jc w:val="both"/>
        <w:rPr>
          <w:rFonts w:ascii="Arial" w:hAnsi="Arial" w:cs="Arial"/>
          <w:iCs/>
          <w:sz w:val="20"/>
          <w:szCs w:val="20"/>
        </w:rPr>
      </w:pPr>
    </w:p>
    <w:p w14:paraId="541CB202"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 xml:space="preserve">11. </w:t>
      </w:r>
      <w:r w:rsidRPr="008F168A">
        <w:rPr>
          <w:rFonts w:ascii="Arial" w:hAnsi="Arial" w:cs="Arial"/>
          <w:iCs/>
          <w:sz w:val="20"/>
          <w:szCs w:val="20"/>
        </w:rPr>
        <w:tab/>
        <w:t>Referring to the regular exchanges of views between the President and the Secretary General of the Congress and the Committee of Ministers, and welcoming the support and satisfaction expressed by the member States and the Committee of Ministers regarding the results achieved and the reforms undertaken by the Congress;</w:t>
      </w:r>
    </w:p>
    <w:p w14:paraId="6BE5E9BD" w14:textId="77777777" w:rsidR="004158B4" w:rsidRPr="008F168A" w:rsidRDefault="004158B4" w:rsidP="004158B4">
      <w:pPr>
        <w:jc w:val="both"/>
        <w:rPr>
          <w:rFonts w:ascii="Arial" w:hAnsi="Arial" w:cs="Arial"/>
          <w:iCs/>
          <w:sz w:val="20"/>
          <w:szCs w:val="20"/>
        </w:rPr>
      </w:pPr>
    </w:p>
    <w:p w14:paraId="6E44F0E4"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 xml:space="preserve">12. </w:t>
      </w:r>
      <w:r w:rsidRPr="008F168A">
        <w:rPr>
          <w:rFonts w:ascii="Arial" w:hAnsi="Arial" w:cs="Arial"/>
          <w:iCs/>
          <w:sz w:val="20"/>
          <w:szCs w:val="20"/>
        </w:rPr>
        <w:tab/>
        <w:t>Referring to the successive budget cuts that the Congress has experienced over the years and to the risks that further budget cuts could pose to its statutory, post-monitoring, thematic and cooperation activities, which have been tailored to the expectations and interests of the member States;</w:t>
      </w:r>
    </w:p>
    <w:p w14:paraId="65DA5722" w14:textId="77777777" w:rsidR="004158B4" w:rsidRPr="008F168A" w:rsidRDefault="004158B4" w:rsidP="004158B4">
      <w:pPr>
        <w:jc w:val="both"/>
        <w:rPr>
          <w:rFonts w:ascii="Arial" w:hAnsi="Arial" w:cs="Arial"/>
          <w:iCs/>
          <w:sz w:val="20"/>
          <w:szCs w:val="20"/>
        </w:rPr>
      </w:pPr>
    </w:p>
    <w:p w14:paraId="044D9A62"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 xml:space="preserve">13. </w:t>
      </w:r>
      <w:r w:rsidRPr="008F168A">
        <w:rPr>
          <w:rFonts w:ascii="Arial" w:hAnsi="Arial" w:cs="Arial"/>
          <w:iCs/>
          <w:sz w:val="20"/>
          <w:szCs w:val="20"/>
        </w:rPr>
        <w:tab/>
        <w:t>Highlighting, in addition, that the Congress has been obliged to discontinue certain activities, in particular those enabling it to respond to the challenges identified in the Secretary General’s annual reports on the state of democracy, human rights and the rule of law, and to the priorities of successive Chairmanships of the Committee of Ministers;</w:t>
      </w:r>
    </w:p>
    <w:p w14:paraId="30284BB6"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 xml:space="preserve"> </w:t>
      </w:r>
    </w:p>
    <w:p w14:paraId="14ED621B"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14.</w:t>
      </w:r>
      <w:r w:rsidRPr="008F168A">
        <w:rPr>
          <w:rFonts w:ascii="Arial" w:hAnsi="Arial" w:cs="Arial"/>
          <w:iCs/>
          <w:sz w:val="20"/>
          <w:szCs w:val="20"/>
        </w:rPr>
        <w:tab/>
        <w:t xml:space="preserve"> Referring to the successive reforms it carried out in 2010, 2015, 2018 and 2019 and its desire to contribute to the Organisation’s overall effort;</w:t>
      </w:r>
    </w:p>
    <w:p w14:paraId="71D9693E" w14:textId="77777777" w:rsidR="004158B4" w:rsidRPr="008F168A" w:rsidRDefault="004158B4" w:rsidP="004158B4">
      <w:pPr>
        <w:jc w:val="both"/>
        <w:rPr>
          <w:rFonts w:ascii="Arial" w:hAnsi="Arial" w:cs="Arial"/>
          <w:iCs/>
          <w:sz w:val="20"/>
          <w:szCs w:val="20"/>
        </w:rPr>
      </w:pPr>
    </w:p>
    <w:p w14:paraId="3CA75BA5"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15.</w:t>
      </w:r>
      <w:r w:rsidRPr="008F168A">
        <w:rPr>
          <w:rFonts w:ascii="Arial" w:hAnsi="Arial" w:cs="Arial"/>
          <w:iCs/>
          <w:sz w:val="20"/>
          <w:szCs w:val="20"/>
        </w:rPr>
        <w:tab/>
        <w:t xml:space="preserve"> Stressing that, since 2010, the Congress has continued to contribute to the Organisation’s efficiency gains and that it has undergone budgetary restrictions, both in operational and staff terms, with the number of posts falling from 47 to 34 at present;</w:t>
      </w:r>
      <w:r w:rsidRPr="008F168A">
        <w:rPr>
          <w:rStyle w:val="FootnoteReference"/>
          <w:rFonts w:ascii="Arial" w:hAnsi="Arial" w:cs="Arial"/>
          <w:iCs/>
          <w:sz w:val="20"/>
          <w:szCs w:val="20"/>
        </w:rPr>
        <w:footnoteReference w:id="2"/>
      </w:r>
    </w:p>
    <w:p w14:paraId="7B73A6F9" w14:textId="77777777" w:rsidR="004158B4" w:rsidRPr="008F168A" w:rsidRDefault="004158B4" w:rsidP="004158B4">
      <w:pPr>
        <w:jc w:val="both"/>
        <w:rPr>
          <w:rFonts w:ascii="Arial" w:hAnsi="Arial" w:cs="Arial"/>
          <w:iCs/>
          <w:sz w:val="20"/>
          <w:szCs w:val="20"/>
        </w:rPr>
      </w:pPr>
    </w:p>
    <w:p w14:paraId="1ED99D17"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 xml:space="preserve">16. </w:t>
      </w:r>
      <w:r w:rsidRPr="008F168A">
        <w:rPr>
          <w:rFonts w:ascii="Arial" w:hAnsi="Arial" w:cs="Arial"/>
          <w:iCs/>
          <w:sz w:val="20"/>
          <w:szCs w:val="20"/>
        </w:rPr>
        <w:tab/>
        <w:t>Considering in this context that the breaking point between the resources available to the Congress Secretariat and the capacity to deliver the expected results has been reached;</w:t>
      </w:r>
    </w:p>
    <w:p w14:paraId="1D6C2DEF" w14:textId="77777777" w:rsidR="004158B4" w:rsidRPr="008F168A" w:rsidRDefault="004158B4" w:rsidP="004158B4">
      <w:pPr>
        <w:jc w:val="both"/>
        <w:rPr>
          <w:rFonts w:ascii="Arial" w:hAnsi="Arial" w:cs="Arial"/>
          <w:iCs/>
          <w:sz w:val="20"/>
          <w:szCs w:val="20"/>
        </w:rPr>
      </w:pPr>
    </w:p>
    <w:p w14:paraId="5A2AF49A"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17.</w:t>
      </w:r>
      <w:r w:rsidRPr="008F168A">
        <w:rPr>
          <w:rFonts w:ascii="Arial" w:hAnsi="Arial" w:cs="Arial"/>
          <w:iCs/>
          <w:sz w:val="20"/>
          <w:szCs w:val="20"/>
        </w:rPr>
        <w:tab/>
        <w:t xml:space="preserve"> Welcoming and fully supporting the proposals by the Secretary General of the Congress to increase the resources allocated to the Congress under the Council of Europe’s ordinary budget for 2024-2025, in order to provide the Secretariat with human and financial resources commensurate with the institution’s mandate and the development of its activities, particularly in the light of the strategic decisions of the 4th Summit;</w:t>
      </w:r>
    </w:p>
    <w:p w14:paraId="3CF69C6D" w14:textId="77777777" w:rsidR="004158B4" w:rsidRPr="008F168A" w:rsidRDefault="004158B4" w:rsidP="004158B4">
      <w:pPr>
        <w:jc w:val="both"/>
        <w:rPr>
          <w:rFonts w:ascii="Arial" w:hAnsi="Arial" w:cs="Arial"/>
          <w:iCs/>
          <w:sz w:val="20"/>
          <w:szCs w:val="20"/>
        </w:rPr>
      </w:pPr>
    </w:p>
    <w:p w14:paraId="5BDBCB53"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18. Calls on the Committee of Ministers:</w:t>
      </w:r>
    </w:p>
    <w:p w14:paraId="1A14252B" w14:textId="77777777" w:rsidR="004158B4" w:rsidRPr="008F168A" w:rsidRDefault="004158B4" w:rsidP="004158B4">
      <w:pPr>
        <w:jc w:val="both"/>
        <w:rPr>
          <w:rFonts w:ascii="Arial" w:hAnsi="Arial" w:cs="Arial"/>
          <w:iCs/>
          <w:sz w:val="20"/>
          <w:szCs w:val="20"/>
        </w:rPr>
      </w:pPr>
    </w:p>
    <w:p w14:paraId="11E29952" w14:textId="77777777" w:rsidR="004158B4" w:rsidRPr="008F168A" w:rsidRDefault="004158B4" w:rsidP="004158B4">
      <w:pPr>
        <w:jc w:val="both"/>
        <w:rPr>
          <w:rFonts w:ascii="Arial" w:hAnsi="Arial" w:cs="Arial"/>
          <w:iCs/>
          <w:sz w:val="20"/>
          <w:szCs w:val="20"/>
        </w:rPr>
      </w:pPr>
      <w:r w:rsidRPr="008F168A">
        <w:rPr>
          <w:rFonts w:ascii="Arial" w:hAnsi="Arial" w:cs="Arial"/>
          <w:i/>
          <w:sz w:val="20"/>
          <w:szCs w:val="20"/>
        </w:rPr>
        <w:t>a</w:t>
      </w:r>
      <w:r w:rsidRPr="008F168A">
        <w:rPr>
          <w:rFonts w:ascii="Arial" w:hAnsi="Arial" w:cs="Arial"/>
          <w:iCs/>
          <w:sz w:val="20"/>
          <w:szCs w:val="20"/>
        </w:rPr>
        <w:t>.  to confirm the confidence shown at the 4th Summit in local and regional authorities to promote and protect the values of the Council of Europe as close as possible to its citizens;</w:t>
      </w:r>
    </w:p>
    <w:p w14:paraId="3D20A931" w14:textId="77777777" w:rsidR="004158B4" w:rsidRPr="008F168A" w:rsidRDefault="004158B4" w:rsidP="004158B4">
      <w:pPr>
        <w:jc w:val="both"/>
        <w:rPr>
          <w:rFonts w:ascii="Arial" w:hAnsi="Arial" w:cs="Arial"/>
          <w:iCs/>
          <w:sz w:val="20"/>
          <w:szCs w:val="20"/>
        </w:rPr>
      </w:pPr>
    </w:p>
    <w:p w14:paraId="2907A4CE" w14:textId="77777777" w:rsidR="004158B4" w:rsidRPr="008F168A" w:rsidRDefault="004158B4" w:rsidP="004158B4">
      <w:pPr>
        <w:jc w:val="both"/>
        <w:rPr>
          <w:rFonts w:ascii="Arial" w:hAnsi="Arial" w:cs="Arial"/>
          <w:iCs/>
          <w:sz w:val="20"/>
          <w:szCs w:val="20"/>
        </w:rPr>
      </w:pPr>
      <w:r w:rsidRPr="008F168A">
        <w:rPr>
          <w:rFonts w:ascii="Arial" w:hAnsi="Arial" w:cs="Arial"/>
          <w:i/>
          <w:sz w:val="20"/>
          <w:szCs w:val="20"/>
        </w:rPr>
        <w:t>b</w:t>
      </w:r>
      <w:r w:rsidRPr="008F168A">
        <w:rPr>
          <w:rFonts w:ascii="Arial" w:hAnsi="Arial" w:cs="Arial"/>
          <w:iCs/>
          <w:sz w:val="20"/>
          <w:szCs w:val="20"/>
        </w:rPr>
        <w:t>. to reinvest in the Congress, for the first time in 13 years, to enable it to implement the Reykjavik deliverables by strengthening its statutory activities and launching a human rights strategy in synergy with, in particular, the rights defenders, the Court and the Department for the Execution of Judgments;</w:t>
      </w:r>
    </w:p>
    <w:p w14:paraId="254A2ACF" w14:textId="77777777" w:rsidR="004158B4" w:rsidRPr="008F168A" w:rsidRDefault="004158B4" w:rsidP="004158B4">
      <w:pPr>
        <w:jc w:val="both"/>
        <w:rPr>
          <w:rFonts w:ascii="Arial" w:hAnsi="Arial" w:cs="Arial"/>
          <w:iCs/>
          <w:sz w:val="20"/>
          <w:szCs w:val="20"/>
        </w:rPr>
      </w:pPr>
    </w:p>
    <w:p w14:paraId="295914FA" w14:textId="77777777" w:rsidR="004158B4" w:rsidRPr="008F168A" w:rsidRDefault="004158B4" w:rsidP="004158B4">
      <w:pPr>
        <w:jc w:val="both"/>
        <w:rPr>
          <w:rFonts w:ascii="Arial" w:hAnsi="Arial" w:cs="Arial"/>
          <w:iCs/>
          <w:sz w:val="20"/>
          <w:szCs w:val="20"/>
        </w:rPr>
      </w:pPr>
      <w:r w:rsidRPr="008F168A">
        <w:rPr>
          <w:rFonts w:ascii="Arial" w:hAnsi="Arial" w:cs="Arial"/>
          <w:i/>
          <w:sz w:val="20"/>
          <w:szCs w:val="20"/>
        </w:rPr>
        <w:t>c.</w:t>
      </w:r>
      <w:r w:rsidRPr="008F168A">
        <w:rPr>
          <w:rFonts w:ascii="Arial" w:hAnsi="Arial" w:cs="Arial"/>
          <w:iCs/>
          <w:sz w:val="20"/>
          <w:szCs w:val="20"/>
        </w:rPr>
        <w:t xml:space="preserve"> to encourage member States to make voluntary contributions for specific operational activities and to make staff available to the Congress Secretariat;</w:t>
      </w:r>
    </w:p>
    <w:p w14:paraId="59868320" w14:textId="77777777" w:rsidR="004158B4" w:rsidRPr="008F168A" w:rsidRDefault="004158B4" w:rsidP="004158B4">
      <w:pPr>
        <w:jc w:val="both"/>
        <w:rPr>
          <w:rFonts w:ascii="Arial" w:hAnsi="Arial" w:cs="Arial"/>
          <w:iCs/>
          <w:strike/>
          <w:sz w:val="20"/>
          <w:szCs w:val="20"/>
        </w:rPr>
      </w:pPr>
    </w:p>
    <w:p w14:paraId="18614755" w14:textId="77777777" w:rsidR="004158B4" w:rsidRPr="008F168A" w:rsidRDefault="004158B4" w:rsidP="004158B4">
      <w:pPr>
        <w:jc w:val="both"/>
        <w:rPr>
          <w:rFonts w:ascii="Arial" w:hAnsi="Arial" w:cs="Arial"/>
          <w:iCs/>
          <w:sz w:val="20"/>
          <w:szCs w:val="20"/>
        </w:rPr>
      </w:pPr>
      <w:r w:rsidRPr="008F168A">
        <w:rPr>
          <w:rFonts w:ascii="Arial" w:hAnsi="Arial" w:cs="Arial"/>
          <w:i/>
          <w:sz w:val="20"/>
          <w:szCs w:val="20"/>
        </w:rPr>
        <w:t>d</w:t>
      </w:r>
      <w:r w:rsidRPr="008F168A">
        <w:rPr>
          <w:rFonts w:ascii="Arial" w:hAnsi="Arial" w:cs="Arial"/>
          <w:iCs/>
          <w:sz w:val="20"/>
          <w:szCs w:val="20"/>
        </w:rPr>
        <w:t xml:space="preserve">. to take account of the inflation adjustment for the next biennium in order to maintain the Council of Europe as a competent actor in the fields of democracy, human rights and the rule of law, so as to enable all its bodies and structures to act in the interest of the citizens of the 46 member States; and </w:t>
      </w:r>
    </w:p>
    <w:p w14:paraId="66FA4026" w14:textId="77777777" w:rsidR="004158B4" w:rsidRPr="008F168A" w:rsidRDefault="004158B4" w:rsidP="004158B4">
      <w:pPr>
        <w:jc w:val="both"/>
        <w:rPr>
          <w:rFonts w:ascii="Arial" w:hAnsi="Arial" w:cs="Arial"/>
          <w:i/>
          <w:sz w:val="20"/>
          <w:szCs w:val="20"/>
        </w:rPr>
      </w:pPr>
    </w:p>
    <w:p w14:paraId="297BDB75" w14:textId="77777777" w:rsidR="004158B4" w:rsidRPr="008F168A" w:rsidRDefault="004158B4" w:rsidP="004158B4">
      <w:pPr>
        <w:jc w:val="both"/>
        <w:rPr>
          <w:rFonts w:ascii="Arial" w:hAnsi="Arial" w:cs="Arial"/>
          <w:iCs/>
          <w:sz w:val="20"/>
          <w:szCs w:val="20"/>
        </w:rPr>
      </w:pPr>
      <w:r w:rsidRPr="008F168A">
        <w:rPr>
          <w:rFonts w:ascii="Arial" w:hAnsi="Arial" w:cs="Arial"/>
          <w:i/>
          <w:sz w:val="20"/>
          <w:szCs w:val="20"/>
        </w:rPr>
        <w:t>e.</w:t>
      </w:r>
      <w:r w:rsidRPr="008F168A">
        <w:rPr>
          <w:rFonts w:ascii="Arial" w:hAnsi="Arial" w:cs="Arial"/>
          <w:iCs/>
          <w:sz w:val="20"/>
          <w:szCs w:val="20"/>
        </w:rPr>
        <w:t xml:space="preserve"> to invite the Secretary General of the Council of Europe to grant the Congress, in the draft programme and budget for the 2024-2025 biennium, an increased budgetary allocation fully commensurate with its contribution to the priorities of the Council of Europe as a monitoring body and pan-European body for the promotion of territorial democracy, encouraging decentralisation as well as debates and exchanges of good practice between local and regional elected representatives on the main topical issues of our societies.</w:t>
      </w:r>
      <w:r w:rsidRPr="008F168A">
        <w:rPr>
          <w:rFonts w:ascii="Arial" w:hAnsi="Arial" w:cs="Arial"/>
          <w:iCs/>
          <w:sz w:val="20"/>
          <w:szCs w:val="20"/>
        </w:rPr>
        <w:br w:type="page"/>
      </w:r>
    </w:p>
    <w:p w14:paraId="0F9ECF54" w14:textId="77777777" w:rsidR="004158B4" w:rsidRDefault="004158B4" w:rsidP="004158B4">
      <w:pPr>
        <w:jc w:val="both"/>
        <w:rPr>
          <w:rFonts w:ascii="Arial" w:hAnsi="Arial" w:cs="Arial"/>
          <w:b/>
          <w:bCs/>
          <w:iCs/>
          <w:sz w:val="20"/>
          <w:szCs w:val="20"/>
        </w:rPr>
      </w:pPr>
    </w:p>
    <w:p w14:paraId="5A84895A" w14:textId="77777777" w:rsidR="004158B4" w:rsidRPr="008F168A" w:rsidRDefault="004158B4" w:rsidP="004158B4">
      <w:pPr>
        <w:jc w:val="both"/>
        <w:rPr>
          <w:rFonts w:ascii="Arial" w:hAnsi="Arial" w:cs="Arial"/>
          <w:b/>
          <w:bCs/>
          <w:iCs/>
          <w:sz w:val="20"/>
          <w:szCs w:val="20"/>
        </w:rPr>
      </w:pPr>
      <w:r w:rsidRPr="008F168A">
        <w:rPr>
          <w:rFonts w:ascii="Arial" w:hAnsi="Arial" w:cs="Arial"/>
          <w:b/>
          <w:bCs/>
          <w:iCs/>
          <w:sz w:val="20"/>
          <w:szCs w:val="20"/>
        </w:rPr>
        <w:t>Appendix 1 – Evolution of human resources within the Congress Secretariat</w:t>
      </w:r>
    </w:p>
    <w:p w14:paraId="2996389C" w14:textId="77777777" w:rsidR="004158B4" w:rsidRPr="008F168A" w:rsidRDefault="004158B4" w:rsidP="004158B4">
      <w:pPr>
        <w:jc w:val="both"/>
        <w:rPr>
          <w:rFonts w:ascii="Arial" w:hAnsi="Arial" w:cs="Arial"/>
          <w:b/>
          <w:bCs/>
          <w:iCs/>
          <w:sz w:val="20"/>
          <w:szCs w:val="20"/>
        </w:rPr>
      </w:pPr>
    </w:p>
    <w:tbl>
      <w:tblPr>
        <w:tblStyle w:val="TableGrid"/>
        <w:tblpPr w:leftFromText="141" w:rightFromText="141" w:vertAnchor="text" w:horzAnchor="margin" w:tblpXSpec="center" w:tblpY="124"/>
        <w:tblW w:w="10700" w:type="dxa"/>
        <w:tblLook w:val="04A0" w:firstRow="1" w:lastRow="0" w:firstColumn="1" w:lastColumn="0" w:noHBand="0" w:noVBand="1"/>
      </w:tblPr>
      <w:tblGrid>
        <w:gridCol w:w="816"/>
        <w:gridCol w:w="706"/>
        <w:gridCol w:w="706"/>
        <w:gridCol w:w="706"/>
        <w:gridCol w:w="706"/>
        <w:gridCol w:w="706"/>
        <w:gridCol w:w="706"/>
        <w:gridCol w:w="706"/>
        <w:gridCol w:w="706"/>
        <w:gridCol w:w="706"/>
        <w:gridCol w:w="706"/>
        <w:gridCol w:w="706"/>
        <w:gridCol w:w="706"/>
        <w:gridCol w:w="706"/>
        <w:gridCol w:w="706"/>
      </w:tblGrid>
      <w:tr w:rsidR="004158B4" w:rsidRPr="008F168A" w14:paraId="0ACC6814" w14:textId="77777777" w:rsidTr="00B84C2D">
        <w:trPr>
          <w:trHeight w:val="246"/>
        </w:trPr>
        <w:tc>
          <w:tcPr>
            <w:tcW w:w="816" w:type="dxa"/>
          </w:tcPr>
          <w:p w14:paraId="03067644" w14:textId="77777777" w:rsidR="004158B4" w:rsidRPr="008F168A" w:rsidRDefault="004158B4" w:rsidP="00B84C2D">
            <w:pPr>
              <w:rPr>
                <w:rFonts w:ascii="Arial" w:hAnsi="Arial" w:cs="Arial"/>
                <w:b/>
                <w:bCs/>
                <w:iCs/>
                <w:sz w:val="20"/>
                <w:szCs w:val="20"/>
                <w:lang w:val="en-US"/>
              </w:rPr>
            </w:pPr>
            <w:r w:rsidRPr="008F168A">
              <w:rPr>
                <w:rFonts w:ascii="Arial" w:hAnsi="Arial" w:cs="Arial"/>
                <w:b/>
                <w:bCs/>
                <w:iCs/>
                <w:sz w:val="20"/>
                <w:szCs w:val="20"/>
                <w:lang w:val="en-US"/>
              </w:rPr>
              <w:t>Year</w:t>
            </w:r>
          </w:p>
        </w:tc>
        <w:tc>
          <w:tcPr>
            <w:tcW w:w="706" w:type="dxa"/>
          </w:tcPr>
          <w:p w14:paraId="29F3CE05"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2010</w:t>
            </w:r>
          </w:p>
        </w:tc>
        <w:tc>
          <w:tcPr>
            <w:tcW w:w="706" w:type="dxa"/>
          </w:tcPr>
          <w:p w14:paraId="09335BF5"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2011</w:t>
            </w:r>
          </w:p>
        </w:tc>
        <w:tc>
          <w:tcPr>
            <w:tcW w:w="706" w:type="dxa"/>
          </w:tcPr>
          <w:p w14:paraId="125B6AB9"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2012</w:t>
            </w:r>
          </w:p>
        </w:tc>
        <w:tc>
          <w:tcPr>
            <w:tcW w:w="706" w:type="dxa"/>
          </w:tcPr>
          <w:p w14:paraId="5819EED5"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2013</w:t>
            </w:r>
          </w:p>
        </w:tc>
        <w:tc>
          <w:tcPr>
            <w:tcW w:w="706" w:type="dxa"/>
          </w:tcPr>
          <w:p w14:paraId="75EC40FC"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2014</w:t>
            </w:r>
          </w:p>
        </w:tc>
        <w:tc>
          <w:tcPr>
            <w:tcW w:w="706" w:type="dxa"/>
          </w:tcPr>
          <w:p w14:paraId="0385FB10"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2015</w:t>
            </w:r>
          </w:p>
        </w:tc>
        <w:tc>
          <w:tcPr>
            <w:tcW w:w="706" w:type="dxa"/>
          </w:tcPr>
          <w:p w14:paraId="45FD3D80"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2016</w:t>
            </w:r>
          </w:p>
        </w:tc>
        <w:tc>
          <w:tcPr>
            <w:tcW w:w="706" w:type="dxa"/>
          </w:tcPr>
          <w:p w14:paraId="1F2D232E"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2017</w:t>
            </w:r>
          </w:p>
        </w:tc>
        <w:tc>
          <w:tcPr>
            <w:tcW w:w="706" w:type="dxa"/>
          </w:tcPr>
          <w:p w14:paraId="21AB60B9"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2018</w:t>
            </w:r>
          </w:p>
        </w:tc>
        <w:tc>
          <w:tcPr>
            <w:tcW w:w="706" w:type="dxa"/>
          </w:tcPr>
          <w:p w14:paraId="46AA57D9"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2019</w:t>
            </w:r>
          </w:p>
        </w:tc>
        <w:tc>
          <w:tcPr>
            <w:tcW w:w="706" w:type="dxa"/>
          </w:tcPr>
          <w:p w14:paraId="0FF8F3FB"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2020</w:t>
            </w:r>
          </w:p>
        </w:tc>
        <w:tc>
          <w:tcPr>
            <w:tcW w:w="706" w:type="dxa"/>
          </w:tcPr>
          <w:p w14:paraId="5CB496FC"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2021</w:t>
            </w:r>
          </w:p>
        </w:tc>
        <w:tc>
          <w:tcPr>
            <w:tcW w:w="706" w:type="dxa"/>
          </w:tcPr>
          <w:p w14:paraId="1711213C"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2022</w:t>
            </w:r>
          </w:p>
        </w:tc>
        <w:tc>
          <w:tcPr>
            <w:tcW w:w="706" w:type="dxa"/>
          </w:tcPr>
          <w:p w14:paraId="0734AC8E"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2023</w:t>
            </w:r>
          </w:p>
        </w:tc>
      </w:tr>
      <w:tr w:rsidR="004158B4" w:rsidRPr="008F168A" w14:paraId="011C6DDC" w14:textId="77777777" w:rsidTr="00B84C2D">
        <w:trPr>
          <w:trHeight w:val="261"/>
        </w:trPr>
        <w:tc>
          <w:tcPr>
            <w:tcW w:w="816" w:type="dxa"/>
          </w:tcPr>
          <w:p w14:paraId="5EC18C59" w14:textId="77777777" w:rsidR="004158B4" w:rsidRPr="008F168A" w:rsidRDefault="004158B4" w:rsidP="00B84C2D">
            <w:pPr>
              <w:rPr>
                <w:rFonts w:ascii="Arial" w:hAnsi="Arial" w:cs="Arial"/>
                <w:b/>
                <w:bCs/>
                <w:iCs/>
                <w:sz w:val="20"/>
                <w:szCs w:val="20"/>
                <w:lang w:val="en-US"/>
              </w:rPr>
            </w:pPr>
            <w:r w:rsidRPr="008F168A">
              <w:rPr>
                <w:rFonts w:ascii="Arial" w:hAnsi="Arial" w:cs="Arial"/>
                <w:b/>
                <w:bCs/>
                <w:iCs/>
                <w:sz w:val="20"/>
                <w:szCs w:val="20"/>
                <w:lang w:val="en-US"/>
              </w:rPr>
              <w:t>Posts</w:t>
            </w:r>
          </w:p>
        </w:tc>
        <w:tc>
          <w:tcPr>
            <w:tcW w:w="706" w:type="dxa"/>
          </w:tcPr>
          <w:p w14:paraId="42321E4E"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47</w:t>
            </w:r>
          </w:p>
        </w:tc>
        <w:tc>
          <w:tcPr>
            <w:tcW w:w="706" w:type="dxa"/>
          </w:tcPr>
          <w:p w14:paraId="17C1665D"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46</w:t>
            </w:r>
          </w:p>
        </w:tc>
        <w:tc>
          <w:tcPr>
            <w:tcW w:w="706" w:type="dxa"/>
          </w:tcPr>
          <w:p w14:paraId="7180B0F5"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44</w:t>
            </w:r>
          </w:p>
        </w:tc>
        <w:tc>
          <w:tcPr>
            <w:tcW w:w="706" w:type="dxa"/>
          </w:tcPr>
          <w:p w14:paraId="7111A987"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42</w:t>
            </w:r>
          </w:p>
        </w:tc>
        <w:tc>
          <w:tcPr>
            <w:tcW w:w="706" w:type="dxa"/>
          </w:tcPr>
          <w:p w14:paraId="4DA18A11"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42</w:t>
            </w:r>
          </w:p>
        </w:tc>
        <w:tc>
          <w:tcPr>
            <w:tcW w:w="706" w:type="dxa"/>
          </w:tcPr>
          <w:p w14:paraId="493A88EA"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41</w:t>
            </w:r>
          </w:p>
        </w:tc>
        <w:tc>
          <w:tcPr>
            <w:tcW w:w="706" w:type="dxa"/>
          </w:tcPr>
          <w:p w14:paraId="65A35192"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39</w:t>
            </w:r>
          </w:p>
        </w:tc>
        <w:tc>
          <w:tcPr>
            <w:tcW w:w="706" w:type="dxa"/>
          </w:tcPr>
          <w:p w14:paraId="457D42B4"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39</w:t>
            </w:r>
          </w:p>
        </w:tc>
        <w:tc>
          <w:tcPr>
            <w:tcW w:w="706" w:type="dxa"/>
          </w:tcPr>
          <w:p w14:paraId="7174C61C"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38</w:t>
            </w:r>
          </w:p>
        </w:tc>
        <w:tc>
          <w:tcPr>
            <w:tcW w:w="706" w:type="dxa"/>
          </w:tcPr>
          <w:p w14:paraId="27E10E65"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38</w:t>
            </w:r>
          </w:p>
        </w:tc>
        <w:tc>
          <w:tcPr>
            <w:tcW w:w="706" w:type="dxa"/>
          </w:tcPr>
          <w:p w14:paraId="7FF1F3A8"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38</w:t>
            </w:r>
          </w:p>
        </w:tc>
        <w:tc>
          <w:tcPr>
            <w:tcW w:w="706" w:type="dxa"/>
          </w:tcPr>
          <w:p w14:paraId="001D725D"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34</w:t>
            </w:r>
          </w:p>
        </w:tc>
        <w:tc>
          <w:tcPr>
            <w:tcW w:w="706" w:type="dxa"/>
          </w:tcPr>
          <w:p w14:paraId="04B916DB"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34</w:t>
            </w:r>
          </w:p>
        </w:tc>
        <w:tc>
          <w:tcPr>
            <w:tcW w:w="706" w:type="dxa"/>
          </w:tcPr>
          <w:p w14:paraId="4BAE8476" w14:textId="77777777" w:rsidR="004158B4" w:rsidRPr="008F168A" w:rsidRDefault="004158B4" w:rsidP="00B84C2D">
            <w:pPr>
              <w:rPr>
                <w:rFonts w:ascii="Arial" w:hAnsi="Arial" w:cs="Arial"/>
                <w:iCs/>
                <w:sz w:val="20"/>
                <w:szCs w:val="20"/>
                <w:lang w:val="en-US"/>
              </w:rPr>
            </w:pPr>
            <w:r w:rsidRPr="008F168A">
              <w:rPr>
                <w:rFonts w:ascii="Arial" w:hAnsi="Arial" w:cs="Arial"/>
                <w:iCs/>
                <w:sz w:val="20"/>
                <w:szCs w:val="20"/>
                <w:lang w:val="en-US"/>
              </w:rPr>
              <w:t>34</w:t>
            </w:r>
          </w:p>
        </w:tc>
      </w:tr>
    </w:tbl>
    <w:p w14:paraId="3AAF4D17" w14:textId="77777777" w:rsidR="004158B4" w:rsidRPr="008F168A" w:rsidRDefault="004158B4" w:rsidP="004158B4">
      <w:pPr>
        <w:jc w:val="both"/>
        <w:rPr>
          <w:rFonts w:ascii="Arial" w:hAnsi="Arial" w:cs="Arial"/>
          <w:b/>
          <w:bCs/>
          <w:iCs/>
          <w:sz w:val="20"/>
          <w:szCs w:val="20"/>
        </w:rPr>
      </w:pPr>
    </w:p>
    <w:p w14:paraId="722D3FB9" w14:textId="77777777" w:rsidR="004158B4" w:rsidRPr="008F168A" w:rsidRDefault="004158B4" w:rsidP="004158B4">
      <w:pPr>
        <w:jc w:val="both"/>
        <w:rPr>
          <w:rFonts w:ascii="Arial" w:hAnsi="Arial" w:cs="Arial"/>
          <w:b/>
          <w:bCs/>
          <w:iCs/>
          <w:sz w:val="20"/>
          <w:szCs w:val="20"/>
        </w:rPr>
      </w:pPr>
    </w:p>
    <w:p w14:paraId="4CF295BE" w14:textId="77777777" w:rsidR="004158B4" w:rsidRPr="008F168A" w:rsidRDefault="004158B4" w:rsidP="004158B4">
      <w:pPr>
        <w:jc w:val="both"/>
        <w:rPr>
          <w:rFonts w:ascii="Arial" w:hAnsi="Arial" w:cs="Arial"/>
          <w:iCs/>
          <w:sz w:val="20"/>
          <w:szCs w:val="20"/>
        </w:rPr>
      </w:pPr>
    </w:p>
    <w:p w14:paraId="1167657B" w14:textId="77777777" w:rsidR="004158B4" w:rsidRPr="008F168A" w:rsidRDefault="004158B4" w:rsidP="004158B4">
      <w:pPr>
        <w:jc w:val="both"/>
        <w:rPr>
          <w:rFonts w:ascii="Arial" w:hAnsi="Arial" w:cs="Arial"/>
          <w:b/>
          <w:bCs/>
          <w:iCs/>
          <w:sz w:val="20"/>
          <w:szCs w:val="20"/>
        </w:rPr>
      </w:pPr>
      <w:r w:rsidRPr="008F168A">
        <w:rPr>
          <w:rFonts w:ascii="Arial" w:hAnsi="Arial" w:cs="Arial"/>
          <w:b/>
          <w:bCs/>
          <w:iCs/>
          <w:sz w:val="20"/>
          <w:szCs w:val="20"/>
        </w:rPr>
        <w:t>Appendix 2 –  Proposed increase in the Congress staff and operational budgets for 2024-2025</w:t>
      </w:r>
    </w:p>
    <w:p w14:paraId="46ACCFCA" w14:textId="77777777" w:rsidR="004158B4" w:rsidRPr="008F168A" w:rsidRDefault="004158B4" w:rsidP="004158B4">
      <w:pPr>
        <w:jc w:val="both"/>
        <w:rPr>
          <w:rFonts w:ascii="Arial" w:hAnsi="Arial" w:cs="Arial"/>
          <w:iCs/>
          <w:sz w:val="20"/>
          <w:szCs w:val="20"/>
        </w:rPr>
      </w:pPr>
    </w:p>
    <w:p w14:paraId="6EAC4362" w14:textId="77777777" w:rsidR="004158B4" w:rsidRPr="008F168A" w:rsidRDefault="004158B4" w:rsidP="004158B4">
      <w:pPr>
        <w:jc w:val="both"/>
        <w:rPr>
          <w:rFonts w:ascii="Arial" w:hAnsi="Arial" w:cs="Arial"/>
          <w:iCs/>
          <w:sz w:val="20"/>
          <w:szCs w:val="20"/>
        </w:rPr>
      </w:pPr>
    </w:p>
    <w:p w14:paraId="61A1FFFC" w14:textId="77777777" w:rsidR="004158B4" w:rsidRPr="004158B4" w:rsidRDefault="004158B4" w:rsidP="004158B4">
      <w:pPr>
        <w:pStyle w:val="ListParagraph"/>
        <w:widowControl/>
        <w:numPr>
          <w:ilvl w:val="0"/>
          <w:numId w:val="4"/>
        </w:numPr>
        <w:autoSpaceDE/>
        <w:autoSpaceDN/>
        <w:spacing w:after="200" w:line="276" w:lineRule="auto"/>
        <w:ind w:right="0"/>
        <w:contextualSpacing/>
        <w:rPr>
          <w:b/>
          <w:bCs/>
          <w:iCs/>
          <w:sz w:val="20"/>
          <w:szCs w:val="20"/>
          <w:lang w:val="en-US"/>
        </w:rPr>
      </w:pPr>
      <w:r w:rsidRPr="004158B4">
        <w:rPr>
          <w:b/>
          <w:bCs/>
          <w:iCs/>
          <w:sz w:val="20"/>
          <w:szCs w:val="20"/>
          <w:lang w:val="en-US"/>
        </w:rPr>
        <w:t>Congress programmatic objectives for the 2024-2027 Programme and Budget and key deliverables</w:t>
      </w:r>
    </w:p>
    <w:p w14:paraId="1EE64A47"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 xml:space="preserve">The programmatic focus and key deliverables proposed for the 2024-2027 programme are reflected in the Congress </w:t>
      </w:r>
      <w:r w:rsidRPr="008F168A">
        <w:rPr>
          <w:rFonts w:ascii="Arial" w:hAnsi="Arial" w:cs="Arial"/>
          <w:b/>
          <w:bCs/>
          <w:iCs/>
          <w:sz w:val="20"/>
          <w:szCs w:val="20"/>
        </w:rPr>
        <w:t>recommendation to the 4th Summit</w:t>
      </w:r>
      <w:r w:rsidRPr="008F168A">
        <w:rPr>
          <w:rFonts w:ascii="Arial" w:hAnsi="Arial" w:cs="Arial"/>
          <w:iCs/>
          <w:sz w:val="20"/>
          <w:szCs w:val="20"/>
        </w:rPr>
        <w:t xml:space="preserve"> to recognise the crucial role of local and regional democracy in instilling democratic values, respect for human rights and the rule of law, and in involving citizens in democratic governance and decision making at local level. The Congress recommendation is based on the conclusions of the HLRG report on the results expected from the 4th Summit.</w:t>
      </w:r>
    </w:p>
    <w:p w14:paraId="03BC5692"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Over the next 4 years, the Congress aims to strengthen and develop its priority activities.</w:t>
      </w:r>
    </w:p>
    <w:p w14:paraId="6B51CB2B"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 xml:space="preserve">With its mandate strengthened by the strategic decisions of the 4th Summit of Heads of State and Government in May 2023, the Congress, as one of the political assemblies of the Council of Europe, will continue to affirm and promote the essential role of local and regional authorities in consolidating and promoting human rights, democracy and the rule of law, in accordance with the priorities of the Council of Europe and the Secretary General’s four-year strategic framework. </w:t>
      </w:r>
    </w:p>
    <w:p w14:paraId="3BEC304D"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The priority of the Congress will be to continue to develop its effective institutional functioning through its statutory bodies (sessions, bureaux, committees, etc.), to strengthen the statutory activities of monitoring the European Charter of Local Self-Government and observing local and regional elections, and to continue to develop cooperation activities in priority areas, particularly for Ukraine.</w:t>
      </w:r>
    </w:p>
    <w:p w14:paraId="6F05C13A"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New developments will concern the human rights/rule of law sector, with this theme being strengthened within the Congress, in cooperation with the relevant bodies within the Council of Europe and beyond.</w:t>
      </w:r>
    </w:p>
    <w:p w14:paraId="4AD2C44F"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 xml:space="preserve">The Congress, recognised as a pioneer on youth issues, notably through its “Rejuvenating Politics” initiative (youth delegates), will continue its commitment in this area. </w:t>
      </w:r>
    </w:p>
    <w:p w14:paraId="12C1D674"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Deepening the Congress’ relations with its institutional partners, in particular the EU, the OSCE, the OECD and the UN for the integration of the SDGs in the local and regional dimension, is also a priority.</w:t>
      </w:r>
    </w:p>
    <w:p w14:paraId="314CEC1E"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These priorities must be accompanied by a necessary increase in the visibility of the Congress, in particular by strengthening its communication, within the general framework of the Council of Europe's communication strategy.</w:t>
      </w:r>
    </w:p>
    <w:p w14:paraId="6F0B1BC7"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In each of its fields of action, the Congress will focus on achieving tangible and convincing results, contributing to the fulfilment of its mission.</w:t>
      </w:r>
    </w:p>
    <w:p w14:paraId="18359C2E"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t>Statutory meetings</w:t>
      </w:r>
      <w:r w:rsidRPr="008F168A">
        <w:rPr>
          <w:rFonts w:ascii="Arial" w:hAnsi="Arial" w:cs="Arial"/>
          <w:iCs/>
          <w:sz w:val="20"/>
          <w:szCs w:val="20"/>
        </w:rPr>
        <w:t>: (sessions, bureaux and committees): given the constraint of only two sessions per year, and in order to increase the political responsiveness of the Congress (thematic debates / adoption of texts), to make more systematic use of statutory forums.</w:t>
      </w:r>
    </w:p>
    <w:p w14:paraId="5BB53FFD"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t>Monitoring:</w:t>
      </w:r>
      <w:r w:rsidRPr="008F168A">
        <w:rPr>
          <w:rFonts w:ascii="Arial" w:hAnsi="Arial" w:cs="Arial"/>
          <w:iCs/>
          <w:sz w:val="20"/>
          <w:szCs w:val="20"/>
        </w:rPr>
        <w:t xml:space="preserve"> in response to the growing need to monitor the state of local and regional democracy, to ensure that each country is monitored every 5 years and to obtain ratification of the additional protocol to the Charter by all member States, as well as the lifting of reservations to the Charter wherever possible; to continue to produce the periodic report on the recurring issues raised by the Charter.</w:t>
      </w:r>
    </w:p>
    <w:p w14:paraId="5364BE5A"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t>Election observation</w:t>
      </w:r>
      <w:r w:rsidRPr="008F168A">
        <w:rPr>
          <w:rFonts w:ascii="Arial" w:hAnsi="Arial" w:cs="Arial"/>
          <w:iCs/>
          <w:sz w:val="20"/>
          <w:szCs w:val="20"/>
        </w:rPr>
        <w:t xml:space="preserve">: convince States to institutionalise the principle of systematically inviting the Congress to observe local and regional elections; increase the number of election observations and have the capacity to carry out two simultaneous observation missions; develop dialogue as part of post-election monitoring. </w:t>
      </w:r>
    </w:p>
    <w:p w14:paraId="5AE75CAF"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t>Human rights / rule of law</w:t>
      </w:r>
      <w:r w:rsidRPr="008F168A">
        <w:rPr>
          <w:rFonts w:ascii="Arial" w:hAnsi="Arial" w:cs="Arial"/>
          <w:iCs/>
          <w:sz w:val="20"/>
          <w:szCs w:val="20"/>
        </w:rPr>
        <w:t>: As part of the statutory activities, develop a strategy for strengthening human rights and the rule of law at local and regional level; increase awareness of human rights among local elected representatives and their administrations and step-up dialogue on the subject with local authorities and relevant associations; strengthen co-operation with the Court, the Commissioner for Human Rights and the Venice Commission, as well as with the Human Rights Directorate General for the effective implementation of the Register of Damage for Ukraine and the execution of the Court’s judgments.</w:t>
      </w:r>
    </w:p>
    <w:p w14:paraId="78DB852E"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lastRenderedPageBreak/>
        <w:t>Youth:</w:t>
      </w:r>
      <w:r w:rsidRPr="008F168A">
        <w:rPr>
          <w:rFonts w:ascii="Arial" w:hAnsi="Arial" w:cs="Arial"/>
          <w:iCs/>
          <w:sz w:val="20"/>
          <w:szCs w:val="20"/>
        </w:rPr>
        <w:t xml:space="preserve"> Intensify the involvement of youth delegates in statutory and cooperation activities, particularly in the field (election observation); make more systematic use of the youth delegate alumni network.</w:t>
      </w:r>
    </w:p>
    <w:p w14:paraId="18912D39"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t>Relations with external institutional partners</w:t>
      </w:r>
      <w:r w:rsidRPr="008F168A">
        <w:rPr>
          <w:rFonts w:ascii="Arial" w:hAnsi="Arial" w:cs="Arial"/>
          <w:iCs/>
          <w:sz w:val="20"/>
          <w:szCs w:val="20"/>
        </w:rPr>
        <w:t>: strengthen political synergy and develop strong links with strategic partners, in particular with the EU, the OSCE, the OECD and the UN, thus helping to raise the Council of Europe’s visibility.</w:t>
      </w:r>
    </w:p>
    <w:p w14:paraId="1480B2C2" w14:textId="77777777" w:rsidR="004158B4" w:rsidRPr="008F168A" w:rsidRDefault="004158B4" w:rsidP="002306B1">
      <w:pPr>
        <w:spacing w:before="120" w:after="120"/>
        <w:jc w:val="both"/>
        <w:rPr>
          <w:rFonts w:ascii="Arial" w:hAnsi="Arial" w:cs="Arial"/>
          <w:iCs/>
          <w:sz w:val="20"/>
          <w:szCs w:val="20"/>
        </w:rPr>
      </w:pPr>
      <w:r w:rsidRPr="002306B1">
        <w:rPr>
          <w:rFonts w:ascii="Arial" w:hAnsi="Arial" w:cs="Arial"/>
          <w:b/>
          <w:bCs/>
          <w:iCs/>
          <w:sz w:val="20"/>
          <w:szCs w:val="20"/>
        </w:rPr>
        <w:t>Visibility:</w:t>
      </w:r>
      <w:r w:rsidRPr="008F168A">
        <w:rPr>
          <w:rFonts w:ascii="Arial" w:hAnsi="Arial" w:cs="Arial"/>
          <w:iCs/>
          <w:sz w:val="20"/>
          <w:szCs w:val="20"/>
        </w:rPr>
        <w:t xml:space="preserve"> to make effective use of the Congress’ work by participating in communication initiatives launched by the Organisation, by increasing its presence in social media and by disseminating Congress messages more widely via networks of elected representatives and young people. </w:t>
      </w:r>
    </w:p>
    <w:p w14:paraId="28568828" w14:textId="77777777" w:rsidR="004158B4" w:rsidRPr="008F168A" w:rsidRDefault="004158B4" w:rsidP="004158B4">
      <w:pPr>
        <w:jc w:val="both"/>
        <w:rPr>
          <w:rFonts w:ascii="Arial" w:hAnsi="Arial" w:cs="Arial"/>
          <w:iCs/>
          <w:sz w:val="20"/>
          <w:szCs w:val="20"/>
        </w:rPr>
      </w:pPr>
    </w:p>
    <w:p w14:paraId="1AB22B8B" w14:textId="77777777" w:rsidR="004158B4" w:rsidRPr="008F168A" w:rsidRDefault="004158B4" w:rsidP="004158B4">
      <w:pPr>
        <w:jc w:val="both"/>
        <w:rPr>
          <w:rFonts w:ascii="Arial" w:hAnsi="Arial" w:cs="Arial"/>
          <w:iCs/>
          <w:sz w:val="20"/>
          <w:szCs w:val="20"/>
        </w:rPr>
      </w:pPr>
    </w:p>
    <w:p w14:paraId="403D3223" w14:textId="77777777" w:rsidR="004158B4" w:rsidRPr="004158B4" w:rsidRDefault="004158B4" w:rsidP="004158B4">
      <w:pPr>
        <w:pStyle w:val="ListParagraph"/>
        <w:widowControl/>
        <w:numPr>
          <w:ilvl w:val="0"/>
          <w:numId w:val="4"/>
        </w:numPr>
        <w:autoSpaceDE/>
        <w:autoSpaceDN/>
        <w:spacing w:after="200" w:line="276" w:lineRule="auto"/>
        <w:ind w:right="0"/>
        <w:contextualSpacing/>
        <w:rPr>
          <w:b/>
          <w:bCs/>
          <w:iCs/>
          <w:sz w:val="20"/>
          <w:szCs w:val="20"/>
          <w:lang w:val="en-US"/>
        </w:rPr>
      </w:pPr>
      <w:r w:rsidRPr="004158B4">
        <w:rPr>
          <w:b/>
          <w:bCs/>
          <w:iCs/>
          <w:sz w:val="20"/>
          <w:szCs w:val="20"/>
          <w:lang w:val="en-US"/>
        </w:rPr>
        <w:t>The need to strengthen human resources and the operational budget</w:t>
      </w:r>
    </w:p>
    <w:p w14:paraId="06B93CDD"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The reinforcement of Congress activities needs to be accompanied by an adjustment of the Secretariat’s means of action, in particular a clear reinforcement of human resources. Such a reinforcement is essential, as the Congress finds itself at the breaking point between the means available and the capacity to deliver qualitative results. Since 2012, the number of budgeted posts has fallen by almost a quarter (-23%, from 44 to 34 posts at present), having a considerable impact on existing activities and making it impossible for the Congress to respond to new challenges.</w:t>
      </w:r>
    </w:p>
    <w:p w14:paraId="0B609D17"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It is therefore becoming urgent to restore a balance in the resources of the Congress, with the following reinforcements envisaged, in line with the main deliverables and results expected for 2024-2027:</w:t>
      </w:r>
    </w:p>
    <w:p w14:paraId="147734AE" w14:textId="77777777" w:rsidR="004158B4" w:rsidRPr="004158B4" w:rsidRDefault="004158B4" w:rsidP="002306B1">
      <w:pPr>
        <w:pStyle w:val="ListParagraph"/>
        <w:widowControl/>
        <w:numPr>
          <w:ilvl w:val="0"/>
          <w:numId w:val="5"/>
        </w:numPr>
        <w:autoSpaceDE/>
        <w:autoSpaceDN/>
        <w:spacing w:before="120" w:after="120" w:line="276" w:lineRule="auto"/>
        <w:ind w:right="0"/>
        <w:contextualSpacing/>
        <w:rPr>
          <w:iCs/>
          <w:sz w:val="20"/>
          <w:szCs w:val="20"/>
          <w:lang w:val="en-US"/>
        </w:rPr>
      </w:pPr>
      <w:r w:rsidRPr="004158B4">
        <w:rPr>
          <w:iCs/>
          <w:sz w:val="20"/>
          <w:szCs w:val="20"/>
          <w:lang w:val="en-US"/>
        </w:rPr>
        <w:t xml:space="preserve">Creation of a unit dedicated to </w:t>
      </w:r>
      <w:r w:rsidRPr="004158B4">
        <w:rPr>
          <w:b/>
          <w:bCs/>
          <w:iCs/>
          <w:sz w:val="20"/>
          <w:szCs w:val="20"/>
          <w:lang w:val="en-US"/>
        </w:rPr>
        <w:t>Human Rights / Rule of Law</w:t>
      </w:r>
      <w:r w:rsidRPr="004158B4">
        <w:rPr>
          <w:iCs/>
          <w:sz w:val="20"/>
          <w:szCs w:val="20"/>
          <w:lang w:val="en-US"/>
        </w:rPr>
        <w:t>, with the creation of an A1 administrator post and a B2 support post. This is becoming a strategic priority for the Congress, with a vast field of action in the pipeline, including, among other things, setting up the register of damage for Ukraine.</w:t>
      </w:r>
    </w:p>
    <w:p w14:paraId="3C2CA8F7" w14:textId="77777777" w:rsidR="004158B4" w:rsidRPr="004158B4" w:rsidRDefault="004158B4" w:rsidP="002306B1">
      <w:pPr>
        <w:pStyle w:val="ListParagraph"/>
        <w:widowControl/>
        <w:numPr>
          <w:ilvl w:val="0"/>
          <w:numId w:val="5"/>
        </w:numPr>
        <w:autoSpaceDE/>
        <w:autoSpaceDN/>
        <w:spacing w:before="120" w:after="120" w:line="276" w:lineRule="auto"/>
        <w:ind w:right="0"/>
        <w:contextualSpacing/>
        <w:rPr>
          <w:iCs/>
          <w:sz w:val="20"/>
          <w:szCs w:val="20"/>
          <w:lang w:val="en-US"/>
        </w:rPr>
      </w:pPr>
      <w:r w:rsidRPr="004158B4">
        <w:rPr>
          <w:iCs/>
          <w:sz w:val="20"/>
          <w:szCs w:val="20"/>
          <w:lang w:val="en-US"/>
        </w:rPr>
        <w:t xml:space="preserve">Significant reinforcement of resources for statutory </w:t>
      </w:r>
      <w:r w:rsidRPr="004158B4">
        <w:rPr>
          <w:b/>
          <w:bCs/>
          <w:iCs/>
          <w:sz w:val="20"/>
          <w:szCs w:val="20"/>
          <w:lang w:val="en-US"/>
        </w:rPr>
        <w:t>monitoring and election</w:t>
      </w:r>
      <w:r w:rsidRPr="004158B4">
        <w:rPr>
          <w:iCs/>
          <w:sz w:val="20"/>
          <w:szCs w:val="20"/>
          <w:lang w:val="en-US"/>
        </w:rPr>
        <w:t xml:space="preserve"> </w:t>
      </w:r>
      <w:r w:rsidRPr="004158B4">
        <w:rPr>
          <w:b/>
          <w:bCs/>
          <w:iCs/>
          <w:sz w:val="20"/>
          <w:szCs w:val="20"/>
          <w:lang w:val="en-US"/>
        </w:rPr>
        <w:t>observation activities</w:t>
      </w:r>
      <w:r w:rsidRPr="004158B4">
        <w:rPr>
          <w:iCs/>
          <w:sz w:val="20"/>
          <w:szCs w:val="20"/>
          <w:lang w:val="en-US"/>
        </w:rPr>
        <w:t>: creation of two A1 administrator posts and one B2 support post for Charter monitoring and creation of an A1 administrator post (Observation Officer). With these reinforcements, it will be possible to increase the number of monitoring visits and election observation missions in order to ensure an adequate level of coverage (in terms of number, quality and level of representation), to have a standardised monitoring rhythm of 5 years per country, and to be able to carry out two simultaneous observations. In this way, the early warning mechanism provided by the monitoring and election observation activities will be strengthened, in cooperation with the member States. This will also enhance the quality and effectiveness of Congress recommendations in response to the current challenges and expectations of member States regarding the state of local and regional democracy in Europe.</w:t>
      </w:r>
    </w:p>
    <w:p w14:paraId="185AD696" w14:textId="77777777" w:rsidR="004158B4" w:rsidRPr="004158B4" w:rsidRDefault="004158B4" w:rsidP="002306B1">
      <w:pPr>
        <w:pStyle w:val="ListParagraph"/>
        <w:widowControl/>
        <w:numPr>
          <w:ilvl w:val="0"/>
          <w:numId w:val="5"/>
        </w:numPr>
        <w:autoSpaceDE/>
        <w:autoSpaceDN/>
        <w:spacing w:before="120" w:after="120" w:line="276" w:lineRule="auto"/>
        <w:ind w:right="0"/>
        <w:contextualSpacing/>
        <w:rPr>
          <w:iCs/>
          <w:sz w:val="20"/>
          <w:szCs w:val="20"/>
          <w:lang w:val="en-US"/>
        </w:rPr>
      </w:pPr>
      <w:r w:rsidRPr="004158B4">
        <w:rPr>
          <w:iCs/>
          <w:sz w:val="20"/>
          <w:szCs w:val="20"/>
          <w:lang w:val="en-US"/>
        </w:rPr>
        <w:t xml:space="preserve">Strengthening the Congress </w:t>
      </w:r>
      <w:r w:rsidRPr="004158B4">
        <w:rPr>
          <w:b/>
          <w:bCs/>
          <w:iCs/>
          <w:sz w:val="20"/>
          <w:szCs w:val="20"/>
          <w:lang w:val="en-US"/>
        </w:rPr>
        <w:t>Communication</w:t>
      </w:r>
      <w:r w:rsidRPr="004158B4">
        <w:rPr>
          <w:iCs/>
          <w:sz w:val="20"/>
          <w:szCs w:val="20"/>
          <w:lang w:val="en-US"/>
        </w:rPr>
        <w:t xml:space="preserve"> </w:t>
      </w:r>
      <w:r w:rsidRPr="004158B4">
        <w:rPr>
          <w:b/>
          <w:bCs/>
          <w:iCs/>
          <w:sz w:val="20"/>
          <w:szCs w:val="20"/>
          <w:lang w:val="en-US"/>
        </w:rPr>
        <w:t>Unit</w:t>
      </w:r>
      <w:r w:rsidRPr="004158B4">
        <w:rPr>
          <w:iCs/>
          <w:sz w:val="20"/>
          <w:szCs w:val="20"/>
          <w:lang w:val="en-US"/>
        </w:rPr>
        <w:t xml:space="preserve">: creation of a B2 support post. This will make it possible to achieve the objective of increasing the visibility and impact of Congress activities through strong, high-quality and effective communication. </w:t>
      </w:r>
    </w:p>
    <w:p w14:paraId="0B9ADC61" w14:textId="52E2BA12" w:rsidR="004158B4" w:rsidRPr="00457073" w:rsidRDefault="004158B4" w:rsidP="002306B1">
      <w:pPr>
        <w:pStyle w:val="ListParagraph"/>
        <w:widowControl/>
        <w:numPr>
          <w:ilvl w:val="0"/>
          <w:numId w:val="5"/>
        </w:numPr>
        <w:autoSpaceDE/>
        <w:autoSpaceDN/>
        <w:spacing w:before="120" w:after="120" w:line="276" w:lineRule="auto"/>
        <w:ind w:right="0"/>
        <w:contextualSpacing/>
        <w:rPr>
          <w:iCs/>
          <w:sz w:val="20"/>
          <w:szCs w:val="20"/>
          <w:lang w:val="en-US"/>
        </w:rPr>
      </w:pPr>
      <w:r w:rsidRPr="00457073">
        <w:rPr>
          <w:iCs/>
          <w:sz w:val="20"/>
          <w:szCs w:val="20"/>
          <w:lang w:val="en-US"/>
        </w:rPr>
        <w:t xml:space="preserve">The potential and dynamism of the activity linked to the </w:t>
      </w:r>
      <w:r w:rsidR="00FA54BB">
        <w:rPr>
          <w:b/>
          <w:bCs/>
          <w:iCs/>
          <w:sz w:val="20"/>
          <w:szCs w:val="20"/>
          <w:lang w:val="en-US"/>
        </w:rPr>
        <w:t>y</w:t>
      </w:r>
      <w:r w:rsidRPr="00457073">
        <w:rPr>
          <w:b/>
          <w:bCs/>
          <w:iCs/>
          <w:sz w:val="20"/>
          <w:szCs w:val="20"/>
          <w:lang w:val="en-US"/>
        </w:rPr>
        <w:t xml:space="preserve">outh </w:t>
      </w:r>
      <w:r w:rsidR="00FA54BB">
        <w:rPr>
          <w:b/>
          <w:bCs/>
          <w:iCs/>
          <w:sz w:val="20"/>
          <w:szCs w:val="20"/>
          <w:lang w:val="en-US"/>
        </w:rPr>
        <w:t>d</w:t>
      </w:r>
      <w:r w:rsidRPr="00457073">
        <w:rPr>
          <w:b/>
          <w:bCs/>
          <w:iCs/>
          <w:sz w:val="20"/>
          <w:szCs w:val="20"/>
          <w:lang w:val="en-US"/>
        </w:rPr>
        <w:t>elegates</w:t>
      </w:r>
      <w:r w:rsidRPr="00457073">
        <w:rPr>
          <w:iCs/>
          <w:sz w:val="20"/>
          <w:szCs w:val="20"/>
          <w:lang w:val="en-US"/>
        </w:rPr>
        <w:t>, which is destined for major development, requires a stable dedicated resource, with the creation of a B5 post</w:t>
      </w:r>
      <w:r w:rsidR="00FA54BB">
        <w:rPr>
          <w:iCs/>
          <w:sz w:val="20"/>
          <w:szCs w:val="20"/>
          <w:lang w:val="en-US"/>
        </w:rPr>
        <w:t xml:space="preserve"> </w:t>
      </w:r>
      <w:r w:rsidRPr="00457073">
        <w:rPr>
          <w:iCs/>
          <w:sz w:val="20"/>
          <w:szCs w:val="20"/>
          <w:lang w:val="en-US"/>
        </w:rPr>
        <w:t>of Youth Policy Officer for the Congress Youth Delegates (currently, there is no structural post dedicated to this activity).</w:t>
      </w:r>
    </w:p>
    <w:p w14:paraId="4F051EF9" w14:textId="77777777" w:rsidR="004158B4" w:rsidRPr="004158B4" w:rsidRDefault="004158B4" w:rsidP="002306B1">
      <w:pPr>
        <w:pStyle w:val="ListParagraph"/>
        <w:widowControl/>
        <w:numPr>
          <w:ilvl w:val="0"/>
          <w:numId w:val="5"/>
        </w:numPr>
        <w:autoSpaceDE/>
        <w:autoSpaceDN/>
        <w:spacing w:before="120" w:after="120" w:line="276" w:lineRule="auto"/>
        <w:ind w:right="0"/>
        <w:contextualSpacing/>
        <w:rPr>
          <w:iCs/>
          <w:sz w:val="20"/>
          <w:szCs w:val="20"/>
          <w:lang w:val="en-US"/>
        </w:rPr>
      </w:pPr>
      <w:r w:rsidRPr="004158B4">
        <w:rPr>
          <w:iCs/>
          <w:sz w:val="20"/>
          <w:szCs w:val="20"/>
          <w:lang w:val="en-US"/>
        </w:rPr>
        <w:t xml:space="preserve">In addition, the Congress will endeavour to use internal transfers to strengthen its activities according to priorities, particularly for </w:t>
      </w:r>
      <w:r w:rsidRPr="00DE2B7D">
        <w:rPr>
          <w:b/>
          <w:bCs/>
          <w:iCs/>
          <w:sz w:val="20"/>
          <w:szCs w:val="20"/>
          <w:lang w:val="en-US"/>
        </w:rPr>
        <w:t>cooperation</w:t>
      </w:r>
      <w:r w:rsidRPr="004158B4">
        <w:rPr>
          <w:iCs/>
          <w:sz w:val="20"/>
          <w:szCs w:val="20"/>
          <w:lang w:val="en-US"/>
        </w:rPr>
        <w:t xml:space="preserve"> activities.</w:t>
      </w:r>
    </w:p>
    <w:p w14:paraId="128216F8"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In total, for the period 2024-2027, the Congress is therefore requesting the creation of 8 additional posts (3 B2; 1 B5; 4 A1), in order to support the strengthening of its statutory activities and strategic developments in its fields of action. This implies an increase in the annual budget allocation of €633,000, including pension costs, for staff expenditure.</w:t>
      </w:r>
    </w:p>
    <w:p w14:paraId="23B7D9C6" w14:textId="77777777" w:rsidR="004158B4" w:rsidRPr="008F168A" w:rsidRDefault="004158B4" w:rsidP="002306B1">
      <w:pPr>
        <w:spacing w:before="120" w:after="120"/>
        <w:jc w:val="both"/>
        <w:rPr>
          <w:rFonts w:ascii="Arial" w:hAnsi="Arial" w:cs="Arial"/>
          <w:iCs/>
          <w:sz w:val="20"/>
          <w:szCs w:val="20"/>
        </w:rPr>
      </w:pPr>
      <w:r w:rsidRPr="008F168A">
        <w:rPr>
          <w:rFonts w:ascii="Arial" w:hAnsi="Arial" w:cs="Arial"/>
          <w:iCs/>
          <w:sz w:val="20"/>
          <w:szCs w:val="20"/>
        </w:rPr>
        <w:t>The development and strengthening of the Congress' activities also require that the operational budget be reinforced. The Congress is requesting an increase in the annual budget of €158,000 to cover the increase in the number of monitoring visits and election observation missions, the development of human rights and cooperation activities and the enhancement of the Congress' visibility.</w:t>
      </w:r>
    </w:p>
    <w:p w14:paraId="5F2A44D0" w14:textId="77777777" w:rsidR="004158B4" w:rsidRDefault="004158B4" w:rsidP="004158B4">
      <w:pPr>
        <w:jc w:val="both"/>
        <w:rPr>
          <w:rFonts w:ascii="Arial" w:hAnsi="Arial" w:cs="Arial"/>
          <w:iCs/>
          <w:sz w:val="20"/>
          <w:szCs w:val="20"/>
        </w:rPr>
      </w:pPr>
    </w:p>
    <w:p w14:paraId="739ECF21" w14:textId="77777777" w:rsidR="004158B4" w:rsidRDefault="004158B4" w:rsidP="004158B4">
      <w:pPr>
        <w:spacing w:after="200" w:line="276" w:lineRule="auto"/>
        <w:rPr>
          <w:rFonts w:ascii="Arial" w:hAnsi="Arial" w:cs="Arial"/>
          <w:iCs/>
          <w:sz w:val="20"/>
          <w:szCs w:val="20"/>
        </w:rPr>
      </w:pPr>
      <w:r>
        <w:rPr>
          <w:rFonts w:ascii="Arial" w:hAnsi="Arial" w:cs="Arial"/>
          <w:iCs/>
          <w:sz w:val="20"/>
          <w:szCs w:val="20"/>
        </w:rPr>
        <w:br w:type="page"/>
      </w:r>
    </w:p>
    <w:p w14:paraId="2E7D1096" w14:textId="77777777" w:rsidR="004158B4" w:rsidRDefault="004158B4" w:rsidP="004158B4">
      <w:pPr>
        <w:jc w:val="both"/>
        <w:rPr>
          <w:rFonts w:ascii="Arial" w:hAnsi="Arial" w:cs="Arial"/>
          <w:iCs/>
          <w:sz w:val="20"/>
          <w:szCs w:val="20"/>
        </w:rPr>
      </w:pPr>
    </w:p>
    <w:p w14:paraId="0EF21E0A" w14:textId="77777777" w:rsidR="004158B4" w:rsidRPr="008F168A" w:rsidRDefault="004158B4" w:rsidP="004158B4">
      <w:pPr>
        <w:jc w:val="both"/>
        <w:rPr>
          <w:rFonts w:ascii="Arial" w:hAnsi="Arial" w:cs="Arial"/>
          <w:iCs/>
          <w:sz w:val="20"/>
          <w:szCs w:val="20"/>
        </w:rPr>
      </w:pPr>
      <w:r w:rsidRPr="008F168A">
        <w:rPr>
          <w:rFonts w:ascii="Arial" w:hAnsi="Arial" w:cs="Arial"/>
          <w:iCs/>
          <w:sz w:val="20"/>
          <w:szCs w:val="20"/>
        </w:rPr>
        <w:t>The table below summarises the proposed increase in the Congress’ staff and operational budgets for 2024-2025:</w:t>
      </w:r>
    </w:p>
    <w:p w14:paraId="79772D69" w14:textId="77777777" w:rsidR="004158B4" w:rsidRPr="00184E23" w:rsidRDefault="004158B4" w:rsidP="004158B4">
      <w:pPr>
        <w:jc w:val="both"/>
        <w:rPr>
          <w:iCs/>
          <w:sz w:val="16"/>
          <w:szCs w:val="16"/>
        </w:rPr>
      </w:pPr>
    </w:p>
    <w:tbl>
      <w:tblPr>
        <w:tblW w:w="9618" w:type="dxa"/>
        <w:tblCellMar>
          <w:left w:w="70" w:type="dxa"/>
          <w:right w:w="70" w:type="dxa"/>
        </w:tblCellMar>
        <w:tblLook w:val="04A0" w:firstRow="1" w:lastRow="0" w:firstColumn="1" w:lastColumn="0" w:noHBand="0" w:noVBand="1"/>
      </w:tblPr>
      <w:tblGrid>
        <w:gridCol w:w="1380"/>
        <w:gridCol w:w="750"/>
        <w:gridCol w:w="870"/>
        <w:gridCol w:w="760"/>
        <w:gridCol w:w="146"/>
        <w:gridCol w:w="550"/>
        <w:gridCol w:w="870"/>
        <w:gridCol w:w="146"/>
        <w:gridCol w:w="520"/>
        <w:gridCol w:w="520"/>
        <w:gridCol w:w="2960"/>
        <w:gridCol w:w="146"/>
      </w:tblGrid>
      <w:tr w:rsidR="004158B4" w14:paraId="69F5DF58" w14:textId="77777777" w:rsidTr="00B84C2D">
        <w:trPr>
          <w:trHeight w:val="453"/>
        </w:trPr>
        <w:tc>
          <w:tcPr>
            <w:tcW w:w="1380" w:type="dxa"/>
            <w:vAlign w:val="center"/>
            <w:hideMark/>
          </w:tcPr>
          <w:p w14:paraId="6C1615CB" w14:textId="77777777" w:rsidR="004158B4" w:rsidRPr="00EE02E5" w:rsidRDefault="004158B4" w:rsidP="00B84C2D">
            <w:pPr>
              <w:rPr>
                <w:rFonts w:asciiTheme="majorHAnsi" w:hAnsiTheme="majorHAnsi" w:cstheme="majorHAnsi"/>
                <w:sz w:val="20"/>
                <w:szCs w:val="20"/>
              </w:rPr>
            </w:pPr>
          </w:p>
        </w:tc>
        <w:tc>
          <w:tcPr>
            <w:tcW w:w="2380" w:type="dxa"/>
            <w:gridSpan w:val="3"/>
            <w:tcBorders>
              <w:top w:val="single" w:sz="4" w:space="0" w:color="auto"/>
              <w:left w:val="single" w:sz="4" w:space="0" w:color="auto"/>
              <w:bottom w:val="single" w:sz="4" w:space="0" w:color="auto"/>
              <w:right w:val="single" w:sz="4" w:space="0" w:color="000000"/>
            </w:tcBorders>
            <w:noWrap/>
            <w:vAlign w:val="center"/>
            <w:hideMark/>
          </w:tcPr>
          <w:p w14:paraId="264F084E" w14:textId="77777777" w:rsidR="004158B4" w:rsidRDefault="004158B4" w:rsidP="00B84C2D">
            <w:pPr>
              <w:jc w:val="center"/>
              <w:rPr>
                <w:rFonts w:ascii="Arial Narrow" w:hAnsi="Arial Narrow" w:cs="Calibri"/>
                <w:b/>
                <w:bCs/>
                <w:sz w:val="16"/>
                <w:szCs w:val="16"/>
                <w:lang w:eastAsia="fr-FR"/>
              </w:rPr>
            </w:pPr>
            <w:r>
              <w:rPr>
                <w:rFonts w:ascii="Arial Narrow" w:hAnsi="Arial Narrow" w:cs="Calibri"/>
                <w:b/>
                <w:bCs/>
                <w:sz w:val="16"/>
                <w:szCs w:val="16"/>
                <w:lang w:eastAsia="fr-FR"/>
              </w:rPr>
              <w:t>Approved Budget 2023</w:t>
            </w:r>
          </w:p>
        </w:tc>
        <w:tc>
          <w:tcPr>
            <w:tcW w:w="146" w:type="dxa"/>
            <w:noWrap/>
            <w:vAlign w:val="center"/>
            <w:hideMark/>
          </w:tcPr>
          <w:p w14:paraId="40FE600B" w14:textId="77777777" w:rsidR="004158B4" w:rsidRDefault="004158B4" w:rsidP="00B84C2D">
            <w:pPr>
              <w:rPr>
                <w:rFonts w:ascii="Arial Narrow" w:hAnsi="Arial Narrow" w:cs="Calibri"/>
                <w:b/>
                <w:bCs/>
                <w:sz w:val="16"/>
                <w:szCs w:val="16"/>
                <w:lang w:eastAsia="fr-FR"/>
              </w:rPr>
            </w:pPr>
          </w:p>
        </w:tc>
        <w:tc>
          <w:tcPr>
            <w:tcW w:w="1420" w:type="dxa"/>
            <w:gridSpan w:val="2"/>
            <w:tcBorders>
              <w:top w:val="single" w:sz="4" w:space="0" w:color="auto"/>
              <w:left w:val="single" w:sz="4" w:space="0" w:color="auto"/>
              <w:bottom w:val="single" w:sz="4" w:space="0" w:color="auto"/>
              <w:right w:val="single" w:sz="4" w:space="0" w:color="000000"/>
            </w:tcBorders>
            <w:noWrap/>
            <w:vAlign w:val="center"/>
            <w:hideMark/>
          </w:tcPr>
          <w:p w14:paraId="79B75950" w14:textId="77777777" w:rsidR="004158B4" w:rsidRDefault="004158B4" w:rsidP="00B84C2D">
            <w:pPr>
              <w:jc w:val="center"/>
              <w:rPr>
                <w:rFonts w:ascii="Arial Narrow" w:hAnsi="Arial Narrow" w:cs="Calibri"/>
                <w:b/>
                <w:bCs/>
                <w:sz w:val="16"/>
                <w:szCs w:val="16"/>
                <w:lang w:eastAsia="fr-FR"/>
              </w:rPr>
            </w:pPr>
            <w:r>
              <w:rPr>
                <w:rFonts w:ascii="Arial Narrow" w:hAnsi="Arial Narrow" w:cs="Calibri"/>
                <w:b/>
                <w:bCs/>
                <w:sz w:val="16"/>
                <w:szCs w:val="16"/>
                <w:lang w:eastAsia="fr-FR"/>
              </w:rPr>
              <w:t>Proposed Increase</w:t>
            </w:r>
          </w:p>
        </w:tc>
        <w:tc>
          <w:tcPr>
            <w:tcW w:w="146" w:type="dxa"/>
            <w:noWrap/>
            <w:vAlign w:val="center"/>
            <w:hideMark/>
          </w:tcPr>
          <w:p w14:paraId="09EA51AB" w14:textId="77777777" w:rsidR="004158B4" w:rsidRDefault="004158B4" w:rsidP="00B84C2D">
            <w:pPr>
              <w:rPr>
                <w:rFonts w:ascii="Arial Narrow" w:hAnsi="Arial Narrow" w:cs="Calibri"/>
                <w:b/>
                <w:bCs/>
                <w:sz w:val="16"/>
                <w:szCs w:val="16"/>
                <w:lang w:eastAsia="fr-FR"/>
              </w:rPr>
            </w:pPr>
          </w:p>
        </w:tc>
        <w:tc>
          <w:tcPr>
            <w:tcW w:w="4000" w:type="dxa"/>
            <w:gridSpan w:val="3"/>
            <w:tcBorders>
              <w:top w:val="single" w:sz="4" w:space="0" w:color="auto"/>
              <w:left w:val="single" w:sz="4" w:space="0" w:color="auto"/>
              <w:bottom w:val="single" w:sz="4" w:space="0" w:color="auto"/>
              <w:right w:val="nil"/>
            </w:tcBorders>
            <w:noWrap/>
            <w:vAlign w:val="center"/>
            <w:hideMark/>
          </w:tcPr>
          <w:p w14:paraId="7D4BCD7B" w14:textId="77777777" w:rsidR="004158B4" w:rsidRDefault="004158B4" w:rsidP="00B84C2D">
            <w:pPr>
              <w:jc w:val="center"/>
              <w:rPr>
                <w:rFonts w:ascii="Arial Narrow" w:hAnsi="Arial Narrow" w:cs="Calibri"/>
                <w:b/>
                <w:bCs/>
                <w:sz w:val="16"/>
                <w:szCs w:val="16"/>
                <w:lang w:eastAsia="fr-FR"/>
              </w:rPr>
            </w:pPr>
            <w:r>
              <w:rPr>
                <w:rFonts w:ascii="Arial Narrow" w:hAnsi="Arial Narrow" w:cs="Calibri"/>
                <w:b/>
                <w:bCs/>
                <w:sz w:val="16"/>
                <w:szCs w:val="16"/>
                <w:lang w:eastAsia="fr-FR"/>
              </w:rPr>
              <w:t>Proposed Budget</w:t>
            </w:r>
          </w:p>
        </w:tc>
        <w:tc>
          <w:tcPr>
            <w:tcW w:w="146" w:type="dxa"/>
            <w:noWrap/>
            <w:vAlign w:val="bottom"/>
            <w:hideMark/>
          </w:tcPr>
          <w:p w14:paraId="6016E902" w14:textId="77777777" w:rsidR="004158B4" w:rsidRDefault="004158B4" w:rsidP="00B84C2D">
            <w:pPr>
              <w:rPr>
                <w:rFonts w:ascii="Arial Narrow" w:hAnsi="Arial Narrow" w:cs="Calibri"/>
                <w:b/>
                <w:bCs/>
                <w:sz w:val="16"/>
                <w:szCs w:val="16"/>
                <w:lang w:eastAsia="fr-FR"/>
              </w:rPr>
            </w:pPr>
          </w:p>
        </w:tc>
      </w:tr>
      <w:tr w:rsidR="004158B4" w14:paraId="2D45B48A" w14:textId="77777777" w:rsidTr="00B84C2D">
        <w:trPr>
          <w:trHeight w:val="289"/>
        </w:trPr>
        <w:tc>
          <w:tcPr>
            <w:tcW w:w="1380" w:type="dxa"/>
            <w:vMerge w:val="restart"/>
            <w:tcBorders>
              <w:top w:val="single" w:sz="4" w:space="0" w:color="A6A6A6"/>
              <w:left w:val="single" w:sz="4" w:space="0" w:color="A6A6A6"/>
              <w:bottom w:val="single" w:sz="4" w:space="0" w:color="A6A6A6"/>
              <w:right w:val="single" w:sz="4" w:space="0" w:color="A6A6A6"/>
            </w:tcBorders>
            <w:shd w:val="clear" w:color="auto" w:fill="C6E0B4"/>
            <w:vAlign w:val="center"/>
            <w:hideMark/>
          </w:tcPr>
          <w:p w14:paraId="18862935" w14:textId="77777777" w:rsidR="004158B4" w:rsidRDefault="004158B4" w:rsidP="00B84C2D">
            <w:pPr>
              <w:jc w:val="center"/>
              <w:rPr>
                <w:rFonts w:ascii="Arial Narrow" w:hAnsi="Arial Narrow" w:cs="Calibri"/>
                <w:b/>
                <w:bCs/>
                <w:i/>
                <w:iCs/>
                <w:color w:val="000000"/>
                <w:sz w:val="16"/>
                <w:szCs w:val="16"/>
                <w:lang w:eastAsia="fr-FR"/>
              </w:rPr>
            </w:pPr>
            <w:r>
              <w:rPr>
                <w:rFonts w:ascii="Arial Narrow" w:hAnsi="Arial Narrow" w:cs="Calibri"/>
                <w:b/>
                <w:bCs/>
                <w:i/>
                <w:iCs/>
                <w:color w:val="000000"/>
                <w:sz w:val="16"/>
                <w:szCs w:val="16"/>
                <w:lang w:eastAsia="fr-FR"/>
              </w:rPr>
              <w:t>Immediate Outcome</w:t>
            </w:r>
          </w:p>
        </w:tc>
        <w:tc>
          <w:tcPr>
            <w:tcW w:w="750" w:type="dxa"/>
            <w:vMerge w:val="restart"/>
            <w:tcBorders>
              <w:top w:val="single" w:sz="4" w:space="0" w:color="A6A6A6"/>
              <w:left w:val="single" w:sz="4" w:space="0" w:color="A6A6A6"/>
              <w:bottom w:val="single" w:sz="4" w:space="0" w:color="A6A6A6"/>
              <w:right w:val="single" w:sz="4" w:space="0" w:color="A6A6A6"/>
            </w:tcBorders>
            <w:shd w:val="clear" w:color="auto" w:fill="C6E0B4"/>
            <w:vAlign w:val="center"/>
            <w:hideMark/>
          </w:tcPr>
          <w:p w14:paraId="6DE7A1DB" w14:textId="77777777" w:rsidR="004158B4" w:rsidRDefault="004158B4" w:rsidP="00B84C2D">
            <w:pPr>
              <w:jc w:val="center"/>
              <w:rPr>
                <w:rFonts w:ascii="Arial Narrow" w:hAnsi="Arial Narrow" w:cs="Calibri"/>
                <w:b/>
                <w:bCs/>
                <w:i/>
                <w:iCs/>
                <w:color w:val="000000"/>
                <w:sz w:val="16"/>
                <w:szCs w:val="16"/>
                <w:lang w:eastAsia="fr-FR"/>
              </w:rPr>
            </w:pPr>
            <w:r>
              <w:rPr>
                <w:rFonts w:ascii="Arial Narrow" w:hAnsi="Arial Narrow" w:cs="Calibri"/>
                <w:b/>
                <w:bCs/>
                <w:i/>
                <w:iCs/>
                <w:color w:val="000000"/>
                <w:sz w:val="16"/>
                <w:szCs w:val="16"/>
                <w:lang w:eastAsia="fr-FR"/>
              </w:rPr>
              <w:t xml:space="preserve">Staff cost </w:t>
            </w:r>
          </w:p>
        </w:tc>
        <w:tc>
          <w:tcPr>
            <w:tcW w:w="870" w:type="dxa"/>
            <w:vMerge w:val="restart"/>
            <w:tcBorders>
              <w:top w:val="single" w:sz="4" w:space="0" w:color="A6A6A6"/>
              <w:left w:val="single" w:sz="4" w:space="0" w:color="A6A6A6"/>
              <w:bottom w:val="single" w:sz="4" w:space="0" w:color="A6A6A6"/>
              <w:right w:val="single" w:sz="4" w:space="0" w:color="A6A6A6"/>
            </w:tcBorders>
            <w:shd w:val="clear" w:color="auto" w:fill="C6E0B4"/>
            <w:vAlign w:val="center"/>
            <w:hideMark/>
          </w:tcPr>
          <w:p w14:paraId="6A3932F6" w14:textId="77777777" w:rsidR="004158B4" w:rsidRDefault="004158B4" w:rsidP="00B84C2D">
            <w:pPr>
              <w:jc w:val="center"/>
              <w:rPr>
                <w:rFonts w:ascii="Arial Narrow" w:hAnsi="Arial Narrow" w:cs="Calibri"/>
                <w:b/>
                <w:bCs/>
                <w:i/>
                <w:iCs/>
                <w:color w:val="000000"/>
                <w:sz w:val="16"/>
                <w:szCs w:val="16"/>
                <w:lang w:eastAsia="fr-FR"/>
              </w:rPr>
            </w:pPr>
            <w:r>
              <w:rPr>
                <w:rFonts w:ascii="Arial Narrow" w:hAnsi="Arial Narrow" w:cs="Calibri"/>
                <w:b/>
                <w:bCs/>
                <w:i/>
                <w:iCs/>
                <w:color w:val="000000"/>
                <w:sz w:val="16"/>
                <w:szCs w:val="16"/>
                <w:lang w:eastAsia="fr-FR"/>
              </w:rPr>
              <w:t>Operational cost</w:t>
            </w:r>
          </w:p>
        </w:tc>
        <w:tc>
          <w:tcPr>
            <w:tcW w:w="760" w:type="dxa"/>
            <w:vMerge w:val="restart"/>
            <w:tcBorders>
              <w:top w:val="single" w:sz="4" w:space="0" w:color="A6A6A6"/>
              <w:left w:val="single" w:sz="4" w:space="0" w:color="A6A6A6"/>
              <w:bottom w:val="single" w:sz="4" w:space="0" w:color="A6A6A6"/>
              <w:right w:val="single" w:sz="4" w:space="0" w:color="A6A6A6"/>
            </w:tcBorders>
            <w:shd w:val="clear" w:color="auto" w:fill="C6E0B4"/>
            <w:vAlign w:val="center"/>
            <w:hideMark/>
          </w:tcPr>
          <w:p w14:paraId="2F64F07E" w14:textId="77777777" w:rsidR="004158B4" w:rsidRDefault="004158B4" w:rsidP="00B84C2D">
            <w:pPr>
              <w:jc w:val="center"/>
              <w:rPr>
                <w:rFonts w:ascii="Arial Narrow" w:hAnsi="Arial Narrow" w:cs="Calibri"/>
                <w:b/>
                <w:bCs/>
                <w:color w:val="000000"/>
                <w:sz w:val="16"/>
                <w:szCs w:val="16"/>
                <w:lang w:eastAsia="fr-FR"/>
              </w:rPr>
            </w:pPr>
            <w:r>
              <w:rPr>
                <w:rFonts w:ascii="Arial Narrow" w:hAnsi="Arial Narrow" w:cs="Calibri"/>
                <w:b/>
                <w:bCs/>
                <w:color w:val="000000"/>
                <w:sz w:val="16"/>
                <w:szCs w:val="16"/>
                <w:lang w:eastAsia="fr-FR"/>
              </w:rPr>
              <w:t xml:space="preserve">Budget 2023 </w:t>
            </w:r>
          </w:p>
        </w:tc>
        <w:tc>
          <w:tcPr>
            <w:tcW w:w="146" w:type="dxa"/>
            <w:noWrap/>
            <w:vAlign w:val="bottom"/>
            <w:hideMark/>
          </w:tcPr>
          <w:p w14:paraId="4E6AE58B" w14:textId="77777777" w:rsidR="004158B4" w:rsidRDefault="004158B4" w:rsidP="00B84C2D">
            <w:pPr>
              <w:rPr>
                <w:rFonts w:ascii="Arial Narrow" w:hAnsi="Arial Narrow" w:cs="Calibri"/>
                <w:b/>
                <w:bCs/>
                <w:color w:val="000000"/>
                <w:sz w:val="16"/>
                <w:szCs w:val="16"/>
                <w:lang w:eastAsia="fr-FR"/>
              </w:rPr>
            </w:pPr>
          </w:p>
        </w:tc>
        <w:tc>
          <w:tcPr>
            <w:tcW w:w="550" w:type="dxa"/>
            <w:vMerge w:val="restart"/>
            <w:tcBorders>
              <w:top w:val="single" w:sz="4" w:space="0" w:color="A6A6A6"/>
              <w:left w:val="single" w:sz="4" w:space="0" w:color="A6A6A6"/>
              <w:bottom w:val="single" w:sz="4" w:space="0" w:color="A6A6A6"/>
              <w:right w:val="single" w:sz="4" w:space="0" w:color="A6A6A6"/>
            </w:tcBorders>
            <w:shd w:val="clear" w:color="auto" w:fill="E2EFDA"/>
            <w:vAlign w:val="center"/>
            <w:hideMark/>
          </w:tcPr>
          <w:p w14:paraId="75F4E22E" w14:textId="77777777" w:rsidR="004158B4" w:rsidRDefault="004158B4" w:rsidP="00B84C2D">
            <w:pPr>
              <w:jc w:val="center"/>
              <w:rPr>
                <w:rFonts w:ascii="Arial Narrow" w:hAnsi="Arial Narrow" w:cs="Calibri"/>
                <w:b/>
                <w:bCs/>
                <w:i/>
                <w:iCs/>
                <w:color w:val="000000"/>
                <w:sz w:val="16"/>
                <w:szCs w:val="16"/>
                <w:lang w:eastAsia="fr-FR"/>
              </w:rPr>
            </w:pPr>
            <w:r>
              <w:rPr>
                <w:rFonts w:ascii="Arial Narrow" w:hAnsi="Arial Narrow" w:cs="Calibri"/>
                <w:b/>
                <w:bCs/>
                <w:i/>
                <w:iCs/>
                <w:color w:val="000000"/>
                <w:sz w:val="16"/>
                <w:szCs w:val="16"/>
                <w:lang w:eastAsia="fr-FR"/>
              </w:rPr>
              <w:t>Staff cost</w:t>
            </w:r>
          </w:p>
        </w:tc>
        <w:tc>
          <w:tcPr>
            <w:tcW w:w="870" w:type="dxa"/>
            <w:vMerge w:val="restart"/>
            <w:tcBorders>
              <w:top w:val="single" w:sz="4" w:space="0" w:color="A6A6A6"/>
              <w:left w:val="single" w:sz="4" w:space="0" w:color="A6A6A6"/>
              <w:bottom w:val="single" w:sz="4" w:space="0" w:color="A6A6A6"/>
              <w:right w:val="single" w:sz="4" w:space="0" w:color="A6A6A6"/>
            </w:tcBorders>
            <w:shd w:val="clear" w:color="auto" w:fill="E2EFDA"/>
            <w:vAlign w:val="center"/>
            <w:hideMark/>
          </w:tcPr>
          <w:p w14:paraId="4E95F300" w14:textId="77777777" w:rsidR="004158B4" w:rsidRDefault="004158B4" w:rsidP="00B84C2D">
            <w:pPr>
              <w:jc w:val="center"/>
              <w:rPr>
                <w:rFonts w:ascii="Arial Narrow" w:hAnsi="Arial Narrow" w:cs="Calibri"/>
                <w:b/>
                <w:bCs/>
                <w:i/>
                <w:iCs/>
                <w:color w:val="000000"/>
                <w:sz w:val="16"/>
                <w:szCs w:val="16"/>
                <w:lang w:eastAsia="fr-FR"/>
              </w:rPr>
            </w:pPr>
            <w:r>
              <w:rPr>
                <w:rFonts w:ascii="Arial Narrow" w:hAnsi="Arial Narrow" w:cs="Calibri"/>
                <w:b/>
                <w:bCs/>
                <w:i/>
                <w:iCs/>
                <w:color w:val="000000"/>
                <w:sz w:val="16"/>
                <w:szCs w:val="16"/>
                <w:lang w:eastAsia="fr-FR"/>
              </w:rPr>
              <w:t>Operational cost</w:t>
            </w:r>
          </w:p>
        </w:tc>
        <w:tc>
          <w:tcPr>
            <w:tcW w:w="146" w:type="dxa"/>
            <w:noWrap/>
            <w:vAlign w:val="bottom"/>
            <w:hideMark/>
          </w:tcPr>
          <w:p w14:paraId="69981D3E" w14:textId="77777777" w:rsidR="004158B4" w:rsidRDefault="004158B4" w:rsidP="00B84C2D">
            <w:pPr>
              <w:rPr>
                <w:rFonts w:ascii="Arial Narrow" w:hAnsi="Arial Narrow" w:cs="Calibri"/>
                <w:b/>
                <w:bCs/>
                <w:i/>
                <w:iCs/>
                <w:color w:val="000000"/>
                <w:sz w:val="16"/>
                <w:szCs w:val="16"/>
                <w:lang w:eastAsia="fr-FR"/>
              </w:rPr>
            </w:pPr>
          </w:p>
        </w:tc>
        <w:tc>
          <w:tcPr>
            <w:tcW w:w="520" w:type="dxa"/>
            <w:vMerge w:val="restart"/>
            <w:tcBorders>
              <w:top w:val="single" w:sz="4" w:space="0" w:color="A6A6A6"/>
              <w:left w:val="single" w:sz="4" w:space="0" w:color="A6A6A6"/>
              <w:bottom w:val="single" w:sz="4" w:space="0" w:color="A6A6A6"/>
              <w:right w:val="single" w:sz="4" w:space="0" w:color="A6A6A6"/>
            </w:tcBorders>
            <w:shd w:val="clear" w:color="auto" w:fill="E2EFDA"/>
            <w:vAlign w:val="center"/>
            <w:hideMark/>
          </w:tcPr>
          <w:p w14:paraId="0BA6AFFD" w14:textId="77777777" w:rsidR="004158B4" w:rsidRDefault="004158B4" w:rsidP="00B84C2D">
            <w:pPr>
              <w:jc w:val="center"/>
              <w:rPr>
                <w:rFonts w:ascii="Arial Narrow" w:hAnsi="Arial Narrow" w:cs="Calibri"/>
                <w:b/>
                <w:bCs/>
                <w:color w:val="000000"/>
                <w:sz w:val="16"/>
                <w:szCs w:val="16"/>
                <w:lang w:eastAsia="fr-FR"/>
              </w:rPr>
            </w:pPr>
            <w:r>
              <w:rPr>
                <w:rFonts w:ascii="Arial Narrow" w:hAnsi="Arial Narrow" w:cs="Calibri"/>
                <w:b/>
                <w:bCs/>
                <w:color w:val="000000"/>
                <w:sz w:val="16"/>
                <w:szCs w:val="16"/>
                <w:lang w:eastAsia="fr-FR"/>
              </w:rPr>
              <w:t xml:space="preserve">2024 </w:t>
            </w:r>
          </w:p>
        </w:tc>
        <w:tc>
          <w:tcPr>
            <w:tcW w:w="520" w:type="dxa"/>
            <w:vMerge w:val="restart"/>
            <w:tcBorders>
              <w:top w:val="single" w:sz="4" w:space="0" w:color="A6A6A6"/>
              <w:left w:val="single" w:sz="4" w:space="0" w:color="A6A6A6"/>
              <w:bottom w:val="single" w:sz="4" w:space="0" w:color="A6A6A6"/>
              <w:right w:val="single" w:sz="4" w:space="0" w:color="A6A6A6"/>
            </w:tcBorders>
            <w:shd w:val="clear" w:color="auto" w:fill="E2EFDA"/>
            <w:vAlign w:val="center"/>
            <w:hideMark/>
          </w:tcPr>
          <w:p w14:paraId="14BA35EF" w14:textId="77777777" w:rsidR="004158B4" w:rsidRDefault="004158B4" w:rsidP="00B84C2D">
            <w:pPr>
              <w:jc w:val="center"/>
              <w:rPr>
                <w:rFonts w:ascii="Arial Narrow" w:hAnsi="Arial Narrow" w:cs="Calibri"/>
                <w:b/>
                <w:bCs/>
                <w:color w:val="000000"/>
                <w:sz w:val="16"/>
                <w:szCs w:val="16"/>
                <w:lang w:eastAsia="fr-FR"/>
              </w:rPr>
            </w:pPr>
            <w:r>
              <w:rPr>
                <w:rFonts w:ascii="Arial Narrow" w:hAnsi="Arial Narrow" w:cs="Calibri"/>
                <w:b/>
                <w:bCs/>
                <w:color w:val="000000"/>
                <w:sz w:val="16"/>
                <w:szCs w:val="16"/>
                <w:lang w:eastAsia="fr-FR"/>
              </w:rPr>
              <w:t>2025</w:t>
            </w:r>
          </w:p>
        </w:tc>
        <w:tc>
          <w:tcPr>
            <w:tcW w:w="2960" w:type="dxa"/>
            <w:vMerge w:val="restart"/>
            <w:tcBorders>
              <w:top w:val="single" w:sz="4" w:space="0" w:color="A6A6A6"/>
              <w:left w:val="single" w:sz="4" w:space="0" w:color="A6A6A6"/>
              <w:bottom w:val="single" w:sz="4" w:space="0" w:color="A6A6A6"/>
              <w:right w:val="single" w:sz="4" w:space="0" w:color="A6A6A6"/>
            </w:tcBorders>
            <w:shd w:val="clear" w:color="auto" w:fill="E2EFDA"/>
            <w:vAlign w:val="center"/>
            <w:hideMark/>
          </w:tcPr>
          <w:p w14:paraId="46B3CE11" w14:textId="77777777" w:rsidR="004158B4" w:rsidRDefault="004158B4" w:rsidP="00B84C2D">
            <w:pPr>
              <w:jc w:val="center"/>
              <w:rPr>
                <w:rFonts w:ascii="Arial Narrow" w:hAnsi="Arial Narrow" w:cs="Calibri"/>
                <w:b/>
                <w:bCs/>
                <w:color w:val="000000"/>
                <w:sz w:val="16"/>
                <w:szCs w:val="16"/>
                <w:lang w:eastAsia="fr-FR"/>
              </w:rPr>
            </w:pPr>
            <w:r>
              <w:rPr>
                <w:rFonts w:ascii="Arial Narrow" w:hAnsi="Arial Narrow" w:cs="Calibri"/>
                <w:b/>
                <w:bCs/>
                <w:color w:val="000000"/>
                <w:sz w:val="16"/>
                <w:szCs w:val="16"/>
                <w:lang w:eastAsia="fr-FR"/>
              </w:rPr>
              <w:t>Reinforcements</w:t>
            </w:r>
          </w:p>
        </w:tc>
        <w:tc>
          <w:tcPr>
            <w:tcW w:w="146" w:type="dxa"/>
            <w:noWrap/>
            <w:vAlign w:val="bottom"/>
            <w:hideMark/>
          </w:tcPr>
          <w:p w14:paraId="7AF53D83" w14:textId="77777777" w:rsidR="004158B4" w:rsidRDefault="004158B4" w:rsidP="00B84C2D">
            <w:pPr>
              <w:rPr>
                <w:rFonts w:ascii="Arial Narrow" w:hAnsi="Arial Narrow" w:cs="Calibri"/>
                <w:b/>
                <w:bCs/>
                <w:color w:val="000000"/>
                <w:sz w:val="16"/>
                <w:szCs w:val="16"/>
                <w:lang w:eastAsia="fr-FR"/>
              </w:rPr>
            </w:pPr>
          </w:p>
        </w:tc>
      </w:tr>
      <w:tr w:rsidR="004158B4" w14:paraId="360968A6" w14:textId="77777777" w:rsidTr="00B84C2D">
        <w:trPr>
          <w:trHeight w:val="300"/>
        </w:trPr>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662BE5FA"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3D228B7A"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14D911F"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47C54F3E" w14:textId="77777777" w:rsidR="004158B4" w:rsidRDefault="004158B4" w:rsidP="00B84C2D">
            <w:pPr>
              <w:rPr>
                <w:rFonts w:ascii="Arial Narrow" w:hAnsi="Arial Narrow" w:cs="Calibri"/>
                <w:b/>
                <w:bCs/>
                <w:color w:val="000000"/>
                <w:sz w:val="16"/>
                <w:szCs w:val="16"/>
                <w:lang w:eastAsia="fr-FR"/>
              </w:rPr>
            </w:pPr>
          </w:p>
        </w:tc>
        <w:tc>
          <w:tcPr>
            <w:tcW w:w="146" w:type="dxa"/>
            <w:noWrap/>
            <w:vAlign w:val="bottom"/>
            <w:hideMark/>
          </w:tcPr>
          <w:p w14:paraId="777DD676" w14:textId="77777777" w:rsidR="004158B4" w:rsidRDefault="004158B4" w:rsidP="00B84C2D">
            <w:pPr>
              <w:rPr>
                <w:sz w:val="20"/>
                <w:szCs w:val="20"/>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31995E03"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63B8575A" w14:textId="77777777" w:rsidR="004158B4" w:rsidRDefault="004158B4" w:rsidP="00B84C2D">
            <w:pPr>
              <w:rPr>
                <w:rFonts w:ascii="Arial Narrow" w:hAnsi="Arial Narrow" w:cs="Calibri"/>
                <w:b/>
                <w:bCs/>
                <w:i/>
                <w:iCs/>
                <w:color w:val="000000"/>
                <w:sz w:val="16"/>
                <w:szCs w:val="16"/>
                <w:lang w:eastAsia="fr-FR"/>
              </w:rPr>
            </w:pPr>
          </w:p>
        </w:tc>
        <w:tc>
          <w:tcPr>
            <w:tcW w:w="146" w:type="dxa"/>
            <w:noWrap/>
            <w:vAlign w:val="bottom"/>
            <w:hideMark/>
          </w:tcPr>
          <w:p w14:paraId="31FC15BA" w14:textId="77777777" w:rsidR="004158B4" w:rsidRDefault="004158B4" w:rsidP="00B84C2D">
            <w:pPr>
              <w:rPr>
                <w:sz w:val="20"/>
                <w:szCs w:val="20"/>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EDA47FA" w14:textId="77777777" w:rsidR="004158B4" w:rsidRDefault="004158B4" w:rsidP="00B84C2D">
            <w:pPr>
              <w:rPr>
                <w:rFonts w:ascii="Arial Narrow" w:hAnsi="Arial Narrow" w:cs="Calibri"/>
                <w:b/>
                <w:b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07081FA2" w14:textId="77777777" w:rsidR="004158B4" w:rsidRDefault="004158B4" w:rsidP="00B84C2D">
            <w:pPr>
              <w:rPr>
                <w:rFonts w:ascii="Arial Narrow" w:hAnsi="Arial Narrow" w:cs="Calibri"/>
                <w:b/>
                <w:b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5DB24D36" w14:textId="77777777" w:rsidR="004158B4" w:rsidRDefault="004158B4" w:rsidP="00B84C2D">
            <w:pPr>
              <w:rPr>
                <w:rFonts w:ascii="Arial Narrow" w:hAnsi="Arial Narrow" w:cs="Calibri"/>
                <w:b/>
                <w:bCs/>
                <w:color w:val="000000"/>
                <w:sz w:val="16"/>
                <w:szCs w:val="16"/>
                <w:lang w:eastAsia="fr-FR"/>
              </w:rPr>
            </w:pPr>
          </w:p>
        </w:tc>
        <w:tc>
          <w:tcPr>
            <w:tcW w:w="146" w:type="dxa"/>
            <w:noWrap/>
            <w:vAlign w:val="bottom"/>
            <w:hideMark/>
          </w:tcPr>
          <w:p w14:paraId="1C48F5C6" w14:textId="77777777" w:rsidR="004158B4" w:rsidRDefault="004158B4" w:rsidP="00B84C2D">
            <w:pPr>
              <w:rPr>
                <w:sz w:val="20"/>
                <w:szCs w:val="20"/>
                <w:lang w:eastAsia="fr-FR"/>
              </w:rPr>
            </w:pPr>
          </w:p>
        </w:tc>
      </w:tr>
      <w:tr w:rsidR="004158B4" w14:paraId="7B88E4BE" w14:textId="77777777" w:rsidTr="00B84C2D">
        <w:trPr>
          <w:trHeight w:val="300"/>
        </w:trPr>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200793B"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07378682"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82FD3EF"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5DE26631" w14:textId="77777777" w:rsidR="004158B4" w:rsidRDefault="004158B4" w:rsidP="00B84C2D">
            <w:pPr>
              <w:rPr>
                <w:rFonts w:ascii="Arial Narrow" w:hAnsi="Arial Narrow" w:cs="Calibri"/>
                <w:b/>
                <w:bCs/>
                <w:color w:val="000000"/>
                <w:sz w:val="16"/>
                <w:szCs w:val="16"/>
                <w:lang w:eastAsia="fr-FR"/>
              </w:rPr>
            </w:pPr>
          </w:p>
        </w:tc>
        <w:tc>
          <w:tcPr>
            <w:tcW w:w="146" w:type="dxa"/>
            <w:noWrap/>
            <w:vAlign w:val="bottom"/>
            <w:hideMark/>
          </w:tcPr>
          <w:p w14:paraId="51775512" w14:textId="77777777" w:rsidR="004158B4" w:rsidRDefault="004158B4" w:rsidP="00B84C2D">
            <w:pPr>
              <w:rPr>
                <w:sz w:val="20"/>
                <w:szCs w:val="20"/>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6A076343"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3877E55F" w14:textId="77777777" w:rsidR="004158B4" w:rsidRDefault="004158B4" w:rsidP="00B84C2D">
            <w:pPr>
              <w:rPr>
                <w:rFonts w:ascii="Arial Narrow" w:hAnsi="Arial Narrow" w:cs="Calibri"/>
                <w:b/>
                <w:bCs/>
                <w:i/>
                <w:iCs/>
                <w:color w:val="000000"/>
                <w:sz w:val="16"/>
                <w:szCs w:val="16"/>
                <w:lang w:eastAsia="fr-FR"/>
              </w:rPr>
            </w:pPr>
          </w:p>
        </w:tc>
        <w:tc>
          <w:tcPr>
            <w:tcW w:w="146" w:type="dxa"/>
            <w:noWrap/>
            <w:vAlign w:val="bottom"/>
            <w:hideMark/>
          </w:tcPr>
          <w:p w14:paraId="6AA733CB" w14:textId="77777777" w:rsidR="004158B4" w:rsidRDefault="004158B4" w:rsidP="00B84C2D">
            <w:pPr>
              <w:rPr>
                <w:sz w:val="20"/>
                <w:szCs w:val="20"/>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B7ADB1F" w14:textId="77777777" w:rsidR="004158B4" w:rsidRDefault="004158B4" w:rsidP="00B84C2D">
            <w:pPr>
              <w:rPr>
                <w:rFonts w:ascii="Arial Narrow" w:hAnsi="Arial Narrow" w:cs="Calibri"/>
                <w:b/>
                <w:b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3350F14" w14:textId="77777777" w:rsidR="004158B4" w:rsidRDefault="004158B4" w:rsidP="00B84C2D">
            <w:pPr>
              <w:rPr>
                <w:rFonts w:ascii="Arial Narrow" w:hAnsi="Arial Narrow" w:cs="Calibri"/>
                <w:b/>
                <w:b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45902B70" w14:textId="77777777" w:rsidR="004158B4" w:rsidRDefault="004158B4" w:rsidP="00B84C2D">
            <w:pPr>
              <w:rPr>
                <w:rFonts w:ascii="Arial Narrow" w:hAnsi="Arial Narrow" w:cs="Calibri"/>
                <w:b/>
                <w:bCs/>
                <w:color w:val="000000"/>
                <w:sz w:val="16"/>
                <w:szCs w:val="16"/>
                <w:lang w:eastAsia="fr-FR"/>
              </w:rPr>
            </w:pPr>
          </w:p>
        </w:tc>
        <w:tc>
          <w:tcPr>
            <w:tcW w:w="146" w:type="dxa"/>
            <w:noWrap/>
            <w:vAlign w:val="bottom"/>
            <w:hideMark/>
          </w:tcPr>
          <w:p w14:paraId="46DF31DE" w14:textId="77777777" w:rsidR="004158B4" w:rsidRDefault="004158B4" w:rsidP="00B84C2D">
            <w:pPr>
              <w:rPr>
                <w:sz w:val="20"/>
                <w:szCs w:val="20"/>
                <w:lang w:eastAsia="fr-FR"/>
              </w:rPr>
            </w:pPr>
          </w:p>
        </w:tc>
      </w:tr>
      <w:tr w:rsidR="004158B4" w14:paraId="50C3F6A3" w14:textId="77777777" w:rsidTr="00B84C2D">
        <w:trPr>
          <w:trHeight w:val="67"/>
        </w:trPr>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4DBC37B9"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48B280DC"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03064ACC"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370238B" w14:textId="77777777" w:rsidR="004158B4" w:rsidRDefault="004158B4" w:rsidP="00B84C2D">
            <w:pPr>
              <w:rPr>
                <w:rFonts w:ascii="Arial Narrow" w:hAnsi="Arial Narrow" w:cs="Calibri"/>
                <w:b/>
                <w:bCs/>
                <w:color w:val="000000"/>
                <w:sz w:val="16"/>
                <w:szCs w:val="16"/>
                <w:lang w:eastAsia="fr-FR"/>
              </w:rPr>
            </w:pPr>
          </w:p>
        </w:tc>
        <w:tc>
          <w:tcPr>
            <w:tcW w:w="146" w:type="dxa"/>
            <w:noWrap/>
            <w:vAlign w:val="bottom"/>
            <w:hideMark/>
          </w:tcPr>
          <w:p w14:paraId="20103E27" w14:textId="77777777" w:rsidR="004158B4" w:rsidRDefault="004158B4" w:rsidP="00B84C2D">
            <w:pPr>
              <w:rPr>
                <w:sz w:val="20"/>
                <w:szCs w:val="20"/>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A2D208E" w14:textId="77777777" w:rsidR="004158B4" w:rsidRDefault="004158B4" w:rsidP="00B84C2D">
            <w:pPr>
              <w:rPr>
                <w:rFonts w:ascii="Arial Narrow" w:hAnsi="Arial Narrow" w:cs="Calibri"/>
                <w:b/>
                <w:bCs/>
                <w:i/>
                <w:i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046BEE1" w14:textId="77777777" w:rsidR="004158B4" w:rsidRDefault="004158B4" w:rsidP="00B84C2D">
            <w:pPr>
              <w:rPr>
                <w:rFonts w:ascii="Arial Narrow" w:hAnsi="Arial Narrow" w:cs="Calibri"/>
                <w:b/>
                <w:bCs/>
                <w:i/>
                <w:iCs/>
                <w:color w:val="000000"/>
                <w:sz w:val="16"/>
                <w:szCs w:val="16"/>
                <w:lang w:eastAsia="fr-FR"/>
              </w:rPr>
            </w:pPr>
          </w:p>
        </w:tc>
        <w:tc>
          <w:tcPr>
            <w:tcW w:w="146" w:type="dxa"/>
            <w:noWrap/>
            <w:vAlign w:val="bottom"/>
            <w:hideMark/>
          </w:tcPr>
          <w:p w14:paraId="551588AA" w14:textId="77777777" w:rsidR="004158B4" w:rsidRDefault="004158B4" w:rsidP="00B84C2D">
            <w:pPr>
              <w:rPr>
                <w:sz w:val="20"/>
                <w:szCs w:val="20"/>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3628D42D" w14:textId="77777777" w:rsidR="004158B4" w:rsidRDefault="004158B4" w:rsidP="00B84C2D">
            <w:pPr>
              <w:rPr>
                <w:rFonts w:ascii="Arial Narrow" w:hAnsi="Arial Narrow" w:cs="Calibri"/>
                <w:b/>
                <w:b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576083D5" w14:textId="77777777" w:rsidR="004158B4" w:rsidRDefault="004158B4" w:rsidP="00B84C2D">
            <w:pPr>
              <w:rPr>
                <w:rFonts w:ascii="Arial Narrow" w:hAnsi="Arial Narrow" w:cs="Calibri"/>
                <w:b/>
                <w:bCs/>
                <w:color w:val="000000"/>
                <w:sz w:val="16"/>
                <w:szCs w:val="16"/>
                <w:lang w:eastAsia="fr-FR"/>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2CAE7924" w14:textId="77777777" w:rsidR="004158B4" w:rsidRDefault="004158B4" w:rsidP="00B84C2D">
            <w:pPr>
              <w:rPr>
                <w:rFonts w:ascii="Arial Narrow" w:hAnsi="Arial Narrow" w:cs="Calibri"/>
                <w:b/>
                <w:bCs/>
                <w:color w:val="000000"/>
                <w:sz w:val="16"/>
                <w:szCs w:val="16"/>
                <w:lang w:eastAsia="fr-FR"/>
              </w:rPr>
            </w:pPr>
          </w:p>
        </w:tc>
        <w:tc>
          <w:tcPr>
            <w:tcW w:w="146" w:type="dxa"/>
            <w:noWrap/>
            <w:vAlign w:val="bottom"/>
            <w:hideMark/>
          </w:tcPr>
          <w:p w14:paraId="3C6A3019" w14:textId="77777777" w:rsidR="004158B4" w:rsidRDefault="004158B4" w:rsidP="00B84C2D">
            <w:pPr>
              <w:rPr>
                <w:sz w:val="20"/>
                <w:szCs w:val="20"/>
                <w:lang w:eastAsia="fr-FR"/>
              </w:rPr>
            </w:pPr>
          </w:p>
        </w:tc>
      </w:tr>
      <w:tr w:rsidR="004158B4" w:rsidRPr="00AB0B26" w14:paraId="4B7D9343" w14:textId="77777777" w:rsidTr="00B84C2D">
        <w:trPr>
          <w:trHeight w:val="433"/>
        </w:trPr>
        <w:tc>
          <w:tcPr>
            <w:tcW w:w="1380" w:type="dxa"/>
            <w:tcBorders>
              <w:top w:val="nil"/>
              <w:left w:val="single" w:sz="4" w:space="0" w:color="A6A6A6"/>
              <w:bottom w:val="single" w:sz="4" w:space="0" w:color="A6A6A6"/>
              <w:right w:val="single" w:sz="4" w:space="0" w:color="A6A6A6"/>
            </w:tcBorders>
            <w:vAlign w:val="center"/>
            <w:hideMark/>
          </w:tcPr>
          <w:p w14:paraId="08D9B6F7" w14:textId="77777777" w:rsidR="004158B4" w:rsidRDefault="004158B4" w:rsidP="00B84C2D">
            <w:pPr>
              <w:jc w:val="cente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Sessions/committees</w:t>
            </w:r>
          </w:p>
        </w:tc>
        <w:tc>
          <w:tcPr>
            <w:tcW w:w="750" w:type="dxa"/>
            <w:tcBorders>
              <w:top w:val="nil"/>
              <w:left w:val="nil"/>
              <w:bottom w:val="single" w:sz="4" w:space="0" w:color="A6A6A6"/>
              <w:right w:val="single" w:sz="4" w:space="0" w:color="A6A6A6"/>
            </w:tcBorders>
            <w:vAlign w:val="center"/>
            <w:hideMark/>
          </w:tcPr>
          <w:p w14:paraId="234CDCDA"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1 531,7</w:t>
            </w:r>
          </w:p>
        </w:tc>
        <w:tc>
          <w:tcPr>
            <w:tcW w:w="870" w:type="dxa"/>
            <w:tcBorders>
              <w:top w:val="nil"/>
              <w:left w:val="nil"/>
              <w:bottom w:val="single" w:sz="4" w:space="0" w:color="A6A6A6"/>
              <w:right w:val="single" w:sz="4" w:space="0" w:color="A6A6A6"/>
            </w:tcBorders>
            <w:vAlign w:val="center"/>
            <w:hideMark/>
          </w:tcPr>
          <w:p w14:paraId="56C156BC"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1 502,2</w:t>
            </w:r>
          </w:p>
        </w:tc>
        <w:tc>
          <w:tcPr>
            <w:tcW w:w="760" w:type="dxa"/>
            <w:tcBorders>
              <w:top w:val="nil"/>
              <w:left w:val="nil"/>
              <w:bottom w:val="single" w:sz="4" w:space="0" w:color="A6A6A6"/>
              <w:right w:val="single" w:sz="4" w:space="0" w:color="A6A6A6"/>
            </w:tcBorders>
            <w:vAlign w:val="center"/>
            <w:hideMark/>
          </w:tcPr>
          <w:p w14:paraId="52294555"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3 033,9</w:t>
            </w:r>
          </w:p>
        </w:tc>
        <w:tc>
          <w:tcPr>
            <w:tcW w:w="146" w:type="dxa"/>
            <w:noWrap/>
            <w:vAlign w:val="bottom"/>
            <w:hideMark/>
          </w:tcPr>
          <w:p w14:paraId="1455C252" w14:textId="77777777" w:rsidR="004158B4" w:rsidRDefault="004158B4" w:rsidP="00B84C2D">
            <w:pPr>
              <w:rPr>
                <w:rFonts w:ascii="Arial Narrow" w:hAnsi="Arial Narrow" w:cs="Calibri"/>
                <w:i/>
                <w:iCs/>
                <w:color w:val="000000"/>
                <w:sz w:val="16"/>
                <w:szCs w:val="16"/>
                <w:lang w:eastAsia="fr-FR"/>
              </w:rPr>
            </w:pPr>
          </w:p>
        </w:tc>
        <w:tc>
          <w:tcPr>
            <w:tcW w:w="550" w:type="dxa"/>
            <w:tcBorders>
              <w:top w:val="nil"/>
              <w:left w:val="single" w:sz="4" w:space="0" w:color="A6A6A6"/>
              <w:bottom w:val="single" w:sz="4" w:space="0" w:color="A6A6A6"/>
              <w:right w:val="single" w:sz="4" w:space="0" w:color="A6A6A6"/>
            </w:tcBorders>
            <w:vAlign w:val="center"/>
            <w:hideMark/>
          </w:tcPr>
          <w:p w14:paraId="390C819B"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80</w:t>
            </w:r>
          </w:p>
        </w:tc>
        <w:tc>
          <w:tcPr>
            <w:tcW w:w="870" w:type="dxa"/>
            <w:tcBorders>
              <w:top w:val="nil"/>
              <w:left w:val="nil"/>
              <w:bottom w:val="single" w:sz="4" w:space="0" w:color="A6A6A6"/>
              <w:right w:val="single" w:sz="4" w:space="0" w:color="A6A6A6"/>
            </w:tcBorders>
            <w:vAlign w:val="center"/>
            <w:hideMark/>
          </w:tcPr>
          <w:p w14:paraId="2FD4EB88"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11</w:t>
            </w:r>
          </w:p>
        </w:tc>
        <w:tc>
          <w:tcPr>
            <w:tcW w:w="146" w:type="dxa"/>
            <w:noWrap/>
            <w:vAlign w:val="bottom"/>
            <w:hideMark/>
          </w:tcPr>
          <w:p w14:paraId="165C7A2E" w14:textId="77777777" w:rsidR="004158B4" w:rsidRDefault="004158B4" w:rsidP="00B84C2D">
            <w:pPr>
              <w:rPr>
                <w:rFonts w:ascii="Arial Narrow" w:hAnsi="Arial Narrow" w:cs="Calibri"/>
                <w:i/>
                <w:iCs/>
                <w:color w:val="000000"/>
                <w:sz w:val="16"/>
                <w:szCs w:val="16"/>
                <w:lang w:eastAsia="fr-FR"/>
              </w:rPr>
            </w:pPr>
          </w:p>
        </w:tc>
        <w:tc>
          <w:tcPr>
            <w:tcW w:w="520" w:type="dxa"/>
            <w:tcBorders>
              <w:top w:val="nil"/>
              <w:left w:val="single" w:sz="4" w:space="0" w:color="A6A6A6"/>
              <w:bottom w:val="single" w:sz="4" w:space="0" w:color="A6A6A6"/>
              <w:right w:val="single" w:sz="4" w:space="0" w:color="A6A6A6"/>
            </w:tcBorders>
            <w:vAlign w:val="center"/>
            <w:hideMark/>
          </w:tcPr>
          <w:p w14:paraId="74C7EBE8"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3 125</w:t>
            </w:r>
          </w:p>
        </w:tc>
        <w:tc>
          <w:tcPr>
            <w:tcW w:w="520" w:type="dxa"/>
            <w:tcBorders>
              <w:top w:val="nil"/>
              <w:left w:val="nil"/>
              <w:bottom w:val="single" w:sz="4" w:space="0" w:color="A6A6A6"/>
              <w:right w:val="single" w:sz="4" w:space="0" w:color="A6A6A6"/>
            </w:tcBorders>
            <w:vAlign w:val="center"/>
            <w:hideMark/>
          </w:tcPr>
          <w:p w14:paraId="34B22223"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3 125</w:t>
            </w:r>
          </w:p>
        </w:tc>
        <w:tc>
          <w:tcPr>
            <w:tcW w:w="2960" w:type="dxa"/>
            <w:tcBorders>
              <w:top w:val="nil"/>
              <w:left w:val="single" w:sz="4" w:space="0" w:color="A6A6A6"/>
              <w:bottom w:val="single" w:sz="4" w:space="0" w:color="A6A6A6"/>
              <w:right w:val="single" w:sz="4" w:space="0" w:color="A6A6A6"/>
            </w:tcBorders>
            <w:vAlign w:val="center"/>
            <w:hideMark/>
          </w:tcPr>
          <w:p w14:paraId="30D4601F"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New job creations: 1 B5 for Youth delegates</w:t>
            </w:r>
          </w:p>
        </w:tc>
        <w:tc>
          <w:tcPr>
            <w:tcW w:w="146" w:type="dxa"/>
            <w:noWrap/>
            <w:vAlign w:val="bottom"/>
            <w:hideMark/>
          </w:tcPr>
          <w:p w14:paraId="5E786312" w14:textId="77777777" w:rsidR="004158B4" w:rsidRDefault="004158B4" w:rsidP="00B84C2D">
            <w:pPr>
              <w:rPr>
                <w:rFonts w:ascii="Arial Narrow" w:hAnsi="Arial Narrow" w:cs="Calibri"/>
                <w:i/>
                <w:iCs/>
                <w:color w:val="000000"/>
                <w:sz w:val="16"/>
                <w:szCs w:val="16"/>
                <w:lang w:eastAsia="fr-FR"/>
              </w:rPr>
            </w:pPr>
          </w:p>
        </w:tc>
      </w:tr>
      <w:tr w:rsidR="004158B4" w:rsidRPr="00AB0B26" w14:paraId="6A88D9B0" w14:textId="77777777" w:rsidTr="00B84C2D">
        <w:trPr>
          <w:trHeight w:val="510"/>
        </w:trPr>
        <w:tc>
          <w:tcPr>
            <w:tcW w:w="1380" w:type="dxa"/>
            <w:tcBorders>
              <w:top w:val="nil"/>
              <w:left w:val="single" w:sz="4" w:space="0" w:color="A6A6A6"/>
              <w:bottom w:val="single" w:sz="4" w:space="0" w:color="A6A6A6"/>
              <w:right w:val="single" w:sz="4" w:space="0" w:color="A6A6A6"/>
            </w:tcBorders>
            <w:shd w:val="clear" w:color="auto" w:fill="E7E6E6"/>
            <w:vAlign w:val="center"/>
            <w:hideMark/>
          </w:tcPr>
          <w:p w14:paraId="2B87567F" w14:textId="77777777" w:rsidR="004158B4" w:rsidRDefault="004158B4" w:rsidP="00B84C2D">
            <w:pPr>
              <w:jc w:val="cente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Charter monitoring</w:t>
            </w:r>
          </w:p>
        </w:tc>
        <w:tc>
          <w:tcPr>
            <w:tcW w:w="750" w:type="dxa"/>
            <w:tcBorders>
              <w:top w:val="nil"/>
              <w:left w:val="nil"/>
              <w:bottom w:val="single" w:sz="4" w:space="0" w:color="A6A6A6"/>
              <w:right w:val="single" w:sz="4" w:space="0" w:color="A6A6A6"/>
            </w:tcBorders>
            <w:shd w:val="clear" w:color="auto" w:fill="E7E6E6"/>
            <w:vAlign w:val="center"/>
            <w:hideMark/>
          </w:tcPr>
          <w:p w14:paraId="020E01DC"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146,3</w:t>
            </w:r>
          </w:p>
        </w:tc>
        <w:tc>
          <w:tcPr>
            <w:tcW w:w="870" w:type="dxa"/>
            <w:tcBorders>
              <w:top w:val="nil"/>
              <w:left w:val="nil"/>
              <w:bottom w:val="single" w:sz="4" w:space="0" w:color="A6A6A6"/>
              <w:right w:val="single" w:sz="4" w:space="0" w:color="A6A6A6"/>
            </w:tcBorders>
            <w:shd w:val="clear" w:color="auto" w:fill="E7E6E6"/>
            <w:vAlign w:val="center"/>
            <w:hideMark/>
          </w:tcPr>
          <w:p w14:paraId="6E69FF7B"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463,0</w:t>
            </w:r>
          </w:p>
        </w:tc>
        <w:tc>
          <w:tcPr>
            <w:tcW w:w="760" w:type="dxa"/>
            <w:tcBorders>
              <w:top w:val="nil"/>
              <w:left w:val="nil"/>
              <w:bottom w:val="single" w:sz="4" w:space="0" w:color="A6A6A6"/>
              <w:right w:val="single" w:sz="4" w:space="0" w:color="A6A6A6"/>
            </w:tcBorders>
            <w:shd w:val="clear" w:color="auto" w:fill="E7E6E6"/>
            <w:vAlign w:val="center"/>
            <w:hideMark/>
          </w:tcPr>
          <w:p w14:paraId="737AF21E"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609,3</w:t>
            </w:r>
          </w:p>
        </w:tc>
        <w:tc>
          <w:tcPr>
            <w:tcW w:w="146" w:type="dxa"/>
            <w:noWrap/>
            <w:vAlign w:val="bottom"/>
            <w:hideMark/>
          </w:tcPr>
          <w:p w14:paraId="4EA750F9" w14:textId="77777777" w:rsidR="004158B4" w:rsidRDefault="004158B4" w:rsidP="00B84C2D">
            <w:pPr>
              <w:rPr>
                <w:rFonts w:ascii="Arial Narrow" w:hAnsi="Arial Narrow" w:cs="Calibri"/>
                <w:i/>
                <w:iCs/>
                <w:color w:val="000000"/>
                <w:sz w:val="16"/>
                <w:szCs w:val="16"/>
                <w:lang w:eastAsia="fr-FR"/>
              </w:rPr>
            </w:pPr>
          </w:p>
        </w:tc>
        <w:tc>
          <w:tcPr>
            <w:tcW w:w="550" w:type="dxa"/>
            <w:tcBorders>
              <w:top w:val="nil"/>
              <w:left w:val="single" w:sz="4" w:space="0" w:color="A6A6A6"/>
              <w:bottom w:val="single" w:sz="4" w:space="0" w:color="A6A6A6"/>
              <w:right w:val="single" w:sz="4" w:space="0" w:color="A6A6A6"/>
            </w:tcBorders>
            <w:shd w:val="clear" w:color="auto" w:fill="E7E6E6"/>
            <w:vAlign w:val="center"/>
            <w:hideMark/>
          </w:tcPr>
          <w:p w14:paraId="03DA45D7"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250</w:t>
            </w:r>
          </w:p>
        </w:tc>
        <w:tc>
          <w:tcPr>
            <w:tcW w:w="870" w:type="dxa"/>
            <w:tcBorders>
              <w:top w:val="nil"/>
              <w:left w:val="nil"/>
              <w:bottom w:val="single" w:sz="4" w:space="0" w:color="A6A6A6"/>
              <w:right w:val="single" w:sz="4" w:space="0" w:color="A6A6A6"/>
            </w:tcBorders>
            <w:shd w:val="clear" w:color="auto" w:fill="E7E6E6"/>
            <w:vAlign w:val="center"/>
            <w:hideMark/>
          </w:tcPr>
          <w:p w14:paraId="67B5F35D"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24</w:t>
            </w:r>
          </w:p>
        </w:tc>
        <w:tc>
          <w:tcPr>
            <w:tcW w:w="146" w:type="dxa"/>
            <w:noWrap/>
            <w:vAlign w:val="bottom"/>
            <w:hideMark/>
          </w:tcPr>
          <w:p w14:paraId="4A4621B5" w14:textId="77777777" w:rsidR="004158B4" w:rsidRDefault="004158B4" w:rsidP="00B84C2D">
            <w:pPr>
              <w:rPr>
                <w:rFonts w:ascii="Arial Narrow" w:hAnsi="Arial Narrow" w:cs="Calibri"/>
                <w:i/>
                <w:iCs/>
                <w:color w:val="000000"/>
                <w:sz w:val="16"/>
                <w:szCs w:val="16"/>
                <w:lang w:eastAsia="fr-FR"/>
              </w:rPr>
            </w:pPr>
          </w:p>
        </w:tc>
        <w:tc>
          <w:tcPr>
            <w:tcW w:w="520" w:type="dxa"/>
            <w:tcBorders>
              <w:top w:val="nil"/>
              <w:left w:val="single" w:sz="4" w:space="0" w:color="A6A6A6"/>
              <w:bottom w:val="single" w:sz="4" w:space="0" w:color="A6A6A6"/>
              <w:right w:val="single" w:sz="4" w:space="0" w:color="A6A6A6"/>
            </w:tcBorders>
            <w:shd w:val="clear" w:color="auto" w:fill="E7E6E6"/>
            <w:vAlign w:val="center"/>
            <w:hideMark/>
          </w:tcPr>
          <w:p w14:paraId="7F87FE4F"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884</w:t>
            </w:r>
          </w:p>
        </w:tc>
        <w:tc>
          <w:tcPr>
            <w:tcW w:w="520" w:type="dxa"/>
            <w:tcBorders>
              <w:top w:val="nil"/>
              <w:left w:val="nil"/>
              <w:bottom w:val="single" w:sz="4" w:space="0" w:color="A6A6A6"/>
              <w:right w:val="single" w:sz="4" w:space="0" w:color="A6A6A6"/>
            </w:tcBorders>
            <w:shd w:val="clear" w:color="auto" w:fill="E7E6E6"/>
            <w:vAlign w:val="center"/>
            <w:hideMark/>
          </w:tcPr>
          <w:p w14:paraId="1F340993"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884</w:t>
            </w:r>
          </w:p>
        </w:tc>
        <w:tc>
          <w:tcPr>
            <w:tcW w:w="2960" w:type="dxa"/>
            <w:tcBorders>
              <w:top w:val="nil"/>
              <w:left w:val="single" w:sz="4" w:space="0" w:color="A6A6A6"/>
              <w:bottom w:val="single" w:sz="4" w:space="0" w:color="A6A6A6"/>
              <w:right w:val="single" w:sz="4" w:space="0" w:color="A6A6A6"/>
            </w:tcBorders>
            <w:shd w:val="clear" w:color="auto" w:fill="E7E6E6"/>
            <w:vAlign w:val="center"/>
            <w:hideMark/>
          </w:tcPr>
          <w:p w14:paraId="2A5FFD08"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New job creations: 2 A1; 1 B2 - reinforcement of the Monitoring commission</w:t>
            </w:r>
          </w:p>
        </w:tc>
        <w:tc>
          <w:tcPr>
            <w:tcW w:w="146" w:type="dxa"/>
            <w:noWrap/>
            <w:vAlign w:val="bottom"/>
            <w:hideMark/>
          </w:tcPr>
          <w:p w14:paraId="3F7AF153" w14:textId="77777777" w:rsidR="004158B4" w:rsidRDefault="004158B4" w:rsidP="00B84C2D">
            <w:pPr>
              <w:rPr>
                <w:rFonts w:ascii="Arial Narrow" w:hAnsi="Arial Narrow" w:cs="Calibri"/>
                <w:i/>
                <w:iCs/>
                <w:color w:val="000000"/>
                <w:sz w:val="16"/>
                <w:szCs w:val="16"/>
                <w:lang w:eastAsia="fr-FR"/>
              </w:rPr>
            </w:pPr>
          </w:p>
        </w:tc>
      </w:tr>
      <w:tr w:rsidR="004158B4" w:rsidRPr="00AB0B26" w14:paraId="4D03E5C2" w14:textId="77777777" w:rsidTr="00B84C2D">
        <w:trPr>
          <w:trHeight w:val="510"/>
        </w:trPr>
        <w:tc>
          <w:tcPr>
            <w:tcW w:w="1380" w:type="dxa"/>
            <w:tcBorders>
              <w:top w:val="nil"/>
              <w:left w:val="single" w:sz="4" w:space="0" w:color="A6A6A6"/>
              <w:bottom w:val="single" w:sz="4" w:space="0" w:color="A6A6A6"/>
              <w:right w:val="single" w:sz="4" w:space="0" w:color="A6A6A6"/>
            </w:tcBorders>
            <w:vAlign w:val="center"/>
            <w:hideMark/>
          </w:tcPr>
          <w:p w14:paraId="1F141B4B" w14:textId="77777777" w:rsidR="004158B4" w:rsidRDefault="004158B4" w:rsidP="00B84C2D">
            <w:pPr>
              <w:jc w:val="cente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Election observation</w:t>
            </w:r>
          </w:p>
        </w:tc>
        <w:tc>
          <w:tcPr>
            <w:tcW w:w="750" w:type="dxa"/>
            <w:tcBorders>
              <w:top w:val="nil"/>
              <w:left w:val="nil"/>
              <w:bottom w:val="single" w:sz="4" w:space="0" w:color="A6A6A6"/>
              <w:right w:val="single" w:sz="4" w:space="0" w:color="A6A6A6"/>
            </w:tcBorders>
            <w:vAlign w:val="center"/>
            <w:hideMark/>
          </w:tcPr>
          <w:p w14:paraId="6167C45E"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309,7</w:t>
            </w:r>
          </w:p>
        </w:tc>
        <w:tc>
          <w:tcPr>
            <w:tcW w:w="870" w:type="dxa"/>
            <w:tcBorders>
              <w:top w:val="nil"/>
              <w:left w:val="nil"/>
              <w:bottom w:val="single" w:sz="4" w:space="0" w:color="A6A6A6"/>
              <w:right w:val="single" w:sz="4" w:space="0" w:color="A6A6A6"/>
            </w:tcBorders>
            <w:vAlign w:val="center"/>
            <w:hideMark/>
          </w:tcPr>
          <w:p w14:paraId="64E525DC"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273,6</w:t>
            </w:r>
          </w:p>
        </w:tc>
        <w:tc>
          <w:tcPr>
            <w:tcW w:w="760" w:type="dxa"/>
            <w:tcBorders>
              <w:top w:val="nil"/>
              <w:left w:val="nil"/>
              <w:bottom w:val="single" w:sz="4" w:space="0" w:color="A6A6A6"/>
              <w:right w:val="single" w:sz="4" w:space="0" w:color="A6A6A6"/>
            </w:tcBorders>
            <w:vAlign w:val="center"/>
            <w:hideMark/>
          </w:tcPr>
          <w:p w14:paraId="45EA4F59"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583,3</w:t>
            </w:r>
          </w:p>
        </w:tc>
        <w:tc>
          <w:tcPr>
            <w:tcW w:w="146" w:type="dxa"/>
            <w:noWrap/>
            <w:vAlign w:val="bottom"/>
            <w:hideMark/>
          </w:tcPr>
          <w:p w14:paraId="48F2EEC9" w14:textId="77777777" w:rsidR="004158B4" w:rsidRDefault="004158B4" w:rsidP="00B84C2D">
            <w:pPr>
              <w:rPr>
                <w:rFonts w:ascii="Arial Narrow" w:hAnsi="Arial Narrow" w:cs="Calibri"/>
                <w:i/>
                <w:iCs/>
                <w:color w:val="000000"/>
                <w:sz w:val="16"/>
                <w:szCs w:val="16"/>
                <w:lang w:eastAsia="fr-FR"/>
              </w:rPr>
            </w:pPr>
          </w:p>
        </w:tc>
        <w:tc>
          <w:tcPr>
            <w:tcW w:w="550" w:type="dxa"/>
            <w:tcBorders>
              <w:top w:val="nil"/>
              <w:left w:val="single" w:sz="4" w:space="0" w:color="A6A6A6"/>
              <w:bottom w:val="single" w:sz="4" w:space="0" w:color="A6A6A6"/>
              <w:right w:val="single" w:sz="4" w:space="0" w:color="A6A6A6"/>
            </w:tcBorders>
            <w:vAlign w:val="center"/>
            <w:hideMark/>
          </w:tcPr>
          <w:p w14:paraId="2ABF6C9D"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99</w:t>
            </w:r>
          </w:p>
        </w:tc>
        <w:tc>
          <w:tcPr>
            <w:tcW w:w="870" w:type="dxa"/>
            <w:tcBorders>
              <w:top w:val="nil"/>
              <w:left w:val="nil"/>
              <w:bottom w:val="single" w:sz="4" w:space="0" w:color="A6A6A6"/>
              <w:right w:val="single" w:sz="4" w:space="0" w:color="A6A6A6"/>
            </w:tcBorders>
            <w:vAlign w:val="center"/>
            <w:hideMark/>
          </w:tcPr>
          <w:p w14:paraId="0CB6837A"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55</w:t>
            </w:r>
          </w:p>
        </w:tc>
        <w:tc>
          <w:tcPr>
            <w:tcW w:w="146" w:type="dxa"/>
            <w:noWrap/>
            <w:vAlign w:val="bottom"/>
            <w:hideMark/>
          </w:tcPr>
          <w:p w14:paraId="50DE9AE3" w14:textId="77777777" w:rsidR="004158B4" w:rsidRDefault="004158B4" w:rsidP="00B84C2D">
            <w:pPr>
              <w:rPr>
                <w:rFonts w:ascii="Arial Narrow" w:hAnsi="Arial Narrow" w:cs="Calibri"/>
                <w:i/>
                <w:iCs/>
                <w:color w:val="000000"/>
                <w:sz w:val="16"/>
                <w:szCs w:val="16"/>
                <w:lang w:eastAsia="fr-FR"/>
              </w:rPr>
            </w:pPr>
          </w:p>
        </w:tc>
        <w:tc>
          <w:tcPr>
            <w:tcW w:w="520" w:type="dxa"/>
            <w:tcBorders>
              <w:top w:val="nil"/>
              <w:left w:val="single" w:sz="4" w:space="0" w:color="A6A6A6"/>
              <w:bottom w:val="single" w:sz="4" w:space="0" w:color="A6A6A6"/>
              <w:right w:val="single" w:sz="4" w:space="0" w:color="A6A6A6"/>
            </w:tcBorders>
            <w:vAlign w:val="center"/>
            <w:hideMark/>
          </w:tcPr>
          <w:p w14:paraId="06E8DFD1"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737</w:t>
            </w:r>
          </w:p>
        </w:tc>
        <w:tc>
          <w:tcPr>
            <w:tcW w:w="520" w:type="dxa"/>
            <w:tcBorders>
              <w:top w:val="nil"/>
              <w:left w:val="nil"/>
              <w:bottom w:val="single" w:sz="4" w:space="0" w:color="A6A6A6"/>
              <w:right w:val="single" w:sz="4" w:space="0" w:color="A6A6A6"/>
            </w:tcBorders>
            <w:vAlign w:val="center"/>
            <w:hideMark/>
          </w:tcPr>
          <w:p w14:paraId="2EDF173D"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737</w:t>
            </w:r>
          </w:p>
        </w:tc>
        <w:tc>
          <w:tcPr>
            <w:tcW w:w="2960" w:type="dxa"/>
            <w:tcBorders>
              <w:top w:val="nil"/>
              <w:left w:val="single" w:sz="4" w:space="0" w:color="A6A6A6"/>
              <w:bottom w:val="single" w:sz="4" w:space="0" w:color="A6A6A6"/>
              <w:right w:val="single" w:sz="4" w:space="0" w:color="A6A6A6"/>
            </w:tcBorders>
            <w:vAlign w:val="center"/>
            <w:hideMark/>
          </w:tcPr>
          <w:p w14:paraId="3F8B4F7C"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New job creations: 1 A1 - reinforcement of the number of election observations</w:t>
            </w:r>
          </w:p>
        </w:tc>
        <w:tc>
          <w:tcPr>
            <w:tcW w:w="146" w:type="dxa"/>
            <w:noWrap/>
            <w:vAlign w:val="bottom"/>
            <w:hideMark/>
          </w:tcPr>
          <w:p w14:paraId="5E751718" w14:textId="77777777" w:rsidR="004158B4" w:rsidRDefault="004158B4" w:rsidP="00B84C2D">
            <w:pPr>
              <w:rPr>
                <w:rFonts w:ascii="Arial Narrow" w:hAnsi="Arial Narrow" w:cs="Calibri"/>
                <w:i/>
                <w:iCs/>
                <w:color w:val="000000"/>
                <w:sz w:val="16"/>
                <w:szCs w:val="16"/>
                <w:lang w:eastAsia="fr-FR"/>
              </w:rPr>
            </w:pPr>
          </w:p>
        </w:tc>
      </w:tr>
      <w:tr w:rsidR="004158B4" w14:paraId="5455687B" w14:textId="77777777" w:rsidTr="00B84C2D">
        <w:trPr>
          <w:trHeight w:val="423"/>
        </w:trPr>
        <w:tc>
          <w:tcPr>
            <w:tcW w:w="1380" w:type="dxa"/>
            <w:tcBorders>
              <w:top w:val="nil"/>
              <w:left w:val="single" w:sz="4" w:space="0" w:color="A6A6A6"/>
              <w:bottom w:val="single" w:sz="4" w:space="0" w:color="A6A6A6"/>
              <w:right w:val="single" w:sz="4" w:space="0" w:color="A6A6A6"/>
            </w:tcBorders>
            <w:shd w:val="clear" w:color="auto" w:fill="E7E6E6"/>
            <w:vAlign w:val="center"/>
            <w:hideMark/>
          </w:tcPr>
          <w:p w14:paraId="29922EDA" w14:textId="77777777" w:rsidR="004158B4" w:rsidRDefault="004158B4" w:rsidP="00B84C2D">
            <w:pPr>
              <w:jc w:val="cente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Co-operation</w:t>
            </w:r>
          </w:p>
        </w:tc>
        <w:tc>
          <w:tcPr>
            <w:tcW w:w="750" w:type="dxa"/>
            <w:tcBorders>
              <w:top w:val="nil"/>
              <w:left w:val="nil"/>
              <w:bottom w:val="single" w:sz="4" w:space="0" w:color="A6A6A6"/>
              <w:right w:val="single" w:sz="4" w:space="0" w:color="A6A6A6"/>
            </w:tcBorders>
            <w:shd w:val="clear" w:color="auto" w:fill="E7E6E6"/>
            <w:vAlign w:val="center"/>
            <w:hideMark/>
          </w:tcPr>
          <w:p w14:paraId="681C1FD5"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664,6</w:t>
            </w:r>
          </w:p>
        </w:tc>
        <w:tc>
          <w:tcPr>
            <w:tcW w:w="870" w:type="dxa"/>
            <w:tcBorders>
              <w:top w:val="nil"/>
              <w:left w:val="nil"/>
              <w:bottom w:val="single" w:sz="4" w:space="0" w:color="A6A6A6"/>
              <w:right w:val="single" w:sz="4" w:space="0" w:color="A6A6A6"/>
            </w:tcBorders>
            <w:shd w:val="clear" w:color="auto" w:fill="E7E6E6"/>
            <w:vAlign w:val="center"/>
            <w:hideMark/>
          </w:tcPr>
          <w:p w14:paraId="19FE28E4"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113,9</w:t>
            </w:r>
          </w:p>
        </w:tc>
        <w:tc>
          <w:tcPr>
            <w:tcW w:w="760" w:type="dxa"/>
            <w:tcBorders>
              <w:top w:val="nil"/>
              <w:left w:val="nil"/>
              <w:bottom w:val="single" w:sz="4" w:space="0" w:color="A6A6A6"/>
              <w:right w:val="single" w:sz="4" w:space="0" w:color="A6A6A6"/>
            </w:tcBorders>
            <w:shd w:val="clear" w:color="auto" w:fill="E7E6E6"/>
            <w:vAlign w:val="center"/>
            <w:hideMark/>
          </w:tcPr>
          <w:p w14:paraId="467365A1"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778,5</w:t>
            </w:r>
          </w:p>
        </w:tc>
        <w:tc>
          <w:tcPr>
            <w:tcW w:w="146" w:type="dxa"/>
            <w:noWrap/>
            <w:vAlign w:val="bottom"/>
            <w:hideMark/>
          </w:tcPr>
          <w:p w14:paraId="540EB12C" w14:textId="77777777" w:rsidR="004158B4" w:rsidRDefault="004158B4" w:rsidP="00B84C2D">
            <w:pPr>
              <w:rPr>
                <w:rFonts w:ascii="Arial Narrow" w:hAnsi="Arial Narrow" w:cs="Calibri"/>
                <w:i/>
                <w:iCs/>
                <w:color w:val="000000"/>
                <w:sz w:val="16"/>
                <w:szCs w:val="16"/>
                <w:lang w:eastAsia="fr-FR"/>
              </w:rPr>
            </w:pPr>
          </w:p>
        </w:tc>
        <w:tc>
          <w:tcPr>
            <w:tcW w:w="550" w:type="dxa"/>
            <w:tcBorders>
              <w:top w:val="nil"/>
              <w:left w:val="single" w:sz="4" w:space="0" w:color="A6A6A6"/>
              <w:bottom w:val="single" w:sz="4" w:space="0" w:color="A6A6A6"/>
              <w:right w:val="single" w:sz="4" w:space="0" w:color="A6A6A6"/>
            </w:tcBorders>
            <w:shd w:val="clear" w:color="auto" w:fill="E7E6E6"/>
            <w:vAlign w:val="center"/>
            <w:hideMark/>
          </w:tcPr>
          <w:p w14:paraId="52AFBD19"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 </w:t>
            </w:r>
          </w:p>
        </w:tc>
        <w:tc>
          <w:tcPr>
            <w:tcW w:w="870" w:type="dxa"/>
            <w:tcBorders>
              <w:top w:val="nil"/>
              <w:left w:val="nil"/>
              <w:bottom w:val="single" w:sz="4" w:space="0" w:color="A6A6A6"/>
              <w:right w:val="single" w:sz="4" w:space="0" w:color="A6A6A6"/>
            </w:tcBorders>
            <w:shd w:val="clear" w:color="auto" w:fill="E7E6E6"/>
            <w:vAlign w:val="center"/>
            <w:hideMark/>
          </w:tcPr>
          <w:p w14:paraId="3AF6594D"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10</w:t>
            </w:r>
          </w:p>
        </w:tc>
        <w:tc>
          <w:tcPr>
            <w:tcW w:w="146" w:type="dxa"/>
            <w:noWrap/>
            <w:vAlign w:val="bottom"/>
            <w:hideMark/>
          </w:tcPr>
          <w:p w14:paraId="17CCA40F" w14:textId="77777777" w:rsidR="004158B4" w:rsidRDefault="004158B4" w:rsidP="00B84C2D">
            <w:pPr>
              <w:rPr>
                <w:rFonts w:ascii="Arial Narrow" w:hAnsi="Arial Narrow" w:cs="Calibri"/>
                <w:i/>
                <w:iCs/>
                <w:color w:val="000000"/>
                <w:sz w:val="16"/>
                <w:szCs w:val="16"/>
                <w:lang w:eastAsia="fr-FR"/>
              </w:rPr>
            </w:pPr>
          </w:p>
        </w:tc>
        <w:tc>
          <w:tcPr>
            <w:tcW w:w="520" w:type="dxa"/>
            <w:tcBorders>
              <w:top w:val="nil"/>
              <w:left w:val="single" w:sz="4" w:space="0" w:color="A6A6A6"/>
              <w:bottom w:val="single" w:sz="4" w:space="0" w:color="A6A6A6"/>
              <w:right w:val="single" w:sz="4" w:space="0" w:color="A6A6A6"/>
            </w:tcBorders>
            <w:shd w:val="clear" w:color="auto" w:fill="E7E6E6"/>
            <w:vAlign w:val="center"/>
            <w:hideMark/>
          </w:tcPr>
          <w:p w14:paraId="20BE990F"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789</w:t>
            </w:r>
          </w:p>
        </w:tc>
        <w:tc>
          <w:tcPr>
            <w:tcW w:w="520" w:type="dxa"/>
            <w:tcBorders>
              <w:top w:val="nil"/>
              <w:left w:val="nil"/>
              <w:bottom w:val="single" w:sz="4" w:space="0" w:color="A6A6A6"/>
              <w:right w:val="single" w:sz="4" w:space="0" w:color="A6A6A6"/>
            </w:tcBorders>
            <w:shd w:val="clear" w:color="auto" w:fill="E7E6E6"/>
            <w:vAlign w:val="center"/>
            <w:hideMark/>
          </w:tcPr>
          <w:p w14:paraId="4B02A479"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789</w:t>
            </w:r>
          </w:p>
        </w:tc>
        <w:tc>
          <w:tcPr>
            <w:tcW w:w="2960" w:type="dxa"/>
            <w:tcBorders>
              <w:top w:val="nil"/>
              <w:left w:val="single" w:sz="4" w:space="0" w:color="A6A6A6"/>
              <w:bottom w:val="single" w:sz="4" w:space="0" w:color="A6A6A6"/>
              <w:right w:val="single" w:sz="4" w:space="0" w:color="A6A6A6"/>
            </w:tcBorders>
            <w:shd w:val="clear" w:color="auto" w:fill="E7E6E6"/>
            <w:vAlign w:val="center"/>
            <w:hideMark/>
          </w:tcPr>
          <w:p w14:paraId="3F6C8F7F"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 </w:t>
            </w:r>
          </w:p>
        </w:tc>
        <w:tc>
          <w:tcPr>
            <w:tcW w:w="146" w:type="dxa"/>
            <w:noWrap/>
            <w:vAlign w:val="bottom"/>
            <w:hideMark/>
          </w:tcPr>
          <w:p w14:paraId="42C9D74C" w14:textId="77777777" w:rsidR="004158B4" w:rsidRDefault="004158B4" w:rsidP="00B84C2D">
            <w:pPr>
              <w:rPr>
                <w:rFonts w:ascii="Arial Narrow" w:hAnsi="Arial Narrow" w:cs="Calibri"/>
                <w:i/>
                <w:iCs/>
                <w:color w:val="000000"/>
                <w:sz w:val="16"/>
                <w:szCs w:val="16"/>
                <w:lang w:eastAsia="fr-FR"/>
              </w:rPr>
            </w:pPr>
          </w:p>
        </w:tc>
      </w:tr>
      <w:tr w:rsidR="004158B4" w:rsidRPr="00AB0B26" w14:paraId="43941027" w14:textId="77777777" w:rsidTr="00B84C2D">
        <w:trPr>
          <w:trHeight w:val="510"/>
        </w:trPr>
        <w:tc>
          <w:tcPr>
            <w:tcW w:w="1380" w:type="dxa"/>
            <w:tcBorders>
              <w:top w:val="nil"/>
              <w:left w:val="single" w:sz="4" w:space="0" w:color="A6A6A6"/>
              <w:bottom w:val="single" w:sz="4" w:space="0" w:color="A6A6A6"/>
              <w:right w:val="single" w:sz="4" w:space="0" w:color="A6A6A6"/>
            </w:tcBorders>
            <w:vAlign w:val="center"/>
            <w:hideMark/>
          </w:tcPr>
          <w:p w14:paraId="6B9629C5" w14:textId="77777777" w:rsidR="004158B4" w:rsidRDefault="004158B4" w:rsidP="00B84C2D">
            <w:pPr>
              <w:jc w:val="cente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Human rights, Rule of Law</w:t>
            </w:r>
          </w:p>
        </w:tc>
        <w:tc>
          <w:tcPr>
            <w:tcW w:w="750" w:type="dxa"/>
            <w:tcBorders>
              <w:top w:val="nil"/>
              <w:left w:val="nil"/>
              <w:bottom w:val="single" w:sz="4" w:space="0" w:color="A6A6A6"/>
              <w:right w:val="single" w:sz="4" w:space="0" w:color="A6A6A6"/>
            </w:tcBorders>
            <w:vAlign w:val="center"/>
            <w:hideMark/>
          </w:tcPr>
          <w:p w14:paraId="7ACD6AC4"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 </w:t>
            </w:r>
          </w:p>
        </w:tc>
        <w:tc>
          <w:tcPr>
            <w:tcW w:w="870" w:type="dxa"/>
            <w:tcBorders>
              <w:top w:val="nil"/>
              <w:left w:val="nil"/>
              <w:bottom w:val="single" w:sz="4" w:space="0" w:color="A6A6A6"/>
              <w:right w:val="single" w:sz="4" w:space="0" w:color="A6A6A6"/>
            </w:tcBorders>
            <w:vAlign w:val="center"/>
            <w:hideMark/>
          </w:tcPr>
          <w:p w14:paraId="3585D950"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 </w:t>
            </w:r>
          </w:p>
        </w:tc>
        <w:tc>
          <w:tcPr>
            <w:tcW w:w="760" w:type="dxa"/>
            <w:tcBorders>
              <w:top w:val="nil"/>
              <w:left w:val="nil"/>
              <w:bottom w:val="single" w:sz="4" w:space="0" w:color="A6A6A6"/>
              <w:right w:val="single" w:sz="4" w:space="0" w:color="A6A6A6"/>
            </w:tcBorders>
            <w:vAlign w:val="center"/>
            <w:hideMark/>
          </w:tcPr>
          <w:p w14:paraId="6AEEB27E"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 </w:t>
            </w:r>
          </w:p>
        </w:tc>
        <w:tc>
          <w:tcPr>
            <w:tcW w:w="146" w:type="dxa"/>
            <w:noWrap/>
            <w:vAlign w:val="bottom"/>
            <w:hideMark/>
          </w:tcPr>
          <w:p w14:paraId="62428335" w14:textId="77777777" w:rsidR="004158B4" w:rsidRDefault="004158B4" w:rsidP="00B84C2D">
            <w:pPr>
              <w:rPr>
                <w:rFonts w:ascii="Arial Narrow" w:hAnsi="Arial Narrow" w:cs="Calibri"/>
                <w:i/>
                <w:iCs/>
                <w:color w:val="000000"/>
                <w:sz w:val="16"/>
                <w:szCs w:val="16"/>
                <w:lang w:eastAsia="fr-FR"/>
              </w:rPr>
            </w:pPr>
          </w:p>
        </w:tc>
        <w:tc>
          <w:tcPr>
            <w:tcW w:w="550" w:type="dxa"/>
            <w:tcBorders>
              <w:top w:val="nil"/>
              <w:left w:val="single" w:sz="4" w:space="0" w:color="A6A6A6"/>
              <w:bottom w:val="single" w:sz="4" w:space="0" w:color="A6A6A6"/>
              <w:right w:val="single" w:sz="4" w:space="0" w:color="A6A6A6"/>
            </w:tcBorders>
            <w:vAlign w:val="center"/>
            <w:hideMark/>
          </w:tcPr>
          <w:p w14:paraId="2CB076C6"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151</w:t>
            </w:r>
          </w:p>
        </w:tc>
        <w:tc>
          <w:tcPr>
            <w:tcW w:w="870" w:type="dxa"/>
            <w:tcBorders>
              <w:top w:val="nil"/>
              <w:left w:val="nil"/>
              <w:bottom w:val="single" w:sz="4" w:space="0" w:color="A6A6A6"/>
              <w:right w:val="single" w:sz="4" w:space="0" w:color="A6A6A6"/>
            </w:tcBorders>
            <w:vAlign w:val="center"/>
            <w:hideMark/>
          </w:tcPr>
          <w:p w14:paraId="08C960B3"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31</w:t>
            </w:r>
          </w:p>
        </w:tc>
        <w:tc>
          <w:tcPr>
            <w:tcW w:w="146" w:type="dxa"/>
            <w:noWrap/>
            <w:vAlign w:val="bottom"/>
            <w:hideMark/>
          </w:tcPr>
          <w:p w14:paraId="308F738B" w14:textId="77777777" w:rsidR="004158B4" w:rsidRDefault="004158B4" w:rsidP="00B84C2D">
            <w:pPr>
              <w:rPr>
                <w:rFonts w:ascii="Arial Narrow" w:hAnsi="Arial Narrow" w:cs="Calibri"/>
                <w:i/>
                <w:iCs/>
                <w:color w:val="000000"/>
                <w:sz w:val="16"/>
                <w:szCs w:val="16"/>
                <w:lang w:eastAsia="fr-FR"/>
              </w:rPr>
            </w:pPr>
          </w:p>
        </w:tc>
        <w:tc>
          <w:tcPr>
            <w:tcW w:w="520" w:type="dxa"/>
            <w:tcBorders>
              <w:top w:val="nil"/>
              <w:left w:val="single" w:sz="4" w:space="0" w:color="A6A6A6"/>
              <w:bottom w:val="single" w:sz="4" w:space="0" w:color="A6A6A6"/>
              <w:right w:val="single" w:sz="4" w:space="0" w:color="A6A6A6"/>
            </w:tcBorders>
            <w:vAlign w:val="center"/>
            <w:hideMark/>
          </w:tcPr>
          <w:p w14:paraId="0A505E09"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182</w:t>
            </w:r>
          </w:p>
        </w:tc>
        <w:tc>
          <w:tcPr>
            <w:tcW w:w="520" w:type="dxa"/>
            <w:tcBorders>
              <w:top w:val="nil"/>
              <w:left w:val="nil"/>
              <w:bottom w:val="single" w:sz="4" w:space="0" w:color="A6A6A6"/>
              <w:right w:val="single" w:sz="4" w:space="0" w:color="A6A6A6"/>
            </w:tcBorders>
            <w:vAlign w:val="center"/>
            <w:hideMark/>
          </w:tcPr>
          <w:p w14:paraId="48343E22"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182</w:t>
            </w:r>
          </w:p>
        </w:tc>
        <w:tc>
          <w:tcPr>
            <w:tcW w:w="2960" w:type="dxa"/>
            <w:tcBorders>
              <w:top w:val="nil"/>
              <w:left w:val="single" w:sz="4" w:space="0" w:color="A6A6A6"/>
              <w:bottom w:val="single" w:sz="4" w:space="0" w:color="A6A6A6"/>
              <w:right w:val="single" w:sz="4" w:space="0" w:color="A6A6A6"/>
            </w:tcBorders>
            <w:vAlign w:val="center"/>
            <w:hideMark/>
          </w:tcPr>
          <w:p w14:paraId="17408767"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New job creations: 1 A1; 1 B2 - new strategic track</w:t>
            </w:r>
          </w:p>
        </w:tc>
        <w:tc>
          <w:tcPr>
            <w:tcW w:w="146" w:type="dxa"/>
            <w:noWrap/>
            <w:vAlign w:val="bottom"/>
            <w:hideMark/>
          </w:tcPr>
          <w:p w14:paraId="21974739" w14:textId="77777777" w:rsidR="004158B4" w:rsidRDefault="004158B4" w:rsidP="00B84C2D">
            <w:pPr>
              <w:rPr>
                <w:rFonts w:ascii="Arial Narrow" w:hAnsi="Arial Narrow" w:cs="Calibri"/>
                <w:i/>
                <w:iCs/>
                <w:color w:val="000000"/>
                <w:sz w:val="16"/>
                <w:szCs w:val="16"/>
                <w:lang w:eastAsia="fr-FR"/>
              </w:rPr>
            </w:pPr>
          </w:p>
        </w:tc>
      </w:tr>
      <w:tr w:rsidR="004158B4" w14:paraId="0C29C39B" w14:textId="77777777" w:rsidTr="00B84C2D">
        <w:trPr>
          <w:trHeight w:val="610"/>
        </w:trPr>
        <w:tc>
          <w:tcPr>
            <w:tcW w:w="1380" w:type="dxa"/>
            <w:tcBorders>
              <w:top w:val="nil"/>
              <w:left w:val="single" w:sz="4" w:space="0" w:color="A6A6A6"/>
              <w:bottom w:val="single" w:sz="4" w:space="0" w:color="A6A6A6"/>
              <w:right w:val="single" w:sz="4" w:space="0" w:color="A6A6A6"/>
            </w:tcBorders>
            <w:shd w:val="clear" w:color="auto" w:fill="E7E6E6"/>
            <w:vAlign w:val="center"/>
            <w:hideMark/>
          </w:tcPr>
          <w:p w14:paraId="223C75B9" w14:textId="77777777" w:rsidR="004158B4" w:rsidRDefault="004158B4" w:rsidP="00B84C2D">
            <w:pPr>
              <w:jc w:val="cente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General Management Expenditure</w:t>
            </w:r>
          </w:p>
        </w:tc>
        <w:tc>
          <w:tcPr>
            <w:tcW w:w="750" w:type="dxa"/>
            <w:tcBorders>
              <w:top w:val="nil"/>
              <w:left w:val="nil"/>
              <w:bottom w:val="single" w:sz="4" w:space="0" w:color="A6A6A6"/>
              <w:right w:val="single" w:sz="4" w:space="0" w:color="A6A6A6"/>
            </w:tcBorders>
            <w:shd w:val="clear" w:color="auto" w:fill="E7E6E6"/>
            <w:vAlign w:val="center"/>
            <w:hideMark/>
          </w:tcPr>
          <w:p w14:paraId="047CED9D"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1 153,8</w:t>
            </w:r>
          </w:p>
        </w:tc>
        <w:tc>
          <w:tcPr>
            <w:tcW w:w="870" w:type="dxa"/>
            <w:tcBorders>
              <w:top w:val="nil"/>
              <w:left w:val="nil"/>
              <w:bottom w:val="single" w:sz="4" w:space="0" w:color="A6A6A6"/>
              <w:right w:val="single" w:sz="4" w:space="0" w:color="A6A6A6"/>
            </w:tcBorders>
            <w:shd w:val="clear" w:color="auto" w:fill="E7E6E6"/>
            <w:vAlign w:val="center"/>
            <w:hideMark/>
          </w:tcPr>
          <w:p w14:paraId="47B44460"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230,9</w:t>
            </w:r>
          </w:p>
        </w:tc>
        <w:tc>
          <w:tcPr>
            <w:tcW w:w="760" w:type="dxa"/>
            <w:tcBorders>
              <w:top w:val="nil"/>
              <w:left w:val="nil"/>
              <w:bottom w:val="single" w:sz="4" w:space="0" w:color="A6A6A6"/>
              <w:right w:val="single" w:sz="4" w:space="0" w:color="A6A6A6"/>
            </w:tcBorders>
            <w:shd w:val="clear" w:color="auto" w:fill="E7E6E6"/>
            <w:vAlign w:val="center"/>
            <w:hideMark/>
          </w:tcPr>
          <w:p w14:paraId="69AFF462"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1 384,7</w:t>
            </w:r>
          </w:p>
        </w:tc>
        <w:tc>
          <w:tcPr>
            <w:tcW w:w="146" w:type="dxa"/>
            <w:noWrap/>
            <w:vAlign w:val="bottom"/>
            <w:hideMark/>
          </w:tcPr>
          <w:p w14:paraId="1E3F47D1" w14:textId="77777777" w:rsidR="004158B4" w:rsidRDefault="004158B4" w:rsidP="00B84C2D">
            <w:pPr>
              <w:rPr>
                <w:rFonts w:ascii="Arial Narrow" w:hAnsi="Arial Narrow" w:cs="Calibri"/>
                <w:i/>
                <w:iCs/>
                <w:color w:val="000000"/>
                <w:sz w:val="16"/>
                <w:szCs w:val="16"/>
                <w:lang w:eastAsia="fr-FR"/>
              </w:rPr>
            </w:pPr>
          </w:p>
        </w:tc>
        <w:tc>
          <w:tcPr>
            <w:tcW w:w="550" w:type="dxa"/>
            <w:tcBorders>
              <w:top w:val="nil"/>
              <w:left w:val="single" w:sz="4" w:space="0" w:color="A6A6A6"/>
              <w:bottom w:val="single" w:sz="4" w:space="0" w:color="A6A6A6"/>
              <w:right w:val="single" w:sz="4" w:space="0" w:color="A6A6A6"/>
            </w:tcBorders>
            <w:shd w:val="clear" w:color="auto" w:fill="E7E6E6"/>
            <w:vAlign w:val="center"/>
            <w:hideMark/>
          </w:tcPr>
          <w:p w14:paraId="7CB2EC32"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52</w:t>
            </w:r>
          </w:p>
        </w:tc>
        <w:tc>
          <w:tcPr>
            <w:tcW w:w="870" w:type="dxa"/>
            <w:tcBorders>
              <w:top w:val="nil"/>
              <w:left w:val="nil"/>
              <w:bottom w:val="single" w:sz="4" w:space="0" w:color="A6A6A6"/>
              <w:right w:val="single" w:sz="4" w:space="0" w:color="A6A6A6"/>
            </w:tcBorders>
            <w:shd w:val="clear" w:color="auto" w:fill="E7E6E6"/>
            <w:vAlign w:val="center"/>
            <w:hideMark/>
          </w:tcPr>
          <w:p w14:paraId="771C411B"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27</w:t>
            </w:r>
          </w:p>
        </w:tc>
        <w:tc>
          <w:tcPr>
            <w:tcW w:w="146" w:type="dxa"/>
            <w:noWrap/>
            <w:vAlign w:val="bottom"/>
            <w:hideMark/>
          </w:tcPr>
          <w:p w14:paraId="11FAAE42" w14:textId="77777777" w:rsidR="004158B4" w:rsidRDefault="004158B4" w:rsidP="00B84C2D">
            <w:pPr>
              <w:rPr>
                <w:rFonts w:ascii="Arial Narrow" w:hAnsi="Arial Narrow" w:cs="Calibri"/>
                <w:i/>
                <w:iCs/>
                <w:color w:val="000000"/>
                <w:sz w:val="16"/>
                <w:szCs w:val="16"/>
                <w:lang w:eastAsia="fr-FR"/>
              </w:rPr>
            </w:pPr>
          </w:p>
        </w:tc>
        <w:tc>
          <w:tcPr>
            <w:tcW w:w="520" w:type="dxa"/>
            <w:tcBorders>
              <w:top w:val="nil"/>
              <w:left w:val="single" w:sz="4" w:space="0" w:color="A6A6A6"/>
              <w:bottom w:val="single" w:sz="4" w:space="0" w:color="A6A6A6"/>
              <w:right w:val="single" w:sz="4" w:space="0" w:color="A6A6A6"/>
            </w:tcBorders>
            <w:shd w:val="clear" w:color="auto" w:fill="E7E6E6"/>
            <w:vAlign w:val="center"/>
            <w:hideMark/>
          </w:tcPr>
          <w:p w14:paraId="58FBE0C8"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1 464</w:t>
            </w:r>
          </w:p>
        </w:tc>
        <w:tc>
          <w:tcPr>
            <w:tcW w:w="520" w:type="dxa"/>
            <w:tcBorders>
              <w:top w:val="nil"/>
              <w:left w:val="nil"/>
              <w:bottom w:val="single" w:sz="4" w:space="0" w:color="A6A6A6"/>
              <w:right w:val="single" w:sz="4" w:space="0" w:color="A6A6A6"/>
            </w:tcBorders>
            <w:shd w:val="clear" w:color="auto" w:fill="E7E6E6"/>
            <w:vAlign w:val="center"/>
            <w:hideMark/>
          </w:tcPr>
          <w:p w14:paraId="51EB4B72" w14:textId="77777777" w:rsidR="004158B4" w:rsidRDefault="004158B4" w:rsidP="00B84C2D">
            <w:pPr>
              <w:jc w:val="right"/>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1 464</w:t>
            </w:r>
          </w:p>
        </w:tc>
        <w:tc>
          <w:tcPr>
            <w:tcW w:w="2960" w:type="dxa"/>
            <w:tcBorders>
              <w:top w:val="nil"/>
              <w:left w:val="single" w:sz="4" w:space="0" w:color="A6A6A6"/>
              <w:bottom w:val="single" w:sz="4" w:space="0" w:color="A6A6A6"/>
              <w:right w:val="single" w:sz="4" w:space="0" w:color="A6A6A6"/>
            </w:tcBorders>
            <w:shd w:val="clear" w:color="auto" w:fill="E7E6E6"/>
            <w:vAlign w:val="center"/>
            <w:hideMark/>
          </w:tcPr>
          <w:p w14:paraId="4ABA38BE" w14:textId="77777777" w:rsidR="004158B4" w:rsidRDefault="004158B4" w:rsidP="00B84C2D">
            <w:pPr>
              <w:outlineLvl w:val="0"/>
              <w:rPr>
                <w:rFonts w:ascii="Arial Narrow" w:hAnsi="Arial Narrow" w:cs="Calibri"/>
                <w:i/>
                <w:iCs/>
                <w:color w:val="000000"/>
                <w:sz w:val="16"/>
                <w:szCs w:val="16"/>
                <w:lang w:eastAsia="fr-FR"/>
              </w:rPr>
            </w:pPr>
            <w:r>
              <w:rPr>
                <w:rFonts w:ascii="Arial Narrow" w:hAnsi="Arial Narrow" w:cs="Calibri"/>
                <w:i/>
                <w:iCs/>
                <w:color w:val="000000"/>
                <w:sz w:val="16"/>
                <w:szCs w:val="16"/>
                <w:lang w:eastAsia="fr-FR"/>
              </w:rPr>
              <w:t>1 B2 - to reinforce communication</w:t>
            </w:r>
          </w:p>
        </w:tc>
        <w:tc>
          <w:tcPr>
            <w:tcW w:w="146" w:type="dxa"/>
            <w:noWrap/>
            <w:vAlign w:val="bottom"/>
            <w:hideMark/>
          </w:tcPr>
          <w:p w14:paraId="651FB32D" w14:textId="77777777" w:rsidR="004158B4" w:rsidRDefault="004158B4" w:rsidP="00B84C2D">
            <w:pPr>
              <w:rPr>
                <w:rFonts w:ascii="Arial Narrow" w:hAnsi="Arial Narrow" w:cs="Calibri"/>
                <w:i/>
                <w:iCs/>
                <w:color w:val="000000"/>
                <w:sz w:val="16"/>
                <w:szCs w:val="16"/>
                <w:lang w:eastAsia="fr-FR"/>
              </w:rPr>
            </w:pPr>
          </w:p>
        </w:tc>
      </w:tr>
      <w:tr w:rsidR="004158B4" w14:paraId="28F7D065" w14:textId="77777777" w:rsidTr="00B84C2D">
        <w:trPr>
          <w:trHeight w:val="98"/>
        </w:trPr>
        <w:tc>
          <w:tcPr>
            <w:tcW w:w="1380" w:type="dxa"/>
            <w:tcBorders>
              <w:top w:val="nil"/>
              <w:left w:val="nil"/>
              <w:bottom w:val="single" w:sz="4" w:space="0" w:color="A6A6A6"/>
              <w:right w:val="nil"/>
            </w:tcBorders>
            <w:vAlign w:val="center"/>
            <w:hideMark/>
          </w:tcPr>
          <w:p w14:paraId="3941C742"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750" w:type="dxa"/>
            <w:tcBorders>
              <w:top w:val="nil"/>
              <w:left w:val="nil"/>
              <w:bottom w:val="single" w:sz="4" w:space="0" w:color="A6A6A6"/>
              <w:right w:val="nil"/>
            </w:tcBorders>
            <w:vAlign w:val="center"/>
            <w:hideMark/>
          </w:tcPr>
          <w:p w14:paraId="2B86006D"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870" w:type="dxa"/>
            <w:tcBorders>
              <w:top w:val="nil"/>
              <w:left w:val="nil"/>
              <w:bottom w:val="single" w:sz="4" w:space="0" w:color="A6A6A6"/>
              <w:right w:val="nil"/>
            </w:tcBorders>
            <w:vAlign w:val="center"/>
            <w:hideMark/>
          </w:tcPr>
          <w:p w14:paraId="4ECB1A15"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760" w:type="dxa"/>
            <w:tcBorders>
              <w:top w:val="nil"/>
              <w:left w:val="nil"/>
              <w:bottom w:val="single" w:sz="4" w:space="0" w:color="A6A6A6"/>
              <w:right w:val="nil"/>
            </w:tcBorders>
            <w:vAlign w:val="center"/>
            <w:hideMark/>
          </w:tcPr>
          <w:p w14:paraId="60B47237"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146" w:type="dxa"/>
            <w:noWrap/>
            <w:vAlign w:val="bottom"/>
            <w:hideMark/>
          </w:tcPr>
          <w:p w14:paraId="058E98FA" w14:textId="77777777" w:rsidR="004158B4" w:rsidRDefault="004158B4" w:rsidP="00B84C2D">
            <w:pPr>
              <w:rPr>
                <w:rFonts w:ascii="Arial Narrow" w:hAnsi="Arial Narrow" w:cs="Calibri"/>
                <w:color w:val="000000"/>
                <w:sz w:val="16"/>
                <w:szCs w:val="16"/>
                <w:lang w:eastAsia="fr-FR"/>
              </w:rPr>
            </w:pPr>
          </w:p>
        </w:tc>
        <w:tc>
          <w:tcPr>
            <w:tcW w:w="550" w:type="dxa"/>
            <w:tcBorders>
              <w:top w:val="nil"/>
              <w:left w:val="nil"/>
              <w:bottom w:val="single" w:sz="4" w:space="0" w:color="A6A6A6"/>
              <w:right w:val="nil"/>
            </w:tcBorders>
            <w:vAlign w:val="center"/>
            <w:hideMark/>
          </w:tcPr>
          <w:p w14:paraId="4A8F5F00"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870" w:type="dxa"/>
            <w:tcBorders>
              <w:top w:val="nil"/>
              <w:left w:val="nil"/>
              <w:bottom w:val="single" w:sz="4" w:space="0" w:color="A6A6A6"/>
              <w:right w:val="nil"/>
            </w:tcBorders>
            <w:vAlign w:val="center"/>
            <w:hideMark/>
          </w:tcPr>
          <w:p w14:paraId="793C54F8"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146" w:type="dxa"/>
            <w:noWrap/>
            <w:vAlign w:val="bottom"/>
            <w:hideMark/>
          </w:tcPr>
          <w:p w14:paraId="1A94A35C" w14:textId="77777777" w:rsidR="004158B4" w:rsidRDefault="004158B4" w:rsidP="00B84C2D">
            <w:pPr>
              <w:rPr>
                <w:rFonts w:ascii="Arial Narrow" w:hAnsi="Arial Narrow" w:cs="Calibri"/>
                <w:color w:val="000000"/>
                <w:sz w:val="16"/>
                <w:szCs w:val="16"/>
                <w:lang w:eastAsia="fr-FR"/>
              </w:rPr>
            </w:pPr>
          </w:p>
        </w:tc>
        <w:tc>
          <w:tcPr>
            <w:tcW w:w="520" w:type="dxa"/>
            <w:tcBorders>
              <w:top w:val="nil"/>
              <w:left w:val="nil"/>
              <w:bottom w:val="single" w:sz="4" w:space="0" w:color="A6A6A6"/>
              <w:right w:val="nil"/>
            </w:tcBorders>
            <w:vAlign w:val="center"/>
            <w:hideMark/>
          </w:tcPr>
          <w:p w14:paraId="534BBE3D"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520" w:type="dxa"/>
            <w:tcBorders>
              <w:top w:val="nil"/>
              <w:left w:val="nil"/>
              <w:bottom w:val="single" w:sz="4" w:space="0" w:color="A6A6A6"/>
              <w:right w:val="nil"/>
            </w:tcBorders>
            <w:vAlign w:val="center"/>
            <w:hideMark/>
          </w:tcPr>
          <w:p w14:paraId="1BCDFE62"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2960" w:type="dxa"/>
            <w:tcBorders>
              <w:top w:val="nil"/>
              <w:left w:val="nil"/>
              <w:bottom w:val="single" w:sz="4" w:space="0" w:color="A6A6A6"/>
              <w:right w:val="nil"/>
            </w:tcBorders>
            <w:vAlign w:val="center"/>
            <w:hideMark/>
          </w:tcPr>
          <w:p w14:paraId="48A4AF5F" w14:textId="77777777" w:rsidR="004158B4" w:rsidRDefault="004158B4" w:rsidP="00B84C2D">
            <w:pPr>
              <w:rPr>
                <w:rFonts w:ascii="Arial Narrow" w:hAnsi="Arial Narrow" w:cs="Calibri"/>
                <w:color w:val="000000"/>
                <w:sz w:val="16"/>
                <w:szCs w:val="16"/>
                <w:lang w:eastAsia="fr-FR"/>
              </w:rPr>
            </w:pPr>
            <w:r>
              <w:rPr>
                <w:rFonts w:ascii="Arial Narrow" w:hAnsi="Arial Narrow" w:cs="Calibri"/>
                <w:color w:val="000000"/>
                <w:sz w:val="16"/>
                <w:szCs w:val="16"/>
                <w:lang w:eastAsia="fr-FR"/>
              </w:rPr>
              <w:t> </w:t>
            </w:r>
          </w:p>
        </w:tc>
        <w:tc>
          <w:tcPr>
            <w:tcW w:w="146" w:type="dxa"/>
            <w:noWrap/>
            <w:vAlign w:val="bottom"/>
            <w:hideMark/>
          </w:tcPr>
          <w:p w14:paraId="70E8AB12" w14:textId="77777777" w:rsidR="004158B4" w:rsidRDefault="004158B4" w:rsidP="00B84C2D">
            <w:pPr>
              <w:rPr>
                <w:rFonts w:ascii="Arial Narrow" w:hAnsi="Arial Narrow" w:cs="Calibri"/>
                <w:color w:val="000000"/>
                <w:sz w:val="16"/>
                <w:szCs w:val="16"/>
                <w:lang w:eastAsia="fr-FR"/>
              </w:rPr>
            </w:pPr>
          </w:p>
        </w:tc>
      </w:tr>
      <w:tr w:rsidR="004158B4" w14:paraId="5CEEA16C" w14:textId="77777777" w:rsidTr="00B84C2D">
        <w:trPr>
          <w:trHeight w:val="402"/>
        </w:trPr>
        <w:tc>
          <w:tcPr>
            <w:tcW w:w="1380" w:type="dxa"/>
            <w:tcBorders>
              <w:top w:val="nil"/>
              <w:left w:val="single" w:sz="4" w:space="0" w:color="000000"/>
              <w:bottom w:val="single" w:sz="4" w:space="0" w:color="000000"/>
              <w:right w:val="single" w:sz="4" w:space="0" w:color="000000"/>
            </w:tcBorders>
            <w:shd w:val="clear" w:color="auto" w:fill="000000"/>
            <w:vAlign w:val="center"/>
            <w:hideMark/>
          </w:tcPr>
          <w:p w14:paraId="46027A19"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TOTAL EXPENDITURE</w:t>
            </w:r>
          </w:p>
        </w:tc>
        <w:tc>
          <w:tcPr>
            <w:tcW w:w="750" w:type="dxa"/>
            <w:tcBorders>
              <w:top w:val="nil"/>
              <w:left w:val="single" w:sz="4" w:space="0" w:color="A6A6A6"/>
              <w:bottom w:val="single" w:sz="4" w:space="0" w:color="A6A6A6"/>
              <w:right w:val="single" w:sz="4" w:space="0" w:color="A6A6A6"/>
            </w:tcBorders>
            <w:shd w:val="clear" w:color="auto" w:fill="000000"/>
            <w:vAlign w:val="center"/>
            <w:hideMark/>
          </w:tcPr>
          <w:p w14:paraId="6812EEE4"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3 806,1</w:t>
            </w:r>
          </w:p>
        </w:tc>
        <w:tc>
          <w:tcPr>
            <w:tcW w:w="870" w:type="dxa"/>
            <w:tcBorders>
              <w:top w:val="nil"/>
              <w:left w:val="nil"/>
              <w:bottom w:val="single" w:sz="4" w:space="0" w:color="A6A6A6"/>
              <w:right w:val="single" w:sz="4" w:space="0" w:color="A6A6A6"/>
            </w:tcBorders>
            <w:shd w:val="clear" w:color="auto" w:fill="000000"/>
            <w:vAlign w:val="center"/>
            <w:hideMark/>
          </w:tcPr>
          <w:p w14:paraId="39638A8D"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2 583,6</w:t>
            </w:r>
          </w:p>
        </w:tc>
        <w:tc>
          <w:tcPr>
            <w:tcW w:w="760" w:type="dxa"/>
            <w:tcBorders>
              <w:top w:val="nil"/>
              <w:left w:val="nil"/>
              <w:bottom w:val="single" w:sz="4" w:space="0" w:color="A6A6A6"/>
              <w:right w:val="single" w:sz="4" w:space="0" w:color="A6A6A6"/>
            </w:tcBorders>
            <w:shd w:val="clear" w:color="auto" w:fill="000000"/>
            <w:vAlign w:val="center"/>
            <w:hideMark/>
          </w:tcPr>
          <w:p w14:paraId="3AC72860"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6 390</w:t>
            </w:r>
          </w:p>
        </w:tc>
        <w:tc>
          <w:tcPr>
            <w:tcW w:w="146" w:type="dxa"/>
            <w:noWrap/>
            <w:vAlign w:val="bottom"/>
            <w:hideMark/>
          </w:tcPr>
          <w:p w14:paraId="0564CCF6" w14:textId="77777777" w:rsidR="004158B4" w:rsidRDefault="004158B4" w:rsidP="00B84C2D">
            <w:pPr>
              <w:rPr>
                <w:rFonts w:ascii="Arial Narrow" w:hAnsi="Arial Narrow" w:cs="Calibri"/>
                <w:b/>
                <w:bCs/>
                <w:color w:val="FFFFFF"/>
                <w:sz w:val="16"/>
                <w:szCs w:val="16"/>
                <w:lang w:eastAsia="fr-FR"/>
              </w:rPr>
            </w:pPr>
          </w:p>
        </w:tc>
        <w:tc>
          <w:tcPr>
            <w:tcW w:w="550" w:type="dxa"/>
            <w:tcBorders>
              <w:top w:val="nil"/>
              <w:left w:val="single" w:sz="4" w:space="0" w:color="A6A6A6"/>
              <w:bottom w:val="single" w:sz="4" w:space="0" w:color="A6A6A6"/>
              <w:right w:val="single" w:sz="4" w:space="0" w:color="A6A6A6"/>
            </w:tcBorders>
            <w:shd w:val="clear" w:color="auto" w:fill="000000"/>
            <w:vAlign w:val="center"/>
            <w:hideMark/>
          </w:tcPr>
          <w:p w14:paraId="0717A3EE"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633</w:t>
            </w:r>
          </w:p>
        </w:tc>
        <w:tc>
          <w:tcPr>
            <w:tcW w:w="870" w:type="dxa"/>
            <w:tcBorders>
              <w:top w:val="nil"/>
              <w:left w:val="nil"/>
              <w:bottom w:val="single" w:sz="4" w:space="0" w:color="A6A6A6"/>
              <w:right w:val="single" w:sz="4" w:space="0" w:color="A6A6A6"/>
            </w:tcBorders>
            <w:shd w:val="clear" w:color="auto" w:fill="000000"/>
            <w:vAlign w:val="center"/>
            <w:hideMark/>
          </w:tcPr>
          <w:p w14:paraId="30F89B88"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158</w:t>
            </w:r>
          </w:p>
        </w:tc>
        <w:tc>
          <w:tcPr>
            <w:tcW w:w="146" w:type="dxa"/>
            <w:noWrap/>
            <w:vAlign w:val="bottom"/>
            <w:hideMark/>
          </w:tcPr>
          <w:p w14:paraId="4C73817A" w14:textId="77777777" w:rsidR="004158B4" w:rsidRDefault="004158B4" w:rsidP="00B84C2D">
            <w:pPr>
              <w:rPr>
                <w:rFonts w:ascii="Arial Narrow" w:hAnsi="Arial Narrow" w:cs="Calibri"/>
                <w:b/>
                <w:bCs/>
                <w:color w:val="FFFFFF"/>
                <w:sz w:val="16"/>
                <w:szCs w:val="16"/>
                <w:lang w:eastAsia="fr-FR"/>
              </w:rPr>
            </w:pPr>
          </w:p>
        </w:tc>
        <w:tc>
          <w:tcPr>
            <w:tcW w:w="520" w:type="dxa"/>
            <w:tcBorders>
              <w:top w:val="nil"/>
              <w:left w:val="single" w:sz="4" w:space="0" w:color="A6A6A6"/>
              <w:bottom w:val="single" w:sz="4" w:space="0" w:color="A6A6A6"/>
              <w:right w:val="single" w:sz="4" w:space="0" w:color="A6A6A6"/>
            </w:tcBorders>
            <w:shd w:val="clear" w:color="auto" w:fill="000000"/>
            <w:vAlign w:val="center"/>
            <w:hideMark/>
          </w:tcPr>
          <w:p w14:paraId="063B13B2"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7 180</w:t>
            </w:r>
          </w:p>
        </w:tc>
        <w:tc>
          <w:tcPr>
            <w:tcW w:w="520" w:type="dxa"/>
            <w:tcBorders>
              <w:top w:val="nil"/>
              <w:left w:val="nil"/>
              <w:bottom w:val="single" w:sz="4" w:space="0" w:color="A6A6A6"/>
              <w:right w:val="single" w:sz="4" w:space="0" w:color="A6A6A6"/>
            </w:tcBorders>
            <w:shd w:val="clear" w:color="auto" w:fill="000000"/>
            <w:vAlign w:val="center"/>
            <w:hideMark/>
          </w:tcPr>
          <w:p w14:paraId="236F3622" w14:textId="77777777" w:rsidR="004158B4" w:rsidRDefault="004158B4" w:rsidP="00B84C2D">
            <w:pPr>
              <w:jc w:val="right"/>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7 180</w:t>
            </w:r>
          </w:p>
        </w:tc>
        <w:tc>
          <w:tcPr>
            <w:tcW w:w="2960" w:type="dxa"/>
            <w:tcBorders>
              <w:top w:val="nil"/>
              <w:left w:val="single" w:sz="4" w:space="0" w:color="A6A6A6"/>
              <w:bottom w:val="single" w:sz="4" w:space="0" w:color="A6A6A6"/>
              <w:right w:val="single" w:sz="4" w:space="0" w:color="A6A6A6"/>
            </w:tcBorders>
            <w:shd w:val="clear" w:color="auto" w:fill="000000"/>
            <w:vAlign w:val="center"/>
            <w:hideMark/>
          </w:tcPr>
          <w:p w14:paraId="7C7C7F1B" w14:textId="77777777" w:rsidR="004158B4" w:rsidRDefault="004158B4" w:rsidP="00B84C2D">
            <w:pPr>
              <w:rPr>
                <w:rFonts w:ascii="Arial Narrow" w:hAnsi="Arial Narrow" w:cs="Calibri"/>
                <w:b/>
                <w:bCs/>
                <w:color w:val="FFFFFF"/>
                <w:sz w:val="16"/>
                <w:szCs w:val="16"/>
                <w:lang w:eastAsia="fr-FR"/>
              </w:rPr>
            </w:pPr>
            <w:r>
              <w:rPr>
                <w:rFonts w:ascii="Arial Narrow" w:hAnsi="Arial Narrow" w:cs="Calibri"/>
                <w:b/>
                <w:bCs/>
                <w:color w:val="FFFFFF"/>
                <w:sz w:val="16"/>
                <w:szCs w:val="16"/>
                <w:lang w:eastAsia="fr-FR"/>
              </w:rPr>
              <w:t> </w:t>
            </w:r>
          </w:p>
        </w:tc>
        <w:tc>
          <w:tcPr>
            <w:tcW w:w="146" w:type="dxa"/>
            <w:noWrap/>
            <w:vAlign w:val="bottom"/>
            <w:hideMark/>
          </w:tcPr>
          <w:p w14:paraId="4F2516F5" w14:textId="77777777" w:rsidR="004158B4" w:rsidRDefault="004158B4" w:rsidP="00B84C2D">
            <w:pPr>
              <w:rPr>
                <w:rFonts w:ascii="Arial Narrow" w:hAnsi="Arial Narrow" w:cs="Calibri"/>
                <w:b/>
                <w:bCs/>
                <w:color w:val="FFFFFF"/>
                <w:sz w:val="16"/>
                <w:szCs w:val="16"/>
                <w:lang w:eastAsia="fr-FR"/>
              </w:rPr>
            </w:pPr>
          </w:p>
        </w:tc>
      </w:tr>
    </w:tbl>
    <w:p w14:paraId="49B3A611" w14:textId="77777777" w:rsidR="004158B4" w:rsidRPr="006C77E0" w:rsidRDefault="004158B4" w:rsidP="004158B4">
      <w:pPr>
        <w:tabs>
          <w:tab w:val="left" w:pos="408"/>
        </w:tabs>
        <w:ind w:right="195"/>
      </w:pPr>
    </w:p>
    <w:p w14:paraId="0BF6C15B" w14:textId="77777777" w:rsidR="004158B4" w:rsidRPr="00546360" w:rsidRDefault="004158B4" w:rsidP="004158B4">
      <w:pPr>
        <w:rPr>
          <w:rFonts w:eastAsiaTheme="majorEastAsia"/>
        </w:rPr>
      </w:pPr>
    </w:p>
    <w:p w14:paraId="1464781C" w14:textId="77777777" w:rsidR="004158B4" w:rsidRPr="00546360" w:rsidRDefault="004158B4" w:rsidP="004158B4">
      <w:pPr>
        <w:rPr>
          <w:rFonts w:eastAsiaTheme="majorEastAsia"/>
        </w:rPr>
      </w:pPr>
    </w:p>
    <w:p w14:paraId="6D60788D" w14:textId="77777777" w:rsidR="004158B4" w:rsidRPr="00546360" w:rsidRDefault="004158B4" w:rsidP="004158B4">
      <w:pPr>
        <w:rPr>
          <w:rFonts w:eastAsiaTheme="majorEastAsia"/>
        </w:rPr>
      </w:pPr>
    </w:p>
    <w:p w14:paraId="28FDA3C6" w14:textId="77777777" w:rsidR="004158B4" w:rsidRPr="00546360" w:rsidRDefault="004158B4" w:rsidP="004158B4">
      <w:pPr>
        <w:rPr>
          <w:rFonts w:eastAsiaTheme="majorEastAsia"/>
        </w:rPr>
      </w:pPr>
    </w:p>
    <w:p w14:paraId="2580A1CC" w14:textId="77777777" w:rsidR="004158B4" w:rsidRPr="00546360" w:rsidRDefault="004158B4" w:rsidP="004158B4">
      <w:pPr>
        <w:rPr>
          <w:rFonts w:eastAsiaTheme="majorEastAsia"/>
        </w:rPr>
      </w:pPr>
    </w:p>
    <w:p w14:paraId="52CBD1CB" w14:textId="77777777" w:rsidR="004158B4" w:rsidRPr="00546360" w:rsidRDefault="004158B4" w:rsidP="004158B4">
      <w:pPr>
        <w:rPr>
          <w:rFonts w:eastAsiaTheme="majorEastAsia"/>
        </w:rPr>
      </w:pPr>
    </w:p>
    <w:p w14:paraId="703C4BE9" w14:textId="77777777" w:rsidR="004158B4" w:rsidRPr="00546360" w:rsidRDefault="004158B4" w:rsidP="004158B4">
      <w:pPr>
        <w:rPr>
          <w:rFonts w:eastAsiaTheme="majorEastAsia"/>
        </w:rPr>
      </w:pPr>
    </w:p>
    <w:p w14:paraId="54390A73" w14:textId="77777777" w:rsidR="004158B4" w:rsidRPr="00546360" w:rsidRDefault="004158B4" w:rsidP="004158B4">
      <w:pPr>
        <w:rPr>
          <w:rFonts w:eastAsiaTheme="majorEastAsia"/>
        </w:rPr>
      </w:pPr>
    </w:p>
    <w:p w14:paraId="2B52D1B1" w14:textId="77777777" w:rsidR="004158B4" w:rsidRPr="00546360" w:rsidRDefault="004158B4" w:rsidP="004158B4"/>
    <w:p w14:paraId="0E37B75C" w14:textId="67B9CF4E" w:rsidR="00ED69CC" w:rsidRPr="004158B4" w:rsidRDefault="00ED69CC" w:rsidP="004158B4"/>
    <w:sectPr w:rsidR="00ED69CC" w:rsidRPr="004158B4" w:rsidSect="0017733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93" w:left="1134" w:header="709"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B1A1" w14:textId="77777777" w:rsidR="00A14754" w:rsidRDefault="00A14754" w:rsidP="00177334">
      <w:r>
        <w:separator/>
      </w:r>
    </w:p>
  </w:endnote>
  <w:endnote w:type="continuationSeparator" w:id="0">
    <w:p w14:paraId="30C8F50E" w14:textId="77777777" w:rsidR="00A14754" w:rsidRDefault="00A14754" w:rsidP="0017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E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362417"/>
      <w:docPartObj>
        <w:docPartGallery w:val="Page Numbers (Bottom of Page)"/>
        <w:docPartUnique/>
      </w:docPartObj>
    </w:sdtPr>
    <w:sdtContent>
      <w:sdt>
        <w:sdtPr>
          <w:id w:val="-1705238520"/>
          <w:docPartObj>
            <w:docPartGallery w:val="Page Numbers (Top of Page)"/>
            <w:docPartUnique/>
          </w:docPartObj>
        </w:sdtPr>
        <w:sdtContent>
          <w:p w14:paraId="4138A9CB" w14:textId="77777777" w:rsidR="00EB1363" w:rsidRDefault="00EB1363">
            <w:pPr>
              <w:pStyle w:val="Footer"/>
            </w:pPr>
            <w:r w:rsidRPr="00EB1363">
              <w:rPr>
                <w:rFonts w:ascii="Arial" w:hAnsi="Arial" w:cs="Arial"/>
                <w:sz w:val="18"/>
                <w:szCs w:val="18"/>
              </w:rPr>
              <w:fldChar w:fldCharType="begin"/>
            </w:r>
            <w:r w:rsidRPr="00EB1363">
              <w:rPr>
                <w:rFonts w:ascii="Arial" w:hAnsi="Arial" w:cs="Arial"/>
                <w:sz w:val="18"/>
                <w:szCs w:val="18"/>
              </w:rPr>
              <w:instrText>PAGE</w:instrText>
            </w:r>
            <w:r w:rsidRPr="00EB1363">
              <w:rPr>
                <w:rFonts w:ascii="Arial" w:hAnsi="Arial" w:cs="Arial"/>
                <w:sz w:val="18"/>
                <w:szCs w:val="18"/>
              </w:rPr>
              <w:fldChar w:fldCharType="separate"/>
            </w:r>
            <w:r w:rsidRPr="00EB1363">
              <w:rPr>
                <w:rFonts w:ascii="Arial" w:hAnsi="Arial" w:cs="Arial"/>
                <w:sz w:val="18"/>
                <w:szCs w:val="18"/>
                <w:lang w:val="fr-FR"/>
              </w:rPr>
              <w:t>2</w:t>
            </w:r>
            <w:r w:rsidRPr="00EB1363">
              <w:rPr>
                <w:rFonts w:ascii="Arial" w:hAnsi="Arial" w:cs="Arial"/>
                <w:sz w:val="18"/>
                <w:szCs w:val="18"/>
              </w:rPr>
              <w:fldChar w:fldCharType="end"/>
            </w:r>
            <w:r w:rsidRPr="00EB1363">
              <w:rPr>
                <w:rFonts w:ascii="Arial" w:hAnsi="Arial" w:cs="Arial"/>
                <w:sz w:val="18"/>
                <w:szCs w:val="18"/>
                <w:lang w:val="fr-FR"/>
              </w:rPr>
              <w:t>/</w:t>
            </w:r>
            <w:r w:rsidRPr="00EB1363">
              <w:rPr>
                <w:rFonts w:ascii="Arial" w:hAnsi="Arial" w:cs="Arial"/>
                <w:sz w:val="18"/>
                <w:szCs w:val="18"/>
              </w:rPr>
              <w:fldChar w:fldCharType="begin"/>
            </w:r>
            <w:r w:rsidRPr="00EB1363">
              <w:rPr>
                <w:rFonts w:ascii="Arial" w:hAnsi="Arial" w:cs="Arial"/>
                <w:sz w:val="18"/>
                <w:szCs w:val="18"/>
              </w:rPr>
              <w:instrText>NUMPAGES</w:instrText>
            </w:r>
            <w:r w:rsidRPr="00EB1363">
              <w:rPr>
                <w:rFonts w:ascii="Arial" w:hAnsi="Arial" w:cs="Arial"/>
                <w:sz w:val="18"/>
                <w:szCs w:val="18"/>
              </w:rPr>
              <w:fldChar w:fldCharType="separate"/>
            </w:r>
            <w:r w:rsidRPr="00EB1363">
              <w:rPr>
                <w:rFonts w:ascii="Arial" w:hAnsi="Arial" w:cs="Arial"/>
                <w:sz w:val="18"/>
                <w:szCs w:val="18"/>
                <w:lang w:val="fr-FR"/>
              </w:rPr>
              <w:t>2</w:t>
            </w:r>
            <w:r w:rsidRPr="00EB1363">
              <w:rPr>
                <w:rFonts w:ascii="Arial" w:hAnsi="Arial" w:cs="Arial"/>
                <w:sz w:val="18"/>
                <w:szCs w:val="18"/>
              </w:rPr>
              <w:fldChar w:fldCharType="end"/>
            </w:r>
          </w:p>
        </w:sdtContent>
      </w:sdt>
    </w:sdtContent>
  </w:sdt>
  <w:p w14:paraId="35D6AE55" w14:textId="77777777" w:rsidR="00EB1363" w:rsidRDefault="00EB1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964712"/>
      <w:docPartObj>
        <w:docPartGallery w:val="Page Numbers (Bottom of Page)"/>
        <w:docPartUnique/>
      </w:docPartObj>
    </w:sdtPr>
    <w:sdtEndPr>
      <w:rPr>
        <w:rFonts w:ascii="Arial" w:hAnsi="Arial" w:cs="Arial"/>
        <w:sz w:val="20"/>
        <w:szCs w:val="20"/>
      </w:rPr>
    </w:sdtEndPr>
    <w:sdtContent>
      <w:p w14:paraId="2CEAE4AA" w14:textId="0BA856AA" w:rsidR="00483DB0" w:rsidRPr="00483DB0" w:rsidRDefault="00483DB0">
        <w:pPr>
          <w:pStyle w:val="Footer"/>
          <w:jc w:val="right"/>
          <w:rPr>
            <w:rFonts w:ascii="Arial" w:hAnsi="Arial" w:cs="Arial"/>
            <w:sz w:val="20"/>
            <w:szCs w:val="20"/>
          </w:rPr>
        </w:pPr>
        <w:r w:rsidRPr="00483DB0">
          <w:rPr>
            <w:rFonts w:ascii="Arial" w:hAnsi="Arial" w:cs="Arial"/>
            <w:sz w:val="18"/>
            <w:szCs w:val="18"/>
          </w:rPr>
          <w:fldChar w:fldCharType="begin"/>
        </w:r>
        <w:r w:rsidRPr="00483DB0">
          <w:rPr>
            <w:rFonts w:ascii="Arial" w:hAnsi="Arial" w:cs="Arial"/>
            <w:sz w:val="18"/>
            <w:szCs w:val="18"/>
          </w:rPr>
          <w:instrText>PAGE   \* MERGEFORMAT</w:instrText>
        </w:r>
        <w:r w:rsidRPr="00483DB0">
          <w:rPr>
            <w:rFonts w:ascii="Arial" w:hAnsi="Arial" w:cs="Arial"/>
            <w:sz w:val="18"/>
            <w:szCs w:val="18"/>
          </w:rPr>
          <w:fldChar w:fldCharType="separate"/>
        </w:r>
        <w:r w:rsidRPr="00483DB0">
          <w:rPr>
            <w:rFonts w:ascii="Arial" w:hAnsi="Arial" w:cs="Arial"/>
            <w:sz w:val="18"/>
            <w:szCs w:val="18"/>
            <w:lang w:val="fr-FR"/>
          </w:rPr>
          <w:t>2</w:t>
        </w:r>
        <w:r w:rsidRPr="00483DB0">
          <w:rPr>
            <w:rFonts w:ascii="Arial" w:hAnsi="Arial" w:cs="Arial"/>
            <w:sz w:val="18"/>
            <w:szCs w:val="18"/>
          </w:rPr>
          <w:fldChar w:fldCharType="end"/>
        </w:r>
        <w:r w:rsidRPr="00483DB0">
          <w:rPr>
            <w:rFonts w:ascii="Arial" w:hAnsi="Arial" w:cs="Arial"/>
            <w:sz w:val="18"/>
            <w:szCs w:val="18"/>
          </w:rPr>
          <w:t>/</w:t>
        </w:r>
        <w:r w:rsidR="009B1D60">
          <w:rPr>
            <w:rFonts w:ascii="Arial" w:hAnsi="Arial" w:cs="Arial"/>
            <w:sz w:val="18"/>
            <w:szCs w:val="18"/>
          </w:rPr>
          <w:t>5</w:t>
        </w:r>
      </w:p>
    </w:sdtContent>
  </w:sdt>
  <w:p w14:paraId="51010FAA" w14:textId="77777777" w:rsidR="00483DB0" w:rsidRDefault="00483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3BDD" w14:textId="77777777" w:rsidR="00177334" w:rsidRPr="007458ED" w:rsidRDefault="00177334" w:rsidP="00D62209">
    <w:pPr>
      <w:pStyle w:val="Footer"/>
      <w:tabs>
        <w:tab w:val="clear" w:pos="4320"/>
        <w:tab w:val="center" w:pos="-1620"/>
      </w:tabs>
    </w:pPr>
    <w:r>
      <w:rPr>
        <w:rFonts w:cs="Tahoma"/>
        <w:noProof/>
        <w:sz w:val="12"/>
        <w:szCs w:val="12"/>
        <w:lang w:val="fr-FR" w:eastAsia="fr-FR"/>
      </w:rPr>
      <mc:AlternateContent>
        <mc:Choice Requires="wps">
          <w:drawing>
            <wp:anchor distT="0" distB="0" distL="114300" distR="114300" simplePos="0" relativeHeight="251659264" behindDoc="0" locked="0" layoutInCell="0" allowOverlap="0" wp14:anchorId="420FD9E4" wp14:editId="7526D59E">
              <wp:simplePos x="0" y="0"/>
              <wp:positionH relativeFrom="page">
                <wp:posOffset>2019300</wp:posOffset>
              </wp:positionH>
              <wp:positionV relativeFrom="page">
                <wp:posOffset>10007600</wp:posOffset>
              </wp:positionV>
              <wp:extent cx="1036320" cy="337820"/>
              <wp:effectExtent l="0" t="0" r="11430" b="508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337820"/>
                      </a:xfrm>
                      <a:prstGeom prst="rect">
                        <a:avLst/>
                      </a:prstGeom>
                      <a:noFill/>
                      <a:ln w="6350">
                        <a:noFill/>
                      </a:ln>
                      <a:effectLst/>
                    </wps:spPr>
                    <wps:txbx>
                      <w:txbxContent>
                        <w:p w14:paraId="601E3920" w14:textId="77777777" w:rsidR="00177334" w:rsidRDefault="00177334" w:rsidP="00D62209">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02826BB4" w14:textId="77777777" w:rsidR="00177334" w:rsidRPr="00EB1363" w:rsidRDefault="00177334" w:rsidP="00EB1363">
                          <w:pPr>
                            <w:pStyle w:val="Paragraphestandard"/>
                            <w:jc w:val="center"/>
                            <w:rPr>
                              <w:rFonts w:ascii="Arial" w:hAnsi="Arial" w:cs="Arial"/>
                              <w:w w:val="93"/>
                              <w:sz w:val="14"/>
                              <w:szCs w:val="14"/>
                            </w:rPr>
                          </w:pPr>
                          <w:r>
                            <w:rPr>
                              <w:rFonts w:ascii="Arial" w:hAnsi="Arial" w:cs="Arial"/>
                              <w:w w:val="93"/>
                              <w:sz w:val="14"/>
                              <w:szCs w:val="14"/>
                            </w:rPr>
                            <w:t>congress.bureau@coe.int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FD9E4" id="_x0000_t202" coordsize="21600,21600" o:spt="202" path="m,l,21600r21600,l21600,xe">
              <v:stroke joinstyle="miter"/>
              <v:path gradientshapeok="t" o:connecttype="rect"/>
            </v:shapetype>
            <v:shape id="Zone de texte 3" o:spid="_x0000_s1026" type="#_x0000_t202" style="position:absolute;margin-left:159pt;margin-top:788pt;width:81.6pt;height:2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" o:allowincell="f" o:allowoverlap="f" filled="f" stroked="f" strokeweight=".5pt">
              <v:textbox inset="0,0,0,0">
                <w:txbxContent>
                  <w:p w14:paraId="601E3920" w14:textId="77777777" w:rsidR="00177334" w:rsidRDefault="00177334" w:rsidP="00D62209">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02826BB4" w14:textId="77777777" w:rsidR="00177334" w:rsidRPr="00EB1363" w:rsidRDefault="00177334" w:rsidP="00EB1363">
                    <w:pPr>
                      <w:pStyle w:val="Paragraphestandard"/>
                      <w:jc w:val="center"/>
                      <w:rPr>
                        <w:rFonts w:ascii="Arial" w:hAnsi="Arial" w:cs="Arial"/>
                        <w:w w:val="93"/>
                        <w:sz w:val="14"/>
                        <w:szCs w:val="14"/>
                      </w:rPr>
                    </w:pPr>
                    <w:r>
                      <w:rPr>
                        <w:rFonts w:ascii="Arial" w:hAnsi="Arial" w:cs="Arial"/>
                        <w:w w:val="93"/>
                        <w:sz w:val="14"/>
                        <w:szCs w:val="14"/>
                      </w:rPr>
                      <w:t>congress.bureau@coe.int</w:t>
                    </w:r>
                  </w:p>
                </w:txbxContent>
              </v:textbox>
              <w10:wrap anchorx="page" anchory="page"/>
            </v:shape>
          </w:pict>
        </mc:Fallback>
      </mc:AlternateContent>
    </w:r>
    <w:r>
      <w:rPr>
        <w:rFonts w:cs="Tahoma"/>
        <w:noProof/>
        <w:sz w:val="12"/>
        <w:szCs w:val="12"/>
        <w:lang w:val="fr-FR" w:eastAsia="fr-FR"/>
      </w:rPr>
      <w:drawing>
        <wp:inline distT="0" distB="0" distL="0" distR="0" wp14:anchorId="6DDE0DC6" wp14:editId="7AC35D09">
          <wp:extent cx="5723255" cy="706755"/>
          <wp:effectExtent l="0" t="0" r="0" b="0"/>
          <wp:docPr id="1" name="Image 1"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706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F2D7" w14:textId="77777777" w:rsidR="00A14754" w:rsidRDefault="00A14754" w:rsidP="00177334">
      <w:r>
        <w:separator/>
      </w:r>
    </w:p>
  </w:footnote>
  <w:footnote w:type="continuationSeparator" w:id="0">
    <w:p w14:paraId="5F5AB26C" w14:textId="77777777" w:rsidR="00A14754" w:rsidRDefault="00A14754" w:rsidP="00177334">
      <w:r>
        <w:continuationSeparator/>
      </w:r>
    </w:p>
  </w:footnote>
  <w:footnote w:id="1">
    <w:p w14:paraId="4E07E29F" w14:textId="77777777" w:rsidR="00DE2B7D" w:rsidRDefault="00DE2B7D" w:rsidP="00DE2B7D">
      <w:pPr>
        <w:jc w:val="both"/>
        <w:rPr>
          <w:rFonts w:ascii="Arial" w:hAnsi="Arial" w:cs="Arial"/>
          <w:sz w:val="16"/>
          <w:szCs w:val="16"/>
        </w:rPr>
      </w:pPr>
      <w:bookmarkStart w:id="0" w:name="_Hlk130318120"/>
      <w:r w:rsidRPr="00DE2B7D">
        <w:rPr>
          <w:rStyle w:val="FootnoteReference"/>
          <w:rFonts w:ascii="Arial" w:hAnsi="Arial" w:cs="Arial"/>
          <w:sz w:val="16"/>
          <w:szCs w:val="16"/>
        </w:rPr>
        <w:t>[1]</w:t>
      </w:r>
      <w:r w:rsidRPr="00DE2B7D">
        <w:rPr>
          <w:rFonts w:ascii="Arial" w:hAnsi="Arial" w:cs="Arial"/>
          <w:sz w:val="16"/>
          <w:szCs w:val="16"/>
        </w:rPr>
        <w:t xml:space="preserve"> Adopted by the Statutory Forum on 6 July 2023 via online voting, co-rapporteurs: Konstantinos KOUKAS, Greece (L, EPP/CCE) and Lia MONTALTI, Italy (R, SOC/G/PD).</w:t>
      </w:r>
    </w:p>
    <w:p w14:paraId="23434D11" w14:textId="55B9ED5D" w:rsidR="004158B4" w:rsidRPr="00546360" w:rsidRDefault="004158B4" w:rsidP="004158B4">
      <w:pPr>
        <w:ind w:right="-23"/>
        <w:jc w:val="both"/>
        <w:rPr>
          <w:rFonts w:ascii="Arial" w:hAnsi="Arial" w:cs="Arial"/>
          <w:sz w:val="16"/>
          <w:szCs w:val="16"/>
        </w:rPr>
      </w:pPr>
    </w:p>
    <w:bookmarkEnd w:id="0"/>
  </w:footnote>
  <w:footnote w:id="2">
    <w:p w14:paraId="67F04FE1" w14:textId="77777777" w:rsidR="004158B4" w:rsidRPr="00E2500A" w:rsidRDefault="004158B4" w:rsidP="004158B4">
      <w:pPr>
        <w:pStyle w:val="FootnoteText"/>
      </w:pPr>
      <w:r w:rsidRPr="00E2500A">
        <w:rPr>
          <w:rFonts w:ascii="Arial" w:hAnsi="Arial" w:cs="Arial"/>
          <w:sz w:val="16"/>
          <w:szCs w:val="16"/>
          <w:lang w:val="en-US"/>
        </w:rPr>
        <w:footnoteRef/>
      </w:r>
      <w:r w:rsidRPr="00E2500A">
        <w:rPr>
          <w:rFonts w:ascii="Arial" w:hAnsi="Arial" w:cs="Arial"/>
          <w:sz w:val="16"/>
          <w:szCs w:val="16"/>
          <w:lang w:val="en-US"/>
        </w:rPr>
        <w:t xml:space="preserve"> Appendix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9D2E" w14:textId="078F65F9" w:rsidR="00483DB0" w:rsidRDefault="000E46C1" w:rsidP="005B4CA5">
    <w:pPr>
      <w:pStyle w:val="Header"/>
      <w:rPr>
        <w:rFonts w:ascii="Arial" w:hAnsi="Arial" w:cs="Arial"/>
        <w:bCs/>
        <w:sz w:val="20"/>
        <w:szCs w:val="20"/>
        <w:lang w:val="en-US"/>
      </w:rPr>
    </w:pPr>
    <w:r>
      <w:rPr>
        <w:rFonts w:ascii="Arial" w:hAnsi="Arial" w:cs="Arial"/>
        <w:bCs/>
        <w:sz w:val="20"/>
        <w:szCs w:val="20"/>
        <w:lang w:val="en-US"/>
      </w:rPr>
      <w:t>REC 495(2023)</w:t>
    </w:r>
  </w:p>
  <w:p w14:paraId="1264ACA8" w14:textId="77777777" w:rsidR="00483DB0" w:rsidRPr="005B4CA5" w:rsidRDefault="00483DB0" w:rsidP="005B4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64B8" w14:textId="6A2BFABC" w:rsidR="00483DB0" w:rsidRDefault="000E46C1" w:rsidP="00483DB0">
    <w:pPr>
      <w:pStyle w:val="Header"/>
      <w:jc w:val="right"/>
      <w:rPr>
        <w:rFonts w:ascii="Arial" w:hAnsi="Arial" w:cs="Arial"/>
        <w:bCs/>
        <w:sz w:val="20"/>
        <w:szCs w:val="20"/>
        <w:lang w:val="en-US"/>
      </w:rPr>
    </w:pPr>
    <w:r>
      <w:rPr>
        <w:rFonts w:ascii="Arial" w:hAnsi="Arial" w:cs="Arial"/>
        <w:bCs/>
        <w:sz w:val="20"/>
        <w:szCs w:val="20"/>
        <w:lang w:val="en-US"/>
      </w:rPr>
      <w:t>REC 495(2023)</w:t>
    </w:r>
  </w:p>
  <w:p w14:paraId="319096C2" w14:textId="77777777" w:rsidR="00177334" w:rsidRDefault="00177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FD9B" w14:textId="458D6B7E" w:rsidR="00177334" w:rsidRDefault="00DE2B7D" w:rsidP="00966B4A">
    <w:pPr>
      <w:jc w:val="center"/>
      <w:rPr>
        <w:rFonts w:ascii="Arial" w:hAnsi="Arial" w:cs="Arial"/>
        <w:sz w:val="20"/>
        <w:szCs w:val="20"/>
        <w:lang w:val="fr-FR"/>
      </w:rPr>
    </w:pPr>
    <w:r>
      <w:rPr>
        <w:noProof/>
        <w:lang w:val="en-US"/>
      </w:rPr>
      <w:drawing>
        <wp:inline distT="0" distB="0" distL="0" distR="0" wp14:anchorId="5D61A1F4" wp14:editId="058EFE09">
          <wp:extent cx="5727700" cy="831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31850"/>
                  </a:xfrm>
                  <a:prstGeom prst="rect">
                    <a:avLst/>
                  </a:prstGeom>
                  <a:noFill/>
                  <a:ln>
                    <a:noFill/>
                  </a:ln>
                </pic:spPr>
              </pic:pic>
            </a:graphicData>
          </a:graphic>
        </wp:inline>
      </w:drawing>
    </w:r>
  </w:p>
  <w:p w14:paraId="064B1B33" w14:textId="77777777" w:rsidR="00177334" w:rsidRDefault="00177334" w:rsidP="00D62209">
    <w:pPr>
      <w:rPr>
        <w:rFonts w:ascii="Arial" w:hAnsi="Arial" w:cs="Arial"/>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4008"/>
    <w:multiLevelType w:val="hybridMultilevel"/>
    <w:tmpl w:val="9BFEFF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6778F8"/>
    <w:multiLevelType w:val="hybridMultilevel"/>
    <w:tmpl w:val="1C24D2EA"/>
    <w:lvl w:ilvl="0" w:tplc="4D2055A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BF6CD6"/>
    <w:multiLevelType w:val="hybridMultilevel"/>
    <w:tmpl w:val="586EC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4A2EB5"/>
    <w:multiLevelType w:val="hybridMultilevel"/>
    <w:tmpl w:val="67B62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936117"/>
    <w:multiLevelType w:val="hybridMultilevel"/>
    <w:tmpl w:val="C3D2F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9232116">
    <w:abstractNumId w:val="4"/>
  </w:num>
  <w:num w:numId="2" w16cid:durableId="402795639">
    <w:abstractNumId w:val="0"/>
  </w:num>
  <w:num w:numId="3" w16cid:durableId="275522076">
    <w:abstractNumId w:val="2"/>
  </w:num>
  <w:num w:numId="4" w16cid:durableId="1086806301">
    <w:abstractNumId w:val="1"/>
  </w:num>
  <w:num w:numId="5" w16cid:durableId="2117207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34"/>
    <w:rsid w:val="00041FB2"/>
    <w:rsid w:val="000C6551"/>
    <w:rsid w:val="000E46C1"/>
    <w:rsid w:val="00104494"/>
    <w:rsid w:val="00177334"/>
    <w:rsid w:val="001C0D7E"/>
    <w:rsid w:val="00216811"/>
    <w:rsid w:val="002306B1"/>
    <w:rsid w:val="00291B2A"/>
    <w:rsid w:val="002E57D2"/>
    <w:rsid w:val="00303719"/>
    <w:rsid w:val="00314A99"/>
    <w:rsid w:val="00337C54"/>
    <w:rsid w:val="003D1FA7"/>
    <w:rsid w:val="0041529A"/>
    <w:rsid w:val="004158B4"/>
    <w:rsid w:val="00427CE2"/>
    <w:rsid w:val="00452085"/>
    <w:rsid w:val="00457073"/>
    <w:rsid w:val="00483DB0"/>
    <w:rsid w:val="00494AA7"/>
    <w:rsid w:val="00501E85"/>
    <w:rsid w:val="005B4CA5"/>
    <w:rsid w:val="00624022"/>
    <w:rsid w:val="00690928"/>
    <w:rsid w:val="006B33A1"/>
    <w:rsid w:val="006F5A15"/>
    <w:rsid w:val="0073093D"/>
    <w:rsid w:val="007359EC"/>
    <w:rsid w:val="00740794"/>
    <w:rsid w:val="0088484E"/>
    <w:rsid w:val="008C1DA0"/>
    <w:rsid w:val="008C3BD3"/>
    <w:rsid w:val="008D7EF6"/>
    <w:rsid w:val="00927E5C"/>
    <w:rsid w:val="00947938"/>
    <w:rsid w:val="00966B4A"/>
    <w:rsid w:val="009A1EA7"/>
    <w:rsid w:val="009B1D60"/>
    <w:rsid w:val="009C76F9"/>
    <w:rsid w:val="00A14754"/>
    <w:rsid w:val="00A55CCD"/>
    <w:rsid w:val="00A847D8"/>
    <w:rsid w:val="00AA59F4"/>
    <w:rsid w:val="00B17CA8"/>
    <w:rsid w:val="00B35916"/>
    <w:rsid w:val="00B535FC"/>
    <w:rsid w:val="00B8220A"/>
    <w:rsid w:val="00BC2A35"/>
    <w:rsid w:val="00BD708B"/>
    <w:rsid w:val="00C33CFF"/>
    <w:rsid w:val="00CA76C9"/>
    <w:rsid w:val="00CC4081"/>
    <w:rsid w:val="00CF30CD"/>
    <w:rsid w:val="00D92971"/>
    <w:rsid w:val="00DB4840"/>
    <w:rsid w:val="00DE2B7D"/>
    <w:rsid w:val="00E068FB"/>
    <w:rsid w:val="00EB1363"/>
    <w:rsid w:val="00ED69CC"/>
    <w:rsid w:val="00F07542"/>
    <w:rsid w:val="00F22CD9"/>
    <w:rsid w:val="00F2441B"/>
    <w:rsid w:val="00F403C8"/>
    <w:rsid w:val="00F630FB"/>
    <w:rsid w:val="00F632DC"/>
    <w:rsid w:val="00F77C46"/>
    <w:rsid w:val="00FA5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A0217"/>
  <w15:docId w15:val="{2503F2DD-8E64-479B-8F38-C655B0DB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34"/>
    <w:pPr>
      <w:jc w:val="left"/>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7334"/>
    <w:pPr>
      <w:tabs>
        <w:tab w:val="center" w:pos="4320"/>
        <w:tab w:val="right" w:pos="8640"/>
      </w:tabs>
    </w:pPr>
  </w:style>
  <w:style w:type="character" w:customStyle="1" w:styleId="HeaderChar">
    <w:name w:val="Header Char"/>
    <w:basedOn w:val="DefaultParagraphFont"/>
    <w:link w:val="Header"/>
    <w:rsid w:val="00177334"/>
    <w:rPr>
      <w:rFonts w:ascii="Times New Roman" w:eastAsia="Times New Roman" w:hAnsi="Times New Roman" w:cs="Times New Roman"/>
      <w:sz w:val="24"/>
      <w:szCs w:val="24"/>
      <w:lang w:val="en-GB"/>
    </w:rPr>
  </w:style>
  <w:style w:type="paragraph" w:styleId="Footer">
    <w:name w:val="footer"/>
    <w:basedOn w:val="Normal"/>
    <w:link w:val="FooterChar"/>
    <w:uiPriority w:val="99"/>
    <w:rsid w:val="00177334"/>
    <w:pPr>
      <w:tabs>
        <w:tab w:val="center" w:pos="4320"/>
        <w:tab w:val="right" w:pos="8640"/>
      </w:tabs>
    </w:pPr>
  </w:style>
  <w:style w:type="character" w:customStyle="1" w:styleId="FooterChar">
    <w:name w:val="Footer Char"/>
    <w:basedOn w:val="DefaultParagraphFont"/>
    <w:link w:val="Footer"/>
    <w:uiPriority w:val="99"/>
    <w:rsid w:val="00177334"/>
    <w:rPr>
      <w:rFonts w:ascii="Times New Roman" w:eastAsia="Times New Roman" w:hAnsi="Times New Roman" w:cs="Times New Roman"/>
      <w:sz w:val="24"/>
      <w:szCs w:val="24"/>
      <w:lang w:val="en-GB"/>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Caratte"/>
    <w:basedOn w:val="Normal"/>
    <w:link w:val="FootnoteTextChar"/>
    <w:uiPriority w:val="99"/>
    <w:rsid w:val="00177334"/>
    <w:rPr>
      <w:sz w:val="20"/>
      <w:szCs w:val="20"/>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Caratte Char"/>
    <w:basedOn w:val="DefaultParagraphFont"/>
    <w:link w:val="FootnoteText"/>
    <w:uiPriority w:val="99"/>
    <w:qFormat/>
    <w:rsid w:val="00177334"/>
    <w:rPr>
      <w:rFonts w:ascii="Times New Roman" w:eastAsia="Times New Roman" w:hAnsi="Times New Roman" w:cs="Times New Roman"/>
      <w:lang w:val="en-GB"/>
    </w:rPr>
  </w:style>
  <w:style w:type="paragraph" w:customStyle="1" w:styleId="Paragraphestandard">
    <w:name w:val="[Paragraphe standard]"/>
    <w:basedOn w:val="Normal"/>
    <w:uiPriority w:val="99"/>
    <w:rsid w:val="00177334"/>
    <w:pPr>
      <w:autoSpaceDE w:val="0"/>
      <w:autoSpaceDN w:val="0"/>
      <w:adjustRightInd w:val="0"/>
      <w:spacing w:line="288" w:lineRule="auto"/>
      <w:textAlignment w:val="center"/>
    </w:pPr>
    <w:rPr>
      <w:rFonts w:ascii="Minion Pro" w:eastAsia="Calibri" w:hAnsi="Minion Pro" w:cs="Minion Pro"/>
      <w:color w:val="000000"/>
      <w:lang w:val="fr-FR"/>
    </w:rPr>
  </w:style>
  <w:style w:type="character" w:styleId="FootnoteReference">
    <w:name w:val="footnote reference"/>
    <w:aliases w:val="SUPERS,Footnote symbol,Times 10 Point,Exposant 3 Point,Footnote,Fußnotenzeichen_Raxen,Car Char Car Char Car Char Char Char Char Char Char Char,Footnote Refernece Char Char,Footnote Refernece Char,Footnotes refss,callout,fr"/>
    <w:link w:val="FootnotenumberCarCarCarCarCarCarCarCar"/>
    <w:uiPriority w:val="99"/>
    <w:unhideWhenUsed/>
    <w:rsid w:val="00177334"/>
    <w:rPr>
      <w:vertAlign w:val="superscript"/>
    </w:rPr>
  </w:style>
  <w:style w:type="paragraph" w:styleId="BalloonText">
    <w:name w:val="Balloon Text"/>
    <w:basedOn w:val="Normal"/>
    <w:link w:val="BalloonTextChar"/>
    <w:uiPriority w:val="99"/>
    <w:semiHidden/>
    <w:unhideWhenUsed/>
    <w:rsid w:val="00177334"/>
    <w:rPr>
      <w:rFonts w:ascii="Tahoma" w:hAnsi="Tahoma" w:cs="Tahoma"/>
      <w:sz w:val="16"/>
      <w:szCs w:val="16"/>
    </w:rPr>
  </w:style>
  <w:style w:type="character" w:customStyle="1" w:styleId="BalloonTextChar">
    <w:name w:val="Balloon Text Char"/>
    <w:basedOn w:val="DefaultParagraphFont"/>
    <w:link w:val="BalloonText"/>
    <w:uiPriority w:val="99"/>
    <w:semiHidden/>
    <w:rsid w:val="00177334"/>
    <w:rPr>
      <w:rFonts w:ascii="Tahoma" w:eastAsia="Times New Roman" w:hAnsi="Tahoma" w:cs="Tahoma"/>
      <w:sz w:val="16"/>
      <w:szCs w:val="16"/>
      <w:lang w:val="en-GB"/>
    </w:rPr>
  </w:style>
  <w:style w:type="character" w:customStyle="1" w:styleId="hps">
    <w:name w:val="hps"/>
    <w:rsid w:val="00483DB0"/>
  </w:style>
  <w:style w:type="character" w:customStyle="1" w:styleId="shorttext">
    <w:name w:val="short_text"/>
    <w:rsid w:val="00483DB0"/>
  </w:style>
  <w:style w:type="character" w:customStyle="1" w:styleId="alt-edited1">
    <w:name w:val="alt-edited1"/>
    <w:rsid w:val="00483DB0"/>
    <w:rPr>
      <w:color w:val="4D90F0"/>
    </w:rPr>
  </w:style>
  <w:style w:type="paragraph" w:styleId="ListParagraph">
    <w:name w:val="List Paragraph"/>
    <w:aliases w:val="List Paragraph 1"/>
    <w:basedOn w:val="Normal"/>
    <w:link w:val="ListParagraphChar"/>
    <w:uiPriority w:val="34"/>
    <w:qFormat/>
    <w:rsid w:val="000E46C1"/>
    <w:pPr>
      <w:widowControl w:val="0"/>
      <w:autoSpaceDE w:val="0"/>
      <w:autoSpaceDN w:val="0"/>
      <w:ind w:left="119" w:right="117" w:hanging="1"/>
      <w:jc w:val="both"/>
    </w:pPr>
    <w:rPr>
      <w:rFonts w:ascii="Arial" w:eastAsia="Arial" w:hAnsi="Arial" w:cs="Arial"/>
      <w:sz w:val="22"/>
      <w:szCs w:val="22"/>
      <w:lang w:val="fr-FR" w:eastAsia="fr-FR" w:bidi="fr-FR"/>
    </w:rPr>
  </w:style>
  <w:style w:type="table" w:styleId="TableGrid">
    <w:name w:val="Table Grid"/>
    <w:basedOn w:val="TableNormal"/>
    <w:uiPriority w:val="59"/>
    <w:rsid w:val="000E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0794"/>
    <w:rPr>
      <w:sz w:val="16"/>
      <w:szCs w:val="16"/>
    </w:rPr>
  </w:style>
  <w:style w:type="paragraph" w:styleId="CommentText">
    <w:name w:val="annotation text"/>
    <w:basedOn w:val="Normal"/>
    <w:link w:val="CommentTextChar"/>
    <w:uiPriority w:val="99"/>
    <w:semiHidden/>
    <w:unhideWhenUsed/>
    <w:rsid w:val="00740794"/>
    <w:rPr>
      <w:sz w:val="20"/>
      <w:szCs w:val="20"/>
    </w:rPr>
  </w:style>
  <w:style w:type="character" w:customStyle="1" w:styleId="CommentTextChar">
    <w:name w:val="Comment Text Char"/>
    <w:basedOn w:val="DefaultParagraphFont"/>
    <w:link w:val="CommentText"/>
    <w:uiPriority w:val="99"/>
    <w:semiHidden/>
    <w:rsid w:val="00740794"/>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740794"/>
    <w:rPr>
      <w:b/>
      <w:bCs/>
    </w:rPr>
  </w:style>
  <w:style w:type="character" w:customStyle="1" w:styleId="CommentSubjectChar">
    <w:name w:val="Comment Subject Char"/>
    <w:basedOn w:val="CommentTextChar"/>
    <w:link w:val="CommentSubject"/>
    <w:uiPriority w:val="99"/>
    <w:semiHidden/>
    <w:rsid w:val="00740794"/>
    <w:rPr>
      <w:rFonts w:ascii="Times New Roman" w:eastAsia="Times New Roman" w:hAnsi="Times New Roman" w:cs="Times New Roman"/>
      <w:b/>
      <w:bCs/>
      <w:lang w:val="en-GB"/>
    </w:rPr>
  </w:style>
  <w:style w:type="paragraph" w:customStyle="1" w:styleId="FootnotenumberCarCarCarCarCarCarCarCar">
    <w:name w:val="Footnote number Car Car Car Car Car Car Car Car"/>
    <w:aliases w:val="Car1 Car Car Car Car Car Car Car Car Car Car Car Car Car Car Car Car Car,Footnote number Car Car1 Car Car Car,Car1 Car Car Car Car Car Car Car Car Car1 Car Car Car Car"/>
    <w:basedOn w:val="Normal"/>
    <w:link w:val="FootnoteReference"/>
    <w:uiPriority w:val="99"/>
    <w:rsid w:val="00740794"/>
    <w:pPr>
      <w:spacing w:after="160" w:line="240" w:lineRule="exact"/>
    </w:pPr>
    <w:rPr>
      <w:rFonts w:ascii="Arial" w:eastAsiaTheme="minorHAnsi" w:hAnsi="Arial" w:cs="Arial"/>
      <w:sz w:val="20"/>
      <w:szCs w:val="20"/>
      <w:vertAlign w:val="superscript"/>
      <w:lang w:val="fr-FR"/>
    </w:rPr>
  </w:style>
  <w:style w:type="paragraph" w:styleId="TOC1">
    <w:name w:val="toc 1"/>
    <w:basedOn w:val="Normal"/>
    <w:next w:val="Normal"/>
    <w:autoRedefine/>
    <w:uiPriority w:val="39"/>
    <w:unhideWhenUsed/>
    <w:rsid w:val="004158B4"/>
    <w:pPr>
      <w:tabs>
        <w:tab w:val="right" w:leader="dot" w:pos="9639"/>
      </w:tabs>
      <w:ind w:left="851" w:hanging="851"/>
    </w:pPr>
    <w:rPr>
      <w:rFonts w:ascii="Arial" w:hAnsi="Arial" w:cs="Arial"/>
      <w:b/>
      <w:bCs/>
      <w:noProof/>
      <w:snapToGrid w:val="0"/>
      <w:sz w:val="20"/>
      <w:szCs w:val="20"/>
      <w:lang w:val="fr-FR" w:eastAsia="fr-FR"/>
    </w:rPr>
  </w:style>
  <w:style w:type="character" w:customStyle="1" w:styleId="COETitreChar">
    <w:name w:val="COE_Titre Char"/>
    <w:link w:val="COETitre"/>
    <w:locked/>
    <w:rsid w:val="004158B4"/>
    <w:rPr>
      <w:sz w:val="36"/>
      <w:lang w:eastAsia="fr-FR"/>
    </w:rPr>
  </w:style>
  <w:style w:type="paragraph" w:customStyle="1" w:styleId="COETitre">
    <w:name w:val="COE_Titre"/>
    <w:basedOn w:val="Normal"/>
    <w:link w:val="COETitreChar"/>
    <w:rsid w:val="004158B4"/>
    <w:pPr>
      <w:jc w:val="both"/>
    </w:pPr>
    <w:rPr>
      <w:rFonts w:ascii="Arial" w:eastAsiaTheme="minorHAnsi" w:hAnsi="Arial" w:cs="Arial"/>
      <w:sz w:val="36"/>
      <w:szCs w:val="20"/>
      <w:lang w:val="fr-FR" w:eastAsia="fr-FR"/>
    </w:rPr>
  </w:style>
  <w:style w:type="paragraph" w:customStyle="1" w:styleId="COETitreRapport">
    <w:name w:val="COE_Titre_Rapport"/>
    <w:basedOn w:val="COETitre"/>
    <w:rsid w:val="004158B4"/>
    <w:pPr>
      <w:jc w:val="left"/>
    </w:pPr>
    <w:rPr>
      <w:rFonts w:eastAsia="Times New Roman"/>
      <w:b/>
      <w:sz w:val="32"/>
    </w:rPr>
  </w:style>
  <w:style w:type="character" w:customStyle="1" w:styleId="ListParagraphChar">
    <w:name w:val="List Paragraph Char"/>
    <w:aliases w:val="List Paragraph 1 Char"/>
    <w:link w:val="ListParagraph"/>
    <w:uiPriority w:val="34"/>
    <w:rsid w:val="004158B4"/>
    <w:rPr>
      <w:rFonts w:eastAsia="Arial"/>
      <w:sz w:val="22"/>
      <w:szCs w:val="22"/>
      <w:lang w:eastAsia="fr-FR" w:bidi="fr-FR"/>
    </w:rPr>
  </w:style>
  <w:style w:type="paragraph" w:styleId="Revision">
    <w:name w:val="Revision"/>
    <w:hidden/>
    <w:uiPriority w:val="99"/>
    <w:semiHidden/>
    <w:rsid w:val="00457073"/>
    <w:pPr>
      <w:jc w:val="left"/>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B1B6-7DBB-4DC4-87E6-743A848E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2578</Words>
  <Characters>14182</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Anne-Marie</dc:creator>
  <cp:lastModifiedBy>PRIVAT Yann</cp:lastModifiedBy>
  <cp:revision>2</cp:revision>
  <cp:lastPrinted>2018-10-03T14:50:00Z</cp:lastPrinted>
  <dcterms:created xsi:type="dcterms:W3CDTF">2023-07-05T12:48:00Z</dcterms:created>
  <dcterms:modified xsi:type="dcterms:W3CDTF">2023-07-05T12:48:00Z</dcterms:modified>
</cp:coreProperties>
</file>