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B778DD5" w14:textId="77777777" w:rsidTr="00E54322">
        <w:trPr>
          <w:trHeight w:val="737"/>
        </w:trPr>
        <w:tc>
          <w:tcPr>
            <w:tcW w:w="1250" w:type="pct"/>
            <w:shd w:val="clear" w:color="auto" w:fill="auto"/>
            <w:vAlign w:val="center"/>
          </w:tcPr>
          <w:p w14:paraId="342A4621"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54D12286"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62653E8" w14:textId="6901BA65" w:rsidR="002D11B8" w:rsidRPr="00AF3009" w:rsidRDefault="00AF3009" w:rsidP="00FE16E3">
            <w:pPr>
              <w:ind w:left="-40"/>
              <w:jc w:val="center"/>
              <w:rPr>
                <w:rFonts w:ascii="Arial Narrow" w:hAnsi="Arial Narrow" w:cs="Arial"/>
                <w:b/>
                <w:sz w:val="24"/>
                <w:szCs w:val="24"/>
              </w:rPr>
            </w:pPr>
            <w:r w:rsidRPr="00AF3009">
              <w:rPr>
                <w:rFonts w:ascii="Arial Narrow" w:hAnsi="Arial Narrow" w:cs="Calibri"/>
                <w:b/>
                <w:sz w:val="24"/>
                <w:szCs w:val="24"/>
              </w:rPr>
              <w:t>CM(2022)44-addfinal</w:t>
            </w:r>
          </w:p>
        </w:tc>
        <w:tc>
          <w:tcPr>
            <w:tcW w:w="1250" w:type="pct"/>
            <w:shd w:val="clear" w:color="auto" w:fill="auto"/>
            <w:vAlign w:val="center"/>
          </w:tcPr>
          <w:p w14:paraId="376DD455" w14:textId="5281FA06" w:rsidR="002D11B8" w:rsidRPr="00F96689" w:rsidRDefault="00587701" w:rsidP="00FE16E3">
            <w:pPr>
              <w:jc w:val="right"/>
              <w:rPr>
                <w:rFonts w:ascii="Arial Narrow" w:hAnsi="Arial Narrow" w:cs="Arial"/>
                <w:sz w:val="16"/>
                <w:szCs w:val="16"/>
              </w:rPr>
            </w:pPr>
            <w:r>
              <w:rPr>
                <w:rFonts w:ascii="Arial Narrow" w:hAnsi="Arial Narrow" w:cs="Calibri"/>
                <w:sz w:val="16"/>
                <w:szCs w:val="16"/>
              </w:rPr>
              <w:t>6</w:t>
            </w:r>
            <w:r w:rsidR="003C2376">
              <w:rPr>
                <w:rFonts w:ascii="Arial Narrow" w:hAnsi="Arial Narrow" w:cs="Calibri"/>
                <w:sz w:val="16"/>
                <w:szCs w:val="16"/>
              </w:rPr>
              <w:t xml:space="preserve"> April</w:t>
            </w:r>
            <w:r w:rsidR="002D11B8" w:rsidRPr="00F96689">
              <w:rPr>
                <w:rFonts w:ascii="Arial Narrow" w:hAnsi="Arial Narrow" w:cs="Calibri"/>
                <w:sz w:val="16"/>
                <w:szCs w:val="16"/>
              </w:rPr>
              <w:t xml:space="preserve"> </w:t>
            </w:r>
            <w:r w:rsidR="006D745B">
              <w:rPr>
                <w:rFonts w:ascii="Arial Narrow" w:hAnsi="Arial Narrow" w:cs="Calibri"/>
                <w:sz w:val="16"/>
                <w:szCs w:val="16"/>
              </w:rPr>
              <w:t>2022</w:t>
            </w:r>
          </w:p>
        </w:tc>
      </w:tr>
    </w:tbl>
    <w:p w14:paraId="0488ECC3"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23D961E" w14:textId="77777777" w:rsidTr="00E54322">
        <w:tc>
          <w:tcPr>
            <w:tcW w:w="9399" w:type="dxa"/>
            <w:shd w:val="clear" w:color="auto" w:fill="auto"/>
            <w:tcMar>
              <w:top w:w="227" w:type="dxa"/>
              <w:bottom w:w="227" w:type="dxa"/>
            </w:tcMar>
            <w:vAlign w:val="center"/>
          </w:tcPr>
          <w:p w14:paraId="13EFBA27" w14:textId="3B4C6037"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8D1088">
              <w:rPr>
                <w:rFonts w:ascii="Arial Narrow" w:hAnsi="Arial Narrow" w:cs="Calibri"/>
                <w:b/>
                <w:bCs/>
                <w:sz w:val="32"/>
                <w:szCs w:val="32"/>
              </w:rPr>
              <w:t>4</w:t>
            </w:r>
            <w:r w:rsidR="005F63A2">
              <w:rPr>
                <w:rFonts w:ascii="Arial Narrow" w:hAnsi="Arial Narrow" w:cs="Calibri"/>
                <w:b/>
                <w:bCs/>
                <w:sz w:val="32"/>
                <w:szCs w:val="32"/>
              </w:rPr>
              <w:t>31</w:t>
            </w:r>
            <w:r w:rsidR="005F63A2" w:rsidRPr="005F63A2">
              <w:rPr>
                <w:rFonts w:ascii="Arial Narrow" w:hAnsi="Arial Narrow" w:cs="Calibri"/>
                <w:b/>
                <w:bCs/>
                <w:sz w:val="32"/>
                <w:szCs w:val="32"/>
                <w:vertAlign w:val="superscript"/>
              </w:rPr>
              <w:t>st</w:t>
            </w:r>
            <w:r w:rsidR="005F63A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5F63A2">
              <w:rPr>
                <w:rFonts w:ascii="Arial Narrow" w:hAnsi="Arial Narrow" w:cs="Calibri"/>
                <w:b/>
                <w:bCs/>
                <w:sz w:val="32"/>
                <w:szCs w:val="32"/>
              </w:rPr>
              <w:t>6 April</w:t>
            </w:r>
            <w:r w:rsidRPr="003D6AC2">
              <w:rPr>
                <w:rFonts w:ascii="Arial Narrow" w:hAnsi="Arial Narrow" w:cs="Calibri"/>
                <w:b/>
                <w:bCs/>
                <w:sz w:val="32"/>
                <w:szCs w:val="32"/>
              </w:rPr>
              <w:t xml:space="preserve"> </w:t>
            </w:r>
            <w:r w:rsidR="006D745B">
              <w:rPr>
                <w:rFonts w:ascii="Arial Narrow" w:hAnsi="Arial Narrow" w:cs="Calibri"/>
                <w:b/>
                <w:bCs/>
                <w:sz w:val="32"/>
                <w:szCs w:val="32"/>
              </w:rPr>
              <w:t>2022</w:t>
            </w:r>
          </w:p>
          <w:p w14:paraId="6EC51E51" w14:textId="4197C32D" w:rsidR="00242ABB" w:rsidRPr="003D6AC2" w:rsidRDefault="005F63A2" w:rsidP="00E54322">
            <w:pPr>
              <w:rPr>
                <w:rFonts w:ascii="Arial Narrow" w:hAnsi="Arial Narrow" w:cs="Calibri"/>
                <w:sz w:val="22"/>
              </w:rPr>
            </w:pPr>
            <w:r>
              <w:rPr>
                <w:rFonts w:ascii="Arial Narrow" w:hAnsi="Arial Narrow" w:cs="Calibri"/>
                <w:sz w:val="22"/>
              </w:rPr>
              <w:t>5 Media</w:t>
            </w:r>
          </w:p>
          <w:p w14:paraId="1B28F374"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0D105D85" w14:textId="1CA7C083" w:rsidR="003D6AC2" w:rsidRPr="00385587" w:rsidRDefault="005F63A2" w:rsidP="00E54322">
            <w:pPr>
              <w:rPr>
                <w:rFonts w:ascii="Arial Narrow" w:hAnsi="Arial Narrow" w:cs="Calibri"/>
                <w:b/>
                <w:sz w:val="28"/>
                <w:szCs w:val="28"/>
              </w:rPr>
            </w:pPr>
            <w:r>
              <w:rPr>
                <w:rFonts w:ascii="Arial Narrow" w:hAnsi="Arial Narrow" w:cs="Calibri"/>
                <w:b/>
                <w:sz w:val="28"/>
                <w:szCs w:val="28"/>
              </w:rPr>
              <w:t>5</w:t>
            </w:r>
            <w:r w:rsidR="003D6AC2" w:rsidRPr="00385587">
              <w:rPr>
                <w:rFonts w:ascii="Arial Narrow" w:hAnsi="Arial Narrow" w:cs="Calibri"/>
                <w:b/>
                <w:sz w:val="28"/>
                <w:szCs w:val="28"/>
              </w:rPr>
              <w:t>.</w:t>
            </w:r>
            <w:r w:rsidR="00DF3AB4">
              <w:rPr>
                <w:rFonts w:ascii="Arial Narrow" w:hAnsi="Arial Narrow" w:cs="Calibri"/>
                <w:b/>
                <w:sz w:val="28"/>
                <w:szCs w:val="28"/>
              </w:rPr>
              <w:t>1</w:t>
            </w:r>
            <w:r w:rsidR="003D6AC2" w:rsidRPr="00385587">
              <w:rPr>
                <w:rFonts w:ascii="Arial Narrow" w:hAnsi="Arial Narrow" w:cs="Calibri"/>
                <w:b/>
                <w:sz w:val="28"/>
                <w:szCs w:val="28"/>
              </w:rPr>
              <w:t xml:space="preserve"> </w:t>
            </w:r>
            <w:r w:rsidRPr="005F63A2">
              <w:rPr>
                <w:rFonts w:ascii="Arial Narrow" w:hAnsi="Arial Narrow" w:cs="Calibri"/>
                <w:b/>
                <w:sz w:val="28"/>
                <w:szCs w:val="28"/>
              </w:rPr>
              <w:t>Steering Committee on Media and Information Society (CDMSI)</w:t>
            </w:r>
          </w:p>
          <w:p w14:paraId="45A83D1F" w14:textId="3D0B5EC6" w:rsidR="00E457C3" w:rsidRPr="003C2376" w:rsidRDefault="00DF3AB4" w:rsidP="00FE16E3">
            <w:pPr>
              <w:rPr>
                <w:rFonts w:ascii="Arial Narrow" w:hAnsi="Arial Narrow" w:cs="Calibri"/>
                <w:sz w:val="22"/>
              </w:rPr>
            </w:pPr>
            <w:r>
              <w:rPr>
                <w:rFonts w:ascii="Arial Narrow" w:hAnsi="Arial Narrow" w:cs="Calibri"/>
                <w:sz w:val="22"/>
              </w:rPr>
              <w:t xml:space="preserve">a. </w:t>
            </w:r>
            <w:r w:rsidR="005F63A2" w:rsidRPr="005F63A2">
              <w:rPr>
                <w:rFonts w:ascii="Arial Narrow" w:hAnsi="Arial Narrow" w:cs="Calibri"/>
                <w:sz w:val="22"/>
              </w:rPr>
              <w:t xml:space="preserve">Explanatory Memorandum to Recommendation </w:t>
            </w:r>
            <w:bookmarkStart w:id="0" w:name="_ML_000000000001_VALID"/>
            <w:r w:rsidR="00AF3009" w:rsidRPr="00AF3009">
              <w:rPr>
                <w:rFonts w:ascii="Arial Narrow" w:hAnsi="Arial Narrow" w:cs="Calibri"/>
                <w:sz w:val="22"/>
              </w:rPr>
              <w:fldChar w:fldCharType="begin"/>
            </w:r>
            <w:r w:rsidR="00AF3009" w:rsidRPr="00AF3009">
              <w:rPr>
                <w:rFonts w:ascii="Arial Narrow" w:hAnsi="Arial Narrow" w:cs="Calibri"/>
                <w:sz w:val="22"/>
              </w:rPr>
              <w:instrText xml:space="preserve"> HYPERLINK "https://search.coe.int/cm/Pages/result_details.aspx?Reference=CM/Rec(2022)11" \o "Recommendation of the Committee of Ministers to member States on principles for media and communication governance (Adopted by the Committee of Ministers on 6 April 2022 at the 1431st meeting of the Ministers' Deputies)" </w:instrText>
            </w:r>
            <w:r w:rsidR="00AF3009" w:rsidRPr="00AF3009">
              <w:rPr>
                <w:rFonts w:ascii="Arial Narrow" w:hAnsi="Arial Narrow" w:cs="Calibri"/>
                <w:sz w:val="22"/>
              </w:rPr>
            </w:r>
            <w:r w:rsidR="00AF3009" w:rsidRPr="00AF3009">
              <w:rPr>
                <w:rFonts w:ascii="Arial Narrow" w:hAnsi="Arial Narrow" w:cs="Calibri"/>
                <w:sz w:val="22"/>
              </w:rPr>
              <w:fldChar w:fldCharType="separate"/>
            </w:r>
            <w:bookmarkEnd w:id="0"/>
            <w:r w:rsidR="00AF3009" w:rsidRPr="00AF3009">
              <w:rPr>
                <w:rStyle w:val="Hyperlink"/>
                <w:rFonts w:ascii="Arial Narrow" w:hAnsi="Arial Narrow" w:cs="Calibri"/>
                <w:sz w:val="22"/>
              </w:rPr>
              <w:t>CM/Rec(2022)11</w:t>
            </w:r>
            <w:r w:rsidR="00AF3009" w:rsidRPr="00AF3009">
              <w:rPr>
                <w:rFonts w:ascii="Arial Narrow" w:hAnsi="Arial Narrow" w:cs="Calibri"/>
                <w:sz w:val="22"/>
              </w:rPr>
              <w:fldChar w:fldCharType="end"/>
            </w:r>
            <w:r w:rsidR="005F63A2" w:rsidRPr="005F63A2">
              <w:rPr>
                <w:rFonts w:ascii="Arial Narrow" w:hAnsi="Arial Narrow" w:cs="Calibri"/>
                <w:sz w:val="22"/>
              </w:rPr>
              <w:t xml:space="preserve"> of the Committee of Ministers to member States on principles for media and communication governanc</w:t>
            </w:r>
            <w:r w:rsidR="005F63A2">
              <w:rPr>
                <w:rFonts w:ascii="Arial Narrow" w:hAnsi="Arial Narrow" w:cs="Calibri"/>
                <w:sz w:val="22"/>
              </w:rPr>
              <w:t xml:space="preserve">e </w:t>
            </w:r>
          </w:p>
        </w:tc>
      </w:tr>
    </w:tbl>
    <w:p w14:paraId="6FB4DE27" w14:textId="77777777" w:rsidR="00E54322" w:rsidRPr="008C7EF3" w:rsidRDefault="00E54322" w:rsidP="0037200F">
      <w:pPr>
        <w:rPr>
          <w:rFonts w:eastAsia="Times New Roman" w:cs="Arial"/>
          <w:szCs w:val="20"/>
        </w:rPr>
      </w:pPr>
      <w:r>
        <w:rPr>
          <w:rFonts w:eastAsia="Times New Roman"/>
          <w:szCs w:val="24"/>
        </w:rPr>
        <w:t xml:space="preserve"> </w:t>
      </w:r>
    </w:p>
    <w:p w14:paraId="12EF7BE1" w14:textId="39A500FB" w:rsidR="005F63A2" w:rsidRPr="008C7EF3" w:rsidRDefault="005F63A2" w:rsidP="005F63A2">
      <w:pPr>
        <w:rPr>
          <w:rStyle w:val="Strong"/>
          <w:rFonts w:ascii="Arial" w:hAnsi="Arial" w:cs="Arial"/>
          <w:sz w:val="20"/>
          <w:szCs w:val="20"/>
        </w:rPr>
      </w:pPr>
      <w:r w:rsidRPr="008C7EF3">
        <w:rPr>
          <w:rStyle w:val="Strong"/>
          <w:rFonts w:ascii="Arial" w:hAnsi="Arial" w:cs="Arial"/>
          <w:sz w:val="20"/>
          <w:szCs w:val="20"/>
        </w:rPr>
        <w:t>Introduction</w:t>
      </w:r>
    </w:p>
    <w:p w14:paraId="0A236053" w14:textId="77777777" w:rsidR="005F63A2" w:rsidRPr="008C7EF3" w:rsidRDefault="005F63A2" w:rsidP="005F63A2">
      <w:pPr>
        <w:rPr>
          <w:rStyle w:val="Strong"/>
          <w:rFonts w:ascii="Arial" w:hAnsi="Arial" w:cs="Arial"/>
          <w:sz w:val="20"/>
          <w:szCs w:val="20"/>
        </w:rPr>
      </w:pPr>
    </w:p>
    <w:p w14:paraId="08701E44" w14:textId="77777777" w:rsidR="005F63A2" w:rsidRPr="001C5160" w:rsidRDefault="005F63A2" w:rsidP="005F63A2">
      <w:pPr>
        <w:rPr>
          <w:rFonts w:eastAsia="Arial" w:cs="Arial"/>
          <w:szCs w:val="20"/>
        </w:rPr>
      </w:pPr>
      <w:r w:rsidRPr="008C7EF3">
        <w:rPr>
          <w:rFonts w:eastAsia="Arial" w:cs="Arial"/>
          <w:szCs w:val="20"/>
        </w:rPr>
        <w:t>In light of the structural transformation of the public sphere and related challenges, media and communication governance needs to be modernised. Such modernisation is imperative in order to still be able</w:t>
      </w:r>
      <w:r w:rsidRPr="001C5160">
        <w:rPr>
          <w:rFonts w:eastAsia="Arial" w:cs="Arial"/>
          <w:szCs w:val="20"/>
        </w:rPr>
        <w:t xml:space="preserve"> to protect and promote human rights and fundamental freedoms as well as to create and maintain the structural conditions that ensure the adequate functioning of the media and the public sphere for democracy.</w:t>
      </w:r>
    </w:p>
    <w:p w14:paraId="5045BAAB" w14:textId="77777777" w:rsidR="005F63A2" w:rsidRPr="001C5160" w:rsidRDefault="005F63A2" w:rsidP="005F63A2">
      <w:pPr>
        <w:rPr>
          <w:rFonts w:eastAsia="Arial" w:cs="Arial"/>
          <w:szCs w:val="20"/>
        </w:rPr>
      </w:pPr>
    </w:p>
    <w:p w14:paraId="1E171328" w14:textId="77777777" w:rsidR="005F63A2" w:rsidRPr="001C5160" w:rsidRDefault="005F63A2" w:rsidP="005F63A2">
      <w:pPr>
        <w:rPr>
          <w:rFonts w:eastAsia="Arial" w:cs="Arial"/>
          <w:szCs w:val="20"/>
        </w:rPr>
      </w:pPr>
      <w:r w:rsidRPr="001C5160">
        <w:rPr>
          <w:rFonts w:eastAsia="Arial" w:cs="Arial"/>
          <w:szCs w:val="20"/>
        </w:rPr>
        <w:t>Both in the process of developing and enforcing as well as in the substantive content of media and communication governance, States and public authorities (including independent regulatory authorities), organisations of industry self-regulation and co-regulation as well as individual media and platform actors have to respect Council of Europe standards and values. This is all the more important given the sensitive nature of media and communication governance, as it also affects the organisations playing a watchdog role with respect to public and political affairs as well as business-related matters.</w:t>
      </w:r>
    </w:p>
    <w:p w14:paraId="7646A19F" w14:textId="77777777" w:rsidR="005F63A2" w:rsidRPr="001C5160" w:rsidRDefault="005F63A2" w:rsidP="005F63A2">
      <w:pPr>
        <w:rPr>
          <w:rFonts w:eastAsia="Arial" w:cs="Arial"/>
          <w:szCs w:val="20"/>
        </w:rPr>
      </w:pPr>
    </w:p>
    <w:p w14:paraId="0EB34487" w14:textId="77777777" w:rsidR="005F63A2" w:rsidRPr="001C5160" w:rsidRDefault="005F63A2" w:rsidP="005F63A2">
      <w:pPr>
        <w:rPr>
          <w:rFonts w:eastAsia="Arial" w:cs="Arial"/>
          <w:szCs w:val="20"/>
        </w:rPr>
      </w:pPr>
      <w:r w:rsidRPr="001C5160">
        <w:rPr>
          <w:rFonts w:eastAsia="Arial" w:cs="Arial"/>
          <w:szCs w:val="20"/>
        </w:rPr>
        <w:t xml:space="preserve">The Council of Europe has developed over the years a significant body of standards with regard to the media and the public sphere in order to assist States, industry, and civil society in protecting media freedom, pluralism, and democracy, and thus in safeguarding the public interest objectives of media and communication governance and in performing related policy-making and regulatory activities. This Recommendation updates and condenses these standards into fifteen principles for a clear guidance of all those concerned with media and communication governance. </w:t>
      </w:r>
    </w:p>
    <w:p w14:paraId="0E58BAF3" w14:textId="77777777" w:rsidR="005F63A2" w:rsidRPr="001C5160" w:rsidRDefault="005F63A2" w:rsidP="005F63A2">
      <w:pPr>
        <w:rPr>
          <w:rFonts w:eastAsia="Arial" w:cs="Arial"/>
          <w:szCs w:val="20"/>
        </w:rPr>
      </w:pPr>
    </w:p>
    <w:p w14:paraId="7D08AFD3" w14:textId="387A5148" w:rsidR="005F63A2" w:rsidRDefault="005F63A2" w:rsidP="005F63A2">
      <w:pPr>
        <w:rPr>
          <w:rFonts w:eastAsia="Arial" w:cs="Arial"/>
          <w:szCs w:val="20"/>
        </w:rPr>
      </w:pPr>
      <w:r w:rsidRPr="001C5160">
        <w:rPr>
          <w:rFonts w:eastAsia="Arial" w:cs="Arial"/>
          <w:szCs w:val="20"/>
        </w:rPr>
        <w:t>This Explanatory Memorandum provides a more detailed breakdown of the principles according to the different roles played by different governance actors in performing policy-making and regulatory activities. The Explanatory Memorandum will further refer to relevant binding treaties as well as recommendations and declarations whenever appropriate and list them at the very end.</w:t>
      </w:r>
    </w:p>
    <w:p w14:paraId="478CFBCA" w14:textId="77777777" w:rsidR="005F63A2" w:rsidRPr="00F813CE" w:rsidRDefault="005F63A2" w:rsidP="005F63A2">
      <w:pPr>
        <w:rPr>
          <w:rFonts w:eastAsia="Arial" w:cs="Arial"/>
          <w:sz w:val="16"/>
          <w:szCs w:val="16"/>
        </w:rPr>
      </w:pPr>
    </w:p>
    <w:p w14:paraId="514E30A8" w14:textId="0A32FA0A" w:rsidR="005F63A2" w:rsidRPr="00F813CE" w:rsidRDefault="005F63A2" w:rsidP="005F63A2">
      <w:pPr>
        <w:rPr>
          <w:rStyle w:val="Strong"/>
          <w:rFonts w:ascii="Arial" w:hAnsi="Arial" w:cs="Arial"/>
          <w:sz w:val="20"/>
          <w:szCs w:val="18"/>
        </w:rPr>
      </w:pPr>
      <w:r w:rsidRPr="00F813CE">
        <w:rPr>
          <w:rStyle w:val="Strong"/>
          <w:rFonts w:ascii="Arial" w:hAnsi="Arial" w:cs="Arial"/>
          <w:sz w:val="20"/>
          <w:szCs w:val="18"/>
        </w:rPr>
        <w:t>Working methods</w:t>
      </w:r>
    </w:p>
    <w:p w14:paraId="60AF19B6" w14:textId="77777777" w:rsidR="005F63A2" w:rsidRPr="001C5160" w:rsidRDefault="005F63A2" w:rsidP="005F63A2">
      <w:pPr>
        <w:rPr>
          <w:rStyle w:val="Strong"/>
        </w:rPr>
      </w:pPr>
    </w:p>
    <w:p w14:paraId="3FAD7260" w14:textId="0FC24F40" w:rsidR="005F63A2" w:rsidRPr="001C5160" w:rsidRDefault="005F63A2" w:rsidP="005F63A2">
      <w:pPr>
        <w:rPr>
          <w:rFonts w:eastAsia="Arial" w:cs="Arial"/>
          <w:szCs w:val="20"/>
        </w:rPr>
      </w:pPr>
      <w:r w:rsidRPr="001C5160">
        <w:rPr>
          <w:rFonts w:eastAsia="Arial" w:cs="Arial"/>
          <w:szCs w:val="20"/>
        </w:rPr>
        <w:t xml:space="preserve">In biennium 2020-2021, the Committee of Ministers instructed the Steering Committee on Media and Information Society (CDMSI) to prepare a draft recommendation with guiding principles for media and communication governance to address the shift from established channels to social networks and related risks such as manipulation of public opinion and a lack of public trust. To this end, the Committee of Ministers set up the Committee of Experts on Media Environment and Reform (MSI-REF), in accordance with Article 17 of the Statute of the Council of Europe and in accordance with Resolution </w:t>
      </w:r>
      <w:bookmarkStart w:id="1" w:name="_ML_000000000002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"https://search.coe.int/cm/Pages/result_details.aspx?Reference=CM/Res(2011)24" \o "Resolution on intergovernmental committees and subordinate bodies, their terms of reference and working methods (Adopted by the Committee of Ministers on 9 November 2011 at the 1125th meeting of the Ministers' Deputies) [This Resolution will be repealed and replaced by Resolution CM/Res(2021)3 on 1 January 2022]" </w:instrText>
      </w:r>
      <w:r w:rsidR="00AF3009" w:rsidRPr="00AF3009">
        <w:rPr>
          <w:rFonts w:eastAsia="Arial" w:cs="Arial"/>
          <w:szCs w:val="20"/>
        </w:rPr>
      </w:r>
      <w:r w:rsidR="00AF3009" w:rsidRPr="00AF3009">
        <w:rPr>
          <w:rFonts w:eastAsia="Arial" w:cs="Arial"/>
          <w:szCs w:val="20"/>
        </w:rPr>
        <w:fldChar w:fldCharType="separate"/>
      </w:r>
      <w:bookmarkEnd w:id="1"/>
      <w:r w:rsidR="00AF3009" w:rsidRPr="00AF3009">
        <w:rPr>
          <w:rStyle w:val="Hyperlink"/>
          <w:rFonts w:eastAsia="Arial" w:cs="Arial"/>
          <w:szCs w:val="20"/>
        </w:rPr>
        <w:t>CM/Res(2011)24</w:t>
      </w:r>
      <w:r w:rsidR="00AF3009" w:rsidRPr="00AF3009">
        <w:rPr>
          <w:rFonts w:eastAsia="Arial" w:cs="Arial"/>
          <w:szCs w:val="20"/>
        </w:rPr>
        <w:fldChar w:fldCharType="end"/>
      </w:r>
      <w:r w:rsidRPr="001C5160">
        <w:rPr>
          <w:rFonts w:eastAsia="Arial" w:cs="Arial"/>
          <w:szCs w:val="20"/>
        </w:rPr>
        <w:t xml:space="preserve"> on intergovernmental committees and subordinate bodies, their terms of reference and working methods. The Expert Committee prepared the text of this Recommendation under supervision and guidance of the CDMSI.</w:t>
      </w:r>
    </w:p>
    <w:p w14:paraId="7C09A271" w14:textId="13F5A728" w:rsidR="008C7EF3" w:rsidRDefault="008C7EF3">
      <w:pPr>
        <w:rPr>
          <w:rFonts w:eastAsia="Arial" w:cs="Arial"/>
          <w:szCs w:val="20"/>
        </w:rPr>
      </w:pPr>
      <w:r>
        <w:rPr>
          <w:rFonts w:eastAsia="Arial" w:cs="Arial"/>
          <w:szCs w:val="20"/>
        </w:rPr>
        <w:br w:type="page"/>
      </w:r>
    </w:p>
    <w:p w14:paraId="521A5B35" w14:textId="77777777" w:rsidR="005F63A2" w:rsidRPr="001C5160" w:rsidRDefault="005F63A2" w:rsidP="005F63A2">
      <w:pPr>
        <w:rPr>
          <w:rFonts w:eastAsia="Arial" w:cs="Arial"/>
          <w:szCs w:val="20"/>
        </w:rPr>
      </w:pPr>
    </w:p>
    <w:p w14:paraId="18A9B387" w14:textId="77777777" w:rsidR="005F63A2" w:rsidRPr="001C5160" w:rsidRDefault="005F63A2" w:rsidP="005F63A2">
      <w:pPr>
        <w:rPr>
          <w:rFonts w:eastAsia="Arial" w:cs="Arial"/>
          <w:szCs w:val="20"/>
        </w:rPr>
      </w:pPr>
      <w:r w:rsidRPr="001C5160">
        <w:rPr>
          <w:rFonts w:eastAsia="Arial" w:cs="Arial"/>
          <w:szCs w:val="20"/>
        </w:rPr>
        <w:t>The MSI-REF included 13 members, comprising seven member States’ representatives, designated by the CDMSI, and six independent experts, appointed by the Secretary General, with recognised expertise in the fields of freedom of expression and media policy online and offline. The Expert Committee members had diverse backgrounds, bringing together academics, researchers, representatives of media regulatory authorities, relevant government institutions, and media associations. A wide range of participants and observers, including representatives of civil society and professional media associations, also contributed to the Committee’s work. The consultation of various stakeholders on the text was ensured through public consultation from 8 July to 10 August 2021. The draft text was furthermore submitted to the CDMSI in November 2020 and May 2021 for comments and guidance, before eventually being submitted for final comments, with a view to subsequent approval, on 10 November 2021. The comments received were taken into consideration by the MSI-REF throughout the drafting process.</w:t>
      </w:r>
    </w:p>
    <w:p w14:paraId="4158F9DD" w14:textId="77777777" w:rsidR="005F63A2" w:rsidRPr="001C5160" w:rsidRDefault="005F63A2" w:rsidP="005F63A2">
      <w:pPr>
        <w:rPr>
          <w:rFonts w:eastAsia="Arial" w:cs="Arial"/>
          <w:szCs w:val="20"/>
        </w:rPr>
      </w:pPr>
    </w:p>
    <w:p w14:paraId="0D76797E" w14:textId="51B1A96F" w:rsidR="005F63A2" w:rsidRDefault="005F63A2" w:rsidP="005F63A2">
      <w:pPr>
        <w:rPr>
          <w:rFonts w:eastAsia="Arial" w:cs="Arial"/>
          <w:szCs w:val="20"/>
        </w:rPr>
      </w:pPr>
      <w:r w:rsidRPr="00587701">
        <w:rPr>
          <w:rFonts w:eastAsia="Arial" w:cs="Arial"/>
          <w:szCs w:val="20"/>
        </w:rPr>
        <w:t>The recommendation and its explanatory memorandum were examined and approved by the CDMSI during its 20</w:t>
      </w:r>
      <w:r w:rsidR="008C7EF3" w:rsidRPr="00587701">
        <w:rPr>
          <w:rFonts w:eastAsia="Arial" w:cs="Arial"/>
          <w:szCs w:val="20"/>
          <w:vertAlign w:val="superscript"/>
        </w:rPr>
        <w:t>th</w:t>
      </w:r>
      <w:r w:rsidR="008C7EF3" w:rsidRPr="00587701">
        <w:rPr>
          <w:rFonts w:eastAsia="Arial" w:cs="Arial"/>
          <w:szCs w:val="20"/>
        </w:rPr>
        <w:t xml:space="preserve"> </w:t>
      </w:r>
      <w:r w:rsidRPr="00587701">
        <w:rPr>
          <w:rFonts w:eastAsia="Arial" w:cs="Arial"/>
          <w:szCs w:val="20"/>
        </w:rPr>
        <w:t xml:space="preserve">plenary meeting held from 1 to 3 December 2021, before their transmission to the Committee of Ministers. The recommendation was adopted on </w:t>
      </w:r>
      <w:r w:rsidR="00587701" w:rsidRPr="00587701">
        <w:rPr>
          <w:rFonts w:eastAsia="Arial" w:cs="Arial"/>
          <w:szCs w:val="20"/>
        </w:rPr>
        <w:t>6 April</w:t>
      </w:r>
      <w:r w:rsidRPr="00587701">
        <w:rPr>
          <w:rFonts w:eastAsia="Arial" w:cs="Arial"/>
          <w:szCs w:val="20"/>
        </w:rPr>
        <w:t xml:space="preserve"> 2022.</w:t>
      </w:r>
      <w:r w:rsidRPr="001C5160">
        <w:rPr>
          <w:rFonts w:eastAsia="Arial" w:cs="Arial"/>
          <w:szCs w:val="20"/>
        </w:rPr>
        <w:t xml:space="preserve"> </w:t>
      </w:r>
    </w:p>
    <w:p w14:paraId="312A6BDA" w14:textId="77777777" w:rsidR="005F63A2" w:rsidRDefault="005F63A2" w:rsidP="005F63A2">
      <w:pPr>
        <w:rPr>
          <w:rFonts w:eastAsia="Arial" w:cs="Arial"/>
          <w:szCs w:val="20"/>
        </w:rPr>
      </w:pPr>
    </w:p>
    <w:p w14:paraId="74A31AF5" w14:textId="5EC2D96A"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C44BC3">
        <w:rPr>
          <w:rFonts w:ascii="Arial" w:eastAsia="Calibri" w:hAnsi="Arial" w:cs="Arial"/>
          <w:b/>
          <w:bCs/>
          <w:color w:val="auto"/>
          <w:sz w:val="20"/>
          <w:szCs w:val="20"/>
          <w:lang w:val="en-GB" w:eastAsia="en-GB"/>
        </w:rPr>
        <w:t xml:space="preserve">Comments on Recommendation </w:t>
      </w:r>
      <w:bookmarkStart w:id="2" w:name="_ML_000000000003_VALID"/>
      <w:r w:rsidR="00AF3009" w:rsidRPr="00AF3009">
        <w:rPr>
          <w:rFonts w:ascii="Arial" w:eastAsia="Calibri" w:hAnsi="Arial" w:cs="Arial"/>
          <w:b/>
          <w:bCs/>
          <w:color w:val="auto"/>
          <w:sz w:val="20"/>
          <w:szCs w:val="20"/>
          <w:lang w:val="en-GB" w:eastAsia="en-GB"/>
        </w:rPr>
        <w:fldChar w:fldCharType="begin"/>
      </w:r>
      <w:r w:rsidR="00AF3009" w:rsidRPr="00AF3009">
        <w:rPr>
          <w:rFonts w:ascii="Arial" w:eastAsia="Calibri" w:hAnsi="Arial" w:cs="Arial"/>
          <w:b/>
          <w:bCs/>
          <w:color w:val="auto"/>
          <w:sz w:val="20"/>
          <w:szCs w:val="20"/>
          <w:lang w:val="en-GB" w:eastAsia="en-GB"/>
        </w:rPr>
        <w:instrText xml:space="preserve"> HYPERLINK "https://search.coe.int/cm/Pages/result_details.aspx?Reference=CM/Rec(2022)11" \o "Recommendation of the Committee of Ministers to member States on principles for media and communication governance (Adopted by the Committee of Ministers on 6 April 2022 at the 1431st meeting of the Ministers' Deputies)" </w:instrText>
      </w:r>
      <w:r w:rsidR="00AF3009" w:rsidRPr="00AF3009">
        <w:rPr>
          <w:rFonts w:ascii="Arial" w:eastAsia="Calibri" w:hAnsi="Arial" w:cs="Arial"/>
          <w:b/>
          <w:bCs/>
          <w:color w:val="auto"/>
          <w:sz w:val="20"/>
          <w:szCs w:val="20"/>
          <w:lang w:val="en-GB" w:eastAsia="en-GB"/>
        </w:rPr>
      </w:r>
      <w:r w:rsidR="00AF3009" w:rsidRPr="00AF3009">
        <w:rPr>
          <w:rFonts w:ascii="Arial" w:eastAsia="Calibri" w:hAnsi="Arial" w:cs="Arial"/>
          <w:b/>
          <w:bCs/>
          <w:color w:val="auto"/>
          <w:sz w:val="20"/>
          <w:szCs w:val="20"/>
          <w:lang w:val="en-GB" w:eastAsia="en-GB"/>
        </w:rPr>
        <w:fldChar w:fldCharType="separate"/>
      </w:r>
      <w:bookmarkEnd w:id="2"/>
      <w:r w:rsidR="00AF3009" w:rsidRPr="00AF3009">
        <w:rPr>
          <w:rStyle w:val="Hyperlink"/>
          <w:rFonts w:ascii="Arial" w:eastAsia="Calibri" w:hAnsi="Arial" w:cs="Arial"/>
          <w:b/>
          <w:bCs/>
          <w:sz w:val="20"/>
          <w:szCs w:val="20"/>
          <w:lang w:val="en-GB" w:eastAsia="en-GB"/>
        </w:rPr>
        <w:t>CM/Rec(2022)11</w:t>
      </w:r>
      <w:r w:rsidR="00AF3009" w:rsidRPr="00AF3009">
        <w:rPr>
          <w:rFonts w:ascii="Arial" w:eastAsia="Calibri" w:hAnsi="Arial" w:cs="Arial"/>
          <w:b/>
          <w:bCs/>
          <w:color w:val="auto"/>
          <w:sz w:val="20"/>
          <w:szCs w:val="20"/>
          <w:lang w:val="en-GB" w:eastAsia="en-GB"/>
        </w:rPr>
        <w:fldChar w:fldCharType="end"/>
      </w:r>
      <w:r w:rsidRPr="00C44BC3">
        <w:rPr>
          <w:rFonts w:ascii="Arial" w:eastAsia="Calibri" w:hAnsi="Arial" w:cs="Arial"/>
          <w:b/>
          <w:bCs/>
          <w:color w:val="auto"/>
          <w:sz w:val="20"/>
          <w:szCs w:val="20"/>
          <w:lang w:val="en-GB" w:eastAsia="en-GB"/>
        </w:rPr>
        <w:t xml:space="preserve"> of the Committee of Ministers to member States on principles for media and communication governance</w:t>
      </w:r>
    </w:p>
    <w:p w14:paraId="3743D29F" w14:textId="77777777" w:rsidR="005F63A2" w:rsidRPr="005F63A2" w:rsidRDefault="005F63A2" w:rsidP="005F63A2">
      <w:pPr>
        <w:rPr>
          <w:lang w:eastAsia="en-GB"/>
        </w:rPr>
      </w:pPr>
    </w:p>
    <w:p w14:paraId="304E0EAF" w14:textId="4E62291A" w:rsidR="005F63A2" w:rsidRDefault="005F63A2" w:rsidP="005F63A2">
      <w:pPr>
        <w:rPr>
          <w:rFonts w:eastAsia="Arial" w:cs="Arial"/>
          <w:szCs w:val="20"/>
        </w:rPr>
      </w:pPr>
      <w:r w:rsidRPr="001C5160">
        <w:rPr>
          <w:rFonts w:eastAsia="Arial" w:cs="Arial"/>
          <w:szCs w:val="20"/>
        </w:rPr>
        <w:t>This Explanatory Memorandum contains a detailed version of the procedural and substantive principles for media and communication governance that provide further guidance to States, public and private sector actors, and civil society. The procedural governance principles address the politics of media policymaking as well as the development and enforcement of media and communication governance. The substantive principles detail the challenges which need to be addressed by media and communication governance.</w:t>
      </w:r>
    </w:p>
    <w:p w14:paraId="26CFAC27" w14:textId="77777777" w:rsidR="005F63A2" w:rsidRDefault="005F63A2" w:rsidP="005F63A2">
      <w:pPr>
        <w:rPr>
          <w:rFonts w:eastAsia="Arial" w:cs="Arial"/>
          <w:szCs w:val="20"/>
        </w:rPr>
      </w:pPr>
    </w:p>
    <w:p w14:paraId="3D9615C8" w14:textId="3FF3FB7F"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C44BC3">
        <w:rPr>
          <w:rFonts w:ascii="Arial" w:eastAsia="Calibri" w:hAnsi="Arial" w:cs="Arial"/>
          <w:b/>
          <w:bCs/>
          <w:color w:val="auto"/>
          <w:sz w:val="20"/>
          <w:szCs w:val="20"/>
          <w:lang w:val="en-GB" w:eastAsia="en-GB"/>
        </w:rPr>
        <w:t>Preamble</w:t>
      </w:r>
    </w:p>
    <w:p w14:paraId="0E0419E5" w14:textId="77777777" w:rsidR="005F63A2" w:rsidRPr="005F63A2" w:rsidRDefault="005F63A2" w:rsidP="005F63A2">
      <w:pPr>
        <w:rPr>
          <w:lang w:eastAsia="en-GB"/>
        </w:rPr>
      </w:pPr>
    </w:p>
    <w:p w14:paraId="41CE7B10" w14:textId="77777777" w:rsidR="005F63A2" w:rsidRPr="001C5160" w:rsidRDefault="005F63A2" w:rsidP="005F63A2">
      <w:pPr>
        <w:rPr>
          <w:rFonts w:eastAsia="Arial" w:cs="Arial"/>
          <w:szCs w:val="20"/>
        </w:rPr>
      </w:pPr>
      <w:r w:rsidRPr="001C5160">
        <w:rPr>
          <w:rFonts w:eastAsia="Arial" w:cs="Arial"/>
          <w:szCs w:val="20"/>
        </w:rPr>
        <w:t xml:space="preserve">The Preamble offers the rationale for developing the Recommendation, starting with the recognition of the essential role of freedom of expression, media freedom and pluralism in a democratic society. The introductory paragraph reaffirms Article 10 of the Convention for the Protection of Human Rights and Fundamental Freedoms (ETS No. 5, “the Convention”) as the core of the Council of Europe’s system for the protection of the right to freedom of expression, one that defines its scope and limitations and therefore also the boundaries of media and communication governance. </w:t>
      </w:r>
    </w:p>
    <w:p w14:paraId="2953F3C0" w14:textId="77777777" w:rsidR="005F63A2" w:rsidRPr="001C5160" w:rsidRDefault="005F63A2" w:rsidP="005F63A2">
      <w:pPr>
        <w:rPr>
          <w:rFonts w:eastAsia="Arial" w:cs="Arial"/>
          <w:szCs w:val="20"/>
        </w:rPr>
      </w:pPr>
    </w:p>
    <w:p w14:paraId="14BAC58C" w14:textId="77777777" w:rsidR="005F63A2" w:rsidRPr="001C5160" w:rsidRDefault="005F63A2" w:rsidP="005F63A2">
      <w:pPr>
        <w:rPr>
          <w:rFonts w:eastAsia="Arial" w:cs="Arial"/>
          <w:szCs w:val="20"/>
        </w:rPr>
      </w:pPr>
      <w:r w:rsidRPr="001C5160">
        <w:rPr>
          <w:rFonts w:eastAsia="Arial" w:cs="Arial"/>
          <w:szCs w:val="20"/>
        </w:rPr>
        <w:t xml:space="preserve">In the second paragraph, the Preamble highlights the importance of media and communication governance for safeguarding freedom of expression and its corollaries and for ensuring the functioning of the media and the public sphere. It proceeds in the third paragraph to state that a structural transformation of the public sphere necessitates an updated set of governance principles. </w:t>
      </w:r>
    </w:p>
    <w:p w14:paraId="5C39598F" w14:textId="77777777" w:rsidR="005F63A2" w:rsidRPr="001C5160" w:rsidRDefault="005F63A2" w:rsidP="005F63A2">
      <w:pPr>
        <w:rPr>
          <w:rFonts w:eastAsia="Arial" w:cs="Arial"/>
          <w:szCs w:val="20"/>
        </w:rPr>
      </w:pPr>
    </w:p>
    <w:p w14:paraId="1F2DAAA7" w14:textId="77777777" w:rsidR="005F63A2" w:rsidRPr="001C5160" w:rsidRDefault="005F63A2" w:rsidP="005F63A2">
      <w:pPr>
        <w:rPr>
          <w:rFonts w:eastAsia="Arial" w:cs="Arial"/>
          <w:szCs w:val="20"/>
        </w:rPr>
      </w:pPr>
      <w:r w:rsidRPr="001C5160">
        <w:rPr>
          <w:rFonts w:eastAsia="Arial" w:cs="Arial"/>
          <w:szCs w:val="20"/>
        </w:rPr>
        <w:t xml:space="preserve">Paragraphs 4-11 provide an overview of the key changes in the media and communication environment prompted by this transformation: new platforms have changed the way the media are produced, disseminated, and used, challenging their privileged role as gatekeepers of news and public communication, and undermining their sustainability. These powerful platforms ranging from search engines to social networks have become an inherent part of people’s information and communication practices, enjoying continuous growth in both the number of users and advertising revenue. Platforms are becoming an important way for users to access media content, which leads to the media’s dependency on them for the dissemination of content. </w:t>
      </w:r>
    </w:p>
    <w:p w14:paraId="35F88B21" w14:textId="77777777" w:rsidR="005F63A2" w:rsidRPr="001C5160" w:rsidRDefault="005F63A2" w:rsidP="005F63A2">
      <w:pPr>
        <w:rPr>
          <w:rFonts w:eastAsia="Arial" w:cs="Arial"/>
          <w:szCs w:val="20"/>
        </w:rPr>
      </w:pPr>
    </w:p>
    <w:p w14:paraId="1AFE4F40" w14:textId="080C289E" w:rsidR="005F63A2" w:rsidRDefault="005F63A2" w:rsidP="005F63A2">
      <w:pPr>
        <w:rPr>
          <w:rFonts w:eastAsia="Arial" w:cs="Arial"/>
          <w:szCs w:val="20"/>
        </w:rPr>
      </w:pPr>
      <w:r w:rsidRPr="001C5160">
        <w:rPr>
          <w:rFonts w:eastAsia="Arial" w:cs="Arial"/>
          <w:szCs w:val="20"/>
        </w:rPr>
        <w:t xml:space="preserve">This combination of technological, social, and economic changes requires modernisation of media and communication governance to allow it to continue to fulfil its aims. The final three paragraphs of the Preamble set out the objective of the Recommendation and its intended outcomes, notably for the national governance frameworks to: (i) cover both the media and platforms; (ii) consider the important role of private sector actors in media and communication governance; (iii) be based on the Council of Europe and other international human rights standards; and (iv) be embedded in holistic strategies encompassing multiple regulatory and policy areas including competition, data protection, copyright, consumer protection, and cybersecurity. </w:t>
      </w:r>
    </w:p>
    <w:p w14:paraId="557EDDB5" w14:textId="7F0C5E50" w:rsidR="005F63A2" w:rsidRDefault="005F63A2">
      <w:pPr>
        <w:rPr>
          <w:rFonts w:eastAsia="Arial" w:cs="Arial"/>
          <w:szCs w:val="20"/>
        </w:rPr>
      </w:pPr>
      <w:r>
        <w:rPr>
          <w:rFonts w:eastAsia="Arial" w:cs="Arial"/>
          <w:szCs w:val="20"/>
        </w:rPr>
        <w:br w:type="page"/>
      </w:r>
    </w:p>
    <w:p w14:paraId="2D053398" w14:textId="77777777" w:rsidR="005F63A2" w:rsidRPr="001C5160" w:rsidRDefault="005F63A2" w:rsidP="005F63A2">
      <w:pPr>
        <w:rPr>
          <w:rFonts w:eastAsia="Arial" w:cs="Arial"/>
          <w:szCs w:val="20"/>
        </w:rPr>
      </w:pPr>
    </w:p>
    <w:p w14:paraId="2933110F" w14:textId="3B991B52"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C44BC3">
        <w:rPr>
          <w:rFonts w:ascii="Arial" w:eastAsia="Calibri" w:hAnsi="Arial" w:cs="Arial"/>
          <w:b/>
          <w:bCs/>
          <w:color w:val="auto"/>
          <w:sz w:val="20"/>
          <w:szCs w:val="20"/>
          <w:lang w:val="en-GB" w:eastAsia="en-GB"/>
        </w:rPr>
        <w:t>Operative part</w:t>
      </w:r>
    </w:p>
    <w:p w14:paraId="7BB9EF1A" w14:textId="77777777" w:rsidR="005F63A2" w:rsidRPr="005F63A2" w:rsidRDefault="005F63A2" w:rsidP="005F63A2">
      <w:pPr>
        <w:rPr>
          <w:lang w:eastAsia="en-GB"/>
        </w:rPr>
      </w:pPr>
    </w:p>
    <w:p w14:paraId="272238E1" w14:textId="77777777" w:rsidR="005F63A2" w:rsidRPr="001C5160" w:rsidRDefault="005F63A2" w:rsidP="005F63A2">
      <w:pPr>
        <w:rPr>
          <w:rFonts w:eastAsia="Arial" w:cs="Arial"/>
          <w:szCs w:val="20"/>
        </w:rPr>
      </w:pPr>
      <w:r w:rsidRPr="001C5160">
        <w:rPr>
          <w:rFonts w:eastAsia="Arial" w:cs="Arial"/>
          <w:szCs w:val="20"/>
        </w:rPr>
        <w:t>Paragraph 1 recommends to member States to review their legislative frameworks and practices against the principles set out in the appendix. It further recommends States to promote the implementation of the principles in all relevant areas. The area of media and communication is subject to complex and varied national legislative frameworks through which States achieve their policy goals. It is also an area which has been undergoing profound changes over the past decade. In response, many States are exploring possible changes to their frameworks, including by encouraging forms of private sector governance like self- and co-regulation. The media and governance principles in the appendix are designed to allow States considerable flexibility and discretion in their implementation, also giving due regard to the differences in their national frameworks. Furthermore, the promotion of these principles at the national level can inform other relevant stakeholders of their respective roles in contributing towards the objectives of this Recommendation, as well as raise general awareness on the issues of media and communication governance.</w:t>
      </w:r>
    </w:p>
    <w:p w14:paraId="66ECCDB4" w14:textId="77777777" w:rsidR="005F63A2" w:rsidRPr="001C5160" w:rsidRDefault="005F63A2" w:rsidP="005F63A2">
      <w:pPr>
        <w:rPr>
          <w:rFonts w:eastAsia="Arial" w:cs="Arial"/>
          <w:szCs w:val="20"/>
        </w:rPr>
      </w:pPr>
    </w:p>
    <w:p w14:paraId="259C548C" w14:textId="77777777" w:rsidR="005F63A2" w:rsidRPr="001C5160" w:rsidRDefault="005F63A2" w:rsidP="005F63A2">
      <w:pPr>
        <w:rPr>
          <w:rFonts w:eastAsia="Arial" w:cs="Arial"/>
          <w:szCs w:val="20"/>
        </w:rPr>
      </w:pPr>
      <w:r w:rsidRPr="001C5160">
        <w:rPr>
          <w:rFonts w:eastAsia="Arial" w:cs="Arial"/>
          <w:szCs w:val="20"/>
        </w:rPr>
        <w:t>Paragraph 2 recommends to member States to implement the principles set out in the appendix in compliance with the relevant existing standards stemming from Article 10 of the Convention, relevant case law of the European Court of Human Rights and the applicable Committee of Ministers’ instruments. The principles build on these existing standards to the extent possible and provide an updated and condensed yet comprehensive overview of issues to be addressed in media and communication governance. As these issues are numerous and some have already been addressed in detail by the Council of Europe, references are made throughout the text to relevant treaties, recommendations and declarations, and a complete reference list is provided at the end of the document. This is to help States and other relevant stakeholders discharge their responsibilities in full compliance with the human rights dimension of media and communication governance.</w:t>
      </w:r>
    </w:p>
    <w:p w14:paraId="796456BF" w14:textId="77777777" w:rsidR="005F63A2" w:rsidRPr="001C5160" w:rsidRDefault="005F63A2" w:rsidP="005F63A2">
      <w:pPr>
        <w:rPr>
          <w:rFonts w:eastAsia="Arial" w:cs="Arial"/>
          <w:szCs w:val="20"/>
        </w:rPr>
      </w:pPr>
    </w:p>
    <w:p w14:paraId="1960E010" w14:textId="77777777" w:rsidR="005F63A2" w:rsidRPr="001C5160" w:rsidRDefault="005F63A2" w:rsidP="005F63A2">
      <w:pPr>
        <w:rPr>
          <w:rFonts w:eastAsia="Arial" w:cs="Arial"/>
          <w:szCs w:val="20"/>
        </w:rPr>
      </w:pPr>
      <w:r w:rsidRPr="001C5160">
        <w:rPr>
          <w:rFonts w:eastAsia="Arial" w:cs="Arial"/>
          <w:szCs w:val="20"/>
        </w:rPr>
        <w:t>Paragraph 3 recommends to member States to undertake several actions to promote the goals of the Recommendation: translate the text, disseminate it widely, and co-operate with relevant stakeholders to achieve its goals. Translation into national, but also regional and minority languages is essential for a clear understanding of the text and consequential ability to fulfil the obligations resulting from the principles set out in the appendix. This, along with the dissemination of the Recommendation in both printed and electronic formats and its publication on the websites of all relevant public authorities and bodies can help bring the applicable standards to the attention of private sector actors and civil society and highlight the functions of media and communication governance to the public. Translations can also contribute to a more consistent implementation of the principles across all sectors concerned. States should, in pursuit of the effective implementation of the Recommendation, also engage with all relevant stakeholders through open dialogue, consultations, exchange of information and knowledge, and/or joint activities, considering that collective efforts can yield more effective results in media and communication governance.</w:t>
      </w:r>
    </w:p>
    <w:p w14:paraId="34809743" w14:textId="77777777" w:rsidR="005F63A2" w:rsidRPr="001C5160" w:rsidRDefault="005F63A2" w:rsidP="005F63A2">
      <w:pPr>
        <w:rPr>
          <w:rFonts w:eastAsia="Arial" w:cs="Arial"/>
          <w:szCs w:val="20"/>
        </w:rPr>
      </w:pPr>
    </w:p>
    <w:p w14:paraId="4437A9D3" w14:textId="77777777" w:rsidR="005F63A2" w:rsidRPr="001C5160" w:rsidRDefault="005F63A2" w:rsidP="005F63A2">
      <w:pPr>
        <w:rPr>
          <w:rFonts w:eastAsia="Arial" w:cs="Arial"/>
          <w:szCs w:val="20"/>
        </w:rPr>
      </w:pPr>
      <w:r w:rsidRPr="001C5160">
        <w:rPr>
          <w:rFonts w:eastAsia="Arial" w:cs="Arial"/>
          <w:szCs w:val="20"/>
        </w:rPr>
        <w:t xml:space="preserve">Paragraph 4 recommends to member States to regularly evaluate the implementation of this Recommendation with a view to upholding its standards and values in the face of continuous changes in the media and communication environment and enhancing its effectiveness. States are encouraged to conduct voluntary reviews at the national level involving all relevant stakeholders, with a view to identifying and addressing any gaps and limitations to the effective implementation of the principles set out in the appendix. The national reviews can serve as a basis for the exchange of information within the Committee of Ministers on actions taken by States regarding this Recommendation, as provided for in Article 15 of the Statute of the Council of Europe. </w:t>
      </w:r>
    </w:p>
    <w:p w14:paraId="267ADE3E" w14:textId="77777777" w:rsidR="005F63A2" w:rsidRPr="001C5160" w:rsidRDefault="005F63A2" w:rsidP="005F63A2">
      <w:pPr>
        <w:rPr>
          <w:rFonts w:eastAsia="Arial" w:cs="Arial"/>
          <w:szCs w:val="20"/>
        </w:rPr>
      </w:pPr>
    </w:p>
    <w:p w14:paraId="52ACBB27" w14:textId="2716C23E" w:rsidR="005F63A2" w:rsidRDefault="005F63A2" w:rsidP="005F63A2">
      <w:pPr>
        <w:rPr>
          <w:rFonts w:eastAsia="Arial" w:cs="Arial"/>
          <w:szCs w:val="20"/>
        </w:rPr>
      </w:pPr>
      <w:r w:rsidRPr="001C5160">
        <w:rPr>
          <w:rFonts w:eastAsia="Arial" w:cs="Arial"/>
          <w:szCs w:val="20"/>
        </w:rPr>
        <w:t>Paragraph 5 recommends to member States to ensure genuine dialogue between public authorities, private sector actors, and civil society, thus helping the latter discharge their own roles and responsibilities under this Recommendation effectively. As stated in a foundational principle of the United Nations Guiding Principles on Business and Human Rights, business enterprises should respect human rights, which means that they should avoid infringing on the human rights of others and address adverse human rights impact with which they are involved. In the context of this Recommendation, which is addressed in a significant part to private sector actors and civil society, it is important that a collaborative approach is taken to develop national measures of implementation. However, it is also important for the private sector to be aware that its responsibility to respect human rights exists alongside the obligation to abide by national legislation and independently of States’ abilities and/or willingness to fulfil their own human rights obligations and does not diminish those obligations. This responsibility exists in addition to compliance with national laws and regulations protecting human rights.</w:t>
      </w:r>
    </w:p>
    <w:p w14:paraId="2F267980" w14:textId="720FE715" w:rsidR="005F63A2" w:rsidRDefault="005F63A2">
      <w:pPr>
        <w:rPr>
          <w:rFonts w:eastAsia="Arial" w:cs="Arial"/>
          <w:szCs w:val="20"/>
        </w:rPr>
      </w:pPr>
      <w:r>
        <w:rPr>
          <w:rFonts w:eastAsia="Arial" w:cs="Arial"/>
          <w:szCs w:val="20"/>
        </w:rPr>
        <w:br w:type="page"/>
      </w:r>
    </w:p>
    <w:p w14:paraId="67210AAF" w14:textId="77777777" w:rsidR="005F63A2" w:rsidRPr="001C5160" w:rsidRDefault="005F63A2" w:rsidP="005F63A2">
      <w:pPr>
        <w:rPr>
          <w:rFonts w:eastAsia="Arial" w:cs="Arial"/>
          <w:szCs w:val="20"/>
        </w:rPr>
      </w:pPr>
    </w:p>
    <w:p w14:paraId="47949DB6" w14:textId="79A3D7BA"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C44BC3">
        <w:rPr>
          <w:rFonts w:ascii="Arial" w:eastAsia="Calibri" w:hAnsi="Arial" w:cs="Arial"/>
          <w:b/>
          <w:bCs/>
          <w:color w:val="auto"/>
          <w:sz w:val="20"/>
          <w:szCs w:val="20"/>
          <w:lang w:val="en-GB" w:eastAsia="en-GB"/>
        </w:rPr>
        <w:t>Scope and definitions</w:t>
      </w:r>
    </w:p>
    <w:p w14:paraId="1D97F9F3" w14:textId="77777777" w:rsidR="005F63A2" w:rsidRPr="005F63A2" w:rsidRDefault="005F63A2" w:rsidP="005F63A2">
      <w:pPr>
        <w:rPr>
          <w:lang w:eastAsia="en-GB"/>
        </w:rPr>
      </w:pPr>
    </w:p>
    <w:p w14:paraId="2B732117" w14:textId="77777777" w:rsidR="005F63A2" w:rsidRPr="001C5160" w:rsidRDefault="005F63A2" w:rsidP="005F63A2">
      <w:pPr>
        <w:rPr>
          <w:rFonts w:eastAsia="Arial" w:cs="Arial"/>
          <w:szCs w:val="20"/>
        </w:rPr>
      </w:pPr>
      <w:r w:rsidRPr="001C5160">
        <w:rPr>
          <w:rFonts w:eastAsia="Arial" w:cs="Arial"/>
          <w:szCs w:val="20"/>
        </w:rPr>
        <w:t xml:space="preserve">The scope of the Recommendation clarifies its addressees and defines the level of their responsibilities. This section includes two initial considerations. First, in today’s media and communication environment, also actors that cannot be defined as the media play an essential role in facilitating communication in the public sphere. Second, in light of the challenges which media and communication governance seeks to address, it cannot be designed and implemented by States and public authorities alone. </w:t>
      </w:r>
    </w:p>
    <w:p w14:paraId="7AC93E40" w14:textId="77777777" w:rsidR="005F63A2" w:rsidRPr="001C5160" w:rsidRDefault="005F63A2" w:rsidP="005F63A2">
      <w:pPr>
        <w:rPr>
          <w:rFonts w:eastAsia="Arial" w:cs="Arial"/>
          <w:szCs w:val="20"/>
        </w:rPr>
      </w:pPr>
    </w:p>
    <w:p w14:paraId="156627B8" w14:textId="77777777" w:rsidR="005F63A2" w:rsidRPr="001C5160" w:rsidRDefault="005F63A2" w:rsidP="005F63A2">
      <w:pPr>
        <w:rPr>
          <w:rFonts w:eastAsia="Arial" w:cs="Arial"/>
          <w:szCs w:val="20"/>
        </w:rPr>
      </w:pPr>
      <w:r w:rsidRPr="001C5160">
        <w:rPr>
          <w:rFonts w:eastAsia="Arial" w:cs="Arial"/>
          <w:szCs w:val="20"/>
        </w:rPr>
        <w:t xml:space="preserve">Considering the important role to be played by industry self-regulation and co-regulation as well as private ordering initiatives by individual media and platform actors, a multi-stakeholder approach with a considerable degree of flexibility is required. Accordingly, the principles set out in the appendix are to assist both States in modernising their legislative/regulatory and policy frameworks, as well as the media, platforms, and other private sector actors in their governance activities. A more detailed attribution of roles, rights and responsibilities to different actors is included in the explanation of individual substantive principles in this Memorandum. It is worth noting that within national governance structures, several functions can be carried out either by public authorities, independent regulatory authorities, private actors, or civil society organisations, or indeed, a combination thereof. </w:t>
      </w:r>
    </w:p>
    <w:p w14:paraId="0B0E8B19" w14:textId="77777777" w:rsidR="005F63A2" w:rsidRPr="001C5160" w:rsidRDefault="005F63A2" w:rsidP="005F63A2">
      <w:pPr>
        <w:rPr>
          <w:rFonts w:eastAsia="Arial" w:cs="Arial"/>
          <w:szCs w:val="20"/>
        </w:rPr>
      </w:pPr>
    </w:p>
    <w:p w14:paraId="47FAFBF9" w14:textId="77777777" w:rsidR="005F63A2" w:rsidRPr="001C5160" w:rsidRDefault="005F63A2" w:rsidP="005F63A2">
      <w:pPr>
        <w:rPr>
          <w:rFonts w:eastAsia="Arial" w:cs="Arial"/>
          <w:szCs w:val="20"/>
        </w:rPr>
      </w:pPr>
      <w:r w:rsidRPr="001C5160">
        <w:rPr>
          <w:rFonts w:eastAsia="Arial" w:cs="Arial"/>
          <w:szCs w:val="20"/>
        </w:rPr>
        <w:t>As explained in “Scope and Definitions”, all addressees are to protect and respect freedom of expression and other relevant rights in their respective areas of activities. States are furthermore directly bound by the requirements of Article 10, paragraph 2, of the Convention and the relevant case law of the European Court of Human Rights. This means that media regulation and other forms of governance can legitimately impose certain restrictions on freedom of expression and media freedom to balance a variety of competing rights and interests involved. However, all restrictions should be based on a careful analysis of the principles and objectives set out in this Recommendation and should comply with the abovementioned requirements of Article 10.</w:t>
      </w:r>
    </w:p>
    <w:p w14:paraId="02A15AA6" w14:textId="77777777" w:rsidR="005F63A2" w:rsidRPr="001C5160" w:rsidRDefault="005F63A2" w:rsidP="005F63A2">
      <w:pPr>
        <w:rPr>
          <w:rFonts w:eastAsia="Arial" w:cs="Arial"/>
          <w:szCs w:val="20"/>
        </w:rPr>
      </w:pPr>
    </w:p>
    <w:p w14:paraId="031F47F5" w14:textId="77777777" w:rsidR="005F63A2" w:rsidRPr="001C5160" w:rsidRDefault="005F63A2" w:rsidP="005F63A2">
      <w:pPr>
        <w:rPr>
          <w:rFonts w:eastAsia="Arial" w:cs="Arial"/>
          <w:szCs w:val="20"/>
        </w:rPr>
      </w:pPr>
      <w:r w:rsidRPr="001C5160">
        <w:rPr>
          <w:rFonts w:eastAsia="Arial" w:cs="Arial"/>
          <w:szCs w:val="20"/>
        </w:rPr>
        <w:t xml:space="preserve">The Recommendation explicitly acknowledges that the media and platforms are marked by similarities but also by differences, necessitating a differentiated approach in their governance. In addition to their separate functions and roles in the production, dissemination and use of media and communication, individual actors also differ according to size, market share and impact, which calls for a graduated and proportionate approach. This applies both to the role of the media and platforms as governance actors and the responsibilities attributed to them by States and public authorities. In this connection, what can be considered as excessive burden for small and less impactful actors may be justified in the case of large and dominant enterprises. </w:t>
      </w:r>
    </w:p>
    <w:p w14:paraId="62183794" w14:textId="77777777" w:rsidR="005F63A2" w:rsidRPr="001C5160" w:rsidRDefault="005F63A2" w:rsidP="005F63A2">
      <w:pPr>
        <w:rPr>
          <w:rFonts w:eastAsia="Arial" w:cs="Arial"/>
          <w:szCs w:val="20"/>
        </w:rPr>
      </w:pPr>
    </w:p>
    <w:p w14:paraId="561914BB" w14:textId="77777777" w:rsidR="005F63A2" w:rsidRDefault="005F63A2" w:rsidP="005F63A2">
      <w:pPr>
        <w:rPr>
          <w:rFonts w:eastAsia="Arial" w:cs="Arial"/>
          <w:szCs w:val="20"/>
        </w:rPr>
      </w:pPr>
      <w:r w:rsidRPr="001C5160">
        <w:rPr>
          <w:rFonts w:eastAsia="Arial" w:cs="Arial"/>
          <w:szCs w:val="20"/>
        </w:rPr>
        <w:t>In the framework of this Recommendation, some definitions and descriptions of notions used in the text are relevant for the full understanding of its meaning and purposes, including media and communication governance itself, the media, platforms and electronic communications networks (including internet access providers) and services as subjects of governance, as well as of different forms of governance (industry-self regulation, co-regulation, private ordering initiatives). These definitions have whenever possible been taken from the existing instruments of the Council of Europe, also taking account of the existing approaches in other relevant organisations. As this Recommendation covers both the media and platforms and recognises that both States and private sector actors bear responsibilities, the definitions of media and communication governance, different forms of private sector governance, and platforms were developed with the intention to provide for a flexible and future-proof approach that takes account of the manifold forms of governance applied to communication in the public sphere while also allowing for a clear distinction between different actors and governance forms.</w:t>
      </w:r>
    </w:p>
    <w:p w14:paraId="1B3D38AE" w14:textId="77777777" w:rsidR="005F63A2" w:rsidRDefault="005F63A2" w:rsidP="005F63A2">
      <w:pPr>
        <w:rPr>
          <w:rFonts w:eastAsia="Arial" w:cs="Arial"/>
          <w:szCs w:val="20"/>
        </w:rPr>
      </w:pPr>
    </w:p>
    <w:p w14:paraId="16B43086" w14:textId="6A5CB106"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1C5160">
        <w:rPr>
          <w:rFonts w:ascii="Arial" w:eastAsia="Calibri" w:hAnsi="Arial" w:cs="Arial"/>
          <w:b/>
          <w:bCs/>
          <w:color w:val="auto"/>
          <w:sz w:val="20"/>
          <w:szCs w:val="20"/>
          <w:lang w:val="en-GB" w:eastAsia="en-GB"/>
        </w:rPr>
        <w:t>Principles</w:t>
      </w:r>
    </w:p>
    <w:p w14:paraId="0100138B" w14:textId="77777777" w:rsidR="005F63A2" w:rsidRPr="005F63A2" w:rsidRDefault="005F63A2" w:rsidP="005F63A2">
      <w:pPr>
        <w:rPr>
          <w:lang w:eastAsia="en-GB"/>
        </w:rPr>
      </w:pPr>
    </w:p>
    <w:p w14:paraId="19B638D5" w14:textId="7AFA5F3C" w:rsidR="005F63A2" w:rsidRDefault="005F63A2" w:rsidP="005F63A2">
      <w:pPr>
        <w:pStyle w:val="Heading3"/>
        <w:keepLines w:val="0"/>
        <w:spacing w:before="0" w:line="240" w:lineRule="auto"/>
        <w:rPr>
          <w:rFonts w:ascii="Arial" w:eastAsia="Calibri" w:hAnsi="Arial" w:cs="Arial"/>
          <w:i/>
          <w:iCs/>
          <w:color w:val="auto"/>
          <w:sz w:val="20"/>
          <w:szCs w:val="20"/>
          <w:lang w:val="en-GB" w:eastAsia="en-GB"/>
        </w:rPr>
      </w:pPr>
      <w:r w:rsidRPr="006753E4">
        <w:rPr>
          <w:rFonts w:ascii="Arial" w:eastAsia="Calibri" w:hAnsi="Arial" w:cs="Arial"/>
          <w:i/>
          <w:iCs/>
          <w:color w:val="auto"/>
          <w:sz w:val="20"/>
          <w:szCs w:val="20"/>
          <w:lang w:val="en-GB" w:eastAsia="en-GB"/>
        </w:rPr>
        <w:t>Procedural principles for media and communication governance</w:t>
      </w:r>
    </w:p>
    <w:p w14:paraId="72247349" w14:textId="77777777" w:rsidR="005F63A2" w:rsidRPr="005F63A2" w:rsidRDefault="005F63A2" w:rsidP="005F63A2">
      <w:pPr>
        <w:rPr>
          <w:lang w:eastAsia="en-GB"/>
        </w:rPr>
      </w:pPr>
    </w:p>
    <w:p w14:paraId="7EAF0709" w14:textId="77777777" w:rsidR="005F63A2" w:rsidRPr="001C5160" w:rsidRDefault="005F63A2" w:rsidP="005F63A2">
      <w:pPr>
        <w:rPr>
          <w:rFonts w:eastAsia="Arial" w:cs="Arial"/>
          <w:szCs w:val="20"/>
        </w:rPr>
      </w:pPr>
      <w:r w:rsidRPr="003D20D2">
        <w:rPr>
          <w:rFonts w:eastAsia="Arial" w:cs="Arial"/>
          <w:szCs w:val="20"/>
        </w:rPr>
        <w:t>Media and communication governance should not only guarantee that human rights and fundamental freedoms, especially the right to freedom of expression and media freedom, are respected, but also live up to democratic principles and the rule of law.</w:t>
      </w:r>
    </w:p>
    <w:p w14:paraId="1BADE54C" w14:textId="129BEFD1" w:rsidR="003B78B5" w:rsidRDefault="003B78B5">
      <w:pPr>
        <w:rPr>
          <w:rFonts w:eastAsia="Arial" w:cs="Arial"/>
          <w:szCs w:val="20"/>
        </w:rPr>
      </w:pPr>
      <w:r>
        <w:rPr>
          <w:rFonts w:eastAsia="Arial" w:cs="Arial"/>
          <w:szCs w:val="20"/>
        </w:rPr>
        <w:br w:type="page"/>
      </w:r>
    </w:p>
    <w:p w14:paraId="034BD94E" w14:textId="77777777" w:rsidR="005F63A2" w:rsidRPr="001C5160" w:rsidRDefault="005F63A2" w:rsidP="005F63A2">
      <w:pPr>
        <w:rPr>
          <w:rFonts w:eastAsia="Arial" w:cs="Arial"/>
          <w:szCs w:val="20"/>
        </w:rPr>
      </w:pPr>
    </w:p>
    <w:p w14:paraId="7942665A" w14:textId="77777777" w:rsidR="005F63A2" w:rsidRPr="001C5160" w:rsidRDefault="005F63A2" w:rsidP="005F63A2">
      <w:pPr>
        <w:rPr>
          <w:rFonts w:eastAsia="Arial" w:cs="Arial"/>
          <w:szCs w:val="20"/>
        </w:rPr>
      </w:pPr>
      <w:r w:rsidRPr="001C5160">
        <w:rPr>
          <w:rFonts w:eastAsia="Arial" w:cs="Arial"/>
          <w:szCs w:val="20"/>
        </w:rPr>
        <w:t>The procedural principles thus provide a basis for both public and private governance. They offer guidance on how to put media and communication governance into practice in a transparent and accountable, open and inclusive, independent and impartial, evidence-based and impact-oriented, as well as agile and flexible manner that meets Council of Europe standards and values and enhances the procedural legitimacy of governance.</w:t>
      </w:r>
    </w:p>
    <w:p w14:paraId="035D916C" w14:textId="77777777" w:rsidR="005F63A2" w:rsidRPr="001C5160" w:rsidRDefault="005F63A2" w:rsidP="005F63A2">
      <w:pPr>
        <w:rPr>
          <w:rFonts w:eastAsia="Arial" w:cs="Arial"/>
          <w:szCs w:val="20"/>
        </w:rPr>
      </w:pPr>
    </w:p>
    <w:p w14:paraId="37A08020" w14:textId="77777777" w:rsidR="005F63A2" w:rsidRPr="001C5160" w:rsidRDefault="005F63A2" w:rsidP="005F63A2">
      <w:pPr>
        <w:rPr>
          <w:rFonts w:eastAsia="Arial" w:cs="Arial"/>
          <w:szCs w:val="20"/>
        </w:rPr>
      </w:pPr>
      <w:r w:rsidRPr="001C5160">
        <w:rPr>
          <w:rFonts w:eastAsia="Arial" w:cs="Arial"/>
          <w:szCs w:val="20"/>
        </w:rPr>
        <w:t>At the same time, the principles account for the differing requirements for governance by States and public authorities on the one hand and by private sector actors on the other. In addition, these procedural principles should be applied in a graduated manner which takes size, market share and impact of affected private sector actors into consideration.</w:t>
      </w:r>
    </w:p>
    <w:p w14:paraId="236025B1" w14:textId="77777777" w:rsidR="005F63A2" w:rsidRPr="001C5160" w:rsidRDefault="005F63A2" w:rsidP="005F63A2">
      <w:pPr>
        <w:rPr>
          <w:rFonts w:eastAsia="Arial" w:cs="Arial"/>
          <w:szCs w:val="20"/>
        </w:rPr>
      </w:pPr>
    </w:p>
    <w:p w14:paraId="3A92B784" w14:textId="7B67B1E0" w:rsidR="005F63A2" w:rsidRDefault="005F63A2" w:rsidP="005F63A2">
      <w:pPr>
        <w:pStyle w:val="ListParagraph"/>
        <w:numPr>
          <w:ilvl w:val="0"/>
          <w:numId w:val="1"/>
        </w:numPr>
        <w:spacing w:line="240" w:lineRule="auto"/>
        <w:ind w:left="0" w:firstLine="0"/>
        <w:jc w:val="left"/>
        <w:rPr>
          <w:rFonts w:ascii="Arial" w:hAnsi="Arial" w:cs="Arial"/>
          <w:b/>
          <w:sz w:val="20"/>
          <w:szCs w:val="20"/>
          <w:lang w:eastAsia="en-GB"/>
        </w:rPr>
      </w:pPr>
      <w:r w:rsidRPr="006753E4">
        <w:rPr>
          <w:rFonts w:ascii="Arial" w:hAnsi="Arial" w:cs="Arial"/>
          <w:b/>
          <w:sz w:val="20"/>
          <w:szCs w:val="20"/>
          <w:lang w:eastAsia="en-GB"/>
        </w:rPr>
        <w:t>Transparency and accountability</w:t>
      </w:r>
    </w:p>
    <w:p w14:paraId="541FD00A" w14:textId="77777777" w:rsidR="005F63A2" w:rsidRDefault="005F63A2" w:rsidP="005F63A2">
      <w:pPr>
        <w:pStyle w:val="ListParagraph"/>
        <w:spacing w:line="240" w:lineRule="auto"/>
        <w:ind w:left="0"/>
        <w:jc w:val="left"/>
        <w:rPr>
          <w:rFonts w:ascii="Arial" w:hAnsi="Arial" w:cs="Arial"/>
          <w:b/>
          <w:sz w:val="20"/>
          <w:szCs w:val="20"/>
          <w:lang w:eastAsia="en-GB"/>
        </w:rPr>
      </w:pPr>
    </w:p>
    <w:p w14:paraId="29970FFB" w14:textId="77777777" w:rsidR="005F63A2" w:rsidRPr="003D20D2" w:rsidRDefault="005F63A2" w:rsidP="005F63A2">
      <w:pPr>
        <w:pStyle w:val="FramedPrinciple"/>
        <w:spacing w:before="0" w:after="0" w:line="240" w:lineRule="auto"/>
        <w:jc w:val="left"/>
        <w:rPr>
          <w:rFonts w:ascii="Arial" w:hAnsi="Arial"/>
        </w:rPr>
      </w:pPr>
      <w:r w:rsidRPr="006753E4">
        <w:rPr>
          <w:rFonts w:ascii="Arial" w:hAnsi="Arial"/>
        </w:rPr>
        <w:t xml:space="preserve">Media and communication governance should be transparent and accountable to enable public scrutiny of State and private sector decision making and activity as well as to guarantee that it is accessible and </w:t>
      </w:r>
      <w:r w:rsidRPr="00C11C67">
        <w:rPr>
          <w:rFonts w:ascii="Arial" w:eastAsia="Times New Roman" w:hAnsi="Arial"/>
          <w:iCs/>
        </w:rPr>
        <w:t>understandable.</w:t>
      </w:r>
    </w:p>
    <w:p w14:paraId="4D403429"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234CDF89" w14:textId="331DD70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0A7651">
        <w:rPr>
          <w:rFonts w:ascii="Arial" w:hAnsi="Arial" w:cs="Arial"/>
          <w:b/>
          <w:bCs/>
          <w:sz w:val="20"/>
          <w:szCs w:val="20"/>
          <w:lang w:val="en-GB" w:eastAsia="en-GB"/>
        </w:rPr>
        <w:t>Powers of public authorities</w:t>
      </w:r>
      <w:r w:rsidRPr="00051BA0">
        <w:rPr>
          <w:rFonts w:ascii="Arial" w:eastAsia="Arial" w:hAnsi="Arial" w:cs="Arial"/>
          <w:sz w:val="20"/>
          <w:szCs w:val="20"/>
          <w:lang w:val="en-GB"/>
        </w:rPr>
        <w:t>: Any legislation should clearly define the powers granted to public</w:t>
      </w:r>
      <w:r>
        <w:rPr>
          <w:rFonts w:ascii="Arial" w:eastAsia="Arial" w:hAnsi="Arial" w:cs="Arial"/>
          <w:sz w:val="20"/>
          <w:szCs w:val="20"/>
          <w:lang w:val="en-GB"/>
        </w:rPr>
        <w:t xml:space="preserve"> </w:t>
      </w:r>
      <w:r w:rsidRPr="00051BA0">
        <w:rPr>
          <w:rFonts w:ascii="Arial" w:eastAsia="Arial" w:hAnsi="Arial" w:cs="Arial"/>
          <w:sz w:val="20"/>
          <w:szCs w:val="20"/>
          <w:lang w:val="en-GB"/>
        </w:rPr>
        <w:t>authorities including law enforcement authorities and bodies that these have towards the media, platforms, and communication in the public sphere. Such legislation should indicate the scope of discretion in order to protect against arbitrary application of the rules. Further, States should invest in relevant expertise to be available to adequately resourced regulatory authorities.</w:t>
      </w:r>
    </w:p>
    <w:p w14:paraId="1ACFAC25" w14:textId="77777777" w:rsidR="005F63A2" w:rsidRPr="00051BA0" w:rsidRDefault="005F63A2" w:rsidP="005F63A2">
      <w:pPr>
        <w:pStyle w:val="ListParagraph"/>
        <w:spacing w:line="240" w:lineRule="auto"/>
        <w:ind w:left="0"/>
        <w:jc w:val="left"/>
        <w:rPr>
          <w:rFonts w:ascii="Arial" w:eastAsia="Arial" w:hAnsi="Arial" w:cs="Arial"/>
          <w:sz w:val="20"/>
          <w:szCs w:val="20"/>
          <w:lang w:val="en-GB"/>
        </w:rPr>
      </w:pPr>
    </w:p>
    <w:p w14:paraId="57284BF5" w14:textId="2C0BD78B"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0A7651">
        <w:rPr>
          <w:rFonts w:ascii="Arial" w:hAnsi="Arial" w:cs="Arial"/>
          <w:b/>
          <w:bCs/>
          <w:sz w:val="20"/>
          <w:szCs w:val="20"/>
          <w:lang w:val="en-GB" w:eastAsia="en-GB"/>
        </w:rPr>
        <w:t>States’</w:t>
      </w:r>
      <w:r w:rsidRPr="006753E4">
        <w:rPr>
          <w:rFonts w:ascii="Arial" w:eastAsia="Arial" w:hAnsi="Arial" w:cs="Arial"/>
          <w:b/>
          <w:bCs/>
          <w:sz w:val="20"/>
          <w:szCs w:val="20"/>
          <w:lang w:val="en-GB"/>
        </w:rPr>
        <w:t xml:space="preserve"> obligations concerning transparency of the governance process</w:t>
      </w:r>
      <w:r w:rsidRPr="001C5160">
        <w:rPr>
          <w:rFonts w:ascii="Arial" w:eastAsia="Arial" w:hAnsi="Arial" w:cs="Arial"/>
          <w:sz w:val="20"/>
          <w:szCs w:val="20"/>
          <w:lang w:val="en-GB"/>
        </w:rPr>
        <w:t>: States and public authorities should publicise and actively promote public understanding of any legislation, policies, and regulation applicable to the media, platforms, and communication in the public sphere. All affected stakeholders should be notified of planned reforms and changes. Moreover, States and public authorities should publish any regulatory decisions regarding the media, platforms, and communication in the public sphere in anonymised form where appropriate. These decisions should be based on transparent procedures.</w:t>
      </w:r>
    </w:p>
    <w:p w14:paraId="5D58A9A4"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3FF6D0E4" w14:textId="2D70D09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Other actors’ obligations concerning transparency of the governance process</w:t>
      </w:r>
      <w:r w:rsidRPr="001C5160">
        <w:rPr>
          <w:rFonts w:ascii="Arial" w:eastAsia="Arial" w:hAnsi="Arial" w:cs="Arial"/>
          <w:sz w:val="20"/>
          <w:szCs w:val="20"/>
          <w:lang w:val="en-GB"/>
        </w:rPr>
        <w:t>: Organisations of industry self-regulation and co-regulation as well as individual media and platform actors should ensure that codes of conduct, policies, terms of service agreements specifying standards, practices, and rights of users as well as information about algorithmic systems are publicly available and easy to be found in accessible formats and outlined in clear, plain language. When operating globally, they should translate such documents into the languages that their users and affected parties understand. Users should be notified in advance and in understandable and accessible form of all changes in relevant policies. Moreover, organisations of industry self-regulation and co-regulation as well as individual media and platform actors should make available policy or regulatory decisions that affect communication in the public sphere. These decisions should be based on transparent procedures.</w:t>
      </w:r>
    </w:p>
    <w:p w14:paraId="5C0027A5"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AB8A154" w14:textId="0CFDD483"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Providing information about decisions</w:t>
      </w:r>
      <w:r w:rsidRPr="001C5160">
        <w:rPr>
          <w:rFonts w:ascii="Arial" w:eastAsia="Arial" w:hAnsi="Arial" w:cs="Arial"/>
          <w:sz w:val="20"/>
          <w:szCs w:val="20"/>
          <w:lang w:val="en-GB"/>
        </w:rPr>
        <w:t>: States and public authorities, organisations of industry self-regulation and co-regulation as well as individual media and platform actors should make available, publicly and in regular manner, information in a non-personalised way on individual decisions which restrict the free and open flow of information and ideas in the public sphere. States should also require individual media and platforms to disclose such information. In addition, States should ensure that there are out-of-court redress mechanisms and access to judicial review for business users and end users against decisions affecting them.</w:t>
      </w:r>
    </w:p>
    <w:p w14:paraId="00CE6AD4"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811FFF1" w14:textId="002162C5"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3" w:name="_ML_00000000000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and </w:t>
      </w:r>
      <w:bookmarkStart w:id="4" w:name="_ML_00000000000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provide further guidance.</w:t>
      </w:r>
    </w:p>
    <w:p w14:paraId="05946DBD" w14:textId="77777777" w:rsidR="005F63A2" w:rsidRPr="001C5160" w:rsidRDefault="005F63A2" w:rsidP="005F63A2">
      <w:pPr>
        <w:rPr>
          <w:rFonts w:eastAsia="Arial" w:cs="Arial"/>
          <w:szCs w:val="20"/>
        </w:rPr>
      </w:pPr>
    </w:p>
    <w:p w14:paraId="2A428D14" w14:textId="09E4F433" w:rsidR="005F63A2" w:rsidRPr="005F63A2" w:rsidRDefault="005F63A2" w:rsidP="005F63A2">
      <w:pPr>
        <w:pStyle w:val="ListParagraph"/>
        <w:numPr>
          <w:ilvl w:val="0"/>
          <w:numId w:val="1"/>
        </w:numPr>
        <w:spacing w:line="240" w:lineRule="auto"/>
        <w:ind w:left="0" w:firstLine="0"/>
        <w:jc w:val="left"/>
        <w:rPr>
          <w:rFonts w:ascii="Arial" w:eastAsia="Arial" w:hAnsi="Arial" w:cs="Arial"/>
          <w:sz w:val="20"/>
          <w:szCs w:val="20"/>
          <w:lang w:val="en-GB"/>
        </w:rPr>
      </w:pPr>
      <w:r w:rsidRPr="006753E4">
        <w:rPr>
          <w:rFonts w:ascii="Arial" w:hAnsi="Arial" w:cs="Arial"/>
          <w:b/>
          <w:sz w:val="20"/>
          <w:szCs w:val="20"/>
          <w:lang w:eastAsia="en-GB"/>
        </w:rPr>
        <w:t>Openness and inclusiveness</w:t>
      </w:r>
    </w:p>
    <w:p w14:paraId="2F79105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62B128E" w14:textId="77777777" w:rsidR="005F63A2" w:rsidRPr="006753E4" w:rsidRDefault="005F63A2" w:rsidP="005F63A2">
      <w:pPr>
        <w:pStyle w:val="FramedPrinciple"/>
        <w:spacing w:before="0" w:after="0" w:line="240" w:lineRule="auto"/>
        <w:jc w:val="left"/>
        <w:rPr>
          <w:rFonts w:ascii="Arial" w:hAnsi="Arial"/>
        </w:rPr>
      </w:pPr>
      <w:r w:rsidRPr="006753E4">
        <w:rPr>
          <w:rFonts w:ascii="Arial" w:hAnsi="Arial"/>
        </w:rPr>
        <w:t>Media and communication governance should be open and inclusive to satisfy the right to be heard of various groups and interests in society and to democratise decision making about communication in the public sphere.</w:t>
      </w:r>
    </w:p>
    <w:p w14:paraId="35E17B2E" w14:textId="0FDC378B" w:rsidR="003B78B5" w:rsidRDefault="003B78B5">
      <w:pPr>
        <w:rPr>
          <w:rFonts w:eastAsia="Arial" w:cs="Arial"/>
          <w:szCs w:val="20"/>
        </w:rPr>
      </w:pPr>
      <w:r>
        <w:rPr>
          <w:rFonts w:eastAsia="Arial" w:cs="Arial"/>
          <w:szCs w:val="20"/>
        </w:rPr>
        <w:br w:type="page"/>
      </w:r>
    </w:p>
    <w:p w14:paraId="0E4B7770"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4D73A6B4" w14:textId="19AABFC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States’ obligations concerning participation in the governance process</w:t>
      </w:r>
      <w:r w:rsidRPr="001C5160">
        <w:rPr>
          <w:rFonts w:ascii="Arial" w:eastAsia="Arial" w:hAnsi="Arial" w:cs="Arial"/>
          <w:sz w:val="20"/>
          <w:szCs w:val="20"/>
          <w:lang w:val="en-GB"/>
        </w:rPr>
        <w:t>: States and public authorities should, when developing and enforcing legislation, policies, and regulation applicable to the media, platforms, and communication in the public sphere, allow for the full participation of the affected media and platforms as well as civil society, taking into account their specific roles and responsibilities. This includes the responsibility to hold hearings and consultations on new policy proposals or regulatory reform, to invite and listen to all stakeholders affected or likely to be affected to participate in hearings and consultations, to allow sufficient time to respond to consultations, to inform publicly about the results and impact of such hearings and consultations, and to explain the reasoning behind considering or not considering submissions made.</w:t>
      </w:r>
    </w:p>
    <w:p w14:paraId="66A316B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8CF2E6A" w14:textId="7D5A02A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Other actors’ obligations concerning participation in the governance process</w:t>
      </w:r>
      <w:r w:rsidRPr="001C5160">
        <w:rPr>
          <w:rFonts w:ascii="Arial" w:eastAsia="Arial" w:hAnsi="Arial" w:cs="Arial"/>
          <w:sz w:val="20"/>
          <w:szCs w:val="20"/>
          <w:lang w:val="en-GB"/>
        </w:rPr>
        <w:t>: Organisations of industry self-regulation and co-regulation as well as individual media and platform actors should, when developing and enforcing media and communication governance, including codes of conduct, policies, terms of service agreements specifying standards, practices, and rights of users as well as algorithmic systems, allow for the meaningful participation of civil society. This includes the expectation to hold hearings and consultations on new proposals or reforms, to invite and listen to all stakeholders affected or likely to be affected to participate in hearings and consultations, to allow sufficient time to respond to consultations, to inform publicly about the results and impact of such hearings and consultations, and to explain the reasoning behind considering or not considering submissions made. When operating globally, they should be committed to the full and equal participation of all stakeholders from all countries.</w:t>
      </w:r>
    </w:p>
    <w:p w14:paraId="01256A8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F348F57" w14:textId="1373D7F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Democratisation of governance</w:t>
      </w:r>
      <w:r w:rsidRPr="001C5160">
        <w:rPr>
          <w:rFonts w:ascii="Arial" w:eastAsia="Arial" w:hAnsi="Arial" w:cs="Arial"/>
          <w:sz w:val="20"/>
          <w:szCs w:val="20"/>
          <w:lang w:val="en-GB"/>
        </w:rPr>
        <w:t xml:space="preserve">: In particular, States and public authorities, organisations of industry self-regulation and co-regulation as well as individual media and platform actors should strengthen the participation and involvement of individuals in decision-making processes affecting the media, platforms, and communication in the public sphere to allow for genuine deliberation and to contribute to a democratisation of media and communication governance. Media and information literacy initiatives play an important role in this respect. </w:t>
      </w:r>
    </w:p>
    <w:p w14:paraId="5E30F74C"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E6BFFF4" w14:textId="178BF86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Regular and inclusive consultations</w:t>
      </w:r>
      <w:r w:rsidRPr="001C5160">
        <w:rPr>
          <w:rFonts w:ascii="Arial" w:eastAsia="Arial" w:hAnsi="Arial" w:cs="Arial"/>
          <w:sz w:val="20"/>
          <w:szCs w:val="20"/>
          <w:lang w:val="en-GB"/>
        </w:rPr>
        <w:t>: States and public authorities, organisations of industry self-regulation and co-regulation as well as individual media and platform actors should engage in regular, open, and inclusive consultation, co-operation, and dialogue with all relevant stakeholders with a view to ensuring that an appropriate balance is struck between the public interest, interests of users and affected parties, and industry interests. They should pay particular attention to the needs and voices of vulnerable subjects and minorities as well as to gender and ethnic diversity. Public authorities, organisations of industry self-regulation and co-regulation as well as individual media and platform actors should consider establishing bodies consisting of business users and end users and/or citizen representatives to include their voices in internal decision-making.</w:t>
      </w:r>
    </w:p>
    <w:p w14:paraId="6FC5B58C"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0471D84" w14:textId="3971A879"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6753E4">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5" w:name="_ML_00000000000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"https://search.coe.int/cm/Pages/result_details.aspx?Reference=CM/Rec(2007)16" \o "Recommendation of the Committee of Ministers to member states on measures to promote the public service value of the Internet (Adopted by the Committee of Ministers on 7 November 2007 at the 1010th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
      <w:r w:rsidR="00AF3009" w:rsidRPr="00AF3009">
        <w:rPr>
          <w:rStyle w:val="Hyperlink"/>
          <w:rFonts w:ascii="Arial" w:eastAsia="Arial" w:hAnsi="Arial" w:cs="Arial"/>
          <w:sz w:val="20"/>
          <w:szCs w:val="20"/>
          <w:lang w:val="en-GB"/>
        </w:rPr>
        <w:t>CM/Rec(2007)16</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measures to promote the public service value of the Internet, </w:t>
      </w:r>
      <w:bookmarkStart w:id="6" w:name="_ML_00000000000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"https://search.coe.int/cm/Pages/result_details.aspx?Reference=CM/Rec(2013)1" \o "Recommendation of the Committee of Ministers to member States on gender equality and media (Adopted by the Committee of Ministers on 10 July 2013 at the 1176th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6"/>
      <w:r w:rsidR="00AF3009" w:rsidRPr="00AF3009">
        <w:rPr>
          <w:rStyle w:val="Hyperlink"/>
          <w:rFonts w:ascii="Arial" w:eastAsia="Arial" w:hAnsi="Arial" w:cs="Arial"/>
          <w:sz w:val="20"/>
          <w:szCs w:val="20"/>
          <w:lang w:val="en-GB"/>
        </w:rPr>
        <w:t>CM/Rec(2013)1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gender equality and media, </w:t>
      </w:r>
      <w:bookmarkStart w:id="7" w:name="_ML_000000000008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7"/>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and </w:t>
      </w:r>
      <w:bookmarkStart w:id="8" w:name="_ML_000000000009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8"/>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provide further guidance.</w:t>
      </w:r>
    </w:p>
    <w:p w14:paraId="63441DAE" w14:textId="77777777" w:rsidR="005F63A2" w:rsidRPr="001C5160" w:rsidRDefault="005F63A2" w:rsidP="005F63A2">
      <w:pPr>
        <w:rPr>
          <w:rFonts w:eastAsia="Arial" w:cs="Arial"/>
          <w:szCs w:val="20"/>
        </w:rPr>
      </w:pPr>
    </w:p>
    <w:p w14:paraId="4733760D" w14:textId="0ED2C129" w:rsidR="005F63A2" w:rsidRDefault="005F63A2" w:rsidP="005F63A2">
      <w:pPr>
        <w:pStyle w:val="ListParagraph"/>
        <w:numPr>
          <w:ilvl w:val="0"/>
          <w:numId w:val="1"/>
        </w:numPr>
        <w:spacing w:line="240" w:lineRule="auto"/>
        <w:ind w:left="0" w:firstLine="0"/>
        <w:jc w:val="left"/>
        <w:rPr>
          <w:rFonts w:ascii="Arial" w:hAnsi="Arial" w:cs="Arial"/>
          <w:b/>
          <w:sz w:val="20"/>
          <w:szCs w:val="20"/>
          <w:lang w:eastAsia="en-GB"/>
        </w:rPr>
      </w:pPr>
      <w:r w:rsidRPr="006753E4">
        <w:rPr>
          <w:rFonts w:ascii="Arial" w:hAnsi="Arial" w:cs="Arial"/>
          <w:b/>
          <w:sz w:val="20"/>
          <w:szCs w:val="20"/>
          <w:lang w:eastAsia="en-GB"/>
        </w:rPr>
        <w:t>Independence and impartiality</w:t>
      </w:r>
    </w:p>
    <w:p w14:paraId="4648FAC4" w14:textId="77777777" w:rsidR="005F63A2" w:rsidRPr="006753E4" w:rsidRDefault="005F63A2" w:rsidP="005F63A2">
      <w:pPr>
        <w:pStyle w:val="ListParagraph"/>
        <w:spacing w:line="240" w:lineRule="auto"/>
        <w:ind w:left="0"/>
        <w:jc w:val="left"/>
        <w:rPr>
          <w:rFonts w:ascii="Arial" w:hAnsi="Arial" w:cs="Arial"/>
          <w:b/>
          <w:sz w:val="20"/>
          <w:szCs w:val="20"/>
          <w:lang w:eastAsia="en-GB"/>
        </w:rPr>
      </w:pPr>
    </w:p>
    <w:p w14:paraId="1C44A266" w14:textId="77777777" w:rsidR="005F63A2" w:rsidRPr="008811DF" w:rsidRDefault="005F63A2" w:rsidP="005F63A2">
      <w:pPr>
        <w:pStyle w:val="FramedPrinciple"/>
        <w:spacing w:before="0" w:after="0" w:line="240" w:lineRule="auto"/>
        <w:jc w:val="left"/>
        <w:rPr>
          <w:rFonts w:ascii="Arial" w:hAnsi="Arial"/>
          <w:lang w:val="sl-SI"/>
        </w:rPr>
      </w:pPr>
      <w:r w:rsidRPr="008811DF">
        <w:rPr>
          <w:rFonts w:ascii="Arial" w:hAnsi="Arial"/>
          <w:lang w:val="sl-SI"/>
        </w:rPr>
        <w:t>Media and communication governance should be independent and impartial to avoid undue influence on policy making, discriminatory treatment and preferential treatment of powerful groups, including those with significant political or economic power.</w:t>
      </w:r>
    </w:p>
    <w:p w14:paraId="52F31F97"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1016D616" w14:textId="540FCD2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8811DF">
        <w:rPr>
          <w:rFonts w:ascii="Arial" w:eastAsia="Arial" w:hAnsi="Arial" w:cs="Arial"/>
          <w:b/>
          <w:bCs/>
          <w:sz w:val="20"/>
          <w:szCs w:val="20"/>
          <w:lang w:val="en-GB"/>
        </w:rPr>
        <w:t xml:space="preserve">Independent, impartial, and </w:t>
      </w:r>
      <w:r w:rsidRPr="005E5C05">
        <w:rPr>
          <w:rFonts w:ascii="Arial" w:eastAsia="Arial" w:hAnsi="Arial" w:cs="Arial"/>
          <w:sz w:val="20"/>
          <w:szCs w:val="20"/>
          <w:lang w:val="en-GB"/>
        </w:rPr>
        <w:t>non</w:t>
      </w:r>
      <w:r w:rsidRPr="008811DF">
        <w:rPr>
          <w:rFonts w:ascii="Arial" w:eastAsia="Arial" w:hAnsi="Arial" w:cs="Arial"/>
          <w:b/>
          <w:bCs/>
          <w:sz w:val="20"/>
          <w:szCs w:val="20"/>
          <w:lang w:val="en-GB"/>
        </w:rPr>
        <w:t>-discriminatory governance</w:t>
      </w:r>
      <w:r w:rsidRPr="001C5160">
        <w:rPr>
          <w:rFonts w:ascii="Arial" w:eastAsia="Arial" w:hAnsi="Arial" w:cs="Arial"/>
          <w:sz w:val="20"/>
          <w:szCs w:val="20"/>
          <w:lang w:val="en-GB"/>
        </w:rPr>
        <w:t>: The process of developing and enforcing media and communication governance should be free of and prevent any undue interference, in particular by political or economic interests. Moreover, media and communication governance should be impartial and ensure the treatment of all media and platforms without discrimination and corresponding to their impact.</w:t>
      </w:r>
    </w:p>
    <w:p w14:paraId="7D3D4CB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7B3DB5F" w14:textId="77777777" w:rsidR="00BB08D5" w:rsidRDefault="005F63A2" w:rsidP="003B78B5">
      <w:pPr>
        <w:pStyle w:val="ListParagraph"/>
        <w:numPr>
          <w:ilvl w:val="1"/>
          <w:numId w:val="1"/>
        </w:numPr>
        <w:spacing w:line="240" w:lineRule="auto"/>
        <w:ind w:left="0" w:firstLine="0"/>
        <w:jc w:val="left"/>
        <w:rPr>
          <w:rFonts w:ascii="Arial" w:eastAsia="Arial" w:hAnsi="Arial" w:cs="Arial"/>
          <w:sz w:val="20"/>
          <w:szCs w:val="20"/>
          <w:lang w:val="en-GB"/>
        </w:rPr>
      </w:pPr>
      <w:r w:rsidRPr="008811DF">
        <w:rPr>
          <w:rFonts w:ascii="Arial" w:eastAsia="Arial" w:hAnsi="Arial" w:cs="Arial"/>
          <w:b/>
          <w:bCs/>
          <w:sz w:val="20"/>
          <w:szCs w:val="20"/>
          <w:lang w:val="en-GB"/>
        </w:rPr>
        <w:t>Design and implementation of human rights-compliant governance</w:t>
      </w:r>
      <w:r w:rsidRPr="001C5160">
        <w:rPr>
          <w:rFonts w:ascii="Arial" w:eastAsia="Arial" w:hAnsi="Arial" w:cs="Arial"/>
          <w:sz w:val="20"/>
          <w:szCs w:val="20"/>
          <w:lang w:val="en-GB"/>
        </w:rPr>
        <w:t xml:space="preserve">: States should design and implement governance in a manner that ensures the respect for the rights contained in Article 10, paragraph 1, of the Convention and the standards that stem from the relevant case law of the European Court of Human Rights, while limitations to those rights have to meet the requirements in Article 10, paragraph 2, of the Convention. Similarly, private sector actors should design and implement governance in a manner that </w:t>
      </w:r>
    </w:p>
    <w:p w14:paraId="292B799C" w14:textId="77777777" w:rsidR="00BB08D5" w:rsidRDefault="00BB08D5">
      <w:pPr>
        <w:rPr>
          <w:rFonts w:eastAsia="Arial" w:cs="Arial"/>
          <w:szCs w:val="20"/>
        </w:rPr>
      </w:pPr>
      <w:r>
        <w:rPr>
          <w:rFonts w:eastAsia="Arial" w:cs="Arial"/>
          <w:szCs w:val="20"/>
        </w:rPr>
        <w:br w:type="page"/>
      </w:r>
    </w:p>
    <w:p w14:paraId="058B5DBF" w14:textId="77777777" w:rsidR="00BB08D5" w:rsidRDefault="00BB08D5" w:rsidP="00BB08D5">
      <w:pPr>
        <w:pStyle w:val="ListParagraph"/>
        <w:spacing w:line="240" w:lineRule="auto"/>
        <w:ind w:left="0"/>
        <w:jc w:val="left"/>
        <w:rPr>
          <w:rFonts w:ascii="Arial" w:eastAsia="Arial" w:hAnsi="Arial" w:cs="Arial"/>
          <w:sz w:val="20"/>
          <w:szCs w:val="18"/>
          <w:lang w:val="en-GB"/>
        </w:rPr>
      </w:pPr>
    </w:p>
    <w:p w14:paraId="571FB1DA" w14:textId="03E50F5F" w:rsidR="005F63A2" w:rsidRPr="00DF3AB4" w:rsidRDefault="005F63A2" w:rsidP="00BB08D5">
      <w:pPr>
        <w:pStyle w:val="ListParagraph"/>
        <w:spacing w:line="240" w:lineRule="auto"/>
        <w:ind w:left="0"/>
        <w:jc w:val="left"/>
        <w:rPr>
          <w:rFonts w:ascii="Arial" w:eastAsia="Arial" w:hAnsi="Arial" w:cs="Arial"/>
          <w:sz w:val="20"/>
          <w:szCs w:val="18"/>
          <w:lang w:val="en-GB"/>
        </w:rPr>
      </w:pPr>
      <w:r w:rsidRPr="003B78B5">
        <w:rPr>
          <w:rFonts w:ascii="Arial" w:eastAsia="Arial" w:hAnsi="Arial" w:cs="Arial"/>
          <w:sz w:val="20"/>
          <w:szCs w:val="18"/>
          <w:lang w:val="en-GB"/>
        </w:rPr>
        <w:t xml:space="preserve">protects and respects freedom of expression and other rights. </w:t>
      </w:r>
      <w:r w:rsidRPr="00BB08D5">
        <w:rPr>
          <w:rFonts w:ascii="Arial" w:eastAsia="Arial" w:hAnsi="Arial" w:cs="Arial"/>
          <w:sz w:val="20"/>
          <w:szCs w:val="18"/>
          <w:lang w:val="en-GB"/>
        </w:rPr>
        <w:t xml:space="preserve">Where private sector actors fail to meet these standards, States have the obligation to protect the rights of individuals. </w:t>
      </w:r>
      <w:r w:rsidRPr="00BB08D5">
        <w:rPr>
          <w:rFonts w:ascii="Arial" w:eastAsia="Arial" w:hAnsi="Arial" w:cs="Arial"/>
          <w:sz w:val="20"/>
          <w:szCs w:val="18"/>
          <w:lang w:val="en-US"/>
        </w:rPr>
        <w:t>The design and implementation of governance in such a manner includes preventing States or any powerful political, economic, religious, or other groups from acquiring dominance over or exerting pressure on the media, on platforms or on debates in the public sphere. It further implies the need to be aware of differences between public and private interests and the duty to refrain from abusing governance to further the private interests of policymakers or other powerful actors.</w:t>
      </w:r>
      <w:r w:rsidRPr="00BB08D5">
        <w:rPr>
          <w:rFonts w:eastAsia="Arial" w:cs="Arial"/>
          <w:sz w:val="20"/>
          <w:szCs w:val="18"/>
          <w:lang w:val="en-US"/>
        </w:rPr>
        <w:t xml:space="preserve"> </w:t>
      </w:r>
    </w:p>
    <w:p w14:paraId="10C98B6A"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5F6EA4F" w14:textId="1EF61EA7"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8811DF">
        <w:rPr>
          <w:rFonts w:ascii="Arial" w:eastAsia="Arial" w:hAnsi="Arial" w:cs="Arial"/>
          <w:b/>
          <w:bCs/>
          <w:sz w:val="20"/>
          <w:szCs w:val="20"/>
          <w:lang w:val="en-GB"/>
        </w:rPr>
        <w:t>Unbiased media coverage of governance issues</w:t>
      </w:r>
      <w:r w:rsidRPr="001C5160">
        <w:rPr>
          <w:rFonts w:ascii="Arial" w:eastAsia="Arial" w:hAnsi="Arial" w:cs="Arial"/>
          <w:sz w:val="20"/>
          <w:szCs w:val="20"/>
          <w:lang w:val="en-GB"/>
        </w:rPr>
        <w:t>: Media and communication governance differs from other policy areas because the media and platforms affected by governance are also able to shape communication in the public sphere and thus the perception of the sector and of media and communication governance. It is essential that media coverage of the topic of media and communication governance as well as the media’s and platforms’ algorithmic curation of public debates concerning such governance remain unbiased and free from private interests of their owners.</w:t>
      </w:r>
    </w:p>
    <w:p w14:paraId="6302A88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C87CB0B" w14:textId="78086EA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E5C05">
        <w:rPr>
          <w:rFonts w:ascii="Arial" w:eastAsia="Arial" w:hAnsi="Arial" w:cs="Arial"/>
          <w:b/>
          <w:bCs/>
          <w:sz w:val="20"/>
          <w:szCs w:val="20"/>
          <w:lang w:val="en-GB"/>
        </w:rPr>
        <w:t>Independence of national regulatory authorities</w:t>
      </w:r>
      <w:r w:rsidRPr="001C5160">
        <w:rPr>
          <w:rFonts w:ascii="Arial" w:eastAsia="Arial" w:hAnsi="Arial" w:cs="Arial"/>
          <w:sz w:val="20"/>
          <w:szCs w:val="20"/>
          <w:lang w:val="en-GB"/>
        </w:rPr>
        <w:t>: States should ensure the establishment und unimpeded functioning of independent regulatory authorities for audiovisual media, electronic communications networks and services and/or platforms as well as for competition with autonomy, powers as well as human and financial resources allowing them to fulfil their missions. The rules and procedures governing or affecting the functioning of these regulatory authorities should clearly affirm and protect their independence. Therefore, these rules should be defined so as to protect the regulatory authorities against any interference, in particular by political forces or economic interests. Partisan appointments and an undue closeness between members and industry need to be avoided. Moreover, the duties and powers of regulatory authorities, as well as the ways of making them accountable, the procedures for appointment and dismissal of their members, and the means of their funding should be clearly defined in law.</w:t>
      </w:r>
    </w:p>
    <w:p w14:paraId="7688EEA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0851FAB" w14:textId="7E395B1B"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8811DF">
        <w:rPr>
          <w:rFonts w:ascii="Arial" w:eastAsia="Arial" w:hAnsi="Arial" w:cs="Arial"/>
          <w:b/>
          <w:bCs/>
          <w:sz w:val="20"/>
          <w:szCs w:val="20"/>
          <w:lang w:val="en-GB"/>
        </w:rPr>
        <w:t>Independence of other governance actors</w:t>
      </w:r>
      <w:r w:rsidRPr="001C5160">
        <w:rPr>
          <w:rFonts w:ascii="Arial" w:eastAsia="Arial" w:hAnsi="Arial" w:cs="Arial"/>
          <w:sz w:val="20"/>
          <w:szCs w:val="20"/>
          <w:lang w:val="en-GB"/>
        </w:rPr>
        <w:t xml:space="preserve">: Similarly, the rules and procedures governing or affecting the functioning of organisations of industry self-regulation and co-regulation as well as private ordering initiatives by individual media and platform actors should clearly affirm and protect their independence, in particular from both political forces and economic interests. Moreover, such forms of governance require adequate power and financial resources allowing them to fulfil their missions. </w:t>
      </w:r>
    </w:p>
    <w:p w14:paraId="7969092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E1C9F37" w14:textId="7C748AB5"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8811DF">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9" w:name="_ML_000000000010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9"/>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and </w:t>
      </w:r>
      <w:bookmarkStart w:id="10" w:name="_ML_000000000011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"https://search.coe.int/cm/Pages/result_details.aspx?Reference=Rec(2000)23" \o "RECOMMENDATION REC (2000) 23 of the committee of ministers to member states on the independance and funcions of regulatory authorities for the broadcasting sector"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0"/>
      <w:r w:rsidR="00AF3009" w:rsidRPr="00AF3009">
        <w:rPr>
          <w:rStyle w:val="Hyperlink"/>
          <w:rFonts w:ascii="Arial" w:eastAsia="Arial" w:hAnsi="Arial" w:cs="Arial"/>
          <w:sz w:val="20"/>
          <w:szCs w:val="20"/>
          <w:lang w:val="en-GB"/>
        </w:rPr>
        <w:t>Rec(2000)23</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independence and functions of regulatory authorities for the broadcasting sector as well as the 2008 Declaration on the independence and functions of regulatory authorities for the broadcasting sector provide further guidance.</w:t>
      </w:r>
    </w:p>
    <w:p w14:paraId="1B14CE62" w14:textId="77777777" w:rsidR="005F63A2" w:rsidRPr="001C5160" w:rsidRDefault="005F63A2" w:rsidP="005F63A2">
      <w:pPr>
        <w:rPr>
          <w:rFonts w:eastAsia="Arial" w:cs="Arial"/>
          <w:szCs w:val="20"/>
        </w:rPr>
      </w:pPr>
    </w:p>
    <w:p w14:paraId="083E516F" w14:textId="4D91F29E"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Evidence-based and impact-oriented governance choice</w:t>
      </w:r>
    </w:p>
    <w:p w14:paraId="73156732"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59C6BBE8" w14:textId="77777777" w:rsidR="005F63A2" w:rsidRPr="008811DF" w:rsidRDefault="005F63A2" w:rsidP="005F63A2">
      <w:pPr>
        <w:pStyle w:val="FramedPrinciple"/>
        <w:spacing w:before="0" w:after="0" w:line="240" w:lineRule="auto"/>
        <w:jc w:val="left"/>
        <w:rPr>
          <w:rFonts w:ascii="Arial" w:hAnsi="Arial"/>
        </w:rPr>
      </w:pPr>
      <w:r w:rsidRPr="008811DF">
        <w:rPr>
          <w:rFonts w:ascii="Arial" w:hAnsi="Arial"/>
        </w:rPr>
        <w:t>Media and communication governance should be based on evidence showing the need for intervention and take account of its regulatory and human rights impact in order to allow for a graduated and differentiated response respecting the roles played by different actors in the production, dissemination and use of content.</w:t>
      </w:r>
    </w:p>
    <w:p w14:paraId="7AEC116B"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3823900B" w14:textId="4D651E9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Adequate and effective governance</w:t>
      </w:r>
      <w:r w:rsidRPr="001C5160">
        <w:rPr>
          <w:rFonts w:ascii="Arial" w:eastAsia="Arial" w:hAnsi="Arial" w:cs="Arial"/>
          <w:sz w:val="20"/>
          <w:szCs w:val="20"/>
          <w:lang w:val="en-GB"/>
        </w:rPr>
        <w:t xml:space="preserve">: Governance choice refers to the task of identifying the responses most adequate and effective for addressing identified problems. Finding such best practices also involves considering interrelations with other policy areas, defining the duties and powers of public authorities, organisations of industry self-regulation and co-regulation as well as individual media and platform actors, and guaranteeing the protection of human rights and fundamental freedoms in line with the Convention. </w:t>
      </w:r>
    </w:p>
    <w:p w14:paraId="3B549134"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759CAE4" w14:textId="365350C2"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Evidence-based governance</w:t>
      </w:r>
      <w:r w:rsidRPr="001C5160">
        <w:rPr>
          <w:rFonts w:ascii="Arial" w:eastAsia="Arial" w:hAnsi="Arial" w:cs="Arial"/>
          <w:sz w:val="20"/>
          <w:szCs w:val="20"/>
          <w:lang w:val="en-GB"/>
        </w:rPr>
        <w:t>: Identifying problems that require and justify media and communication governance as well as the extent of intervention required necessitates an evidence-based approach for which access to relevant information and data is a prerequisite. This includes taking into account the high impact of both the media and platforms on communication in the public sphere and thus on society, the functioning of democracy and human rights. An evidence-based approach should not restrict the openness and inclusiveness of governance by putting civil society groups at a disadvantage if they lack the resources to back their submissions with data and (legal) opinions.</w:t>
      </w:r>
    </w:p>
    <w:p w14:paraId="354DE64A" w14:textId="7D0BF1FF" w:rsidR="003B78B5" w:rsidRDefault="003B78B5">
      <w:pPr>
        <w:rPr>
          <w:rFonts w:eastAsia="Arial" w:cs="Arial"/>
          <w:szCs w:val="20"/>
        </w:rPr>
      </w:pPr>
      <w:r>
        <w:rPr>
          <w:rFonts w:eastAsia="Arial" w:cs="Arial"/>
          <w:szCs w:val="20"/>
        </w:rPr>
        <w:br w:type="page"/>
      </w:r>
    </w:p>
    <w:p w14:paraId="4E4FACC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AC95EF3" w14:textId="0888672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Regulatory and human rights impact assessments</w:t>
      </w:r>
      <w:r w:rsidRPr="001C5160">
        <w:rPr>
          <w:rFonts w:ascii="Arial" w:eastAsia="Arial" w:hAnsi="Arial" w:cs="Arial"/>
          <w:sz w:val="20"/>
          <w:szCs w:val="20"/>
          <w:lang w:val="en-GB"/>
        </w:rPr>
        <w:t xml:space="preserve">: Identifying appropriate governance responses further necessitates to assess both the adequacy (i.e., appropriateness to solve identified problems in a proportionate way) and the effectiveness (i.e., performance with respect to implementation) of potential measures. Before adapting new governance, states and public authorities, organisations of industry self-regulation and co-regulation as well as individual media and platform actors should thus conduct a regulatory and a human rights impact assessment that also includes gender mainstreaming to not only assess which governance responses are appropriate to solve identified problems but to also better understand or prevent any potential negative impact – direct or indirect – on human rights, including issues of gender equality. These assessments should be based on broad and effective consultations with all relevant stakeholders. </w:t>
      </w:r>
    </w:p>
    <w:p w14:paraId="336C8D7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A4C6D1C" w14:textId="667CF13D"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Graduated and differentiated governance</w:t>
      </w:r>
      <w:r w:rsidRPr="001C5160">
        <w:rPr>
          <w:rFonts w:ascii="Arial" w:eastAsia="Arial" w:hAnsi="Arial" w:cs="Arial"/>
          <w:sz w:val="20"/>
          <w:szCs w:val="20"/>
          <w:lang w:val="en-GB"/>
        </w:rPr>
        <w:t>: As a result, governance should be graduated and differentiated, acknowledging the different roles played by different actors in the production, dissemination and use of content. First, a graduated approach reflects differences in impact that private sector actors have depending on their size and market share. The principle of proportionality should guide decisions on imposing obligations which do not to overburden micro and small actors while taking into account the responsibility of dominant ones. Secondly, a differentiated approach in media and communication governance mirrors differences between the types of media (news, entertainment, etc.) as well as differences between the media and platforms which may not produce content themselves but assume an active role in public communication as they manage, edit and/or curate content (including through the design and use of algorithmic systems). This does not preclude for certain rules to be applied to all media and platforms.</w:t>
      </w:r>
    </w:p>
    <w:p w14:paraId="623FA28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102CD65" w14:textId="432D7D61"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11" w:name="_ML_000000000012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"https://search.coe.int/cm/Pages/result_details.aspx?Reference=Rec(2001)8" \o "RECOMMENDATION REC (2001) 8 of the committee of ministers to member states on self-regulation concerning cyber content , self-regulation and user protection against illegal or harmful content on new communications and information services"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1"/>
      <w:r w:rsidR="00AF3009" w:rsidRPr="00AF3009">
        <w:rPr>
          <w:rStyle w:val="Hyperlink"/>
          <w:rFonts w:ascii="Arial" w:eastAsia="Arial" w:hAnsi="Arial" w:cs="Arial"/>
          <w:sz w:val="20"/>
          <w:szCs w:val="20"/>
          <w:lang w:val="en-GB"/>
        </w:rPr>
        <w:t>Rec(2001)8</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self-regulation concerning cyber content, </w:t>
      </w:r>
      <w:bookmarkStart w:id="12" w:name="_ML_000000000013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2"/>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w:t>
      </w:r>
      <w:bookmarkStart w:id="13" w:name="_ML_00000000001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"https://search.coe.int/cm/Pages/result_details.aspx?Reference=CM/Rec(2012)3" \o "Recommendation of the Committee of Ministers to member States on the protection of human rights with regard to search engines (Adopted by the Committee of Ministers on 4 April 2012 at the 1139th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3"/>
      <w:r w:rsidR="00AF3009" w:rsidRPr="00AF3009">
        <w:rPr>
          <w:rStyle w:val="Hyperlink"/>
          <w:rFonts w:ascii="Arial" w:eastAsia="Arial" w:hAnsi="Arial" w:cs="Arial"/>
          <w:sz w:val="20"/>
          <w:szCs w:val="20"/>
          <w:lang w:val="en-GB"/>
        </w:rPr>
        <w:t>CM/Rec(2012)3</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human rights with regard to search engines, </w:t>
      </w:r>
      <w:bookmarkStart w:id="14" w:name="_ML_00000000001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"https://search.coe.int/cm/Pages/result_details.aspx?Reference=CM/Rec(2012)4" \o "Recommendation of the Committee of Ministers to member States on the protection of human rights with regard to social networking services (Adopted by the Committee of Ministers on 4 April 2012 at the 1139th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4"/>
      <w:r w:rsidR="00AF3009" w:rsidRPr="00AF3009">
        <w:rPr>
          <w:rStyle w:val="Hyperlink"/>
          <w:rFonts w:ascii="Arial" w:eastAsia="Arial" w:hAnsi="Arial" w:cs="Arial"/>
          <w:sz w:val="20"/>
          <w:szCs w:val="20"/>
          <w:lang w:val="en-GB"/>
        </w:rPr>
        <w:t>CM/Rec(2012)4</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human rights with regard to social networking services, </w:t>
      </w:r>
      <w:bookmarkStart w:id="15" w:name="_ML_00000000001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5"/>
      <w:r w:rsidR="00AF3009" w:rsidRPr="00AF3009">
        <w:rPr>
          <w:rStyle w:val="Hyperlink"/>
          <w:rFonts w:ascii="Arial" w:eastAsia="Arial" w:hAnsi="Arial" w:cs="Arial"/>
          <w:sz w:val="20"/>
          <w:szCs w:val="20"/>
          <w:lang w:val="en-GB"/>
        </w:rPr>
        <w:t>CM/Rec(2018)1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transparency of media ownership, </w:t>
      </w:r>
      <w:bookmarkStart w:id="16" w:name="_ML_00000000001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6"/>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and </w:t>
      </w:r>
      <w:bookmarkStart w:id="17" w:name="_ML_000000000018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7"/>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provide further guidance.</w:t>
      </w:r>
    </w:p>
    <w:p w14:paraId="438E9034" w14:textId="77777777" w:rsidR="005F63A2" w:rsidRPr="001C5160" w:rsidRDefault="005F63A2" w:rsidP="005F63A2">
      <w:pPr>
        <w:rPr>
          <w:rFonts w:eastAsia="Arial" w:cs="Arial"/>
          <w:szCs w:val="20"/>
        </w:rPr>
      </w:pPr>
    </w:p>
    <w:p w14:paraId="4F3F060A" w14:textId="3E4AE810" w:rsidR="005F63A2" w:rsidRDefault="005F63A2" w:rsidP="005F63A2">
      <w:pPr>
        <w:pStyle w:val="ListParagraph"/>
        <w:numPr>
          <w:ilvl w:val="0"/>
          <w:numId w:val="1"/>
        </w:numPr>
        <w:spacing w:line="240" w:lineRule="auto"/>
        <w:ind w:left="0" w:firstLine="0"/>
        <w:jc w:val="left"/>
        <w:rPr>
          <w:rFonts w:ascii="Arial" w:hAnsi="Arial" w:cs="Arial"/>
          <w:b/>
          <w:sz w:val="20"/>
          <w:szCs w:val="20"/>
          <w:lang w:eastAsia="en-GB"/>
        </w:rPr>
      </w:pPr>
      <w:r w:rsidRPr="00DD4171">
        <w:rPr>
          <w:rFonts w:ascii="Arial" w:hAnsi="Arial" w:cs="Arial"/>
          <w:b/>
          <w:sz w:val="20"/>
          <w:szCs w:val="20"/>
          <w:lang w:eastAsia="en-GB"/>
        </w:rPr>
        <w:t>Agility and flexibility</w:t>
      </w:r>
    </w:p>
    <w:p w14:paraId="5AB5918A" w14:textId="77777777" w:rsidR="005F63A2" w:rsidRPr="00DD4171" w:rsidRDefault="005F63A2" w:rsidP="005F63A2">
      <w:pPr>
        <w:pStyle w:val="ListParagraph"/>
        <w:spacing w:line="240" w:lineRule="auto"/>
        <w:ind w:left="0"/>
        <w:jc w:val="left"/>
        <w:rPr>
          <w:rFonts w:ascii="Arial" w:hAnsi="Arial" w:cs="Arial"/>
          <w:b/>
          <w:sz w:val="20"/>
          <w:szCs w:val="20"/>
          <w:lang w:eastAsia="en-GB"/>
        </w:rPr>
      </w:pPr>
    </w:p>
    <w:p w14:paraId="3FD77DBB" w14:textId="77777777" w:rsidR="005F63A2" w:rsidRPr="00DD4171" w:rsidRDefault="005F63A2" w:rsidP="005F63A2">
      <w:pPr>
        <w:pStyle w:val="FramedPrinciple"/>
        <w:spacing w:before="0" w:after="0" w:line="240" w:lineRule="auto"/>
        <w:jc w:val="left"/>
        <w:rPr>
          <w:rFonts w:ascii="Arial" w:hAnsi="Arial"/>
        </w:rPr>
      </w:pPr>
      <w:r w:rsidRPr="00DD4171">
        <w:rPr>
          <w:rFonts w:ascii="Arial" w:hAnsi="Arial"/>
        </w:rPr>
        <w:t>Media and communication governance media and communication governance should be agile and flexible in order to ensure its impact and effectiveness.</w:t>
      </w:r>
    </w:p>
    <w:p w14:paraId="6869F38F"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48FF4F71" w14:textId="43B1B4A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States’ obligations concerning</w:t>
      </w:r>
      <w:r w:rsidRPr="001C5160">
        <w:rPr>
          <w:rFonts w:ascii="Arial" w:eastAsia="Arial" w:hAnsi="Arial" w:cs="Arial"/>
          <w:sz w:val="20"/>
          <w:szCs w:val="20"/>
          <w:lang w:val="en-GB"/>
        </w:rPr>
        <w:t xml:space="preserve"> the review of existing frameworks: The continuous fast-moving social, economic, and technological changes require that States and public authorities regularly monitor the development of the media and communication sector. At the same time, they should regularly review and evaluate existing legislation, policies, and regulation with the participation of all relevant stakeholders.</w:t>
      </w:r>
    </w:p>
    <w:p w14:paraId="136B62C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5977A18" w14:textId="19B8268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Other actors’ obligations concerning the review of existing frameworks</w:t>
      </w:r>
      <w:r w:rsidRPr="001C5160">
        <w:rPr>
          <w:rFonts w:ascii="Arial" w:eastAsia="Arial" w:hAnsi="Arial" w:cs="Arial"/>
          <w:sz w:val="20"/>
          <w:szCs w:val="20"/>
          <w:lang w:val="en-GB"/>
        </w:rPr>
        <w:t xml:space="preserve">: Similarly, organisations of industry self-regulation and co-regulation as well as individual media and platform actors should regularly review and evaluate codes of conduct, policies, terms of service agreements specifying standards, practices, and rights of users as well as algorithmic systems with the participation of all relevant stakeholders. </w:t>
      </w:r>
    </w:p>
    <w:p w14:paraId="48AC086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F33AE9B" w14:textId="1D5FC79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D4171">
        <w:rPr>
          <w:rFonts w:ascii="Arial" w:eastAsia="Arial" w:hAnsi="Arial" w:cs="Arial"/>
          <w:b/>
          <w:bCs/>
          <w:sz w:val="20"/>
          <w:szCs w:val="20"/>
          <w:lang w:val="en-GB"/>
        </w:rPr>
        <w:t>Ensuring appropriate governance responses</w:t>
      </w:r>
      <w:r w:rsidRPr="001C5160">
        <w:rPr>
          <w:rFonts w:ascii="Arial" w:eastAsia="Arial" w:hAnsi="Arial" w:cs="Arial"/>
          <w:sz w:val="20"/>
          <w:szCs w:val="20"/>
          <w:lang w:val="en-GB"/>
        </w:rPr>
        <w:t>: Reviews and evaluations should aim to develop and adopt appropriate governance responses to ensure the effectiveness of media and communication governance in protecting and promoting freedom of expression, media freedom and pluralism and other human rights and fundamental freedoms, as well as in creating and maintaining the structural conditions that ensure the adequate functioning of the media, the public sphere, and democracy.</w:t>
      </w:r>
    </w:p>
    <w:p w14:paraId="7E77B0C2"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981C00D" w14:textId="50C4ED53" w:rsidR="005F63A2" w:rsidRDefault="005F63A2" w:rsidP="005F63A2">
      <w:pPr>
        <w:pStyle w:val="Heading3"/>
        <w:keepLines w:val="0"/>
        <w:spacing w:before="0" w:line="240" w:lineRule="auto"/>
        <w:rPr>
          <w:rFonts w:ascii="Arial" w:eastAsia="Calibri" w:hAnsi="Arial" w:cs="Arial"/>
          <w:i/>
          <w:iCs/>
          <w:color w:val="auto"/>
          <w:sz w:val="20"/>
          <w:szCs w:val="20"/>
          <w:lang w:val="en-GB" w:eastAsia="en-GB"/>
        </w:rPr>
      </w:pPr>
      <w:r w:rsidRPr="00DD4171">
        <w:rPr>
          <w:rFonts w:ascii="Arial" w:eastAsia="Calibri" w:hAnsi="Arial" w:cs="Arial"/>
          <w:i/>
          <w:iCs/>
          <w:color w:val="auto"/>
          <w:sz w:val="20"/>
          <w:szCs w:val="20"/>
          <w:lang w:val="en-GB" w:eastAsia="en-GB"/>
        </w:rPr>
        <w:t>Substantive principles for media and communication governance</w:t>
      </w:r>
    </w:p>
    <w:p w14:paraId="2DD163E4" w14:textId="77777777" w:rsidR="005F63A2" w:rsidRPr="005F63A2" w:rsidRDefault="005F63A2" w:rsidP="005F63A2">
      <w:pPr>
        <w:rPr>
          <w:lang w:eastAsia="en-GB"/>
        </w:rPr>
      </w:pPr>
    </w:p>
    <w:p w14:paraId="48B14230" w14:textId="77777777" w:rsidR="005F63A2" w:rsidRPr="001C5160" w:rsidRDefault="005F63A2" w:rsidP="005F63A2">
      <w:pPr>
        <w:rPr>
          <w:rFonts w:eastAsia="Arial" w:cs="Arial"/>
          <w:szCs w:val="20"/>
        </w:rPr>
      </w:pPr>
      <w:r w:rsidRPr="001C5160">
        <w:rPr>
          <w:rFonts w:eastAsia="Arial" w:cs="Arial"/>
          <w:szCs w:val="20"/>
        </w:rPr>
        <w:t>Media and communication governance not only serves to safeguard the fundamental objectives of the public interest including freedom of expression, media freedom and pluralism but also to create and maintain the structural conditions that ensure the adequate functioning of the media and the public sphere for democracy.</w:t>
      </w:r>
    </w:p>
    <w:p w14:paraId="5344FEFB" w14:textId="3F67E4C7" w:rsidR="003B78B5" w:rsidRDefault="003B78B5">
      <w:pPr>
        <w:rPr>
          <w:rFonts w:eastAsia="Arial" w:cs="Arial"/>
          <w:szCs w:val="20"/>
        </w:rPr>
      </w:pPr>
      <w:r>
        <w:rPr>
          <w:rFonts w:eastAsia="Arial" w:cs="Arial"/>
          <w:szCs w:val="20"/>
        </w:rPr>
        <w:br w:type="page"/>
      </w:r>
    </w:p>
    <w:p w14:paraId="0FC07F3C" w14:textId="77777777" w:rsidR="005F63A2" w:rsidRPr="001C5160" w:rsidRDefault="005F63A2" w:rsidP="005F63A2">
      <w:pPr>
        <w:rPr>
          <w:rFonts w:eastAsia="Arial" w:cs="Arial"/>
          <w:szCs w:val="20"/>
        </w:rPr>
      </w:pPr>
    </w:p>
    <w:p w14:paraId="621FC2FD" w14:textId="45646A7E" w:rsidR="005F63A2" w:rsidRDefault="005F63A2" w:rsidP="005F63A2">
      <w:pPr>
        <w:rPr>
          <w:rFonts w:eastAsia="Arial" w:cs="Arial"/>
          <w:szCs w:val="20"/>
        </w:rPr>
      </w:pPr>
      <w:r w:rsidRPr="001C5160">
        <w:rPr>
          <w:rFonts w:eastAsia="Arial" w:cs="Arial"/>
          <w:szCs w:val="20"/>
        </w:rPr>
        <w:t xml:space="preserve">The substantive principles thus detail what challenges media and communication governance should address while being aware that States and public and private sector actors might come up with various functionally equivalent solutions for addressing these challenges. Beyond an overarching substantive principle regarding free communication in the public sphere, the principles are organised along the process of communication and assigned to the three phases of production, dissemination, and use. </w:t>
      </w:r>
    </w:p>
    <w:p w14:paraId="3856451B" w14:textId="77777777" w:rsidR="005F63A2" w:rsidRPr="001C5160" w:rsidRDefault="005F63A2" w:rsidP="005F63A2">
      <w:pPr>
        <w:rPr>
          <w:rFonts w:eastAsia="Arial" w:cs="Arial"/>
          <w:szCs w:val="20"/>
        </w:rPr>
      </w:pPr>
    </w:p>
    <w:p w14:paraId="4FC95DCE" w14:textId="60A5F4C6" w:rsidR="005F63A2" w:rsidRDefault="005F63A2" w:rsidP="005F63A2">
      <w:pPr>
        <w:rPr>
          <w:rFonts w:eastAsia="Arial" w:cs="Arial"/>
          <w:szCs w:val="20"/>
        </w:rPr>
      </w:pPr>
      <w:r w:rsidRPr="001C5160">
        <w:rPr>
          <w:rFonts w:eastAsia="Arial" w:cs="Arial"/>
          <w:szCs w:val="20"/>
        </w:rPr>
        <w:t>-</w:t>
      </w:r>
      <w:r w:rsidRPr="001C5160">
        <w:rPr>
          <w:rFonts w:eastAsia="Arial" w:cs="Arial"/>
          <w:szCs w:val="20"/>
        </w:rPr>
        <w:tab/>
        <w:t>With respect to production, the principles cover the following challenges: securing media freedom, promoting media pluralism and safeguarding the sustainability of journalism, ensuring transparency as well as ensuring compliance with content obligations and professional standards.</w:t>
      </w:r>
    </w:p>
    <w:p w14:paraId="59AC3335" w14:textId="77777777" w:rsidR="005F63A2" w:rsidRPr="001C5160" w:rsidRDefault="005F63A2" w:rsidP="005F63A2">
      <w:pPr>
        <w:rPr>
          <w:rFonts w:eastAsia="Arial" w:cs="Arial"/>
          <w:szCs w:val="20"/>
        </w:rPr>
      </w:pPr>
    </w:p>
    <w:p w14:paraId="7B207CF4" w14:textId="6FF10098" w:rsidR="005F63A2" w:rsidRDefault="005F63A2" w:rsidP="005F63A2">
      <w:pPr>
        <w:rPr>
          <w:rFonts w:eastAsia="Arial" w:cs="Arial"/>
          <w:szCs w:val="20"/>
        </w:rPr>
      </w:pPr>
      <w:r w:rsidRPr="001C5160">
        <w:rPr>
          <w:rFonts w:eastAsia="Arial" w:cs="Arial"/>
          <w:szCs w:val="20"/>
        </w:rPr>
        <w:t>-</w:t>
      </w:r>
      <w:r w:rsidRPr="001C5160">
        <w:rPr>
          <w:rFonts w:eastAsia="Arial" w:cs="Arial"/>
          <w:szCs w:val="20"/>
        </w:rPr>
        <w:tab/>
        <w:t>With respect to dissemination, the principles cover the following challenges: ensuring functioning markets and protecting personal data in content dissemination, responding to the risks caused by platforms disseminating illegal content and legal but harmful content as well as mitigating the risks posed by algorithmic curation, selection and prioritisation.</w:t>
      </w:r>
    </w:p>
    <w:p w14:paraId="0BB0BF7B" w14:textId="77777777" w:rsidR="00F813CE" w:rsidRPr="001C5160" w:rsidRDefault="00F813CE" w:rsidP="005F63A2">
      <w:pPr>
        <w:rPr>
          <w:rFonts w:eastAsia="Arial" w:cs="Arial"/>
          <w:szCs w:val="20"/>
        </w:rPr>
      </w:pPr>
    </w:p>
    <w:p w14:paraId="286683AB" w14:textId="77777777" w:rsidR="005F63A2" w:rsidRPr="001C5160" w:rsidRDefault="005F63A2" w:rsidP="005F63A2">
      <w:pPr>
        <w:rPr>
          <w:rFonts w:eastAsia="Arial" w:cs="Arial"/>
          <w:szCs w:val="20"/>
        </w:rPr>
      </w:pPr>
      <w:r w:rsidRPr="001C5160">
        <w:rPr>
          <w:rFonts w:eastAsia="Arial" w:cs="Arial"/>
          <w:szCs w:val="20"/>
        </w:rPr>
        <w:t>-</w:t>
      </w:r>
      <w:r w:rsidRPr="001C5160">
        <w:rPr>
          <w:rFonts w:eastAsia="Arial" w:cs="Arial"/>
          <w:szCs w:val="20"/>
        </w:rPr>
        <w:tab/>
        <w:t>With respect to use, the principles cover the following challenges: guaranteeing human rights and fundamental freedoms in media and platform use as well as empowering users and fostering responsible use.</w:t>
      </w:r>
    </w:p>
    <w:p w14:paraId="7FD607AA" w14:textId="77777777" w:rsidR="005F63A2" w:rsidRPr="001C5160" w:rsidRDefault="005F63A2" w:rsidP="005F63A2">
      <w:pPr>
        <w:rPr>
          <w:rFonts w:eastAsia="Arial" w:cs="Arial"/>
          <w:szCs w:val="20"/>
        </w:rPr>
      </w:pPr>
    </w:p>
    <w:p w14:paraId="50F10F13" w14:textId="16AE99B1" w:rsidR="005F63A2" w:rsidRPr="001C5160" w:rsidRDefault="005F63A2" w:rsidP="005F63A2">
      <w:pPr>
        <w:rPr>
          <w:rFonts w:eastAsia="Arial" w:cs="Arial"/>
          <w:szCs w:val="20"/>
        </w:rPr>
      </w:pPr>
      <w:r w:rsidRPr="001C5160">
        <w:rPr>
          <w:rFonts w:eastAsia="Arial" w:cs="Arial"/>
          <w:szCs w:val="20"/>
        </w:rPr>
        <w:t>In any case</w:t>
      </w:r>
      <w:r w:rsidR="00F813CE">
        <w:rPr>
          <w:rFonts w:eastAsia="Arial" w:cs="Arial"/>
          <w:szCs w:val="20"/>
        </w:rPr>
        <w:t>s</w:t>
      </w:r>
      <w:r w:rsidRPr="001C5160">
        <w:rPr>
          <w:rFonts w:eastAsia="Arial" w:cs="Arial"/>
          <w:szCs w:val="20"/>
        </w:rPr>
        <w:t>, States and public and private sector actors should integrate a gender equality perspective and be aware of multiple and intersecting forms of discrimination when developing and implementing media and communication governance in order to avoid the potential risks of the media and platforms perpetuating such inequalities and gender stereotypes.</w:t>
      </w:r>
    </w:p>
    <w:p w14:paraId="4ADC31BB" w14:textId="77777777" w:rsidR="005F63A2" w:rsidRPr="001C5160" w:rsidRDefault="005F63A2" w:rsidP="005F63A2">
      <w:pPr>
        <w:rPr>
          <w:rFonts w:eastAsia="Arial" w:cs="Arial"/>
          <w:szCs w:val="20"/>
        </w:rPr>
      </w:pPr>
    </w:p>
    <w:p w14:paraId="227AE7C6" w14:textId="70FAAC05" w:rsidR="005F63A2" w:rsidRDefault="005F63A2" w:rsidP="005F63A2">
      <w:pPr>
        <w:rPr>
          <w:rFonts w:eastAsia="Arial" w:cs="Arial"/>
          <w:szCs w:val="20"/>
        </w:rPr>
      </w:pPr>
      <w:r w:rsidRPr="001C5160">
        <w:rPr>
          <w:rFonts w:eastAsia="Arial" w:cs="Arial"/>
          <w:szCs w:val="20"/>
        </w:rPr>
        <w:t xml:space="preserve">Moreover, media and communication governance should be graduated and differentiated. First, this entails applying these substantive principles in a proportionate manner that considers differences in size, market share and impact of the media and platforms. Second, the different roles played by different actors in the production, dissemination and use of content need to be taken into account, meaning that while certain substantive principles apply to both the media and platforms, others do not. </w:t>
      </w:r>
    </w:p>
    <w:p w14:paraId="5BA63A98" w14:textId="77777777" w:rsidR="005F63A2" w:rsidRPr="001C5160" w:rsidRDefault="005F63A2" w:rsidP="005F63A2">
      <w:pPr>
        <w:rPr>
          <w:rFonts w:eastAsia="Arial" w:cs="Arial"/>
          <w:szCs w:val="20"/>
        </w:rPr>
      </w:pPr>
    </w:p>
    <w:p w14:paraId="6F4FA38F" w14:textId="1322BFF3" w:rsidR="005F63A2" w:rsidRPr="00BB08D5" w:rsidRDefault="005F63A2" w:rsidP="005F63A2">
      <w:pPr>
        <w:pStyle w:val="Heading4"/>
        <w:keepLines w:val="0"/>
        <w:spacing w:before="0" w:line="240" w:lineRule="auto"/>
        <w:rPr>
          <w:rFonts w:ascii="Arial" w:eastAsia="Calibri" w:hAnsi="Arial" w:cs="Arial"/>
          <w:color w:val="auto"/>
          <w:sz w:val="20"/>
          <w:szCs w:val="20"/>
          <w:lang w:val="en-GB" w:eastAsia="en-GB"/>
        </w:rPr>
      </w:pPr>
      <w:r w:rsidRPr="00BB08D5">
        <w:rPr>
          <w:rFonts w:ascii="Arial" w:eastAsia="Calibri" w:hAnsi="Arial" w:cs="Arial"/>
          <w:color w:val="auto"/>
          <w:sz w:val="20"/>
          <w:szCs w:val="20"/>
          <w:lang w:val="en-GB" w:eastAsia="en-GB"/>
        </w:rPr>
        <w:t>Substantive principle regarding free communication in the public sphere</w:t>
      </w:r>
    </w:p>
    <w:p w14:paraId="372A81E1" w14:textId="77777777" w:rsidR="005F63A2" w:rsidRPr="005F63A2" w:rsidRDefault="005F63A2" w:rsidP="005F63A2">
      <w:pPr>
        <w:rPr>
          <w:lang w:eastAsia="en-GB"/>
        </w:rPr>
      </w:pPr>
    </w:p>
    <w:p w14:paraId="5D4288D4" w14:textId="74C55BD8"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Promoting human rights and fundamental freedoms in communication</w:t>
      </w:r>
    </w:p>
    <w:p w14:paraId="526155C5"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5C880BCC" w14:textId="77777777" w:rsidR="005F63A2" w:rsidRPr="009611E5" w:rsidRDefault="005F63A2" w:rsidP="005F63A2">
      <w:pPr>
        <w:pStyle w:val="FramedPrinciple"/>
        <w:spacing w:before="0" w:after="0" w:line="240" w:lineRule="auto"/>
        <w:jc w:val="left"/>
        <w:rPr>
          <w:rFonts w:ascii="Arial" w:hAnsi="Arial"/>
        </w:rPr>
      </w:pPr>
      <w:r w:rsidRPr="009611E5">
        <w:rPr>
          <w:rFonts w:ascii="Arial" w:hAnsi="Arial"/>
        </w:rPr>
        <w:t>Media and communication governance should aim to promote human rights and fundamental freedoms in communication as they are essential for the functioning of democratic societies. This includes guaranteeing the widest possible exercise of these freedoms and limiting restrictions to what is necessary for the efficient protection of Council of Europe standards and values while encouraging industry self-regulation and private ordering initiatives. It also entails aligning rules for the offline and online environments, while guaranteeing free and independent media, platforms and communication. Furthermore, it includes safeguarding access to official documents and to the internet, as well as balancing freedom of expression and media freedom against other rights.</w:t>
      </w:r>
    </w:p>
    <w:p w14:paraId="37E1B1CD"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6A3988B1" w14:textId="686ECF6D"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Background</w:t>
      </w:r>
      <w:r w:rsidRPr="001C5160">
        <w:rPr>
          <w:rFonts w:ascii="Arial" w:eastAsia="Arial" w:hAnsi="Arial" w:cs="Arial"/>
          <w:sz w:val="20"/>
          <w:szCs w:val="20"/>
          <w:lang w:val="en-GB"/>
        </w:rPr>
        <w:t>: Article 10 of the Convention addresses States in their role as guarantors of freedom of expression and media freedom as well as freedom of information. This includes the need to take proactive measures in order to ensure free communication in the public sphere. At the same time, freedom of expression and especially media freedom also carry duties and responsibilities and can therefore be limited according to the requirements of Article 10, paragraph 2, of the Convention. Such limitations must be prescribed by law, pursue a legitimate aim and be necessary in a democratic society.</w:t>
      </w:r>
    </w:p>
    <w:p w14:paraId="7E186D2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3C3DEA9B" w14:textId="0A2041D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Limits of freedom of expression and media freedom</w:t>
      </w:r>
      <w:r w:rsidRPr="001C5160">
        <w:rPr>
          <w:rFonts w:ascii="Arial" w:eastAsia="Arial" w:hAnsi="Arial" w:cs="Arial"/>
          <w:sz w:val="20"/>
          <w:szCs w:val="20"/>
          <w:lang w:val="en-GB"/>
        </w:rPr>
        <w:t>: In introducing legitimate limits to freedom of expression and media freedom, or effectively balancing with other rights, the goal of States should be to allow the widest possible exercise of these freedoms. They should therefore apply limitations narrowly, only to ensure the effective protection of Council of Europe standards and values. The necessary balancing of these rights and freedoms should be applied both in legislative and regulatory frameworks as well as in individual decisions by competent authorities or bodies and courts. In order for users to know the limits of free speech, the laws prescribing the limitations of freedom of expression and media freedom must be accessible, precise, clear, and predictable. In the balancing of freedoms and rights, in particular the protection of the private life and human dignity of persons reported about as well as the protection of personal data of users should be taken into consideration.</w:t>
      </w:r>
    </w:p>
    <w:p w14:paraId="128BAD41" w14:textId="24FC699B" w:rsidR="003B78B5" w:rsidRDefault="003B78B5">
      <w:pPr>
        <w:rPr>
          <w:rFonts w:eastAsia="Arial" w:cs="Arial"/>
          <w:szCs w:val="20"/>
        </w:rPr>
      </w:pPr>
      <w:r>
        <w:rPr>
          <w:rFonts w:eastAsia="Arial" w:cs="Arial"/>
          <w:szCs w:val="20"/>
        </w:rPr>
        <w:br w:type="page"/>
      </w:r>
    </w:p>
    <w:p w14:paraId="026C29B7"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E5E2343" w14:textId="138254A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Effective exercise of freedom of expression offline and online</w:t>
      </w:r>
      <w:r w:rsidRPr="001C5160">
        <w:rPr>
          <w:rFonts w:ascii="Arial" w:eastAsia="Arial" w:hAnsi="Arial" w:cs="Arial"/>
          <w:sz w:val="20"/>
          <w:szCs w:val="20"/>
          <w:lang w:val="en-GB"/>
        </w:rPr>
        <w:t xml:space="preserve">: The importance of freedom of expression and media freedom offline and online means that rules for both environments should be aligned, taking into account differences but avoiding stricter regulation of content disseminated via platforms. This includes rules to guarantee free and independent media, platforms, and communication in the public sphere. Governance of platforms shall not be used to restrict debates in the public sphere, or to exert any pressure on the media that are increasingly disseminated and used via platforms. </w:t>
      </w:r>
    </w:p>
    <w:p w14:paraId="09F673CC"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C7B8AD8" w14:textId="4EC50684"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Governance by private sector actors</w:t>
      </w:r>
      <w:r w:rsidRPr="001C5160">
        <w:rPr>
          <w:rFonts w:ascii="Arial" w:eastAsia="Arial" w:hAnsi="Arial" w:cs="Arial"/>
          <w:sz w:val="20"/>
          <w:szCs w:val="20"/>
          <w:lang w:val="en-GB"/>
        </w:rPr>
        <w:t>: Industry self-regulation as well as private ordering initiatives by individual media and platform actors can complement statutory regulation. However, such governance by private sector actors can also involve interference with others’ rights, with potentially equal impact to State-initiated interferences. Therefore, private sector actors should design and implement governance in a manner that protects and respects freedom of expression and other rights. Where such forms of governance do not guarantee these standards, co-regulatory frameworks ensuring an oversight mechanism can provide the most appropriate solution for States.</w:t>
      </w:r>
    </w:p>
    <w:p w14:paraId="2E584A1B"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A8A6193" w14:textId="0C1FCA4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Freedom of information and access to official documents</w:t>
      </w:r>
      <w:r w:rsidRPr="001C5160">
        <w:rPr>
          <w:rFonts w:ascii="Arial" w:eastAsia="Arial" w:hAnsi="Arial" w:cs="Arial"/>
          <w:sz w:val="20"/>
          <w:szCs w:val="20"/>
          <w:lang w:val="en-GB"/>
        </w:rPr>
        <w:t>: Freedom of information as an element of freedom of expression entails the right of access to documents of State bodies. Such access should be ensured in line with the Convention, as interpreted by the case law of the Court. Furthermore, the Council of Europe Convention on Access to Official Documents (CETS No. 205) can enhance the transparency and public’s confidence in public authorities as well as the effective exercise of individuals’ access to official documents. Freedom of information also entails widely available and affordable access to the internet. The latter is a prerequisite for content disseminated through the media and platforms to be available and accessible to all groups without discrimination. Any restriction of access to the internet as well as decisions to block, filter or remove internet content by competent State authorities or private sector actors has to comply with the requirements of Article 10 of the Convention which, as a minimum, demands decision by a court or independent authority and a possibility of judicial review as well as the strictest possible limitation in scope and time.</w:t>
      </w:r>
    </w:p>
    <w:p w14:paraId="3A9F987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9CE2DD5" w14:textId="17A85663"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9611E5">
        <w:rPr>
          <w:rFonts w:ascii="Arial" w:eastAsia="Arial" w:hAnsi="Arial" w:cs="Arial"/>
          <w:b/>
          <w:bCs/>
          <w:sz w:val="20"/>
          <w:szCs w:val="20"/>
          <w:lang w:val="en-GB"/>
        </w:rPr>
        <w:t>Effective remedies</w:t>
      </w:r>
      <w:r w:rsidRPr="001C5160">
        <w:rPr>
          <w:rFonts w:ascii="Arial" w:eastAsia="Arial" w:hAnsi="Arial" w:cs="Arial"/>
          <w:sz w:val="20"/>
          <w:szCs w:val="20"/>
          <w:lang w:val="en-GB"/>
        </w:rPr>
        <w:t>: Judicial protection should be provided in case of alleged violations of freedom of expression, media freedom and freedom of information. In addition, decisions of regulatory authorities or other designated bodies involved in the governance of the media and platforms also have to be subject to judicial review. Furthermore, States should ensure that these bodies are independent, sufficiently resourced and have adequate powers. The transnational dimension of communication, especially in light of platforms, suggests that cooperation is essential for both standards development and individual case handling.</w:t>
      </w:r>
    </w:p>
    <w:p w14:paraId="3006C8F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5C0E74C" w14:textId="1CB7314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F4BA0">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The Council of Europe Convention on Access to Official Documents (CETS No. 205) as well as Recommendations </w:t>
      </w:r>
      <w:bookmarkStart w:id="18" w:name="_ML_000000000019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"https://search.coe.int/cm/Pages/result_details.aspx?Reference=CM/Rec(2016)5" \o "Recommendation of the Committee of Ministers to member States on Internet freedom (Adopted by the Committee of Ministers on 13 April 2016 at the 1253rd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8"/>
      <w:r w:rsidR="00AF3009" w:rsidRPr="00AF3009">
        <w:rPr>
          <w:rStyle w:val="Hyperlink"/>
          <w:rFonts w:ascii="Arial" w:eastAsia="Arial" w:hAnsi="Arial" w:cs="Arial"/>
          <w:sz w:val="20"/>
          <w:szCs w:val="20"/>
          <w:lang w:val="en-GB"/>
        </w:rPr>
        <w:t>CM/Rec(2016)5</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Internet freedom, </w:t>
      </w:r>
      <w:bookmarkStart w:id="19" w:name="_ML_000000000020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19"/>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and </w:t>
      </w:r>
      <w:bookmarkStart w:id="20" w:name="_ML_000000000021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0"/>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provide further guidance.</w:t>
      </w:r>
    </w:p>
    <w:p w14:paraId="2C34D76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4761AD0" w14:textId="0238ACDE" w:rsidR="005F63A2" w:rsidRPr="0080571A" w:rsidRDefault="005F63A2" w:rsidP="005F63A2">
      <w:pPr>
        <w:pStyle w:val="Heading4"/>
        <w:keepLines w:val="0"/>
        <w:spacing w:before="0" w:line="240" w:lineRule="auto"/>
        <w:rPr>
          <w:rFonts w:ascii="Arial" w:eastAsia="Calibri" w:hAnsi="Arial" w:cs="Arial"/>
          <w:color w:val="auto"/>
          <w:sz w:val="20"/>
          <w:szCs w:val="20"/>
          <w:lang w:val="en-GB" w:eastAsia="en-GB"/>
        </w:rPr>
      </w:pPr>
      <w:r w:rsidRPr="0080571A">
        <w:rPr>
          <w:rFonts w:ascii="Arial" w:eastAsia="Calibri" w:hAnsi="Arial" w:cs="Arial"/>
          <w:color w:val="auto"/>
          <w:sz w:val="20"/>
          <w:szCs w:val="20"/>
          <w:lang w:val="en-GB" w:eastAsia="en-GB"/>
        </w:rPr>
        <w:t>Substantive principles regarding production</w:t>
      </w:r>
    </w:p>
    <w:p w14:paraId="534C6C55" w14:textId="77777777" w:rsidR="005F63A2" w:rsidRPr="005F63A2" w:rsidRDefault="005F63A2" w:rsidP="005F63A2">
      <w:pPr>
        <w:rPr>
          <w:lang w:eastAsia="en-GB"/>
        </w:rPr>
      </w:pPr>
    </w:p>
    <w:p w14:paraId="11EF6CFD" w14:textId="35E4CEC0" w:rsidR="005F63A2" w:rsidRDefault="005F63A2" w:rsidP="005F63A2">
      <w:pPr>
        <w:pStyle w:val="ListParagraph"/>
        <w:numPr>
          <w:ilvl w:val="0"/>
          <w:numId w:val="1"/>
        </w:numPr>
        <w:spacing w:line="240" w:lineRule="auto"/>
        <w:ind w:left="0" w:firstLine="0"/>
        <w:jc w:val="left"/>
        <w:rPr>
          <w:rFonts w:ascii="Arial" w:hAnsi="Arial" w:cs="Arial"/>
          <w:b/>
          <w:sz w:val="20"/>
          <w:szCs w:val="20"/>
          <w:lang w:eastAsia="en-GB"/>
        </w:rPr>
      </w:pPr>
      <w:r w:rsidRPr="00DF4BA0">
        <w:rPr>
          <w:rFonts w:ascii="Arial" w:hAnsi="Arial" w:cs="Arial"/>
          <w:b/>
          <w:sz w:val="20"/>
          <w:szCs w:val="20"/>
          <w:lang w:eastAsia="en-GB"/>
        </w:rPr>
        <w:t>Securing media freedom</w:t>
      </w:r>
    </w:p>
    <w:p w14:paraId="25DC6C60" w14:textId="77777777" w:rsidR="005F63A2" w:rsidRPr="00DF4BA0" w:rsidRDefault="005F63A2" w:rsidP="005F63A2">
      <w:pPr>
        <w:pStyle w:val="ListParagraph"/>
        <w:spacing w:line="240" w:lineRule="auto"/>
        <w:ind w:left="0"/>
        <w:jc w:val="left"/>
        <w:rPr>
          <w:rFonts w:ascii="Arial" w:hAnsi="Arial" w:cs="Arial"/>
          <w:b/>
          <w:sz w:val="20"/>
          <w:szCs w:val="20"/>
          <w:lang w:eastAsia="en-GB"/>
        </w:rPr>
      </w:pPr>
    </w:p>
    <w:p w14:paraId="2934EE11" w14:textId="77777777" w:rsidR="005F63A2" w:rsidRPr="00DF4BA0" w:rsidRDefault="005F63A2" w:rsidP="005F63A2">
      <w:pPr>
        <w:pStyle w:val="FramedPrinciple"/>
        <w:spacing w:before="0" w:after="0" w:line="240" w:lineRule="auto"/>
        <w:jc w:val="left"/>
        <w:rPr>
          <w:rFonts w:ascii="Arial" w:hAnsi="Arial"/>
        </w:rPr>
      </w:pPr>
      <w:r w:rsidRPr="00DF4BA0">
        <w:rPr>
          <w:rFonts w:ascii="Arial" w:hAnsi="Arial"/>
        </w:rPr>
        <w:t>Media and communication governance should aim to secure media freedom, including freedom of information. This includes guaranteeing editorial independence and operational autonomy of a diversity of media, protecting the safety of journalists and guaranteeing them the necessary working conditions, entailing access to official documents and balancing media freedom with other rights in editorial decisions.</w:t>
      </w:r>
    </w:p>
    <w:p w14:paraId="05917AE2"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6E9DD8F1" w14:textId="5C41C52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F4BA0">
        <w:rPr>
          <w:rFonts w:ascii="Arial" w:eastAsia="Arial" w:hAnsi="Arial" w:cs="Arial"/>
          <w:b/>
          <w:bCs/>
          <w:sz w:val="20"/>
          <w:szCs w:val="20"/>
          <w:lang w:val="en-GB"/>
        </w:rPr>
        <w:t>Background</w:t>
      </w:r>
      <w:r w:rsidRPr="001C5160">
        <w:rPr>
          <w:rFonts w:ascii="Arial" w:eastAsia="Arial" w:hAnsi="Arial" w:cs="Arial"/>
          <w:sz w:val="20"/>
          <w:szCs w:val="20"/>
          <w:lang w:val="en-GB"/>
        </w:rPr>
        <w:t>: Human rights and fundamental freedoms form the basis for media and communication governance, and freedom of expression and media freedom have a particular significance in the production of content. Media freedom requires that the media are independent and free from undue interference by States or any political, economic, religious, or other groups or powerful individuals and provide a choice to citizens that is meaningful and relevant to them, reflecting political, economic, and societal issues on the local, regional, national, and European level and beyond.</w:t>
      </w:r>
    </w:p>
    <w:p w14:paraId="623534B2" w14:textId="561FDF39" w:rsidR="003B78B5" w:rsidRDefault="003B78B5">
      <w:pPr>
        <w:rPr>
          <w:rFonts w:eastAsia="Arial" w:cs="Arial"/>
          <w:szCs w:val="20"/>
        </w:rPr>
      </w:pPr>
      <w:r>
        <w:rPr>
          <w:rFonts w:eastAsia="Arial" w:cs="Arial"/>
          <w:szCs w:val="20"/>
        </w:rPr>
        <w:br w:type="page"/>
      </w:r>
    </w:p>
    <w:p w14:paraId="1FC3711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38987C6E" w14:textId="2E336E1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F4BA0">
        <w:rPr>
          <w:rFonts w:ascii="Arial" w:eastAsia="Arial" w:hAnsi="Arial" w:cs="Arial"/>
          <w:b/>
          <w:bCs/>
          <w:sz w:val="20"/>
          <w:szCs w:val="20"/>
          <w:lang w:val="en-GB"/>
        </w:rPr>
        <w:t>Media independence and autonomy</w:t>
      </w:r>
      <w:r w:rsidRPr="001C5160">
        <w:rPr>
          <w:rFonts w:ascii="Arial" w:eastAsia="Arial" w:hAnsi="Arial" w:cs="Arial"/>
          <w:sz w:val="20"/>
          <w:szCs w:val="20"/>
          <w:lang w:val="en-GB"/>
        </w:rPr>
        <w:t xml:space="preserve">: States should not impose any restrictions on content production beyond those provided for in Article 10, paragraph 2, of the Convention, as interpreted by the case law of the European Court of Human Rights. They should further guarantee the editorial independence and operational autonomy of a diversity of media. The media should also be free from undue interference from platforms and their private ordering initiatives. The media themselves should also ensure that their coverage of media and communication governance and associated public debates is not biased or influenced by the private interests of their owners. </w:t>
      </w:r>
    </w:p>
    <w:p w14:paraId="0613A255"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CEA4A92" w14:textId="3A4743E9"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F4BA0">
        <w:rPr>
          <w:rFonts w:ascii="Arial" w:eastAsia="Arial" w:hAnsi="Arial" w:cs="Arial"/>
          <w:b/>
          <w:bCs/>
          <w:sz w:val="20"/>
          <w:szCs w:val="20"/>
          <w:lang w:val="en-GB"/>
        </w:rPr>
        <w:t>Safety of journalists</w:t>
      </w:r>
      <w:r w:rsidRPr="001C5160">
        <w:rPr>
          <w:rFonts w:ascii="Arial" w:eastAsia="Arial" w:hAnsi="Arial" w:cs="Arial"/>
          <w:sz w:val="20"/>
          <w:szCs w:val="20"/>
          <w:lang w:val="en-GB"/>
        </w:rPr>
        <w:t xml:space="preserve">: States should ensure the safety of journalists by guaranteeing the necessary working conditions and by protecting journalists in their investigative work in order that they are able to fulfil their watchdog function. This includes the protection of confidentiality of sources against arbitrary searches or disclosure requests and from confiscation of working instruments. Moreover, journalists should be protected against discriminatory, often gender-specific, treatment and threats directed at obstructing their work, but above all States should take active measures to ensure the protection of journalists’ lives. </w:t>
      </w:r>
    </w:p>
    <w:p w14:paraId="5B0521DA"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33BAF3C" w14:textId="2A4A4669"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DF4BA0">
        <w:rPr>
          <w:rFonts w:ascii="Arial" w:eastAsia="Arial" w:hAnsi="Arial" w:cs="Arial"/>
          <w:b/>
          <w:bCs/>
          <w:sz w:val="20"/>
          <w:szCs w:val="20"/>
          <w:lang w:val="en-GB"/>
        </w:rPr>
        <w:t>Access to official documents</w:t>
      </w:r>
      <w:r w:rsidRPr="001C5160">
        <w:rPr>
          <w:rFonts w:ascii="Arial" w:eastAsia="Arial" w:hAnsi="Arial" w:cs="Arial"/>
          <w:sz w:val="20"/>
          <w:szCs w:val="20"/>
          <w:lang w:val="en-GB"/>
        </w:rPr>
        <w:t>: States should ensure the right to freedom of information as an element of the freedom of expression by enabling access of journalists to official documents by State bodies and other relevant government documents. The role of independent information access bodies, such as information commissions, should be reinforced to ensure information access rights of journalists.</w:t>
      </w:r>
    </w:p>
    <w:p w14:paraId="1D06D5F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33BE75BA" w14:textId="720E81A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The media’s responsibility to safeguard human rights</w:t>
      </w:r>
      <w:r w:rsidRPr="001C5160">
        <w:rPr>
          <w:rFonts w:ascii="Arial" w:eastAsia="Arial" w:hAnsi="Arial" w:cs="Arial"/>
          <w:sz w:val="20"/>
          <w:szCs w:val="20"/>
          <w:lang w:val="en-GB"/>
        </w:rPr>
        <w:t xml:space="preserve">: The media should, in their editorial decisions, balance freedom of expression and media freedom against other rights, especially the protection of the private life, including the protection of personal data, and human dignity. At the same time, the media should have privileged status in connection with some of these rights, for instance exceptions to the limitations of processing personal data for journalistic purposes as provided for by Article 11 of the Protocol (CETS No. 223) amending the Convention for the Protection of Individuals with regard to Automatic Processing of Personal Data (Convention 108+). </w:t>
      </w:r>
    </w:p>
    <w:p w14:paraId="318FE4F7"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CB72DBF" w14:textId="0F91DCFE"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The Convention </w:t>
      </w:r>
      <w:r w:rsidR="00B55F87">
        <w:rPr>
          <w:rFonts w:ascii="Arial" w:eastAsia="Arial" w:hAnsi="Arial" w:cs="Arial"/>
          <w:sz w:val="20"/>
          <w:szCs w:val="20"/>
          <w:lang w:val="en-GB"/>
        </w:rPr>
        <w:t>(</w:t>
      </w:r>
      <w:r w:rsidR="00B55F87" w:rsidRPr="001C5160">
        <w:rPr>
          <w:rFonts w:ascii="Arial" w:eastAsia="Arial" w:hAnsi="Arial" w:cs="Arial"/>
          <w:sz w:val="20"/>
          <w:szCs w:val="20"/>
          <w:lang w:val="en-GB"/>
        </w:rPr>
        <w:t>ETS No. 108</w:t>
      </w:r>
      <w:r w:rsidR="00B55F87">
        <w:rPr>
          <w:rFonts w:ascii="Arial" w:eastAsia="Arial" w:hAnsi="Arial" w:cs="Arial"/>
          <w:sz w:val="20"/>
          <w:szCs w:val="20"/>
          <w:lang w:val="en-GB"/>
        </w:rPr>
        <w:t xml:space="preserve">) </w:t>
      </w:r>
      <w:r w:rsidRPr="001C5160">
        <w:rPr>
          <w:rFonts w:ascii="Arial" w:eastAsia="Arial" w:hAnsi="Arial" w:cs="Arial"/>
          <w:sz w:val="20"/>
          <w:szCs w:val="20"/>
          <w:lang w:val="en-GB"/>
        </w:rPr>
        <w:t>for the Protection of Individuals with regard to Automatic Processing of Personal Data (Convention 108</w:t>
      </w:r>
      <w:r w:rsidR="00A605B0" w:rsidRPr="001C5160">
        <w:rPr>
          <w:rFonts w:ascii="Arial" w:eastAsia="Arial" w:hAnsi="Arial" w:cs="Arial"/>
          <w:sz w:val="20"/>
          <w:szCs w:val="20"/>
          <w:lang w:val="en-GB"/>
        </w:rPr>
        <w:t>)</w:t>
      </w:r>
      <w:r w:rsidRPr="001C5160">
        <w:rPr>
          <w:rFonts w:ascii="Arial" w:eastAsia="Arial" w:hAnsi="Arial" w:cs="Arial"/>
          <w:sz w:val="20"/>
          <w:szCs w:val="20"/>
          <w:lang w:val="en-GB"/>
        </w:rPr>
        <w:t xml:space="preserve"> and </w:t>
      </w:r>
      <w:r w:rsidR="00A605B0">
        <w:rPr>
          <w:rFonts w:ascii="Arial" w:eastAsia="Arial" w:hAnsi="Arial" w:cs="Arial"/>
          <w:sz w:val="20"/>
          <w:szCs w:val="20"/>
          <w:lang w:val="en-GB"/>
        </w:rPr>
        <w:t xml:space="preserve">the </w:t>
      </w:r>
      <w:r w:rsidRPr="001C5160">
        <w:rPr>
          <w:rFonts w:ascii="Arial" w:eastAsia="Arial" w:hAnsi="Arial" w:cs="Arial"/>
          <w:sz w:val="20"/>
          <w:szCs w:val="20"/>
          <w:lang w:val="en-GB"/>
        </w:rPr>
        <w:t xml:space="preserve">Protocol </w:t>
      </w:r>
      <w:r w:rsidR="00B55F87">
        <w:rPr>
          <w:rFonts w:ascii="Arial" w:eastAsia="Arial" w:hAnsi="Arial" w:cs="Arial"/>
          <w:sz w:val="20"/>
          <w:szCs w:val="20"/>
          <w:lang w:val="en-GB"/>
        </w:rPr>
        <w:t>(</w:t>
      </w:r>
      <w:r w:rsidR="00B55F87" w:rsidRPr="001C5160">
        <w:rPr>
          <w:rFonts w:ascii="Arial" w:eastAsia="Arial" w:hAnsi="Arial" w:cs="Arial"/>
          <w:sz w:val="20"/>
          <w:szCs w:val="20"/>
          <w:lang w:val="en-GB"/>
        </w:rPr>
        <w:t>CETS No. 223</w:t>
      </w:r>
      <w:r w:rsidR="00B55F87">
        <w:rPr>
          <w:rFonts w:ascii="Arial" w:eastAsia="Arial" w:hAnsi="Arial" w:cs="Arial"/>
          <w:sz w:val="20"/>
          <w:szCs w:val="20"/>
          <w:lang w:val="en-GB"/>
        </w:rPr>
        <w:t xml:space="preserve">) </w:t>
      </w:r>
      <w:r w:rsidRPr="001C5160">
        <w:rPr>
          <w:rFonts w:ascii="Arial" w:eastAsia="Arial" w:hAnsi="Arial" w:cs="Arial"/>
          <w:sz w:val="20"/>
          <w:szCs w:val="20"/>
          <w:lang w:val="en-GB"/>
        </w:rPr>
        <w:t xml:space="preserve">amending the Convention for the Protection of Individuals with regard to Automatic Processing of Personal Data (Convention 108+) as well as Recommendations </w:t>
      </w:r>
      <w:bookmarkStart w:id="21" w:name="_ML_000000000022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"https://search.coe.int/cm/Pages/result_details.aspx?Reference=Rec(2000)7" \o "on the rights of journalists not to disclose their sources of information"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1"/>
      <w:r w:rsidR="00AF3009" w:rsidRPr="00AF3009">
        <w:rPr>
          <w:rStyle w:val="Hyperlink"/>
          <w:rFonts w:ascii="Arial" w:eastAsia="Arial" w:hAnsi="Arial" w:cs="Arial"/>
          <w:sz w:val="20"/>
          <w:szCs w:val="20"/>
          <w:lang w:val="en-GB"/>
        </w:rPr>
        <w:t>Rec(2000)7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right of journalists not to disclose their sources of information, </w:t>
      </w:r>
      <w:bookmarkStart w:id="22" w:name="_ML_000000000023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"https://search.coe.int/cm/Pages/result_details.aspx?Reference=CM/Rec(2007)15" \o "Recommendation of the Committee of Ministers to member states on measures concerning media coverage of election campaigns (Adopted by the Committee of Ministers on 7 November 2007at the 1010th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2"/>
      <w:r w:rsidR="00AF3009" w:rsidRPr="00AF3009">
        <w:rPr>
          <w:rStyle w:val="Hyperlink"/>
          <w:rFonts w:ascii="Arial" w:eastAsia="Arial" w:hAnsi="Arial" w:cs="Arial"/>
          <w:sz w:val="20"/>
          <w:szCs w:val="20"/>
          <w:lang w:val="en-GB"/>
        </w:rPr>
        <w:t>CM/Rec(2007)15</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measures concerning media coverage of election campaigns, </w:t>
      </w:r>
      <w:bookmarkStart w:id="23" w:name="_ML_00000000002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3"/>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and </w:t>
      </w:r>
      <w:bookmarkStart w:id="24" w:name="_ML_00000000002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"https://search.coe.int/cm/Pages/result_details.aspx?Reference=CM/Rec(2016)4" \o "Recommendation of the Committee of Ministers to member States on the protection of journalism and safety of journalists and other media actors (Adopted by the Committee of Ministers on 13 April 2016 at the 1253rd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4"/>
      <w:r w:rsidR="00AF3009" w:rsidRPr="00AF3009">
        <w:rPr>
          <w:rStyle w:val="Hyperlink"/>
          <w:rFonts w:ascii="Arial" w:eastAsia="Arial" w:hAnsi="Arial" w:cs="Arial"/>
          <w:sz w:val="20"/>
          <w:szCs w:val="20"/>
          <w:lang w:val="en-GB"/>
        </w:rPr>
        <w:t>CM/Rec(2016)4</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journalism and safety of journalists and other actors provide further guidance. </w:t>
      </w:r>
    </w:p>
    <w:p w14:paraId="0A62D5AD" w14:textId="77777777" w:rsidR="005F63A2" w:rsidRPr="001C5160" w:rsidRDefault="005F63A2" w:rsidP="005F63A2">
      <w:pPr>
        <w:rPr>
          <w:rFonts w:eastAsia="Arial" w:cs="Arial"/>
          <w:szCs w:val="20"/>
        </w:rPr>
      </w:pPr>
    </w:p>
    <w:p w14:paraId="0CAC06CC" w14:textId="784FABB9"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Promoting media pluralism and safeguarding the sustainability of journalism</w:t>
      </w:r>
    </w:p>
    <w:p w14:paraId="237BC9CD"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3E8D7562" w14:textId="77777777" w:rsidR="005F63A2" w:rsidRPr="005D2177" w:rsidRDefault="005F63A2" w:rsidP="005F63A2">
      <w:pPr>
        <w:pStyle w:val="FramedPrinciple"/>
        <w:spacing w:before="0" w:after="0" w:line="240" w:lineRule="auto"/>
        <w:jc w:val="left"/>
        <w:rPr>
          <w:rFonts w:ascii="Arial" w:hAnsi="Arial"/>
        </w:rPr>
      </w:pPr>
      <w:r w:rsidRPr="005D2177">
        <w:rPr>
          <w:rFonts w:ascii="Arial" w:hAnsi="Arial"/>
        </w:rPr>
        <w:t>Media and communication governance should aim to safeguard and promote media pluralism and safeguard professional journalism. This includes market access in the most open form possible, regulation of economic competition addressing market power and sector-specific regulation of media ownership concentration. In addition, it involves the institutionalisation of independent and adequately funded public service media, direct and indirect subsidies for professional journalism, support for not-for-profit community media and the promotion of media content reflecting societal diversity, including gender and ethnic diversity, as well as additional measures to ensure the diversity of content production.</w:t>
      </w:r>
    </w:p>
    <w:p w14:paraId="248B53A3"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53DD100F" w14:textId="1014661D"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Background</w:t>
      </w:r>
      <w:r w:rsidRPr="001C5160">
        <w:rPr>
          <w:rFonts w:ascii="Arial" w:eastAsia="Arial" w:hAnsi="Arial" w:cs="Arial"/>
          <w:sz w:val="20"/>
          <w:szCs w:val="20"/>
          <w:lang w:val="en-GB"/>
        </w:rPr>
        <w:t xml:space="preserve">: Irrespective of the governance challenges raised by platforms, a major task for media and communication governance is to maintain and promote a diverse media landscape and to ensure the sustainability of independent journalism, including investigative journalism, which is essential for the functioning of democratic societies at local, regional, and national levels. Media pluralism is achieved not only by means of diverse content but also by a diversity of media outlets owned by different media organisations, although both aspects are interrelated. </w:t>
      </w:r>
    </w:p>
    <w:p w14:paraId="799E2E77" w14:textId="3C15BDE9" w:rsidR="003B78B5" w:rsidRDefault="003B78B5">
      <w:pPr>
        <w:rPr>
          <w:rFonts w:eastAsia="Arial" w:cs="Arial"/>
          <w:szCs w:val="20"/>
        </w:rPr>
      </w:pPr>
      <w:r>
        <w:rPr>
          <w:rFonts w:eastAsia="Arial" w:cs="Arial"/>
          <w:szCs w:val="20"/>
        </w:rPr>
        <w:br w:type="page"/>
      </w:r>
    </w:p>
    <w:p w14:paraId="29236B1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2BDF905" w14:textId="44697375"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State obligation to ensure pluralism</w:t>
      </w:r>
      <w:r w:rsidRPr="001C5160">
        <w:rPr>
          <w:rFonts w:ascii="Arial" w:eastAsia="Arial" w:hAnsi="Arial" w:cs="Arial"/>
          <w:sz w:val="20"/>
          <w:szCs w:val="20"/>
          <w:lang w:val="en-GB"/>
        </w:rPr>
        <w:t>: States, as the ultimate guarantors of pluralism, have the obligation to ensure that a sufficient variety of media outlets provided by a range of different owners offering a diversity of content is available to the public, taking into account the characteristics of local, regional, and national media markets as well as differences in terms of their purposes and functions. The complementary nature of different media types strengthens external pluralism and can contribute to creating and maintaining diversity of media content. At the same time, any governance measures by States have to respect media freedom and refrain from restricting the editorial independence and the operational autonomy of media.</w:t>
      </w:r>
    </w:p>
    <w:p w14:paraId="1C7F1C75"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D073266" w14:textId="53737CE2"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No unjustified prior authorisations</w:t>
      </w:r>
      <w:r w:rsidRPr="001C5160">
        <w:rPr>
          <w:rFonts w:ascii="Arial" w:eastAsia="Arial" w:hAnsi="Arial" w:cs="Arial"/>
          <w:sz w:val="20"/>
          <w:szCs w:val="20"/>
          <w:lang w:val="en-GB"/>
        </w:rPr>
        <w:t>: States should enable market access in the most open form possible. They should refrain from requiring prior authorisation for content production and dissemination except in narrowly defined circumstances justified by legitimate aims, such as requiring a license or comparable authorisation to offer broadcasting services. Such a legitimate aim is to guarantee the availability of a wide range of diverse and independent media even where dissemination possibilities are scarce (for instance in terrestrial distribution). Notification or registration requirements are not to be regarded as generally blocking market access. The principle of refraining from regular prior authorisation does not limit the right of States to institutionalise public service media.</w:t>
      </w:r>
    </w:p>
    <w:p w14:paraId="108AD5C7"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8253705" w14:textId="3937E772"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Regulation of media ownership concentration</w:t>
      </w:r>
      <w:r w:rsidRPr="001C5160">
        <w:rPr>
          <w:rFonts w:ascii="Arial" w:eastAsia="Arial" w:hAnsi="Arial" w:cs="Arial"/>
          <w:sz w:val="20"/>
          <w:szCs w:val="20"/>
          <w:lang w:val="en-GB"/>
        </w:rPr>
        <w:t xml:space="preserve">: States should, in addition to applying market power-oriented regulation of economic competition aiming to fair and equitable market conditions, adopt sector-specific regulation of media ownership concentration implemented by independent media regulatory authorities or other designated bodies. Such regulation restricts horizontal, vertical and/or cross-media ownership in order to limit the concentration of power in public opinion formation that any single owner or group of media outlets may reach and to ensure a sufficient number of diverse media outlets. Regulation of media ownership concentration may include thresholds based on criteria such as audience share, turnover, capital shares, or voting rights, but may not discriminate based on viewpoint. The regulation of media ownership concentration should reflect not only the national market, but also regional and local markets in States and take into consideration the possible need for specific or additional rules to ensure pluralism also on these levels. Beyond general rules against ownership concentration, States should pay particular attention to the need for effective separation between the exercise of political authority on the one hand and media ownership or involvement in editorial decision-making on the other. States should also address other forms of control such as commercial influence on independent content production or editorial decision-making restricting diversity. This can concern market influence by competitors as well as by other entities on the relevant down- or upstream markets which are relevant for the media. </w:t>
      </w:r>
    </w:p>
    <w:p w14:paraId="30B6C41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6BC64A1" w14:textId="6E8CE79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Guarantees for public service media</w:t>
      </w:r>
      <w:r w:rsidRPr="001C5160">
        <w:rPr>
          <w:rFonts w:ascii="Arial" w:eastAsia="Arial" w:hAnsi="Arial" w:cs="Arial"/>
          <w:sz w:val="20"/>
          <w:szCs w:val="20"/>
          <w:lang w:val="en-GB"/>
        </w:rPr>
        <w:t>: States should guarantee adequate conditions, including independence and sufficient funding, for public service media to continue to play a crucial role in promoting pluralism and diversity and in providing high-quality and innovative services and content. On the one hand, they should allow public service media to develop and innovate, notably by ensuring that the public service remit is extended to allow for personalised content provision and on-demand services as well as to cover the provision of appropriate content via third-party platforms or other forms of collaboration. Moreover, cooperation with other public institutions and not-for-profit organisations involved in knowledge and culture production and dissemination should be encouraged in the remit, as should collaboration with the audience in content development and production. On the other hand, it is vital that the external governance of public service media not only fully guarantees editorial independence and operational autonomy as well as protection from control by one or more political, economic, religious, or other groups, but critically also ensures transparent, sufficient, stable, and predictable funding. Further, public service media themselves should introduce ways to involve the public in its internal governance structures, paying particular attention to the needs and voices of vulnerable groups and minorities as well as to gender and ethnic diversity.</w:t>
      </w:r>
    </w:p>
    <w:p w14:paraId="2E9C774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10F03DF"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Support measures for the private media</w:t>
      </w:r>
      <w:r w:rsidRPr="001C5160">
        <w:rPr>
          <w:rFonts w:ascii="Arial" w:eastAsia="Arial" w:hAnsi="Arial" w:cs="Arial"/>
          <w:sz w:val="20"/>
          <w:szCs w:val="20"/>
          <w:lang w:val="en-GB"/>
        </w:rPr>
        <w:t xml:space="preserve">: States should, in full respect of the editorial independence and operational autonomy of media, develop and implement direct and indirect subsidies for the private news media to protect and promote media pluralism on the local, regional, and national level and ensure the financial sustainability of professional journalism. Direct subsidies can financially support media in the production and dissemination of journalism, whether it is text-, audio- and/or video-based. Indirect subsidies also include support for journalism education, self-regulatory organisations (e.g., press councils) or innovative digital solutions that strengthen the production and dissemination of news media content. Any support measure should be granted on the basis of predetermined, clear, objective, viewpoint-neutral, equitable and transparent criteria, and be administered in a transparent and non-discriminatory manner in </w:t>
      </w:r>
    </w:p>
    <w:p w14:paraId="4EF238EE" w14:textId="77777777" w:rsidR="003B78B5" w:rsidRDefault="003B78B5">
      <w:pPr>
        <w:rPr>
          <w:rFonts w:eastAsia="Arial" w:cs="Arial"/>
          <w:szCs w:val="20"/>
        </w:rPr>
      </w:pPr>
      <w:r>
        <w:rPr>
          <w:rFonts w:eastAsia="Arial" w:cs="Arial"/>
          <w:szCs w:val="20"/>
        </w:rPr>
        <w:br w:type="page"/>
      </w:r>
    </w:p>
    <w:p w14:paraId="700222B1"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546D359A" w14:textId="2E899ABD" w:rsidR="005F63A2" w:rsidRDefault="003B78B5" w:rsidP="003B78B5">
      <w:pPr>
        <w:pStyle w:val="ListParagraph"/>
        <w:spacing w:line="240" w:lineRule="auto"/>
        <w:ind w:left="0"/>
        <w:jc w:val="left"/>
        <w:rPr>
          <w:rFonts w:ascii="Arial" w:eastAsia="Arial" w:hAnsi="Arial" w:cs="Arial"/>
          <w:sz w:val="20"/>
          <w:szCs w:val="20"/>
          <w:lang w:val="en-GB"/>
        </w:rPr>
      </w:pPr>
      <w:r>
        <w:rPr>
          <w:rFonts w:ascii="Arial" w:eastAsia="Arial" w:hAnsi="Arial" w:cs="Arial"/>
          <w:sz w:val="20"/>
          <w:szCs w:val="20"/>
          <w:lang w:val="en-GB"/>
        </w:rPr>
        <w:t xml:space="preserve">terms </w:t>
      </w:r>
      <w:r w:rsidR="005F63A2" w:rsidRPr="001C5160">
        <w:rPr>
          <w:rFonts w:ascii="Arial" w:eastAsia="Arial" w:hAnsi="Arial" w:cs="Arial"/>
          <w:sz w:val="20"/>
          <w:szCs w:val="20"/>
          <w:lang w:val="en-GB"/>
        </w:rPr>
        <w:t xml:space="preserve">of Article 14 of the Convention by a body enjoying functional and operational autonomy, such as independent media regulatory authorities or other designated bodies. Advertising by States and public sector actors should adhere to the same criteria. </w:t>
      </w:r>
    </w:p>
    <w:p w14:paraId="4E167F6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CAE28DD" w14:textId="5022CCC4"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Specific support for community media</w:t>
      </w:r>
      <w:r w:rsidRPr="001C5160">
        <w:rPr>
          <w:rFonts w:ascii="Arial" w:eastAsia="Arial" w:hAnsi="Arial" w:cs="Arial"/>
          <w:sz w:val="20"/>
          <w:szCs w:val="20"/>
          <w:lang w:val="en-GB"/>
        </w:rPr>
        <w:t>: States should encourage and support the establishment and functioning of community media, including by providing financial mechanisms to foster their development and support their operation. Such media give a voice to communities underrepresented in other media and are thus instrumental in facilitating inclusion and participation, especially on the local and regional level.</w:t>
      </w:r>
    </w:p>
    <w:p w14:paraId="62164B1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06290E9" w14:textId="0C4B09D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Measures for enhancing exposure diversity</w:t>
      </w:r>
      <w:r w:rsidRPr="001C5160">
        <w:rPr>
          <w:rFonts w:ascii="Arial" w:eastAsia="Arial" w:hAnsi="Arial" w:cs="Arial"/>
          <w:sz w:val="20"/>
          <w:szCs w:val="20"/>
          <w:lang w:val="en-GB"/>
        </w:rPr>
        <w:t>: While respecting editorial independence, States should adopt measures and the media should commit themselves to promote the availability, discoverability, and accessibility of a diversity of media content as well as the representation of the diversity of society in the media, including gender and ethnic diversity. With respect to content, offering a diversity of topics, actors and viewpoints is crucial for public debate. Including diverse perspective also requires promoting the balanced representation and equal participation of different groups in society in the news and in the media in general. Diversity in media management, newsrooms and media production as well as equal working conditions are key factors in this respect.</w:t>
      </w:r>
    </w:p>
    <w:p w14:paraId="35C66E0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05E0068" w14:textId="1878D1D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Additional measures for enhancing the diversity of content production</w:t>
      </w:r>
      <w:r w:rsidRPr="001C5160">
        <w:rPr>
          <w:rFonts w:ascii="Arial" w:eastAsia="Arial" w:hAnsi="Arial" w:cs="Arial"/>
          <w:sz w:val="20"/>
          <w:szCs w:val="20"/>
          <w:lang w:val="en-GB"/>
        </w:rPr>
        <w:t>: States should ensure that the diversity of content production is secured by indirect supporting measures. This includes incentivising independent production of content beyond direct financial support. Means of refinancing the costs of content production include an adequate protection of the rights of authors/creators and other related rights and an effective copyright contract law safeguarding fair revenue shares for all parties involved.</w:t>
      </w:r>
    </w:p>
    <w:p w14:paraId="6E17459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1424D61" w14:textId="5D80E352"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B74C93">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R(97)21 on the media and the promotion of a culture of tolerance, </w:t>
      </w:r>
      <w:bookmarkStart w:id="25" w:name="_ML_00000000002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"https://search.coe.int/cm/Pages/result_details.aspx?Reference=CM/Rec(2007)2" \o "Recommendation of the Committee of Ministers to member states on media pluralism and diversity of media content (Adopted by the Committee of Ministers on 31 January 2007 at the 985th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5"/>
      <w:r w:rsidR="00AF3009" w:rsidRPr="00AF3009">
        <w:rPr>
          <w:rStyle w:val="Hyperlink"/>
          <w:rFonts w:ascii="Arial" w:eastAsia="Arial" w:hAnsi="Arial" w:cs="Arial"/>
          <w:sz w:val="20"/>
          <w:szCs w:val="20"/>
          <w:lang w:val="en-GB"/>
        </w:rPr>
        <w:t>CM/Rec(2007)2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diversity of media content, </w:t>
      </w:r>
      <w:bookmarkStart w:id="26" w:name="_ML_00000000002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"https://search.coe.int/cm/Pages/result_details.aspx?Reference=CM/Rec(2007)3" \o "Recommendation of the Committee of Ministers to member states  on the remit of public service media in the information society (Adopted by the Committee of Ministers on 31 January 2007 at the 985th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6"/>
      <w:r w:rsidR="00AF3009" w:rsidRPr="00AF3009">
        <w:rPr>
          <w:rStyle w:val="Hyperlink"/>
          <w:rFonts w:ascii="Arial" w:eastAsia="Arial" w:hAnsi="Arial" w:cs="Arial"/>
          <w:sz w:val="20"/>
          <w:szCs w:val="20"/>
          <w:lang w:val="en-GB"/>
        </w:rPr>
        <w:t>CM/Rec(2007)3</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remit of public service media in the information society, </w:t>
      </w:r>
      <w:bookmarkStart w:id="27" w:name="_ML_000000000028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"https://search.coe.int/cm/Pages/result_details.aspx?Reference=CM/Rec(2012)1" \o "Recommendation of the Committee of Ministers to member States on public service media governance (Adopted by the Committee of Ministers on 15 February 2012 at the 1134th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7"/>
      <w:r w:rsidR="00AF3009" w:rsidRPr="00AF3009">
        <w:rPr>
          <w:rStyle w:val="Hyperlink"/>
          <w:rFonts w:ascii="Arial" w:eastAsia="Arial" w:hAnsi="Arial" w:cs="Arial"/>
          <w:sz w:val="20"/>
          <w:szCs w:val="20"/>
          <w:lang w:val="en-GB"/>
        </w:rPr>
        <w:t>CM/Rec(2012)1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public service media governance, </w:t>
      </w:r>
      <w:bookmarkStart w:id="28" w:name="_ML_000000000029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"https://search.coe.int/cm/Pages/result_details.aspx?Reference=CM/Rec(2013)1" \o "Recommendation of the Committee of Ministers to member States on gender equality and media (Adopted by the Committee of Ministers on 10 July 2013 at the 1176th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8"/>
      <w:r w:rsidR="00AF3009" w:rsidRPr="00AF3009">
        <w:rPr>
          <w:rStyle w:val="Hyperlink"/>
          <w:rFonts w:ascii="Arial" w:eastAsia="Arial" w:hAnsi="Arial" w:cs="Arial"/>
          <w:sz w:val="20"/>
          <w:szCs w:val="20"/>
          <w:lang w:val="en-GB"/>
        </w:rPr>
        <w:t>CM/Rec(2013)1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gender equality and media, </w:t>
      </w:r>
      <w:bookmarkStart w:id="29" w:name="_ML_000000000030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29"/>
      <w:r w:rsidR="00AF3009" w:rsidRPr="00AF3009">
        <w:rPr>
          <w:rStyle w:val="Hyperlink"/>
          <w:rFonts w:ascii="Arial" w:eastAsia="Arial" w:hAnsi="Arial" w:cs="Arial"/>
          <w:sz w:val="20"/>
          <w:szCs w:val="20"/>
          <w:lang w:val="en-GB"/>
        </w:rPr>
        <w:t>CM/Rec(2018)1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transparency of media ownership, </w:t>
      </w:r>
      <w:bookmarkStart w:id="30" w:name="_ML_000000000031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"https://search.coe.int/cm/Pages/result_details.aspx?Reference=CM/Rec(2019)1" \o "CM_Rec(2019)1E_Sexism"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0"/>
      <w:r w:rsidR="00AF3009" w:rsidRPr="00AF3009">
        <w:rPr>
          <w:rStyle w:val="Hyperlink"/>
          <w:rFonts w:ascii="Arial" w:eastAsia="Arial" w:hAnsi="Arial" w:cs="Arial"/>
          <w:sz w:val="20"/>
          <w:szCs w:val="20"/>
          <w:lang w:val="en-GB"/>
        </w:rPr>
        <w:t>CM/Rec(2019)1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preventing and combating sexism, as well as the 2009 Declaration on the role of community media in promotion social cohesion and intercultural dialogue, the 2012 Declaration on public service media governance and the 2019 Declaration on the financial sustainability of quality journalism in the digital age provide further guidance.</w:t>
      </w:r>
    </w:p>
    <w:p w14:paraId="660971DA" w14:textId="77777777" w:rsidR="005F63A2" w:rsidRPr="001C5160" w:rsidRDefault="005F63A2" w:rsidP="005F63A2">
      <w:pPr>
        <w:rPr>
          <w:rFonts w:eastAsia="Arial" w:cs="Arial"/>
          <w:szCs w:val="20"/>
        </w:rPr>
      </w:pPr>
    </w:p>
    <w:p w14:paraId="36548BAE" w14:textId="13619569" w:rsidR="005F63A2" w:rsidRPr="003B78B5"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3B78B5">
        <w:rPr>
          <w:rFonts w:ascii="Arial" w:hAnsi="Arial" w:cs="Arial"/>
          <w:b/>
          <w:sz w:val="20"/>
          <w:szCs w:val="20"/>
          <w:lang w:val="en-GB" w:eastAsia="en-GB"/>
        </w:rPr>
        <w:t>Ensuring transparency of content production</w:t>
      </w:r>
    </w:p>
    <w:p w14:paraId="21AD8F20" w14:textId="77777777" w:rsidR="005F63A2" w:rsidRPr="003B78B5" w:rsidRDefault="005F63A2" w:rsidP="005F63A2">
      <w:pPr>
        <w:pStyle w:val="ListParagraph"/>
        <w:spacing w:line="240" w:lineRule="auto"/>
        <w:ind w:left="0"/>
        <w:jc w:val="left"/>
        <w:rPr>
          <w:rFonts w:ascii="Arial" w:hAnsi="Arial" w:cs="Arial"/>
          <w:b/>
          <w:sz w:val="20"/>
          <w:szCs w:val="20"/>
          <w:lang w:val="en-GB" w:eastAsia="en-GB"/>
        </w:rPr>
      </w:pPr>
    </w:p>
    <w:p w14:paraId="647F750A" w14:textId="77777777" w:rsidR="005F63A2" w:rsidRPr="005D2177" w:rsidRDefault="005F63A2" w:rsidP="005F63A2">
      <w:pPr>
        <w:pStyle w:val="FramedPrinciple"/>
        <w:spacing w:before="0" w:after="0" w:line="240" w:lineRule="auto"/>
        <w:jc w:val="left"/>
        <w:rPr>
          <w:rFonts w:ascii="Arial" w:hAnsi="Arial"/>
        </w:rPr>
      </w:pPr>
      <w:r w:rsidRPr="005D2177">
        <w:rPr>
          <w:rFonts w:ascii="Arial" w:hAnsi="Arial"/>
        </w:rPr>
        <w:t>Media and communication governance should aim to ensure transparency of content production. This includes the obligation to provide information on the circumstances of content production, including editorial standards, as well as on the ownership and funding of media and other actors producing content in an easily accessible and regularly updated manner that is made available to the public by independent media regulatory authorities or other designated bodies. Governance also entails disclosure of the use of and potential bias resulting from algorithmic systems in content production, the use of which must respect human rights and fundamental freedoms.</w:t>
      </w:r>
    </w:p>
    <w:p w14:paraId="4F0136E6"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08B9F0E1" w14:textId="7CA402A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Background</w:t>
      </w:r>
      <w:r w:rsidRPr="001C5160">
        <w:rPr>
          <w:rFonts w:ascii="Arial" w:eastAsia="Arial" w:hAnsi="Arial" w:cs="Arial"/>
          <w:sz w:val="20"/>
          <w:szCs w:val="20"/>
          <w:lang w:val="en-GB"/>
        </w:rPr>
        <w:t xml:space="preserve">: Transparency is a prerequisite for users to make an informed choice and to be capable to evaluate content against the background of its production in a media-literate way. Transparency should not be precluded as such by intellectual property law or limits deriving from trade secrets and should always be achieved at the highest possible level while respecting the fundamental rights of media and content producers. </w:t>
      </w:r>
    </w:p>
    <w:p w14:paraId="3B06862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A431F33"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Transparency of editorial processes</w:t>
      </w:r>
      <w:r w:rsidRPr="001C5160">
        <w:rPr>
          <w:rFonts w:ascii="Arial" w:eastAsia="Arial" w:hAnsi="Arial" w:cs="Arial"/>
          <w:sz w:val="20"/>
          <w:szCs w:val="20"/>
          <w:lang w:val="en-GB"/>
        </w:rPr>
        <w:t xml:space="preserve">: At the most basic level, States should require the media to provide information about the publisher, executive management, editors, and journalists. The media should also ensure that editorial policies or mission statements are made public. Furthermore, as laid down in the procedural principles, the media should ensure that their codes of conduct are publicly available. Individual decisions based on these which restrict user-generated content should be reasonable and understandable. Increased transparency should be encouraged with respect to correction policies which exist beside right of reply requests under the law. Measures by States aiming at achieving this transparency should require feasible action by actors and reflect size, market share and impact of the media concerned. Regarding the production of specific content, the media should clearly distinguish between factual information and opinion as well as between professional editorial content, paid content, and user-generated content. Such </w:t>
      </w:r>
    </w:p>
    <w:p w14:paraId="35AF74AC" w14:textId="77777777" w:rsidR="003B78B5" w:rsidRDefault="003B78B5">
      <w:pPr>
        <w:rPr>
          <w:rFonts w:eastAsia="Arial" w:cs="Arial"/>
          <w:szCs w:val="20"/>
        </w:rPr>
      </w:pPr>
      <w:r>
        <w:rPr>
          <w:rFonts w:eastAsia="Arial" w:cs="Arial"/>
          <w:szCs w:val="20"/>
        </w:rPr>
        <w:br w:type="page"/>
      </w:r>
    </w:p>
    <w:p w14:paraId="6DC08769"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605A9EF5" w14:textId="271BBA23" w:rsidR="005F63A2" w:rsidRDefault="005F63A2" w:rsidP="003B78B5">
      <w:pPr>
        <w:pStyle w:val="ListParagraph"/>
        <w:spacing w:line="240" w:lineRule="auto"/>
        <w:ind w:left="0"/>
        <w:jc w:val="left"/>
        <w:rPr>
          <w:rFonts w:ascii="Arial" w:eastAsia="Arial" w:hAnsi="Arial" w:cs="Arial"/>
          <w:sz w:val="20"/>
          <w:szCs w:val="20"/>
          <w:lang w:val="en-GB"/>
        </w:rPr>
      </w:pPr>
      <w:r w:rsidRPr="001C5160">
        <w:rPr>
          <w:rFonts w:ascii="Arial" w:eastAsia="Arial" w:hAnsi="Arial" w:cs="Arial"/>
          <w:sz w:val="20"/>
          <w:szCs w:val="20"/>
          <w:lang w:val="en-GB"/>
        </w:rPr>
        <w:t xml:space="preserve">transparency should be limited by human rights guarantees of working conditions for journalists and namely protection of their sources. </w:t>
      </w:r>
    </w:p>
    <w:p w14:paraId="3446348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F911830" w14:textId="045B02E2"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Transparency of ownership</w:t>
      </w:r>
      <w:r w:rsidRPr="001C5160">
        <w:rPr>
          <w:rFonts w:ascii="Arial" w:eastAsia="Arial" w:hAnsi="Arial" w:cs="Arial"/>
          <w:sz w:val="20"/>
          <w:szCs w:val="20"/>
          <w:lang w:val="en-GB"/>
        </w:rPr>
        <w:t>: States should require the media as well as other actors producing content for economic or political gain and reaching a certain size, market share or impact to make available in an easily accessible and regularly updated manner basic information about their ownership, management, business model, and sources of funding. States should also require them to report this information to independent media regulatory authorities or other designated bodies charged with collecting, analysing, and making this information available to the public. Moreover, States should arrange for regular public reporting by these bodies about the overall state of media pluralism including an overview of active media, their ownership, funding, market power, and power in public opinion formation. Such reports should entail, where appropriate, displaying dependencies on up- or downstream market participants. Notwithstanding these requirements for transparency, where necessary for the protection of freedom of expression, exceptions should be introduced.</w:t>
      </w:r>
    </w:p>
    <w:p w14:paraId="328A3CAB"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C59B497" w14:textId="7C46382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Transparency of algorithmic systems in media production</w:t>
      </w:r>
      <w:r w:rsidRPr="001C5160">
        <w:rPr>
          <w:rFonts w:ascii="Arial" w:eastAsia="Arial" w:hAnsi="Arial" w:cs="Arial"/>
          <w:sz w:val="20"/>
          <w:szCs w:val="20"/>
          <w:lang w:val="en-GB"/>
        </w:rPr>
        <w:t>: As algorithmic systems are gaining in importance not only for the dissemination but also for the production of content and interaction with users, States should ensure that the design, development, and ongoing deployment of such systems comply with the applicable laws and fulfil the responsibility of the media to respect human rights and fundamental freedoms. States should also require the media to enhance the transparency, explainability and accountability of these systems, including information about potential bias, and to clearly label political and commercial influences. The media, for their part, should exercise due diligence in respect of human rights and fundamental freedoms in the design, development and ongoing deployment of such systems and enhance their transparency, accountability and explainability. In addition, the use of data for journalistic purposes should be disclosed in accordance with data protection rules including Convention 108 and 108+.</w:t>
      </w:r>
    </w:p>
    <w:p w14:paraId="2CE5D7D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871E5D0" w14:textId="73DC3FBB"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5D2177">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The Convention (ETS No. 108) for the Protection of Individuals with regard to Automatic Processing of Personal Data (Convention 108) and Protocol (CETS No. 223) amending the Convention for the Protection of Individuals with regard to Automatic Processing of Personal Data (Convention 108+) as well as Recommendations </w:t>
      </w:r>
      <w:bookmarkStart w:id="31" w:name="_ML_000000000032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"https://search.coe.int/cm/Pages/result_details.aspx?Reference=CM/Rec(2007)2" \o "Recommendation of the Committee of Ministers to member states on media pluralism and diversity of media content (Adopted by the Committee of Ministers on 31 January 2007 at the 985th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1"/>
      <w:r w:rsidR="00AF3009" w:rsidRPr="00AF3009">
        <w:rPr>
          <w:rStyle w:val="Hyperlink"/>
          <w:rFonts w:ascii="Arial" w:eastAsia="Arial" w:hAnsi="Arial" w:cs="Arial"/>
          <w:sz w:val="20"/>
          <w:szCs w:val="20"/>
          <w:lang w:val="en-GB"/>
        </w:rPr>
        <w:t>CM/Rec(2007)2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diversity of media content, </w:t>
      </w:r>
      <w:bookmarkStart w:id="32" w:name="_ML_000000000033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2"/>
      <w:r w:rsidR="00AF3009" w:rsidRPr="00AF3009">
        <w:rPr>
          <w:rStyle w:val="Hyperlink"/>
          <w:rFonts w:ascii="Arial" w:eastAsia="Arial" w:hAnsi="Arial" w:cs="Arial"/>
          <w:sz w:val="20"/>
          <w:szCs w:val="20"/>
          <w:lang w:val="en-GB"/>
        </w:rPr>
        <w:t>CM/Rec(2018)1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transparency of media ownership, as well as </w:t>
      </w:r>
      <w:bookmarkStart w:id="33" w:name="_ML_00000000003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3"/>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provide further guidance.</w:t>
      </w:r>
    </w:p>
    <w:p w14:paraId="7D22E3D5" w14:textId="77777777" w:rsidR="005F63A2" w:rsidRPr="001C5160" w:rsidRDefault="005F63A2" w:rsidP="005F63A2">
      <w:pPr>
        <w:rPr>
          <w:rFonts w:eastAsia="Arial" w:cs="Arial"/>
          <w:szCs w:val="20"/>
        </w:rPr>
      </w:pPr>
    </w:p>
    <w:p w14:paraId="35951C3F" w14:textId="3E8B6E6C"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Ensuring compliance with content obligations and professional standards</w:t>
      </w:r>
    </w:p>
    <w:p w14:paraId="0617EB72"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34696857" w14:textId="77777777" w:rsidR="005F63A2" w:rsidRPr="005D2177" w:rsidRDefault="005F63A2" w:rsidP="005F63A2">
      <w:pPr>
        <w:pStyle w:val="FramedPrinciple"/>
        <w:spacing w:before="0" w:after="0" w:line="240" w:lineRule="auto"/>
        <w:jc w:val="left"/>
        <w:rPr>
          <w:rFonts w:ascii="Arial" w:hAnsi="Arial"/>
        </w:rPr>
      </w:pPr>
      <w:r w:rsidRPr="005D2177">
        <w:rPr>
          <w:rFonts w:ascii="Arial" w:hAnsi="Arial"/>
        </w:rPr>
        <w:t>Media and communication governance should aim to ensure that the media, individual journalists and others comply with content obligations in accordance with Article 10 of the Convention and with professional standards. This includes clearly defining illegal content and addressing legal but harmful content, the possibility of other public interest content requirements, effective measures against violations of content standards, and redress mechanisms. It further entails the use of adequately financed media industry self-regulation or private ordering initiatives by individual media organisations both to protect vulnerable groups and contribute to responsible media practices and the upholding of professional journalistic and ethical standards.</w:t>
      </w:r>
    </w:p>
    <w:p w14:paraId="28197A71"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4AD4A813" w14:textId="747AF9D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Background</w:t>
      </w:r>
      <w:r w:rsidRPr="001C5160">
        <w:rPr>
          <w:rFonts w:ascii="Arial" w:eastAsia="Arial" w:hAnsi="Arial" w:cs="Arial"/>
          <w:sz w:val="20"/>
          <w:szCs w:val="20"/>
          <w:lang w:val="en-GB"/>
        </w:rPr>
        <w:t xml:space="preserve">: The sensitivity of public opinion formation means that industry self-regulation is key to ensuring that interferences with the rights of Article 10 of the Convention by States are reduced to only strictly necessary measures. At the same time, it is critical that the media as well as other actors producing content for economic or political gain and reaching a certain size, market share or impact safeguard themselves other human rights and fundamental freedoms while exercising their own freedoms. </w:t>
      </w:r>
    </w:p>
    <w:p w14:paraId="2CCFC78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306D7126"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Conditions for content restrictions</w:t>
      </w:r>
      <w:r w:rsidRPr="001C5160">
        <w:rPr>
          <w:rFonts w:ascii="Arial" w:eastAsia="Arial" w:hAnsi="Arial" w:cs="Arial"/>
          <w:sz w:val="20"/>
          <w:szCs w:val="20"/>
          <w:lang w:val="en-GB"/>
        </w:rPr>
        <w:t xml:space="preserve">: States should, while respecting the requirements of Article 10 of the Convention, ensure that content provided by the media as well as other actors producing content for economic or political gain and reaching a certain size, market share or impact respects Council of Europe standards and values. This includes not only the need for clearly defining illegal content in the applicable legislative framework but also for addressing legal but harmful content by appropriate measures. These include co-regulatory frameworks that require the media to consider whether specific content may impair the development of minors or the rights of others. Restrictions by States can also cover commercial communication or political advertising, including during electoral campaigns, to protect consumers and </w:t>
      </w:r>
    </w:p>
    <w:p w14:paraId="5071DF8C" w14:textId="77777777" w:rsidR="003B78B5" w:rsidRDefault="003B78B5">
      <w:pPr>
        <w:rPr>
          <w:rFonts w:eastAsia="Arial" w:cs="Arial"/>
          <w:szCs w:val="20"/>
        </w:rPr>
      </w:pPr>
      <w:r>
        <w:rPr>
          <w:rFonts w:eastAsia="Arial" w:cs="Arial"/>
          <w:szCs w:val="20"/>
        </w:rPr>
        <w:br w:type="page"/>
      </w:r>
    </w:p>
    <w:p w14:paraId="191432C5"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5B40ABE7" w14:textId="3B99DF31" w:rsidR="005F63A2" w:rsidRDefault="005F63A2" w:rsidP="003B78B5">
      <w:pPr>
        <w:pStyle w:val="ListParagraph"/>
        <w:spacing w:line="240" w:lineRule="auto"/>
        <w:ind w:left="0"/>
        <w:jc w:val="left"/>
        <w:rPr>
          <w:rFonts w:ascii="Arial" w:eastAsia="Arial" w:hAnsi="Arial" w:cs="Arial"/>
          <w:sz w:val="20"/>
          <w:szCs w:val="20"/>
          <w:lang w:val="en-GB"/>
        </w:rPr>
      </w:pPr>
      <w:r w:rsidRPr="001C5160">
        <w:rPr>
          <w:rFonts w:ascii="Arial" w:eastAsia="Arial" w:hAnsi="Arial" w:cs="Arial"/>
          <w:sz w:val="20"/>
          <w:szCs w:val="20"/>
          <w:lang w:val="en-GB"/>
        </w:rPr>
        <w:t>citizens. Where users are invited to contribute to content, the media should have measures in place to uphold human rights and fundamental freedoms, while these measures should protect and respect freedom of expression and other rights.</w:t>
      </w:r>
    </w:p>
    <w:p w14:paraId="750F988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B0FB64D" w14:textId="725A670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Public interest content requirements</w:t>
      </w:r>
      <w:r w:rsidRPr="001C5160">
        <w:rPr>
          <w:rFonts w:ascii="Arial" w:eastAsia="Arial" w:hAnsi="Arial" w:cs="Arial"/>
          <w:sz w:val="20"/>
          <w:szCs w:val="20"/>
          <w:lang w:val="en-GB"/>
        </w:rPr>
        <w:t xml:space="preserve">: Beyond content restrictions, namely for audio and audiovisual media, States might also implement content requirements that serve the public interest. These may include measures to ensure general interest goals such as providing public service announcements in case of emergency (e.g., in the event of natural or other disasters) as well as accurate, fair, non-discriminatory, and balanced reporting. Moreover, States may implement requirements, financial and other support measures to guarantee that specific content of special value, for instance European works, minority or children’s content, is available. </w:t>
      </w:r>
    </w:p>
    <w:p w14:paraId="112E58A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4D18BB5" w14:textId="3A0A9BB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Effective remedies for violations</w:t>
      </w:r>
      <w:r w:rsidRPr="001C5160">
        <w:rPr>
          <w:rFonts w:ascii="Arial" w:eastAsia="Arial" w:hAnsi="Arial" w:cs="Arial"/>
          <w:sz w:val="20"/>
          <w:szCs w:val="20"/>
          <w:lang w:val="en-GB"/>
        </w:rPr>
        <w:t>: The significance of the public interest aims that justify content regulation necessitates that States provide for effective measures for alleged violations. Normally, damage inflicted by published content will only be rectified after publication, as possible violations only occur on actual publication. Access to judicial review and out-of-court redress mechanisms for individuals whose rights are at risk of being violated can nonetheless exceptionally involve, where appropriate, the application of injunctions. In addition, where violation of content rules involves content which is entirely prohibited from dissemination, States should provide for efficient enforcement. Typically, however, State intervention will be limited to actions undertaken after dissemination, in order to respect the standards of Article 10 of the Convention. States should be aware of possible abuse of remedies to systematically prevent the production of content and, if necessary, react to such a development.</w:t>
      </w:r>
    </w:p>
    <w:p w14:paraId="440467B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5E94929" w14:textId="780AAB3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Role of self-regulation and individual private ordering initiatives with respect to content restrictions</w:t>
      </w:r>
      <w:r w:rsidRPr="001C5160">
        <w:rPr>
          <w:rFonts w:ascii="Arial" w:eastAsia="Arial" w:hAnsi="Arial" w:cs="Arial"/>
          <w:sz w:val="20"/>
          <w:szCs w:val="20"/>
          <w:lang w:val="en-GB"/>
        </w:rPr>
        <w:t xml:space="preserve">: The media should implement and adhere to industry self-regulation or individual private ordering initiatives which guarantee that the content they provide complies with the relevant content obligations to protect vulnerable groups, especially minors, from harm. Self-regulatory organisations or internal compliance procedures allow for the provision of age ratings, independent classification of content prior to dissemination, and handling complaints. Any such self-regulatory organisation or private ordering initiative should have stable financing and meaningful powers to enforce its decisions. If the industry is unable to implement effective and independent private ordering initiatives or industry self-regulation, or if the public interest requires a stronger involvement of the State as guarantor of these interests, States should provide a co-regulatory framework. Moreover, governance by private sector actors should itself be aligned with the standards contained in Article 10 of the Convention. </w:t>
      </w:r>
    </w:p>
    <w:p w14:paraId="3EC5DCE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1A8A2C2" w14:textId="47B93FE5"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Role of self-regulation with respect to professional and ethical standards</w:t>
      </w:r>
      <w:r w:rsidRPr="001C5160">
        <w:rPr>
          <w:rFonts w:ascii="Arial" w:eastAsia="Arial" w:hAnsi="Arial" w:cs="Arial"/>
          <w:sz w:val="20"/>
          <w:szCs w:val="20"/>
          <w:lang w:val="en-GB"/>
        </w:rPr>
        <w:t>: Beyond the protection of vulnerable groups, news media should agree upon, implement, and adhere to industry self-regulation that holds media accountable for upholding professional journalistic and ethical standards developed by the industry itself. Industry self-regulation such as ombudspersons and press or media councils can examine complaints and decide on compliance. Such independent bodies should have stable financing and meaningful powers, in particular to require the publication of prominent corrections and critical adjudications and apologies. If the industry is unable to implement effective and independent self-regulation, States should provide a co-regulatory framework while fully respecting the editorial independence and operational autonomy of media.</w:t>
      </w:r>
    </w:p>
    <w:p w14:paraId="28D51F3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D789F82" w14:textId="7DF8D86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R(97)21 on the media and the promotion of a culture of tolerance, </w:t>
      </w:r>
      <w:bookmarkStart w:id="34" w:name="_ML_00000000003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"https://search.coe.int/cm/Pages/result_details.aspx?Reference=CM/Rec(2007)15" \o "Recommendation of the Committee of Ministers to member states on measures concerning media coverage of election campaigns (Adopted by the Committee of Ministers on 7 November 2007at the 1010th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4"/>
      <w:r w:rsidR="00AF3009" w:rsidRPr="00AF3009">
        <w:rPr>
          <w:rStyle w:val="Hyperlink"/>
          <w:rFonts w:ascii="Arial" w:eastAsia="Arial" w:hAnsi="Arial" w:cs="Arial"/>
          <w:sz w:val="20"/>
          <w:szCs w:val="20"/>
          <w:lang w:val="en-GB"/>
        </w:rPr>
        <w:t>CM/Rec(2007)15</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measures concerning media coverage of election campaigns and </w:t>
      </w:r>
      <w:bookmarkStart w:id="35" w:name="_ML_00000000003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5"/>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provide further guidance.</w:t>
      </w:r>
    </w:p>
    <w:p w14:paraId="756D321D" w14:textId="43265781" w:rsidR="003B78B5" w:rsidRDefault="003B78B5">
      <w:pPr>
        <w:rPr>
          <w:rFonts w:eastAsia="Arial" w:cs="Arial"/>
          <w:szCs w:val="20"/>
        </w:rPr>
      </w:pPr>
      <w:r>
        <w:rPr>
          <w:rFonts w:eastAsia="Arial" w:cs="Arial"/>
          <w:szCs w:val="20"/>
        </w:rPr>
        <w:br w:type="page"/>
      </w:r>
    </w:p>
    <w:p w14:paraId="30F7BB9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78BE616" w14:textId="79288030" w:rsidR="005F63A2" w:rsidRPr="0080571A" w:rsidRDefault="005F63A2" w:rsidP="005F63A2">
      <w:pPr>
        <w:pStyle w:val="Heading4"/>
        <w:keepLines w:val="0"/>
        <w:spacing w:before="0" w:line="240" w:lineRule="auto"/>
        <w:rPr>
          <w:rFonts w:ascii="Arial" w:eastAsia="Calibri" w:hAnsi="Arial" w:cs="Arial"/>
          <w:color w:val="auto"/>
          <w:sz w:val="20"/>
          <w:szCs w:val="20"/>
          <w:lang w:val="en-GB" w:eastAsia="en-GB"/>
        </w:rPr>
      </w:pPr>
      <w:r w:rsidRPr="0080571A">
        <w:rPr>
          <w:rFonts w:ascii="Arial" w:eastAsia="Calibri" w:hAnsi="Arial" w:cs="Arial"/>
          <w:color w:val="auto"/>
          <w:sz w:val="20"/>
          <w:szCs w:val="20"/>
          <w:lang w:val="en-GB" w:eastAsia="en-GB"/>
        </w:rPr>
        <w:t>Substantive principles regarding dissemination</w:t>
      </w:r>
    </w:p>
    <w:p w14:paraId="21CAA2CE" w14:textId="77777777" w:rsidR="005F63A2" w:rsidRPr="005F63A2" w:rsidRDefault="005F63A2" w:rsidP="005F63A2">
      <w:pPr>
        <w:rPr>
          <w:lang w:eastAsia="en-GB"/>
        </w:rPr>
      </w:pPr>
    </w:p>
    <w:p w14:paraId="7D06CC1B" w14:textId="75D48BEE"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Ensuring functioning markets and protecting personal data in content dissemination</w:t>
      </w:r>
    </w:p>
    <w:p w14:paraId="76091428"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08D11A27" w14:textId="77777777" w:rsidR="005F63A2" w:rsidRPr="002B737D" w:rsidRDefault="005F63A2" w:rsidP="005F63A2">
      <w:pPr>
        <w:pStyle w:val="FramedPrinciple"/>
        <w:spacing w:before="0" w:after="0" w:line="240" w:lineRule="auto"/>
        <w:jc w:val="left"/>
        <w:rPr>
          <w:rFonts w:ascii="Arial" w:hAnsi="Arial"/>
        </w:rPr>
      </w:pPr>
      <w:r w:rsidRPr="002B737D">
        <w:rPr>
          <w:rFonts w:ascii="Arial" w:hAnsi="Arial"/>
        </w:rPr>
        <w:t>Media and communication governance should aim to ensure functioning markets and protect personal data in content dissemination in order to safeguard human rights. This includes ensuring the availability and accessibility of the electronic communication infrastructure and of universal services for individual users. It further entails ex ante regulation in markets with significant market power in electronic communications networks and services to guarantee non-discriminatory, reasonable and fair access conditions. Governance also includes introducing, where appropriate, content dissemination obligations promoting pluralism. Moreover, it entails preventing the negative impact of the market power of platforms by means of modern competition law and new types of ex ante instruments, while ensuring that platforms contribute to the adequate functioning of the public sphere in the interest of democracy, overseen by designated bodies, as well as guaranteeing fair use of data by platforms.</w:t>
      </w:r>
    </w:p>
    <w:p w14:paraId="0DAE0ECF"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58E504D6" w14:textId="697AD19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Background</w:t>
      </w:r>
      <w:r w:rsidRPr="001C5160">
        <w:rPr>
          <w:rFonts w:ascii="Arial" w:eastAsia="Arial" w:hAnsi="Arial" w:cs="Arial"/>
          <w:sz w:val="20"/>
          <w:szCs w:val="20"/>
          <w:lang w:val="en-GB"/>
        </w:rPr>
        <w:t>: Content dissemination is of utmost importance for content producers to reach their users and for users to access content. Therefore, dissemination is not a mere technical question, but closely linked to the human rights dimension of freedom of expression and information. On the one hand, electronic communications networks (including internet access providers) and services that are often part of vertically integrated and globally operating companies as well as other technical providers are a prerequisite for content dissemination. On the other hand, platforms play an increasingly decisive role for communication in the public sphere due to the ever-growing numbers of user and the increasing number of individuals who mainly or exclusively access media content via platforms. Content dissemination markets are characterised by the concentration of power in the hands of only a few private providers, which creates not only problems of potential discrimination of other market participants and a strong dependence of these participants on the dominant providers, but also impacts the possibilities for safeguarding users’ human rights. Other than electronic communications networks and services, platforms have only been subject to limited regulation so far. As accessing content disseminated via platforms allows for the collection of user data, the market power of platforms is enhanced by access to and further use of such data.</w:t>
      </w:r>
    </w:p>
    <w:p w14:paraId="27C7AF7A"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4F76832" w14:textId="32A3AD7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Availability and accessibility of electronic communication infrastructure</w:t>
      </w:r>
      <w:r w:rsidRPr="001C5160">
        <w:rPr>
          <w:rFonts w:ascii="Arial" w:eastAsia="Arial" w:hAnsi="Arial" w:cs="Arial"/>
          <w:sz w:val="20"/>
          <w:szCs w:val="20"/>
          <w:lang w:val="en-GB"/>
        </w:rPr>
        <w:t xml:space="preserve">: States should ensure the availability and accessibility of electronic communication infrastructure for individual users irrespective of their geographical location. This necessitates public or private investment into widely available and affordable broadband networks and other recent technology as well as adequate universal service obligations to fully participate in society. If necessary for the availability of the universal services, regulation can extend to the software and hardware of terminal equipment and not only to services provided on the network. When devising rules concerning dissemination States should take into account the goals of interoperability and portability of services. </w:t>
      </w:r>
    </w:p>
    <w:p w14:paraId="4C41A4E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26539EF" w14:textId="0D5F7455"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Safeguards against anti-competitive practices</w:t>
      </w:r>
      <w:r w:rsidRPr="001C5160">
        <w:rPr>
          <w:rFonts w:ascii="Arial" w:eastAsia="Arial" w:hAnsi="Arial" w:cs="Arial"/>
          <w:sz w:val="20"/>
          <w:szCs w:val="20"/>
          <w:lang w:val="en-GB"/>
        </w:rPr>
        <w:t xml:space="preserve">: In markets relevant for content dissemination where significant market power has been found, States should use ex ante regulation to prevent anti-competitive behaviour. In particular, States should use ex ante regulation in such markets to ensure access of third-party providers of audiovisual media services as well as electronic communications services to electronic communications networks on fair, reasonable, and non-discriminatory terms, if specific market analyses show that general competition law is not sufficient to guarantee competitiveness on that market. The imposition of additional regulatory measures has to be proportionate and thereby limited to the extent necessary to secure effective and sustainable competition in the interest of end-users. In addition, they have to be transparent, non-discriminatory, and subject to periodical review. Moreover, States should safeguard an open internet in content dissemination by implementing net neutrality rules that limit the interference on the distribution of content by electronic communications networks and other technical providers involved in dissemination to necessary network management measures or for predefined justified reasons. In doing so, the principles of non-discrimination and fairness should be applied by providers. </w:t>
      </w:r>
    </w:p>
    <w:p w14:paraId="21FE8885" w14:textId="23E9E5FF" w:rsidR="003B78B5" w:rsidRDefault="003B78B5">
      <w:pPr>
        <w:rPr>
          <w:rFonts w:eastAsia="Arial" w:cs="Arial"/>
          <w:szCs w:val="20"/>
        </w:rPr>
      </w:pPr>
      <w:r>
        <w:rPr>
          <w:rFonts w:eastAsia="Arial" w:cs="Arial"/>
          <w:szCs w:val="20"/>
        </w:rPr>
        <w:br w:type="page"/>
      </w:r>
    </w:p>
    <w:p w14:paraId="5F293D47"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06C2B4B" w14:textId="3CC80D2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Content dissemination obligations to promote pluralism</w:t>
      </w:r>
      <w:r w:rsidRPr="001C5160">
        <w:rPr>
          <w:rFonts w:ascii="Arial" w:eastAsia="Arial" w:hAnsi="Arial" w:cs="Arial"/>
          <w:sz w:val="20"/>
          <w:szCs w:val="20"/>
          <w:lang w:val="en-GB"/>
        </w:rPr>
        <w:t xml:space="preserve">: Beyond preventing anti-competitive behaviour, where necessary to ensure media pluralism and diversity of content or access to public interest content, States can provide for proportionate, transparent, and viewpoint-neutral rules obligating providers of electronic communications networks and platforms to disseminate and prioritise specific categories or types of providers of content. Such obligations can include must carry-provisions for cable networks and other electronic communications networks and services as well as provisions concerning hardware and operating software to improve the findability of content. This framework for electronic communications networks and services providers as well as terminal equipment should be complemented by rules against bias for selection and curation by algorithmic systems and measures to enhance exposure diversity like alternative forms of personalisation, as detailed in Principle 13. In addition, States can require that providers of electronic communications networks and services disseminate media content in the way it was delivered to them by the producers without changing or overlaying the content except if the producer or user consented to this. Moreover, States should encourage the media to make their channels available to electronic communications networks and services providers to allow for diverse content packages. Any such obligations introduced by States have to be proportionate in light of the general interest objective, transparent and based on the situation of the respective markets in which they are to be applied. In addition, such requirements may not result in interference with the independence and editorial autonomy of the media. </w:t>
      </w:r>
    </w:p>
    <w:p w14:paraId="61ADDC9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0C588D4" w14:textId="65F4B957"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Competition law framework and ex ante instruments addressing the market power of platforms</w:t>
      </w:r>
      <w:r w:rsidRPr="001C5160">
        <w:rPr>
          <w:rFonts w:ascii="Arial" w:eastAsia="Arial" w:hAnsi="Arial" w:cs="Arial"/>
          <w:sz w:val="20"/>
          <w:szCs w:val="20"/>
          <w:lang w:val="en-GB"/>
        </w:rPr>
        <w:t>: Given both the economics of platform markets, not least direct and indirect network effects leading to concentration, and the power of platforms in shaping communication in the public sphere, States should adapt their regulatory approach towards such markets, taking into account the human rights dimension of a functioning market for content dissemination. On the one hand, States should modernise their competition law framework to respond more efficiently to the market reality by applying a broader understanding of market power, dominance and anti-competitive behaviour or risks. This includes the need to consider non-price competition parameters and, especially, the access to and exploitation of user data as a relevant component of market power. On the other hand, States should consider new ex ante approaches to respond to monopolisation or anti-competitive market developments which further intensify structural inequalities, stifle innovation by potential new market entrants or hinder user choice. Beyond such ex ante regulation, where appropriate and proportionate, possible responses to abuses of platforms’ market power should include not only behavioural but also structural remedies. In addition, States should consider extending regulation of media ownership concentration, as detailed in Principle 8, to platforms and their services.</w:t>
      </w:r>
    </w:p>
    <w:p w14:paraId="78771DB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51F20C6" w14:textId="0CBAD609"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Independent monitoring of electronic communications markets</w:t>
      </w:r>
      <w:r w:rsidRPr="001C5160">
        <w:rPr>
          <w:rFonts w:ascii="Arial" w:eastAsia="Arial" w:hAnsi="Arial" w:cs="Arial"/>
          <w:sz w:val="20"/>
          <w:szCs w:val="20"/>
          <w:lang w:val="en-GB"/>
        </w:rPr>
        <w:t xml:space="preserve">: States should ensure that independent media and/or platform regulatory authorities or other designated bodies entrusted with maintaining and promoting pluralism and diversity in the public sphere are equipped with the necessary powers to regularly review the conduct of electronic communications networks and services as well as platforms that are relevant in the dissemination of media and other content. Specifically, in order to gain better insight into the functioning of these markets and the impact of specific market participants, these authorities should be able to enforce transparency and reporting obligations as well as to conduct sector enquiries and publish information on relevant platforms and their relation and behaviour towards content production organisations. New ex ante regulation should be applied in a way proportionate to platforms’ size, market share and impact in order not to overburden micro and small actors while taking into account the responsibility of dominant ones. </w:t>
      </w:r>
    </w:p>
    <w:p w14:paraId="76B1DCBA"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F6C9DB5"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Personal data protection and fair use of data</w:t>
      </w:r>
      <w:r w:rsidRPr="001C5160">
        <w:rPr>
          <w:rFonts w:ascii="Arial" w:eastAsia="Arial" w:hAnsi="Arial" w:cs="Arial"/>
          <w:sz w:val="20"/>
          <w:szCs w:val="20"/>
          <w:lang w:val="en-GB"/>
        </w:rPr>
        <w:t>: Platforms with high user numbers have access to very large amounts of personal data created by the use of their services. This data may only be collected and processed in respect of data protection rules and namely Convention No. 108 and 108+. As a matter of principle, any form of aggregation, combination, or further distribution of such data to other services offered by a platform should be based on user consent. Exceptional distribution to other parties, such as competent authorities, requires an authorisation by means of a legitimate basis laid down by law. Tracking and profiling of users should be made transparent, and States should require the platforms to provide a</w:t>
      </w:r>
      <w:r w:rsidRPr="001C5160">
        <w:rPr>
          <w:rFonts w:ascii="Arial" w:eastAsia="Arial" w:hAnsi="Arial" w:cs="Arial"/>
          <w:sz w:val="20"/>
          <w:szCs w:val="20"/>
          <w:lang w:val="en-GB"/>
        </w:rPr>
        <w:tab/>
        <w:t xml:space="preserve"> possibility for users to opt out of personalisation of the services even if consent to the terms of service as far as collection and processing of data was given by the users. By adhering to the principle of fair use of data, platforms should not exploit user data in a way that disadvantages competitors or undermines democratic values. This includes that data which is created by the communication flows between content producers and </w:t>
      </w:r>
    </w:p>
    <w:p w14:paraId="52C1A194" w14:textId="77777777" w:rsidR="003B78B5" w:rsidRDefault="003B78B5">
      <w:pPr>
        <w:rPr>
          <w:rFonts w:eastAsia="Arial" w:cs="Arial"/>
          <w:szCs w:val="20"/>
        </w:rPr>
      </w:pPr>
      <w:r>
        <w:rPr>
          <w:rFonts w:eastAsia="Arial" w:cs="Arial"/>
          <w:szCs w:val="20"/>
        </w:rPr>
        <w:br w:type="page"/>
      </w:r>
    </w:p>
    <w:p w14:paraId="3575EF5F"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56392B03" w14:textId="69607BB0" w:rsidR="005F63A2" w:rsidRDefault="005F63A2" w:rsidP="003B78B5">
      <w:pPr>
        <w:pStyle w:val="ListParagraph"/>
        <w:spacing w:line="240" w:lineRule="auto"/>
        <w:ind w:left="0"/>
        <w:jc w:val="left"/>
        <w:rPr>
          <w:rFonts w:ascii="Arial" w:eastAsia="Arial" w:hAnsi="Arial" w:cs="Arial"/>
          <w:sz w:val="20"/>
          <w:szCs w:val="20"/>
          <w:lang w:val="en-GB"/>
        </w:rPr>
      </w:pPr>
      <w:r w:rsidRPr="001C5160">
        <w:rPr>
          <w:rFonts w:ascii="Arial" w:eastAsia="Arial" w:hAnsi="Arial" w:cs="Arial"/>
          <w:sz w:val="20"/>
          <w:szCs w:val="20"/>
          <w:lang w:val="en-GB"/>
        </w:rPr>
        <w:t>users and which platforms have access to as provider of the service is not used to reach a more beneficial position than the content producer.</w:t>
      </w:r>
    </w:p>
    <w:p w14:paraId="2BA005C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A33FF2F" w14:textId="31E59606"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The Convention (ETS No. 108) for the Protection of Individuals with regard to Automatic Processing of Personal Data (Convention 108) and Protocol (CETS No. 223) amending the Convention for the Protection of Individuals with regard to Automatic Processing of Personal Data (Convention 108+), Recommendations </w:t>
      </w:r>
      <w:bookmarkStart w:id="36" w:name="_ML_00000000003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"https://search.coe.int/cm/Pages/result_details.aspx?Reference=CM/Rec(2007)2" \o "Recommendation of the Committee of Ministers to member states on media pluralism and diversity of media content (Adopted by the Committee of Ministers on 31 January 2007 at the 985th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6"/>
      <w:r w:rsidR="00AF3009" w:rsidRPr="00AF3009">
        <w:rPr>
          <w:rStyle w:val="Hyperlink"/>
          <w:rFonts w:ascii="Arial" w:eastAsia="Arial" w:hAnsi="Arial" w:cs="Arial"/>
          <w:sz w:val="20"/>
          <w:szCs w:val="20"/>
          <w:lang w:val="en-GB"/>
        </w:rPr>
        <w:t>CM/Rec(2007)2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diversity of media content, </w:t>
      </w:r>
      <w:bookmarkStart w:id="37" w:name="_ML_000000000038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7"/>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w:t>
      </w:r>
      <w:bookmarkStart w:id="38" w:name="_ML_000000000039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"https://search.coe.int/cm/Pages/result_details.aspx?Reference=CM/Rec(2012)3" \o "Recommendation of the Committee of Ministers to member States on the protection of human rights with regard to search engines (Adopted by the Committee of Ministers on 4 April 2012 at the 1139th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8"/>
      <w:r w:rsidR="00AF3009" w:rsidRPr="00AF3009">
        <w:rPr>
          <w:rStyle w:val="Hyperlink"/>
          <w:rFonts w:ascii="Arial" w:eastAsia="Arial" w:hAnsi="Arial" w:cs="Arial"/>
          <w:sz w:val="20"/>
          <w:szCs w:val="20"/>
          <w:lang w:val="en-GB"/>
        </w:rPr>
        <w:t>CM/Rec(2012)3</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human rights with regard to search engines, </w:t>
      </w:r>
      <w:bookmarkStart w:id="39" w:name="_ML_000000000040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"https://search.coe.int/cm/Pages/result_details.aspx?Reference=CM/Rec(2016)1" \o "Recommendation of the Committee of Ministers to member States on protecting and promoting the right to freedom of expression and the right to private life with regard to network neutrality (Adopted by the Committee of Ministers on 13 January 2016, at the 1244th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39"/>
      <w:r w:rsidR="00AF3009" w:rsidRPr="00AF3009">
        <w:rPr>
          <w:rStyle w:val="Hyperlink"/>
          <w:rFonts w:ascii="Arial" w:eastAsia="Arial" w:hAnsi="Arial" w:cs="Arial"/>
          <w:sz w:val="20"/>
          <w:szCs w:val="20"/>
          <w:lang w:val="en-GB"/>
        </w:rPr>
        <w:t>CM/Rec(2016)1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protecting and promoting the right to freedom of expression and the right to private life with regard to network neutrality and </w:t>
      </w:r>
      <w:bookmarkStart w:id="40" w:name="_ML_000000000041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0"/>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as well as the as the 2011 Declaration on Internet governance principles provide further guidance.</w:t>
      </w:r>
    </w:p>
    <w:p w14:paraId="67D199E5" w14:textId="77777777" w:rsidR="005F63A2" w:rsidRPr="001C5160" w:rsidRDefault="005F63A2" w:rsidP="005F63A2">
      <w:pPr>
        <w:rPr>
          <w:rFonts w:eastAsia="Arial" w:cs="Arial"/>
          <w:szCs w:val="20"/>
        </w:rPr>
      </w:pPr>
    </w:p>
    <w:p w14:paraId="6F09CEA4" w14:textId="42C469F9" w:rsidR="005F63A2" w:rsidRPr="005F63A2" w:rsidRDefault="005F63A2" w:rsidP="005F63A2">
      <w:pPr>
        <w:pStyle w:val="ListParagraph"/>
        <w:numPr>
          <w:ilvl w:val="0"/>
          <w:numId w:val="1"/>
        </w:numPr>
        <w:spacing w:line="240" w:lineRule="auto"/>
        <w:ind w:left="0" w:firstLine="0"/>
        <w:jc w:val="left"/>
        <w:rPr>
          <w:rFonts w:ascii="Arial" w:eastAsia="Arial" w:hAnsi="Arial" w:cs="Arial"/>
          <w:sz w:val="20"/>
          <w:szCs w:val="20"/>
          <w:lang w:val="en-GB"/>
        </w:rPr>
      </w:pPr>
      <w:r w:rsidRPr="000A7651">
        <w:rPr>
          <w:rFonts w:ascii="Arial" w:hAnsi="Arial" w:cs="Arial"/>
          <w:b/>
          <w:sz w:val="20"/>
          <w:szCs w:val="20"/>
          <w:lang w:val="en-GB" w:eastAsia="en-GB"/>
        </w:rPr>
        <w:t>Responding to the risks caused by platforms disseminating illegal content as well as legal but harmful</w:t>
      </w:r>
      <w:r w:rsidRPr="001C5160">
        <w:rPr>
          <w:rFonts w:ascii="Arial" w:eastAsia="Arial" w:hAnsi="Arial" w:cs="Arial"/>
          <w:sz w:val="20"/>
          <w:szCs w:val="20"/>
          <w:lang w:val="en-GB"/>
        </w:rPr>
        <w:t xml:space="preserve"> </w:t>
      </w:r>
      <w:r w:rsidRPr="002B737D">
        <w:rPr>
          <w:rFonts w:ascii="Arial" w:eastAsia="Arial" w:hAnsi="Arial" w:cs="Arial"/>
          <w:b/>
          <w:bCs/>
          <w:sz w:val="20"/>
          <w:szCs w:val="20"/>
          <w:lang w:val="en-GB"/>
        </w:rPr>
        <w:t>content</w:t>
      </w:r>
    </w:p>
    <w:p w14:paraId="042245C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66494B5C" w14:textId="77777777" w:rsidR="005F63A2" w:rsidRPr="002B737D" w:rsidRDefault="005F63A2" w:rsidP="005F63A2">
      <w:pPr>
        <w:pStyle w:val="FramedPrinciple"/>
        <w:spacing w:before="0" w:after="0" w:line="240" w:lineRule="auto"/>
        <w:jc w:val="left"/>
        <w:rPr>
          <w:rFonts w:ascii="Arial" w:hAnsi="Arial"/>
        </w:rPr>
      </w:pPr>
      <w:r w:rsidRPr="002B737D">
        <w:rPr>
          <w:rFonts w:ascii="Arial" w:hAnsi="Arial"/>
        </w:rPr>
        <w:t>Media and communication governance should aim to respond in a transparent way to the risks caused by platforms disseminating illegal content as well as legal but harmful content. This includes a risk-based and human rights-compliant moderation of content disseminated via platforms. It may also involve measures to mitigate the potential negative effects of disinformation and lack of transparency about content dissemination, such as initiatives to strengthen media and information literacy, greater transparency of advertising on platforms and non-biased and transparent efforts to label reliable content provided by those in the private sector or civil society.</w:t>
      </w:r>
    </w:p>
    <w:p w14:paraId="5A15636E"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24DCE3E9" w14:textId="01945E5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Background</w:t>
      </w:r>
      <w:r w:rsidRPr="001C5160">
        <w:rPr>
          <w:rFonts w:ascii="Arial" w:eastAsia="Arial" w:hAnsi="Arial" w:cs="Arial"/>
          <w:sz w:val="20"/>
          <w:szCs w:val="20"/>
          <w:lang w:val="en-GB"/>
        </w:rPr>
        <w:t>: Platforms have not only assumed an influential role in the dissemination and use of media content, but they have also made it much easier for individuals and groups to access the public sphere and exercise their right to freedom of expression. Platforms offer new opportunities in terms of access to information, public debate, and political participation. Yet it has also become easier to disseminate illegal as well as legal but harmful content. Disinformation campaigns are a particular challenge for media and communication governance, as such campaigns undermine trust in the media and democratic institutions and threaten the reliability of information that feeds public debate and democracy. Complicating things further, disinformation may even originate from official sources. Moreover, it can be difficult for users to distinguish between journalism, commercial communication, and political advertising. Platforms so far only bear limited liability for content uploaded by their users. Nevertheless, almost all platforms engage in some form of content moderation that complements existing content obligations and professional standards for the media. Their terms of service agreements and/or so-called community standards usually contain content restrictions that are implemented using a combination of human decision-making and algorithmic systems to identify, flag, deprioritise or remove content in breach of these standards. While such private ordering initiatives need to be recognised, they come with severe limitations. First, beyond the risk of censorship operated through platforms on behalf of States, there is a risk of so-called private censorship by platforms themselves. Second, bearing in mind national differences, the content standards set by global platforms are contested. Third, despite laudable efforts, content moderation is often insufficiently transparent, potentially inaccurate, and inefficient. Notwithstanding these shortcomings of private ordering initiatives, States should not treat illegal content in the same way as legal but harmful content protected by freedom of expression.</w:t>
      </w:r>
    </w:p>
    <w:p w14:paraId="33F3C7E2"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920332B" w14:textId="2A47FD40"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Human rights-compliant content moderation</w:t>
      </w:r>
      <w:r w:rsidRPr="001C5160">
        <w:rPr>
          <w:rFonts w:ascii="Arial" w:eastAsia="Arial" w:hAnsi="Arial" w:cs="Arial"/>
          <w:sz w:val="20"/>
          <w:szCs w:val="20"/>
          <w:lang w:val="en-GB"/>
        </w:rPr>
        <w:t xml:space="preserve">: The private ordering initiatives by platform actors, including content moderation and related measures like blocking accounts, should respect the rights of their users enshrined in the Convention and particularly the right to freedom of expression of its users guaranteed by Article 10 of the Convention. At the same time, platforms’ duty of care should be proportionate to their size, market share and impact in order not to overburden micro and small actors while taking into account the responsibility of dominant ones, preventing both excessive or insufficient content moderation practices. Any restriction of content should be carried out using the least restrictive technical means and should be limited in scope and duration to what is strictly necessary to avoid unjustified restrictions or removal of legal content. Platforms should thus carefully assess the human rights impact of their governance efforts. While acknowledging differences of interests and values between globally operating platforms and States, there is a need for making content moderation compatible with Council of Europe standards and values including the rule of law principle. </w:t>
      </w:r>
    </w:p>
    <w:p w14:paraId="26CB3E8E" w14:textId="086CE096" w:rsidR="003B78B5" w:rsidRDefault="003B78B5">
      <w:pPr>
        <w:rPr>
          <w:rFonts w:eastAsia="Arial" w:cs="Arial"/>
          <w:szCs w:val="20"/>
        </w:rPr>
      </w:pPr>
      <w:r>
        <w:rPr>
          <w:rFonts w:eastAsia="Arial" w:cs="Arial"/>
          <w:szCs w:val="20"/>
        </w:rPr>
        <w:br w:type="page"/>
      </w:r>
    </w:p>
    <w:p w14:paraId="53F0A27F"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357C412" w14:textId="5E2B958E"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Key principles for content moderation by platforms</w:t>
      </w:r>
      <w:r w:rsidRPr="001C5160">
        <w:rPr>
          <w:rFonts w:ascii="Arial" w:eastAsia="Arial" w:hAnsi="Arial" w:cs="Arial"/>
          <w:sz w:val="20"/>
          <w:szCs w:val="20"/>
          <w:lang w:val="en-GB"/>
        </w:rPr>
        <w:t>: Platforms should provide business users, end users and the public with clear information about their content restriction policies, including those pertaining to legal but harmful content, and about the use, nature and functionality of algorithmic systems used for this purpose. When they flag, deprioritise, remove or restrict access to content, they should do so in a transparent and non-discriminatory manner in line with pre-defined procedures. Staff engaged in content moderation should be given adequate training and appropriate working conditions, including sufficient time for assessing content and opportunities to seek support. Furthermore, platforms should take into account the limits of algorithmic systems, which may be over-restrictive or too lenient because they are unable to assess context. Platforms should also acknowledge the effect that such algorithmic systems may have on public debate and human rights. The private ordering initiatives of platform actors should comply with appropriate procedural principles contained in the Recommendation. They should ensure the transparency of the moderation of illegal and legal but harmful content, easily understandable language in content-related policies, contestability of decisions and the provision of information to the public about the number and types of complaints, take-down notices and the results of content moderation. Contestability of decisions means that, when content is moderated or accounts are blocked, business users or end users are notified and have easy and affordable access to effective redress mechanisms which should ensure independent oversight through out-of-court redress mechanisms by independent bodies as well as judicial review. Platforms have to provide information about their policies and redress mechanisms in an easily accessible manner and clear terms including advance information on the standards and procedures according to which contestations will be dealt with.</w:t>
      </w:r>
    </w:p>
    <w:p w14:paraId="4915411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909E360" w14:textId="4F6FD37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States’ role in content moderation and service design</w:t>
      </w:r>
      <w:r w:rsidRPr="001C5160">
        <w:rPr>
          <w:rFonts w:ascii="Arial" w:eastAsia="Arial" w:hAnsi="Arial" w:cs="Arial"/>
          <w:sz w:val="20"/>
          <w:szCs w:val="20"/>
          <w:lang w:val="en-GB"/>
        </w:rPr>
        <w:t>: Content moderation by platforms has limitations, warranting additional forms of governance. In their procedures and remedies, States should clearly distinguish between illegal content and legal but harmful content which is in principle protected by Article 10 of the Convention. On the one hand, States should clearly define illegal content in the applicable legislative framework and require platforms to remove such illegal content. On the other hand, while respecting the requirements of Article 10, States should address legal but harmful content and services by appropriate measures that apply primarily to the process of content moderation by platforms and to service design. In their response to the risks caused by content disseminated via platforms, States should– in cooperation with each other, with platforms and civil society organisations – develop a co-regulatory framework and redefine the responsibility of platforms. This includes, besides resolving the question of liability for specific cases, developing a more general enhanced standard of responsibility that places duty of care obligations on platforms following a risk-based approach. In particular, such duty of care obligations should account for the need for protection of especially vulnerable subjects such as minors. Moreover, States should stipulate reporting duties on content moderation to independent media and/or platform regulatory authorities or other designated bodies entrusted with maintaining and promoting pluralism and diversity in the public sphere. Obligations should be proportionate to a platform’s size, market share and impact so as not to overburden micro and small actors while taking into account the responsibility of dominant ones. In any case, it is of utmost importance that human rights and fundamental freedoms, including the freedom of expression and information, are not violated and that States’ involvement in co-regulation complies with Council of Europe standards and values, including the requirements set out in Article 10, paragraph 2, of the Convention and the standards that stem from the relevant case law of the European Court of Human Rights.</w:t>
      </w:r>
    </w:p>
    <w:p w14:paraId="1011807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B647EAA" w14:textId="0A78FF3D"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Moderation concerning media content on platforms</w:t>
      </w:r>
      <w:r w:rsidRPr="001C5160">
        <w:rPr>
          <w:rFonts w:ascii="Arial" w:eastAsia="Arial" w:hAnsi="Arial" w:cs="Arial"/>
          <w:sz w:val="20"/>
          <w:szCs w:val="20"/>
          <w:lang w:val="en-GB"/>
        </w:rPr>
        <w:t xml:space="preserve">: Content moderation by platforms potentially conflicts with the media’s editorial decisions and their content’s integrity. Content produced by the media is already subject to editorial standards or even to regulatory requirements and independent oversight. Platforms should thus not interfere with media content and refrain from overwriting editorial standards and regulatory requirements with their own terms of service agreements or community standards, insofar as the media content concerned complies with Council of Europe standards and values. To this end, platforms should put the necessary organizational and technical measures in place. </w:t>
      </w:r>
    </w:p>
    <w:p w14:paraId="5EE483A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3DF9901"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Mitigating the effects of disinformation</w:t>
      </w:r>
      <w:r w:rsidRPr="001C5160">
        <w:rPr>
          <w:rFonts w:ascii="Arial" w:eastAsia="Arial" w:hAnsi="Arial" w:cs="Arial"/>
          <w:sz w:val="20"/>
          <w:szCs w:val="20"/>
          <w:lang w:val="en-GB"/>
        </w:rPr>
        <w:t xml:space="preserve">: The challenges of disinformation campaigns and of the difficulty to distinguish between journalism, commercial communication and political advertising can also be mitigated by other measures than content moderation. First, States, public and private sector actors, and civil society should cooperate to strengthen users’ media and information literacy, as detailed in Principle 15. Secondly, States should ensure that the identity of actors behind and the sources of funding of commercial and political advertising on platforms is made transparent. States should also consider </w:t>
      </w:r>
    </w:p>
    <w:p w14:paraId="2F551FF7" w14:textId="77777777" w:rsidR="003B78B5" w:rsidRDefault="003B78B5">
      <w:pPr>
        <w:rPr>
          <w:rFonts w:eastAsia="Arial" w:cs="Arial"/>
          <w:szCs w:val="20"/>
        </w:rPr>
      </w:pPr>
      <w:r>
        <w:rPr>
          <w:rFonts w:eastAsia="Arial" w:cs="Arial"/>
          <w:szCs w:val="20"/>
        </w:rPr>
        <w:br w:type="page"/>
      </w:r>
    </w:p>
    <w:p w14:paraId="03426FAF"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395C20B7" w14:textId="6FB80FC8" w:rsidR="005F63A2" w:rsidRDefault="005F63A2" w:rsidP="003B78B5">
      <w:pPr>
        <w:pStyle w:val="ListParagraph"/>
        <w:spacing w:line="240" w:lineRule="auto"/>
        <w:ind w:left="0"/>
        <w:jc w:val="left"/>
        <w:rPr>
          <w:rFonts w:ascii="Arial" w:eastAsia="Arial" w:hAnsi="Arial" w:cs="Arial"/>
          <w:sz w:val="20"/>
          <w:szCs w:val="20"/>
          <w:lang w:val="en-GB"/>
        </w:rPr>
      </w:pPr>
      <w:r w:rsidRPr="001C5160">
        <w:rPr>
          <w:rFonts w:ascii="Arial" w:eastAsia="Arial" w:hAnsi="Arial" w:cs="Arial"/>
          <w:sz w:val="20"/>
          <w:szCs w:val="20"/>
          <w:lang w:val="en-GB"/>
        </w:rPr>
        <w:t>transparency requirements and limits for the contributions made to political actors and the expenditure made by political actors in relation to elections, referenda and popular vote campaigns. Platforms should also commit to improving the transparency of political advertising, including its sources of funding. Thirdly, States should encourage open, independent, transparent, non-biased and participatory initiatives to identify reliable content. Platforms, the media, civil society and other relevant stakeholders like fact-checking initiatives should collaborate to develop criteria for assessing the credibility, relevance and diversity of journalistic content, complying with appropriate procedural principles contained in the Recommendation. Platforms are expected to make transparent use of those criteria for the indexation of content by labelling reliable sources such as professional news organisations that uphold professional standards without discriminating based on viewpoint. Such efforts to identify reliable content should be subject to independent review and offer effective redress mechanisms. Lastly, platforms are expected to label so-called social bots or automated accounts.</w:t>
      </w:r>
    </w:p>
    <w:p w14:paraId="0F7BD6E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E5FE7F8" w14:textId="1D8E2BDD"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41" w:name="_ML_000000000042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"https://search.coe.int/cm/Pages/result_details.aspx?Reference=CM/Rec(2012)4" \o "Recommendation of the Committee of Ministers to member States on the protection of human rights with regard to social networking services (Adopted by the Committee of Ministers on 4 April 2012 at the 1139th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1"/>
      <w:r w:rsidR="00AF3009" w:rsidRPr="00AF3009">
        <w:rPr>
          <w:rStyle w:val="Hyperlink"/>
          <w:rFonts w:ascii="Arial" w:eastAsia="Arial" w:hAnsi="Arial" w:cs="Arial"/>
          <w:sz w:val="20"/>
          <w:szCs w:val="20"/>
          <w:lang w:val="en-GB"/>
        </w:rPr>
        <w:t>CM/Rec(2012)4</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human rights with regard to social networking services, </w:t>
      </w:r>
      <w:bookmarkStart w:id="42" w:name="_ML_000000000043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2"/>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and the 2019 Declaration on the financial sustainability of quality journalism in the digital age provide further guidance.</w:t>
      </w:r>
    </w:p>
    <w:p w14:paraId="6052E69D" w14:textId="77777777" w:rsidR="005F63A2" w:rsidRPr="001C5160" w:rsidRDefault="005F63A2" w:rsidP="005F63A2">
      <w:pPr>
        <w:rPr>
          <w:rFonts w:eastAsia="Arial" w:cs="Arial"/>
          <w:szCs w:val="20"/>
        </w:rPr>
      </w:pPr>
    </w:p>
    <w:p w14:paraId="676606D9" w14:textId="1CF0F893"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 xml:space="preserve">Mitigating the risks posed by algorithmic curation, selection and prioritisation </w:t>
      </w:r>
    </w:p>
    <w:p w14:paraId="637CD4E6"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5021AFA9" w14:textId="77777777" w:rsidR="005F63A2" w:rsidRPr="002B737D" w:rsidRDefault="005F63A2" w:rsidP="005F63A2">
      <w:pPr>
        <w:pStyle w:val="FramedPrinciple"/>
        <w:spacing w:before="0" w:after="0" w:line="240" w:lineRule="auto"/>
        <w:jc w:val="left"/>
        <w:rPr>
          <w:rFonts w:ascii="Arial" w:hAnsi="Arial"/>
        </w:rPr>
      </w:pPr>
      <w:r w:rsidRPr="002B737D">
        <w:rPr>
          <w:rFonts w:ascii="Arial" w:hAnsi="Arial"/>
        </w:rPr>
        <w:t>Media and communication governance should aim to mitigate the risks to the safeguarding of human rights and the democratic process posed by algorithmic curation, selection and prioritisation. This includes respecting human rights and fundamental freedoms in the design, development and ongoing deployment of algorithmic systems used for content dissemination. It also involves enhancing the transparency and explainability of such algorithmic systems as well as the accountability of those developing and implementing them, and taking measures to enhance exposure diversity, such as encouraging platforms to offer alternative forms of personalisation compatible with the public interest as well as strengthening the role of public service media in offering personalised services.</w:t>
      </w:r>
    </w:p>
    <w:p w14:paraId="76D26794"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375CD7C3" w14:textId="00DC9779"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Background</w:t>
      </w:r>
      <w:r w:rsidRPr="001C5160">
        <w:rPr>
          <w:rFonts w:ascii="Arial" w:eastAsia="Arial" w:hAnsi="Arial" w:cs="Arial"/>
          <w:sz w:val="20"/>
          <w:szCs w:val="20"/>
          <w:lang w:val="en-GB"/>
        </w:rPr>
        <w:t>: Platforms exert an influence on communication in the public sphere not only through content moderation, but even more profoundly through their control over the availability, findability and accessibility of content produced by the media (especially relevant for journalism) and other sources. As a consequence, the media have become dependent on platforms. Even if indifferent towards content, platforms are not neutral in that they play a curatorial or editorial-like role, including through the use of algorithmic systems. Based on the systematic collection, aggregation and analysis of users’ personal and non-personal data, algorithmic curation, selection, and prioritisation, sometimes in combination with human decision-making, allows for the personalisation of search results, newsfeeds, and recommended content. Moreover, the media also make use of algorithmic systems for personalisation. Such personalisation, while useful and necessary for navigating a vast amount of information, also poses severe challenges. First, algorithmic systems often lack transparency. Even their designers or operators may not know what information the system relies upon to make its decisions and will encounter uncertainty about its effects. Second, algorithmic systems may be biased due to their programming and due to the quality, nature, and origin of the data they use, potentially leading to the reinforcement of existing forms of discrimination, not least based on gender and ethnicity. Third, the curation and selection of content is also subject to commercial and potentially political interests of the media and platforms. The latter’s business model of collecting, aggregating and analysing data to sell advertising means that algorithmic systems of platforms are designed for maximum engagement of target audiences with little consideration for the public interest, inevitably prioritising certain values over others. This potentially restricts the diversity of sources and content, including journalism, that individuals are exposed to and shapes the context in which they process information and make decisions.</w:t>
      </w:r>
    </w:p>
    <w:p w14:paraId="29ABB66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BCD80C7" w14:textId="77777777" w:rsidR="003B78B5"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Human rights compliance of algorithmic systems for content dissemination</w:t>
      </w:r>
      <w:r w:rsidRPr="001C5160">
        <w:rPr>
          <w:rFonts w:ascii="Arial" w:eastAsia="Arial" w:hAnsi="Arial" w:cs="Arial"/>
          <w:sz w:val="20"/>
          <w:szCs w:val="20"/>
          <w:lang w:val="en-GB"/>
        </w:rPr>
        <w:t xml:space="preserve">: States should ensure that the design, development, and ongoing deployment of algorithmic systems for content dissemination by the media and platforms comply with applicable laws and that the media and platforms fulfil their responsibilities to respect human rights and fundamental freedoms. The media and platforms have a responsibility to respect the human rights of their users and of all affected parties. They should exercise due diligence in respect of human rights and fundamental freedoms in the design, development, and ongoing deployment of algorithmic systems for content dissemination and should thus carefully assess </w:t>
      </w:r>
    </w:p>
    <w:p w14:paraId="6889E1D4" w14:textId="77777777" w:rsidR="003B78B5" w:rsidRDefault="003B78B5">
      <w:pPr>
        <w:rPr>
          <w:rFonts w:eastAsia="Arial" w:cs="Arial"/>
          <w:szCs w:val="20"/>
        </w:rPr>
      </w:pPr>
      <w:r>
        <w:rPr>
          <w:rFonts w:eastAsia="Arial" w:cs="Arial"/>
          <w:szCs w:val="20"/>
        </w:rPr>
        <w:br w:type="page"/>
      </w:r>
    </w:p>
    <w:p w14:paraId="58B14CAB" w14:textId="77777777" w:rsidR="003B78B5" w:rsidRDefault="003B78B5" w:rsidP="003B78B5">
      <w:pPr>
        <w:pStyle w:val="ListParagraph"/>
        <w:spacing w:line="240" w:lineRule="auto"/>
        <w:ind w:left="0"/>
        <w:jc w:val="left"/>
        <w:rPr>
          <w:rFonts w:ascii="Arial" w:eastAsia="Arial" w:hAnsi="Arial" w:cs="Arial"/>
          <w:sz w:val="20"/>
          <w:szCs w:val="20"/>
          <w:lang w:val="en-GB"/>
        </w:rPr>
      </w:pPr>
    </w:p>
    <w:p w14:paraId="7FCE26DB" w14:textId="0CA95F14" w:rsidR="005F63A2" w:rsidRDefault="005F63A2" w:rsidP="003B78B5">
      <w:pPr>
        <w:pStyle w:val="ListParagraph"/>
        <w:spacing w:line="240" w:lineRule="auto"/>
        <w:ind w:left="0"/>
        <w:jc w:val="left"/>
        <w:rPr>
          <w:rFonts w:ascii="Arial" w:eastAsia="Arial" w:hAnsi="Arial" w:cs="Arial"/>
          <w:sz w:val="20"/>
          <w:szCs w:val="20"/>
          <w:lang w:val="en-GB"/>
        </w:rPr>
      </w:pPr>
      <w:r w:rsidRPr="001C5160">
        <w:rPr>
          <w:rFonts w:ascii="Arial" w:eastAsia="Arial" w:hAnsi="Arial" w:cs="Arial"/>
          <w:sz w:val="20"/>
          <w:szCs w:val="20"/>
          <w:lang w:val="en-GB"/>
        </w:rPr>
        <w:t xml:space="preserve">the human rights impact of their algorithmic systems used for the curation and selection of content. In particular, the criteria by which platforms curate, select and prioritise content and thus influence the visibility and accessibility of journalism and other media content, need to be applied in line with Article 10 of the Convention, as well as the right to private life and data protection in terms of Article 8 of the Convention. Furthermore, these criteria should fully comply with the right to non-discrimination in terms of Article 14 of the Convention in order not to prevent access to legal journalistic content based merely on its political or other opinion or on the form of expression, and to stimulate exposure diversity. </w:t>
      </w:r>
    </w:p>
    <w:p w14:paraId="12B629C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2B5A9A7" w14:textId="716DB22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Transparency, explainability and accountability of algorithmic systems for content dissemination</w:t>
      </w:r>
      <w:r w:rsidRPr="001C5160">
        <w:rPr>
          <w:rFonts w:ascii="Arial" w:eastAsia="Arial" w:hAnsi="Arial" w:cs="Arial"/>
          <w:sz w:val="20"/>
          <w:szCs w:val="20"/>
          <w:lang w:val="en-GB"/>
        </w:rPr>
        <w:t xml:space="preserve">: States should also require the media and platforms to enhance the transparency, explainability and accountability of algorithmic systems for content dissemination, including information about potential bias, and to clearly label political and commercial influences. Such obligations should be proportionate to their size, market share and impact in order not to overburden micro and small actors while taking into account the responsibility of dominant ones. The media and platforms should themselves also commit to enhancing the transparency, accountability and explainability of algorithmic systems used for personalising content and inform about their use, nature, purpose, and functionality. This includes, proportionate to their size, market share and impact, providing users and the public meaningful and understandable information on which data is being processed, which criteria are used, and why certain content was selected, helping them understand that prioritisation may be the result of commercial and/or political considerations rather than the public interest. In this regard, the algorithmic curation of public debates about media and communication governance should remain unbiased from the private interests of the media and platforms. In the interests of transparency and accountability towards the public, platforms are also encouraged to cooperate with the research community and journalists reporting on the above-mentioned processes and provide access to relevant anonymised datasets. Moreover, platforms should comply with appropriate procedural principles contained in the Recommendation, including impartial and independent review mechanisms that are easily available to users. </w:t>
      </w:r>
    </w:p>
    <w:p w14:paraId="18593DFE"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E3A3C84" w14:textId="32AC046D"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Independent oversight of algorithmic systems for content dissemination</w:t>
      </w:r>
      <w:r w:rsidRPr="001C5160">
        <w:rPr>
          <w:rFonts w:ascii="Arial" w:eastAsia="Arial" w:hAnsi="Arial" w:cs="Arial"/>
          <w:sz w:val="20"/>
          <w:szCs w:val="20"/>
          <w:lang w:val="en-GB"/>
        </w:rPr>
        <w:t xml:space="preserve">: To ensure that platforms fulfil their responsibilities, States are encouraged to consider and develop – in cooperation with each other, with platforms and civil society organisations – a co-regulatory framework or other appropriate and proportionate forms of risk-based governance to ensure adequate and independent democratic oversight of algorithmic systems, especially with respect to access, distribution, and prioritisation of content. Such oversight should include reporting duties on algorithmic content curation and prioritisation to the independent media and/or platform regulatory authorities or other designated bodies entrusted with maintaining and promoting pluralism and diversity in the public sphere. </w:t>
      </w:r>
    </w:p>
    <w:p w14:paraId="0C32AA8F"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B306D6C" w14:textId="0EC5E514"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Measures for enhancing exposure diversity</w:t>
      </w:r>
      <w:r w:rsidRPr="001C5160">
        <w:rPr>
          <w:rFonts w:ascii="Arial" w:eastAsia="Arial" w:hAnsi="Arial" w:cs="Arial"/>
          <w:sz w:val="20"/>
          <w:szCs w:val="20"/>
          <w:lang w:val="en-GB"/>
        </w:rPr>
        <w:t>: Such measures might not mitigate the problems created by the business model of dominant platforms and the lack of alternative services available to users. States should therefore require or encourage platforms to enhance exposure diversity by offering both opt-out from personalisation and alternative forms of personalisation compatible with the public interest that guarantee the discoverability, prioritisation and prominence of quality journalism without discriminating on the basis of content or viewpoint. Such alternative forms of personalisation should be developed collaboratively with the media, civil society, and other relevant stakeholders, complying with appropriate procedural principles contained in the Recommendation, to empower users by offering them choice, as detailed in Principle 15. Moreover, States should strengthen the role of public service media in offering personalised services. However, attempts to address algorithmic bias may not infringe human rights and fundamental freedoms, including the freedom of expression and information, and have to comply with the requirements set out in Article 10, paragraph 2, of the Convention and the standards that stem from the relevant case law of the European Court of Human Rights.</w:t>
      </w:r>
    </w:p>
    <w:p w14:paraId="58F1DB6C"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5BE27710" w14:textId="30335E72"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43" w:name="_ML_00000000004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3"/>
      <w:r w:rsidR="00AF3009" w:rsidRPr="00AF3009">
        <w:rPr>
          <w:rStyle w:val="Hyperlink"/>
          <w:rFonts w:ascii="Arial" w:eastAsia="Arial" w:hAnsi="Arial" w:cs="Arial"/>
          <w:sz w:val="20"/>
          <w:szCs w:val="20"/>
          <w:lang w:val="en-GB"/>
        </w:rPr>
        <w:t>CM/Rec(2011)7</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new notion of media, </w:t>
      </w:r>
      <w:bookmarkStart w:id="44" w:name="_ML_00000000004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"https://search.coe.int/cm/Pages/result_details.aspx?Reference=CM/Rec(2012)3" \o "Recommendation of the Committee of Ministers to member States on the protection of human rights with regard to search engines (Adopted by the Committee of Ministers on 4 April 2012 at the 1139th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4"/>
      <w:r w:rsidR="00AF3009" w:rsidRPr="00AF3009">
        <w:rPr>
          <w:rStyle w:val="Hyperlink"/>
          <w:rFonts w:ascii="Arial" w:eastAsia="Arial" w:hAnsi="Arial" w:cs="Arial"/>
          <w:sz w:val="20"/>
          <w:szCs w:val="20"/>
          <w:lang w:val="en-GB"/>
        </w:rPr>
        <w:t>CM/Rec(2012)3</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protection of human rights with regard to search engines, </w:t>
      </w:r>
      <w:bookmarkStart w:id="45" w:name="_ML_00000000004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5"/>
      <w:r w:rsidR="00AF3009" w:rsidRPr="00AF3009">
        <w:rPr>
          <w:rStyle w:val="Hyperlink"/>
          <w:rFonts w:ascii="Arial" w:eastAsia="Arial" w:hAnsi="Arial" w:cs="Arial"/>
          <w:sz w:val="20"/>
          <w:szCs w:val="20"/>
          <w:lang w:val="en-GB"/>
        </w:rPr>
        <w:t>CM/Rec(2018)1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transparency of media ownership, </w:t>
      </w:r>
      <w:bookmarkStart w:id="46" w:name="_ML_00000000004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6"/>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w:t>
      </w:r>
      <w:bookmarkStart w:id="47" w:name="_ML_000000000048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"https://search.coe.int/cm/Pages/result_details.aspx?Reference=CM/Rec(2019)1" \o "CM_Rec(2019)1E_Sexism"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7"/>
      <w:r w:rsidR="00AF3009" w:rsidRPr="00AF3009">
        <w:rPr>
          <w:rStyle w:val="Hyperlink"/>
          <w:rFonts w:ascii="Arial" w:eastAsia="Arial" w:hAnsi="Arial" w:cs="Arial"/>
          <w:sz w:val="20"/>
          <w:szCs w:val="20"/>
          <w:lang w:val="en-GB"/>
        </w:rPr>
        <w:t>CM/Rec(2019)1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preventing and combating sexism, </w:t>
      </w:r>
      <w:bookmarkStart w:id="48" w:name="_ML_000000000049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8"/>
      <w:r w:rsidR="00AF3009" w:rsidRPr="00AF3009">
        <w:rPr>
          <w:rStyle w:val="Hyperlink"/>
          <w:rFonts w:ascii="Arial" w:eastAsia="Arial" w:hAnsi="Arial" w:cs="Arial"/>
          <w:sz w:val="20"/>
          <w:szCs w:val="20"/>
          <w:lang w:val="en-GB"/>
        </w:rPr>
        <w:t>CM/Rec(2020)1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human rights impacts of algorithmic systems, as well as the 2019 Declaration on the financial sustainability of quality journalism in the digital age and the 2019 Declaration on the manipulative capabilities of algorithmic processes provide further guidance.</w:t>
      </w:r>
    </w:p>
    <w:p w14:paraId="111DB931" w14:textId="24D72420" w:rsidR="003B78B5" w:rsidRDefault="003B78B5">
      <w:pPr>
        <w:rPr>
          <w:rFonts w:eastAsia="Arial" w:cs="Arial"/>
          <w:szCs w:val="20"/>
        </w:rPr>
      </w:pPr>
      <w:r>
        <w:rPr>
          <w:rFonts w:eastAsia="Arial" w:cs="Arial"/>
          <w:szCs w:val="20"/>
        </w:rPr>
        <w:br w:type="page"/>
      </w:r>
    </w:p>
    <w:p w14:paraId="6C919798"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9FE8ECF" w14:textId="3C5657CE" w:rsidR="005F63A2" w:rsidRPr="0080571A" w:rsidRDefault="005F63A2" w:rsidP="005F63A2">
      <w:pPr>
        <w:pStyle w:val="Heading4"/>
        <w:keepLines w:val="0"/>
        <w:spacing w:before="0" w:line="240" w:lineRule="auto"/>
        <w:rPr>
          <w:rFonts w:ascii="Arial" w:eastAsia="Calibri" w:hAnsi="Arial" w:cs="Arial"/>
          <w:color w:val="auto"/>
          <w:sz w:val="20"/>
          <w:szCs w:val="20"/>
          <w:lang w:val="en-GB" w:eastAsia="en-GB"/>
        </w:rPr>
      </w:pPr>
      <w:r w:rsidRPr="0080571A">
        <w:rPr>
          <w:rFonts w:ascii="Arial" w:eastAsia="Calibri" w:hAnsi="Arial" w:cs="Arial"/>
          <w:color w:val="auto"/>
          <w:sz w:val="20"/>
          <w:szCs w:val="20"/>
          <w:lang w:val="en-GB" w:eastAsia="en-GB"/>
        </w:rPr>
        <w:t>Substantive principles regarding use</w:t>
      </w:r>
    </w:p>
    <w:p w14:paraId="57734CDB" w14:textId="77777777" w:rsidR="005F63A2" w:rsidRPr="005F63A2" w:rsidRDefault="005F63A2" w:rsidP="005F63A2">
      <w:pPr>
        <w:rPr>
          <w:lang w:eastAsia="en-GB"/>
        </w:rPr>
      </w:pPr>
    </w:p>
    <w:p w14:paraId="55B9678D" w14:textId="7D585149"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Guaranteeing human rights and fundamental freedoms in media and platform use</w:t>
      </w:r>
    </w:p>
    <w:p w14:paraId="403354A8"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44C66995" w14:textId="77777777" w:rsidR="005F63A2" w:rsidRPr="002B737D" w:rsidRDefault="005F63A2" w:rsidP="005F63A2">
      <w:pPr>
        <w:pStyle w:val="FramedPrinciple"/>
        <w:spacing w:before="0" w:after="0" w:line="240" w:lineRule="auto"/>
        <w:jc w:val="left"/>
        <w:rPr>
          <w:rFonts w:ascii="Arial" w:hAnsi="Arial"/>
        </w:rPr>
      </w:pPr>
      <w:r w:rsidRPr="002B737D">
        <w:rPr>
          <w:rFonts w:ascii="Arial" w:hAnsi="Arial"/>
        </w:rPr>
        <w:t>Media and communication governance should aim to guarantee human rights and fundamental freedoms in media and platform use, taking into account the role and increased responsibility of the media and platforms when providing a forum for public debate and political participation. This includes ensuring the availability, accessibility and affordability of content for all sections of the population while safeguarding the function of public service media in this context and universal access to the internet. It also involves supporting individuals’ enjoyment of their communication rights and participation in the public sphere, and protecting users from unjustified interference by States and those in the public and private sector. This in turn involves respect for data-protection rights and personality rights, as well as providing and informing users about affordable and effective redress mechanisms, including independent oversight.</w:t>
      </w:r>
    </w:p>
    <w:p w14:paraId="151F6B1A"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0ACD5F69" w14:textId="715C8375"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Background</w:t>
      </w:r>
      <w:r w:rsidRPr="001C5160">
        <w:rPr>
          <w:rFonts w:ascii="Arial" w:eastAsia="Arial" w:hAnsi="Arial" w:cs="Arial"/>
          <w:sz w:val="20"/>
          <w:szCs w:val="20"/>
          <w:lang w:val="en-GB"/>
        </w:rPr>
        <w:t xml:space="preserve">: Considering the role that the media and platforms play in providing a forum for public debate and political participation in a digital environment, it is important that their users can fully enjoy in an active manner their human rights and fundamental freedoms. At the same time the users have the right to be protected against harm and should be able to use the media and platforms without infringements to their human rights and fundamental freedoms even when it is difficult to understand who bears the responsibility for potential harm. Irrespective of their legitimate business interests, the media and platforms need to acknowledge their role in the upholding of the human rights of their users and therefore, proportionate to their size, market share and impact, the increased responsibility they have to safeguard human rights in that context. </w:t>
      </w:r>
    </w:p>
    <w:p w14:paraId="2E183270"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3D1F04D" w14:textId="7153B93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Inclusive and non-discriminatory access to media and communication content</w:t>
      </w:r>
      <w:r w:rsidRPr="001C5160">
        <w:rPr>
          <w:rFonts w:ascii="Arial" w:eastAsia="Arial" w:hAnsi="Arial" w:cs="Arial"/>
          <w:sz w:val="20"/>
          <w:szCs w:val="20"/>
          <w:lang w:val="en-GB"/>
        </w:rPr>
        <w:t>: States should provide a framework to guarantee that media and communication content is available, accessible, and affordable to all groups of the population without any discrimination. In that context, the role of public service media in providing access to diverse content including reliable and balanced information as well as content covering the local and regional level should be safeguarded. States should furthermore ensure universal access to the internet given its relevance for the public sphere. This also involves the availability of broadband access and other recent technology for people in a general and non-discriminatory way to avoid any digital divide.</w:t>
      </w:r>
    </w:p>
    <w:p w14:paraId="33F48A15"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7FC7372" w14:textId="47621614"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2B737D">
        <w:rPr>
          <w:rFonts w:ascii="Arial" w:eastAsia="Arial" w:hAnsi="Arial" w:cs="Arial"/>
          <w:b/>
          <w:bCs/>
          <w:sz w:val="20"/>
          <w:szCs w:val="20"/>
          <w:lang w:val="en-GB"/>
        </w:rPr>
        <w:t>Individuals’ communication rights and participation in the public sphere</w:t>
      </w:r>
      <w:r w:rsidRPr="001C5160">
        <w:rPr>
          <w:rFonts w:ascii="Arial" w:eastAsia="Arial" w:hAnsi="Arial" w:cs="Arial"/>
          <w:sz w:val="20"/>
          <w:szCs w:val="20"/>
          <w:lang w:val="en-GB"/>
        </w:rPr>
        <w:t xml:space="preserve">: States should ensure that individuals can fully enjoy their communication rights and actively take part in the public sphere, without having to fear intimidation against which there are no adequate remedies. Communication rights, beyond access and availability, include dialogical rights for individuals to use the media and platforms to make themselves heard as equals. On the one hand, this requires the availability of public spaces for engaging in dialogue, i.e., having the possibility to make use of the media and platforms without unjustified restrictions of the rights stemming from Article 10 of the Convention. In principle, it should be possible for individuals to remain anonymous, notwithstanding justified identifiability requests in case of violations of rights. On the other hand, dialogical rights require providing the users opportunities to participate in the management and governance of media and platforms. Media and information literacy plays an important role in making the users aware of these opportunities and empowering them to fully make use of them. </w:t>
      </w:r>
    </w:p>
    <w:p w14:paraId="18F5DDE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AE59C1B" w14:textId="2B4F8CB7"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376FD4">
        <w:rPr>
          <w:rFonts w:ascii="Arial" w:eastAsia="Arial" w:hAnsi="Arial" w:cs="Arial"/>
          <w:b/>
          <w:bCs/>
          <w:sz w:val="20"/>
          <w:szCs w:val="20"/>
          <w:lang w:val="en-GB"/>
        </w:rPr>
        <w:t>Protection of individuals against unjustified interference</w:t>
      </w:r>
      <w:r w:rsidRPr="001C5160">
        <w:rPr>
          <w:rFonts w:ascii="Arial" w:eastAsia="Arial" w:hAnsi="Arial" w:cs="Arial"/>
          <w:sz w:val="20"/>
          <w:szCs w:val="20"/>
          <w:lang w:val="en-GB"/>
        </w:rPr>
        <w:t xml:space="preserve">: Neither States nor public or private sector actors should interfere in an unjustified manner with individuals’ rights and States need to guarantee this. The use of platforms for the consumption of media and communication content in particular brings with it potential infringements of human rights and fundamental freedoms of the users, over and above their freedom of expression protected by Article 10 of the Convention. The right to private life including the right to data protection as laid down in Article 8 of the Convention and interpreted by the European Court of Human Rights can be especially affected by the collection, generation, retention, and processing of data by the media, platforms, and other service providers. Therefore, there must be compliance with obligations stemming from specific data protection rules as well as a transparent explanation of the use of data by the media and platforms, especially when resorting to algorithmic systems. </w:t>
      </w:r>
    </w:p>
    <w:p w14:paraId="25D60420" w14:textId="1FDC2AD9" w:rsidR="003B78B5" w:rsidRDefault="003B78B5">
      <w:pPr>
        <w:rPr>
          <w:rFonts w:eastAsia="Arial" w:cs="Arial"/>
          <w:szCs w:val="20"/>
        </w:rPr>
      </w:pPr>
      <w:r>
        <w:rPr>
          <w:rFonts w:eastAsia="Arial" w:cs="Arial"/>
          <w:szCs w:val="20"/>
        </w:rPr>
        <w:br w:type="page"/>
      </w:r>
    </w:p>
    <w:p w14:paraId="5C648AF1"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5A27A6B" w14:textId="1E690995"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376FD4">
        <w:rPr>
          <w:rFonts w:ascii="Arial" w:eastAsia="Arial" w:hAnsi="Arial" w:cs="Arial"/>
          <w:b/>
          <w:bCs/>
          <w:sz w:val="20"/>
          <w:szCs w:val="20"/>
          <w:lang w:val="en-GB"/>
        </w:rPr>
        <w:t>Protection of individuals’ personality rights</w:t>
      </w:r>
      <w:r w:rsidRPr="001C5160">
        <w:rPr>
          <w:rFonts w:ascii="Arial" w:eastAsia="Arial" w:hAnsi="Arial" w:cs="Arial"/>
          <w:sz w:val="20"/>
          <w:szCs w:val="20"/>
          <w:lang w:val="en-GB"/>
        </w:rPr>
        <w:t>: Users additionally need to be protected effectively against violations of their personality rights by private sector actors or other individuals. The media and platforms should refrain from intentionally disclosing private information or enabling such disclosure when there is no public interest and the aim is to damage the individuals concerned. Platforms need to arrange for measures to ensure that the use of communication exchange fora complies with the rights of third persons and States’ regulatory frameworks. Most importantly, such measures have to include prohibitions of content violating rights of individuals. However, when platforms apply content moderation that goes beyond the prohibition of illegal content, whether they are taken with a view of protecting individuals against legal but harmful content, their personality rights or more generally consumers from exposure to certain types or amount of content, they should follow a risk-based approach that carefully balances moderation with freedom of expression and information. Additionally, until there is a more harmonised international standard of illegal content as well as of legal but harmful content, this lack of common standards may impede the possibility for users to seek protection which should be considered in the creation of redress mechanisms. States should support efforts to develop such international standards in adequate fora and especially in the Council of Europe.</w:t>
      </w:r>
    </w:p>
    <w:p w14:paraId="3EA15752"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753F4711" w14:textId="4E9FB57C"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376FD4">
        <w:rPr>
          <w:rFonts w:ascii="Arial" w:eastAsia="Arial" w:hAnsi="Arial" w:cs="Arial"/>
          <w:b/>
          <w:bCs/>
          <w:sz w:val="20"/>
          <w:szCs w:val="20"/>
          <w:lang w:val="en-GB"/>
        </w:rPr>
        <w:t>Effective remedies for users of the media and platforms</w:t>
      </w:r>
      <w:r w:rsidRPr="001C5160">
        <w:rPr>
          <w:rFonts w:ascii="Arial" w:eastAsia="Arial" w:hAnsi="Arial" w:cs="Arial"/>
          <w:sz w:val="20"/>
          <w:szCs w:val="20"/>
          <w:lang w:val="en-GB"/>
        </w:rPr>
        <w:t xml:space="preserve">: It is essential that users have information about and easy access to affordable and effective remedies in case of assumed violation of their rights in accordance with Article 13 of the Convention. These violations can derive from the application of terms and conditions and other actions taken by private sector actors, but also by state action or lack of action. Therefore, remedies should include out-of-court redress mechanisms as well as judicial review, as detailed in Principle 12. Initial steps before a formal complaint should also be possible by simple reporting and content flagging. Platforms should follow due process requirements so that users can defend their position, including the notification of any restrictive measures taken, such as content moderation or blocking of user accounts. Although industry self-regulation or individual private ordering initiatives can help to swiftly and efficiently respond in the interest of the affected users to any violations caused by media content or content disseminated by platforms, ultimately the obligation to protect users’ human rights lies with States. Regulatory frameworks therefore need, at the very least, to include oversight mechanisms to ensure compliance by private sector actors. </w:t>
      </w:r>
    </w:p>
    <w:p w14:paraId="448E8402"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7963C1B" w14:textId="7C562D3E" w:rsidR="005F63A2" w:rsidRPr="001C5160"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376FD4">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49" w:name="_ML_000000000050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"https://search.coe.int/cm/Pages/result_details.aspx?Reference=CM/Rec(2007)16" \o "Recommendation of the Committee of Ministers to member states on measures to promote the public service value of the Internet (Adopted by the Committee of Ministers on 7 November 2007 at the 1010th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49"/>
      <w:r w:rsidR="00AF3009" w:rsidRPr="00AF3009">
        <w:rPr>
          <w:rStyle w:val="Hyperlink"/>
          <w:rFonts w:ascii="Arial" w:eastAsia="Arial" w:hAnsi="Arial" w:cs="Arial"/>
          <w:sz w:val="20"/>
          <w:szCs w:val="20"/>
          <w:lang w:val="en-GB"/>
        </w:rPr>
        <w:t>CM/Rec(2007)16</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measures to promote the public service value of the Internet, </w:t>
      </w:r>
      <w:bookmarkStart w:id="50" w:name="_ML_000000000051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"https://search.coe.int/cm/Pages/result_details.aspx?Reference=CM/Rec(2014)6" \o "Recommendation of the Committee of Ministers to member States on a Guide to human rights for Internet users (Adopted by the Committee of Ministers on 16 April 2014 at the 1197th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0"/>
      <w:r w:rsidR="00AF3009" w:rsidRPr="00AF3009">
        <w:rPr>
          <w:rStyle w:val="Hyperlink"/>
          <w:rFonts w:ascii="Arial" w:eastAsia="Arial" w:hAnsi="Arial" w:cs="Arial"/>
          <w:sz w:val="20"/>
          <w:szCs w:val="20"/>
          <w:lang w:val="en-GB"/>
        </w:rPr>
        <w:t>CM/Rec(2014)6</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Guide to human rights for Internet users, </w:t>
      </w:r>
      <w:bookmarkStart w:id="51" w:name="_ML_000000000052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"https://search.coe.int/cm/Pages/result_details.aspx?Reference=CM/Rec(2016)5" \o "Recommendation of the Committee of Ministers to member States on Internet freedom (Adopted by the Committee of Ministers on 13 April 2016 at the 1253rd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1"/>
      <w:r w:rsidR="00AF3009" w:rsidRPr="00AF3009">
        <w:rPr>
          <w:rStyle w:val="Hyperlink"/>
          <w:rFonts w:ascii="Arial" w:eastAsia="Arial" w:hAnsi="Arial" w:cs="Arial"/>
          <w:sz w:val="20"/>
          <w:szCs w:val="20"/>
          <w:lang w:val="en-GB"/>
        </w:rPr>
        <w:t>CM/Rec(2016)5</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Internet freedom and </w:t>
      </w:r>
      <w:bookmarkStart w:id="52" w:name="_ML_000000000053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2"/>
      <w:r w:rsidR="00AF3009" w:rsidRPr="00AF3009">
        <w:rPr>
          <w:rStyle w:val="Hyperlink"/>
          <w:rFonts w:ascii="Arial" w:eastAsia="Arial" w:hAnsi="Arial" w:cs="Arial"/>
          <w:sz w:val="20"/>
          <w:szCs w:val="20"/>
          <w:lang w:val="en-GB"/>
        </w:rPr>
        <w:t>CM/Rec(2018)2</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the roles and responsibilities of internet intermediaries as well as the 2011 Declaration on Internet governance principles provide further guidance.</w:t>
      </w:r>
    </w:p>
    <w:p w14:paraId="798CA50E" w14:textId="77777777" w:rsidR="005F63A2" w:rsidRPr="001C5160" w:rsidRDefault="005F63A2" w:rsidP="005F63A2">
      <w:pPr>
        <w:rPr>
          <w:rFonts w:eastAsia="Arial" w:cs="Arial"/>
          <w:szCs w:val="20"/>
        </w:rPr>
      </w:pPr>
    </w:p>
    <w:p w14:paraId="23A514B5" w14:textId="2A6B1420" w:rsidR="005F63A2" w:rsidRDefault="005F63A2" w:rsidP="005F63A2">
      <w:pPr>
        <w:pStyle w:val="ListParagraph"/>
        <w:numPr>
          <w:ilvl w:val="0"/>
          <w:numId w:val="1"/>
        </w:numPr>
        <w:spacing w:line="240" w:lineRule="auto"/>
        <w:ind w:left="0" w:firstLine="0"/>
        <w:jc w:val="left"/>
        <w:rPr>
          <w:rFonts w:ascii="Arial" w:hAnsi="Arial" w:cs="Arial"/>
          <w:b/>
          <w:sz w:val="20"/>
          <w:szCs w:val="20"/>
          <w:lang w:val="en-GB" w:eastAsia="en-GB"/>
        </w:rPr>
      </w:pPr>
      <w:r w:rsidRPr="000A7651">
        <w:rPr>
          <w:rFonts w:ascii="Arial" w:hAnsi="Arial" w:cs="Arial"/>
          <w:b/>
          <w:sz w:val="20"/>
          <w:szCs w:val="20"/>
          <w:lang w:val="en-GB" w:eastAsia="en-GB"/>
        </w:rPr>
        <w:t xml:space="preserve">Empowering users and encouraging responsible use </w:t>
      </w:r>
    </w:p>
    <w:p w14:paraId="68EFC978" w14:textId="77777777" w:rsidR="005F63A2" w:rsidRPr="000A7651" w:rsidRDefault="005F63A2" w:rsidP="005F63A2">
      <w:pPr>
        <w:pStyle w:val="ListParagraph"/>
        <w:spacing w:line="240" w:lineRule="auto"/>
        <w:ind w:left="0"/>
        <w:jc w:val="left"/>
        <w:rPr>
          <w:rFonts w:ascii="Arial" w:hAnsi="Arial" w:cs="Arial"/>
          <w:b/>
          <w:sz w:val="20"/>
          <w:szCs w:val="20"/>
          <w:lang w:val="en-GB" w:eastAsia="en-GB"/>
        </w:rPr>
      </w:pPr>
    </w:p>
    <w:p w14:paraId="0F1818BB" w14:textId="77777777" w:rsidR="005F63A2" w:rsidRPr="00A93431" w:rsidRDefault="005F63A2" w:rsidP="005F63A2">
      <w:pPr>
        <w:pStyle w:val="FramedPrinciple"/>
        <w:spacing w:before="0" w:after="0" w:line="240" w:lineRule="auto"/>
        <w:jc w:val="left"/>
        <w:rPr>
          <w:rFonts w:ascii="Arial" w:hAnsi="Arial"/>
        </w:rPr>
      </w:pPr>
      <w:r w:rsidRPr="00A93431">
        <w:rPr>
          <w:rFonts w:ascii="Arial" w:hAnsi="Arial"/>
        </w:rPr>
        <w:t>Media and communication governance should aim to empower users and encourage the responsible use of media and platforms, while being mindful that calling for individuals to be responsible does not discharge States, the media and platforms from their respective responsibilities as set out in this Recommendation. This includes the implementation of media and information literacy initiatives and also entails additional empowerment measures, such as labelling reliable content, ensuring the transparency of commercial content and political advertising, enhancing the transparency, accountability and explainability of algorithmic systems and introducing alternative forms of personalisation compatible with the public interest.</w:t>
      </w:r>
    </w:p>
    <w:p w14:paraId="6CE616FE" w14:textId="77777777" w:rsidR="005F63A2" w:rsidRPr="005F63A2" w:rsidRDefault="005F63A2" w:rsidP="005F63A2">
      <w:pPr>
        <w:pStyle w:val="ListParagraph"/>
        <w:spacing w:line="240" w:lineRule="auto"/>
        <w:ind w:left="0"/>
        <w:jc w:val="left"/>
        <w:rPr>
          <w:rFonts w:ascii="Arial" w:eastAsia="Arial" w:hAnsi="Arial" w:cs="Arial"/>
          <w:sz w:val="20"/>
          <w:szCs w:val="20"/>
          <w:lang w:val="en-GB"/>
        </w:rPr>
      </w:pPr>
    </w:p>
    <w:p w14:paraId="2A798185" w14:textId="520CFC58"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A93431">
        <w:rPr>
          <w:rFonts w:ascii="Arial" w:eastAsia="Arial" w:hAnsi="Arial" w:cs="Arial"/>
          <w:b/>
          <w:bCs/>
          <w:sz w:val="20"/>
          <w:szCs w:val="20"/>
          <w:lang w:val="en-GB"/>
        </w:rPr>
        <w:t>Background</w:t>
      </w:r>
      <w:r w:rsidRPr="001C5160">
        <w:rPr>
          <w:rFonts w:ascii="Arial" w:eastAsia="Arial" w:hAnsi="Arial" w:cs="Arial"/>
          <w:sz w:val="20"/>
          <w:szCs w:val="20"/>
          <w:lang w:val="en-GB"/>
        </w:rPr>
        <w:t>: The structural transformation of the public sphere opens up a plethora of new opportunities for individuals to inform, exchange and express themselves. At the same time, it has not only become more challenging for the users to understand the conditions under which content is produced and disseminated but exercising their rights enshrined in the Convention also requires additional cognitive, technical, and social skills and capabilities. Media and information literacy aims at empowering individuals to use the media and platforms in a self-determined way to access, create and/or share content that fulfils their needs and interests. In particular, media and information literacy should:</w:t>
      </w:r>
    </w:p>
    <w:p w14:paraId="57398F5D"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A6E6CCF" w14:textId="566D50DD" w:rsidR="005F63A2" w:rsidRPr="005F63A2"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C45C5C">
        <w:rPr>
          <w:rFonts w:ascii="Arial" w:eastAsia="Arial" w:hAnsi="Arial" w:cs="Arial"/>
          <w:sz w:val="20"/>
          <w:szCs w:val="20"/>
          <w:lang w:val="en-GB"/>
        </w:rPr>
        <w:t>raise individuals’ awareness of their human rights and fundamental freedoms in the public sphere,</w:t>
      </w:r>
      <w:r>
        <w:rPr>
          <w:rFonts w:ascii="Arial" w:eastAsia="Arial" w:hAnsi="Arial" w:cs="Arial"/>
          <w:sz w:val="20"/>
          <w:szCs w:val="20"/>
          <w:lang w:val="en-GB"/>
        </w:rPr>
        <w:t xml:space="preserve"> </w:t>
      </w:r>
      <w:r w:rsidRPr="00C45C5C">
        <w:rPr>
          <w:rFonts w:ascii="Arial" w:eastAsia="Arial" w:hAnsi="Arial" w:cs="Arial"/>
          <w:sz w:val="20"/>
          <w:szCs w:val="20"/>
          <w:lang w:val="en-GB"/>
        </w:rPr>
        <w:t>enable and encourage them to exercise these rights as well as to respect other people’s rights;</w:t>
      </w:r>
    </w:p>
    <w:p w14:paraId="1F630BCF" w14:textId="146CB644" w:rsidR="003B78B5"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help individuals understand the importance of freedom of expression, media freedom and pluralism for democracy and recognise the value of independent and diverse media and journalism;</w:t>
      </w:r>
    </w:p>
    <w:p w14:paraId="2998F91E" w14:textId="77777777" w:rsidR="003B78B5" w:rsidRDefault="003B78B5">
      <w:pPr>
        <w:rPr>
          <w:rFonts w:eastAsia="Arial" w:cs="Arial"/>
          <w:szCs w:val="20"/>
        </w:rPr>
      </w:pPr>
      <w:r>
        <w:rPr>
          <w:rFonts w:eastAsia="Arial" w:cs="Arial"/>
          <w:szCs w:val="20"/>
        </w:rPr>
        <w:br w:type="page"/>
      </w:r>
    </w:p>
    <w:p w14:paraId="02FBE429" w14:textId="77777777" w:rsidR="005F63A2" w:rsidRPr="001C5160" w:rsidRDefault="005F63A2" w:rsidP="003B78B5">
      <w:pPr>
        <w:pStyle w:val="ListParagraph"/>
        <w:spacing w:line="240" w:lineRule="auto"/>
        <w:ind w:left="0"/>
        <w:jc w:val="left"/>
        <w:rPr>
          <w:rFonts w:ascii="Arial" w:eastAsia="Arial" w:hAnsi="Arial" w:cs="Arial"/>
          <w:sz w:val="20"/>
          <w:szCs w:val="20"/>
          <w:lang w:val="en-GB"/>
        </w:rPr>
      </w:pPr>
    </w:p>
    <w:p w14:paraId="35C8D63F"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empower individuals to understand how communication in the public sphere is produced and disseminated by the media and platforms, including the influence of the ownership, funding, operation and governance of media and platforms on content and its selection, curation, and prioritisation (for instance through the use of algorithmic systems);</w:t>
      </w:r>
    </w:p>
    <w:p w14:paraId="74D004C0"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make decision-making processes in media and communication governance as well as possibilities to have their voices heard and participate known to individuals;</w:t>
      </w:r>
    </w:p>
    <w:p w14:paraId="6B534018"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enhance individuals’ knowledge about the collection and use of their personal data by media and platforms, including for commercial and political reasons, as well as about their rights in relation to data protection; and</w:t>
      </w:r>
    </w:p>
    <w:p w14:paraId="73CECCC8"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raise individuals’ awareness of gender inequalities in media, platforms, and the public sphere.</w:t>
      </w:r>
    </w:p>
    <w:p w14:paraId="5F92FC6E" w14:textId="77777777" w:rsidR="005F63A2" w:rsidRPr="001C5160" w:rsidRDefault="005F63A2" w:rsidP="005F63A2">
      <w:pPr>
        <w:rPr>
          <w:rFonts w:eastAsia="Arial" w:cs="Arial"/>
          <w:szCs w:val="20"/>
        </w:rPr>
      </w:pPr>
      <w:r w:rsidRPr="001C5160">
        <w:rPr>
          <w:rFonts w:eastAsia="Arial" w:cs="Arial"/>
          <w:szCs w:val="20"/>
        </w:rPr>
        <w:t>These skills and knowledge should enable individuals:</w:t>
      </w:r>
    </w:p>
    <w:p w14:paraId="24EAF7D5"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to make informed choices about which media and platforms (including their algorithmic systems) to use, and how to use them;</w:t>
      </w:r>
    </w:p>
    <w:p w14:paraId="6532611F"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 xml:space="preserve">to critically analyse the trustworthiness of sources and the accuracy of content and, thus, to recognise disinformation and be able to distinguish journalism from commercial communication and political advertising; </w:t>
      </w:r>
    </w:p>
    <w:p w14:paraId="58C4CBAF"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to communicate effectively, including by creating and publishing content;</w:t>
      </w:r>
    </w:p>
    <w:p w14:paraId="10C6E838" w14:textId="77777777" w:rsidR="005F63A2" w:rsidRPr="001C5160"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 xml:space="preserve">to promote the responsible use of personal data; </w:t>
      </w:r>
    </w:p>
    <w:p w14:paraId="39C7788C" w14:textId="7937741D" w:rsidR="005F63A2" w:rsidRDefault="005F63A2" w:rsidP="005F63A2">
      <w:pPr>
        <w:pStyle w:val="ListParagraph"/>
        <w:numPr>
          <w:ilvl w:val="0"/>
          <w:numId w:val="2"/>
        </w:numPr>
        <w:spacing w:line="240" w:lineRule="auto"/>
        <w:ind w:left="0" w:hanging="11"/>
        <w:jc w:val="left"/>
        <w:rPr>
          <w:rFonts w:ascii="Arial" w:eastAsia="Arial" w:hAnsi="Arial" w:cs="Arial"/>
          <w:sz w:val="20"/>
          <w:szCs w:val="20"/>
          <w:lang w:val="en-GB"/>
        </w:rPr>
      </w:pPr>
      <w:r w:rsidRPr="001C5160">
        <w:rPr>
          <w:rFonts w:ascii="Arial" w:eastAsia="Arial" w:hAnsi="Arial" w:cs="Arial"/>
          <w:sz w:val="20"/>
          <w:szCs w:val="20"/>
          <w:lang w:val="en-GB"/>
        </w:rPr>
        <w:t>to not only make use of governance mechanisms to challenge inappropriate content and seek redress, but also to participate in political decision-making processes and in the process of developing and enforcing media and communication governance.</w:t>
      </w:r>
    </w:p>
    <w:p w14:paraId="5F6E7BD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069A36B" w14:textId="34D4795A" w:rsidR="005F63A2" w:rsidRDefault="005F63A2" w:rsidP="005F63A2">
      <w:pPr>
        <w:rPr>
          <w:rFonts w:eastAsia="Arial" w:cs="Arial"/>
          <w:szCs w:val="20"/>
        </w:rPr>
      </w:pPr>
      <w:r w:rsidRPr="001C5160">
        <w:rPr>
          <w:rFonts w:eastAsia="Arial" w:cs="Arial"/>
          <w:szCs w:val="20"/>
        </w:rPr>
        <w:t xml:space="preserve">Media and information literacy should not be used to discredit any particular media or platforms based on viewpoint. </w:t>
      </w:r>
    </w:p>
    <w:p w14:paraId="56403B80" w14:textId="77777777" w:rsidR="005F63A2" w:rsidRPr="001C5160" w:rsidRDefault="005F63A2" w:rsidP="005F63A2">
      <w:pPr>
        <w:rPr>
          <w:rFonts w:eastAsia="Arial" w:cs="Arial"/>
          <w:szCs w:val="20"/>
        </w:rPr>
      </w:pPr>
    </w:p>
    <w:p w14:paraId="238F52AD" w14:textId="2C91B1F6"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A93431">
        <w:rPr>
          <w:rFonts w:ascii="Arial" w:eastAsia="Arial" w:hAnsi="Arial" w:cs="Arial"/>
          <w:b/>
          <w:bCs/>
          <w:sz w:val="20"/>
          <w:szCs w:val="20"/>
          <w:lang w:val="en-GB"/>
        </w:rPr>
        <w:t>Implementing media and information literacy initiatives</w:t>
      </w:r>
      <w:r w:rsidRPr="001C5160">
        <w:rPr>
          <w:rFonts w:ascii="Arial" w:eastAsia="Arial" w:hAnsi="Arial" w:cs="Arial"/>
          <w:sz w:val="20"/>
          <w:szCs w:val="20"/>
          <w:lang w:val="en-GB"/>
        </w:rPr>
        <w:t>: States should fulfil their role as enablers of individuals’ capabilities by integrating the promotion of media and information literacy, understood as part of the right to education, in their media and communication governance. They should, together with the media, platforms, providers of electronic communications networks and services, schools, civil society organisations and other relevant stakeholders, strategically coordinate, develop, adequately fund, and ensure the implementation of media and information literacy initiatives for all age groups and with particular attention to the needs of vulnerable groups and minorities as well as to the inequalities based on gender and ethnicity. To this end, States should ensure that independent media regulatory authorities or other designated bodies have the necessary responsibilities and resources. Media and information literacy initiatives should target formal and non-formal education sectors and need to be integrated in teachers’ education and further training. In addition to education institutions, the media and platforms play a critical role in promoting media and information literacy and should be encouraged by States to assume their responsibility. Public service media and community media can play a leading role in the promotion of media and information literacy. States should monitor the efforts of the media and platforms and require them to regularly report on their activities, including those to promote transparency with respect to content production and dissemination.</w:t>
      </w:r>
    </w:p>
    <w:p w14:paraId="6C64EF73"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4C638D9D" w14:textId="7742FABF"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A93431">
        <w:rPr>
          <w:rFonts w:ascii="Arial" w:eastAsia="Arial" w:hAnsi="Arial" w:cs="Arial"/>
          <w:b/>
          <w:bCs/>
          <w:sz w:val="20"/>
          <w:szCs w:val="20"/>
          <w:lang w:val="en-GB"/>
        </w:rPr>
        <w:t>Additional measures for user empowerment</w:t>
      </w:r>
      <w:r w:rsidRPr="001C5160">
        <w:rPr>
          <w:rFonts w:ascii="Arial" w:eastAsia="Arial" w:hAnsi="Arial" w:cs="Arial"/>
          <w:sz w:val="20"/>
          <w:szCs w:val="20"/>
          <w:lang w:val="en-GB"/>
        </w:rPr>
        <w:t xml:space="preserve">: Beyond media and information literacy, States can support the empowerment of users by encouraging platforms, in collaboration with the media, civil society and other relevant stakeholders, to develop labels for reliable content, to label any form of commercial communication and political advertising, and to enhance the transparency, accountability and explainability of algorithmic systems, as detailed in Principles 12 and 13. Moreover, States should encourage measures that enhance exposure diversity, for instance by expecting the media and platforms to offer opt-outs or alternative forms of personalisation compatible with the public interest, as detailed in Principle 13. </w:t>
      </w:r>
    </w:p>
    <w:p w14:paraId="5F9A67D9"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223CA6EA" w14:textId="418ED06A"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A93431">
        <w:rPr>
          <w:rFonts w:ascii="Arial" w:eastAsia="Arial" w:hAnsi="Arial" w:cs="Arial"/>
          <w:b/>
          <w:bCs/>
          <w:sz w:val="20"/>
          <w:szCs w:val="20"/>
          <w:lang w:val="en-GB"/>
        </w:rPr>
        <w:t>Supplementary nature of media and information literacy</w:t>
      </w:r>
      <w:r w:rsidRPr="001C5160">
        <w:rPr>
          <w:rFonts w:ascii="Arial" w:eastAsia="Arial" w:hAnsi="Arial" w:cs="Arial"/>
          <w:sz w:val="20"/>
          <w:szCs w:val="20"/>
          <w:lang w:val="en-GB"/>
        </w:rPr>
        <w:t xml:space="preserve">: States should be aware that media and information literacy does not render any of the media and communication governance measures detailed in other substantive principles superfluous, nor  does it relieve States, the media and platforms from their responsibility to protect and promote freedom of expression, media freedom and pluralism, or to create and maintain the structural conditions that ensure the adequate functioning of media and the public sphere for democracy. </w:t>
      </w:r>
    </w:p>
    <w:p w14:paraId="1EDE5185" w14:textId="53274A79" w:rsidR="003B78B5" w:rsidRDefault="003B78B5">
      <w:pPr>
        <w:rPr>
          <w:rFonts w:eastAsia="Arial" w:cs="Arial"/>
          <w:szCs w:val="20"/>
        </w:rPr>
      </w:pPr>
      <w:r>
        <w:rPr>
          <w:rFonts w:eastAsia="Arial" w:cs="Arial"/>
          <w:szCs w:val="20"/>
        </w:rPr>
        <w:br w:type="page"/>
      </w:r>
    </w:p>
    <w:p w14:paraId="2560DABA"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0BDC218C" w14:textId="7F1284D1" w:rsidR="005F63A2" w:rsidRDefault="005F63A2" w:rsidP="005F63A2">
      <w:pPr>
        <w:pStyle w:val="ListParagraph"/>
        <w:numPr>
          <w:ilvl w:val="1"/>
          <w:numId w:val="1"/>
        </w:numPr>
        <w:spacing w:line="240" w:lineRule="auto"/>
        <w:ind w:left="0" w:firstLine="0"/>
        <w:jc w:val="left"/>
        <w:rPr>
          <w:rFonts w:ascii="Arial" w:eastAsia="Arial" w:hAnsi="Arial" w:cs="Arial"/>
          <w:sz w:val="20"/>
          <w:szCs w:val="20"/>
          <w:lang w:val="en-GB"/>
        </w:rPr>
      </w:pPr>
      <w:r w:rsidRPr="00A93431">
        <w:rPr>
          <w:rFonts w:ascii="Arial" w:eastAsia="Arial" w:hAnsi="Arial" w:cs="Arial"/>
          <w:b/>
          <w:bCs/>
          <w:sz w:val="20"/>
          <w:szCs w:val="20"/>
          <w:lang w:val="en-GB"/>
        </w:rPr>
        <w:t>Further guidance</w:t>
      </w:r>
      <w:r w:rsidRPr="001C5160">
        <w:rPr>
          <w:rFonts w:ascii="Arial" w:eastAsia="Arial" w:hAnsi="Arial" w:cs="Arial"/>
          <w:sz w:val="20"/>
          <w:szCs w:val="20"/>
          <w:lang w:val="en-GB"/>
        </w:rPr>
        <w:t xml:space="preserve">: Recommendations </w:t>
      </w:r>
      <w:bookmarkStart w:id="53" w:name="_ML_000000000054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"https://search.coe.int/cm/Pages/result_details.aspx?Reference=CM/Rec(2007)16" \o "Recommendation of the Committee of Ministers to member states on measures to promote the public service value of the Internet (Adopted by the Committee of Ministers on 7 November 2007 at the 1010th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3"/>
      <w:r w:rsidR="00AF3009" w:rsidRPr="00AF3009">
        <w:rPr>
          <w:rStyle w:val="Hyperlink"/>
          <w:rFonts w:ascii="Arial" w:eastAsia="Arial" w:hAnsi="Arial" w:cs="Arial"/>
          <w:sz w:val="20"/>
          <w:szCs w:val="20"/>
          <w:lang w:val="en-GB"/>
        </w:rPr>
        <w:t>CM/Rec(2007)16</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measures to promote the public service value of the Internet, </w:t>
      </w:r>
      <w:bookmarkStart w:id="54" w:name="_ML_000000000055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"https://search.coe.int/cm/Pages/result_details.aspx?Reference=CM/Rec(2014)6" \o "Recommendation of the Committee of Ministers to member States on a Guide to human rights for Internet users (Adopted by the Committee of Ministers on 16 April 2014 at the 1197th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4"/>
      <w:r w:rsidR="00AF3009" w:rsidRPr="00AF3009">
        <w:rPr>
          <w:rStyle w:val="Hyperlink"/>
          <w:rFonts w:ascii="Arial" w:eastAsia="Arial" w:hAnsi="Arial" w:cs="Arial"/>
          <w:sz w:val="20"/>
          <w:szCs w:val="20"/>
          <w:lang w:val="en-GB"/>
        </w:rPr>
        <w:t>CM/Rec(2014)6</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a Guide to human rights for Internet users, </w:t>
      </w:r>
      <w:bookmarkStart w:id="55" w:name="_ML_000000000056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5"/>
      <w:r w:rsidR="00AF3009" w:rsidRPr="00AF3009">
        <w:rPr>
          <w:rStyle w:val="Hyperlink"/>
          <w:rFonts w:ascii="Arial" w:eastAsia="Arial" w:hAnsi="Arial" w:cs="Arial"/>
          <w:sz w:val="20"/>
          <w:szCs w:val="20"/>
          <w:lang w:val="en-GB"/>
        </w:rPr>
        <w:t>CM/Rec(2018)1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media pluralism and transparency of media ownership and </w:t>
      </w:r>
      <w:bookmarkStart w:id="56" w:name="_ML_000000000057_VALID"/>
      <w:r w:rsidR="00AF3009" w:rsidRPr="00AF3009">
        <w:rPr>
          <w:rFonts w:ascii="Arial" w:eastAsia="Arial" w:hAnsi="Arial" w:cs="Arial"/>
          <w:sz w:val="20"/>
          <w:szCs w:val="20"/>
          <w:lang w:val="en-GB"/>
        </w:rPr>
        <w:fldChar w:fldCharType="begin"/>
      </w:r>
      <w:r w:rsidR="00AF3009" w:rsidRPr="00AF3009">
        <w:rPr>
          <w:rFonts w:ascii="Arial" w:eastAsia="Arial" w:hAnsi="Arial" w:cs="Arial"/>
          <w:sz w:val="20"/>
          <w:szCs w:val="20"/>
          <w:lang w:val="en-GB"/>
        </w:rPr>
        <w:instrText xml:space="preserve"> HYPERLINK "https://search.coe.int/cm/Pages/result_details.aspx?Reference=CM/Rec(2019)1" \o "CM_Rec(2019)1E_Sexism" </w:instrText>
      </w:r>
      <w:r w:rsidR="00AF3009" w:rsidRPr="00AF3009">
        <w:rPr>
          <w:rFonts w:ascii="Arial" w:eastAsia="Arial" w:hAnsi="Arial" w:cs="Arial"/>
          <w:sz w:val="20"/>
          <w:szCs w:val="20"/>
          <w:lang w:val="en-GB"/>
        </w:rPr>
      </w:r>
      <w:r w:rsidR="00AF3009" w:rsidRPr="00AF3009">
        <w:rPr>
          <w:rFonts w:ascii="Arial" w:eastAsia="Arial" w:hAnsi="Arial" w:cs="Arial"/>
          <w:sz w:val="20"/>
          <w:szCs w:val="20"/>
          <w:lang w:val="en-GB"/>
        </w:rPr>
        <w:fldChar w:fldCharType="separate"/>
      </w:r>
      <w:bookmarkEnd w:id="56"/>
      <w:r w:rsidR="00AF3009" w:rsidRPr="00AF3009">
        <w:rPr>
          <w:rStyle w:val="Hyperlink"/>
          <w:rFonts w:ascii="Arial" w:eastAsia="Arial" w:hAnsi="Arial" w:cs="Arial"/>
          <w:sz w:val="20"/>
          <w:szCs w:val="20"/>
          <w:lang w:val="en-GB"/>
        </w:rPr>
        <w:t>CM/Rec(2019)1</w:t>
      </w:r>
      <w:r w:rsidR="00AF3009" w:rsidRPr="00AF3009">
        <w:rPr>
          <w:rFonts w:ascii="Arial" w:eastAsia="Arial" w:hAnsi="Arial" w:cs="Arial"/>
          <w:sz w:val="20"/>
          <w:szCs w:val="20"/>
          <w:lang w:val="en-GB"/>
        </w:rPr>
        <w:fldChar w:fldCharType="end"/>
      </w:r>
      <w:r w:rsidRPr="001C5160">
        <w:rPr>
          <w:rFonts w:ascii="Arial" w:eastAsia="Arial" w:hAnsi="Arial" w:cs="Arial"/>
          <w:sz w:val="20"/>
          <w:szCs w:val="20"/>
          <w:lang w:val="en-GB"/>
        </w:rPr>
        <w:t xml:space="preserve"> on preventing and combating sexism, as well as the 2011 Declaration on Internet governance principles and the 2019 Declaration on the manipulative capabilities of algorithmic processes provide further guidance.</w:t>
      </w:r>
    </w:p>
    <w:p w14:paraId="1D1DBE36" w14:textId="77777777" w:rsidR="005F63A2" w:rsidRPr="001C5160" w:rsidRDefault="005F63A2" w:rsidP="005F63A2">
      <w:pPr>
        <w:pStyle w:val="ListParagraph"/>
        <w:spacing w:line="240" w:lineRule="auto"/>
        <w:ind w:left="0"/>
        <w:jc w:val="left"/>
        <w:rPr>
          <w:rFonts w:ascii="Arial" w:eastAsia="Arial" w:hAnsi="Arial" w:cs="Arial"/>
          <w:sz w:val="20"/>
          <w:szCs w:val="20"/>
          <w:lang w:val="en-GB"/>
        </w:rPr>
      </w:pPr>
    </w:p>
    <w:p w14:paraId="16FFB6BA" w14:textId="324807F2" w:rsidR="005F63A2" w:rsidRDefault="005F63A2" w:rsidP="005F63A2">
      <w:pPr>
        <w:pStyle w:val="Heading2"/>
        <w:keepLines w:val="0"/>
        <w:spacing w:before="0" w:line="240" w:lineRule="auto"/>
        <w:rPr>
          <w:rFonts w:ascii="Arial" w:eastAsia="Calibri" w:hAnsi="Arial" w:cs="Arial"/>
          <w:b/>
          <w:bCs/>
          <w:color w:val="auto"/>
          <w:sz w:val="20"/>
          <w:szCs w:val="20"/>
          <w:lang w:val="en-GB" w:eastAsia="en-GB"/>
        </w:rPr>
      </w:pPr>
      <w:r w:rsidRPr="00A93431">
        <w:rPr>
          <w:rFonts w:ascii="Arial" w:eastAsia="Calibri" w:hAnsi="Arial" w:cs="Arial"/>
          <w:b/>
          <w:bCs/>
          <w:color w:val="auto"/>
          <w:sz w:val="20"/>
          <w:szCs w:val="20"/>
          <w:lang w:val="en-GB" w:eastAsia="en-GB"/>
        </w:rPr>
        <w:t>Reference instruments</w:t>
      </w:r>
    </w:p>
    <w:p w14:paraId="10659799" w14:textId="77777777" w:rsidR="005F63A2" w:rsidRPr="005F63A2" w:rsidRDefault="005F63A2" w:rsidP="005F63A2">
      <w:pPr>
        <w:rPr>
          <w:lang w:eastAsia="en-GB"/>
        </w:rPr>
      </w:pPr>
    </w:p>
    <w:p w14:paraId="6B11C041" w14:textId="1916DF55" w:rsidR="005F63A2" w:rsidRPr="00F813CE" w:rsidRDefault="005F63A2" w:rsidP="005F63A2">
      <w:pPr>
        <w:pStyle w:val="Heading3"/>
        <w:keepLines w:val="0"/>
        <w:spacing w:before="0" w:line="240" w:lineRule="auto"/>
        <w:rPr>
          <w:rFonts w:ascii="Arial" w:eastAsia="Calibri" w:hAnsi="Arial" w:cs="Arial"/>
          <w:b/>
          <w:bCs/>
          <w:i/>
          <w:iCs/>
          <w:color w:val="auto"/>
          <w:sz w:val="20"/>
          <w:szCs w:val="20"/>
          <w:lang w:val="en-GB" w:eastAsia="en-GB"/>
        </w:rPr>
      </w:pPr>
      <w:r w:rsidRPr="00F813CE">
        <w:rPr>
          <w:rFonts w:ascii="Arial" w:eastAsia="Calibri" w:hAnsi="Arial" w:cs="Arial"/>
          <w:b/>
          <w:bCs/>
          <w:i/>
          <w:iCs/>
          <w:color w:val="auto"/>
          <w:sz w:val="20"/>
          <w:szCs w:val="20"/>
          <w:lang w:val="en-GB" w:eastAsia="en-GB"/>
        </w:rPr>
        <w:t>Conventions</w:t>
      </w:r>
    </w:p>
    <w:p w14:paraId="1D827ED2" w14:textId="77777777" w:rsidR="005F63A2" w:rsidRPr="005F63A2" w:rsidRDefault="005F63A2" w:rsidP="005F63A2">
      <w:pPr>
        <w:rPr>
          <w:lang w:eastAsia="en-GB"/>
        </w:rPr>
      </w:pPr>
    </w:p>
    <w:p w14:paraId="230970C8" w14:textId="77777777" w:rsidR="005F63A2" w:rsidRPr="001C5160" w:rsidRDefault="005F63A2" w:rsidP="005F63A2">
      <w:pPr>
        <w:rPr>
          <w:rFonts w:eastAsia="Arial" w:cs="Arial"/>
          <w:szCs w:val="20"/>
        </w:rPr>
      </w:pPr>
      <w:r w:rsidRPr="001C5160">
        <w:rPr>
          <w:rFonts w:eastAsia="Arial" w:cs="Arial"/>
          <w:szCs w:val="20"/>
        </w:rPr>
        <w:t xml:space="preserve">Convention (ETS No. 5) for the Protection of Human Rights and Fundamental Freedoms </w:t>
      </w:r>
    </w:p>
    <w:p w14:paraId="3C38632D" w14:textId="77777777" w:rsidR="005F63A2" w:rsidRPr="001C5160" w:rsidRDefault="005F63A2" w:rsidP="005F63A2">
      <w:pPr>
        <w:rPr>
          <w:rFonts w:eastAsia="Arial" w:cs="Arial"/>
          <w:szCs w:val="20"/>
        </w:rPr>
      </w:pPr>
      <w:r w:rsidRPr="001C5160">
        <w:rPr>
          <w:rFonts w:eastAsia="Arial" w:cs="Arial"/>
          <w:szCs w:val="20"/>
        </w:rPr>
        <w:t>Convention (ETS No. 108) for the Protection of Individuals with regard to Automatic Processing of Personal Data (Convention 108)</w:t>
      </w:r>
    </w:p>
    <w:p w14:paraId="5A4189DE" w14:textId="77777777" w:rsidR="005F63A2" w:rsidRPr="001C5160" w:rsidRDefault="005F63A2" w:rsidP="005F63A2">
      <w:pPr>
        <w:rPr>
          <w:rFonts w:eastAsia="Arial" w:cs="Arial"/>
          <w:szCs w:val="20"/>
        </w:rPr>
      </w:pPr>
      <w:r w:rsidRPr="001C5160">
        <w:rPr>
          <w:rFonts w:eastAsia="Arial" w:cs="Arial"/>
          <w:szCs w:val="20"/>
        </w:rPr>
        <w:t xml:space="preserve">Protocol (CETS No. 223) amending the Convention for the Protection of Individuals with regard to Automatic Processing of Personal Data (Convention 108+) </w:t>
      </w:r>
    </w:p>
    <w:p w14:paraId="1F52DF4B" w14:textId="5416B4F5" w:rsidR="005F63A2" w:rsidRDefault="005F63A2" w:rsidP="005F63A2">
      <w:pPr>
        <w:rPr>
          <w:rFonts w:eastAsia="Arial" w:cs="Arial"/>
          <w:szCs w:val="20"/>
        </w:rPr>
      </w:pPr>
      <w:r w:rsidRPr="001C5160">
        <w:rPr>
          <w:rFonts w:eastAsia="Arial" w:cs="Arial"/>
          <w:szCs w:val="20"/>
        </w:rPr>
        <w:t>Council of Europe Convention on Access to Official Documents (CETS No. 205)</w:t>
      </w:r>
    </w:p>
    <w:p w14:paraId="06290747" w14:textId="77777777" w:rsidR="00F813CE" w:rsidRPr="00F813CE" w:rsidRDefault="00F813CE" w:rsidP="005F63A2">
      <w:pPr>
        <w:rPr>
          <w:rFonts w:eastAsia="Arial" w:cs="Arial"/>
          <w:b/>
          <w:bCs/>
          <w:szCs w:val="20"/>
        </w:rPr>
      </w:pPr>
    </w:p>
    <w:p w14:paraId="494D0B53" w14:textId="434AE422" w:rsidR="005F63A2" w:rsidRPr="00F813CE" w:rsidRDefault="005F63A2" w:rsidP="005F63A2">
      <w:pPr>
        <w:pStyle w:val="Heading3"/>
        <w:keepLines w:val="0"/>
        <w:spacing w:before="0" w:line="240" w:lineRule="auto"/>
        <w:rPr>
          <w:rFonts w:ascii="Arial" w:eastAsia="Calibri" w:hAnsi="Arial" w:cs="Arial"/>
          <w:b/>
          <w:bCs/>
          <w:i/>
          <w:iCs/>
          <w:color w:val="auto"/>
          <w:sz w:val="20"/>
          <w:szCs w:val="20"/>
          <w:lang w:val="en-GB" w:eastAsia="en-GB"/>
        </w:rPr>
      </w:pPr>
      <w:r w:rsidRPr="00F813CE">
        <w:rPr>
          <w:rFonts w:ascii="Arial" w:eastAsia="Calibri" w:hAnsi="Arial" w:cs="Arial"/>
          <w:b/>
          <w:bCs/>
          <w:i/>
          <w:iCs/>
          <w:color w:val="auto"/>
          <w:sz w:val="20"/>
          <w:szCs w:val="20"/>
          <w:lang w:val="en-GB" w:eastAsia="en-GB"/>
        </w:rPr>
        <w:t>Recommendations</w:t>
      </w:r>
    </w:p>
    <w:p w14:paraId="2B1EB51C" w14:textId="77777777" w:rsidR="00F813CE" w:rsidRPr="00F813CE" w:rsidRDefault="00F813CE" w:rsidP="00F813CE">
      <w:pPr>
        <w:rPr>
          <w:lang w:eastAsia="en-GB"/>
        </w:rPr>
      </w:pPr>
    </w:p>
    <w:p w14:paraId="2BB84925" w14:textId="1BB64027" w:rsidR="005F63A2" w:rsidRPr="001C5160" w:rsidRDefault="005F63A2" w:rsidP="005F63A2">
      <w:pPr>
        <w:rPr>
          <w:rFonts w:eastAsia="Arial" w:cs="Arial"/>
          <w:szCs w:val="20"/>
        </w:rPr>
      </w:pPr>
      <w:r w:rsidRPr="001C5160">
        <w:rPr>
          <w:rFonts w:eastAsia="Arial" w:cs="Arial"/>
          <w:szCs w:val="20"/>
        </w:rPr>
        <w:t xml:space="preserve">Recommendation </w:t>
      </w:r>
      <w:bookmarkStart w:id="57" w:name="_ML_000000000058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"https://search.coe.int/cm/Pages/result_details.aspx?Reference=Rec(97)21" \o "on the media and the promotion of a culture of tolerance" </w:instrText>
      </w:r>
      <w:r w:rsidR="00AF3009" w:rsidRPr="00AF3009">
        <w:rPr>
          <w:rFonts w:eastAsia="Arial" w:cs="Arial"/>
          <w:szCs w:val="20"/>
        </w:rPr>
      </w:r>
      <w:r w:rsidR="00AF3009" w:rsidRPr="00AF3009">
        <w:rPr>
          <w:rFonts w:eastAsia="Arial" w:cs="Arial"/>
          <w:szCs w:val="20"/>
        </w:rPr>
        <w:fldChar w:fldCharType="separate"/>
      </w:r>
      <w:bookmarkEnd w:id="57"/>
      <w:r w:rsidR="00AF3009" w:rsidRPr="00AF3009">
        <w:rPr>
          <w:rStyle w:val="Hyperlink"/>
          <w:rFonts w:eastAsia="Arial" w:cs="Arial"/>
          <w:szCs w:val="20"/>
        </w:rPr>
        <w:t>Rec(97)21</w:t>
      </w:r>
      <w:r w:rsidR="00AF3009" w:rsidRPr="00AF3009">
        <w:rPr>
          <w:rFonts w:eastAsia="Arial" w:cs="Arial"/>
          <w:szCs w:val="20"/>
        </w:rPr>
        <w:fldChar w:fldCharType="end"/>
      </w:r>
      <w:r w:rsidRPr="001C5160">
        <w:rPr>
          <w:rFonts w:eastAsia="Arial" w:cs="Arial"/>
          <w:szCs w:val="20"/>
        </w:rPr>
        <w:t xml:space="preserve"> of the Committee of Ministers to member States on the media and the promotion of a culture of tolerance</w:t>
      </w:r>
    </w:p>
    <w:p w14:paraId="57DAC9AF" w14:textId="3B71F090" w:rsidR="005F63A2" w:rsidRPr="001C5160" w:rsidRDefault="005F63A2" w:rsidP="005F63A2">
      <w:pPr>
        <w:rPr>
          <w:rFonts w:eastAsia="Arial" w:cs="Arial"/>
          <w:szCs w:val="20"/>
        </w:rPr>
      </w:pPr>
      <w:r w:rsidRPr="001C5160">
        <w:rPr>
          <w:rFonts w:eastAsia="Arial" w:cs="Arial"/>
          <w:szCs w:val="20"/>
        </w:rPr>
        <w:t xml:space="preserve">Recommendation </w:t>
      </w:r>
      <w:bookmarkStart w:id="58" w:name="_ML_000000000059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"https://search.coe.int/cm/Pages/result_details.aspx?Reference=Rec(2000)23" \o "RECOMMENDATION REC (2000) 23 of the committee of ministers to member states on the independance and funcions of regulatory authorities for the broadcasting sector" </w:instrText>
      </w:r>
      <w:r w:rsidR="00AF3009" w:rsidRPr="00AF3009">
        <w:rPr>
          <w:rFonts w:eastAsia="Arial" w:cs="Arial"/>
          <w:szCs w:val="20"/>
        </w:rPr>
      </w:r>
      <w:r w:rsidR="00AF3009" w:rsidRPr="00AF3009">
        <w:rPr>
          <w:rFonts w:eastAsia="Arial" w:cs="Arial"/>
          <w:szCs w:val="20"/>
        </w:rPr>
        <w:fldChar w:fldCharType="separate"/>
      </w:r>
      <w:bookmarkEnd w:id="58"/>
      <w:r w:rsidR="00AF3009" w:rsidRPr="00AF3009">
        <w:rPr>
          <w:rStyle w:val="Hyperlink"/>
          <w:rFonts w:eastAsia="Arial" w:cs="Arial"/>
          <w:szCs w:val="20"/>
        </w:rPr>
        <w:t>Rec(2000)23</w:t>
      </w:r>
      <w:r w:rsidR="00AF3009" w:rsidRPr="00AF3009">
        <w:rPr>
          <w:rFonts w:eastAsia="Arial" w:cs="Arial"/>
          <w:szCs w:val="20"/>
        </w:rPr>
        <w:fldChar w:fldCharType="end"/>
      </w:r>
      <w:r w:rsidRPr="001C5160">
        <w:rPr>
          <w:rFonts w:eastAsia="Arial" w:cs="Arial"/>
          <w:szCs w:val="20"/>
        </w:rPr>
        <w:t xml:space="preserve"> of the Committee of Ministers to member States on the independence and functions of regulatory authorities for the broadcasting sector</w:t>
      </w:r>
    </w:p>
    <w:p w14:paraId="7F783615" w14:textId="467DD884" w:rsidR="005F63A2" w:rsidRPr="001C5160" w:rsidRDefault="005F63A2" w:rsidP="005F63A2">
      <w:pPr>
        <w:rPr>
          <w:rFonts w:eastAsia="Arial" w:cs="Arial"/>
          <w:szCs w:val="20"/>
        </w:rPr>
      </w:pPr>
      <w:r w:rsidRPr="001C5160">
        <w:rPr>
          <w:rFonts w:eastAsia="Arial" w:cs="Arial"/>
          <w:szCs w:val="20"/>
        </w:rPr>
        <w:t xml:space="preserve">Recommendation </w:t>
      </w:r>
      <w:bookmarkStart w:id="59" w:name="_ML_000000000060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"https://search.coe.int/cm/Pages/result_details.aspx?Reference=Rec(2000)7" \o "on the rights of journalists not to disclose their sources of information" </w:instrText>
      </w:r>
      <w:r w:rsidR="00AF3009" w:rsidRPr="00AF3009">
        <w:rPr>
          <w:rFonts w:eastAsia="Arial" w:cs="Arial"/>
          <w:szCs w:val="20"/>
        </w:rPr>
      </w:r>
      <w:r w:rsidR="00AF3009" w:rsidRPr="00AF3009">
        <w:rPr>
          <w:rFonts w:eastAsia="Arial" w:cs="Arial"/>
          <w:szCs w:val="20"/>
        </w:rPr>
        <w:fldChar w:fldCharType="separate"/>
      </w:r>
      <w:bookmarkEnd w:id="59"/>
      <w:r w:rsidR="00AF3009" w:rsidRPr="00AF3009">
        <w:rPr>
          <w:rStyle w:val="Hyperlink"/>
          <w:rFonts w:eastAsia="Arial" w:cs="Arial"/>
          <w:szCs w:val="20"/>
        </w:rPr>
        <w:t>Rec(2000)7</w:t>
      </w:r>
      <w:r w:rsidR="00AF3009" w:rsidRPr="00AF3009">
        <w:rPr>
          <w:rFonts w:eastAsia="Arial" w:cs="Arial"/>
          <w:szCs w:val="20"/>
        </w:rPr>
        <w:fldChar w:fldCharType="end"/>
      </w:r>
      <w:r w:rsidRPr="001C5160">
        <w:rPr>
          <w:rFonts w:eastAsia="Arial" w:cs="Arial"/>
          <w:szCs w:val="20"/>
        </w:rPr>
        <w:t xml:space="preserve"> of the Committee of Ministers to member States on the right of journalists not to disclose their sources of information</w:t>
      </w:r>
    </w:p>
    <w:p w14:paraId="41BFB8F8" w14:textId="14070DF6" w:rsidR="005F63A2" w:rsidRPr="001C5160" w:rsidRDefault="005F63A2" w:rsidP="005F63A2">
      <w:pPr>
        <w:rPr>
          <w:rFonts w:eastAsia="Arial" w:cs="Arial"/>
          <w:szCs w:val="20"/>
        </w:rPr>
      </w:pPr>
      <w:r w:rsidRPr="001C5160">
        <w:rPr>
          <w:rFonts w:eastAsia="Arial" w:cs="Arial"/>
          <w:szCs w:val="20"/>
        </w:rPr>
        <w:t xml:space="preserve">Recommendation </w:t>
      </w:r>
      <w:bookmarkStart w:id="60" w:name="_ML_000000000061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"https://search.coe.int/cm/Pages/result_details.aspx?Reference=Rec(2001)8" \o "RECOMMENDATION REC (2001) 8 of the committee of ministers to member states on self-regulation concerning cyber content , self-regulation and user protection against illegal or harmful content on new communications and information services" </w:instrText>
      </w:r>
      <w:r w:rsidR="00AF3009" w:rsidRPr="00AF3009">
        <w:rPr>
          <w:rFonts w:eastAsia="Arial" w:cs="Arial"/>
          <w:szCs w:val="20"/>
        </w:rPr>
      </w:r>
      <w:r w:rsidR="00AF3009" w:rsidRPr="00AF3009">
        <w:rPr>
          <w:rFonts w:eastAsia="Arial" w:cs="Arial"/>
          <w:szCs w:val="20"/>
        </w:rPr>
        <w:fldChar w:fldCharType="separate"/>
      </w:r>
      <w:bookmarkEnd w:id="60"/>
      <w:r w:rsidR="00AF3009" w:rsidRPr="00AF3009">
        <w:rPr>
          <w:rStyle w:val="Hyperlink"/>
          <w:rFonts w:eastAsia="Arial" w:cs="Arial"/>
          <w:szCs w:val="20"/>
        </w:rPr>
        <w:t>Rec(2001)8</w:t>
      </w:r>
      <w:r w:rsidR="00AF3009" w:rsidRPr="00AF3009">
        <w:rPr>
          <w:rFonts w:eastAsia="Arial" w:cs="Arial"/>
          <w:szCs w:val="20"/>
        </w:rPr>
        <w:fldChar w:fldCharType="end"/>
      </w:r>
      <w:r w:rsidRPr="001C5160">
        <w:rPr>
          <w:rFonts w:eastAsia="Arial" w:cs="Arial"/>
          <w:szCs w:val="20"/>
        </w:rPr>
        <w:t xml:space="preserve"> of the Committee of Ministers to member States on self-regulation concerning cyber content</w:t>
      </w:r>
    </w:p>
    <w:p w14:paraId="7327C6F3" w14:textId="46FCB791" w:rsidR="005F63A2" w:rsidRPr="001C5160" w:rsidRDefault="005F63A2" w:rsidP="005F63A2">
      <w:pPr>
        <w:rPr>
          <w:rFonts w:eastAsia="Arial" w:cs="Arial"/>
          <w:szCs w:val="20"/>
        </w:rPr>
      </w:pPr>
      <w:r w:rsidRPr="001C5160">
        <w:rPr>
          <w:rFonts w:eastAsia="Arial" w:cs="Arial"/>
          <w:szCs w:val="20"/>
        </w:rPr>
        <w:t xml:space="preserve">Recommendation </w:t>
      </w:r>
      <w:bookmarkStart w:id="61" w:name="_ML_000000000062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"https://search.coe.int/cm/Pages/result_details.aspx?Reference=CM/Rec(2007)15" \o "Recommendation of the Committee of Ministers to member states on measures concerning media coverage of election campaigns (Adopted by the Committee of Ministers on 7 November 2007at the 1010th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1"/>
      <w:r w:rsidR="00AF3009" w:rsidRPr="00AF3009">
        <w:rPr>
          <w:rStyle w:val="Hyperlink"/>
          <w:rFonts w:eastAsia="Arial" w:cs="Arial"/>
          <w:szCs w:val="20"/>
        </w:rPr>
        <w:t>CM/Rec(2007)15</w:t>
      </w:r>
      <w:r w:rsidR="00AF3009" w:rsidRPr="00AF3009">
        <w:rPr>
          <w:rFonts w:eastAsia="Arial" w:cs="Arial"/>
          <w:szCs w:val="20"/>
        </w:rPr>
        <w:fldChar w:fldCharType="end"/>
      </w:r>
      <w:r w:rsidRPr="001C5160">
        <w:rPr>
          <w:rFonts w:eastAsia="Arial" w:cs="Arial"/>
          <w:szCs w:val="20"/>
        </w:rPr>
        <w:t xml:space="preserve"> of the Committee of Ministers to member States on measures concerning media coverage of election campaigns</w:t>
      </w:r>
    </w:p>
    <w:p w14:paraId="580855B5" w14:textId="54A43264" w:rsidR="005F63A2" w:rsidRPr="001C5160" w:rsidRDefault="005F63A2" w:rsidP="005F63A2">
      <w:pPr>
        <w:rPr>
          <w:rFonts w:eastAsia="Arial" w:cs="Arial"/>
          <w:szCs w:val="20"/>
        </w:rPr>
      </w:pPr>
      <w:r w:rsidRPr="001C5160">
        <w:rPr>
          <w:rFonts w:eastAsia="Arial" w:cs="Arial"/>
          <w:szCs w:val="20"/>
        </w:rPr>
        <w:t xml:space="preserve">Recommendation </w:t>
      </w:r>
      <w:bookmarkStart w:id="62" w:name="_ML_000000000063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"https://search.coe.int/cm/Pages/result_details.aspx?Reference=CM/Rec(2007)16" \o "Recommendation of the Committee of Ministers to member states on measures to promote the public service value of the Internet (Adopted by the Committee of Ministers on 7 November 2007 at the 1010th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2"/>
      <w:r w:rsidR="00AF3009" w:rsidRPr="00AF3009">
        <w:rPr>
          <w:rStyle w:val="Hyperlink"/>
          <w:rFonts w:eastAsia="Arial" w:cs="Arial"/>
          <w:szCs w:val="20"/>
        </w:rPr>
        <w:t>CM/Rec(2007)16</w:t>
      </w:r>
      <w:r w:rsidR="00AF3009" w:rsidRPr="00AF3009">
        <w:rPr>
          <w:rFonts w:eastAsia="Arial" w:cs="Arial"/>
          <w:szCs w:val="20"/>
        </w:rPr>
        <w:fldChar w:fldCharType="end"/>
      </w:r>
      <w:r w:rsidRPr="001C5160">
        <w:rPr>
          <w:rFonts w:eastAsia="Arial" w:cs="Arial"/>
          <w:szCs w:val="20"/>
        </w:rPr>
        <w:t xml:space="preserve"> of the Committee of Ministers to member States on measures to promote the public service value of the Internet</w:t>
      </w:r>
    </w:p>
    <w:p w14:paraId="52CCDD4A" w14:textId="0545CDAF" w:rsidR="005F63A2" w:rsidRPr="001C5160" w:rsidRDefault="005F63A2" w:rsidP="005F63A2">
      <w:pPr>
        <w:rPr>
          <w:rFonts w:eastAsia="Arial" w:cs="Arial"/>
          <w:szCs w:val="20"/>
        </w:rPr>
      </w:pPr>
      <w:r w:rsidRPr="001C5160">
        <w:rPr>
          <w:rFonts w:eastAsia="Arial" w:cs="Arial"/>
          <w:szCs w:val="20"/>
        </w:rPr>
        <w:t xml:space="preserve">Recommendation </w:t>
      </w:r>
      <w:bookmarkStart w:id="63" w:name="_ML_000000000064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"https://search.coe.int/cm/Pages/result_details.aspx?Reference=CM/Rec(2007)2" \o "Recommendation of the Committee of Ministers to member states on media pluralism and diversity of media content (Adopted by the Committee of Ministers on 31 January 2007 at the 985th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3"/>
      <w:r w:rsidR="00AF3009" w:rsidRPr="00AF3009">
        <w:rPr>
          <w:rStyle w:val="Hyperlink"/>
          <w:rFonts w:eastAsia="Arial" w:cs="Arial"/>
          <w:szCs w:val="20"/>
        </w:rPr>
        <w:t>CM/Rec(2007)2</w:t>
      </w:r>
      <w:r w:rsidR="00AF3009" w:rsidRPr="00AF3009">
        <w:rPr>
          <w:rFonts w:eastAsia="Arial" w:cs="Arial"/>
          <w:szCs w:val="20"/>
        </w:rPr>
        <w:fldChar w:fldCharType="end"/>
      </w:r>
      <w:r w:rsidRPr="001C5160">
        <w:rPr>
          <w:rFonts w:eastAsia="Arial" w:cs="Arial"/>
          <w:szCs w:val="20"/>
        </w:rPr>
        <w:t xml:space="preserve"> of the Committee of Ministers to member States on media pluralism and diversity of media content</w:t>
      </w:r>
    </w:p>
    <w:p w14:paraId="1852463D" w14:textId="7D9FC0AB" w:rsidR="005F63A2" w:rsidRPr="001C5160" w:rsidRDefault="005F63A2" w:rsidP="005F63A2">
      <w:pPr>
        <w:rPr>
          <w:rFonts w:eastAsia="Arial" w:cs="Arial"/>
          <w:szCs w:val="20"/>
        </w:rPr>
      </w:pPr>
      <w:r w:rsidRPr="001C5160">
        <w:rPr>
          <w:rFonts w:eastAsia="Arial" w:cs="Arial"/>
          <w:szCs w:val="20"/>
        </w:rPr>
        <w:t xml:space="preserve">Recommendation </w:t>
      </w:r>
      <w:bookmarkStart w:id="64" w:name="_ML_000000000065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"https://search.coe.int/cm/Pages/result_details.aspx?Reference=CM/Rec(2007)3" \o "Recommendation of the Committee of Ministers to member states  on the remit of public service media in the information society (Adopted by the Committee of Ministers on 31 January 2007 at the 985th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4"/>
      <w:r w:rsidR="00AF3009" w:rsidRPr="00AF3009">
        <w:rPr>
          <w:rStyle w:val="Hyperlink"/>
          <w:rFonts w:eastAsia="Arial" w:cs="Arial"/>
          <w:szCs w:val="20"/>
        </w:rPr>
        <w:t>CM/Rec(2007)3</w:t>
      </w:r>
      <w:r w:rsidR="00AF3009" w:rsidRPr="00AF3009">
        <w:rPr>
          <w:rFonts w:eastAsia="Arial" w:cs="Arial"/>
          <w:szCs w:val="20"/>
        </w:rPr>
        <w:fldChar w:fldCharType="end"/>
      </w:r>
      <w:r w:rsidRPr="001C5160">
        <w:rPr>
          <w:rFonts w:eastAsia="Arial" w:cs="Arial"/>
          <w:szCs w:val="20"/>
        </w:rPr>
        <w:t xml:space="preserve"> of the Committee of Ministers to member States on the remit of public service media in the information society</w:t>
      </w:r>
    </w:p>
    <w:p w14:paraId="275D4A49" w14:textId="2B233371" w:rsidR="005F63A2" w:rsidRPr="001C5160" w:rsidRDefault="005F63A2" w:rsidP="005F63A2">
      <w:pPr>
        <w:rPr>
          <w:rFonts w:eastAsia="Arial" w:cs="Arial"/>
          <w:szCs w:val="20"/>
        </w:rPr>
      </w:pPr>
      <w:r w:rsidRPr="001C5160">
        <w:rPr>
          <w:rFonts w:eastAsia="Arial" w:cs="Arial"/>
          <w:szCs w:val="20"/>
        </w:rPr>
        <w:t xml:space="preserve">Recommendation </w:t>
      </w:r>
      <w:bookmarkStart w:id="65" w:name="_ML_000000000066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5"/>
      <w:r w:rsidR="00AF3009" w:rsidRPr="00AF3009">
        <w:rPr>
          <w:rStyle w:val="Hyperlink"/>
          <w:rFonts w:eastAsia="Arial" w:cs="Arial"/>
          <w:szCs w:val="20"/>
        </w:rPr>
        <w:t>CM/Rec(2011)7</w:t>
      </w:r>
      <w:r w:rsidR="00AF3009" w:rsidRPr="00AF3009">
        <w:rPr>
          <w:rFonts w:eastAsia="Arial" w:cs="Arial"/>
          <w:szCs w:val="20"/>
        </w:rPr>
        <w:fldChar w:fldCharType="end"/>
      </w:r>
      <w:r w:rsidRPr="001C5160">
        <w:rPr>
          <w:rFonts w:eastAsia="Arial" w:cs="Arial"/>
          <w:szCs w:val="20"/>
        </w:rPr>
        <w:t xml:space="preserve"> of the Committee of Ministers to member States on a new notion of media</w:t>
      </w:r>
    </w:p>
    <w:p w14:paraId="40F787DE" w14:textId="7752C5F8" w:rsidR="005F63A2" w:rsidRPr="001C5160" w:rsidRDefault="005F63A2" w:rsidP="005F63A2">
      <w:pPr>
        <w:rPr>
          <w:rFonts w:eastAsia="Arial" w:cs="Arial"/>
          <w:szCs w:val="20"/>
        </w:rPr>
      </w:pPr>
      <w:r w:rsidRPr="001C5160">
        <w:rPr>
          <w:rFonts w:eastAsia="Arial" w:cs="Arial"/>
          <w:szCs w:val="20"/>
        </w:rPr>
        <w:t xml:space="preserve">Recommendation </w:t>
      </w:r>
      <w:bookmarkStart w:id="66" w:name="_ML_000000000067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"https://search.coe.int/cm/Pages/result_details.aspx?Reference=CM/Rec(2012)1" \o "Recommendation of the Committee of Ministers to member States on public service media governance (Adopted by the Committee of Ministers on 15 February 2012 at the 1134th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6"/>
      <w:r w:rsidR="00AF3009" w:rsidRPr="00AF3009">
        <w:rPr>
          <w:rStyle w:val="Hyperlink"/>
          <w:rFonts w:eastAsia="Arial" w:cs="Arial"/>
          <w:szCs w:val="20"/>
        </w:rPr>
        <w:t>CM/Rec(2012)1</w:t>
      </w:r>
      <w:r w:rsidR="00AF3009" w:rsidRPr="00AF3009">
        <w:rPr>
          <w:rFonts w:eastAsia="Arial" w:cs="Arial"/>
          <w:szCs w:val="20"/>
        </w:rPr>
        <w:fldChar w:fldCharType="end"/>
      </w:r>
      <w:r w:rsidRPr="001C5160">
        <w:rPr>
          <w:rFonts w:eastAsia="Arial" w:cs="Arial"/>
          <w:szCs w:val="20"/>
        </w:rPr>
        <w:t xml:space="preserve"> of the Committee of Ministers to member States on public service media governance</w:t>
      </w:r>
    </w:p>
    <w:p w14:paraId="73243613" w14:textId="6D87C0E9" w:rsidR="005F63A2" w:rsidRPr="001C5160" w:rsidRDefault="005F63A2" w:rsidP="005F63A2">
      <w:pPr>
        <w:rPr>
          <w:rFonts w:eastAsia="Arial" w:cs="Arial"/>
          <w:szCs w:val="20"/>
        </w:rPr>
      </w:pPr>
      <w:r w:rsidRPr="001C5160">
        <w:rPr>
          <w:rFonts w:eastAsia="Arial" w:cs="Arial"/>
          <w:szCs w:val="20"/>
        </w:rPr>
        <w:t xml:space="preserve">Recommendation </w:t>
      </w:r>
      <w:bookmarkStart w:id="67" w:name="_ML_000000000068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"https://search.coe.int/cm/Pages/result_details.aspx?Reference=CM/Rec(2012)3" \o "Recommendation of the Committee of Ministers to member States on the protection of human rights with regard to search engines (Adopted by the Committee of Ministers on 4 April 2012 at the 1139th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7"/>
      <w:r w:rsidR="00AF3009" w:rsidRPr="00AF3009">
        <w:rPr>
          <w:rStyle w:val="Hyperlink"/>
          <w:rFonts w:eastAsia="Arial" w:cs="Arial"/>
          <w:szCs w:val="20"/>
        </w:rPr>
        <w:t>CM/Rec(2012)3</w:t>
      </w:r>
      <w:r w:rsidR="00AF3009" w:rsidRPr="00AF3009">
        <w:rPr>
          <w:rFonts w:eastAsia="Arial" w:cs="Arial"/>
          <w:szCs w:val="20"/>
        </w:rPr>
        <w:fldChar w:fldCharType="end"/>
      </w:r>
      <w:r w:rsidRPr="001C5160">
        <w:rPr>
          <w:rFonts w:eastAsia="Arial" w:cs="Arial"/>
          <w:szCs w:val="20"/>
        </w:rPr>
        <w:t xml:space="preserve"> of the Committee of Ministers to member States on the protection of human rights with regard to search engines</w:t>
      </w:r>
    </w:p>
    <w:p w14:paraId="4F3B5C5B" w14:textId="0D57BC28" w:rsidR="005F63A2" w:rsidRPr="001C5160" w:rsidRDefault="005F63A2" w:rsidP="005F63A2">
      <w:pPr>
        <w:rPr>
          <w:rFonts w:eastAsia="Arial" w:cs="Arial"/>
          <w:szCs w:val="20"/>
        </w:rPr>
      </w:pPr>
      <w:r w:rsidRPr="001C5160">
        <w:rPr>
          <w:rFonts w:eastAsia="Arial" w:cs="Arial"/>
          <w:szCs w:val="20"/>
        </w:rPr>
        <w:t xml:space="preserve">Recommendation </w:t>
      </w:r>
      <w:bookmarkStart w:id="68" w:name="_ML_000000000069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"https://search.coe.int/cm/Pages/result_details.aspx?Reference=CM/Rec(2012)4" \o "Recommendation of the Committee of Ministers to member States on the protection of human rights with regard to social networking services (Adopted by the Committee of Ministers on 4 April 2012 at the 1139th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8"/>
      <w:r w:rsidR="00AF3009" w:rsidRPr="00AF3009">
        <w:rPr>
          <w:rStyle w:val="Hyperlink"/>
          <w:rFonts w:eastAsia="Arial" w:cs="Arial"/>
          <w:szCs w:val="20"/>
        </w:rPr>
        <w:t>CM/Rec(2012)4</w:t>
      </w:r>
      <w:r w:rsidR="00AF3009" w:rsidRPr="00AF3009">
        <w:rPr>
          <w:rFonts w:eastAsia="Arial" w:cs="Arial"/>
          <w:szCs w:val="20"/>
        </w:rPr>
        <w:fldChar w:fldCharType="end"/>
      </w:r>
      <w:r w:rsidRPr="001C5160">
        <w:rPr>
          <w:rFonts w:eastAsia="Arial" w:cs="Arial"/>
          <w:szCs w:val="20"/>
        </w:rPr>
        <w:t xml:space="preserve"> of the Committee of Ministers to member States on the protection of human rights with regard to social networking services</w:t>
      </w:r>
    </w:p>
    <w:p w14:paraId="3352E6CD" w14:textId="67D01D5D" w:rsidR="005F63A2" w:rsidRPr="001C5160" w:rsidRDefault="005F63A2" w:rsidP="005F63A2">
      <w:pPr>
        <w:rPr>
          <w:rFonts w:eastAsia="Arial" w:cs="Arial"/>
          <w:szCs w:val="20"/>
        </w:rPr>
      </w:pPr>
      <w:r w:rsidRPr="001C5160">
        <w:rPr>
          <w:rFonts w:eastAsia="Arial" w:cs="Arial"/>
          <w:szCs w:val="20"/>
        </w:rPr>
        <w:t xml:space="preserve">Recommendation </w:t>
      </w:r>
      <w:bookmarkStart w:id="69" w:name="_ML_000000000070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"https://search.coe.int/cm/Pages/result_details.aspx?Reference=CM/Rec(2013)1" \o "Recommendation of the Committee of Ministers to member States on gender equality and media (Adopted by the Committee of Ministers on 10 July 2013 at the 1176th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69"/>
      <w:r w:rsidR="00AF3009" w:rsidRPr="00AF3009">
        <w:rPr>
          <w:rStyle w:val="Hyperlink"/>
          <w:rFonts w:eastAsia="Arial" w:cs="Arial"/>
          <w:szCs w:val="20"/>
        </w:rPr>
        <w:t>CM/Rec(2013)1</w:t>
      </w:r>
      <w:r w:rsidR="00AF3009" w:rsidRPr="00AF3009">
        <w:rPr>
          <w:rFonts w:eastAsia="Arial" w:cs="Arial"/>
          <w:szCs w:val="20"/>
        </w:rPr>
        <w:fldChar w:fldCharType="end"/>
      </w:r>
      <w:r w:rsidRPr="001C5160">
        <w:rPr>
          <w:rFonts w:eastAsia="Arial" w:cs="Arial"/>
          <w:szCs w:val="20"/>
        </w:rPr>
        <w:t xml:space="preserve"> of the Committee of Ministers to member States on gender equality and media</w:t>
      </w:r>
    </w:p>
    <w:p w14:paraId="0E6D14DA" w14:textId="03BA410B" w:rsidR="005F63A2" w:rsidRPr="001C5160" w:rsidRDefault="005F63A2" w:rsidP="005F63A2">
      <w:pPr>
        <w:rPr>
          <w:rFonts w:eastAsia="Arial" w:cs="Arial"/>
          <w:szCs w:val="20"/>
        </w:rPr>
      </w:pPr>
      <w:r w:rsidRPr="001C5160">
        <w:rPr>
          <w:rFonts w:eastAsia="Arial" w:cs="Arial"/>
          <w:szCs w:val="20"/>
        </w:rPr>
        <w:t xml:space="preserve">Recommendation </w:t>
      </w:r>
      <w:bookmarkStart w:id="70" w:name="_ML_000000000071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"https://search.coe.int/cm/Pages/result_details.aspx?Reference=CM/Rec(2014)6" \o "Recommendation of the Committee of Ministers to member States on a Guide to human rights for Internet users (Adopted by the Committee of Ministers on 16 April 2014 at the 1197th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0"/>
      <w:r w:rsidR="00AF3009" w:rsidRPr="00AF3009">
        <w:rPr>
          <w:rStyle w:val="Hyperlink"/>
          <w:rFonts w:eastAsia="Arial" w:cs="Arial"/>
          <w:szCs w:val="20"/>
        </w:rPr>
        <w:t>CM/Rec(2014)6</w:t>
      </w:r>
      <w:r w:rsidR="00AF3009" w:rsidRPr="00AF3009">
        <w:rPr>
          <w:rFonts w:eastAsia="Arial" w:cs="Arial"/>
          <w:szCs w:val="20"/>
        </w:rPr>
        <w:fldChar w:fldCharType="end"/>
      </w:r>
      <w:r w:rsidRPr="001C5160">
        <w:rPr>
          <w:rFonts w:eastAsia="Arial" w:cs="Arial"/>
          <w:szCs w:val="20"/>
        </w:rPr>
        <w:t xml:space="preserve"> of the Committee of Ministers to member States on a Guide to human rights for Internet users</w:t>
      </w:r>
    </w:p>
    <w:p w14:paraId="09C5A286" w14:textId="33CC38CD" w:rsidR="005F63A2" w:rsidRPr="001C5160" w:rsidRDefault="005F63A2" w:rsidP="005F63A2">
      <w:pPr>
        <w:rPr>
          <w:rFonts w:eastAsia="Arial" w:cs="Arial"/>
          <w:szCs w:val="20"/>
        </w:rPr>
      </w:pPr>
      <w:r w:rsidRPr="001C5160">
        <w:rPr>
          <w:rFonts w:eastAsia="Arial" w:cs="Arial"/>
          <w:szCs w:val="20"/>
        </w:rPr>
        <w:t xml:space="preserve">Recommendation </w:t>
      </w:r>
      <w:bookmarkStart w:id="71" w:name="_ML_000000000072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"https://search.coe.int/cm/Pages/result_details.aspx?Reference=CM/Rec(2016)1" \o "Recommendation of the Committee of Ministers to member States on protecting and promoting the right to freedom of expression and the right to private life with regard to network neutrality (Adopted by the Committee of Ministers on 13 January 2016, at the 1244th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1"/>
      <w:r w:rsidR="00AF3009" w:rsidRPr="00AF3009">
        <w:rPr>
          <w:rStyle w:val="Hyperlink"/>
          <w:rFonts w:eastAsia="Arial" w:cs="Arial"/>
          <w:szCs w:val="20"/>
        </w:rPr>
        <w:t>CM/Rec(2016)1</w:t>
      </w:r>
      <w:r w:rsidR="00AF3009" w:rsidRPr="00AF3009">
        <w:rPr>
          <w:rFonts w:eastAsia="Arial" w:cs="Arial"/>
          <w:szCs w:val="20"/>
        </w:rPr>
        <w:fldChar w:fldCharType="end"/>
      </w:r>
      <w:r w:rsidRPr="001C5160">
        <w:rPr>
          <w:rFonts w:eastAsia="Arial" w:cs="Arial"/>
          <w:szCs w:val="20"/>
        </w:rPr>
        <w:t xml:space="preserve"> of the Committee of Ministers to member States on protecting and promoting the right to freedom of expression and the right to private life with regard to network neutrality</w:t>
      </w:r>
    </w:p>
    <w:p w14:paraId="7DF8B269" w14:textId="5B9C3FE2" w:rsidR="005F63A2" w:rsidRPr="001C5160" w:rsidRDefault="005F63A2" w:rsidP="005F63A2">
      <w:pPr>
        <w:rPr>
          <w:rFonts w:eastAsia="Arial" w:cs="Arial"/>
          <w:szCs w:val="20"/>
        </w:rPr>
      </w:pPr>
      <w:r w:rsidRPr="001C5160">
        <w:rPr>
          <w:rFonts w:eastAsia="Arial" w:cs="Arial"/>
          <w:szCs w:val="20"/>
        </w:rPr>
        <w:t xml:space="preserve">Recommendation </w:t>
      </w:r>
      <w:bookmarkStart w:id="72" w:name="_ML_000000000073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"https://search.coe.int/cm/Pages/result_details.aspx?Reference=CM/Rec(2016)4" \o "Recommendation of the Committee of Ministers to member States on the protection of journalism and safety of journalists and other media actors (Adopted by the Committee of Ministers on 13 April 2016 at the 1253rd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2"/>
      <w:r w:rsidR="00AF3009" w:rsidRPr="00AF3009">
        <w:rPr>
          <w:rStyle w:val="Hyperlink"/>
          <w:rFonts w:eastAsia="Arial" w:cs="Arial"/>
          <w:szCs w:val="20"/>
        </w:rPr>
        <w:t>CM/Rec(2016)4</w:t>
      </w:r>
      <w:r w:rsidR="00AF3009" w:rsidRPr="00AF3009">
        <w:rPr>
          <w:rFonts w:eastAsia="Arial" w:cs="Arial"/>
          <w:szCs w:val="20"/>
        </w:rPr>
        <w:fldChar w:fldCharType="end"/>
      </w:r>
      <w:r w:rsidRPr="001C5160">
        <w:rPr>
          <w:rFonts w:eastAsia="Arial" w:cs="Arial"/>
          <w:szCs w:val="20"/>
        </w:rPr>
        <w:t xml:space="preserve"> of the Committee of Ministers to member States on the protection of journalism and safety of journalists and other actors</w:t>
      </w:r>
    </w:p>
    <w:p w14:paraId="48E16E24" w14:textId="46627C04" w:rsidR="005F63A2" w:rsidRPr="001C5160" w:rsidRDefault="005F63A2" w:rsidP="005F63A2">
      <w:pPr>
        <w:rPr>
          <w:rFonts w:eastAsia="Arial" w:cs="Arial"/>
          <w:szCs w:val="20"/>
        </w:rPr>
      </w:pPr>
      <w:r w:rsidRPr="001C5160">
        <w:rPr>
          <w:rFonts w:eastAsia="Arial" w:cs="Arial"/>
          <w:szCs w:val="20"/>
        </w:rPr>
        <w:t xml:space="preserve">Recommendation </w:t>
      </w:r>
      <w:bookmarkStart w:id="73" w:name="_ML_000000000074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"https://search.coe.int/cm/Pages/result_details.aspx?Reference=CM/Rec(2016)5" \o "Recommendation of the Committee of Ministers to member States on Internet freedom (Adopted by the Committee of Ministers on 13 April 2016 at the 1253rd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3"/>
      <w:r w:rsidR="00AF3009" w:rsidRPr="00AF3009">
        <w:rPr>
          <w:rStyle w:val="Hyperlink"/>
          <w:rFonts w:eastAsia="Arial" w:cs="Arial"/>
          <w:szCs w:val="20"/>
        </w:rPr>
        <w:t>CM/Rec(2016)5</w:t>
      </w:r>
      <w:r w:rsidR="00AF3009" w:rsidRPr="00AF3009">
        <w:rPr>
          <w:rFonts w:eastAsia="Arial" w:cs="Arial"/>
          <w:szCs w:val="20"/>
        </w:rPr>
        <w:fldChar w:fldCharType="end"/>
      </w:r>
      <w:r w:rsidRPr="001C5160">
        <w:rPr>
          <w:rFonts w:eastAsia="Arial" w:cs="Arial"/>
          <w:szCs w:val="20"/>
        </w:rPr>
        <w:t xml:space="preserve"> of the Committee of Ministers to member States on Internet freedom</w:t>
      </w:r>
    </w:p>
    <w:p w14:paraId="0B4B28A2" w14:textId="63C53967" w:rsidR="005F63A2" w:rsidRPr="001C5160" w:rsidRDefault="005F63A2" w:rsidP="005F63A2">
      <w:pPr>
        <w:rPr>
          <w:rFonts w:eastAsia="Arial" w:cs="Arial"/>
          <w:szCs w:val="20"/>
        </w:rPr>
      </w:pPr>
      <w:r w:rsidRPr="001C5160">
        <w:rPr>
          <w:rFonts w:eastAsia="Arial" w:cs="Arial"/>
          <w:szCs w:val="20"/>
        </w:rPr>
        <w:t xml:space="preserve">Recommendation </w:t>
      </w:r>
      <w:bookmarkStart w:id="74" w:name="_ML_000000000075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"https://search.coe.int/cm/Pages/result_details.aspx?Reference=CM/Rec(2018)1" \o "Recommendation of the Committee of Ministers to member States on media pluralism and transparency of media ownership (Adopted by the Committee of Ministers on 7 March 2018 at the 1309th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4"/>
      <w:r w:rsidR="00AF3009" w:rsidRPr="00AF3009">
        <w:rPr>
          <w:rStyle w:val="Hyperlink"/>
          <w:rFonts w:eastAsia="Arial" w:cs="Arial"/>
          <w:szCs w:val="20"/>
        </w:rPr>
        <w:t>CM/Rec(2018)1</w:t>
      </w:r>
      <w:r w:rsidR="00AF3009" w:rsidRPr="00AF3009">
        <w:rPr>
          <w:rFonts w:eastAsia="Arial" w:cs="Arial"/>
          <w:szCs w:val="20"/>
        </w:rPr>
        <w:fldChar w:fldCharType="end"/>
      </w:r>
      <w:r w:rsidRPr="001C5160">
        <w:rPr>
          <w:rFonts w:eastAsia="Arial" w:cs="Arial"/>
          <w:szCs w:val="20"/>
        </w:rPr>
        <w:t xml:space="preserve"> of the Committee of Ministers to member States on media pluralism and transparency of media ownership</w:t>
      </w:r>
    </w:p>
    <w:p w14:paraId="5D628240" w14:textId="711B599F" w:rsidR="005F63A2" w:rsidRPr="001C5160" w:rsidRDefault="005F63A2" w:rsidP="005F63A2">
      <w:pPr>
        <w:rPr>
          <w:rFonts w:eastAsia="Arial" w:cs="Arial"/>
          <w:szCs w:val="20"/>
        </w:rPr>
      </w:pPr>
      <w:r w:rsidRPr="001C5160">
        <w:rPr>
          <w:rFonts w:eastAsia="Arial" w:cs="Arial"/>
          <w:szCs w:val="20"/>
        </w:rPr>
        <w:t xml:space="preserve">Recommendation </w:t>
      </w:r>
      <w:bookmarkStart w:id="75" w:name="_ML_000000000076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5"/>
      <w:r w:rsidR="00AF3009" w:rsidRPr="00AF3009">
        <w:rPr>
          <w:rStyle w:val="Hyperlink"/>
          <w:rFonts w:eastAsia="Arial" w:cs="Arial"/>
          <w:szCs w:val="20"/>
        </w:rPr>
        <w:t>CM/Rec(2018)2</w:t>
      </w:r>
      <w:r w:rsidR="00AF3009" w:rsidRPr="00AF3009">
        <w:rPr>
          <w:rFonts w:eastAsia="Arial" w:cs="Arial"/>
          <w:szCs w:val="20"/>
        </w:rPr>
        <w:fldChar w:fldCharType="end"/>
      </w:r>
      <w:r w:rsidRPr="001C5160">
        <w:rPr>
          <w:rFonts w:eastAsia="Arial" w:cs="Arial"/>
          <w:szCs w:val="20"/>
        </w:rPr>
        <w:t xml:space="preserve"> of the Committee of Ministers to member States on the roles and responsibilities of internet intermediaries</w:t>
      </w:r>
    </w:p>
    <w:p w14:paraId="272BC252" w14:textId="4B2BA33B" w:rsidR="005F63A2" w:rsidRPr="001C5160" w:rsidRDefault="005F63A2" w:rsidP="005F63A2">
      <w:pPr>
        <w:rPr>
          <w:rFonts w:eastAsia="Arial" w:cs="Arial"/>
          <w:szCs w:val="20"/>
        </w:rPr>
      </w:pPr>
      <w:r w:rsidRPr="001C5160">
        <w:rPr>
          <w:rFonts w:eastAsia="Arial" w:cs="Arial"/>
          <w:szCs w:val="20"/>
        </w:rPr>
        <w:t xml:space="preserve">Recommendation </w:t>
      </w:r>
      <w:bookmarkStart w:id="76" w:name="_ML_000000000077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"https://search.coe.int/cm/Pages/result_details.aspx?Reference=CM/Rec(2019)1" \o "CM_Rec(2019)1E_Sexism" </w:instrText>
      </w:r>
      <w:r w:rsidR="00AF3009" w:rsidRPr="00AF3009">
        <w:rPr>
          <w:rFonts w:eastAsia="Arial" w:cs="Arial"/>
          <w:szCs w:val="20"/>
        </w:rPr>
      </w:r>
      <w:r w:rsidR="00AF3009" w:rsidRPr="00AF3009">
        <w:rPr>
          <w:rFonts w:eastAsia="Arial" w:cs="Arial"/>
          <w:szCs w:val="20"/>
        </w:rPr>
        <w:fldChar w:fldCharType="separate"/>
      </w:r>
      <w:bookmarkEnd w:id="76"/>
      <w:r w:rsidR="00AF3009" w:rsidRPr="00AF3009">
        <w:rPr>
          <w:rStyle w:val="Hyperlink"/>
          <w:rFonts w:eastAsia="Arial" w:cs="Arial"/>
          <w:szCs w:val="20"/>
        </w:rPr>
        <w:t>CM/Rec(2019)1</w:t>
      </w:r>
      <w:r w:rsidR="00AF3009" w:rsidRPr="00AF3009">
        <w:rPr>
          <w:rFonts w:eastAsia="Arial" w:cs="Arial"/>
          <w:szCs w:val="20"/>
        </w:rPr>
        <w:fldChar w:fldCharType="end"/>
      </w:r>
      <w:r w:rsidRPr="001C5160">
        <w:rPr>
          <w:rFonts w:eastAsia="Arial" w:cs="Arial"/>
          <w:szCs w:val="20"/>
        </w:rPr>
        <w:t xml:space="preserve"> of the Committee of Ministers to member States on preventing and combating sexism</w:t>
      </w:r>
    </w:p>
    <w:p w14:paraId="54CA7AEF" w14:textId="6B161568" w:rsidR="005F63A2" w:rsidRDefault="005F63A2" w:rsidP="005F63A2">
      <w:pPr>
        <w:rPr>
          <w:rFonts w:eastAsia="Arial" w:cs="Arial"/>
          <w:szCs w:val="20"/>
        </w:rPr>
      </w:pPr>
      <w:r w:rsidRPr="001C5160">
        <w:rPr>
          <w:rFonts w:eastAsia="Arial" w:cs="Arial"/>
          <w:szCs w:val="20"/>
        </w:rPr>
        <w:t xml:space="preserve">Recommendation </w:t>
      </w:r>
      <w:bookmarkStart w:id="77" w:name="_ML_000000000078_VALID"/>
      <w:r w:rsidR="00AF3009" w:rsidRPr="00AF3009">
        <w:rPr>
          <w:rFonts w:eastAsia="Arial" w:cs="Arial"/>
          <w:szCs w:val="20"/>
        </w:rPr>
        <w:fldChar w:fldCharType="begin"/>
      </w:r>
      <w:r w:rsidR="00AF3009" w:rsidRPr="00AF3009">
        <w:rPr>
          <w:rFonts w:eastAsia="Arial" w:cs="Arial"/>
          <w:szCs w:val="20"/>
        </w:rPr>
        <w:instrText xml:space="preserve"> 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 </w:instrText>
      </w:r>
      <w:r w:rsidR="00AF3009" w:rsidRPr="00AF3009">
        <w:rPr>
          <w:rFonts w:eastAsia="Arial" w:cs="Arial"/>
          <w:szCs w:val="20"/>
        </w:rPr>
      </w:r>
      <w:r w:rsidR="00AF3009" w:rsidRPr="00AF3009">
        <w:rPr>
          <w:rFonts w:eastAsia="Arial" w:cs="Arial"/>
          <w:szCs w:val="20"/>
        </w:rPr>
        <w:fldChar w:fldCharType="separate"/>
      </w:r>
      <w:bookmarkEnd w:id="77"/>
      <w:r w:rsidR="00AF3009" w:rsidRPr="00AF3009">
        <w:rPr>
          <w:rStyle w:val="Hyperlink"/>
          <w:rFonts w:eastAsia="Arial" w:cs="Arial"/>
          <w:szCs w:val="20"/>
        </w:rPr>
        <w:t>CM/Rec(2020)1</w:t>
      </w:r>
      <w:r w:rsidR="00AF3009" w:rsidRPr="00AF3009">
        <w:rPr>
          <w:rFonts w:eastAsia="Arial" w:cs="Arial"/>
          <w:szCs w:val="20"/>
        </w:rPr>
        <w:fldChar w:fldCharType="end"/>
      </w:r>
      <w:r w:rsidRPr="001C5160">
        <w:rPr>
          <w:rFonts w:eastAsia="Arial" w:cs="Arial"/>
          <w:szCs w:val="20"/>
        </w:rPr>
        <w:t xml:space="preserve"> of the Committee of Ministers to member States on the human rights impacts of algorithmic systems</w:t>
      </w:r>
    </w:p>
    <w:p w14:paraId="008F5888" w14:textId="0F326F34" w:rsidR="003B78B5" w:rsidRDefault="003B78B5">
      <w:pPr>
        <w:rPr>
          <w:rFonts w:eastAsia="Arial" w:cs="Arial"/>
          <w:szCs w:val="20"/>
        </w:rPr>
      </w:pPr>
      <w:r>
        <w:rPr>
          <w:rFonts w:eastAsia="Arial" w:cs="Arial"/>
          <w:szCs w:val="20"/>
        </w:rPr>
        <w:br w:type="page"/>
      </w:r>
    </w:p>
    <w:p w14:paraId="1CE0E706" w14:textId="77777777" w:rsidR="003B78B5" w:rsidRPr="0080571A" w:rsidRDefault="003B78B5" w:rsidP="005F63A2">
      <w:pPr>
        <w:rPr>
          <w:rFonts w:eastAsia="Arial" w:cs="Arial"/>
          <w:b/>
          <w:bCs/>
          <w:szCs w:val="20"/>
        </w:rPr>
      </w:pPr>
    </w:p>
    <w:p w14:paraId="76DB1709" w14:textId="16441846" w:rsidR="005F63A2" w:rsidRPr="0080571A" w:rsidRDefault="005F63A2" w:rsidP="005F63A2">
      <w:pPr>
        <w:pStyle w:val="Heading3"/>
        <w:keepLines w:val="0"/>
        <w:spacing w:before="0" w:line="240" w:lineRule="auto"/>
        <w:rPr>
          <w:rFonts w:ascii="Arial" w:eastAsia="Calibri" w:hAnsi="Arial" w:cs="Arial"/>
          <w:b/>
          <w:bCs/>
          <w:i/>
          <w:iCs/>
          <w:color w:val="auto"/>
          <w:sz w:val="20"/>
          <w:szCs w:val="20"/>
          <w:lang w:val="en-GB" w:eastAsia="en-GB"/>
        </w:rPr>
      </w:pPr>
      <w:r w:rsidRPr="0080571A">
        <w:rPr>
          <w:rFonts w:ascii="Arial" w:eastAsia="Calibri" w:hAnsi="Arial" w:cs="Arial"/>
          <w:b/>
          <w:bCs/>
          <w:i/>
          <w:iCs/>
          <w:color w:val="auto"/>
          <w:sz w:val="20"/>
          <w:szCs w:val="20"/>
          <w:lang w:val="en-GB" w:eastAsia="en-GB"/>
        </w:rPr>
        <w:t>Declarations</w:t>
      </w:r>
    </w:p>
    <w:p w14:paraId="4D63F81E" w14:textId="77777777" w:rsidR="003B78B5" w:rsidRPr="003B78B5" w:rsidRDefault="003B78B5" w:rsidP="003B78B5">
      <w:pPr>
        <w:rPr>
          <w:lang w:eastAsia="en-GB"/>
        </w:rPr>
      </w:pPr>
    </w:p>
    <w:p w14:paraId="058AE016" w14:textId="3BC34D30" w:rsidR="003B78B5" w:rsidRPr="001C5160" w:rsidRDefault="005F63A2" w:rsidP="005F63A2">
      <w:pPr>
        <w:rPr>
          <w:rFonts w:eastAsia="Arial" w:cs="Arial"/>
          <w:szCs w:val="20"/>
        </w:rPr>
      </w:pPr>
      <w:r w:rsidRPr="001C5160">
        <w:rPr>
          <w:rFonts w:eastAsia="Arial" w:cs="Arial"/>
          <w:szCs w:val="20"/>
        </w:rPr>
        <w:t>Declaration of the Committee of Ministers on the independence and functions of regulatory authorities for the broadcasting sector, adopted on 26 March 2008</w:t>
      </w:r>
    </w:p>
    <w:p w14:paraId="49F60A03" w14:textId="77777777" w:rsidR="005F63A2" w:rsidRPr="001C5160" w:rsidRDefault="005F63A2" w:rsidP="005F63A2">
      <w:pPr>
        <w:rPr>
          <w:rFonts w:eastAsia="Arial" w:cs="Arial"/>
          <w:szCs w:val="20"/>
        </w:rPr>
      </w:pPr>
      <w:r w:rsidRPr="001C5160">
        <w:rPr>
          <w:rFonts w:eastAsia="Arial" w:cs="Arial"/>
          <w:szCs w:val="20"/>
        </w:rPr>
        <w:t>Declaration of the Committee of Ministers on the role of community media in promotion social cohesion and intercultural dialogue, adopted on 11 February 2009</w:t>
      </w:r>
    </w:p>
    <w:p w14:paraId="7EEB0208" w14:textId="77777777" w:rsidR="005F63A2" w:rsidRPr="001C5160" w:rsidRDefault="005F63A2" w:rsidP="005F63A2">
      <w:pPr>
        <w:rPr>
          <w:rFonts w:eastAsia="Arial" w:cs="Arial"/>
          <w:szCs w:val="20"/>
        </w:rPr>
      </w:pPr>
      <w:r w:rsidRPr="001C5160">
        <w:rPr>
          <w:rFonts w:eastAsia="Arial" w:cs="Arial"/>
          <w:szCs w:val="20"/>
        </w:rPr>
        <w:t>Declaration of the Committee of Ministers on Internet governance principles, adopted on 21 September 2011</w:t>
      </w:r>
    </w:p>
    <w:p w14:paraId="18B9F128" w14:textId="77777777" w:rsidR="005F63A2" w:rsidRPr="001C5160" w:rsidRDefault="005F63A2" w:rsidP="005F63A2">
      <w:pPr>
        <w:rPr>
          <w:rFonts w:eastAsia="Arial" w:cs="Arial"/>
          <w:szCs w:val="20"/>
        </w:rPr>
      </w:pPr>
      <w:r w:rsidRPr="001C5160">
        <w:rPr>
          <w:rFonts w:eastAsia="Arial" w:cs="Arial"/>
          <w:szCs w:val="20"/>
        </w:rPr>
        <w:t>Declaration of the Committee of Ministers on public service media governance, adopted on 15 February 2012</w:t>
      </w:r>
    </w:p>
    <w:p w14:paraId="306555F0" w14:textId="77777777" w:rsidR="005F63A2" w:rsidRPr="001C5160" w:rsidRDefault="005F63A2" w:rsidP="005F63A2">
      <w:pPr>
        <w:rPr>
          <w:rFonts w:eastAsia="Arial" w:cs="Arial"/>
          <w:szCs w:val="20"/>
        </w:rPr>
      </w:pPr>
      <w:r w:rsidRPr="001C5160">
        <w:rPr>
          <w:rFonts w:eastAsia="Arial" w:cs="Arial"/>
          <w:szCs w:val="20"/>
        </w:rPr>
        <w:t>Declaration of the Committee of Ministers on the financial sustainability of quality journalism in the digital age, adopted on 13 February 2019</w:t>
      </w:r>
    </w:p>
    <w:p w14:paraId="38922905" w14:textId="063B8D69" w:rsidR="005F63A2" w:rsidRPr="001C579D" w:rsidRDefault="005F63A2" w:rsidP="0037200F">
      <w:pPr>
        <w:rPr>
          <w:rFonts w:eastAsia="Arial" w:cs="Arial"/>
          <w:szCs w:val="20"/>
        </w:rPr>
      </w:pPr>
      <w:r w:rsidRPr="001C5160">
        <w:rPr>
          <w:rFonts w:eastAsia="Arial" w:cs="Arial"/>
          <w:szCs w:val="20"/>
        </w:rPr>
        <w:t>Declaration of the Committee of Ministers on the manipulative capabilities of algorithmic processes, adopted on 13 February 2019</w:t>
      </w:r>
    </w:p>
    <w:sectPr w:rsidR="005F63A2" w:rsidRPr="001C579D"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9D6DD" w14:textId="77777777" w:rsidR="005F63A2" w:rsidRDefault="005F63A2" w:rsidP="00FD6043">
      <w:r>
        <w:separator/>
      </w:r>
    </w:p>
  </w:endnote>
  <w:endnote w:type="continuationSeparator" w:id="0">
    <w:p w14:paraId="7ABD6658" w14:textId="77777777" w:rsidR="005F63A2" w:rsidRDefault="005F63A2"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42F2"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612D"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1990" w14:textId="77777777" w:rsidR="005F63A2" w:rsidRDefault="005F63A2" w:rsidP="00FD6043">
      <w:r>
        <w:separator/>
      </w:r>
    </w:p>
  </w:footnote>
  <w:footnote w:type="continuationSeparator" w:id="0">
    <w:p w14:paraId="09FD5FFF" w14:textId="77777777" w:rsidR="005F63A2" w:rsidRDefault="005F63A2"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8B27" w14:textId="01F4C61A" w:rsidR="00E24C57" w:rsidRPr="00E54322" w:rsidRDefault="002660DB" w:rsidP="00E54322">
    <w:pPr>
      <w:pStyle w:val="Header"/>
    </w:pPr>
    <w:r w:rsidRPr="00E54322">
      <w:t>CM(</w:t>
    </w:r>
    <w:r w:rsidR="006D745B">
      <w:t>2022</w:t>
    </w:r>
    <w:r w:rsidRPr="00E54322">
      <w:t>)</w:t>
    </w:r>
    <w:r w:rsidR="005F63A2">
      <w:t>44-add</w:t>
    </w:r>
    <w:r w:rsidR="003C2376">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D15C" w14:textId="04E5EE29"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2660DB" w:rsidRPr="00E54322">
      <w:t>CM(</w:t>
    </w:r>
    <w:r w:rsidR="006D745B">
      <w:t>2022</w:t>
    </w:r>
    <w:r w:rsidR="002660DB" w:rsidRPr="00E54322">
      <w:t>)</w:t>
    </w:r>
    <w:r w:rsidR="005F63A2">
      <w:t>44-add</w:t>
    </w:r>
    <w:r w:rsidR="001C579D">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677A"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7F603268" wp14:editId="287AB5DF">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2089"/>
    <w:multiLevelType w:val="multilevel"/>
    <w:tmpl w:val="271260E8"/>
    <w:lvl w:ilvl="0">
      <w:start w:val="1"/>
      <w:numFmt w:val="decimal"/>
      <w:lvlText w:val="%1."/>
      <w:lvlJc w:val="left"/>
      <w:pPr>
        <w:ind w:left="1077" w:hanging="1077"/>
      </w:pPr>
      <w:rPr>
        <w:rFonts w:hint="default"/>
        <w:b/>
        <w:bCs/>
        <w:color w:val="auto"/>
      </w:rPr>
    </w:lvl>
    <w:lvl w:ilvl="1">
      <w:start w:val="1"/>
      <w:numFmt w:val="decimal"/>
      <w:isLgl/>
      <w:lvlText w:val="%1.%2"/>
      <w:lvlJc w:val="left"/>
      <w:pPr>
        <w:ind w:left="1077" w:hanging="1077"/>
      </w:pPr>
      <w:rPr>
        <w:rFonts w:eastAsia="Times New Roman" w:hint="default"/>
        <w:b w:val="0"/>
        <w:bCs/>
      </w:rPr>
    </w:lvl>
    <w:lvl w:ilvl="2">
      <w:start w:val="1"/>
      <w:numFmt w:val="decimal"/>
      <w:isLgl/>
      <w:lvlText w:val="%1.%2.%3"/>
      <w:lvlJc w:val="left"/>
      <w:pPr>
        <w:ind w:left="1077" w:hanging="1077"/>
      </w:pPr>
      <w:rPr>
        <w:rFonts w:eastAsia="Times New Roman" w:hint="default"/>
        <w:b/>
      </w:rPr>
    </w:lvl>
    <w:lvl w:ilvl="3">
      <w:start w:val="1"/>
      <w:numFmt w:val="decimal"/>
      <w:isLgl/>
      <w:lvlText w:val="%1.%2.%3.%4"/>
      <w:lvlJc w:val="left"/>
      <w:pPr>
        <w:ind w:left="1077" w:hanging="1077"/>
      </w:pPr>
      <w:rPr>
        <w:rFonts w:eastAsia="Times New Roman" w:hint="default"/>
        <w:b/>
      </w:rPr>
    </w:lvl>
    <w:lvl w:ilvl="4">
      <w:start w:val="1"/>
      <w:numFmt w:val="decimal"/>
      <w:isLgl/>
      <w:lvlText w:val="%1.%2.%3.%4.%5"/>
      <w:lvlJc w:val="left"/>
      <w:pPr>
        <w:ind w:left="1077" w:hanging="1077"/>
      </w:pPr>
      <w:rPr>
        <w:rFonts w:eastAsia="Times New Roman" w:hint="default"/>
        <w:b/>
      </w:rPr>
    </w:lvl>
    <w:lvl w:ilvl="5">
      <w:start w:val="1"/>
      <w:numFmt w:val="decimal"/>
      <w:isLgl/>
      <w:lvlText w:val="%1.%2.%3.%4.%5.%6"/>
      <w:lvlJc w:val="left"/>
      <w:pPr>
        <w:ind w:left="1077" w:hanging="1077"/>
      </w:pPr>
      <w:rPr>
        <w:rFonts w:eastAsia="Times New Roman" w:hint="default"/>
        <w:b/>
      </w:rPr>
    </w:lvl>
    <w:lvl w:ilvl="6">
      <w:start w:val="1"/>
      <w:numFmt w:val="decimal"/>
      <w:isLgl/>
      <w:lvlText w:val="%1.%2.%3.%4.%5.%6.%7"/>
      <w:lvlJc w:val="left"/>
      <w:pPr>
        <w:ind w:left="1077" w:hanging="1077"/>
      </w:pPr>
      <w:rPr>
        <w:rFonts w:eastAsia="Times New Roman" w:hint="default"/>
        <w:b/>
      </w:rPr>
    </w:lvl>
    <w:lvl w:ilvl="7">
      <w:start w:val="1"/>
      <w:numFmt w:val="decimal"/>
      <w:isLgl/>
      <w:lvlText w:val="%1.%2.%3.%4.%5.%6.%7.%8"/>
      <w:lvlJc w:val="left"/>
      <w:pPr>
        <w:ind w:left="1077" w:hanging="1077"/>
      </w:pPr>
      <w:rPr>
        <w:rFonts w:eastAsia="Times New Roman" w:hint="default"/>
        <w:b/>
      </w:rPr>
    </w:lvl>
    <w:lvl w:ilvl="8">
      <w:start w:val="1"/>
      <w:numFmt w:val="decimal"/>
      <w:isLgl/>
      <w:lvlText w:val="%1.%2.%3.%4.%5.%6.%7.%8.%9"/>
      <w:lvlJc w:val="left"/>
      <w:pPr>
        <w:ind w:left="1077" w:hanging="1077"/>
      </w:pPr>
      <w:rPr>
        <w:rFonts w:eastAsia="Times New Roman" w:hint="default"/>
        <w:b/>
      </w:rPr>
    </w:lvl>
  </w:abstractNum>
  <w:abstractNum w:abstractNumId="1" w15:restartNumberingAfterBreak="0">
    <w:nsid w:val="4EA96714"/>
    <w:multiLevelType w:val="hybridMultilevel"/>
    <w:tmpl w:val="D9204E1E"/>
    <w:lvl w:ilvl="0" w:tplc="5B320414">
      <w:start w:val="1"/>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63A2"/>
    <w:rsid w:val="0001238D"/>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7EF4"/>
    <w:rsid w:val="00153BB3"/>
    <w:rsid w:val="00156DC1"/>
    <w:rsid w:val="00160B03"/>
    <w:rsid w:val="00171115"/>
    <w:rsid w:val="00181ED9"/>
    <w:rsid w:val="001A6076"/>
    <w:rsid w:val="001B7E0B"/>
    <w:rsid w:val="001C579D"/>
    <w:rsid w:val="001E7C29"/>
    <w:rsid w:val="001F297D"/>
    <w:rsid w:val="001F4F04"/>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25D7"/>
    <w:rsid w:val="003A5509"/>
    <w:rsid w:val="003B2C8C"/>
    <w:rsid w:val="003B345B"/>
    <w:rsid w:val="003B78B5"/>
    <w:rsid w:val="003C2376"/>
    <w:rsid w:val="003D3B17"/>
    <w:rsid w:val="003D48AE"/>
    <w:rsid w:val="003D6AC2"/>
    <w:rsid w:val="003F3D4B"/>
    <w:rsid w:val="0040027C"/>
    <w:rsid w:val="00400868"/>
    <w:rsid w:val="004256CB"/>
    <w:rsid w:val="004329B7"/>
    <w:rsid w:val="00443709"/>
    <w:rsid w:val="00447D22"/>
    <w:rsid w:val="004553F6"/>
    <w:rsid w:val="00457CAE"/>
    <w:rsid w:val="00480D8B"/>
    <w:rsid w:val="00496F05"/>
    <w:rsid w:val="004A37E1"/>
    <w:rsid w:val="004C0C2F"/>
    <w:rsid w:val="004C11B3"/>
    <w:rsid w:val="0050115D"/>
    <w:rsid w:val="0054041B"/>
    <w:rsid w:val="00550B6C"/>
    <w:rsid w:val="00574663"/>
    <w:rsid w:val="00587701"/>
    <w:rsid w:val="005B1FA1"/>
    <w:rsid w:val="005B3604"/>
    <w:rsid w:val="005C73BB"/>
    <w:rsid w:val="005D7CDF"/>
    <w:rsid w:val="005F093B"/>
    <w:rsid w:val="005F3DC6"/>
    <w:rsid w:val="005F63A2"/>
    <w:rsid w:val="00614982"/>
    <w:rsid w:val="00631491"/>
    <w:rsid w:val="00643231"/>
    <w:rsid w:val="00643C3F"/>
    <w:rsid w:val="00644AD3"/>
    <w:rsid w:val="006455FA"/>
    <w:rsid w:val="00660638"/>
    <w:rsid w:val="00671684"/>
    <w:rsid w:val="00671EA2"/>
    <w:rsid w:val="006827E4"/>
    <w:rsid w:val="006908C5"/>
    <w:rsid w:val="006D745B"/>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7B20"/>
    <w:rsid w:val="007E168C"/>
    <w:rsid w:val="00800A19"/>
    <w:rsid w:val="008042E6"/>
    <w:rsid w:val="0080571A"/>
    <w:rsid w:val="00805F04"/>
    <w:rsid w:val="00810D5A"/>
    <w:rsid w:val="00814AA2"/>
    <w:rsid w:val="0082394F"/>
    <w:rsid w:val="00853C90"/>
    <w:rsid w:val="008575F2"/>
    <w:rsid w:val="00857F73"/>
    <w:rsid w:val="0087380A"/>
    <w:rsid w:val="00877E5C"/>
    <w:rsid w:val="008B07D4"/>
    <w:rsid w:val="008C12CC"/>
    <w:rsid w:val="008C7EF3"/>
    <w:rsid w:val="008D1088"/>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2D53"/>
    <w:rsid w:val="00A37E36"/>
    <w:rsid w:val="00A474E5"/>
    <w:rsid w:val="00A605B0"/>
    <w:rsid w:val="00A842D4"/>
    <w:rsid w:val="00A93CA3"/>
    <w:rsid w:val="00AB6552"/>
    <w:rsid w:val="00AB67F8"/>
    <w:rsid w:val="00AB7727"/>
    <w:rsid w:val="00AC30A2"/>
    <w:rsid w:val="00AC73AA"/>
    <w:rsid w:val="00AE76B8"/>
    <w:rsid w:val="00AF3009"/>
    <w:rsid w:val="00B06133"/>
    <w:rsid w:val="00B129D8"/>
    <w:rsid w:val="00B227AE"/>
    <w:rsid w:val="00B41B03"/>
    <w:rsid w:val="00B41EC3"/>
    <w:rsid w:val="00B55F87"/>
    <w:rsid w:val="00B63F08"/>
    <w:rsid w:val="00B81BAC"/>
    <w:rsid w:val="00B849E0"/>
    <w:rsid w:val="00B90246"/>
    <w:rsid w:val="00B920E4"/>
    <w:rsid w:val="00BA79A3"/>
    <w:rsid w:val="00BB08D5"/>
    <w:rsid w:val="00BB7DCE"/>
    <w:rsid w:val="00BD25C0"/>
    <w:rsid w:val="00BF78B3"/>
    <w:rsid w:val="00C049EE"/>
    <w:rsid w:val="00C109FD"/>
    <w:rsid w:val="00C11C67"/>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3AB4"/>
    <w:rsid w:val="00DF52C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6BBD"/>
    <w:rsid w:val="00F813CE"/>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D8F334"/>
  <w15:docId w15:val="{25FD397A-8572-4C38-8B11-CE9ADCE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2">
    <w:name w:val="heading 2"/>
    <w:basedOn w:val="Normal"/>
    <w:next w:val="Normal"/>
    <w:link w:val="Heading2Char"/>
    <w:uiPriority w:val="9"/>
    <w:unhideWhenUsed/>
    <w:qFormat/>
    <w:rsid w:val="005F63A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uiPriority w:val="9"/>
    <w:unhideWhenUsed/>
    <w:qFormat/>
    <w:rsid w:val="005F63A2"/>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uiPriority w:val="9"/>
    <w:unhideWhenUsed/>
    <w:qFormat/>
    <w:rsid w:val="005F63A2"/>
    <w:pPr>
      <w:keepNext/>
      <w:keepLines/>
      <w:spacing w:before="40" w:line="259" w:lineRule="auto"/>
      <w:outlineLvl w:val="3"/>
    </w:pPr>
    <w:rPr>
      <w:rFonts w:asciiTheme="majorHAnsi" w:eastAsiaTheme="majorEastAsia" w:hAnsiTheme="majorHAnsi" w:cstheme="majorBidi"/>
      <w:i/>
      <w:iCs/>
      <w:color w:val="365F91" w:themeColor="accent1" w:themeShade="BF"/>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customStyle="1" w:styleId="Heading2Char">
    <w:name w:val="Heading 2 Char"/>
    <w:basedOn w:val="DefaultParagraphFont"/>
    <w:link w:val="Heading2"/>
    <w:uiPriority w:val="9"/>
    <w:rsid w:val="005F63A2"/>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rsid w:val="005F63A2"/>
    <w:rPr>
      <w:rFonts w:asciiTheme="majorHAnsi" w:eastAsiaTheme="majorEastAsia" w:hAnsiTheme="majorHAnsi" w:cstheme="majorBidi"/>
      <w:color w:val="243F60" w:themeColor="accent1" w:themeShade="7F"/>
      <w:sz w:val="24"/>
      <w:szCs w:val="24"/>
      <w:lang w:val="fr-FR" w:eastAsia="en-US"/>
    </w:rPr>
  </w:style>
  <w:style w:type="character" w:customStyle="1" w:styleId="Heading4Char">
    <w:name w:val="Heading 4 Char"/>
    <w:basedOn w:val="DefaultParagraphFont"/>
    <w:link w:val="Heading4"/>
    <w:uiPriority w:val="9"/>
    <w:rsid w:val="005F63A2"/>
    <w:rPr>
      <w:rFonts w:asciiTheme="majorHAnsi" w:eastAsiaTheme="majorEastAsia" w:hAnsiTheme="majorHAnsi" w:cstheme="majorBidi"/>
      <w:i/>
      <w:iCs/>
      <w:color w:val="365F91" w:themeColor="accent1" w:themeShade="BF"/>
      <w:sz w:val="22"/>
      <w:szCs w:val="22"/>
      <w:lang w:val="fr-FR" w:eastAsia="en-US"/>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99"/>
    <w:qFormat/>
    <w:rsid w:val="005F63A2"/>
    <w:pPr>
      <w:spacing w:line="288" w:lineRule="auto"/>
      <w:ind w:left="340"/>
      <w:contextualSpacing/>
      <w:jc w:val="both"/>
    </w:pPr>
    <w:rPr>
      <w:rFonts w:asciiTheme="minorHAnsi" w:eastAsia="Times New Roman" w:hAnsiTheme="minorHAnsi"/>
      <w:sz w:val="22"/>
      <w:szCs w:val="24"/>
      <w:lang w:val="fr-FR"/>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99"/>
    <w:qFormat/>
    <w:rsid w:val="005F63A2"/>
    <w:rPr>
      <w:rFonts w:asciiTheme="minorHAnsi" w:eastAsia="Times New Roman" w:hAnsiTheme="minorHAnsi"/>
      <w:sz w:val="22"/>
      <w:szCs w:val="24"/>
      <w:lang w:val="fr-FR" w:eastAsia="en-US"/>
    </w:rPr>
  </w:style>
  <w:style w:type="character" w:styleId="Strong">
    <w:name w:val="Strong"/>
    <w:basedOn w:val="DefaultParagraphFont"/>
    <w:uiPriority w:val="22"/>
    <w:qFormat/>
    <w:rsid w:val="005F63A2"/>
    <w:rPr>
      <w:rFonts w:asciiTheme="minorHAnsi" w:hAnsiTheme="minorHAnsi"/>
      <w:b/>
      <w:bCs/>
      <w:sz w:val="24"/>
    </w:rPr>
  </w:style>
  <w:style w:type="paragraph" w:customStyle="1" w:styleId="FramedPrinciple">
    <w:name w:val="Framed Principle"/>
    <w:basedOn w:val="Normal"/>
    <w:qFormat/>
    <w:rsid w:val="005F63A2"/>
    <w:pPr>
      <w:pBdr>
        <w:top w:val="single" w:sz="4" w:space="1" w:color="auto"/>
        <w:left w:val="single" w:sz="4" w:space="4" w:color="auto"/>
        <w:bottom w:val="single" w:sz="4" w:space="1" w:color="auto"/>
        <w:right w:val="single" w:sz="4" w:space="4" w:color="auto"/>
      </w:pBdr>
      <w:spacing w:before="240" w:after="240" w:line="259" w:lineRule="auto"/>
      <w:ind w:left="142" w:right="68"/>
      <w:jc w:val="both"/>
    </w:pPr>
    <w:rPr>
      <w:rFonts w:ascii="Arial Nova" w:hAnsi="Arial Nova" w:cs="Arial"/>
      <w:i/>
      <w:szCs w:val="20"/>
      <w:lang w:eastAsia="en-GB"/>
    </w:rPr>
  </w:style>
  <w:style w:type="character" w:styleId="UnresolvedMention">
    <w:name w:val="Unresolved Mention"/>
    <w:basedOn w:val="DefaultParagraphFont"/>
    <w:uiPriority w:val="99"/>
    <w:semiHidden/>
    <w:unhideWhenUsed/>
    <w:rsid w:val="003A2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I-THI\ND%20Office%20Echo\DE-67V8R4IN\E_CM-Template%202791-4659-353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2791-4659-3539 v.3</Template>
  <TotalTime>19</TotalTime>
  <Pages>26</Pages>
  <Words>21978</Words>
  <Characters>120879</Characters>
  <Application>Microsoft Office Word</Application>
  <DocSecurity>0</DocSecurity>
  <Lines>1007</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142572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EVANS Elizabeth</cp:lastModifiedBy>
  <cp:revision>5</cp:revision>
  <cp:lastPrinted>2022-03-01T16:34:00Z</cp:lastPrinted>
  <dcterms:created xsi:type="dcterms:W3CDTF">2022-04-07T09:54:00Z</dcterms:created>
  <dcterms:modified xsi:type="dcterms:W3CDTF">2022-04-07T12:33:00Z</dcterms:modified>
</cp:coreProperties>
</file>