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39C7D" w14:textId="2AD6EA66" w:rsidR="00F711CC" w:rsidRDefault="002227B3" w:rsidP="00CE0A0B">
      <w:pPr>
        <w:tabs>
          <w:tab w:val="left" w:pos="1613"/>
        </w:tabs>
        <w:spacing w:after="0" w:line="240" w:lineRule="auto"/>
        <w:ind w:left="426" w:hanging="357"/>
        <w:jc w:val="center"/>
        <w:rPr>
          <w:rFonts w:cstheme="minorHAnsi"/>
          <w:b/>
          <w:bCs/>
          <w:szCs w:val="20"/>
        </w:rPr>
      </w:pPr>
      <w:r w:rsidRPr="00663E17">
        <w:rPr>
          <w:rFonts w:cstheme="minorHAnsi"/>
          <w:b/>
          <w:bCs/>
          <w:szCs w:val="20"/>
        </w:rPr>
        <w:t>Memorandum</w:t>
      </w:r>
      <w:r w:rsidR="00A00D1D">
        <w:rPr>
          <w:rFonts w:cstheme="minorHAnsi"/>
          <w:b/>
          <w:bCs/>
          <w:szCs w:val="20"/>
        </w:rPr>
        <w:t xml:space="preserve"> </w:t>
      </w:r>
      <w:r w:rsidRPr="00663E17">
        <w:rPr>
          <w:rFonts w:cstheme="minorHAnsi"/>
          <w:b/>
          <w:bCs/>
          <w:szCs w:val="20"/>
        </w:rPr>
        <w:t xml:space="preserve">on </w:t>
      </w:r>
      <w:r w:rsidR="00880285">
        <w:rPr>
          <w:rFonts w:cstheme="minorHAnsi"/>
          <w:b/>
          <w:bCs/>
          <w:szCs w:val="20"/>
        </w:rPr>
        <w:t xml:space="preserve">the </w:t>
      </w:r>
      <w:r w:rsidR="005F354B">
        <w:rPr>
          <w:rFonts w:cstheme="minorHAnsi"/>
          <w:b/>
          <w:bCs/>
          <w:szCs w:val="20"/>
        </w:rPr>
        <w:t xml:space="preserve">humanitarian and </w:t>
      </w:r>
      <w:r w:rsidR="00880285">
        <w:rPr>
          <w:rFonts w:cstheme="minorHAnsi"/>
          <w:b/>
          <w:bCs/>
          <w:szCs w:val="20"/>
        </w:rPr>
        <w:t>human rights consequences</w:t>
      </w:r>
      <w:r w:rsidR="00CE40C5">
        <w:rPr>
          <w:rFonts w:cstheme="minorHAnsi"/>
          <w:b/>
          <w:bCs/>
          <w:szCs w:val="20"/>
        </w:rPr>
        <w:t xml:space="preserve"> following</w:t>
      </w:r>
      <w:r w:rsidR="00876CF4">
        <w:rPr>
          <w:rFonts w:cstheme="minorHAnsi"/>
          <w:b/>
          <w:bCs/>
          <w:szCs w:val="20"/>
        </w:rPr>
        <w:br/>
      </w:r>
      <w:r w:rsidR="00971B0C">
        <w:rPr>
          <w:rFonts w:cstheme="minorHAnsi"/>
          <w:b/>
          <w:bCs/>
          <w:szCs w:val="20"/>
        </w:rPr>
        <w:t xml:space="preserve">the 2020 outbreak of hostilities </w:t>
      </w:r>
      <w:r w:rsidR="00F711CC">
        <w:rPr>
          <w:rFonts w:cstheme="minorHAnsi"/>
          <w:b/>
          <w:bCs/>
          <w:szCs w:val="20"/>
        </w:rPr>
        <w:t xml:space="preserve">between Armenia and Azerbaijan </w:t>
      </w:r>
      <w:r w:rsidR="00401686">
        <w:rPr>
          <w:rFonts w:cstheme="minorHAnsi"/>
          <w:b/>
          <w:bCs/>
          <w:szCs w:val="20"/>
        </w:rPr>
        <w:t>over Nagorno-Karabakh</w:t>
      </w:r>
    </w:p>
    <w:p w14:paraId="49345EAF" w14:textId="47121AE6" w:rsidR="00EC4851" w:rsidRPr="009743D0" w:rsidRDefault="00EC4851" w:rsidP="001A7208">
      <w:pPr>
        <w:tabs>
          <w:tab w:val="left" w:pos="1613"/>
        </w:tabs>
        <w:spacing w:after="0" w:line="240" w:lineRule="auto"/>
        <w:ind w:left="714"/>
        <w:jc w:val="both"/>
        <w:rPr>
          <w:rFonts w:cstheme="minorHAnsi"/>
          <w:szCs w:val="20"/>
          <w:lang w:val="en-GB"/>
        </w:rPr>
      </w:pPr>
    </w:p>
    <w:p w14:paraId="01A1B112" w14:textId="2794BD60" w:rsidR="001414C9" w:rsidRPr="009743D0" w:rsidRDefault="001414C9" w:rsidP="001A7208">
      <w:pPr>
        <w:tabs>
          <w:tab w:val="left" w:pos="1613"/>
        </w:tabs>
        <w:spacing w:after="0" w:line="240" w:lineRule="auto"/>
        <w:ind w:left="714"/>
        <w:jc w:val="both"/>
        <w:rPr>
          <w:rFonts w:cstheme="minorHAnsi"/>
          <w:szCs w:val="20"/>
          <w:lang w:val="en-GB"/>
        </w:rPr>
      </w:pPr>
    </w:p>
    <w:p w14:paraId="24ECB591" w14:textId="663CE544" w:rsidR="002227B3" w:rsidRPr="00CE0A0B" w:rsidRDefault="002227B3" w:rsidP="001A7208">
      <w:pPr>
        <w:tabs>
          <w:tab w:val="left" w:pos="1613"/>
        </w:tabs>
        <w:spacing w:after="0" w:line="240" w:lineRule="auto"/>
        <w:ind w:left="714"/>
        <w:jc w:val="both"/>
        <w:rPr>
          <w:rFonts w:cstheme="minorHAnsi"/>
          <w:b/>
          <w:bCs/>
          <w:szCs w:val="20"/>
          <w:lang w:val="en-GB"/>
        </w:rPr>
      </w:pPr>
      <w:r w:rsidRPr="00CE0A0B">
        <w:rPr>
          <w:rFonts w:cstheme="minorHAnsi"/>
          <w:b/>
          <w:bCs/>
          <w:szCs w:val="20"/>
          <w:lang w:val="en-GB"/>
        </w:rPr>
        <w:t>Introduction</w:t>
      </w:r>
    </w:p>
    <w:p w14:paraId="583A91B6" w14:textId="310F4F64" w:rsidR="00663E17" w:rsidRPr="00D51AD2" w:rsidRDefault="00663E17" w:rsidP="001A7208">
      <w:pPr>
        <w:pStyle w:val="ListParagraph"/>
        <w:tabs>
          <w:tab w:val="left" w:pos="1613"/>
        </w:tabs>
        <w:spacing w:after="0" w:line="240" w:lineRule="auto"/>
        <w:ind w:left="426"/>
        <w:jc w:val="both"/>
        <w:rPr>
          <w:rFonts w:cstheme="minorHAnsi"/>
          <w:szCs w:val="20"/>
          <w:lang w:val="en-GB"/>
        </w:rPr>
      </w:pPr>
    </w:p>
    <w:p w14:paraId="002690FD" w14:textId="01EDC7C4" w:rsidR="009632B5" w:rsidRDefault="002227B3" w:rsidP="006C692B">
      <w:pPr>
        <w:numPr>
          <w:ilvl w:val="0"/>
          <w:numId w:val="2"/>
        </w:numPr>
        <w:tabs>
          <w:tab w:val="left" w:pos="1613"/>
        </w:tabs>
        <w:spacing w:after="0" w:line="240" w:lineRule="auto"/>
        <w:ind w:left="714" w:hanging="357"/>
        <w:jc w:val="both"/>
        <w:rPr>
          <w:rFonts w:cstheme="minorHAnsi"/>
          <w:szCs w:val="20"/>
          <w:lang w:val="en-GB"/>
        </w:rPr>
      </w:pPr>
      <w:r w:rsidRPr="007551FF">
        <w:rPr>
          <w:rFonts w:cstheme="minorHAnsi"/>
          <w:szCs w:val="20"/>
          <w:lang w:val="en-GB"/>
        </w:rPr>
        <w:t xml:space="preserve">The present memorandum by the Council of Europe Commissioner for Human Rights (hereinafter, “the Commissioner”) addresses the </w:t>
      </w:r>
      <w:r w:rsidR="000350DD" w:rsidRPr="007551FF">
        <w:rPr>
          <w:rFonts w:cstheme="minorHAnsi"/>
          <w:szCs w:val="20"/>
          <w:lang w:val="en-GB"/>
        </w:rPr>
        <w:t>humanitarian and human rights consequences</w:t>
      </w:r>
      <w:r w:rsidR="00D51BC4" w:rsidRPr="007551FF">
        <w:rPr>
          <w:rFonts w:cstheme="minorHAnsi"/>
          <w:szCs w:val="20"/>
          <w:lang w:val="en-GB"/>
        </w:rPr>
        <w:t xml:space="preserve"> </w:t>
      </w:r>
      <w:r w:rsidR="000350DD" w:rsidRPr="007551FF">
        <w:rPr>
          <w:rFonts w:cstheme="minorHAnsi"/>
          <w:szCs w:val="20"/>
          <w:lang w:val="en-GB"/>
        </w:rPr>
        <w:t xml:space="preserve">following </w:t>
      </w:r>
      <w:r w:rsidR="00F711CC" w:rsidRPr="007551FF">
        <w:rPr>
          <w:rFonts w:cstheme="minorHAnsi"/>
          <w:szCs w:val="20"/>
          <w:lang w:val="en-GB"/>
        </w:rPr>
        <w:t xml:space="preserve">the 2020 outbreak of hostilities </w:t>
      </w:r>
      <w:r w:rsidR="00CE40C5">
        <w:rPr>
          <w:rFonts w:cstheme="minorHAnsi"/>
          <w:szCs w:val="20"/>
          <w:lang w:val="en-GB"/>
        </w:rPr>
        <w:t>between Armenia and Azerbaijan over</w:t>
      </w:r>
      <w:r w:rsidR="00F711CC" w:rsidRPr="007551FF">
        <w:rPr>
          <w:rFonts w:cstheme="minorHAnsi"/>
          <w:szCs w:val="20"/>
          <w:lang w:val="en-GB"/>
        </w:rPr>
        <w:t xml:space="preserve"> Nagorno-Karabakh</w:t>
      </w:r>
      <w:r w:rsidR="00A00D1D">
        <w:rPr>
          <w:rFonts w:cstheme="minorHAnsi"/>
          <w:szCs w:val="20"/>
          <w:lang w:val="en-GB"/>
        </w:rPr>
        <w:t>.</w:t>
      </w:r>
      <w:r w:rsidR="003E3808">
        <w:rPr>
          <w:rStyle w:val="FootnoteReference"/>
          <w:rFonts w:cstheme="minorHAnsi"/>
          <w:b/>
          <w:bCs/>
          <w:szCs w:val="20"/>
        </w:rPr>
        <w:footnoteReference w:id="1"/>
      </w:r>
      <w:r w:rsidR="00A00D1D">
        <w:rPr>
          <w:rFonts w:cstheme="minorHAnsi"/>
          <w:b/>
          <w:bCs/>
          <w:szCs w:val="20"/>
        </w:rPr>
        <w:t xml:space="preserve"> </w:t>
      </w:r>
      <w:r w:rsidR="009632B5" w:rsidRPr="009632B5">
        <w:rPr>
          <w:rFonts w:cstheme="minorHAnsi"/>
          <w:szCs w:val="20"/>
          <w:lang w:val="en-GB"/>
        </w:rPr>
        <w:t xml:space="preserve">While there are still pending human rights issues from the previous </w:t>
      </w:r>
      <w:r w:rsidR="009632B5">
        <w:rPr>
          <w:rFonts w:cstheme="minorHAnsi"/>
          <w:szCs w:val="20"/>
          <w:lang w:val="en-GB"/>
        </w:rPr>
        <w:t xml:space="preserve">major outbreak of hostilities </w:t>
      </w:r>
      <w:r w:rsidR="005D74DC">
        <w:rPr>
          <w:rFonts w:cstheme="minorHAnsi"/>
          <w:szCs w:val="20"/>
          <w:lang w:val="en-GB"/>
        </w:rPr>
        <w:t xml:space="preserve">which took place </w:t>
      </w:r>
      <w:r w:rsidR="009632B5">
        <w:rPr>
          <w:rFonts w:cstheme="minorHAnsi"/>
          <w:szCs w:val="20"/>
          <w:lang w:val="en-GB"/>
        </w:rPr>
        <w:t>from 1991 to 1994</w:t>
      </w:r>
      <w:r w:rsidR="009632B5" w:rsidRPr="009632B5">
        <w:rPr>
          <w:rFonts w:cstheme="minorHAnsi"/>
          <w:szCs w:val="20"/>
          <w:lang w:val="en-GB"/>
        </w:rPr>
        <w:t>,</w:t>
      </w:r>
      <w:r w:rsidR="00A00D1D">
        <w:rPr>
          <w:rFonts w:cstheme="minorHAnsi"/>
          <w:szCs w:val="20"/>
          <w:lang w:val="en-GB"/>
        </w:rPr>
        <w:t xml:space="preserve"> it </w:t>
      </w:r>
      <w:r w:rsidR="009632B5" w:rsidRPr="009632B5">
        <w:rPr>
          <w:rFonts w:cstheme="minorHAnsi"/>
          <w:szCs w:val="20"/>
          <w:lang w:val="en-GB"/>
        </w:rPr>
        <w:t>is not the purpose of this memorandum to deal with the entire consequences of the conflict in the 1990s.</w:t>
      </w:r>
      <w:r w:rsidR="007C00E8">
        <w:rPr>
          <w:rStyle w:val="FootnoteReference"/>
          <w:rFonts w:cstheme="minorHAnsi"/>
          <w:szCs w:val="20"/>
          <w:lang w:val="en-GB"/>
        </w:rPr>
        <w:footnoteReference w:id="2"/>
      </w:r>
    </w:p>
    <w:p w14:paraId="08B6C5DF" w14:textId="77777777" w:rsidR="009632B5" w:rsidRDefault="009632B5" w:rsidP="009632B5">
      <w:pPr>
        <w:tabs>
          <w:tab w:val="left" w:pos="1613"/>
        </w:tabs>
        <w:spacing w:after="0" w:line="240" w:lineRule="auto"/>
        <w:ind w:left="714"/>
        <w:jc w:val="both"/>
        <w:rPr>
          <w:rFonts w:cstheme="minorHAnsi"/>
          <w:szCs w:val="20"/>
          <w:lang w:val="en-GB"/>
        </w:rPr>
      </w:pPr>
    </w:p>
    <w:p w14:paraId="6A129AA0" w14:textId="4FB4934F" w:rsidR="000B691B" w:rsidRPr="009632B5" w:rsidRDefault="007551FF" w:rsidP="006C692B">
      <w:pPr>
        <w:numPr>
          <w:ilvl w:val="0"/>
          <w:numId w:val="2"/>
        </w:numPr>
        <w:tabs>
          <w:tab w:val="left" w:pos="1613"/>
        </w:tabs>
        <w:spacing w:after="0" w:line="240" w:lineRule="auto"/>
        <w:ind w:left="714" w:hanging="357"/>
        <w:jc w:val="both"/>
        <w:rPr>
          <w:rFonts w:cstheme="minorHAnsi"/>
          <w:szCs w:val="20"/>
          <w:lang w:val="en-GB"/>
        </w:rPr>
      </w:pPr>
      <w:r w:rsidRPr="009632B5">
        <w:rPr>
          <w:rFonts w:cstheme="minorHAnsi"/>
          <w:szCs w:val="20"/>
          <w:lang w:val="en-GB"/>
        </w:rPr>
        <w:t xml:space="preserve">The </w:t>
      </w:r>
      <w:r w:rsidR="009632B5" w:rsidRPr="009632B5">
        <w:rPr>
          <w:rFonts w:cstheme="minorHAnsi"/>
          <w:szCs w:val="20"/>
          <w:lang w:val="en-GB"/>
        </w:rPr>
        <w:t xml:space="preserve">2020 </w:t>
      </w:r>
      <w:r w:rsidR="00F711CC" w:rsidRPr="009632B5">
        <w:rPr>
          <w:rFonts w:cstheme="minorHAnsi"/>
          <w:szCs w:val="20"/>
          <w:lang w:val="en-GB"/>
        </w:rPr>
        <w:t xml:space="preserve">hostilities, which lasted 6 weeks, </w:t>
      </w:r>
      <w:r w:rsidR="00D16A13" w:rsidRPr="009632B5">
        <w:rPr>
          <w:rFonts w:cstheme="minorHAnsi"/>
          <w:szCs w:val="20"/>
          <w:lang w:val="en-GB"/>
        </w:rPr>
        <w:t xml:space="preserve">resulted </w:t>
      </w:r>
      <w:r w:rsidR="00D94194" w:rsidRPr="009632B5">
        <w:rPr>
          <w:rFonts w:cstheme="minorHAnsi"/>
          <w:szCs w:val="20"/>
          <w:lang w:val="en-GB"/>
        </w:rPr>
        <w:t>in</w:t>
      </w:r>
      <w:r w:rsidR="00D16A13" w:rsidRPr="009632B5">
        <w:rPr>
          <w:rFonts w:cstheme="minorHAnsi"/>
          <w:szCs w:val="20"/>
        </w:rPr>
        <w:t xml:space="preserve"> the loss of </w:t>
      </w:r>
      <w:r w:rsidR="00401686" w:rsidRPr="009632B5">
        <w:rPr>
          <w:rFonts w:cstheme="minorHAnsi"/>
          <w:szCs w:val="20"/>
        </w:rPr>
        <w:t>more than 6</w:t>
      </w:r>
      <w:r w:rsidR="007E61C5">
        <w:rPr>
          <w:rFonts w:cstheme="minorHAnsi"/>
          <w:szCs w:val="20"/>
        </w:rPr>
        <w:t> </w:t>
      </w:r>
      <w:r w:rsidR="002A0ACB">
        <w:rPr>
          <w:rFonts w:cstheme="minorHAnsi"/>
          <w:szCs w:val="20"/>
        </w:rPr>
        <w:t>5</w:t>
      </w:r>
      <w:r w:rsidR="00401686" w:rsidRPr="009632B5">
        <w:rPr>
          <w:rFonts w:cstheme="minorHAnsi"/>
          <w:szCs w:val="20"/>
        </w:rPr>
        <w:t>00</w:t>
      </w:r>
      <w:r w:rsidR="00D16A13" w:rsidRPr="009632B5">
        <w:rPr>
          <w:rFonts w:cstheme="minorHAnsi"/>
          <w:szCs w:val="20"/>
        </w:rPr>
        <w:t xml:space="preserve"> lives and severe hardship for people living in the conflict-affected areas. </w:t>
      </w:r>
      <w:r w:rsidR="00D16A13" w:rsidRPr="009632B5">
        <w:rPr>
          <w:rFonts w:cstheme="minorHAnsi"/>
          <w:szCs w:val="20"/>
          <w:lang w:val="en-GB"/>
        </w:rPr>
        <w:t>The Commissioner wishes to pay respect to those who died and extends</w:t>
      </w:r>
      <w:r w:rsidR="00401686" w:rsidRPr="009632B5">
        <w:rPr>
          <w:rFonts w:cstheme="minorHAnsi"/>
          <w:szCs w:val="20"/>
          <w:lang w:val="en-GB"/>
        </w:rPr>
        <w:t xml:space="preserve"> </w:t>
      </w:r>
      <w:r w:rsidR="00D16A13" w:rsidRPr="009632B5">
        <w:rPr>
          <w:rFonts w:cstheme="minorHAnsi"/>
          <w:szCs w:val="20"/>
          <w:lang w:val="en-GB"/>
        </w:rPr>
        <w:t>deep sympathies to their families</w:t>
      </w:r>
      <w:r w:rsidR="003B47D6">
        <w:rPr>
          <w:rFonts w:cstheme="minorHAnsi"/>
          <w:szCs w:val="20"/>
          <w:lang w:val="en-GB"/>
        </w:rPr>
        <w:t xml:space="preserve">, </w:t>
      </w:r>
      <w:proofErr w:type="gramStart"/>
      <w:r w:rsidR="003B47D6">
        <w:rPr>
          <w:rFonts w:cstheme="minorHAnsi"/>
          <w:szCs w:val="20"/>
          <w:lang w:val="en-GB"/>
        </w:rPr>
        <w:t>and also</w:t>
      </w:r>
      <w:proofErr w:type="gramEnd"/>
      <w:r w:rsidR="003B47D6">
        <w:rPr>
          <w:rFonts w:cstheme="minorHAnsi"/>
          <w:szCs w:val="20"/>
          <w:lang w:val="en-GB"/>
        </w:rPr>
        <w:t xml:space="preserve"> </w:t>
      </w:r>
      <w:r w:rsidR="003B47D6" w:rsidRPr="009632B5">
        <w:rPr>
          <w:rFonts w:cstheme="minorHAnsi"/>
          <w:szCs w:val="20"/>
          <w:lang w:val="en-GB"/>
        </w:rPr>
        <w:t>acknowled</w:t>
      </w:r>
      <w:r w:rsidR="003B47D6">
        <w:rPr>
          <w:rFonts w:cstheme="minorHAnsi"/>
          <w:szCs w:val="20"/>
          <w:lang w:val="en-GB"/>
        </w:rPr>
        <w:t>ges</w:t>
      </w:r>
      <w:r w:rsidR="00D16A13" w:rsidRPr="009632B5">
        <w:rPr>
          <w:rFonts w:cstheme="minorHAnsi"/>
          <w:szCs w:val="20"/>
          <w:lang w:val="en-GB"/>
        </w:rPr>
        <w:t xml:space="preserve"> the suffering of those who have been</w:t>
      </w:r>
      <w:r w:rsidR="00401686" w:rsidRPr="009632B5">
        <w:rPr>
          <w:rFonts w:cstheme="minorHAnsi"/>
          <w:szCs w:val="20"/>
          <w:lang w:val="en-GB"/>
        </w:rPr>
        <w:t xml:space="preserve"> injured</w:t>
      </w:r>
      <w:r w:rsidR="00DC1C01">
        <w:rPr>
          <w:rFonts w:cstheme="minorHAnsi"/>
          <w:szCs w:val="20"/>
          <w:lang w:val="en-GB"/>
        </w:rPr>
        <w:t xml:space="preserve"> and displaced</w:t>
      </w:r>
      <w:r w:rsidR="00D16A13" w:rsidRPr="009632B5">
        <w:rPr>
          <w:rFonts w:cstheme="minorHAnsi"/>
          <w:szCs w:val="20"/>
        </w:rPr>
        <w:t>.</w:t>
      </w:r>
      <w:r w:rsidR="003B40CA" w:rsidRPr="009632B5">
        <w:rPr>
          <w:rFonts w:cstheme="minorHAnsi"/>
          <w:szCs w:val="20"/>
        </w:rPr>
        <w:t xml:space="preserve"> </w:t>
      </w:r>
      <w:r w:rsidR="00377750" w:rsidRPr="009632B5">
        <w:rPr>
          <w:rFonts w:cstheme="minorHAnsi"/>
          <w:szCs w:val="20"/>
          <w:lang w:val="en-GB"/>
        </w:rPr>
        <w:t xml:space="preserve">The hostilities </w:t>
      </w:r>
      <w:r w:rsidR="00F711CC" w:rsidRPr="009632B5">
        <w:rPr>
          <w:rFonts w:cstheme="minorHAnsi"/>
          <w:szCs w:val="20"/>
          <w:lang w:val="en-GB"/>
        </w:rPr>
        <w:t xml:space="preserve">ended with the </w:t>
      </w:r>
      <w:bookmarkStart w:id="0" w:name="_Hlk84024922"/>
      <w:r w:rsidR="007373EE" w:rsidRPr="009632B5">
        <w:rPr>
          <w:rFonts w:cstheme="minorHAnsi"/>
          <w:szCs w:val="20"/>
        </w:rPr>
        <w:t xml:space="preserve">statement by the President of the Republic of Azerbaijan, the Prime Minister of the Republic of Armenia and the President of the Russian Federation </w:t>
      </w:r>
      <w:bookmarkEnd w:id="0"/>
      <w:r w:rsidR="007373EE" w:rsidRPr="009632B5">
        <w:rPr>
          <w:rFonts w:cstheme="minorHAnsi"/>
          <w:szCs w:val="20"/>
        </w:rPr>
        <w:t xml:space="preserve">on a complete ceasefire and termination of all hostilities </w:t>
      </w:r>
      <w:proofErr w:type="gramStart"/>
      <w:r w:rsidR="007373EE" w:rsidRPr="009632B5">
        <w:rPr>
          <w:rFonts w:cstheme="minorHAnsi"/>
          <w:szCs w:val="20"/>
        </w:rPr>
        <w:t>in the area of</w:t>
      </w:r>
      <w:proofErr w:type="gramEnd"/>
      <w:r w:rsidR="007373EE" w:rsidRPr="009632B5">
        <w:rPr>
          <w:rFonts w:cstheme="minorHAnsi"/>
          <w:szCs w:val="20"/>
        </w:rPr>
        <w:t xml:space="preserve"> the Nagorno-Karabakh conflict, signed on 9 November 2020</w:t>
      </w:r>
      <w:r w:rsidR="005845D9">
        <w:rPr>
          <w:rFonts w:cstheme="minorHAnsi"/>
          <w:szCs w:val="20"/>
        </w:rPr>
        <w:t xml:space="preserve"> (hereinafter</w:t>
      </w:r>
      <w:r w:rsidR="00A00D1D">
        <w:rPr>
          <w:rFonts w:cstheme="minorHAnsi"/>
          <w:szCs w:val="20"/>
        </w:rPr>
        <w:t xml:space="preserve">, </w:t>
      </w:r>
      <w:r w:rsidR="005845D9">
        <w:rPr>
          <w:rFonts w:cstheme="minorHAnsi"/>
          <w:szCs w:val="20"/>
        </w:rPr>
        <w:t xml:space="preserve">“the </w:t>
      </w:r>
      <w:r w:rsidR="009C745A">
        <w:rPr>
          <w:rFonts w:cstheme="minorHAnsi"/>
          <w:szCs w:val="20"/>
        </w:rPr>
        <w:t>trilateral statement</w:t>
      </w:r>
      <w:r w:rsidR="00A00D1D">
        <w:rPr>
          <w:rFonts w:cstheme="minorHAnsi"/>
          <w:szCs w:val="20"/>
        </w:rPr>
        <w:t>”</w:t>
      </w:r>
      <w:r w:rsidR="005845D9">
        <w:rPr>
          <w:rFonts w:cstheme="minorHAnsi"/>
          <w:szCs w:val="20"/>
        </w:rPr>
        <w:t>)</w:t>
      </w:r>
      <w:r w:rsidR="0046254E" w:rsidRPr="009632B5">
        <w:rPr>
          <w:rFonts w:cstheme="minorHAnsi"/>
          <w:szCs w:val="20"/>
          <w:lang w:val="en-GB"/>
        </w:rPr>
        <w:t xml:space="preserve">. </w:t>
      </w:r>
    </w:p>
    <w:p w14:paraId="67077BC3" w14:textId="192EA25E" w:rsidR="000350DD" w:rsidRDefault="000350DD" w:rsidP="000350DD">
      <w:pPr>
        <w:tabs>
          <w:tab w:val="left" w:pos="1613"/>
        </w:tabs>
        <w:spacing w:after="0" w:line="240" w:lineRule="auto"/>
        <w:ind w:left="714"/>
        <w:jc w:val="both"/>
        <w:rPr>
          <w:rFonts w:cstheme="minorHAnsi"/>
          <w:szCs w:val="20"/>
          <w:lang w:val="en-GB"/>
        </w:rPr>
      </w:pPr>
    </w:p>
    <w:p w14:paraId="3EC9CD80" w14:textId="0C4D4BF9" w:rsidR="00D51AD2" w:rsidRDefault="0094171E" w:rsidP="00D51AD2">
      <w:pPr>
        <w:numPr>
          <w:ilvl w:val="0"/>
          <w:numId w:val="2"/>
        </w:numPr>
        <w:tabs>
          <w:tab w:val="left" w:pos="1613"/>
        </w:tabs>
        <w:spacing w:after="0" w:line="240" w:lineRule="auto"/>
        <w:ind w:left="714" w:hanging="357"/>
        <w:jc w:val="both"/>
        <w:rPr>
          <w:rFonts w:cstheme="minorHAnsi"/>
          <w:szCs w:val="20"/>
          <w:lang w:val="en-GB"/>
        </w:rPr>
      </w:pPr>
      <w:r>
        <w:rPr>
          <w:rFonts w:cstheme="minorHAnsi"/>
          <w:szCs w:val="20"/>
          <w:lang w:val="en-GB"/>
        </w:rPr>
        <w:t>According to her</w:t>
      </w:r>
      <w:r w:rsidR="00D51AD2" w:rsidRPr="000350DD">
        <w:rPr>
          <w:rFonts w:cstheme="minorHAnsi"/>
          <w:szCs w:val="20"/>
          <w:lang w:val="en-GB"/>
        </w:rPr>
        <w:t xml:space="preserve"> mandate</w:t>
      </w:r>
      <w:r>
        <w:rPr>
          <w:rFonts w:cstheme="minorHAnsi"/>
          <w:szCs w:val="20"/>
          <w:lang w:val="en-GB"/>
        </w:rPr>
        <w:t xml:space="preserve">, the Commissioner </w:t>
      </w:r>
      <w:r w:rsidR="00D51AD2" w:rsidRPr="000350DD">
        <w:rPr>
          <w:rFonts w:cstheme="minorHAnsi"/>
          <w:szCs w:val="20"/>
          <w:lang w:val="en-GB"/>
        </w:rPr>
        <w:t xml:space="preserve">shall contribute to the promotion of the effective observance and full enjoyment of human rights in the member </w:t>
      </w:r>
      <w:r>
        <w:rPr>
          <w:rFonts w:cstheme="minorHAnsi"/>
          <w:szCs w:val="20"/>
          <w:lang w:val="en-GB"/>
        </w:rPr>
        <w:t>s</w:t>
      </w:r>
      <w:r w:rsidR="00D51AD2" w:rsidRPr="000350DD">
        <w:rPr>
          <w:rFonts w:cstheme="minorHAnsi"/>
          <w:szCs w:val="20"/>
          <w:lang w:val="en-GB"/>
        </w:rPr>
        <w:t>tates.</w:t>
      </w:r>
      <w:r w:rsidR="00051E36">
        <w:rPr>
          <w:rStyle w:val="FootnoteReference"/>
          <w:rFonts w:cstheme="minorHAnsi"/>
          <w:szCs w:val="20"/>
          <w:lang w:val="en-GB"/>
        </w:rPr>
        <w:footnoteReference w:id="3"/>
      </w:r>
      <w:r w:rsidR="00D51AD2" w:rsidRPr="000350DD">
        <w:rPr>
          <w:rFonts w:cstheme="minorHAnsi"/>
          <w:szCs w:val="20"/>
          <w:lang w:val="en-GB"/>
        </w:rPr>
        <w:t xml:space="preserve"> In 2003, the Parliamentary Assembly of the Council of Europe adopted </w:t>
      </w:r>
      <w:bookmarkStart w:id="1" w:name="_Hlk82611915"/>
      <w:r w:rsidR="003B1F91">
        <w:rPr>
          <w:rFonts w:cstheme="minorHAnsi"/>
          <w:szCs w:val="20"/>
          <w:lang w:val="en-GB"/>
        </w:rPr>
        <w:t>R</w:t>
      </w:r>
      <w:r w:rsidR="00D51AD2" w:rsidRPr="000350DD">
        <w:rPr>
          <w:rFonts w:cstheme="minorHAnsi"/>
          <w:szCs w:val="20"/>
          <w:lang w:val="en-GB"/>
        </w:rPr>
        <w:t xml:space="preserve">ecommendation 1606 on areas where the European Convention on Human Rights </w:t>
      </w:r>
      <w:bookmarkEnd w:id="1"/>
      <w:r w:rsidR="00D51AD2" w:rsidRPr="000350DD">
        <w:rPr>
          <w:rFonts w:cstheme="minorHAnsi"/>
          <w:szCs w:val="20"/>
          <w:lang w:val="en-GB"/>
        </w:rPr>
        <w:t>(</w:t>
      </w:r>
      <w:r>
        <w:rPr>
          <w:rFonts w:cstheme="minorHAnsi"/>
          <w:szCs w:val="20"/>
          <w:lang w:val="en-GB"/>
        </w:rPr>
        <w:t>hereinafter, “</w:t>
      </w:r>
      <w:r w:rsidR="00D51AD2" w:rsidRPr="000350DD">
        <w:rPr>
          <w:rFonts w:cstheme="minorHAnsi"/>
          <w:szCs w:val="20"/>
          <w:lang w:val="en-GB"/>
        </w:rPr>
        <w:t>the ECHR</w:t>
      </w:r>
      <w:r>
        <w:rPr>
          <w:rFonts w:cstheme="minorHAnsi"/>
          <w:szCs w:val="20"/>
          <w:lang w:val="en-GB"/>
        </w:rPr>
        <w:t>”</w:t>
      </w:r>
      <w:r w:rsidR="00D51AD2" w:rsidRPr="000350DD">
        <w:rPr>
          <w:rFonts w:cstheme="minorHAnsi"/>
          <w:szCs w:val="20"/>
          <w:lang w:val="en-GB"/>
        </w:rPr>
        <w:t>) cannot be implemented.</w:t>
      </w:r>
      <w:r w:rsidR="003B1F91">
        <w:rPr>
          <w:rStyle w:val="FootnoteReference"/>
          <w:rFonts w:cstheme="minorHAnsi"/>
          <w:szCs w:val="20"/>
          <w:lang w:val="en-GB"/>
        </w:rPr>
        <w:footnoteReference w:id="4"/>
      </w:r>
      <w:r w:rsidR="00D51AD2" w:rsidRPr="000350DD">
        <w:rPr>
          <w:rFonts w:cstheme="minorHAnsi"/>
          <w:szCs w:val="20"/>
          <w:lang w:val="en-GB"/>
        </w:rPr>
        <w:t xml:space="preserve"> The main thrust of the </w:t>
      </w:r>
      <w:r w:rsidR="007563CC">
        <w:rPr>
          <w:rFonts w:cstheme="minorHAnsi"/>
          <w:szCs w:val="20"/>
          <w:lang w:val="en-GB"/>
        </w:rPr>
        <w:t>R</w:t>
      </w:r>
      <w:r w:rsidR="00D51AD2" w:rsidRPr="000350DD">
        <w:rPr>
          <w:rFonts w:cstheme="minorHAnsi"/>
          <w:szCs w:val="20"/>
          <w:lang w:val="en-GB"/>
        </w:rPr>
        <w:t xml:space="preserve">ecommendation was to ensure that there are no gaps in the </w:t>
      </w:r>
      <w:r w:rsidR="003B47D6">
        <w:rPr>
          <w:rFonts w:cstheme="minorHAnsi"/>
          <w:szCs w:val="20"/>
          <w:lang w:val="en-GB"/>
        </w:rPr>
        <w:t xml:space="preserve">human rights </w:t>
      </w:r>
      <w:r w:rsidR="00D51AD2" w:rsidRPr="000350DD">
        <w:rPr>
          <w:rFonts w:cstheme="minorHAnsi"/>
          <w:szCs w:val="20"/>
          <w:lang w:val="en-GB"/>
        </w:rPr>
        <w:t>protection system throughout the European continent.</w:t>
      </w:r>
      <w:r w:rsidR="007563CC">
        <w:rPr>
          <w:rFonts w:cstheme="minorHAnsi"/>
          <w:szCs w:val="20"/>
          <w:lang w:val="en-GB"/>
        </w:rPr>
        <w:t xml:space="preserve"> </w:t>
      </w:r>
      <w:r w:rsidR="00D51AD2" w:rsidRPr="000350DD">
        <w:rPr>
          <w:rFonts w:cstheme="minorHAnsi"/>
          <w:szCs w:val="20"/>
          <w:lang w:val="en-GB"/>
        </w:rPr>
        <w:t xml:space="preserve">In the same vein, the Committee of Ministers adopted </w:t>
      </w:r>
      <w:r w:rsidR="006D0231">
        <w:rPr>
          <w:rFonts w:cstheme="minorHAnsi"/>
          <w:szCs w:val="20"/>
          <w:lang w:val="en-GB"/>
        </w:rPr>
        <w:t>in</w:t>
      </w:r>
      <w:r w:rsidR="00D51AD2" w:rsidRPr="000350DD">
        <w:rPr>
          <w:rFonts w:cstheme="minorHAnsi"/>
          <w:szCs w:val="20"/>
          <w:lang w:val="en-GB"/>
        </w:rPr>
        <w:t xml:space="preserve"> 2004 the Declaration on the protection of human rights during armed conflict, internal </w:t>
      </w:r>
      <w:proofErr w:type="gramStart"/>
      <w:r w:rsidR="00D51AD2" w:rsidRPr="000350DD">
        <w:rPr>
          <w:rFonts w:cstheme="minorHAnsi"/>
          <w:szCs w:val="20"/>
          <w:lang w:val="en-GB"/>
        </w:rPr>
        <w:t>disturbances</w:t>
      </w:r>
      <w:proofErr w:type="gramEnd"/>
      <w:r w:rsidR="00D51AD2" w:rsidRPr="000350DD">
        <w:rPr>
          <w:rFonts w:cstheme="minorHAnsi"/>
          <w:szCs w:val="20"/>
          <w:lang w:val="en-GB"/>
        </w:rPr>
        <w:t xml:space="preserve"> and tensions.</w:t>
      </w:r>
      <w:r w:rsidR="006D0231">
        <w:rPr>
          <w:rStyle w:val="FootnoteReference"/>
          <w:rFonts w:cstheme="minorHAnsi"/>
          <w:szCs w:val="20"/>
          <w:lang w:val="en-GB"/>
        </w:rPr>
        <w:footnoteReference w:id="5"/>
      </w:r>
      <w:r w:rsidR="00D51AD2" w:rsidRPr="000350DD">
        <w:rPr>
          <w:rFonts w:cstheme="minorHAnsi"/>
          <w:szCs w:val="20"/>
          <w:lang w:val="en-GB"/>
        </w:rPr>
        <w:t xml:space="preserve"> </w:t>
      </w:r>
      <w:r w:rsidR="009C745A">
        <w:rPr>
          <w:rFonts w:cstheme="minorHAnsi"/>
          <w:szCs w:val="20"/>
          <w:lang w:val="en-GB"/>
        </w:rPr>
        <w:t xml:space="preserve">In the Declaration, the </w:t>
      </w:r>
      <w:r w:rsidR="00D51AD2" w:rsidRPr="000350DD">
        <w:rPr>
          <w:rFonts w:cstheme="minorHAnsi"/>
          <w:szCs w:val="20"/>
          <w:lang w:val="en-GB"/>
        </w:rPr>
        <w:t xml:space="preserve">Committee </w:t>
      </w:r>
      <w:r w:rsidR="009C745A">
        <w:rPr>
          <w:rFonts w:cstheme="minorHAnsi"/>
          <w:szCs w:val="20"/>
          <w:lang w:val="en-GB"/>
        </w:rPr>
        <w:t xml:space="preserve">highlighted the </w:t>
      </w:r>
      <w:r w:rsidR="009C745A" w:rsidRPr="000350DD">
        <w:rPr>
          <w:rFonts w:cstheme="minorHAnsi"/>
          <w:szCs w:val="20"/>
          <w:lang w:val="en-GB"/>
        </w:rPr>
        <w:t>possible role which could be played by the Commissioner in those situations</w:t>
      </w:r>
      <w:r w:rsidR="00CC5A07">
        <w:rPr>
          <w:rFonts w:cstheme="minorHAnsi"/>
          <w:szCs w:val="20"/>
          <w:lang w:val="en-GB"/>
        </w:rPr>
        <w:t>. It</w:t>
      </w:r>
      <w:r w:rsidR="009C745A">
        <w:rPr>
          <w:rFonts w:cstheme="minorHAnsi"/>
          <w:szCs w:val="20"/>
          <w:lang w:val="en-GB"/>
        </w:rPr>
        <w:t xml:space="preserve"> </w:t>
      </w:r>
      <w:r w:rsidR="00D51AD2" w:rsidRPr="000350DD">
        <w:rPr>
          <w:rFonts w:cstheme="minorHAnsi"/>
          <w:szCs w:val="20"/>
          <w:lang w:val="en-GB"/>
        </w:rPr>
        <w:t xml:space="preserve">commended the activities already undertaken by the Commissioner with a view to the prevention of human rights violations and </w:t>
      </w:r>
      <w:r w:rsidR="00D51AD2">
        <w:rPr>
          <w:rFonts w:cstheme="minorHAnsi"/>
          <w:szCs w:val="20"/>
          <w:lang w:val="en-GB"/>
        </w:rPr>
        <w:t>“</w:t>
      </w:r>
      <w:r w:rsidR="00D51AD2" w:rsidRPr="000350DD">
        <w:rPr>
          <w:rFonts w:cstheme="minorHAnsi"/>
          <w:szCs w:val="20"/>
          <w:lang w:val="en-GB"/>
        </w:rPr>
        <w:t>encourage[d] the Commissioner to continue to pay particular attention to situations where there is a threat or where there are allegations of serious and massive violations of human rights, notably by further developing fact-finding and the formulation of targeted recommendations to which appropriate follow up should be given.</w:t>
      </w:r>
      <w:r>
        <w:rPr>
          <w:rFonts w:cstheme="minorHAnsi"/>
          <w:szCs w:val="20"/>
          <w:lang w:val="en-GB"/>
        </w:rPr>
        <w:t xml:space="preserve">” </w:t>
      </w:r>
    </w:p>
    <w:p w14:paraId="348D76EC" w14:textId="7543957B" w:rsidR="00C128F3" w:rsidRDefault="00FE39BC" w:rsidP="00FE39BC">
      <w:pPr>
        <w:tabs>
          <w:tab w:val="left" w:pos="3640"/>
        </w:tabs>
        <w:spacing w:after="0" w:line="240" w:lineRule="auto"/>
        <w:ind w:left="714"/>
        <w:jc w:val="both"/>
        <w:rPr>
          <w:rFonts w:cstheme="minorHAnsi"/>
          <w:szCs w:val="20"/>
          <w:lang w:val="en-GB"/>
        </w:rPr>
      </w:pPr>
      <w:r>
        <w:rPr>
          <w:rFonts w:cstheme="minorHAnsi"/>
          <w:szCs w:val="20"/>
          <w:lang w:val="en-GB"/>
        </w:rPr>
        <w:tab/>
      </w:r>
    </w:p>
    <w:p w14:paraId="70E2F0F7" w14:textId="58C260C8" w:rsidR="007D67BA" w:rsidRPr="007D67BA" w:rsidRDefault="00436D26" w:rsidP="006C692B">
      <w:pPr>
        <w:numPr>
          <w:ilvl w:val="0"/>
          <w:numId w:val="2"/>
        </w:numPr>
        <w:tabs>
          <w:tab w:val="left" w:pos="1613"/>
        </w:tabs>
        <w:spacing w:after="0" w:line="240" w:lineRule="auto"/>
        <w:ind w:left="714" w:hanging="357"/>
        <w:jc w:val="both"/>
        <w:rPr>
          <w:rFonts w:cstheme="minorHAnsi"/>
          <w:szCs w:val="20"/>
          <w:lang w:val="en-GB"/>
        </w:rPr>
      </w:pPr>
      <w:r w:rsidRPr="007D67BA">
        <w:rPr>
          <w:rFonts w:cstheme="minorHAnsi"/>
          <w:szCs w:val="20"/>
          <w:lang w:val="en-GB"/>
        </w:rPr>
        <w:lastRenderedPageBreak/>
        <w:t xml:space="preserve">The Commissioner closely monitored the situation </w:t>
      </w:r>
      <w:r w:rsidR="009C745A">
        <w:rPr>
          <w:rFonts w:cstheme="minorHAnsi"/>
          <w:szCs w:val="20"/>
          <w:lang w:val="en-GB"/>
        </w:rPr>
        <w:t xml:space="preserve">before and </w:t>
      </w:r>
      <w:r w:rsidRPr="007D67BA">
        <w:rPr>
          <w:rFonts w:cstheme="minorHAnsi"/>
          <w:szCs w:val="20"/>
          <w:lang w:val="en-GB"/>
        </w:rPr>
        <w:t xml:space="preserve">after the signature of the trilateral </w:t>
      </w:r>
      <w:r w:rsidR="00C57F4E">
        <w:rPr>
          <w:rFonts w:cstheme="minorHAnsi"/>
          <w:szCs w:val="20"/>
          <w:lang w:val="en-GB"/>
        </w:rPr>
        <w:t>statement</w:t>
      </w:r>
      <w:r w:rsidRPr="007D67BA">
        <w:rPr>
          <w:rFonts w:cstheme="minorHAnsi"/>
          <w:szCs w:val="20"/>
          <w:lang w:val="en-GB"/>
        </w:rPr>
        <w:t xml:space="preserve"> last November. However, she regrets that</w:t>
      </w:r>
      <w:r w:rsidR="000A52F9">
        <w:rPr>
          <w:rFonts w:cstheme="minorHAnsi"/>
          <w:szCs w:val="20"/>
          <w:lang w:val="en-GB"/>
        </w:rPr>
        <w:t xml:space="preserve"> so </w:t>
      </w:r>
      <w:r w:rsidR="00401686">
        <w:rPr>
          <w:rFonts w:cstheme="minorHAnsi"/>
          <w:szCs w:val="20"/>
          <w:lang w:val="en-GB"/>
        </w:rPr>
        <w:t xml:space="preserve">far, </w:t>
      </w:r>
      <w:r w:rsidR="005812F9">
        <w:rPr>
          <w:rFonts w:cstheme="minorHAnsi"/>
          <w:szCs w:val="20"/>
          <w:lang w:val="en-GB"/>
        </w:rPr>
        <w:t xml:space="preserve">it was not possible for her </w:t>
      </w:r>
      <w:r w:rsidRPr="007D67BA">
        <w:rPr>
          <w:rFonts w:cstheme="minorHAnsi"/>
          <w:szCs w:val="20"/>
          <w:lang w:val="en-GB"/>
        </w:rPr>
        <w:t>to</w:t>
      </w:r>
      <w:r w:rsidR="005812F9">
        <w:rPr>
          <w:rFonts w:cstheme="minorHAnsi"/>
          <w:szCs w:val="20"/>
          <w:lang w:val="en-GB"/>
        </w:rPr>
        <w:t xml:space="preserve"> travel to</w:t>
      </w:r>
      <w:r w:rsidRPr="007D67BA">
        <w:rPr>
          <w:rFonts w:cstheme="minorHAnsi"/>
          <w:szCs w:val="20"/>
          <w:lang w:val="en-GB"/>
        </w:rPr>
        <w:t xml:space="preserve"> the conflict-affected areas</w:t>
      </w:r>
      <w:r w:rsidR="000B1DCA">
        <w:rPr>
          <w:rFonts w:cstheme="minorHAnsi"/>
          <w:szCs w:val="20"/>
          <w:lang w:val="en-GB"/>
        </w:rPr>
        <w:t xml:space="preserve"> </w:t>
      </w:r>
      <w:proofErr w:type="gramStart"/>
      <w:r w:rsidR="000B1DCA">
        <w:rPr>
          <w:rFonts w:cstheme="minorHAnsi"/>
          <w:szCs w:val="20"/>
          <w:lang w:val="en-GB"/>
        </w:rPr>
        <w:t>in order</w:t>
      </w:r>
      <w:r w:rsidR="004F7CC7">
        <w:rPr>
          <w:rFonts w:cstheme="minorHAnsi"/>
          <w:szCs w:val="20"/>
          <w:lang w:val="en-GB"/>
        </w:rPr>
        <w:t xml:space="preserve"> </w:t>
      </w:r>
      <w:r w:rsidR="000A52F9">
        <w:rPr>
          <w:rFonts w:cstheme="minorHAnsi"/>
          <w:szCs w:val="20"/>
          <w:lang w:val="en-GB"/>
        </w:rPr>
        <w:t>to</w:t>
      </w:r>
      <w:proofErr w:type="gramEnd"/>
      <w:r w:rsidR="000A52F9">
        <w:rPr>
          <w:rFonts w:cstheme="minorHAnsi"/>
          <w:szCs w:val="20"/>
          <w:lang w:val="en-GB"/>
        </w:rPr>
        <w:t xml:space="preserve"> carry out independent and impartial </w:t>
      </w:r>
      <w:r w:rsidR="00DC1C01">
        <w:rPr>
          <w:rFonts w:cstheme="minorHAnsi"/>
          <w:szCs w:val="20"/>
          <w:lang w:val="en-GB"/>
        </w:rPr>
        <w:t xml:space="preserve">human rights </w:t>
      </w:r>
      <w:r w:rsidR="000A52F9">
        <w:rPr>
          <w:rFonts w:cstheme="minorHAnsi"/>
          <w:szCs w:val="20"/>
          <w:lang w:val="en-GB"/>
        </w:rPr>
        <w:t>monitoring in line with her mandate</w:t>
      </w:r>
      <w:r w:rsidR="005812F9">
        <w:rPr>
          <w:rFonts w:cstheme="minorHAnsi"/>
          <w:szCs w:val="20"/>
          <w:lang w:val="en-GB"/>
        </w:rPr>
        <w:t>, notably due to difficulties related to access to all territories where people affected by the recent hostilities reside</w:t>
      </w:r>
      <w:r w:rsidRPr="007D67BA">
        <w:rPr>
          <w:rFonts w:cstheme="minorHAnsi"/>
          <w:szCs w:val="20"/>
          <w:lang w:val="en-GB"/>
        </w:rPr>
        <w:t xml:space="preserve">. </w:t>
      </w:r>
      <w:r w:rsidR="00826FCD" w:rsidRPr="007D67BA">
        <w:rPr>
          <w:rFonts w:cstheme="minorHAnsi"/>
          <w:szCs w:val="20"/>
          <w:lang w:val="en-GB"/>
        </w:rPr>
        <w:t>Th</w:t>
      </w:r>
      <w:r w:rsidR="00C57F4E">
        <w:rPr>
          <w:rFonts w:cstheme="minorHAnsi"/>
          <w:szCs w:val="20"/>
          <w:lang w:val="en-GB"/>
        </w:rPr>
        <w:t>is</w:t>
      </w:r>
      <w:r w:rsidR="00826FCD" w:rsidRPr="007D67BA">
        <w:rPr>
          <w:rFonts w:cstheme="minorHAnsi"/>
          <w:szCs w:val="20"/>
          <w:lang w:val="en-GB"/>
        </w:rPr>
        <w:t xml:space="preserve"> memorandum </w:t>
      </w:r>
      <w:r w:rsidR="00B52570">
        <w:rPr>
          <w:rFonts w:cstheme="minorHAnsi"/>
          <w:szCs w:val="20"/>
          <w:lang w:val="en-GB"/>
        </w:rPr>
        <w:t xml:space="preserve">aims at serving as a </w:t>
      </w:r>
      <w:r w:rsidR="005177CF" w:rsidRPr="007D67BA">
        <w:rPr>
          <w:rFonts w:cstheme="minorHAnsi"/>
          <w:szCs w:val="20"/>
          <w:lang w:val="en-GB"/>
        </w:rPr>
        <w:t xml:space="preserve">basis for a renewed dialogue </w:t>
      </w:r>
      <w:r w:rsidR="00814F60">
        <w:rPr>
          <w:rFonts w:cstheme="minorHAnsi"/>
          <w:szCs w:val="20"/>
          <w:lang w:val="en-GB"/>
        </w:rPr>
        <w:t xml:space="preserve">with the </w:t>
      </w:r>
      <w:r w:rsidR="003B47D6">
        <w:rPr>
          <w:rFonts w:cstheme="minorHAnsi"/>
          <w:szCs w:val="20"/>
          <w:lang w:val="en-GB"/>
        </w:rPr>
        <w:t>relevant</w:t>
      </w:r>
      <w:r w:rsidR="00814F60">
        <w:rPr>
          <w:rFonts w:cstheme="minorHAnsi"/>
          <w:szCs w:val="20"/>
          <w:lang w:val="en-GB"/>
        </w:rPr>
        <w:t xml:space="preserve"> authorities </w:t>
      </w:r>
      <w:r w:rsidR="005177CF" w:rsidRPr="007D67BA">
        <w:rPr>
          <w:rFonts w:cstheme="minorHAnsi"/>
          <w:szCs w:val="20"/>
          <w:lang w:val="en-GB"/>
        </w:rPr>
        <w:t xml:space="preserve">and </w:t>
      </w:r>
      <w:r w:rsidR="007D67BA" w:rsidRPr="007D67BA">
        <w:rPr>
          <w:rFonts w:cstheme="minorHAnsi"/>
          <w:szCs w:val="20"/>
          <w:lang w:val="en-GB"/>
        </w:rPr>
        <w:t>builds on work carried out by the Commissioner’s Office over the years in conflict and post-conflict situations</w:t>
      </w:r>
      <w:r w:rsidR="007D67BA">
        <w:rPr>
          <w:rFonts w:cstheme="minorHAnsi"/>
          <w:szCs w:val="20"/>
          <w:lang w:val="en-GB"/>
        </w:rPr>
        <w:t xml:space="preserve">. </w:t>
      </w:r>
      <w:r w:rsidR="008516BC">
        <w:rPr>
          <w:rFonts w:cstheme="minorHAnsi"/>
          <w:szCs w:val="20"/>
          <w:lang w:val="en-GB"/>
        </w:rPr>
        <w:t xml:space="preserve">The purpose of the memorandum is to </w:t>
      </w:r>
      <w:r w:rsidR="00574F34">
        <w:rPr>
          <w:rFonts w:cstheme="minorHAnsi"/>
          <w:szCs w:val="20"/>
          <w:lang w:val="en-GB"/>
        </w:rPr>
        <w:t xml:space="preserve">assess </w:t>
      </w:r>
      <w:r w:rsidR="00574F34" w:rsidRPr="00D51BC4">
        <w:rPr>
          <w:rFonts w:cstheme="minorHAnsi"/>
          <w:szCs w:val="20"/>
          <w:lang w:val="en-GB"/>
        </w:rPr>
        <w:t xml:space="preserve">the human rights situation in the </w:t>
      </w:r>
      <w:r w:rsidR="00821510">
        <w:rPr>
          <w:rFonts w:cstheme="minorHAnsi"/>
          <w:szCs w:val="20"/>
          <w:lang w:val="en-GB"/>
        </w:rPr>
        <w:t>conflict-affected areas</w:t>
      </w:r>
      <w:r w:rsidR="00574F34">
        <w:rPr>
          <w:rFonts w:cstheme="minorHAnsi"/>
          <w:szCs w:val="20"/>
          <w:lang w:val="en-GB"/>
        </w:rPr>
        <w:t xml:space="preserve"> and to </w:t>
      </w:r>
      <w:r w:rsidR="008516BC">
        <w:rPr>
          <w:rFonts w:cstheme="minorHAnsi"/>
          <w:szCs w:val="20"/>
          <w:lang w:val="en-GB"/>
        </w:rPr>
        <w:t xml:space="preserve">highlight </w:t>
      </w:r>
      <w:r w:rsidR="00B52570">
        <w:rPr>
          <w:rFonts w:cstheme="minorHAnsi"/>
          <w:szCs w:val="20"/>
          <w:lang w:val="en-GB"/>
        </w:rPr>
        <w:t xml:space="preserve">humanitarian and </w:t>
      </w:r>
      <w:r w:rsidR="008516BC">
        <w:rPr>
          <w:rFonts w:cstheme="minorHAnsi"/>
          <w:szCs w:val="20"/>
          <w:lang w:val="en-GB"/>
        </w:rPr>
        <w:t xml:space="preserve">human rights issues which require urgent attention. </w:t>
      </w:r>
      <w:r w:rsidR="00AC130E">
        <w:rPr>
          <w:rFonts w:cstheme="minorHAnsi"/>
          <w:szCs w:val="20"/>
          <w:lang w:val="en-GB"/>
        </w:rPr>
        <w:t xml:space="preserve">While </w:t>
      </w:r>
      <w:r w:rsidR="00857C4B">
        <w:rPr>
          <w:rFonts w:cstheme="minorHAnsi"/>
          <w:szCs w:val="20"/>
          <w:lang w:val="en-GB"/>
        </w:rPr>
        <w:t xml:space="preserve">there is certainly a need for political solutions which go beyond the Commissioner’s mandate, several important actions </w:t>
      </w:r>
      <w:r w:rsidR="00151325">
        <w:rPr>
          <w:rFonts w:cstheme="minorHAnsi"/>
          <w:szCs w:val="20"/>
          <w:lang w:val="en-GB"/>
        </w:rPr>
        <w:t xml:space="preserve">should </w:t>
      </w:r>
      <w:r w:rsidR="00857C4B">
        <w:rPr>
          <w:rFonts w:cstheme="minorHAnsi"/>
          <w:szCs w:val="20"/>
          <w:lang w:val="en-GB"/>
        </w:rPr>
        <w:t xml:space="preserve">be taken </w:t>
      </w:r>
      <w:r w:rsidR="00151325">
        <w:rPr>
          <w:rFonts w:cstheme="minorHAnsi"/>
          <w:szCs w:val="20"/>
          <w:lang w:val="en-GB"/>
        </w:rPr>
        <w:t>to protect</w:t>
      </w:r>
      <w:r w:rsidR="00857C4B">
        <w:rPr>
          <w:rFonts w:cstheme="minorHAnsi"/>
          <w:szCs w:val="20"/>
          <w:lang w:val="en-GB"/>
        </w:rPr>
        <w:t xml:space="preserve"> </w:t>
      </w:r>
      <w:r w:rsidR="00A37D98">
        <w:rPr>
          <w:rFonts w:cstheme="minorHAnsi"/>
          <w:szCs w:val="20"/>
          <w:lang w:val="en-GB"/>
        </w:rPr>
        <w:t xml:space="preserve">the </w:t>
      </w:r>
      <w:r w:rsidR="00857C4B">
        <w:rPr>
          <w:rFonts w:cstheme="minorHAnsi"/>
          <w:szCs w:val="20"/>
          <w:lang w:val="en-GB"/>
        </w:rPr>
        <w:t xml:space="preserve">human rights of </w:t>
      </w:r>
      <w:r w:rsidR="00A37D98">
        <w:rPr>
          <w:rFonts w:cstheme="minorHAnsi"/>
          <w:szCs w:val="20"/>
          <w:lang w:val="en-GB"/>
        </w:rPr>
        <w:t>the</w:t>
      </w:r>
      <w:r w:rsidR="00F2482B">
        <w:rPr>
          <w:rFonts w:cstheme="minorHAnsi"/>
          <w:szCs w:val="20"/>
          <w:lang w:val="en-GB"/>
        </w:rPr>
        <w:t xml:space="preserve"> </w:t>
      </w:r>
      <w:r w:rsidR="00151325">
        <w:rPr>
          <w:rFonts w:cstheme="minorHAnsi"/>
          <w:szCs w:val="20"/>
          <w:lang w:val="en-GB"/>
        </w:rPr>
        <w:t>people affect</w:t>
      </w:r>
      <w:r w:rsidR="002B5DA2">
        <w:rPr>
          <w:rFonts w:cstheme="minorHAnsi"/>
          <w:szCs w:val="20"/>
          <w:lang w:val="en-GB"/>
        </w:rPr>
        <w:t>ed</w:t>
      </w:r>
      <w:r w:rsidR="00151325">
        <w:rPr>
          <w:rFonts w:cstheme="minorHAnsi"/>
          <w:szCs w:val="20"/>
          <w:lang w:val="en-GB"/>
        </w:rPr>
        <w:t xml:space="preserve"> by the conflict.</w:t>
      </w:r>
      <w:r w:rsidR="00151325" w:rsidDel="00151325">
        <w:rPr>
          <w:rFonts w:cstheme="minorHAnsi"/>
          <w:szCs w:val="20"/>
          <w:lang w:val="en-GB"/>
        </w:rPr>
        <w:t xml:space="preserve"> </w:t>
      </w:r>
      <w:r w:rsidR="006E188A" w:rsidRPr="009743D0">
        <w:rPr>
          <w:rFonts w:cstheme="minorHAnsi"/>
          <w:szCs w:val="20"/>
          <w:lang w:val="en-GB"/>
        </w:rPr>
        <w:t>In this context, the Commissioner formulates eight recommendations for urgent human rights protection.</w:t>
      </w:r>
    </w:p>
    <w:p w14:paraId="238F681F" w14:textId="7E59B3F4" w:rsidR="00037FD3" w:rsidRPr="00663E17" w:rsidRDefault="00037FD3" w:rsidP="00826FCD">
      <w:pPr>
        <w:tabs>
          <w:tab w:val="left" w:pos="1613"/>
        </w:tabs>
        <w:spacing w:after="0" w:line="240" w:lineRule="auto"/>
        <w:ind w:left="714"/>
        <w:jc w:val="both"/>
        <w:rPr>
          <w:rFonts w:cstheme="minorHAnsi"/>
          <w:szCs w:val="20"/>
          <w:lang w:val="en-GB"/>
        </w:rPr>
      </w:pPr>
    </w:p>
    <w:p w14:paraId="140B5D7E" w14:textId="36799054" w:rsidR="00260168" w:rsidRDefault="00744CAF" w:rsidP="008C32EE">
      <w:pPr>
        <w:numPr>
          <w:ilvl w:val="0"/>
          <w:numId w:val="2"/>
        </w:numPr>
        <w:tabs>
          <w:tab w:val="left" w:pos="1613"/>
        </w:tabs>
        <w:spacing w:after="0" w:line="240" w:lineRule="auto"/>
        <w:ind w:left="714" w:hanging="357"/>
        <w:jc w:val="both"/>
        <w:rPr>
          <w:rFonts w:cstheme="minorHAnsi"/>
          <w:szCs w:val="20"/>
          <w:lang w:val="en-GB"/>
        </w:rPr>
      </w:pPr>
      <w:r w:rsidRPr="00744CAF">
        <w:rPr>
          <w:rFonts w:cstheme="minorHAnsi"/>
          <w:szCs w:val="20"/>
          <w:lang w:val="en-GB"/>
        </w:rPr>
        <w:t xml:space="preserve">The memorandum was prepared </w:t>
      </w:r>
      <w:proofErr w:type="gramStart"/>
      <w:r w:rsidRPr="00744CAF">
        <w:rPr>
          <w:rFonts w:cstheme="minorHAnsi"/>
          <w:szCs w:val="20"/>
          <w:lang w:val="en-GB"/>
        </w:rPr>
        <w:t>on the basis of</w:t>
      </w:r>
      <w:proofErr w:type="gramEnd"/>
      <w:r w:rsidRPr="00744CAF">
        <w:rPr>
          <w:rFonts w:cstheme="minorHAnsi"/>
          <w:szCs w:val="20"/>
          <w:lang w:val="en-GB"/>
        </w:rPr>
        <w:t xml:space="preserve"> the </w:t>
      </w:r>
      <w:r w:rsidR="001E573C" w:rsidRPr="001E573C">
        <w:rPr>
          <w:rFonts w:cstheme="minorHAnsi"/>
          <w:szCs w:val="20"/>
          <w:lang w:val="en-GB"/>
        </w:rPr>
        <w:t xml:space="preserve">continuous monitoring carried out by the Commissioner’s Office </w:t>
      </w:r>
      <w:r w:rsidRPr="00744CAF">
        <w:rPr>
          <w:rFonts w:cstheme="minorHAnsi"/>
          <w:szCs w:val="20"/>
          <w:lang w:val="en-GB"/>
        </w:rPr>
        <w:t xml:space="preserve">and the information received from civil society representatives and other relevant actors, including during online meetings organised between June and September 2021. In the preparation of the memorandum, the Commissioner held online consultations with the Human Rights Defender of </w:t>
      </w:r>
      <w:r w:rsidR="00B31170">
        <w:rPr>
          <w:rFonts w:cstheme="minorHAnsi"/>
          <w:szCs w:val="20"/>
          <w:lang w:val="en-GB"/>
        </w:rPr>
        <w:t xml:space="preserve">the Republic of </w:t>
      </w:r>
      <w:r w:rsidRPr="00744CAF">
        <w:rPr>
          <w:rFonts w:cstheme="minorHAnsi"/>
          <w:szCs w:val="20"/>
          <w:lang w:val="en-GB"/>
        </w:rPr>
        <w:t xml:space="preserve">Armenia, Arman </w:t>
      </w:r>
      <w:proofErr w:type="spellStart"/>
      <w:r w:rsidRPr="00744CAF">
        <w:rPr>
          <w:rFonts w:cstheme="minorHAnsi"/>
          <w:szCs w:val="20"/>
          <w:lang w:val="en-GB"/>
        </w:rPr>
        <w:t>Tatoyan</w:t>
      </w:r>
      <w:proofErr w:type="spellEnd"/>
      <w:r w:rsidRPr="00744CAF">
        <w:rPr>
          <w:rFonts w:cstheme="minorHAnsi"/>
          <w:szCs w:val="20"/>
          <w:lang w:val="en-GB"/>
        </w:rPr>
        <w:t xml:space="preserve">, and the </w:t>
      </w:r>
      <w:r w:rsidR="00B31170">
        <w:rPr>
          <w:rFonts w:cstheme="minorHAnsi"/>
          <w:szCs w:val="20"/>
          <w:lang w:val="en-GB"/>
        </w:rPr>
        <w:t xml:space="preserve">Commissioner for Human Rights </w:t>
      </w:r>
      <w:r w:rsidR="007C00E8">
        <w:rPr>
          <w:rFonts w:cstheme="minorHAnsi"/>
          <w:szCs w:val="20"/>
          <w:lang w:val="en-GB"/>
        </w:rPr>
        <w:t xml:space="preserve">(Ombudsman) </w:t>
      </w:r>
      <w:r w:rsidR="00B31170">
        <w:rPr>
          <w:rFonts w:cstheme="minorHAnsi"/>
          <w:szCs w:val="20"/>
          <w:lang w:val="en-GB"/>
        </w:rPr>
        <w:t>of the Republic of Azerbaijan</w:t>
      </w:r>
      <w:r w:rsidRPr="00744CAF">
        <w:rPr>
          <w:rFonts w:cstheme="minorHAnsi"/>
          <w:szCs w:val="20"/>
          <w:lang w:val="en-GB"/>
        </w:rPr>
        <w:t xml:space="preserve">, </w:t>
      </w:r>
      <w:r w:rsidRPr="00744CAF">
        <w:rPr>
          <w:rFonts w:cstheme="minorHAnsi"/>
          <w:szCs w:val="20"/>
        </w:rPr>
        <w:t xml:space="preserve">Sabina </w:t>
      </w:r>
      <w:proofErr w:type="spellStart"/>
      <w:r w:rsidRPr="00744CAF">
        <w:rPr>
          <w:rFonts w:cstheme="minorHAnsi"/>
          <w:szCs w:val="20"/>
        </w:rPr>
        <w:t>Aliyeva</w:t>
      </w:r>
      <w:proofErr w:type="spellEnd"/>
      <w:r w:rsidRPr="00744CAF">
        <w:rPr>
          <w:rFonts w:cstheme="minorHAnsi"/>
          <w:szCs w:val="20"/>
          <w:lang w:val="en-GB"/>
        </w:rPr>
        <w:t xml:space="preserve">. The Office also sent a list of questions to the authorities of Armenia and Azerbaijan. The Commissioner would like to express her appreciation to the Armenian authorities for their written reply and she is grateful to all the stakeholders for sharing their views, </w:t>
      </w:r>
      <w:proofErr w:type="gramStart"/>
      <w:r w:rsidRPr="00744CAF">
        <w:rPr>
          <w:rFonts w:cstheme="minorHAnsi"/>
          <w:szCs w:val="20"/>
          <w:lang w:val="en-GB"/>
        </w:rPr>
        <w:t>knowledge</w:t>
      </w:r>
      <w:proofErr w:type="gramEnd"/>
      <w:r w:rsidRPr="00744CAF">
        <w:rPr>
          <w:rFonts w:cstheme="minorHAnsi"/>
          <w:szCs w:val="20"/>
          <w:lang w:val="en-GB"/>
        </w:rPr>
        <w:t xml:space="preserve"> and insights.</w:t>
      </w:r>
    </w:p>
    <w:p w14:paraId="31CF832F" w14:textId="77777777" w:rsidR="004F7CC7" w:rsidRPr="00F2482B" w:rsidRDefault="004F7CC7" w:rsidP="004C39EB">
      <w:pPr>
        <w:tabs>
          <w:tab w:val="left" w:pos="1613"/>
        </w:tabs>
        <w:spacing w:after="0" w:line="240" w:lineRule="auto"/>
        <w:ind w:left="714"/>
        <w:jc w:val="both"/>
        <w:rPr>
          <w:rFonts w:cstheme="minorHAnsi"/>
          <w:szCs w:val="20"/>
          <w:lang w:val="en-GB"/>
        </w:rPr>
      </w:pPr>
    </w:p>
    <w:p w14:paraId="3F51A641" w14:textId="239EE230" w:rsidR="002D557B" w:rsidRPr="004D57DD" w:rsidRDefault="00260168" w:rsidP="006C692B">
      <w:pPr>
        <w:numPr>
          <w:ilvl w:val="0"/>
          <w:numId w:val="2"/>
        </w:numPr>
        <w:tabs>
          <w:tab w:val="left" w:pos="1613"/>
        </w:tabs>
        <w:spacing w:after="0" w:line="240" w:lineRule="auto"/>
        <w:ind w:left="714" w:hanging="357"/>
        <w:jc w:val="both"/>
        <w:rPr>
          <w:rFonts w:cstheme="minorHAnsi"/>
          <w:szCs w:val="20"/>
          <w:lang w:val="en-GB"/>
        </w:rPr>
      </w:pPr>
      <w:r w:rsidRPr="004D57DD">
        <w:rPr>
          <w:rFonts w:cstheme="minorHAnsi"/>
          <w:szCs w:val="20"/>
          <w:lang w:val="en-GB"/>
        </w:rPr>
        <w:t xml:space="preserve">The memorandum </w:t>
      </w:r>
      <w:r w:rsidR="00B75ECF" w:rsidRPr="004D57DD">
        <w:rPr>
          <w:rFonts w:cstheme="minorHAnsi"/>
          <w:szCs w:val="20"/>
          <w:lang w:val="en-GB"/>
        </w:rPr>
        <w:t xml:space="preserve">begins by </w:t>
      </w:r>
      <w:r w:rsidR="002401FA" w:rsidRPr="004D57DD">
        <w:rPr>
          <w:rFonts w:cstheme="minorHAnsi"/>
          <w:szCs w:val="20"/>
          <w:lang w:val="en-GB"/>
        </w:rPr>
        <w:t>outlin</w:t>
      </w:r>
      <w:r w:rsidR="00B75ECF" w:rsidRPr="004D57DD">
        <w:rPr>
          <w:rFonts w:cstheme="minorHAnsi"/>
          <w:szCs w:val="20"/>
          <w:lang w:val="en-GB"/>
        </w:rPr>
        <w:t>ing</w:t>
      </w:r>
      <w:r w:rsidR="002401FA" w:rsidRPr="004D57DD">
        <w:rPr>
          <w:rFonts w:cstheme="minorHAnsi"/>
          <w:szCs w:val="20"/>
          <w:lang w:val="en-GB"/>
        </w:rPr>
        <w:t xml:space="preserve"> the key </w:t>
      </w:r>
      <w:r w:rsidR="00217C66" w:rsidRPr="004D57DD">
        <w:rPr>
          <w:rFonts w:cstheme="minorHAnsi"/>
          <w:szCs w:val="20"/>
          <w:lang w:val="en-GB"/>
        </w:rPr>
        <w:t xml:space="preserve">issues </w:t>
      </w:r>
      <w:r w:rsidR="002F01EB" w:rsidRPr="004D57DD">
        <w:rPr>
          <w:rFonts w:cstheme="minorHAnsi"/>
          <w:szCs w:val="20"/>
          <w:lang w:val="en-GB"/>
        </w:rPr>
        <w:t xml:space="preserve">regarding </w:t>
      </w:r>
      <w:r w:rsidR="008B6094" w:rsidRPr="004D57DD">
        <w:rPr>
          <w:rFonts w:cstheme="minorHAnsi"/>
          <w:szCs w:val="20"/>
          <w:lang w:val="en-GB"/>
        </w:rPr>
        <w:t>access to the areas affected by the conflict</w:t>
      </w:r>
      <w:r w:rsidR="002401FA" w:rsidRPr="004D57DD">
        <w:rPr>
          <w:rFonts w:cstheme="minorHAnsi"/>
          <w:szCs w:val="20"/>
          <w:lang w:val="en-GB"/>
        </w:rPr>
        <w:t xml:space="preserve"> </w:t>
      </w:r>
      <w:r w:rsidR="009D4C3F" w:rsidRPr="004D57DD">
        <w:rPr>
          <w:rFonts w:cstheme="minorHAnsi"/>
          <w:szCs w:val="20"/>
          <w:lang w:val="en-GB"/>
        </w:rPr>
        <w:t xml:space="preserve">and the importance of human rights monitoring </w:t>
      </w:r>
      <w:r w:rsidR="002401FA" w:rsidRPr="004D57DD">
        <w:rPr>
          <w:rFonts w:cstheme="minorHAnsi"/>
          <w:szCs w:val="20"/>
          <w:lang w:val="en-GB"/>
        </w:rPr>
        <w:t xml:space="preserve">(Section I). It then explores the </w:t>
      </w:r>
      <w:r w:rsidR="00857C4B" w:rsidRPr="004D57DD">
        <w:rPr>
          <w:rFonts w:cstheme="minorHAnsi"/>
          <w:szCs w:val="20"/>
          <w:lang w:val="en-GB"/>
        </w:rPr>
        <w:t>human rights of displaced persons</w:t>
      </w:r>
      <w:r w:rsidR="00A4525A">
        <w:rPr>
          <w:rFonts w:cstheme="minorHAnsi"/>
          <w:szCs w:val="20"/>
          <w:lang w:val="en-GB"/>
        </w:rPr>
        <w:t xml:space="preserve"> and the right to return</w:t>
      </w:r>
      <w:r w:rsidR="00857C4B" w:rsidRPr="004D57DD">
        <w:rPr>
          <w:rFonts w:cstheme="minorHAnsi"/>
          <w:szCs w:val="20"/>
          <w:lang w:val="en-GB"/>
        </w:rPr>
        <w:t xml:space="preserve"> (Section II)</w:t>
      </w:r>
      <w:r w:rsidR="001E573C">
        <w:rPr>
          <w:rFonts w:cstheme="minorHAnsi"/>
          <w:szCs w:val="20"/>
          <w:lang w:val="en-GB"/>
        </w:rPr>
        <w:t>;</w:t>
      </w:r>
      <w:r w:rsidR="00857C4B" w:rsidRPr="004D57DD">
        <w:rPr>
          <w:rFonts w:cstheme="minorHAnsi"/>
          <w:szCs w:val="20"/>
          <w:lang w:val="en-GB"/>
        </w:rPr>
        <w:t xml:space="preserve"> </w:t>
      </w:r>
      <w:bookmarkStart w:id="2" w:name="_Hlk83133585"/>
      <w:r w:rsidR="00857C4B" w:rsidRPr="004D57DD">
        <w:rPr>
          <w:rFonts w:cstheme="minorHAnsi"/>
          <w:szCs w:val="20"/>
          <w:lang w:val="en-GB"/>
        </w:rPr>
        <w:t xml:space="preserve">the right to be protected against the danger </w:t>
      </w:r>
      <w:r w:rsidR="004C39EB">
        <w:rPr>
          <w:rFonts w:cstheme="minorHAnsi"/>
          <w:szCs w:val="20"/>
          <w:lang w:val="en-GB"/>
        </w:rPr>
        <w:t>posed by</w:t>
      </w:r>
      <w:r w:rsidR="008C32EE">
        <w:rPr>
          <w:rFonts w:cstheme="minorHAnsi"/>
          <w:szCs w:val="20"/>
          <w:lang w:val="en-GB"/>
        </w:rPr>
        <w:t xml:space="preserve"> </w:t>
      </w:r>
      <w:r w:rsidR="00857C4B" w:rsidRPr="004D57DD">
        <w:rPr>
          <w:rFonts w:cstheme="minorHAnsi"/>
          <w:szCs w:val="20"/>
          <w:lang w:val="en-GB"/>
        </w:rPr>
        <w:t xml:space="preserve">mines and </w:t>
      </w:r>
      <w:r w:rsidR="00857C4B" w:rsidRPr="005F354B">
        <w:rPr>
          <w:rFonts w:cstheme="minorHAnsi"/>
          <w:szCs w:val="20"/>
          <w:lang w:val="en-GB"/>
        </w:rPr>
        <w:t>explosive remnants of war</w:t>
      </w:r>
      <w:r w:rsidR="00857C4B" w:rsidRPr="004D57DD">
        <w:rPr>
          <w:rFonts w:cstheme="minorHAnsi"/>
          <w:szCs w:val="20"/>
          <w:lang w:val="en-GB"/>
        </w:rPr>
        <w:t xml:space="preserve"> </w:t>
      </w:r>
      <w:bookmarkEnd w:id="2"/>
      <w:r w:rsidR="00857C4B" w:rsidRPr="004D57DD">
        <w:rPr>
          <w:rFonts w:cstheme="minorHAnsi"/>
          <w:szCs w:val="20"/>
          <w:lang w:val="en-GB"/>
        </w:rPr>
        <w:t>(Section III)</w:t>
      </w:r>
      <w:r w:rsidR="001E573C">
        <w:rPr>
          <w:rFonts w:cstheme="minorHAnsi"/>
          <w:szCs w:val="20"/>
          <w:lang w:val="en-GB"/>
        </w:rPr>
        <w:t>;</w:t>
      </w:r>
      <w:r w:rsidR="00857C4B" w:rsidRPr="004D57DD">
        <w:rPr>
          <w:rFonts w:cstheme="minorHAnsi"/>
          <w:szCs w:val="20"/>
          <w:lang w:val="en-GB"/>
        </w:rPr>
        <w:t xml:space="preserve"> the right of captives to receive protection (Section IV)</w:t>
      </w:r>
      <w:r w:rsidR="001E573C">
        <w:rPr>
          <w:rFonts w:cstheme="minorHAnsi"/>
          <w:szCs w:val="20"/>
          <w:lang w:val="en-GB"/>
        </w:rPr>
        <w:t>;</w:t>
      </w:r>
      <w:r w:rsidR="00857C4B" w:rsidRPr="004D57DD">
        <w:rPr>
          <w:rFonts w:cstheme="minorHAnsi"/>
          <w:szCs w:val="20"/>
          <w:lang w:val="en-GB"/>
        </w:rPr>
        <w:t xml:space="preserve"> the right to know the fate and whereabouts of missing persons (Section V)</w:t>
      </w:r>
      <w:r w:rsidR="001E573C">
        <w:rPr>
          <w:rFonts w:cstheme="minorHAnsi"/>
          <w:szCs w:val="20"/>
          <w:lang w:val="en-GB"/>
        </w:rPr>
        <w:t>;</w:t>
      </w:r>
      <w:r w:rsidR="00857C4B" w:rsidRPr="004D57DD">
        <w:rPr>
          <w:rFonts w:cstheme="minorHAnsi"/>
          <w:szCs w:val="20"/>
          <w:lang w:val="en-GB"/>
        </w:rPr>
        <w:t xml:space="preserve"> </w:t>
      </w:r>
      <w:bookmarkStart w:id="3" w:name="_Hlk85459864"/>
      <w:r w:rsidR="00857C4B" w:rsidRPr="004D57DD">
        <w:rPr>
          <w:rFonts w:cstheme="minorHAnsi"/>
          <w:szCs w:val="20"/>
          <w:lang w:val="en-GB"/>
        </w:rPr>
        <w:t>the need for i</w:t>
      </w:r>
      <w:r w:rsidR="00857C4B" w:rsidRPr="005F354B">
        <w:rPr>
          <w:rFonts w:cstheme="minorHAnsi"/>
          <w:szCs w:val="20"/>
          <w:lang w:val="en-GB"/>
        </w:rPr>
        <w:t>ndependent and effective investigation</w:t>
      </w:r>
      <w:r w:rsidR="00CC4587">
        <w:rPr>
          <w:rFonts w:cstheme="minorHAnsi"/>
          <w:szCs w:val="20"/>
          <w:lang w:val="en-GB"/>
        </w:rPr>
        <w:t>s</w:t>
      </w:r>
      <w:r w:rsidR="00857C4B" w:rsidRPr="005F354B">
        <w:rPr>
          <w:rFonts w:cstheme="minorHAnsi"/>
          <w:szCs w:val="20"/>
          <w:lang w:val="en-GB"/>
        </w:rPr>
        <w:t xml:space="preserve"> into serious </w:t>
      </w:r>
      <w:r w:rsidR="00857C4B" w:rsidRPr="004D57DD">
        <w:rPr>
          <w:rFonts w:cstheme="minorHAnsi"/>
          <w:szCs w:val="20"/>
          <w:lang w:val="en-GB"/>
        </w:rPr>
        <w:t>human rights</w:t>
      </w:r>
      <w:r w:rsidR="00857C4B" w:rsidRPr="005F354B">
        <w:rPr>
          <w:rFonts w:cstheme="minorHAnsi"/>
          <w:szCs w:val="20"/>
          <w:lang w:val="en-GB"/>
        </w:rPr>
        <w:t xml:space="preserve"> violations reported </w:t>
      </w:r>
      <w:r w:rsidR="004D0116">
        <w:rPr>
          <w:rFonts w:cstheme="minorHAnsi"/>
          <w:szCs w:val="20"/>
          <w:lang w:val="en-GB"/>
        </w:rPr>
        <w:t>in relation to</w:t>
      </w:r>
      <w:r w:rsidR="00857C4B" w:rsidRPr="005F354B">
        <w:rPr>
          <w:rFonts w:cstheme="minorHAnsi"/>
          <w:szCs w:val="20"/>
          <w:lang w:val="en-GB"/>
        </w:rPr>
        <w:t xml:space="preserve"> the conflict</w:t>
      </w:r>
      <w:r w:rsidR="00857C4B" w:rsidRPr="004D57DD">
        <w:rPr>
          <w:rFonts w:cstheme="minorHAnsi"/>
          <w:szCs w:val="20"/>
          <w:lang w:val="en-GB"/>
        </w:rPr>
        <w:t xml:space="preserve"> (Section VI)</w:t>
      </w:r>
      <w:r w:rsidR="001E573C">
        <w:rPr>
          <w:rFonts w:cstheme="minorHAnsi"/>
          <w:szCs w:val="20"/>
          <w:lang w:val="en-GB"/>
        </w:rPr>
        <w:t>;</w:t>
      </w:r>
      <w:r w:rsidR="004D57DD" w:rsidRPr="004D57DD">
        <w:rPr>
          <w:rFonts w:cstheme="minorHAnsi"/>
          <w:szCs w:val="20"/>
          <w:lang w:val="en-GB"/>
        </w:rPr>
        <w:t xml:space="preserve"> </w:t>
      </w:r>
      <w:r w:rsidR="004D57DD" w:rsidRPr="00C226F8">
        <w:rPr>
          <w:rFonts w:cstheme="minorHAnsi"/>
          <w:szCs w:val="20"/>
          <w:lang w:val="en-GB"/>
        </w:rPr>
        <w:t>indiscriminate attacks and the right to life</w:t>
      </w:r>
      <w:bookmarkEnd w:id="3"/>
      <w:r w:rsidR="004D57DD" w:rsidRPr="00C226F8">
        <w:rPr>
          <w:rFonts w:cstheme="minorHAnsi"/>
          <w:szCs w:val="20"/>
          <w:lang w:val="en-GB"/>
        </w:rPr>
        <w:t xml:space="preserve"> (Section VII) and the need to combat </w:t>
      </w:r>
      <w:r w:rsidR="00C226F8" w:rsidRPr="00C226F8">
        <w:rPr>
          <w:rFonts w:cstheme="minorHAnsi"/>
          <w:szCs w:val="20"/>
          <w:lang w:val="en-GB"/>
        </w:rPr>
        <w:t>hate speech, promote peaceful co-existence, and initiate steps toward reconciliation among the affected communities</w:t>
      </w:r>
      <w:r w:rsidR="004D57DD" w:rsidRPr="00C226F8">
        <w:rPr>
          <w:rFonts w:cstheme="minorHAnsi"/>
          <w:szCs w:val="20"/>
          <w:lang w:val="en-GB"/>
        </w:rPr>
        <w:t xml:space="preserve"> (Section VIII). </w:t>
      </w:r>
      <w:r w:rsidR="009D4C3F" w:rsidRPr="00C226F8">
        <w:rPr>
          <w:rFonts w:cstheme="minorHAnsi"/>
          <w:szCs w:val="20"/>
          <w:lang w:val="en-GB"/>
        </w:rPr>
        <w:t>Each</w:t>
      </w:r>
      <w:r w:rsidR="009D4C3F" w:rsidRPr="004D57DD">
        <w:rPr>
          <w:rFonts w:cstheme="minorHAnsi"/>
          <w:szCs w:val="20"/>
          <w:lang w:val="en-GB"/>
        </w:rPr>
        <w:t xml:space="preserve"> section </w:t>
      </w:r>
      <w:r w:rsidR="00CA6B18">
        <w:rPr>
          <w:rFonts w:cstheme="minorHAnsi"/>
          <w:szCs w:val="20"/>
          <w:lang w:val="en-GB"/>
        </w:rPr>
        <w:t>starts with the Commissioner’s main recommendation</w:t>
      </w:r>
      <w:r w:rsidR="009D4C3F" w:rsidRPr="004D57DD">
        <w:rPr>
          <w:rFonts w:cstheme="minorHAnsi"/>
          <w:szCs w:val="20"/>
          <w:lang w:val="en-GB"/>
        </w:rPr>
        <w:t>.</w:t>
      </w:r>
      <w:r w:rsidR="00662514">
        <w:rPr>
          <w:rFonts w:cstheme="minorHAnsi"/>
          <w:szCs w:val="20"/>
          <w:lang w:val="en-GB"/>
        </w:rPr>
        <w:t xml:space="preserve"> </w:t>
      </w:r>
    </w:p>
    <w:p w14:paraId="05942FF7" w14:textId="694D90B8" w:rsidR="001A7208" w:rsidRDefault="001A7208" w:rsidP="001A7208">
      <w:pPr>
        <w:pStyle w:val="ListParagraph"/>
        <w:spacing w:after="0" w:line="240" w:lineRule="auto"/>
        <w:rPr>
          <w:rFonts w:cstheme="minorHAnsi"/>
          <w:szCs w:val="20"/>
          <w:lang w:val="en-GB"/>
        </w:rPr>
      </w:pPr>
    </w:p>
    <w:p w14:paraId="625594D1" w14:textId="03368CEB" w:rsidR="00501A2D" w:rsidRPr="00AF582E" w:rsidRDefault="005F354B" w:rsidP="005F354B">
      <w:pPr>
        <w:pStyle w:val="ListParagraph"/>
        <w:numPr>
          <w:ilvl w:val="0"/>
          <w:numId w:val="19"/>
        </w:numPr>
        <w:autoSpaceDE w:val="0"/>
        <w:autoSpaceDN w:val="0"/>
        <w:adjustRightInd w:val="0"/>
        <w:spacing w:after="0" w:line="240" w:lineRule="auto"/>
        <w:ind w:left="1134" w:hanging="425"/>
        <w:contextualSpacing w:val="0"/>
        <w:jc w:val="both"/>
        <w:rPr>
          <w:rFonts w:eastAsiaTheme="minorEastAsia" w:cs="Arial"/>
          <w:b/>
          <w:bCs/>
          <w:szCs w:val="20"/>
          <w:lang w:val="en-GB" w:eastAsia="zh-CN"/>
        </w:rPr>
      </w:pPr>
      <w:bookmarkStart w:id="4" w:name="_Hlk83308813"/>
      <w:r>
        <w:rPr>
          <w:rFonts w:eastAsiaTheme="minorEastAsia" w:cs="Arial"/>
          <w:b/>
          <w:bCs/>
          <w:szCs w:val="20"/>
          <w:lang w:val="en-GB" w:eastAsia="zh-CN"/>
        </w:rPr>
        <w:t xml:space="preserve">The need </w:t>
      </w:r>
      <w:r w:rsidR="008C32EE">
        <w:rPr>
          <w:rFonts w:eastAsiaTheme="minorEastAsia" w:cs="Arial"/>
          <w:b/>
          <w:bCs/>
          <w:szCs w:val="20"/>
          <w:lang w:val="en-GB" w:eastAsia="zh-CN"/>
        </w:rPr>
        <w:t>to ensure</w:t>
      </w:r>
      <w:r>
        <w:rPr>
          <w:rFonts w:eastAsiaTheme="minorEastAsia" w:cs="Arial"/>
          <w:b/>
          <w:bCs/>
          <w:szCs w:val="20"/>
          <w:lang w:val="en-GB" w:eastAsia="zh-CN"/>
        </w:rPr>
        <w:t xml:space="preserve"> </w:t>
      </w:r>
      <w:r w:rsidRPr="005F354B">
        <w:rPr>
          <w:rFonts w:eastAsiaTheme="minorEastAsia" w:cs="Arial"/>
          <w:b/>
          <w:bCs/>
          <w:szCs w:val="20"/>
          <w:lang w:val="en-GB" w:eastAsia="zh-CN"/>
        </w:rPr>
        <w:t xml:space="preserve">access to </w:t>
      </w:r>
      <w:r>
        <w:rPr>
          <w:rFonts w:eastAsiaTheme="minorEastAsia" w:cs="Arial"/>
          <w:b/>
          <w:bCs/>
          <w:szCs w:val="20"/>
          <w:lang w:val="en-GB" w:eastAsia="zh-CN"/>
        </w:rPr>
        <w:t xml:space="preserve">the </w:t>
      </w:r>
      <w:r w:rsidRPr="005F354B">
        <w:rPr>
          <w:rFonts w:eastAsiaTheme="minorEastAsia" w:cs="Arial"/>
          <w:b/>
          <w:bCs/>
          <w:szCs w:val="20"/>
          <w:lang w:val="en-GB" w:eastAsia="zh-CN"/>
        </w:rPr>
        <w:t xml:space="preserve">areas affected by the conflict and independent </w:t>
      </w:r>
      <w:r>
        <w:rPr>
          <w:rFonts w:eastAsiaTheme="minorEastAsia" w:cs="Arial"/>
          <w:b/>
          <w:bCs/>
          <w:szCs w:val="20"/>
          <w:lang w:val="en-GB" w:eastAsia="zh-CN"/>
        </w:rPr>
        <w:t xml:space="preserve">human rights </w:t>
      </w:r>
      <w:r w:rsidRPr="005F354B">
        <w:rPr>
          <w:rFonts w:eastAsiaTheme="minorEastAsia" w:cs="Arial"/>
          <w:b/>
          <w:bCs/>
          <w:szCs w:val="20"/>
          <w:lang w:val="en-GB" w:eastAsia="zh-CN"/>
        </w:rPr>
        <w:t>monitoring</w:t>
      </w:r>
    </w:p>
    <w:bookmarkEnd w:id="4"/>
    <w:p w14:paraId="2930783A" w14:textId="61E9352F" w:rsidR="00112D12" w:rsidRDefault="00005641" w:rsidP="00FE39BC">
      <w:pPr>
        <w:tabs>
          <w:tab w:val="left" w:pos="1613"/>
        </w:tabs>
        <w:spacing w:after="0" w:line="240" w:lineRule="auto"/>
        <w:ind w:left="709" w:hanging="640"/>
        <w:jc w:val="both"/>
        <w:rPr>
          <w:rFonts w:cstheme="minorHAnsi"/>
          <w:szCs w:val="20"/>
        </w:rPr>
      </w:pPr>
      <w:r>
        <w:rPr>
          <w:rFonts w:cstheme="minorHAnsi"/>
          <w:szCs w:val="20"/>
        </w:rPr>
        <w:tab/>
      </w:r>
    </w:p>
    <w:p w14:paraId="176A63CE" w14:textId="4AAA2DEE" w:rsidR="00023E6A" w:rsidRDefault="00023E6A" w:rsidP="001655B3">
      <w:pPr>
        <w:pStyle w:val="ListParagraph"/>
        <w:spacing w:after="0" w:line="240" w:lineRule="auto"/>
        <w:rPr>
          <w:rFonts w:cstheme="minorHAnsi"/>
          <w:b/>
          <w:bCs/>
          <w:szCs w:val="20"/>
          <w:lang w:val="en-GB"/>
        </w:rPr>
      </w:pPr>
      <w:r w:rsidRPr="00023E6A">
        <w:rPr>
          <w:rFonts w:asciiTheme="minorHAnsi" w:hAnsiTheme="minorHAnsi" w:cstheme="minorHAnsi"/>
          <w:b/>
          <w:bCs/>
          <w:noProof/>
          <w:color w:val="1F497D" w:themeColor="text2"/>
          <w:szCs w:val="20"/>
        </w:rPr>
        <mc:AlternateContent>
          <mc:Choice Requires="wps">
            <w:drawing>
              <wp:anchor distT="0" distB="0" distL="114300" distR="114300" simplePos="0" relativeHeight="251659264" behindDoc="0" locked="0" layoutInCell="1" allowOverlap="1" wp14:anchorId="35F62D49" wp14:editId="637A9D0B">
                <wp:simplePos x="0" y="0"/>
                <wp:positionH relativeFrom="column">
                  <wp:posOffset>328295</wp:posOffset>
                </wp:positionH>
                <wp:positionV relativeFrom="paragraph">
                  <wp:posOffset>47625</wp:posOffset>
                </wp:positionV>
                <wp:extent cx="5753100" cy="537210"/>
                <wp:effectExtent l="38100" t="38100" r="95250" b="91440"/>
                <wp:wrapNone/>
                <wp:docPr id="6" name="Zone de texte 6"/>
                <wp:cNvGraphicFramePr/>
                <a:graphic xmlns:a="http://schemas.openxmlformats.org/drawingml/2006/main">
                  <a:graphicData uri="http://schemas.microsoft.com/office/word/2010/wordprocessingShape">
                    <wps:wsp>
                      <wps:cNvSpPr txBox="1"/>
                      <wps:spPr>
                        <a:xfrm>
                          <a:off x="0" y="0"/>
                          <a:ext cx="5753100" cy="537210"/>
                        </a:xfrm>
                        <a:prstGeom prst="rect">
                          <a:avLst/>
                        </a:prstGeom>
                        <a:solidFill>
                          <a:srgbClr val="F9F0DB"/>
                        </a:solidFill>
                        <a:ln w="6350">
                          <a:noFill/>
                        </a:ln>
                        <a:effectLst>
                          <a:outerShdw blurRad="50800" dist="38100" dir="2700000" algn="tl" rotWithShape="0">
                            <a:prstClr val="black">
                              <a:alpha val="40000"/>
                            </a:prstClr>
                          </a:outerShdw>
                        </a:effectLst>
                      </wps:spPr>
                      <wps:txbx>
                        <w:txbxContent>
                          <w:p w14:paraId="0F2966B5" w14:textId="56F7B95B" w:rsidR="009269CA" w:rsidRPr="00023E6A" w:rsidRDefault="009269CA" w:rsidP="00023E6A">
                            <w:pPr>
                              <w:spacing w:after="0" w:line="240" w:lineRule="auto"/>
                              <w:rPr>
                                <w:rFonts w:cstheme="minorHAnsi"/>
                                <w:b/>
                                <w:bCs/>
                                <w:szCs w:val="20"/>
                                <w:lang w:val="en-GB"/>
                              </w:rPr>
                            </w:pPr>
                            <w:r w:rsidRPr="00023E6A">
                              <w:rPr>
                                <w:rFonts w:cstheme="minorHAnsi"/>
                                <w:b/>
                                <w:bCs/>
                                <w:szCs w:val="20"/>
                                <w:lang w:val="en-GB"/>
                              </w:rPr>
                              <w:t xml:space="preserve">Recommendation no. 1: </w:t>
                            </w:r>
                          </w:p>
                          <w:p w14:paraId="03C5E89E" w14:textId="2399011F" w:rsidR="009269CA" w:rsidRPr="00023E6A" w:rsidRDefault="009269CA" w:rsidP="00EF15D9">
                            <w:pPr>
                              <w:spacing w:after="0" w:line="240" w:lineRule="auto"/>
                              <w:jc w:val="both"/>
                              <w:rPr>
                                <w:rFonts w:cstheme="minorHAnsi"/>
                                <w:bCs/>
                                <w:i/>
                                <w:color w:val="1F497D" w:themeColor="text2"/>
                                <w:szCs w:val="20"/>
                              </w:rPr>
                            </w:pPr>
                            <w:r w:rsidRPr="00023E6A">
                              <w:rPr>
                                <w:rFonts w:cstheme="minorHAnsi"/>
                                <w:szCs w:val="20"/>
                                <w:lang w:val="en-GB"/>
                              </w:rPr>
                              <w:t xml:space="preserve">To ensure free and unhindered access of humanitarian assistance and international human rights missions </w:t>
                            </w:r>
                            <w:r w:rsidR="0042755A">
                              <w:rPr>
                                <w:rFonts w:cstheme="minorHAnsi"/>
                                <w:szCs w:val="20"/>
                                <w:lang w:val="en-GB"/>
                              </w:rPr>
                              <w:t>to</w:t>
                            </w:r>
                            <w:r w:rsidRPr="00023E6A">
                              <w:rPr>
                                <w:rFonts w:cstheme="minorHAnsi"/>
                                <w:szCs w:val="20"/>
                                <w:lang w:val="en-GB"/>
                              </w:rPr>
                              <w:t xml:space="preserve"> all areas affected by the conflict.</w:t>
                            </w:r>
                          </w:p>
                          <w:p w14:paraId="5A79B6A9" w14:textId="77777777" w:rsidR="009269CA" w:rsidRDefault="009269CA" w:rsidP="00023E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62D49" id="_x0000_t202" coordsize="21600,21600" o:spt="202" path="m,l,21600r21600,l21600,xe">
                <v:stroke joinstyle="miter"/>
                <v:path gradientshapeok="t" o:connecttype="rect"/>
              </v:shapetype>
              <v:shape id="Zone de texte 6" o:spid="_x0000_s1026" type="#_x0000_t202" style="position:absolute;left:0;text-align:left;margin-left:25.85pt;margin-top:3.75pt;width:453pt;height:4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" fillcolor="#f9f0db" stroked="f" strokeweight=".5pt">
                <v:shadow on="t" color="black" opacity="26214f" origin="-.5,-.5" offset=".74836mm,.74836mm"/>
                <v:textbox>
                  <w:txbxContent>
                    <w:p w14:paraId="0F2966B5" w14:textId="56F7B95B" w:rsidR="009269CA" w:rsidRPr="00023E6A" w:rsidRDefault="009269CA" w:rsidP="00023E6A">
                      <w:pPr>
                        <w:spacing w:after="0" w:line="240" w:lineRule="auto"/>
                        <w:rPr>
                          <w:rFonts w:cstheme="minorHAnsi"/>
                          <w:b/>
                          <w:bCs/>
                          <w:szCs w:val="20"/>
                          <w:lang w:val="en-GB"/>
                        </w:rPr>
                      </w:pPr>
                      <w:r w:rsidRPr="00023E6A">
                        <w:rPr>
                          <w:rFonts w:cstheme="minorHAnsi"/>
                          <w:b/>
                          <w:bCs/>
                          <w:szCs w:val="20"/>
                          <w:lang w:val="en-GB"/>
                        </w:rPr>
                        <w:t xml:space="preserve">Recommendation no. 1: </w:t>
                      </w:r>
                    </w:p>
                    <w:p w14:paraId="03C5E89E" w14:textId="2399011F" w:rsidR="009269CA" w:rsidRPr="00023E6A" w:rsidRDefault="009269CA" w:rsidP="00EF15D9">
                      <w:pPr>
                        <w:spacing w:after="0" w:line="240" w:lineRule="auto"/>
                        <w:jc w:val="both"/>
                        <w:rPr>
                          <w:rFonts w:cstheme="minorHAnsi"/>
                          <w:bCs/>
                          <w:i/>
                          <w:color w:val="1F497D" w:themeColor="text2"/>
                          <w:szCs w:val="20"/>
                        </w:rPr>
                      </w:pPr>
                      <w:r w:rsidRPr="00023E6A">
                        <w:rPr>
                          <w:rFonts w:cstheme="minorHAnsi"/>
                          <w:szCs w:val="20"/>
                          <w:lang w:val="en-GB"/>
                        </w:rPr>
                        <w:t xml:space="preserve">To ensure free and unhindered access of humanitarian assistance and international human rights missions </w:t>
                      </w:r>
                      <w:r w:rsidR="0042755A">
                        <w:rPr>
                          <w:rFonts w:cstheme="minorHAnsi"/>
                          <w:szCs w:val="20"/>
                          <w:lang w:val="en-GB"/>
                        </w:rPr>
                        <w:t>to</w:t>
                      </w:r>
                      <w:r w:rsidRPr="00023E6A">
                        <w:rPr>
                          <w:rFonts w:cstheme="minorHAnsi"/>
                          <w:szCs w:val="20"/>
                          <w:lang w:val="en-GB"/>
                        </w:rPr>
                        <w:t xml:space="preserve"> all areas affected by the conflict.</w:t>
                      </w:r>
                    </w:p>
                    <w:p w14:paraId="5A79B6A9" w14:textId="77777777" w:rsidR="009269CA" w:rsidRDefault="009269CA" w:rsidP="00023E6A"/>
                  </w:txbxContent>
                </v:textbox>
              </v:shape>
            </w:pict>
          </mc:Fallback>
        </mc:AlternateContent>
      </w:r>
    </w:p>
    <w:p w14:paraId="3FACEBE7" w14:textId="0B60C405" w:rsidR="00023E6A" w:rsidRDefault="00023E6A" w:rsidP="001655B3">
      <w:pPr>
        <w:pStyle w:val="ListParagraph"/>
        <w:spacing w:after="0" w:line="240" w:lineRule="auto"/>
        <w:rPr>
          <w:rFonts w:cstheme="minorHAnsi"/>
          <w:b/>
          <w:bCs/>
          <w:szCs w:val="20"/>
          <w:lang w:val="en-GB"/>
        </w:rPr>
      </w:pPr>
    </w:p>
    <w:p w14:paraId="6757A78C" w14:textId="55490073" w:rsidR="00023E6A" w:rsidRDefault="00023E6A" w:rsidP="001655B3">
      <w:pPr>
        <w:pStyle w:val="ListParagraph"/>
        <w:spacing w:after="0" w:line="240" w:lineRule="auto"/>
        <w:rPr>
          <w:rFonts w:cstheme="minorHAnsi"/>
          <w:b/>
          <w:bCs/>
          <w:szCs w:val="20"/>
          <w:lang w:val="en-GB"/>
        </w:rPr>
      </w:pPr>
    </w:p>
    <w:p w14:paraId="7322D85D" w14:textId="77777777" w:rsidR="00023E6A" w:rsidRDefault="00023E6A" w:rsidP="001655B3">
      <w:pPr>
        <w:pStyle w:val="ListParagraph"/>
        <w:spacing w:after="0" w:line="240" w:lineRule="auto"/>
        <w:rPr>
          <w:rFonts w:cstheme="minorHAnsi"/>
          <w:b/>
          <w:bCs/>
          <w:szCs w:val="20"/>
          <w:lang w:val="en-GB"/>
        </w:rPr>
      </w:pPr>
    </w:p>
    <w:p w14:paraId="39663C62" w14:textId="77777777" w:rsidR="00023E6A" w:rsidRDefault="00023E6A" w:rsidP="001655B3">
      <w:pPr>
        <w:pStyle w:val="ListParagraph"/>
        <w:spacing w:after="0" w:line="240" w:lineRule="auto"/>
        <w:rPr>
          <w:rFonts w:cstheme="minorHAnsi"/>
          <w:b/>
          <w:bCs/>
          <w:szCs w:val="20"/>
          <w:lang w:val="en-GB"/>
        </w:rPr>
      </w:pPr>
    </w:p>
    <w:p w14:paraId="43716084" w14:textId="5DC11C0B" w:rsidR="00434EA1" w:rsidRPr="003B47D6" w:rsidRDefault="00ED6C9B" w:rsidP="00BB01D7">
      <w:pPr>
        <w:numPr>
          <w:ilvl w:val="0"/>
          <w:numId w:val="2"/>
        </w:numPr>
        <w:tabs>
          <w:tab w:val="left" w:pos="1613"/>
        </w:tabs>
        <w:spacing w:after="0" w:line="240" w:lineRule="auto"/>
        <w:ind w:left="714" w:hanging="357"/>
        <w:jc w:val="both"/>
        <w:rPr>
          <w:rFonts w:cstheme="minorHAnsi"/>
          <w:szCs w:val="20"/>
          <w:lang w:val="en-GB"/>
        </w:rPr>
      </w:pPr>
      <w:r w:rsidRPr="00BB01D7">
        <w:rPr>
          <w:rFonts w:cstheme="minorHAnsi"/>
          <w:szCs w:val="20"/>
          <w:lang w:val="en-GB"/>
        </w:rPr>
        <w:t xml:space="preserve">Under </w:t>
      </w:r>
      <w:r w:rsidR="00E52058" w:rsidRPr="00BB01D7">
        <w:rPr>
          <w:rFonts w:cstheme="minorHAnsi"/>
          <w:szCs w:val="20"/>
          <w:lang w:val="en-GB"/>
        </w:rPr>
        <w:t>the ru</w:t>
      </w:r>
      <w:r w:rsidR="00E52058" w:rsidRPr="00295F17">
        <w:rPr>
          <w:rFonts w:cstheme="minorHAnsi"/>
          <w:szCs w:val="20"/>
          <w:lang w:val="en-GB"/>
        </w:rPr>
        <w:t>le of customary international law</w:t>
      </w:r>
      <w:r w:rsidRPr="00BB01D7">
        <w:rPr>
          <w:rFonts w:cstheme="minorHAnsi"/>
          <w:szCs w:val="20"/>
          <w:lang w:val="en-GB"/>
        </w:rPr>
        <w:t xml:space="preserve">, </w:t>
      </w:r>
      <w:r w:rsidR="00E52058" w:rsidRPr="00BB01D7">
        <w:rPr>
          <w:rFonts w:cstheme="minorHAnsi"/>
          <w:szCs w:val="20"/>
          <w:lang w:val="en-GB"/>
        </w:rPr>
        <w:t xml:space="preserve">the well-being of the population </w:t>
      </w:r>
      <w:proofErr w:type="gramStart"/>
      <w:r w:rsidR="00E52058" w:rsidRPr="00BB01D7">
        <w:rPr>
          <w:rFonts w:cstheme="minorHAnsi"/>
          <w:szCs w:val="20"/>
          <w:lang w:val="en-GB"/>
        </w:rPr>
        <w:t>has to</w:t>
      </w:r>
      <w:proofErr w:type="gramEnd"/>
      <w:r w:rsidR="00E52058" w:rsidRPr="00BB01D7">
        <w:rPr>
          <w:rFonts w:cstheme="minorHAnsi"/>
          <w:szCs w:val="20"/>
          <w:lang w:val="en-GB"/>
        </w:rPr>
        <w:t xml:space="preserve"> be a basic concern of those involved in a conflict.</w:t>
      </w:r>
      <w:r w:rsidR="006E7AB2">
        <w:rPr>
          <w:rStyle w:val="FootnoteReference"/>
          <w:rFonts w:cstheme="minorHAnsi"/>
          <w:szCs w:val="20"/>
          <w:lang w:val="en-GB"/>
        </w:rPr>
        <w:footnoteReference w:id="6"/>
      </w:r>
      <w:r w:rsidR="00E52058" w:rsidRPr="00BB01D7">
        <w:rPr>
          <w:rFonts w:cstheme="minorHAnsi"/>
          <w:szCs w:val="20"/>
          <w:lang w:val="en-GB"/>
        </w:rPr>
        <w:t xml:space="preserve"> </w:t>
      </w:r>
      <w:r w:rsidR="00434EA1" w:rsidRPr="00295F17">
        <w:rPr>
          <w:rFonts w:cstheme="minorHAnsi"/>
          <w:szCs w:val="20"/>
        </w:rPr>
        <w:t xml:space="preserve">For a successful relief and recovery operation </w:t>
      </w:r>
      <w:r w:rsidR="00246888">
        <w:rPr>
          <w:rFonts w:cstheme="minorHAnsi"/>
          <w:szCs w:val="20"/>
        </w:rPr>
        <w:t>in</w:t>
      </w:r>
      <w:r w:rsidR="00434EA1" w:rsidRPr="00295F17">
        <w:rPr>
          <w:rFonts w:cstheme="minorHAnsi"/>
          <w:szCs w:val="20"/>
        </w:rPr>
        <w:t xml:space="preserve"> the areas affected by the conflict, it is imperative that humanitarian actors </w:t>
      </w:r>
      <w:r w:rsidR="00434EA1" w:rsidRPr="00BB01D7">
        <w:rPr>
          <w:rFonts w:cstheme="minorHAnsi"/>
          <w:szCs w:val="20"/>
        </w:rPr>
        <w:t xml:space="preserve">are given access to all </w:t>
      </w:r>
      <w:r w:rsidR="00161DCD" w:rsidRPr="00BB01D7">
        <w:rPr>
          <w:rFonts w:cstheme="minorHAnsi"/>
          <w:szCs w:val="20"/>
        </w:rPr>
        <w:t xml:space="preserve">these </w:t>
      </w:r>
      <w:r w:rsidR="00434EA1" w:rsidRPr="00BB01D7">
        <w:rPr>
          <w:rFonts w:cstheme="minorHAnsi"/>
          <w:szCs w:val="20"/>
        </w:rPr>
        <w:t>areas</w:t>
      </w:r>
      <w:r w:rsidR="003B47D6">
        <w:rPr>
          <w:rFonts w:cstheme="minorHAnsi"/>
          <w:szCs w:val="20"/>
        </w:rPr>
        <w:t xml:space="preserve"> </w:t>
      </w:r>
      <w:r w:rsidR="00434EA1" w:rsidRPr="00BB01D7">
        <w:rPr>
          <w:rFonts w:cstheme="minorHAnsi"/>
          <w:szCs w:val="20"/>
        </w:rPr>
        <w:t xml:space="preserve">so that assistance can </w:t>
      </w:r>
      <w:r w:rsidR="00BB01D7">
        <w:rPr>
          <w:rFonts w:cstheme="minorHAnsi"/>
          <w:szCs w:val="20"/>
        </w:rPr>
        <w:t xml:space="preserve">reach all those in need. </w:t>
      </w:r>
    </w:p>
    <w:p w14:paraId="42648901" w14:textId="042B1CCE" w:rsidR="003B47D6" w:rsidRDefault="003B47D6" w:rsidP="003B47D6">
      <w:pPr>
        <w:tabs>
          <w:tab w:val="left" w:pos="1613"/>
        </w:tabs>
        <w:spacing w:after="0" w:line="240" w:lineRule="auto"/>
        <w:ind w:left="714"/>
        <w:jc w:val="both"/>
        <w:rPr>
          <w:rFonts w:cstheme="minorHAnsi"/>
          <w:szCs w:val="20"/>
          <w:lang w:val="en-GB"/>
        </w:rPr>
      </w:pPr>
    </w:p>
    <w:p w14:paraId="3C35D3EA" w14:textId="2F1EFAA4" w:rsidR="000F5DB3" w:rsidRPr="00C06C05" w:rsidRDefault="00D727B9" w:rsidP="000B4331">
      <w:pPr>
        <w:numPr>
          <w:ilvl w:val="0"/>
          <w:numId w:val="2"/>
        </w:numPr>
        <w:tabs>
          <w:tab w:val="left" w:pos="1613"/>
        </w:tabs>
        <w:spacing w:after="0" w:line="240" w:lineRule="auto"/>
        <w:ind w:left="714" w:hanging="357"/>
        <w:jc w:val="both"/>
        <w:rPr>
          <w:rFonts w:cstheme="minorHAnsi"/>
          <w:bCs/>
          <w:iCs/>
          <w:szCs w:val="20"/>
          <w:lang w:val="en-GB"/>
        </w:rPr>
      </w:pPr>
      <w:r>
        <w:rPr>
          <w:rFonts w:cstheme="minorHAnsi"/>
          <w:bCs/>
          <w:iCs/>
          <w:szCs w:val="20"/>
          <w:lang w:val="en-GB"/>
        </w:rPr>
        <w:t xml:space="preserve">The trilateral </w:t>
      </w:r>
      <w:r w:rsidR="009B0208">
        <w:rPr>
          <w:rFonts w:cstheme="minorHAnsi"/>
          <w:bCs/>
          <w:iCs/>
          <w:szCs w:val="20"/>
          <w:lang w:val="en-GB"/>
        </w:rPr>
        <w:t>statement</w:t>
      </w:r>
      <w:r w:rsidR="0014780E">
        <w:rPr>
          <w:rFonts w:cstheme="minorHAnsi"/>
          <w:bCs/>
          <w:iCs/>
          <w:szCs w:val="20"/>
          <w:lang w:val="en-GB"/>
        </w:rPr>
        <w:t xml:space="preserve"> </w:t>
      </w:r>
      <w:r w:rsidR="00152C84">
        <w:rPr>
          <w:rFonts w:cstheme="minorHAnsi"/>
          <w:bCs/>
          <w:iCs/>
          <w:szCs w:val="20"/>
          <w:lang w:val="en-GB"/>
        </w:rPr>
        <w:t xml:space="preserve">provides </w:t>
      </w:r>
      <w:r w:rsidR="0014780E">
        <w:rPr>
          <w:rFonts w:cstheme="minorHAnsi"/>
          <w:bCs/>
          <w:iCs/>
          <w:szCs w:val="20"/>
          <w:lang w:val="en-GB"/>
        </w:rPr>
        <w:t xml:space="preserve">that </w:t>
      </w:r>
      <w:r w:rsidR="009B0208" w:rsidRPr="009B0208">
        <w:rPr>
          <w:rFonts w:cstheme="minorHAnsi"/>
          <w:bCs/>
          <w:iCs/>
          <w:szCs w:val="20"/>
        </w:rPr>
        <w:t xml:space="preserve">economic and transport connections in the region shall be unblocked </w:t>
      </w:r>
      <w:r w:rsidR="0014780E">
        <w:rPr>
          <w:rFonts w:cstheme="minorHAnsi"/>
          <w:bCs/>
          <w:iCs/>
          <w:szCs w:val="20"/>
        </w:rPr>
        <w:t xml:space="preserve">but </w:t>
      </w:r>
      <w:r>
        <w:rPr>
          <w:rFonts w:cstheme="minorHAnsi"/>
          <w:bCs/>
          <w:iCs/>
          <w:szCs w:val="20"/>
          <w:lang w:val="en-GB"/>
        </w:rPr>
        <w:t xml:space="preserve">does not foresee any </w:t>
      </w:r>
      <w:r w:rsidR="007D434D">
        <w:rPr>
          <w:rFonts w:cstheme="minorHAnsi"/>
          <w:bCs/>
          <w:iCs/>
          <w:szCs w:val="20"/>
          <w:lang w:val="en-GB"/>
        </w:rPr>
        <w:t xml:space="preserve">specific provision </w:t>
      </w:r>
      <w:r w:rsidR="0016251E">
        <w:rPr>
          <w:rFonts w:cstheme="minorHAnsi"/>
          <w:bCs/>
          <w:iCs/>
          <w:szCs w:val="20"/>
          <w:lang w:val="en-GB"/>
        </w:rPr>
        <w:t>regarding</w:t>
      </w:r>
      <w:r>
        <w:rPr>
          <w:rFonts w:cstheme="minorHAnsi"/>
          <w:bCs/>
          <w:iCs/>
          <w:szCs w:val="20"/>
          <w:lang w:val="en-GB"/>
        </w:rPr>
        <w:t xml:space="preserve"> access</w:t>
      </w:r>
      <w:r w:rsidR="009B0208">
        <w:rPr>
          <w:rFonts w:cstheme="minorHAnsi"/>
          <w:bCs/>
          <w:iCs/>
          <w:szCs w:val="20"/>
          <w:lang w:val="en-GB"/>
        </w:rPr>
        <w:t xml:space="preserve"> to</w:t>
      </w:r>
      <w:r w:rsidR="00DA0B7E">
        <w:rPr>
          <w:rFonts w:cstheme="minorHAnsi"/>
          <w:bCs/>
          <w:iCs/>
          <w:szCs w:val="20"/>
          <w:lang w:val="en-GB"/>
        </w:rPr>
        <w:t xml:space="preserve"> </w:t>
      </w:r>
      <w:r w:rsidR="00315F35">
        <w:rPr>
          <w:rFonts w:cstheme="minorHAnsi"/>
          <w:bCs/>
          <w:iCs/>
          <w:szCs w:val="20"/>
          <w:lang w:val="en-GB"/>
        </w:rPr>
        <w:t>all</w:t>
      </w:r>
      <w:r w:rsidR="008C32EE">
        <w:rPr>
          <w:rFonts w:cstheme="minorHAnsi"/>
          <w:bCs/>
          <w:iCs/>
          <w:szCs w:val="20"/>
          <w:lang w:val="en-GB"/>
        </w:rPr>
        <w:t xml:space="preserve"> </w:t>
      </w:r>
      <w:r w:rsidR="000B4331">
        <w:rPr>
          <w:rFonts w:cstheme="minorHAnsi"/>
          <w:bCs/>
          <w:iCs/>
          <w:szCs w:val="20"/>
          <w:lang w:val="en-GB"/>
        </w:rPr>
        <w:t>people residing</w:t>
      </w:r>
      <w:r w:rsidR="008C32EE">
        <w:rPr>
          <w:rFonts w:cstheme="minorHAnsi"/>
          <w:bCs/>
          <w:iCs/>
          <w:szCs w:val="20"/>
          <w:lang w:val="en-GB"/>
        </w:rPr>
        <w:t xml:space="preserve"> </w:t>
      </w:r>
      <w:r w:rsidR="00DA0B7E">
        <w:rPr>
          <w:rFonts w:cstheme="minorHAnsi"/>
          <w:bCs/>
          <w:iCs/>
          <w:szCs w:val="20"/>
          <w:lang w:val="en-GB"/>
        </w:rPr>
        <w:t>in</w:t>
      </w:r>
      <w:r w:rsidR="009B0208" w:rsidRPr="0014780E">
        <w:rPr>
          <w:rFonts w:cstheme="minorHAnsi"/>
          <w:bCs/>
          <w:iCs/>
          <w:szCs w:val="20"/>
          <w:lang w:val="en-GB"/>
        </w:rPr>
        <w:t xml:space="preserve"> Nagorno-Karabakh. </w:t>
      </w:r>
      <w:r w:rsidR="00A85C31" w:rsidRPr="00CC457E">
        <w:rPr>
          <w:rFonts w:cstheme="minorHAnsi"/>
          <w:bCs/>
          <w:iCs/>
          <w:szCs w:val="20"/>
          <w:lang w:val="en-GB"/>
        </w:rPr>
        <w:t xml:space="preserve">The Commissioner observes </w:t>
      </w:r>
      <w:r w:rsidR="009F2410">
        <w:rPr>
          <w:rFonts w:cstheme="minorHAnsi"/>
          <w:bCs/>
          <w:iCs/>
          <w:szCs w:val="20"/>
          <w:lang w:val="en-GB"/>
        </w:rPr>
        <w:t>that</w:t>
      </w:r>
      <w:r w:rsidR="00CC457E" w:rsidRPr="009E77ED">
        <w:rPr>
          <w:rFonts w:cstheme="minorHAnsi"/>
          <w:bCs/>
          <w:iCs/>
          <w:szCs w:val="20"/>
          <w:lang w:val="en-GB"/>
        </w:rPr>
        <w:t xml:space="preserve"> access to the</w:t>
      </w:r>
      <w:r w:rsidR="009F2410">
        <w:rPr>
          <w:rFonts w:cstheme="minorHAnsi"/>
          <w:bCs/>
          <w:iCs/>
          <w:szCs w:val="20"/>
          <w:lang w:val="en-GB"/>
        </w:rPr>
        <w:t xml:space="preserve"> conflict-affected</w:t>
      </w:r>
      <w:r w:rsidR="00CC457E" w:rsidRPr="009E77ED">
        <w:rPr>
          <w:rFonts w:cstheme="minorHAnsi"/>
          <w:bCs/>
          <w:iCs/>
          <w:szCs w:val="20"/>
          <w:lang w:val="en-GB"/>
        </w:rPr>
        <w:t xml:space="preserve"> territor</w:t>
      </w:r>
      <w:r w:rsidR="009F2410">
        <w:rPr>
          <w:rFonts w:cstheme="minorHAnsi"/>
          <w:bCs/>
          <w:iCs/>
          <w:szCs w:val="20"/>
          <w:lang w:val="en-GB"/>
        </w:rPr>
        <w:t xml:space="preserve">ies, </w:t>
      </w:r>
      <w:proofErr w:type="gramStart"/>
      <w:r w:rsidR="009F2410">
        <w:rPr>
          <w:rFonts w:cstheme="minorHAnsi"/>
          <w:bCs/>
          <w:iCs/>
          <w:szCs w:val="20"/>
          <w:lang w:val="en-GB"/>
        </w:rPr>
        <w:t xml:space="preserve">in </w:t>
      </w:r>
      <w:r w:rsidR="009F2410" w:rsidRPr="008C32EE">
        <w:rPr>
          <w:rFonts w:cstheme="minorHAnsi"/>
          <w:bCs/>
          <w:iCs/>
          <w:szCs w:val="20"/>
          <w:lang w:val="en-GB"/>
        </w:rPr>
        <w:t>particular</w:t>
      </w:r>
      <w:r w:rsidR="008C32EE">
        <w:rPr>
          <w:rFonts w:cstheme="minorHAnsi"/>
          <w:bCs/>
          <w:iCs/>
          <w:szCs w:val="20"/>
          <w:lang w:val="en-GB"/>
        </w:rPr>
        <w:t xml:space="preserve"> </w:t>
      </w:r>
      <w:r w:rsidR="00DA0B7E" w:rsidRPr="008C32EE">
        <w:rPr>
          <w:rFonts w:cstheme="minorHAnsi"/>
          <w:bCs/>
          <w:iCs/>
          <w:szCs w:val="20"/>
          <w:lang w:val="en-GB"/>
        </w:rPr>
        <w:t>Stepanakert/</w:t>
      </w:r>
      <w:proofErr w:type="spellStart"/>
      <w:r w:rsidR="00DA0B7E" w:rsidRPr="008C32EE">
        <w:rPr>
          <w:rFonts w:cstheme="minorHAnsi"/>
          <w:bCs/>
          <w:iCs/>
          <w:szCs w:val="20"/>
          <w:lang w:val="en-GB"/>
        </w:rPr>
        <w:t>Khankendi</w:t>
      </w:r>
      <w:proofErr w:type="spellEnd"/>
      <w:proofErr w:type="gramEnd"/>
      <w:r w:rsidR="00DA0B7E" w:rsidRPr="008C32EE">
        <w:rPr>
          <w:rFonts w:cstheme="minorHAnsi"/>
          <w:bCs/>
          <w:iCs/>
          <w:szCs w:val="20"/>
          <w:lang w:val="en-GB"/>
        </w:rPr>
        <w:t xml:space="preserve"> and surrounding</w:t>
      </w:r>
      <w:r w:rsidR="007157D3" w:rsidRPr="008C32EE">
        <w:rPr>
          <w:rFonts w:cstheme="minorHAnsi"/>
          <w:bCs/>
          <w:iCs/>
          <w:szCs w:val="20"/>
          <w:lang w:val="en-GB"/>
        </w:rPr>
        <w:t xml:space="preserve"> area</w:t>
      </w:r>
      <w:r w:rsidR="00DA0B7E" w:rsidRPr="008C32EE">
        <w:rPr>
          <w:rFonts w:cstheme="minorHAnsi"/>
          <w:bCs/>
          <w:iCs/>
          <w:szCs w:val="20"/>
          <w:lang w:val="en-GB"/>
        </w:rPr>
        <w:t>s</w:t>
      </w:r>
      <w:r w:rsidR="009F2410" w:rsidRPr="008C32EE">
        <w:rPr>
          <w:rFonts w:cstheme="minorHAnsi"/>
          <w:bCs/>
          <w:iCs/>
          <w:szCs w:val="20"/>
          <w:lang w:val="en-GB"/>
        </w:rPr>
        <w:t>,</w:t>
      </w:r>
      <w:r w:rsidR="009F2410">
        <w:rPr>
          <w:rFonts w:cstheme="minorHAnsi"/>
          <w:bCs/>
          <w:iCs/>
          <w:szCs w:val="20"/>
          <w:lang w:val="en-GB"/>
        </w:rPr>
        <w:t xml:space="preserve"> </w:t>
      </w:r>
      <w:r w:rsidR="009F2410" w:rsidRPr="009E77ED">
        <w:rPr>
          <w:rFonts w:cstheme="minorHAnsi"/>
          <w:bCs/>
          <w:iCs/>
          <w:szCs w:val="20"/>
          <w:lang w:val="en-GB"/>
        </w:rPr>
        <w:t xml:space="preserve">remains very limited </w:t>
      </w:r>
      <w:r w:rsidR="00CC457E" w:rsidRPr="009E77ED">
        <w:rPr>
          <w:rFonts w:cstheme="minorHAnsi"/>
          <w:bCs/>
          <w:iCs/>
          <w:szCs w:val="20"/>
          <w:lang w:val="en-GB"/>
        </w:rPr>
        <w:t xml:space="preserve">for </w:t>
      </w:r>
      <w:bookmarkStart w:id="5" w:name="_Hlk83201580"/>
      <w:r w:rsidR="00CC457E" w:rsidRPr="009E77ED">
        <w:rPr>
          <w:rFonts w:cstheme="minorHAnsi"/>
          <w:bCs/>
          <w:iCs/>
          <w:szCs w:val="20"/>
          <w:lang w:val="en-GB"/>
        </w:rPr>
        <w:t>organisations</w:t>
      </w:r>
      <w:bookmarkEnd w:id="5"/>
      <w:r w:rsidR="00DA0B7E">
        <w:rPr>
          <w:rFonts w:cstheme="minorHAnsi"/>
          <w:bCs/>
          <w:iCs/>
          <w:szCs w:val="20"/>
          <w:lang w:val="en-GB"/>
        </w:rPr>
        <w:t xml:space="preserve"> providing humanitarian relief</w:t>
      </w:r>
      <w:r w:rsidR="00CC457E" w:rsidRPr="009E77ED">
        <w:rPr>
          <w:rFonts w:cstheme="minorHAnsi"/>
          <w:bCs/>
          <w:iCs/>
          <w:szCs w:val="20"/>
          <w:lang w:val="en-GB"/>
        </w:rPr>
        <w:t xml:space="preserve">, </w:t>
      </w:r>
      <w:r w:rsidR="009632B5">
        <w:rPr>
          <w:rFonts w:cstheme="minorHAnsi"/>
          <w:bCs/>
          <w:iCs/>
          <w:szCs w:val="20"/>
          <w:lang w:val="en-GB"/>
        </w:rPr>
        <w:t>as well as</w:t>
      </w:r>
      <w:r w:rsidR="00CC457E" w:rsidRPr="009E77ED">
        <w:rPr>
          <w:rFonts w:cstheme="minorHAnsi"/>
          <w:bCs/>
          <w:iCs/>
          <w:szCs w:val="20"/>
          <w:lang w:val="en-GB"/>
        </w:rPr>
        <w:t xml:space="preserve"> </w:t>
      </w:r>
      <w:r w:rsidR="00246888">
        <w:rPr>
          <w:rFonts w:cstheme="minorHAnsi"/>
          <w:bCs/>
          <w:iCs/>
          <w:szCs w:val="20"/>
          <w:lang w:val="en-GB"/>
        </w:rPr>
        <w:t xml:space="preserve">for </w:t>
      </w:r>
      <w:r w:rsidR="00CC457E" w:rsidRPr="009E77ED">
        <w:rPr>
          <w:rFonts w:cstheme="minorHAnsi"/>
          <w:bCs/>
          <w:iCs/>
          <w:szCs w:val="20"/>
          <w:lang w:val="en-GB"/>
        </w:rPr>
        <w:t>human rights monitoring missions</w:t>
      </w:r>
      <w:r w:rsidR="007D434D">
        <w:rPr>
          <w:rFonts w:cstheme="minorHAnsi"/>
          <w:bCs/>
          <w:iCs/>
          <w:szCs w:val="20"/>
          <w:lang w:val="en-GB"/>
        </w:rPr>
        <w:t xml:space="preserve">, and that </w:t>
      </w:r>
      <w:r w:rsidR="007D434D" w:rsidRPr="00D824AE">
        <w:rPr>
          <w:rFonts w:cstheme="minorHAnsi"/>
          <w:szCs w:val="20"/>
          <w:lang w:val="en-GB"/>
        </w:rPr>
        <w:t>obstacles</w:t>
      </w:r>
      <w:r w:rsidR="007D434D" w:rsidRPr="00335976">
        <w:rPr>
          <w:rFonts w:cstheme="minorHAnsi"/>
          <w:szCs w:val="20"/>
          <w:lang w:val="en-GB"/>
        </w:rPr>
        <w:t xml:space="preserve"> are </w:t>
      </w:r>
      <w:r w:rsidR="00880296">
        <w:rPr>
          <w:rFonts w:cstheme="minorHAnsi"/>
          <w:szCs w:val="20"/>
          <w:lang w:val="en-GB"/>
        </w:rPr>
        <w:t>increasingly</w:t>
      </w:r>
      <w:r w:rsidR="007D302F">
        <w:rPr>
          <w:rFonts w:cstheme="minorHAnsi"/>
          <w:szCs w:val="20"/>
          <w:lang w:val="en-GB"/>
        </w:rPr>
        <w:t xml:space="preserve"> being</w:t>
      </w:r>
      <w:r w:rsidR="007D434D" w:rsidRPr="00335976">
        <w:rPr>
          <w:rFonts w:cstheme="minorHAnsi"/>
          <w:szCs w:val="20"/>
          <w:lang w:val="en-GB"/>
        </w:rPr>
        <w:t xml:space="preserve"> placed</w:t>
      </w:r>
      <w:r w:rsidR="00315F35">
        <w:rPr>
          <w:rFonts w:cstheme="minorHAnsi"/>
          <w:szCs w:val="20"/>
          <w:lang w:val="en-GB"/>
        </w:rPr>
        <w:t xml:space="preserve"> </w:t>
      </w:r>
      <w:r w:rsidR="00880296">
        <w:rPr>
          <w:rFonts w:cstheme="minorHAnsi"/>
          <w:szCs w:val="20"/>
          <w:lang w:val="en-GB"/>
        </w:rPr>
        <w:t>on such missions.</w:t>
      </w:r>
      <w:r w:rsidR="00613F88">
        <w:rPr>
          <w:rFonts w:cstheme="minorHAnsi"/>
          <w:szCs w:val="20"/>
        </w:rPr>
        <w:t xml:space="preserve"> </w:t>
      </w:r>
      <w:r w:rsidR="007D434D">
        <w:rPr>
          <w:rFonts w:cstheme="minorHAnsi"/>
          <w:szCs w:val="20"/>
          <w:lang w:val="en-GB"/>
        </w:rPr>
        <w:t>The Commissioner</w:t>
      </w:r>
      <w:r w:rsidR="000B4331">
        <w:rPr>
          <w:rFonts w:cstheme="minorHAnsi"/>
          <w:bCs/>
          <w:iCs/>
          <w:szCs w:val="20"/>
          <w:lang w:val="en-GB"/>
        </w:rPr>
        <w:t xml:space="preserve"> has received reports indicating that </w:t>
      </w:r>
      <w:r w:rsidR="000B4331" w:rsidRPr="00C06C05">
        <w:rPr>
          <w:rFonts w:cstheme="minorHAnsi"/>
          <w:bCs/>
          <w:iCs/>
          <w:szCs w:val="20"/>
          <w:lang w:val="en-GB"/>
        </w:rPr>
        <w:t xml:space="preserve">both countries have </w:t>
      </w:r>
      <w:r w:rsidR="008F3D26" w:rsidRPr="00C06C05">
        <w:rPr>
          <w:rFonts w:cstheme="minorHAnsi"/>
          <w:bCs/>
          <w:iCs/>
          <w:szCs w:val="20"/>
          <w:lang w:val="en-GB"/>
        </w:rPr>
        <w:t xml:space="preserve">stated </w:t>
      </w:r>
      <w:r w:rsidR="000B4331" w:rsidRPr="00C06C05">
        <w:rPr>
          <w:rFonts w:cstheme="minorHAnsi"/>
          <w:bCs/>
          <w:iCs/>
          <w:szCs w:val="20"/>
          <w:lang w:val="en-GB"/>
        </w:rPr>
        <w:t xml:space="preserve">their preferences for access </w:t>
      </w:r>
      <w:r w:rsidR="008F3D26" w:rsidRPr="00C06C05">
        <w:rPr>
          <w:rFonts w:cstheme="minorHAnsi"/>
          <w:bCs/>
          <w:iCs/>
          <w:szCs w:val="20"/>
          <w:lang w:val="en-GB"/>
        </w:rPr>
        <w:t xml:space="preserve">to the above-mentioned areas to be </w:t>
      </w:r>
      <w:r w:rsidR="008F3D26" w:rsidRPr="00C06C05">
        <w:rPr>
          <w:rFonts w:cstheme="minorHAnsi"/>
          <w:bCs/>
          <w:iCs/>
          <w:szCs w:val="20"/>
          <w:lang w:val="en-GB"/>
        </w:rPr>
        <w:lastRenderedPageBreak/>
        <w:t>considered only</w:t>
      </w:r>
      <w:r w:rsidR="000B4331" w:rsidRPr="00C06C05">
        <w:rPr>
          <w:rFonts w:cstheme="minorHAnsi"/>
          <w:bCs/>
          <w:iCs/>
          <w:szCs w:val="20"/>
          <w:lang w:val="en-GB"/>
        </w:rPr>
        <w:t xml:space="preserve"> from the territories under their respective control</w:t>
      </w:r>
      <w:r w:rsidR="00BB01D7" w:rsidRPr="00C06C05">
        <w:rPr>
          <w:rFonts w:cstheme="minorHAnsi"/>
          <w:bCs/>
          <w:iCs/>
          <w:szCs w:val="20"/>
          <w:lang w:val="en-GB"/>
        </w:rPr>
        <w:t xml:space="preserve"> and subject to various further restrictions</w:t>
      </w:r>
      <w:r w:rsidR="00DB0B98">
        <w:rPr>
          <w:rFonts w:cstheme="minorHAnsi"/>
          <w:bCs/>
          <w:iCs/>
          <w:szCs w:val="20"/>
          <w:lang w:val="en-GB"/>
        </w:rPr>
        <w:t xml:space="preserve"> and </w:t>
      </w:r>
      <w:r w:rsidR="006E5CF8" w:rsidRPr="00C06C05">
        <w:rPr>
          <w:rFonts w:cstheme="minorHAnsi"/>
          <w:bCs/>
          <w:iCs/>
          <w:szCs w:val="20"/>
          <w:lang w:val="en-GB"/>
        </w:rPr>
        <w:t>preconditions</w:t>
      </w:r>
      <w:r w:rsidR="00BB01D7" w:rsidRPr="00C06C05">
        <w:rPr>
          <w:rFonts w:cstheme="minorHAnsi"/>
          <w:bCs/>
          <w:iCs/>
          <w:szCs w:val="20"/>
          <w:lang w:val="en-GB"/>
        </w:rPr>
        <w:t xml:space="preserve"> which amount to insurmountable obstacles being place</w:t>
      </w:r>
      <w:r w:rsidR="00642434" w:rsidRPr="00C06C05">
        <w:rPr>
          <w:rFonts w:cstheme="minorHAnsi"/>
          <w:bCs/>
          <w:iCs/>
          <w:szCs w:val="20"/>
          <w:lang w:val="en-GB"/>
        </w:rPr>
        <w:t>d</w:t>
      </w:r>
      <w:r w:rsidR="00BB01D7" w:rsidRPr="00C06C05">
        <w:rPr>
          <w:rFonts w:cstheme="minorHAnsi"/>
          <w:bCs/>
          <w:iCs/>
          <w:szCs w:val="20"/>
          <w:lang w:val="en-GB"/>
        </w:rPr>
        <w:t xml:space="preserve"> on the access to the </w:t>
      </w:r>
      <w:r w:rsidR="00B45E56" w:rsidRPr="00C06C05">
        <w:rPr>
          <w:rFonts w:cstheme="minorHAnsi"/>
          <w:bCs/>
          <w:iCs/>
          <w:szCs w:val="20"/>
          <w:lang w:val="en-GB"/>
        </w:rPr>
        <w:t>conflict-affected areas.</w:t>
      </w:r>
      <w:r w:rsidR="008F3D26" w:rsidRPr="00C06C05">
        <w:rPr>
          <w:rFonts w:cstheme="minorHAnsi"/>
          <w:bCs/>
          <w:iCs/>
          <w:szCs w:val="20"/>
          <w:lang w:val="en-GB"/>
        </w:rPr>
        <w:t xml:space="preserve"> </w:t>
      </w:r>
      <w:r w:rsidR="00426D24" w:rsidRPr="00C06C05">
        <w:rPr>
          <w:rFonts w:cstheme="minorHAnsi"/>
          <w:szCs w:val="20"/>
          <w:lang w:val="en-GB"/>
        </w:rPr>
        <w:t xml:space="preserve">She </w:t>
      </w:r>
      <w:r w:rsidR="007D434D" w:rsidRPr="00C06C05">
        <w:rPr>
          <w:rFonts w:cstheme="minorHAnsi"/>
          <w:szCs w:val="20"/>
          <w:lang w:val="en-GB"/>
        </w:rPr>
        <w:t>regrets that</w:t>
      </w:r>
      <w:r w:rsidR="00335976" w:rsidRPr="00C06C05">
        <w:rPr>
          <w:rFonts w:cstheme="minorHAnsi"/>
          <w:szCs w:val="20"/>
          <w:lang w:val="en-GB"/>
        </w:rPr>
        <w:t xml:space="preserve"> the positions of the </w:t>
      </w:r>
      <w:r w:rsidR="00880296" w:rsidRPr="00C06C05">
        <w:rPr>
          <w:rFonts w:cstheme="minorHAnsi"/>
          <w:szCs w:val="20"/>
          <w:lang w:val="en-GB"/>
        </w:rPr>
        <w:t>parties to the conflict</w:t>
      </w:r>
      <w:r w:rsidR="00315F35" w:rsidRPr="00C06C05">
        <w:rPr>
          <w:rFonts w:cstheme="minorHAnsi"/>
          <w:szCs w:val="20"/>
          <w:lang w:val="en-GB"/>
        </w:rPr>
        <w:t xml:space="preserve"> on this issue is</w:t>
      </w:r>
      <w:r w:rsidR="005A5303" w:rsidRPr="00C06C05">
        <w:rPr>
          <w:rFonts w:cstheme="minorHAnsi"/>
          <w:szCs w:val="20"/>
          <w:lang w:val="en-GB"/>
        </w:rPr>
        <w:t xml:space="preserve"> detrimental </w:t>
      </w:r>
      <w:r w:rsidR="00246888" w:rsidRPr="00246888">
        <w:rPr>
          <w:rFonts w:cstheme="minorHAnsi"/>
          <w:szCs w:val="20"/>
          <w:lang w:val="en-GB"/>
        </w:rPr>
        <w:t>to civilians who are already victimised by the conflict</w:t>
      </w:r>
      <w:r w:rsidR="00246888">
        <w:rPr>
          <w:rFonts w:cstheme="minorHAnsi"/>
          <w:szCs w:val="20"/>
          <w:lang w:val="en-GB"/>
        </w:rPr>
        <w:t xml:space="preserve">. </w:t>
      </w:r>
    </w:p>
    <w:p w14:paraId="16BFAED3" w14:textId="278A2138" w:rsidR="000F1C79" w:rsidRPr="00C06C05" w:rsidRDefault="000F1C79" w:rsidP="00A85C31">
      <w:pPr>
        <w:tabs>
          <w:tab w:val="left" w:pos="1613"/>
        </w:tabs>
        <w:spacing w:after="0" w:line="240" w:lineRule="auto"/>
        <w:jc w:val="both"/>
        <w:rPr>
          <w:rFonts w:cstheme="minorHAnsi"/>
          <w:szCs w:val="20"/>
          <w:lang w:val="en-GB"/>
        </w:rPr>
      </w:pPr>
    </w:p>
    <w:p w14:paraId="2FE9585B" w14:textId="6B2E742D" w:rsidR="001D4460" w:rsidRPr="00C06C05" w:rsidRDefault="009F2410" w:rsidP="00315F35">
      <w:pPr>
        <w:numPr>
          <w:ilvl w:val="0"/>
          <w:numId w:val="2"/>
        </w:numPr>
        <w:tabs>
          <w:tab w:val="left" w:pos="1613"/>
        </w:tabs>
        <w:spacing w:after="0" w:line="240" w:lineRule="auto"/>
        <w:ind w:left="714" w:hanging="357"/>
        <w:jc w:val="both"/>
        <w:rPr>
          <w:rFonts w:cstheme="minorHAnsi"/>
          <w:szCs w:val="20"/>
        </w:rPr>
      </w:pPr>
      <w:r w:rsidRPr="00A4525A">
        <w:rPr>
          <w:rFonts w:cstheme="minorHAnsi"/>
          <w:szCs w:val="20"/>
          <w:lang w:val="en-GB"/>
        </w:rPr>
        <w:t>In</w:t>
      </w:r>
      <w:r w:rsidRPr="00A4525A">
        <w:rPr>
          <w:rFonts w:cstheme="minorHAnsi"/>
          <w:szCs w:val="20"/>
        </w:rPr>
        <w:t xml:space="preserve"> </w:t>
      </w:r>
      <w:r w:rsidR="00651B46" w:rsidRPr="00A4525A">
        <w:rPr>
          <w:rFonts w:cstheme="minorHAnsi"/>
          <w:szCs w:val="20"/>
        </w:rPr>
        <w:t xml:space="preserve">view of the very tense situation </w:t>
      </w:r>
      <w:r w:rsidR="001E22A3" w:rsidRPr="00A4525A">
        <w:rPr>
          <w:rFonts w:cstheme="minorHAnsi"/>
          <w:szCs w:val="20"/>
        </w:rPr>
        <w:t xml:space="preserve">on the ground </w:t>
      </w:r>
      <w:r w:rsidR="00651B46" w:rsidRPr="00A4525A">
        <w:rPr>
          <w:rFonts w:cstheme="minorHAnsi"/>
          <w:szCs w:val="20"/>
        </w:rPr>
        <w:t xml:space="preserve">and </w:t>
      </w:r>
      <w:r w:rsidR="001E22A3" w:rsidRPr="00A4525A">
        <w:rPr>
          <w:rFonts w:cstheme="minorHAnsi"/>
          <w:szCs w:val="20"/>
        </w:rPr>
        <w:t xml:space="preserve">recurrent </w:t>
      </w:r>
      <w:r w:rsidR="0016251E" w:rsidRPr="00A4525A">
        <w:rPr>
          <w:rFonts w:cstheme="minorHAnsi"/>
          <w:szCs w:val="20"/>
        </w:rPr>
        <w:t>incidents</w:t>
      </w:r>
      <w:r w:rsidR="007C00E8" w:rsidRPr="00A4525A">
        <w:rPr>
          <w:rFonts w:cstheme="minorHAnsi"/>
          <w:szCs w:val="20"/>
        </w:rPr>
        <w:t xml:space="preserve"> and lives lost </w:t>
      </w:r>
      <w:r w:rsidR="0016251E" w:rsidRPr="00A4525A">
        <w:rPr>
          <w:rFonts w:cstheme="minorHAnsi"/>
          <w:szCs w:val="20"/>
        </w:rPr>
        <w:t xml:space="preserve">at the </w:t>
      </w:r>
      <w:r w:rsidR="00651B46" w:rsidRPr="00A4525A">
        <w:rPr>
          <w:rFonts w:cstheme="minorHAnsi"/>
          <w:szCs w:val="20"/>
        </w:rPr>
        <w:t xml:space="preserve">border, </w:t>
      </w:r>
      <w:r w:rsidR="00271598" w:rsidRPr="00A4525A">
        <w:rPr>
          <w:rFonts w:cstheme="minorHAnsi"/>
          <w:szCs w:val="20"/>
        </w:rPr>
        <w:t>there is</w:t>
      </w:r>
      <w:r w:rsidR="001E22A3" w:rsidRPr="00A4525A">
        <w:rPr>
          <w:rFonts w:cstheme="minorHAnsi"/>
          <w:szCs w:val="20"/>
        </w:rPr>
        <w:t xml:space="preserve"> </w:t>
      </w:r>
      <w:r w:rsidR="00271598" w:rsidRPr="00A4525A">
        <w:rPr>
          <w:rFonts w:cstheme="minorHAnsi"/>
          <w:szCs w:val="20"/>
        </w:rPr>
        <w:t>a</w:t>
      </w:r>
      <w:r w:rsidR="008F3D26" w:rsidRPr="00A4525A">
        <w:rPr>
          <w:rFonts w:cstheme="minorHAnsi"/>
          <w:szCs w:val="20"/>
        </w:rPr>
        <w:t xml:space="preserve"> clear</w:t>
      </w:r>
      <w:r w:rsidR="00271598" w:rsidRPr="00A4525A">
        <w:rPr>
          <w:rFonts w:cstheme="minorHAnsi"/>
          <w:szCs w:val="20"/>
        </w:rPr>
        <w:t xml:space="preserve"> need </w:t>
      </w:r>
      <w:r w:rsidR="00152C84" w:rsidRPr="00A4525A">
        <w:rPr>
          <w:rFonts w:cstheme="minorHAnsi"/>
          <w:szCs w:val="20"/>
        </w:rPr>
        <w:t xml:space="preserve">for </w:t>
      </w:r>
      <w:r w:rsidR="008F3D26" w:rsidRPr="00A4525A">
        <w:rPr>
          <w:rFonts w:cstheme="minorHAnsi"/>
          <w:szCs w:val="20"/>
        </w:rPr>
        <w:t xml:space="preserve">continuous international </w:t>
      </w:r>
      <w:r w:rsidR="00271598" w:rsidRPr="00A4525A">
        <w:rPr>
          <w:rFonts w:cstheme="minorHAnsi"/>
          <w:szCs w:val="20"/>
        </w:rPr>
        <w:t>human rights monitoring</w:t>
      </w:r>
      <w:r w:rsidR="008F3D26" w:rsidRPr="00A4525A">
        <w:rPr>
          <w:rFonts w:cstheme="minorHAnsi"/>
          <w:szCs w:val="20"/>
        </w:rPr>
        <w:t xml:space="preserve"> and presence o</w:t>
      </w:r>
      <w:r w:rsidR="00851F34">
        <w:rPr>
          <w:rFonts w:cstheme="minorHAnsi"/>
          <w:szCs w:val="20"/>
        </w:rPr>
        <w:t>n</w:t>
      </w:r>
      <w:r w:rsidR="008F3D26" w:rsidRPr="00A4525A">
        <w:rPr>
          <w:rFonts w:cstheme="minorHAnsi"/>
          <w:szCs w:val="20"/>
        </w:rPr>
        <w:t xml:space="preserve"> the ground</w:t>
      </w:r>
      <w:r w:rsidR="001E22A3" w:rsidRPr="00A4525A">
        <w:rPr>
          <w:rFonts w:cstheme="minorHAnsi"/>
          <w:szCs w:val="20"/>
        </w:rPr>
        <w:t>.</w:t>
      </w:r>
      <w:r w:rsidR="00BB01D7" w:rsidRPr="00A4525A">
        <w:rPr>
          <w:rFonts w:eastAsia="Arial" w:cs="Arial"/>
          <w:szCs w:val="20"/>
          <w:lang w:val="en-GB"/>
        </w:rPr>
        <w:t xml:space="preserve"> T</w:t>
      </w:r>
      <w:r w:rsidR="004C624B" w:rsidRPr="00A4525A">
        <w:rPr>
          <w:rFonts w:eastAsia="Arial" w:cs="Arial"/>
          <w:szCs w:val="20"/>
          <w:lang w:val="en-GB"/>
        </w:rPr>
        <w:t>he trilateral statement</w:t>
      </w:r>
      <w:r w:rsidR="00BB01D7" w:rsidRPr="00A4525A">
        <w:rPr>
          <w:rFonts w:eastAsia="Arial" w:cs="Arial"/>
          <w:szCs w:val="20"/>
          <w:lang w:val="en-GB"/>
        </w:rPr>
        <w:t xml:space="preserve"> </w:t>
      </w:r>
      <w:r w:rsidR="00EA2681" w:rsidRPr="00A4525A">
        <w:rPr>
          <w:rFonts w:eastAsia="Arial" w:cs="Arial"/>
          <w:szCs w:val="20"/>
          <w:lang w:val="en-GB"/>
        </w:rPr>
        <w:t>envisages that the return of the internally displaced persons and refugees to Nagorno-Karabakh and adjacent areas should be carried out under the supervision of the United Nations High Commissioner for Refugees</w:t>
      </w:r>
      <w:r w:rsidR="00AB57EF" w:rsidRPr="00A4525A">
        <w:rPr>
          <w:rFonts w:eastAsia="Arial" w:cs="Arial"/>
          <w:szCs w:val="20"/>
          <w:lang w:val="en-GB"/>
        </w:rPr>
        <w:t xml:space="preserve"> (UNHCR)</w:t>
      </w:r>
      <w:r w:rsidR="00EA2681" w:rsidRPr="00A4525A">
        <w:rPr>
          <w:rFonts w:eastAsia="Arial" w:cs="Arial"/>
          <w:szCs w:val="20"/>
          <w:lang w:val="en-GB"/>
        </w:rPr>
        <w:t xml:space="preserve">. </w:t>
      </w:r>
      <w:r w:rsidR="00AB57EF" w:rsidRPr="00A4525A">
        <w:rPr>
          <w:rFonts w:eastAsia="Arial" w:cs="Arial"/>
          <w:szCs w:val="20"/>
          <w:lang w:val="en-GB"/>
        </w:rPr>
        <w:t xml:space="preserve">At the time of drafting of this </w:t>
      </w:r>
      <w:r w:rsidR="00527864" w:rsidRPr="00A4525A">
        <w:rPr>
          <w:rFonts w:eastAsia="Arial" w:cs="Arial"/>
          <w:szCs w:val="20"/>
          <w:lang w:val="en-GB"/>
        </w:rPr>
        <w:t>m</w:t>
      </w:r>
      <w:r w:rsidR="00AB57EF" w:rsidRPr="00A4525A">
        <w:rPr>
          <w:rFonts w:eastAsia="Arial" w:cs="Arial"/>
          <w:szCs w:val="20"/>
          <w:lang w:val="en-GB"/>
        </w:rPr>
        <w:t>emorandum, a continuous UNHCR presence in all areas affected by the conflict ha</w:t>
      </w:r>
      <w:r w:rsidR="0029567E" w:rsidRPr="00A4525A">
        <w:rPr>
          <w:rFonts w:eastAsia="Arial" w:cs="Arial"/>
          <w:szCs w:val="20"/>
          <w:lang w:val="en-GB"/>
        </w:rPr>
        <w:t>s</w:t>
      </w:r>
      <w:r w:rsidR="00AB57EF" w:rsidRPr="00A4525A">
        <w:rPr>
          <w:rFonts w:eastAsia="Arial" w:cs="Arial"/>
          <w:szCs w:val="20"/>
          <w:lang w:val="en-GB"/>
        </w:rPr>
        <w:t xml:space="preserve"> not yet been established.</w:t>
      </w:r>
      <w:r w:rsidR="00121E7F" w:rsidRPr="00A4525A">
        <w:rPr>
          <w:rFonts w:eastAsia="Arial" w:cs="Arial"/>
          <w:szCs w:val="20"/>
          <w:lang w:val="en-GB"/>
        </w:rPr>
        <w:t xml:space="preserve"> </w:t>
      </w:r>
      <w:r w:rsidR="00527C25" w:rsidRPr="00A4525A">
        <w:rPr>
          <w:rFonts w:eastAsia="Arial" w:cs="Arial"/>
          <w:szCs w:val="20"/>
        </w:rPr>
        <w:t xml:space="preserve">More broadly, </w:t>
      </w:r>
      <w:r w:rsidR="004C624B" w:rsidRPr="00A4525A">
        <w:rPr>
          <w:rFonts w:eastAsia="Arial" w:cs="Arial"/>
          <w:szCs w:val="20"/>
        </w:rPr>
        <w:t xml:space="preserve">no </w:t>
      </w:r>
      <w:r w:rsidR="00CB4258" w:rsidRPr="00A4525A">
        <w:rPr>
          <w:rFonts w:eastAsia="Arial" w:cs="Arial"/>
          <w:szCs w:val="20"/>
        </w:rPr>
        <w:t>independent</w:t>
      </w:r>
      <w:r w:rsidR="006E5CF8" w:rsidRPr="00A4525A">
        <w:rPr>
          <w:rFonts w:eastAsia="Arial" w:cs="Arial"/>
          <w:szCs w:val="20"/>
        </w:rPr>
        <w:t xml:space="preserve"> monitoring</w:t>
      </w:r>
      <w:r w:rsidR="00CB4258" w:rsidRPr="00A4525A">
        <w:rPr>
          <w:rFonts w:eastAsia="Arial" w:cs="Arial"/>
          <w:szCs w:val="20"/>
        </w:rPr>
        <w:t xml:space="preserve"> mechanism has been put in place</w:t>
      </w:r>
      <w:r w:rsidR="00527C25" w:rsidRPr="00A4525A">
        <w:rPr>
          <w:rFonts w:eastAsia="Arial" w:cs="Arial"/>
          <w:szCs w:val="20"/>
        </w:rPr>
        <w:t xml:space="preserve"> in the areas affected by the conflict</w:t>
      </w:r>
      <w:r w:rsidR="006E5CF8" w:rsidRPr="00A4525A">
        <w:rPr>
          <w:rFonts w:eastAsia="Arial" w:cs="Arial"/>
          <w:szCs w:val="20"/>
        </w:rPr>
        <w:t xml:space="preserve"> allowing</w:t>
      </w:r>
      <w:r w:rsidR="006E5CF8" w:rsidRPr="00A4525A">
        <w:rPr>
          <w:rFonts w:cstheme="minorHAnsi"/>
          <w:szCs w:val="20"/>
          <w:lang w:val="en-GB"/>
        </w:rPr>
        <w:t xml:space="preserve"> to systematically collect and analyse information concerning</w:t>
      </w:r>
      <w:r w:rsidR="00530378" w:rsidRPr="00A4525A">
        <w:rPr>
          <w:rFonts w:cstheme="minorHAnsi"/>
          <w:szCs w:val="20"/>
          <w:lang w:val="en-GB"/>
        </w:rPr>
        <w:t xml:space="preserve"> </w:t>
      </w:r>
      <w:r w:rsidR="00DD17B7" w:rsidRPr="00A4525A">
        <w:rPr>
          <w:rFonts w:cstheme="minorHAnsi"/>
          <w:szCs w:val="20"/>
          <w:lang w:val="en-GB"/>
        </w:rPr>
        <w:t xml:space="preserve">human rights </w:t>
      </w:r>
      <w:r w:rsidR="006E5CF8" w:rsidRPr="00A4525A">
        <w:rPr>
          <w:rFonts w:cstheme="minorHAnsi"/>
          <w:szCs w:val="20"/>
          <w:lang w:val="en-GB"/>
        </w:rPr>
        <w:t>and/</w:t>
      </w:r>
      <w:r w:rsidR="00DD17B7" w:rsidRPr="00A4525A">
        <w:rPr>
          <w:rFonts w:cstheme="minorHAnsi"/>
          <w:szCs w:val="20"/>
          <w:lang w:val="en-GB"/>
        </w:rPr>
        <w:t>or humanitarian law violations</w:t>
      </w:r>
      <w:r w:rsidR="006E5CF8" w:rsidRPr="00A4525A">
        <w:rPr>
          <w:rFonts w:cstheme="minorHAnsi"/>
          <w:szCs w:val="20"/>
          <w:lang w:val="en-GB"/>
        </w:rPr>
        <w:t xml:space="preserve"> and to swiftly act upon them</w:t>
      </w:r>
      <w:r w:rsidR="00DD17B7" w:rsidRPr="00A4525A">
        <w:rPr>
          <w:rFonts w:cstheme="minorHAnsi"/>
          <w:szCs w:val="20"/>
          <w:lang w:val="en-GB"/>
        </w:rPr>
        <w:t>.</w:t>
      </w:r>
      <w:r w:rsidR="00005641" w:rsidRPr="00A4525A">
        <w:rPr>
          <w:rFonts w:eastAsia="Times New Roman" w:cs="Arial"/>
          <w:szCs w:val="20"/>
          <w:lang w:val="en-GB"/>
        </w:rPr>
        <w:t xml:space="preserve"> </w:t>
      </w:r>
      <w:r w:rsidR="00005641" w:rsidRPr="00A4525A">
        <w:rPr>
          <w:rFonts w:cstheme="minorHAnsi"/>
          <w:szCs w:val="20"/>
          <w:lang w:val="en-GB"/>
        </w:rPr>
        <w:t xml:space="preserve">In this context, it is important that international human rights expertise </w:t>
      </w:r>
      <w:r w:rsidR="006E5CF8" w:rsidRPr="00A4525A">
        <w:rPr>
          <w:rFonts w:cstheme="minorHAnsi"/>
          <w:szCs w:val="20"/>
          <w:lang w:val="en-GB"/>
        </w:rPr>
        <w:t xml:space="preserve">and support </w:t>
      </w:r>
      <w:r w:rsidR="00005641" w:rsidRPr="00A4525A">
        <w:rPr>
          <w:rFonts w:cstheme="minorHAnsi"/>
          <w:szCs w:val="20"/>
          <w:lang w:val="en-GB"/>
        </w:rPr>
        <w:t xml:space="preserve">is made available </w:t>
      </w:r>
      <w:r w:rsidR="006E5CF8" w:rsidRPr="00A4525A">
        <w:rPr>
          <w:rFonts w:cstheme="minorHAnsi"/>
          <w:szCs w:val="20"/>
          <w:lang w:val="en-GB"/>
        </w:rPr>
        <w:t>and accessible to all people</w:t>
      </w:r>
      <w:r w:rsidR="008936DC" w:rsidRPr="00A4525A">
        <w:rPr>
          <w:rFonts w:cstheme="minorHAnsi"/>
          <w:szCs w:val="20"/>
          <w:lang w:val="en-GB"/>
        </w:rPr>
        <w:t xml:space="preserve"> </w:t>
      </w:r>
      <w:r w:rsidR="00005641" w:rsidRPr="00A4525A">
        <w:rPr>
          <w:rFonts w:cstheme="minorHAnsi"/>
          <w:szCs w:val="20"/>
          <w:lang w:val="en-GB"/>
        </w:rPr>
        <w:t xml:space="preserve">affected by the conflict, </w:t>
      </w:r>
      <w:r w:rsidR="00246888" w:rsidRPr="00A4525A">
        <w:rPr>
          <w:rFonts w:cstheme="minorHAnsi"/>
          <w:szCs w:val="20"/>
          <w:lang w:val="en-GB"/>
        </w:rPr>
        <w:t>and that local human rights monitoring and capacity are supported</w:t>
      </w:r>
      <w:r w:rsidR="00005641" w:rsidRPr="00A4525A">
        <w:rPr>
          <w:rFonts w:cstheme="minorHAnsi"/>
          <w:szCs w:val="20"/>
          <w:lang w:val="en-GB"/>
        </w:rPr>
        <w:t>. Both civil society and ombudsm</w:t>
      </w:r>
      <w:r w:rsidR="00152C84" w:rsidRPr="00A4525A">
        <w:rPr>
          <w:rFonts w:cstheme="minorHAnsi"/>
          <w:szCs w:val="20"/>
          <w:lang w:val="en-GB"/>
        </w:rPr>
        <w:t xml:space="preserve">an institutions </w:t>
      </w:r>
      <w:r w:rsidR="00005641" w:rsidRPr="00A4525A">
        <w:rPr>
          <w:rFonts w:cstheme="minorHAnsi"/>
          <w:szCs w:val="20"/>
          <w:lang w:val="en-GB"/>
        </w:rPr>
        <w:t xml:space="preserve">have a critical, constructive role to play in this respect. </w:t>
      </w:r>
    </w:p>
    <w:p w14:paraId="25EF6790" w14:textId="239FA175" w:rsidR="001D4460" w:rsidRPr="00C06C05" w:rsidRDefault="001D4460" w:rsidP="00246888">
      <w:pPr>
        <w:tabs>
          <w:tab w:val="left" w:pos="1613"/>
        </w:tabs>
        <w:spacing w:after="0" w:line="240" w:lineRule="auto"/>
        <w:jc w:val="both"/>
        <w:rPr>
          <w:rFonts w:cstheme="minorHAnsi"/>
          <w:szCs w:val="20"/>
          <w:lang w:val="en-GB"/>
        </w:rPr>
      </w:pPr>
    </w:p>
    <w:p w14:paraId="135BDF69" w14:textId="4DCF52AB" w:rsidR="00FF1784" w:rsidRPr="00C06C05" w:rsidRDefault="001D4460" w:rsidP="00FF1784">
      <w:pPr>
        <w:numPr>
          <w:ilvl w:val="0"/>
          <w:numId w:val="2"/>
        </w:numPr>
        <w:tabs>
          <w:tab w:val="left" w:pos="1613"/>
        </w:tabs>
        <w:spacing w:after="0" w:line="240" w:lineRule="auto"/>
        <w:ind w:left="714" w:hanging="357"/>
        <w:jc w:val="both"/>
        <w:rPr>
          <w:rFonts w:cstheme="minorHAnsi"/>
          <w:szCs w:val="20"/>
        </w:rPr>
      </w:pPr>
      <w:r w:rsidRPr="00C06C05">
        <w:rPr>
          <w:rFonts w:cstheme="minorHAnsi"/>
          <w:szCs w:val="20"/>
          <w:lang w:val="en-GB"/>
        </w:rPr>
        <w:t xml:space="preserve">The </w:t>
      </w:r>
      <w:r w:rsidR="00DD17B7" w:rsidRPr="00C06C05">
        <w:rPr>
          <w:rFonts w:cstheme="minorHAnsi"/>
          <w:szCs w:val="20"/>
          <w:lang w:val="en-GB"/>
        </w:rPr>
        <w:t xml:space="preserve">Council of Europe monitoring bodies, with their respective expertise, should </w:t>
      </w:r>
      <w:r w:rsidRPr="00C06C05">
        <w:rPr>
          <w:rFonts w:cstheme="minorHAnsi"/>
          <w:szCs w:val="20"/>
          <w:lang w:val="en-GB"/>
        </w:rPr>
        <w:t>be able to</w:t>
      </w:r>
      <w:r w:rsidR="00E82A32" w:rsidRPr="00C06C05">
        <w:rPr>
          <w:rFonts w:cstheme="minorHAnsi"/>
          <w:szCs w:val="20"/>
          <w:lang w:val="en-GB"/>
        </w:rPr>
        <w:t xml:space="preserve"> access all</w:t>
      </w:r>
      <w:r w:rsidR="00DD17B7" w:rsidRPr="00C06C05">
        <w:rPr>
          <w:rFonts w:cstheme="minorHAnsi"/>
          <w:szCs w:val="20"/>
          <w:lang w:val="en-GB"/>
        </w:rPr>
        <w:t xml:space="preserve"> areas affected by the conflict</w:t>
      </w:r>
      <w:r w:rsidR="00005641" w:rsidRPr="00C06C05">
        <w:rPr>
          <w:rFonts w:cstheme="minorHAnsi"/>
          <w:szCs w:val="20"/>
          <w:lang w:val="en-GB"/>
        </w:rPr>
        <w:t>,</w:t>
      </w:r>
      <w:r w:rsidR="00315F35" w:rsidRPr="00C06C05">
        <w:rPr>
          <w:rFonts w:cstheme="minorHAnsi"/>
          <w:szCs w:val="20"/>
          <w:lang w:val="en-GB"/>
        </w:rPr>
        <w:t xml:space="preserve"> </w:t>
      </w:r>
      <w:r w:rsidR="00DD17B7" w:rsidRPr="00C06C05">
        <w:rPr>
          <w:rFonts w:cstheme="minorHAnsi"/>
          <w:szCs w:val="20"/>
          <w:lang w:val="en-GB"/>
        </w:rPr>
        <w:t>to assess the situation</w:t>
      </w:r>
      <w:r w:rsidR="00152C84" w:rsidRPr="00C06C05">
        <w:rPr>
          <w:rFonts w:cstheme="minorHAnsi"/>
          <w:szCs w:val="20"/>
          <w:lang w:val="en-GB"/>
        </w:rPr>
        <w:t xml:space="preserve"> in accordance with their respective mandate</w:t>
      </w:r>
      <w:r w:rsidR="00CC5A07" w:rsidRPr="00C06C05">
        <w:rPr>
          <w:rFonts w:cstheme="minorHAnsi"/>
          <w:szCs w:val="20"/>
          <w:lang w:val="en-GB"/>
        </w:rPr>
        <w:t>s</w:t>
      </w:r>
      <w:r w:rsidR="00DD17B7" w:rsidRPr="00C06C05">
        <w:rPr>
          <w:rFonts w:cstheme="minorHAnsi"/>
          <w:szCs w:val="20"/>
          <w:lang w:val="en-GB"/>
        </w:rPr>
        <w:t xml:space="preserve">. </w:t>
      </w:r>
      <w:r w:rsidR="00F977D4" w:rsidRPr="00C06C05">
        <w:rPr>
          <w:rFonts w:cstheme="minorHAnsi"/>
          <w:szCs w:val="20"/>
          <w:lang w:val="en-GB"/>
        </w:rPr>
        <w:t xml:space="preserve">The Commissioner recalls that the </w:t>
      </w:r>
      <w:r w:rsidR="00103F0B" w:rsidRPr="00C06C05">
        <w:rPr>
          <w:rFonts w:cstheme="minorHAnsi"/>
          <w:szCs w:val="20"/>
          <w:lang w:val="en-GB"/>
        </w:rPr>
        <w:t>P</w:t>
      </w:r>
      <w:r w:rsidR="00F977D4" w:rsidRPr="00C06C05">
        <w:rPr>
          <w:rFonts w:cstheme="minorHAnsi"/>
          <w:szCs w:val="20"/>
          <w:lang w:val="en-GB"/>
        </w:rPr>
        <w:t xml:space="preserve">arliamentary Assembly of the Council of Europe </w:t>
      </w:r>
      <w:r w:rsidR="00103F0B" w:rsidRPr="00C06C05">
        <w:rPr>
          <w:rFonts w:cstheme="minorHAnsi"/>
          <w:szCs w:val="20"/>
        </w:rPr>
        <w:t>reaffirm</w:t>
      </w:r>
      <w:r w:rsidR="00A07770" w:rsidRPr="00C06C05">
        <w:rPr>
          <w:rFonts w:cstheme="minorHAnsi"/>
          <w:szCs w:val="20"/>
        </w:rPr>
        <w:t>ed</w:t>
      </w:r>
      <w:r w:rsidR="00103F0B" w:rsidRPr="00C06C05">
        <w:rPr>
          <w:rFonts w:cstheme="minorHAnsi"/>
          <w:szCs w:val="20"/>
        </w:rPr>
        <w:t xml:space="preserve"> </w:t>
      </w:r>
      <w:r w:rsidR="00A07770" w:rsidRPr="00C06C05">
        <w:rPr>
          <w:rFonts w:cstheme="minorHAnsi"/>
          <w:szCs w:val="20"/>
        </w:rPr>
        <w:t>“</w:t>
      </w:r>
      <w:r w:rsidR="00103F0B" w:rsidRPr="00C06C05">
        <w:rPr>
          <w:rFonts w:cstheme="minorHAnsi"/>
          <w:szCs w:val="20"/>
        </w:rPr>
        <w:t>the legal obligations on Council of Europe member States to co-operate fully and in good faith with international human rights monitoring mechanisms, including those of the Council of Europe and the United Nations</w:t>
      </w:r>
      <w:r w:rsidR="00A07770" w:rsidRPr="00C06C05">
        <w:rPr>
          <w:rFonts w:cstheme="minorHAnsi"/>
          <w:szCs w:val="20"/>
        </w:rPr>
        <w:t>”</w:t>
      </w:r>
      <w:r w:rsidR="00951394" w:rsidRPr="00C06C05">
        <w:rPr>
          <w:rStyle w:val="FootnoteReference"/>
          <w:rFonts w:cstheme="minorHAnsi"/>
          <w:szCs w:val="20"/>
        </w:rPr>
        <w:footnoteReference w:id="7"/>
      </w:r>
      <w:r w:rsidR="00A07770" w:rsidRPr="00C06C05">
        <w:rPr>
          <w:rFonts w:cstheme="minorHAnsi"/>
          <w:szCs w:val="20"/>
        </w:rPr>
        <w:t xml:space="preserve"> and to grant </w:t>
      </w:r>
      <w:r w:rsidR="00CD6CC4" w:rsidRPr="00C06C05">
        <w:rPr>
          <w:rFonts w:cstheme="minorHAnsi"/>
          <w:szCs w:val="20"/>
        </w:rPr>
        <w:t xml:space="preserve">unlimited </w:t>
      </w:r>
      <w:r w:rsidR="00A07770" w:rsidRPr="00C06C05">
        <w:rPr>
          <w:rFonts w:cstheme="minorHAnsi"/>
          <w:szCs w:val="20"/>
        </w:rPr>
        <w:t>access</w:t>
      </w:r>
      <w:r w:rsidR="00CD6CC4" w:rsidRPr="00C06C05">
        <w:rPr>
          <w:rFonts w:cstheme="minorHAnsi"/>
          <w:szCs w:val="20"/>
        </w:rPr>
        <w:t xml:space="preserve"> to conflict-affected territories. </w:t>
      </w:r>
    </w:p>
    <w:p w14:paraId="445A4280" w14:textId="5B755B1A" w:rsidR="00847769" w:rsidRPr="00C06C05" w:rsidRDefault="00847769" w:rsidP="008C23CF">
      <w:pPr>
        <w:tabs>
          <w:tab w:val="left" w:pos="1613"/>
        </w:tabs>
        <w:spacing w:after="0" w:line="240" w:lineRule="auto"/>
        <w:jc w:val="both"/>
        <w:rPr>
          <w:rFonts w:cstheme="minorHAnsi"/>
          <w:szCs w:val="20"/>
        </w:rPr>
      </w:pPr>
    </w:p>
    <w:p w14:paraId="34A3E8CC" w14:textId="2C3FB299" w:rsidR="00A85C31" w:rsidRPr="00C06C05" w:rsidRDefault="003D592C" w:rsidP="003D592C">
      <w:pPr>
        <w:numPr>
          <w:ilvl w:val="0"/>
          <w:numId w:val="2"/>
        </w:numPr>
        <w:tabs>
          <w:tab w:val="left" w:pos="1613"/>
        </w:tabs>
        <w:spacing w:after="0" w:line="240" w:lineRule="auto"/>
        <w:ind w:left="714" w:hanging="357"/>
        <w:jc w:val="both"/>
        <w:rPr>
          <w:rFonts w:cstheme="minorHAnsi"/>
          <w:szCs w:val="20"/>
          <w:lang w:val="en-GB"/>
        </w:rPr>
      </w:pPr>
      <w:r w:rsidRPr="00C06C05">
        <w:rPr>
          <w:rFonts w:cstheme="minorHAnsi"/>
          <w:szCs w:val="20"/>
        </w:rPr>
        <w:t>The i</w:t>
      </w:r>
      <w:r w:rsidR="009F2410" w:rsidRPr="00C06C05">
        <w:rPr>
          <w:rFonts w:cstheme="minorHAnsi"/>
          <w:szCs w:val="20"/>
        </w:rPr>
        <w:t>ssue</w:t>
      </w:r>
      <w:r w:rsidR="009F2410" w:rsidRPr="00C06C05">
        <w:rPr>
          <w:rFonts w:cstheme="minorHAnsi"/>
          <w:szCs w:val="20"/>
          <w:lang w:val="en-GB"/>
        </w:rPr>
        <w:t xml:space="preserve"> of access should </w:t>
      </w:r>
      <w:r w:rsidR="001E22A3" w:rsidRPr="00C06C05">
        <w:rPr>
          <w:rFonts w:cstheme="minorHAnsi"/>
          <w:szCs w:val="20"/>
          <w:lang w:val="en-GB"/>
        </w:rPr>
        <w:t xml:space="preserve">therefore </w:t>
      </w:r>
      <w:r w:rsidR="009F2410" w:rsidRPr="00C06C05">
        <w:rPr>
          <w:rFonts w:cstheme="minorHAnsi"/>
          <w:szCs w:val="20"/>
          <w:lang w:val="en-GB"/>
        </w:rPr>
        <w:t>be resolved as a matter of priority</w:t>
      </w:r>
      <w:r w:rsidR="001E22A3" w:rsidRPr="00C06C05">
        <w:rPr>
          <w:rFonts w:cstheme="minorHAnsi"/>
          <w:szCs w:val="20"/>
          <w:lang w:val="en-GB"/>
        </w:rPr>
        <w:t xml:space="preserve">. </w:t>
      </w:r>
      <w:r w:rsidR="00883EFB" w:rsidRPr="00C06C05">
        <w:rPr>
          <w:rFonts w:cstheme="minorHAnsi"/>
          <w:szCs w:val="20"/>
          <w:lang w:val="en-GB"/>
        </w:rPr>
        <w:t xml:space="preserve">The Commissioner calls on </w:t>
      </w:r>
      <w:r w:rsidR="00E50164" w:rsidRPr="00C06C05">
        <w:rPr>
          <w:rFonts w:cstheme="minorHAnsi"/>
          <w:szCs w:val="20"/>
          <w:lang w:val="en-GB"/>
        </w:rPr>
        <w:t xml:space="preserve">all </w:t>
      </w:r>
      <w:r w:rsidR="0057497F" w:rsidRPr="00C06C05">
        <w:rPr>
          <w:rFonts w:cstheme="minorHAnsi"/>
          <w:szCs w:val="20"/>
          <w:lang w:val="en-GB"/>
        </w:rPr>
        <w:t xml:space="preserve">the </w:t>
      </w:r>
      <w:r w:rsidR="001A3DDF" w:rsidRPr="00C06C05">
        <w:rPr>
          <w:rFonts w:cstheme="minorHAnsi"/>
          <w:szCs w:val="20"/>
          <w:lang w:val="en-GB"/>
        </w:rPr>
        <w:t>relevant</w:t>
      </w:r>
      <w:r w:rsidR="0057497F" w:rsidRPr="00C06C05">
        <w:rPr>
          <w:rFonts w:cstheme="minorHAnsi"/>
          <w:szCs w:val="20"/>
          <w:lang w:val="en-GB"/>
        </w:rPr>
        <w:t xml:space="preserve"> authorities </w:t>
      </w:r>
      <w:r w:rsidR="00527C25" w:rsidRPr="00C06C05">
        <w:rPr>
          <w:rFonts w:cstheme="minorHAnsi"/>
          <w:szCs w:val="20"/>
          <w:lang w:val="en-GB"/>
        </w:rPr>
        <w:t xml:space="preserve">to </w:t>
      </w:r>
      <w:r w:rsidR="00034823" w:rsidRPr="00C06C05">
        <w:rPr>
          <w:rFonts w:cstheme="minorHAnsi"/>
          <w:szCs w:val="20"/>
          <w:lang w:val="en-GB"/>
        </w:rPr>
        <w:t>come up with</w:t>
      </w:r>
      <w:r w:rsidR="0057497F" w:rsidRPr="00C06C05">
        <w:rPr>
          <w:rFonts w:cstheme="minorHAnsi"/>
          <w:szCs w:val="20"/>
          <w:lang w:val="en-GB"/>
        </w:rPr>
        <w:t xml:space="preserve"> effective and flexible modalities</w:t>
      </w:r>
      <w:r w:rsidR="00E50164" w:rsidRPr="00C06C05">
        <w:rPr>
          <w:rFonts w:cstheme="minorHAnsi"/>
          <w:szCs w:val="20"/>
          <w:lang w:val="en-GB"/>
        </w:rPr>
        <w:t xml:space="preserve"> of access</w:t>
      </w:r>
      <w:r w:rsidR="00034823" w:rsidRPr="00C06C05">
        <w:rPr>
          <w:rFonts w:cstheme="minorHAnsi"/>
          <w:szCs w:val="20"/>
          <w:lang w:val="en-GB"/>
        </w:rPr>
        <w:t xml:space="preserve"> </w:t>
      </w:r>
      <w:r w:rsidR="00E50164" w:rsidRPr="00C06C05">
        <w:rPr>
          <w:rFonts w:cstheme="minorHAnsi"/>
          <w:szCs w:val="20"/>
          <w:lang w:val="en-GB"/>
        </w:rPr>
        <w:t xml:space="preserve">enabling humanitarian and human rights actors to reach out to all those in need of urgent humanitarian assistance and human rights protection. </w:t>
      </w:r>
      <w:r w:rsidR="00A85C31" w:rsidRPr="00C06C05">
        <w:rPr>
          <w:rFonts w:cstheme="minorHAnsi"/>
          <w:szCs w:val="20"/>
          <w:lang w:val="en-GB"/>
        </w:rPr>
        <w:t xml:space="preserve">This would allow other </w:t>
      </w:r>
      <w:r w:rsidR="00CB4258" w:rsidRPr="00C06C05">
        <w:rPr>
          <w:rFonts w:cstheme="minorHAnsi"/>
          <w:szCs w:val="20"/>
          <w:lang w:val="en-GB"/>
        </w:rPr>
        <w:t xml:space="preserve">actors </w:t>
      </w:r>
      <w:r w:rsidR="007E0C07" w:rsidRPr="00C06C05">
        <w:rPr>
          <w:rFonts w:cstheme="minorHAnsi"/>
          <w:szCs w:val="20"/>
          <w:lang w:val="en-GB"/>
        </w:rPr>
        <w:t>playing a role in post-conflict situation</w:t>
      </w:r>
      <w:r w:rsidR="00D824AE" w:rsidRPr="00C06C05">
        <w:rPr>
          <w:rFonts w:cstheme="minorHAnsi"/>
          <w:szCs w:val="20"/>
          <w:lang w:val="en-GB"/>
        </w:rPr>
        <w:t>s</w:t>
      </w:r>
      <w:r w:rsidR="007E0C07" w:rsidRPr="00C06C05">
        <w:rPr>
          <w:rFonts w:cstheme="minorHAnsi"/>
          <w:szCs w:val="20"/>
          <w:lang w:val="en-GB"/>
        </w:rPr>
        <w:t xml:space="preserve"> </w:t>
      </w:r>
      <w:r w:rsidR="00A85C31" w:rsidRPr="00C06C05">
        <w:rPr>
          <w:rFonts w:cstheme="minorHAnsi"/>
          <w:szCs w:val="20"/>
          <w:lang w:val="en-GB"/>
        </w:rPr>
        <w:t xml:space="preserve">to </w:t>
      </w:r>
      <w:r w:rsidR="00E52058" w:rsidRPr="00C06C05">
        <w:rPr>
          <w:rFonts w:cstheme="minorHAnsi"/>
          <w:szCs w:val="20"/>
          <w:lang w:val="en-GB"/>
        </w:rPr>
        <w:t>have</w:t>
      </w:r>
      <w:r w:rsidR="00A85C31" w:rsidRPr="00C06C05">
        <w:rPr>
          <w:rFonts w:cstheme="minorHAnsi"/>
          <w:szCs w:val="20"/>
          <w:lang w:val="en-GB"/>
        </w:rPr>
        <w:t xml:space="preserve"> access</w:t>
      </w:r>
      <w:r w:rsidR="009F20B2">
        <w:rPr>
          <w:rFonts w:cstheme="minorHAnsi"/>
          <w:szCs w:val="20"/>
          <w:lang w:val="en-GB"/>
        </w:rPr>
        <w:t xml:space="preserve"> </w:t>
      </w:r>
      <w:r w:rsidR="009F20B2" w:rsidRPr="009F20B2">
        <w:rPr>
          <w:rFonts w:cstheme="minorHAnsi"/>
          <w:szCs w:val="20"/>
          <w:lang w:val="en-GB"/>
        </w:rPr>
        <w:t>to areas where they are needed</w:t>
      </w:r>
      <w:r w:rsidR="009F20B2">
        <w:rPr>
          <w:rFonts w:cstheme="minorHAnsi"/>
          <w:szCs w:val="20"/>
          <w:lang w:val="en-GB"/>
        </w:rPr>
        <w:t xml:space="preserve">. </w:t>
      </w:r>
    </w:p>
    <w:p w14:paraId="69BB74E1" w14:textId="65104CCF" w:rsidR="00654671" w:rsidRPr="00C06C05" w:rsidRDefault="00654671" w:rsidP="006E188A">
      <w:pPr>
        <w:tabs>
          <w:tab w:val="left" w:pos="1613"/>
        </w:tabs>
        <w:spacing w:after="0" w:line="240" w:lineRule="auto"/>
        <w:jc w:val="both"/>
        <w:rPr>
          <w:rFonts w:cstheme="minorHAnsi"/>
          <w:szCs w:val="20"/>
          <w:lang w:val="en-GB"/>
        </w:rPr>
      </w:pPr>
    </w:p>
    <w:p w14:paraId="32513A85" w14:textId="3EE2116B" w:rsidR="009C7093" w:rsidRPr="00AF582E" w:rsidRDefault="0001631C" w:rsidP="001A7208">
      <w:pPr>
        <w:pStyle w:val="ListParagraph"/>
        <w:numPr>
          <w:ilvl w:val="0"/>
          <w:numId w:val="19"/>
        </w:numPr>
        <w:autoSpaceDE w:val="0"/>
        <w:autoSpaceDN w:val="0"/>
        <w:adjustRightInd w:val="0"/>
        <w:spacing w:after="0" w:line="240" w:lineRule="auto"/>
        <w:ind w:left="1134" w:hanging="425"/>
        <w:contextualSpacing w:val="0"/>
        <w:rPr>
          <w:rFonts w:eastAsiaTheme="minorEastAsia" w:cs="Arial"/>
          <w:b/>
          <w:bCs/>
          <w:szCs w:val="20"/>
          <w:lang w:val="en-GB" w:eastAsia="zh-CN"/>
        </w:rPr>
      </w:pPr>
      <w:r>
        <w:rPr>
          <w:rFonts w:eastAsiaTheme="minorEastAsia" w:cs="Arial"/>
          <w:b/>
          <w:bCs/>
          <w:szCs w:val="20"/>
          <w:lang w:val="en-GB" w:eastAsia="zh-CN"/>
        </w:rPr>
        <w:t>T</w:t>
      </w:r>
      <w:r w:rsidRPr="0001631C">
        <w:rPr>
          <w:rFonts w:eastAsiaTheme="minorEastAsia" w:cs="Arial"/>
          <w:b/>
          <w:bCs/>
          <w:szCs w:val="20"/>
          <w:lang w:val="en-GB" w:eastAsia="zh-CN"/>
        </w:rPr>
        <w:t>he human rights of displaced persons and the right to return</w:t>
      </w:r>
    </w:p>
    <w:p w14:paraId="713ED0A3" w14:textId="53CD25FE" w:rsidR="009C7093" w:rsidRPr="00663E17" w:rsidRDefault="00023E6A" w:rsidP="001A7208">
      <w:pPr>
        <w:tabs>
          <w:tab w:val="left" w:pos="1613"/>
        </w:tabs>
        <w:spacing w:after="0" w:line="240" w:lineRule="auto"/>
        <w:ind w:left="426" w:hanging="357"/>
        <w:jc w:val="both"/>
        <w:rPr>
          <w:rFonts w:cstheme="minorHAnsi"/>
          <w:szCs w:val="20"/>
          <w:lang w:val="en-GB"/>
        </w:rPr>
      </w:pPr>
      <w:r w:rsidRPr="00023E6A">
        <w:rPr>
          <w:rFonts w:asciiTheme="minorHAnsi" w:hAnsiTheme="minorHAnsi" w:cstheme="minorHAnsi"/>
          <w:b/>
          <w:bCs/>
          <w:noProof/>
          <w:color w:val="1F497D" w:themeColor="text2"/>
          <w:szCs w:val="20"/>
        </w:rPr>
        <mc:AlternateContent>
          <mc:Choice Requires="wps">
            <w:drawing>
              <wp:anchor distT="0" distB="0" distL="114300" distR="114300" simplePos="0" relativeHeight="251661312" behindDoc="0" locked="0" layoutInCell="1" allowOverlap="1" wp14:anchorId="61E55DDD" wp14:editId="75F1306A">
                <wp:simplePos x="0" y="0"/>
                <wp:positionH relativeFrom="column">
                  <wp:posOffset>366395</wp:posOffset>
                </wp:positionH>
                <wp:positionV relativeFrom="paragraph">
                  <wp:posOffset>85725</wp:posOffset>
                </wp:positionV>
                <wp:extent cx="5753100" cy="819150"/>
                <wp:effectExtent l="38100" t="38100" r="95250" b="95250"/>
                <wp:wrapNone/>
                <wp:docPr id="1" name="Zone de texte 6"/>
                <wp:cNvGraphicFramePr/>
                <a:graphic xmlns:a="http://schemas.openxmlformats.org/drawingml/2006/main">
                  <a:graphicData uri="http://schemas.microsoft.com/office/word/2010/wordprocessingShape">
                    <wps:wsp>
                      <wps:cNvSpPr txBox="1"/>
                      <wps:spPr>
                        <a:xfrm>
                          <a:off x="0" y="0"/>
                          <a:ext cx="5753100" cy="819150"/>
                        </a:xfrm>
                        <a:prstGeom prst="rect">
                          <a:avLst/>
                        </a:prstGeom>
                        <a:solidFill>
                          <a:srgbClr val="F9F0DB"/>
                        </a:solidFill>
                        <a:ln w="6350">
                          <a:noFill/>
                        </a:ln>
                        <a:effectLst>
                          <a:outerShdw blurRad="50800" dist="38100" dir="2700000" algn="tl" rotWithShape="0">
                            <a:prstClr val="black">
                              <a:alpha val="40000"/>
                            </a:prstClr>
                          </a:outerShdw>
                        </a:effectLst>
                      </wps:spPr>
                      <wps:txbx>
                        <w:txbxContent>
                          <w:p w14:paraId="7D3A5299" w14:textId="77777777" w:rsidR="009269CA" w:rsidRPr="001655B3" w:rsidRDefault="009269CA" w:rsidP="00023E6A">
                            <w:pPr>
                              <w:tabs>
                                <w:tab w:val="left" w:pos="1613"/>
                              </w:tabs>
                              <w:spacing w:after="0" w:line="240" w:lineRule="auto"/>
                              <w:jc w:val="both"/>
                              <w:rPr>
                                <w:rFonts w:cstheme="minorHAnsi"/>
                                <w:b/>
                                <w:bCs/>
                                <w:szCs w:val="20"/>
                              </w:rPr>
                            </w:pPr>
                            <w:r w:rsidRPr="001655B3">
                              <w:rPr>
                                <w:rFonts w:cstheme="minorHAnsi"/>
                                <w:b/>
                                <w:bCs/>
                                <w:szCs w:val="20"/>
                              </w:rPr>
                              <w:t xml:space="preserve">Recommendation no. 2: </w:t>
                            </w:r>
                          </w:p>
                          <w:p w14:paraId="48094413" w14:textId="650BD9D7" w:rsidR="009269CA" w:rsidRPr="00023E6A" w:rsidRDefault="009269CA" w:rsidP="00EF15D9">
                            <w:pPr>
                              <w:spacing w:after="0" w:line="240" w:lineRule="auto"/>
                              <w:jc w:val="both"/>
                              <w:rPr>
                                <w:rFonts w:cstheme="minorHAnsi"/>
                                <w:bCs/>
                                <w:i/>
                                <w:color w:val="1F497D" w:themeColor="text2"/>
                                <w:szCs w:val="20"/>
                              </w:rPr>
                            </w:pPr>
                            <w:r w:rsidRPr="001655B3">
                              <w:rPr>
                                <w:rFonts w:cstheme="minorHAnsi"/>
                                <w:szCs w:val="20"/>
                              </w:rPr>
                              <w:t>Persons displaced by the conflict have the right to return to their homes or places of habitual residence. R</w:t>
                            </w:r>
                            <w:bookmarkStart w:id="6" w:name="_Hlk83308920"/>
                            <w:r w:rsidRPr="001655B3">
                              <w:rPr>
                                <w:rFonts w:cstheme="minorHAnsi"/>
                                <w:szCs w:val="20"/>
                              </w:rPr>
                              <w:t>eturns should be voluntary, and they should be carried out in conditions of safety and dignity</w:t>
                            </w:r>
                            <w:bookmarkEnd w:id="6"/>
                            <w:r w:rsidRPr="001655B3">
                              <w:rPr>
                                <w:rFonts w:cstheme="minorHAnsi"/>
                                <w:szCs w:val="20"/>
                              </w:rPr>
                              <w:t>. Accurate information should be provided to candidates for return in order to ensure that their choice is informed.</w:t>
                            </w:r>
                          </w:p>
                          <w:p w14:paraId="26855536" w14:textId="77777777" w:rsidR="009269CA" w:rsidRDefault="009269CA" w:rsidP="00023E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55DDD" id="_x0000_s1027" type="#_x0000_t202" style="position:absolute;left:0;text-align:left;margin-left:28.85pt;margin-top:6.75pt;width:453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" fillcolor="#f9f0db" stroked="f" strokeweight=".5pt">
                <v:shadow on="t" color="black" opacity="26214f" origin="-.5,-.5" offset=".74836mm,.74836mm"/>
                <v:textbox>
                  <w:txbxContent>
                    <w:p w14:paraId="7D3A5299" w14:textId="77777777" w:rsidR="009269CA" w:rsidRPr="001655B3" w:rsidRDefault="009269CA" w:rsidP="00023E6A">
                      <w:pPr>
                        <w:tabs>
                          <w:tab w:val="left" w:pos="1613"/>
                        </w:tabs>
                        <w:spacing w:after="0" w:line="240" w:lineRule="auto"/>
                        <w:jc w:val="both"/>
                        <w:rPr>
                          <w:rFonts w:cstheme="minorHAnsi"/>
                          <w:b/>
                          <w:bCs/>
                          <w:szCs w:val="20"/>
                        </w:rPr>
                      </w:pPr>
                      <w:r w:rsidRPr="001655B3">
                        <w:rPr>
                          <w:rFonts w:cstheme="minorHAnsi"/>
                          <w:b/>
                          <w:bCs/>
                          <w:szCs w:val="20"/>
                        </w:rPr>
                        <w:t xml:space="preserve">Recommendation no. 2: </w:t>
                      </w:r>
                    </w:p>
                    <w:p w14:paraId="48094413" w14:textId="650BD9D7" w:rsidR="009269CA" w:rsidRPr="00023E6A" w:rsidRDefault="009269CA" w:rsidP="00EF15D9">
                      <w:pPr>
                        <w:spacing w:after="0" w:line="240" w:lineRule="auto"/>
                        <w:jc w:val="both"/>
                        <w:rPr>
                          <w:rFonts w:cstheme="minorHAnsi"/>
                          <w:bCs/>
                          <w:i/>
                          <w:color w:val="1F497D" w:themeColor="text2"/>
                          <w:szCs w:val="20"/>
                        </w:rPr>
                      </w:pPr>
                      <w:r w:rsidRPr="001655B3">
                        <w:rPr>
                          <w:rFonts w:cstheme="minorHAnsi"/>
                          <w:szCs w:val="20"/>
                        </w:rPr>
                        <w:t>Persons displaced by the conflict have the right to return to their homes or places of habitual residence. R</w:t>
                      </w:r>
                      <w:bookmarkStart w:id="7" w:name="_Hlk83308920"/>
                      <w:r w:rsidRPr="001655B3">
                        <w:rPr>
                          <w:rFonts w:cstheme="minorHAnsi"/>
                          <w:szCs w:val="20"/>
                        </w:rPr>
                        <w:t>eturns should be voluntary, and they should be carried out in conditions of safety and dignity</w:t>
                      </w:r>
                      <w:bookmarkEnd w:id="7"/>
                      <w:r w:rsidRPr="001655B3">
                        <w:rPr>
                          <w:rFonts w:cstheme="minorHAnsi"/>
                          <w:szCs w:val="20"/>
                        </w:rPr>
                        <w:t>. Accurate information should be provided to candidates for return in order to ensure that their choice is informed.</w:t>
                      </w:r>
                    </w:p>
                    <w:p w14:paraId="26855536" w14:textId="77777777" w:rsidR="009269CA" w:rsidRDefault="009269CA" w:rsidP="00023E6A"/>
                  </w:txbxContent>
                </v:textbox>
              </v:shape>
            </w:pict>
          </mc:Fallback>
        </mc:AlternateContent>
      </w:r>
    </w:p>
    <w:p w14:paraId="7A3A0C06" w14:textId="14C7E5F2" w:rsidR="00023E6A" w:rsidRDefault="001655B3" w:rsidP="001655B3">
      <w:pPr>
        <w:tabs>
          <w:tab w:val="left" w:pos="1613"/>
        </w:tabs>
        <w:spacing w:after="0" w:line="240" w:lineRule="auto"/>
        <w:ind w:left="709" w:hanging="640"/>
        <w:jc w:val="both"/>
        <w:rPr>
          <w:rFonts w:cstheme="minorHAnsi"/>
          <w:b/>
          <w:bCs/>
          <w:szCs w:val="20"/>
        </w:rPr>
      </w:pPr>
      <w:r w:rsidRPr="001655B3">
        <w:rPr>
          <w:rFonts w:cstheme="minorHAnsi"/>
          <w:b/>
          <w:bCs/>
          <w:szCs w:val="20"/>
        </w:rPr>
        <w:tab/>
      </w:r>
    </w:p>
    <w:p w14:paraId="427FA098" w14:textId="77777777" w:rsidR="00023E6A" w:rsidRDefault="00023E6A" w:rsidP="001655B3">
      <w:pPr>
        <w:tabs>
          <w:tab w:val="left" w:pos="1613"/>
        </w:tabs>
        <w:spacing w:after="0" w:line="240" w:lineRule="auto"/>
        <w:ind w:left="709" w:hanging="640"/>
        <w:jc w:val="both"/>
        <w:rPr>
          <w:rFonts w:cstheme="minorHAnsi"/>
          <w:b/>
          <w:bCs/>
          <w:szCs w:val="20"/>
        </w:rPr>
      </w:pPr>
    </w:p>
    <w:p w14:paraId="10D94703" w14:textId="77777777" w:rsidR="00023E6A" w:rsidRDefault="00023E6A" w:rsidP="001655B3">
      <w:pPr>
        <w:tabs>
          <w:tab w:val="left" w:pos="1613"/>
        </w:tabs>
        <w:spacing w:after="0" w:line="240" w:lineRule="auto"/>
        <w:ind w:left="709" w:hanging="640"/>
        <w:jc w:val="both"/>
        <w:rPr>
          <w:rFonts w:cstheme="minorHAnsi"/>
          <w:b/>
          <w:bCs/>
          <w:szCs w:val="20"/>
        </w:rPr>
      </w:pPr>
    </w:p>
    <w:p w14:paraId="0006F40D" w14:textId="77777777" w:rsidR="00023E6A" w:rsidRDefault="00023E6A" w:rsidP="001655B3">
      <w:pPr>
        <w:tabs>
          <w:tab w:val="left" w:pos="1613"/>
        </w:tabs>
        <w:spacing w:after="0" w:line="240" w:lineRule="auto"/>
        <w:ind w:left="709" w:hanging="640"/>
        <w:jc w:val="both"/>
        <w:rPr>
          <w:rFonts w:cstheme="minorHAnsi"/>
          <w:b/>
          <w:bCs/>
          <w:szCs w:val="20"/>
        </w:rPr>
      </w:pPr>
    </w:p>
    <w:p w14:paraId="4150B0F0" w14:textId="0F112E9A" w:rsidR="005D4B45" w:rsidRDefault="005D4B45" w:rsidP="005D4B45">
      <w:pPr>
        <w:tabs>
          <w:tab w:val="left" w:pos="1613"/>
        </w:tabs>
        <w:spacing w:after="0" w:line="240" w:lineRule="auto"/>
        <w:jc w:val="both"/>
        <w:rPr>
          <w:rFonts w:cstheme="minorHAnsi"/>
          <w:szCs w:val="20"/>
          <w:lang w:val="en-GB"/>
        </w:rPr>
      </w:pPr>
    </w:p>
    <w:p w14:paraId="37C79009" w14:textId="77777777" w:rsidR="00023E6A" w:rsidRPr="00023E6A" w:rsidRDefault="00023E6A" w:rsidP="00023E6A">
      <w:pPr>
        <w:tabs>
          <w:tab w:val="left" w:pos="1613"/>
        </w:tabs>
        <w:spacing w:after="0" w:line="240" w:lineRule="auto"/>
        <w:ind w:left="714"/>
        <w:jc w:val="both"/>
        <w:rPr>
          <w:rFonts w:cstheme="minorHAnsi"/>
          <w:szCs w:val="20"/>
        </w:rPr>
      </w:pPr>
    </w:p>
    <w:p w14:paraId="730537FA" w14:textId="40DB4A8B" w:rsidR="002C1F8F" w:rsidRPr="002C1F8F" w:rsidRDefault="008C2968" w:rsidP="006C692B">
      <w:pPr>
        <w:numPr>
          <w:ilvl w:val="0"/>
          <w:numId w:val="2"/>
        </w:numPr>
        <w:tabs>
          <w:tab w:val="left" w:pos="1613"/>
        </w:tabs>
        <w:spacing w:after="0" w:line="240" w:lineRule="auto"/>
        <w:ind w:left="714" w:hanging="357"/>
        <w:jc w:val="both"/>
        <w:rPr>
          <w:rFonts w:cstheme="minorHAnsi"/>
          <w:szCs w:val="20"/>
        </w:rPr>
      </w:pPr>
      <w:r w:rsidRPr="002C1F8F">
        <w:rPr>
          <w:rFonts w:cstheme="minorHAnsi"/>
          <w:szCs w:val="20"/>
          <w:lang w:val="en-GB"/>
        </w:rPr>
        <w:t>The Commissioner addressed the human rights</w:t>
      </w:r>
      <w:r w:rsidR="00B02ACE" w:rsidRPr="002C1F8F">
        <w:rPr>
          <w:rFonts w:cstheme="minorHAnsi"/>
          <w:szCs w:val="20"/>
          <w:lang w:val="en-GB"/>
        </w:rPr>
        <w:t xml:space="preserve"> issues</w:t>
      </w:r>
      <w:r w:rsidRPr="002C1F8F">
        <w:rPr>
          <w:rFonts w:cstheme="minorHAnsi"/>
          <w:szCs w:val="20"/>
          <w:lang w:val="en-GB"/>
        </w:rPr>
        <w:t xml:space="preserve"> </w:t>
      </w:r>
      <w:r w:rsidR="00E313E3" w:rsidRPr="002C1F8F">
        <w:rPr>
          <w:rFonts w:cstheme="minorHAnsi"/>
          <w:szCs w:val="20"/>
          <w:lang w:val="en-GB"/>
        </w:rPr>
        <w:t xml:space="preserve">of </w:t>
      </w:r>
      <w:r w:rsidR="00E313E3" w:rsidRPr="002C1F8F">
        <w:rPr>
          <w:rFonts w:cstheme="minorHAnsi"/>
          <w:szCs w:val="20"/>
        </w:rPr>
        <w:t>internally displaced persons (IDPs) in her report on Azerbaijan following her 2019 visit.</w:t>
      </w:r>
      <w:r w:rsidR="00E313E3">
        <w:rPr>
          <w:rStyle w:val="FootnoteReference"/>
          <w:rFonts w:cstheme="minorHAnsi"/>
          <w:szCs w:val="20"/>
        </w:rPr>
        <w:footnoteReference w:id="8"/>
      </w:r>
      <w:r w:rsidR="00E313E3" w:rsidRPr="002C1F8F">
        <w:rPr>
          <w:rFonts w:cstheme="minorHAnsi"/>
          <w:szCs w:val="20"/>
        </w:rPr>
        <w:t xml:space="preserve"> The conflict</w:t>
      </w:r>
      <w:r w:rsidR="00563056" w:rsidRPr="002C1F8F">
        <w:rPr>
          <w:rFonts w:cstheme="minorHAnsi"/>
          <w:szCs w:val="20"/>
        </w:rPr>
        <w:t xml:space="preserve"> in the 1990s </w:t>
      </w:r>
      <w:r w:rsidR="00E313E3" w:rsidRPr="002C1F8F">
        <w:rPr>
          <w:rFonts w:cstheme="minorHAnsi"/>
          <w:szCs w:val="20"/>
        </w:rPr>
        <w:t>produced around 700</w:t>
      </w:r>
      <w:r w:rsidR="00121E7F">
        <w:rPr>
          <w:rFonts w:cstheme="minorHAnsi"/>
          <w:szCs w:val="20"/>
        </w:rPr>
        <w:t xml:space="preserve"> </w:t>
      </w:r>
      <w:r w:rsidR="00E313E3" w:rsidRPr="002C1F8F">
        <w:rPr>
          <w:rFonts w:cstheme="minorHAnsi"/>
          <w:szCs w:val="20"/>
        </w:rPr>
        <w:t>000 IDPs in Azerbaijan</w:t>
      </w:r>
      <w:r w:rsidR="00D26E42" w:rsidRPr="002C1F8F">
        <w:rPr>
          <w:rFonts w:cstheme="minorHAnsi"/>
          <w:szCs w:val="20"/>
        </w:rPr>
        <w:t>. T</w:t>
      </w:r>
      <w:r w:rsidR="00E313E3" w:rsidRPr="002C1F8F">
        <w:rPr>
          <w:rFonts w:cstheme="minorHAnsi"/>
          <w:szCs w:val="20"/>
        </w:rPr>
        <w:t xml:space="preserve">he vast majority of </w:t>
      </w:r>
      <w:r w:rsidR="00D26E42" w:rsidRPr="002C1F8F">
        <w:rPr>
          <w:rFonts w:cstheme="minorHAnsi"/>
          <w:szCs w:val="20"/>
        </w:rPr>
        <w:t>these IDPs</w:t>
      </w:r>
      <w:r w:rsidR="00E313E3" w:rsidRPr="002C1F8F">
        <w:rPr>
          <w:rFonts w:cstheme="minorHAnsi"/>
          <w:szCs w:val="20"/>
        </w:rPr>
        <w:t xml:space="preserve"> originated from the seven districts surrounding the Nagorno-Karabakh area</w:t>
      </w:r>
      <w:r w:rsidR="00694A1D" w:rsidRPr="002C1F8F">
        <w:rPr>
          <w:rFonts w:cstheme="minorHAnsi"/>
          <w:szCs w:val="20"/>
        </w:rPr>
        <w:t>, which have now returned under Azerbaijan’s control</w:t>
      </w:r>
      <w:r w:rsidR="00E313E3" w:rsidRPr="002C1F8F">
        <w:rPr>
          <w:rFonts w:cstheme="minorHAnsi"/>
          <w:szCs w:val="20"/>
        </w:rPr>
        <w:t xml:space="preserve">. </w:t>
      </w:r>
      <w:r w:rsidR="002C1F8F" w:rsidRPr="002C1F8F">
        <w:rPr>
          <w:rFonts w:cstheme="minorHAnsi"/>
          <w:szCs w:val="20"/>
        </w:rPr>
        <w:t>In her report, the Commissioner commend</w:t>
      </w:r>
      <w:r w:rsidR="002C1F8F">
        <w:rPr>
          <w:rFonts w:cstheme="minorHAnsi"/>
          <w:szCs w:val="20"/>
        </w:rPr>
        <w:t>ed</w:t>
      </w:r>
      <w:r w:rsidR="002C1F8F" w:rsidRPr="002C1F8F">
        <w:rPr>
          <w:rFonts w:cstheme="minorHAnsi"/>
          <w:szCs w:val="20"/>
        </w:rPr>
        <w:t xml:space="preserve"> the important steps taken by the authorities to address the human rights </w:t>
      </w:r>
      <w:r w:rsidR="00121E7F">
        <w:rPr>
          <w:rFonts w:cstheme="minorHAnsi"/>
          <w:szCs w:val="20"/>
        </w:rPr>
        <w:t>situation</w:t>
      </w:r>
      <w:r w:rsidR="002C1F8F" w:rsidRPr="002C1F8F">
        <w:rPr>
          <w:rFonts w:cstheme="minorHAnsi"/>
          <w:szCs w:val="20"/>
        </w:rPr>
        <w:t xml:space="preserve"> of IDPs. </w:t>
      </w:r>
      <w:r w:rsidR="002C1F8F">
        <w:rPr>
          <w:rFonts w:cstheme="minorHAnsi"/>
          <w:szCs w:val="20"/>
        </w:rPr>
        <w:t xml:space="preserve">She </w:t>
      </w:r>
      <w:r w:rsidR="008C46AF">
        <w:rPr>
          <w:rFonts w:cstheme="minorHAnsi"/>
          <w:szCs w:val="20"/>
        </w:rPr>
        <w:t xml:space="preserve">is </w:t>
      </w:r>
      <w:r w:rsidR="002C1F8F">
        <w:rPr>
          <w:rFonts w:cstheme="minorHAnsi"/>
          <w:szCs w:val="20"/>
        </w:rPr>
        <w:t>also</w:t>
      </w:r>
      <w:r w:rsidR="008C46AF">
        <w:rPr>
          <w:rFonts w:cstheme="minorHAnsi"/>
          <w:szCs w:val="20"/>
        </w:rPr>
        <w:t xml:space="preserve"> </w:t>
      </w:r>
      <w:r w:rsidR="00121E7F">
        <w:rPr>
          <w:rFonts w:cstheme="minorHAnsi"/>
          <w:szCs w:val="20"/>
        </w:rPr>
        <w:t>aware</w:t>
      </w:r>
      <w:r w:rsidR="008C46AF">
        <w:rPr>
          <w:rFonts w:cstheme="minorHAnsi"/>
          <w:szCs w:val="20"/>
        </w:rPr>
        <w:t xml:space="preserve"> of </w:t>
      </w:r>
      <w:r w:rsidR="008C46AF" w:rsidRPr="008C46AF">
        <w:rPr>
          <w:rFonts w:cstheme="minorHAnsi"/>
          <w:szCs w:val="20"/>
        </w:rPr>
        <w:t>the remarkable generosity and solidarity shown by the country’s people and civil society in responding to the</w:t>
      </w:r>
      <w:r w:rsidR="008C46AF">
        <w:rPr>
          <w:rFonts w:cstheme="minorHAnsi"/>
          <w:szCs w:val="20"/>
        </w:rPr>
        <w:t xml:space="preserve">ir needs over the past </w:t>
      </w:r>
      <w:r w:rsidR="008F160E">
        <w:rPr>
          <w:rFonts w:cstheme="minorHAnsi"/>
          <w:szCs w:val="20"/>
        </w:rPr>
        <w:t>decades</w:t>
      </w:r>
      <w:r w:rsidR="008C46AF" w:rsidRPr="008C46AF">
        <w:rPr>
          <w:rFonts w:cstheme="minorHAnsi"/>
          <w:szCs w:val="20"/>
        </w:rPr>
        <w:t>.</w:t>
      </w:r>
      <w:r w:rsidR="008C46AF">
        <w:rPr>
          <w:rFonts w:cstheme="minorHAnsi"/>
          <w:szCs w:val="20"/>
        </w:rPr>
        <w:t xml:space="preserve"> </w:t>
      </w:r>
    </w:p>
    <w:p w14:paraId="0022CD19" w14:textId="4213341B" w:rsidR="002C1F8F" w:rsidRDefault="002C1F8F" w:rsidP="002C1F8F">
      <w:pPr>
        <w:tabs>
          <w:tab w:val="left" w:pos="1613"/>
        </w:tabs>
        <w:spacing w:after="0" w:line="240" w:lineRule="auto"/>
        <w:ind w:left="714"/>
        <w:jc w:val="both"/>
        <w:rPr>
          <w:rFonts w:cstheme="minorHAnsi"/>
          <w:szCs w:val="20"/>
        </w:rPr>
      </w:pPr>
    </w:p>
    <w:p w14:paraId="75C2B830" w14:textId="4A20F51C" w:rsidR="009B38F2" w:rsidRDefault="009B38F2" w:rsidP="002C1F8F">
      <w:pPr>
        <w:tabs>
          <w:tab w:val="left" w:pos="1613"/>
        </w:tabs>
        <w:spacing w:after="0" w:line="240" w:lineRule="auto"/>
        <w:ind w:left="714"/>
        <w:jc w:val="both"/>
        <w:rPr>
          <w:rFonts w:cstheme="minorHAnsi"/>
          <w:szCs w:val="20"/>
        </w:rPr>
      </w:pPr>
    </w:p>
    <w:p w14:paraId="6D680DC2" w14:textId="4BE4BC78" w:rsidR="009B38F2" w:rsidRDefault="009B38F2" w:rsidP="002C1F8F">
      <w:pPr>
        <w:tabs>
          <w:tab w:val="left" w:pos="1613"/>
        </w:tabs>
        <w:spacing w:after="0" w:line="240" w:lineRule="auto"/>
        <w:ind w:left="714"/>
        <w:jc w:val="both"/>
        <w:rPr>
          <w:rFonts w:cstheme="minorHAnsi"/>
          <w:szCs w:val="20"/>
        </w:rPr>
      </w:pPr>
    </w:p>
    <w:p w14:paraId="211F1E23" w14:textId="41D3F6B0" w:rsidR="009B38F2" w:rsidRDefault="009B38F2" w:rsidP="002C1F8F">
      <w:pPr>
        <w:tabs>
          <w:tab w:val="left" w:pos="1613"/>
        </w:tabs>
        <w:spacing w:after="0" w:line="240" w:lineRule="auto"/>
        <w:ind w:left="714"/>
        <w:jc w:val="both"/>
        <w:rPr>
          <w:rFonts w:cstheme="minorHAnsi"/>
          <w:szCs w:val="20"/>
        </w:rPr>
      </w:pPr>
    </w:p>
    <w:p w14:paraId="7BAB8CD5" w14:textId="77777777" w:rsidR="009B38F2" w:rsidRDefault="009B38F2" w:rsidP="002C1F8F">
      <w:pPr>
        <w:tabs>
          <w:tab w:val="left" w:pos="1613"/>
        </w:tabs>
        <w:spacing w:after="0" w:line="240" w:lineRule="auto"/>
        <w:ind w:left="714"/>
        <w:jc w:val="both"/>
        <w:rPr>
          <w:rFonts w:cstheme="minorHAnsi"/>
          <w:szCs w:val="20"/>
        </w:rPr>
      </w:pPr>
    </w:p>
    <w:p w14:paraId="24317920" w14:textId="2E1BDB89" w:rsidR="000C0B29" w:rsidRPr="000C0B29" w:rsidRDefault="007D1C92" w:rsidP="006C692B">
      <w:pPr>
        <w:numPr>
          <w:ilvl w:val="0"/>
          <w:numId w:val="2"/>
        </w:numPr>
        <w:tabs>
          <w:tab w:val="left" w:pos="1613"/>
        </w:tabs>
        <w:spacing w:after="0" w:line="240" w:lineRule="auto"/>
        <w:ind w:left="714" w:hanging="357"/>
        <w:jc w:val="both"/>
        <w:rPr>
          <w:rFonts w:cstheme="minorHAnsi"/>
          <w:szCs w:val="20"/>
        </w:rPr>
      </w:pPr>
      <w:r w:rsidRPr="00F92825">
        <w:rPr>
          <w:rFonts w:cstheme="minorHAnsi"/>
          <w:szCs w:val="20"/>
        </w:rPr>
        <w:lastRenderedPageBreak/>
        <w:t xml:space="preserve">The </w:t>
      </w:r>
      <w:r w:rsidR="00D26E42" w:rsidRPr="00F92825">
        <w:rPr>
          <w:rFonts w:cstheme="minorHAnsi"/>
          <w:szCs w:val="20"/>
        </w:rPr>
        <w:t xml:space="preserve">2020 </w:t>
      </w:r>
      <w:r w:rsidR="008F160E">
        <w:rPr>
          <w:rFonts w:cstheme="minorHAnsi"/>
          <w:szCs w:val="20"/>
        </w:rPr>
        <w:t>outbreak of hostilities</w:t>
      </w:r>
      <w:r w:rsidRPr="00F92825">
        <w:rPr>
          <w:rFonts w:cstheme="minorHAnsi"/>
          <w:szCs w:val="20"/>
        </w:rPr>
        <w:t xml:space="preserve"> forced tens of thousands of people living near the conflict area into temporary displacement within Azerbaijan.</w:t>
      </w:r>
      <w:r w:rsidR="00D26E42">
        <w:rPr>
          <w:rStyle w:val="FootnoteReference"/>
          <w:rFonts w:cstheme="minorHAnsi"/>
          <w:szCs w:val="20"/>
        </w:rPr>
        <w:footnoteReference w:id="9"/>
      </w:r>
      <w:r w:rsidR="00472443" w:rsidRPr="00F92825">
        <w:rPr>
          <w:rFonts w:cstheme="minorHAnsi"/>
          <w:szCs w:val="20"/>
        </w:rPr>
        <w:t xml:space="preserve"> </w:t>
      </w:r>
      <w:r w:rsidR="00D26E42" w:rsidRPr="00F92825">
        <w:rPr>
          <w:rFonts w:cstheme="minorHAnsi"/>
          <w:szCs w:val="20"/>
        </w:rPr>
        <w:t xml:space="preserve">While </w:t>
      </w:r>
      <w:r w:rsidR="00472443" w:rsidRPr="00F92825">
        <w:rPr>
          <w:rFonts w:cstheme="minorHAnsi"/>
          <w:szCs w:val="20"/>
        </w:rPr>
        <w:t xml:space="preserve">most </w:t>
      </w:r>
      <w:r w:rsidR="00D26E42" w:rsidRPr="00F92825">
        <w:rPr>
          <w:rFonts w:cstheme="minorHAnsi"/>
          <w:szCs w:val="20"/>
        </w:rPr>
        <w:t xml:space="preserve">of them </w:t>
      </w:r>
      <w:r w:rsidR="00472443" w:rsidRPr="00F92825">
        <w:rPr>
          <w:rFonts w:cstheme="minorHAnsi"/>
          <w:szCs w:val="20"/>
        </w:rPr>
        <w:t>have returned</w:t>
      </w:r>
      <w:r w:rsidR="00D26E42" w:rsidRPr="00F92825">
        <w:rPr>
          <w:rFonts w:cstheme="minorHAnsi"/>
          <w:szCs w:val="20"/>
        </w:rPr>
        <w:t xml:space="preserve">, </w:t>
      </w:r>
      <w:r w:rsidR="00F2567E">
        <w:rPr>
          <w:rFonts w:cstheme="minorHAnsi"/>
          <w:szCs w:val="20"/>
        </w:rPr>
        <w:t xml:space="preserve">some are </w:t>
      </w:r>
      <w:r w:rsidR="00F2567E" w:rsidRPr="00F2567E">
        <w:rPr>
          <w:rFonts w:cstheme="minorHAnsi"/>
          <w:szCs w:val="20"/>
        </w:rPr>
        <w:t>still in need of humanitarian assistance</w:t>
      </w:r>
      <w:r w:rsidR="00D26E42" w:rsidRPr="00F92825">
        <w:rPr>
          <w:rFonts w:cstheme="minorHAnsi"/>
          <w:szCs w:val="20"/>
        </w:rPr>
        <w:t xml:space="preserve">. </w:t>
      </w:r>
      <w:r w:rsidR="00BA5B2A">
        <w:rPr>
          <w:rFonts w:cstheme="minorHAnsi"/>
          <w:szCs w:val="20"/>
        </w:rPr>
        <w:t xml:space="preserve">Furthermore, </w:t>
      </w:r>
      <w:r w:rsidR="0070064D">
        <w:rPr>
          <w:rFonts w:cstheme="minorHAnsi"/>
          <w:szCs w:val="20"/>
        </w:rPr>
        <w:t xml:space="preserve">the </w:t>
      </w:r>
      <w:r w:rsidR="00E27439" w:rsidRPr="00F92825">
        <w:rPr>
          <w:rFonts w:cstheme="minorHAnsi"/>
          <w:szCs w:val="20"/>
        </w:rPr>
        <w:t xml:space="preserve">return of </w:t>
      </w:r>
      <w:r w:rsidR="00D26E42" w:rsidRPr="00F92825">
        <w:rPr>
          <w:rFonts w:cstheme="minorHAnsi"/>
          <w:szCs w:val="20"/>
        </w:rPr>
        <w:t xml:space="preserve">those displaced in the 1990s </w:t>
      </w:r>
      <w:r w:rsidR="00E27439" w:rsidRPr="00F92825">
        <w:rPr>
          <w:rFonts w:cstheme="minorHAnsi"/>
          <w:szCs w:val="20"/>
        </w:rPr>
        <w:t>to the territories</w:t>
      </w:r>
      <w:r w:rsidR="0070064D">
        <w:rPr>
          <w:rFonts w:cstheme="minorHAnsi"/>
          <w:szCs w:val="20"/>
        </w:rPr>
        <w:t xml:space="preserve"> returned to Azerbaijan under the trilateral statement</w:t>
      </w:r>
      <w:r w:rsidR="00121E7F">
        <w:rPr>
          <w:rFonts w:cstheme="minorHAnsi"/>
          <w:szCs w:val="20"/>
        </w:rPr>
        <w:t xml:space="preserve"> will continue to be an important issue</w:t>
      </w:r>
      <w:r w:rsidR="00E27439" w:rsidRPr="00F92825">
        <w:rPr>
          <w:rFonts w:cstheme="minorHAnsi"/>
          <w:szCs w:val="20"/>
        </w:rPr>
        <w:t>.</w:t>
      </w:r>
      <w:r w:rsidR="00B4730D">
        <w:rPr>
          <w:rFonts w:cstheme="minorHAnsi"/>
          <w:szCs w:val="20"/>
        </w:rPr>
        <w:t xml:space="preserve"> </w:t>
      </w:r>
      <w:r w:rsidR="00121E7F">
        <w:rPr>
          <w:rFonts w:cstheme="minorHAnsi"/>
          <w:szCs w:val="20"/>
        </w:rPr>
        <w:t>T</w:t>
      </w:r>
      <w:r w:rsidR="00F92825" w:rsidRPr="00F92825">
        <w:rPr>
          <w:rFonts w:cstheme="minorHAnsi"/>
          <w:szCs w:val="20"/>
        </w:rPr>
        <w:t>he Commissioner’s interlocutors all agreed that, g</w:t>
      </w:r>
      <w:r w:rsidR="00E27439" w:rsidRPr="00F92825">
        <w:rPr>
          <w:rFonts w:cstheme="minorHAnsi"/>
          <w:szCs w:val="20"/>
        </w:rPr>
        <w:t>iven the level of mine contamination</w:t>
      </w:r>
      <w:r w:rsidR="00D26E42">
        <w:rPr>
          <w:rStyle w:val="FootnoteReference"/>
          <w:rFonts w:cstheme="minorHAnsi"/>
          <w:szCs w:val="20"/>
        </w:rPr>
        <w:footnoteReference w:id="10"/>
      </w:r>
      <w:r w:rsidR="00E27439" w:rsidRPr="00F92825">
        <w:rPr>
          <w:rFonts w:cstheme="minorHAnsi"/>
          <w:szCs w:val="20"/>
        </w:rPr>
        <w:t xml:space="preserve"> and destruction</w:t>
      </w:r>
      <w:r w:rsidR="00D26E42" w:rsidRPr="00F92825">
        <w:rPr>
          <w:rFonts w:cstheme="minorHAnsi"/>
          <w:szCs w:val="20"/>
        </w:rPr>
        <w:t xml:space="preserve"> in these territories</w:t>
      </w:r>
      <w:r w:rsidR="00E27439" w:rsidRPr="00F92825">
        <w:rPr>
          <w:rFonts w:cstheme="minorHAnsi"/>
          <w:szCs w:val="20"/>
        </w:rPr>
        <w:t>, th</w:t>
      </w:r>
      <w:r w:rsidR="00121E7F">
        <w:rPr>
          <w:rFonts w:cstheme="minorHAnsi"/>
          <w:szCs w:val="20"/>
        </w:rPr>
        <w:t>ese</w:t>
      </w:r>
      <w:r w:rsidR="00E27439" w:rsidRPr="00F92825">
        <w:rPr>
          <w:rFonts w:cstheme="minorHAnsi"/>
          <w:szCs w:val="20"/>
        </w:rPr>
        <w:t xml:space="preserve"> return</w:t>
      </w:r>
      <w:r w:rsidR="00121E7F">
        <w:rPr>
          <w:rFonts w:cstheme="minorHAnsi"/>
          <w:szCs w:val="20"/>
        </w:rPr>
        <w:t>s</w:t>
      </w:r>
      <w:r w:rsidR="00E27439" w:rsidRPr="00F92825">
        <w:rPr>
          <w:rFonts w:cstheme="minorHAnsi"/>
          <w:szCs w:val="20"/>
        </w:rPr>
        <w:t xml:space="preserve"> might take time. In the meantime, </w:t>
      </w:r>
      <w:r w:rsidR="000C0B29" w:rsidRPr="000C0B29">
        <w:rPr>
          <w:rFonts w:cstheme="minorHAnsi"/>
          <w:szCs w:val="20"/>
        </w:rPr>
        <w:t>the Commissioner</w:t>
      </w:r>
      <w:r w:rsidR="00F92825">
        <w:rPr>
          <w:rFonts w:cstheme="minorHAnsi"/>
          <w:szCs w:val="20"/>
        </w:rPr>
        <w:t xml:space="preserve"> believes that </w:t>
      </w:r>
      <w:r w:rsidR="000C0B29" w:rsidRPr="000C0B29">
        <w:rPr>
          <w:rFonts w:cstheme="minorHAnsi"/>
          <w:szCs w:val="20"/>
        </w:rPr>
        <w:t xml:space="preserve">the recommendations set out in </w:t>
      </w:r>
      <w:r w:rsidR="00D26E42" w:rsidRPr="00F92825">
        <w:rPr>
          <w:rFonts w:cstheme="minorHAnsi"/>
          <w:szCs w:val="20"/>
        </w:rPr>
        <w:t xml:space="preserve">her 2019 </w:t>
      </w:r>
      <w:r w:rsidR="000C0B29" w:rsidRPr="000C0B29">
        <w:rPr>
          <w:rFonts w:cstheme="minorHAnsi"/>
          <w:szCs w:val="20"/>
        </w:rPr>
        <w:t xml:space="preserve">report </w:t>
      </w:r>
      <w:r w:rsidR="00BA5B2A">
        <w:rPr>
          <w:rFonts w:cstheme="minorHAnsi"/>
          <w:szCs w:val="20"/>
        </w:rPr>
        <w:t xml:space="preserve">on Azerbaijan </w:t>
      </w:r>
      <w:r w:rsidR="000C0B29" w:rsidRPr="000C0B29">
        <w:rPr>
          <w:rFonts w:cstheme="minorHAnsi"/>
          <w:szCs w:val="20"/>
        </w:rPr>
        <w:t>continue to be relevant</w:t>
      </w:r>
      <w:r w:rsidR="00F92825">
        <w:rPr>
          <w:rFonts w:cstheme="minorHAnsi"/>
          <w:szCs w:val="20"/>
        </w:rPr>
        <w:t xml:space="preserve">. </w:t>
      </w:r>
    </w:p>
    <w:p w14:paraId="3823F7BE" w14:textId="462A3E58" w:rsidR="008C2968" w:rsidRPr="00E313E3" w:rsidRDefault="008C2968" w:rsidP="00E313E3">
      <w:pPr>
        <w:tabs>
          <w:tab w:val="left" w:pos="1613"/>
        </w:tabs>
        <w:spacing w:after="0" w:line="240" w:lineRule="auto"/>
        <w:ind w:left="714"/>
        <w:jc w:val="both"/>
        <w:rPr>
          <w:rFonts w:cstheme="minorHAnsi"/>
          <w:szCs w:val="20"/>
          <w:lang w:val="en-GB"/>
        </w:rPr>
      </w:pPr>
    </w:p>
    <w:p w14:paraId="6C5BB36C" w14:textId="1C51AD37" w:rsidR="005D4B45" w:rsidRPr="005D4B45" w:rsidRDefault="008F160E" w:rsidP="005D4B45">
      <w:pPr>
        <w:numPr>
          <w:ilvl w:val="0"/>
          <w:numId w:val="2"/>
        </w:numPr>
        <w:tabs>
          <w:tab w:val="left" w:pos="1613"/>
        </w:tabs>
        <w:spacing w:after="0" w:line="240" w:lineRule="auto"/>
        <w:ind w:left="714" w:hanging="357"/>
        <w:jc w:val="both"/>
        <w:rPr>
          <w:rFonts w:cstheme="minorHAnsi"/>
          <w:szCs w:val="20"/>
          <w:lang w:val="en-GB"/>
        </w:rPr>
      </w:pPr>
      <w:r>
        <w:rPr>
          <w:rFonts w:cstheme="minorHAnsi"/>
          <w:szCs w:val="20"/>
          <w:lang w:val="en-GB"/>
        </w:rPr>
        <w:t>Due to t</w:t>
      </w:r>
      <w:r w:rsidR="005D4B45" w:rsidRPr="005D4B45">
        <w:rPr>
          <w:rFonts w:cstheme="minorHAnsi"/>
          <w:szCs w:val="20"/>
          <w:lang w:val="en-GB"/>
        </w:rPr>
        <w:t xml:space="preserve">he </w:t>
      </w:r>
      <w:r>
        <w:rPr>
          <w:rFonts w:cstheme="minorHAnsi"/>
          <w:szCs w:val="20"/>
          <w:lang w:val="en-GB"/>
        </w:rPr>
        <w:t xml:space="preserve">armed conflict, </w:t>
      </w:r>
      <w:r w:rsidR="005D4B45" w:rsidRPr="005D4B45">
        <w:rPr>
          <w:rFonts w:cstheme="minorHAnsi"/>
          <w:szCs w:val="20"/>
          <w:lang w:val="en-GB"/>
        </w:rPr>
        <w:t>around 91</w:t>
      </w:r>
      <w:r w:rsidR="00E83C66">
        <w:rPr>
          <w:rFonts w:cstheme="minorHAnsi"/>
          <w:szCs w:val="20"/>
          <w:lang w:val="en-GB"/>
        </w:rPr>
        <w:t xml:space="preserve"> </w:t>
      </w:r>
      <w:r w:rsidR="005D4B45" w:rsidRPr="005D4B45">
        <w:rPr>
          <w:rFonts w:cstheme="minorHAnsi"/>
          <w:szCs w:val="20"/>
          <w:lang w:val="en-GB"/>
        </w:rPr>
        <w:t>000 persons</w:t>
      </w:r>
      <w:r>
        <w:rPr>
          <w:rFonts w:cstheme="minorHAnsi"/>
          <w:szCs w:val="20"/>
          <w:lang w:val="en-GB"/>
        </w:rPr>
        <w:t xml:space="preserve"> (out of the total estimated population of </w:t>
      </w:r>
      <w:r w:rsidRPr="008823E1">
        <w:rPr>
          <w:rFonts w:cstheme="minorHAnsi"/>
          <w:szCs w:val="20"/>
          <w:lang w:val="en-GB"/>
        </w:rPr>
        <w:t>1</w:t>
      </w:r>
      <w:r w:rsidR="00527864" w:rsidRPr="008823E1">
        <w:rPr>
          <w:rFonts w:cstheme="minorHAnsi"/>
          <w:szCs w:val="20"/>
          <w:lang w:val="en-GB"/>
        </w:rPr>
        <w:t>45</w:t>
      </w:r>
      <w:r w:rsidRPr="008823E1">
        <w:rPr>
          <w:rFonts w:cstheme="minorHAnsi"/>
          <w:szCs w:val="20"/>
          <w:lang w:val="en-GB"/>
        </w:rPr>
        <w:t> 000</w:t>
      </w:r>
      <w:r>
        <w:rPr>
          <w:rFonts w:cstheme="minorHAnsi"/>
          <w:szCs w:val="20"/>
          <w:lang w:val="en-GB"/>
        </w:rPr>
        <w:t>) were forced to leave</w:t>
      </w:r>
      <w:r w:rsidR="005D4B45" w:rsidRPr="005D4B45">
        <w:rPr>
          <w:rFonts w:cstheme="minorHAnsi"/>
          <w:szCs w:val="20"/>
          <w:lang w:val="en-GB"/>
        </w:rPr>
        <w:t xml:space="preserve"> their homes in Nagorno-Karabakh</w:t>
      </w:r>
      <w:r w:rsidR="00AA6C67">
        <w:rPr>
          <w:rFonts w:cstheme="minorHAnsi"/>
          <w:szCs w:val="20"/>
          <w:lang w:val="en-GB"/>
        </w:rPr>
        <w:t xml:space="preserve"> </w:t>
      </w:r>
      <w:r w:rsidR="005D4B45" w:rsidRPr="005D4B45">
        <w:rPr>
          <w:rFonts w:cstheme="minorHAnsi"/>
          <w:szCs w:val="20"/>
          <w:lang w:val="en-GB"/>
        </w:rPr>
        <w:t xml:space="preserve">and adjacent </w:t>
      </w:r>
      <w:r w:rsidR="00694A1D">
        <w:rPr>
          <w:rFonts w:cstheme="minorHAnsi"/>
          <w:szCs w:val="20"/>
          <w:lang w:val="en-GB"/>
        </w:rPr>
        <w:t>areas</w:t>
      </w:r>
      <w:r w:rsidR="005D4B45" w:rsidRPr="005D4B45">
        <w:rPr>
          <w:rFonts w:cstheme="minorHAnsi"/>
          <w:szCs w:val="20"/>
          <w:lang w:val="en-GB"/>
        </w:rPr>
        <w:t>. Many of them moved to Armenia</w:t>
      </w:r>
      <w:r w:rsidR="00005641">
        <w:rPr>
          <w:rFonts w:cstheme="minorHAnsi"/>
          <w:szCs w:val="20"/>
          <w:lang w:val="en-GB"/>
        </w:rPr>
        <w:t xml:space="preserve"> </w:t>
      </w:r>
      <w:r w:rsidR="005D4B45" w:rsidRPr="005D4B45">
        <w:rPr>
          <w:rFonts w:cstheme="minorHAnsi"/>
          <w:szCs w:val="20"/>
          <w:lang w:val="en-GB"/>
        </w:rPr>
        <w:t xml:space="preserve">while others </w:t>
      </w:r>
      <w:r>
        <w:rPr>
          <w:rFonts w:cstheme="minorHAnsi"/>
          <w:szCs w:val="20"/>
          <w:lang w:val="en-GB"/>
        </w:rPr>
        <w:t>had to</w:t>
      </w:r>
      <w:r w:rsidR="005D4B45" w:rsidRPr="005D4B45">
        <w:rPr>
          <w:rFonts w:cstheme="minorHAnsi"/>
          <w:szCs w:val="20"/>
          <w:lang w:val="en-GB"/>
        </w:rPr>
        <w:t xml:space="preserve"> </w:t>
      </w:r>
      <w:r>
        <w:rPr>
          <w:rFonts w:cstheme="minorHAnsi"/>
          <w:szCs w:val="20"/>
          <w:lang w:val="en-GB"/>
        </w:rPr>
        <w:t>relocate</w:t>
      </w:r>
      <w:r w:rsidR="005D4B45" w:rsidRPr="005D4B45">
        <w:rPr>
          <w:rFonts w:cstheme="minorHAnsi"/>
          <w:szCs w:val="20"/>
          <w:lang w:val="en-GB"/>
        </w:rPr>
        <w:t xml:space="preserve"> to </w:t>
      </w:r>
      <w:bookmarkStart w:id="8" w:name="_Hlk84335127"/>
      <w:r w:rsidR="005D4B45" w:rsidRPr="005D4B45">
        <w:rPr>
          <w:rFonts w:cstheme="minorHAnsi"/>
          <w:szCs w:val="20"/>
          <w:lang w:val="en-GB"/>
        </w:rPr>
        <w:t>Stepanakert</w:t>
      </w:r>
      <w:r w:rsidR="00AA6C67">
        <w:rPr>
          <w:rFonts w:cstheme="minorHAnsi"/>
          <w:szCs w:val="20"/>
          <w:lang w:val="en-GB"/>
        </w:rPr>
        <w:t>/</w:t>
      </w:r>
      <w:proofErr w:type="spellStart"/>
      <w:r w:rsidR="00AA6C67">
        <w:rPr>
          <w:rFonts w:cstheme="minorHAnsi"/>
          <w:szCs w:val="20"/>
          <w:lang w:val="en-GB"/>
        </w:rPr>
        <w:t>Khankendi</w:t>
      </w:r>
      <w:proofErr w:type="spellEnd"/>
      <w:r w:rsidR="005D4B45" w:rsidRPr="005D4B45">
        <w:rPr>
          <w:rFonts w:cstheme="minorHAnsi"/>
          <w:szCs w:val="20"/>
          <w:lang w:val="en-GB"/>
        </w:rPr>
        <w:t xml:space="preserve"> </w:t>
      </w:r>
      <w:bookmarkEnd w:id="8"/>
      <w:r w:rsidR="005D4B45" w:rsidRPr="005D4B45">
        <w:rPr>
          <w:rFonts w:cstheme="minorHAnsi"/>
          <w:szCs w:val="20"/>
          <w:lang w:val="en-GB"/>
        </w:rPr>
        <w:t>and nearby areas</w:t>
      </w:r>
      <w:r w:rsidR="00772693">
        <w:rPr>
          <w:rFonts w:cstheme="minorHAnsi"/>
          <w:szCs w:val="20"/>
          <w:lang w:val="en-GB"/>
        </w:rPr>
        <w:t xml:space="preserve">. </w:t>
      </w:r>
      <w:r w:rsidR="005D4B45" w:rsidRPr="005D4B45">
        <w:rPr>
          <w:rFonts w:cstheme="minorHAnsi"/>
          <w:szCs w:val="20"/>
          <w:lang w:val="en-GB"/>
        </w:rPr>
        <w:t>88% of them were reported to be women and children.</w:t>
      </w:r>
      <w:r w:rsidR="005D4B45" w:rsidRPr="005D4B45">
        <w:rPr>
          <w:rFonts w:cstheme="minorHAnsi"/>
          <w:szCs w:val="20"/>
          <w:vertAlign w:val="superscript"/>
          <w:lang w:val="en-GB"/>
        </w:rPr>
        <w:footnoteReference w:id="11"/>
      </w:r>
      <w:r w:rsidR="005D4B45" w:rsidRPr="005D4B45">
        <w:rPr>
          <w:rFonts w:cstheme="minorHAnsi"/>
          <w:szCs w:val="20"/>
          <w:lang w:val="en-GB"/>
        </w:rPr>
        <w:t xml:space="preserve"> Many of them have since returned to </w:t>
      </w:r>
      <w:r w:rsidR="008C46AF" w:rsidRPr="008C46AF">
        <w:rPr>
          <w:rFonts w:cstheme="minorHAnsi"/>
          <w:szCs w:val="20"/>
          <w:lang w:val="en-GB"/>
        </w:rPr>
        <w:t>Stepanakert/</w:t>
      </w:r>
      <w:proofErr w:type="spellStart"/>
      <w:r w:rsidR="008C46AF" w:rsidRPr="008C46AF">
        <w:rPr>
          <w:rFonts w:cstheme="minorHAnsi"/>
          <w:szCs w:val="20"/>
          <w:lang w:val="en-GB"/>
        </w:rPr>
        <w:t>Khankendi</w:t>
      </w:r>
      <w:proofErr w:type="spellEnd"/>
      <w:r w:rsidR="008C46AF">
        <w:rPr>
          <w:rFonts w:cstheme="minorHAnsi"/>
          <w:szCs w:val="20"/>
          <w:lang w:val="en-GB"/>
        </w:rPr>
        <w:t xml:space="preserve"> </w:t>
      </w:r>
      <w:r w:rsidR="005D4B45" w:rsidRPr="005D4B45">
        <w:rPr>
          <w:rFonts w:cstheme="minorHAnsi"/>
          <w:szCs w:val="20"/>
          <w:lang w:val="en-GB"/>
        </w:rPr>
        <w:t>and other</w:t>
      </w:r>
      <w:r w:rsidR="00121E7F">
        <w:rPr>
          <w:rFonts w:cstheme="minorHAnsi"/>
          <w:szCs w:val="20"/>
          <w:lang w:val="en-GB"/>
        </w:rPr>
        <w:t xml:space="preserve"> </w:t>
      </w:r>
      <w:r>
        <w:rPr>
          <w:rFonts w:cstheme="minorHAnsi"/>
          <w:szCs w:val="20"/>
          <w:lang w:val="en-GB"/>
        </w:rPr>
        <w:t>areas</w:t>
      </w:r>
      <w:r w:rsidR="00772693">
        <w:rPr>
          <w:rFonts w:cstheme="minorHAnsi"/>
          <w:szCs w:val="20"/>
          <w:lang w:val="en-GB"/>
        </w:rPr>
        <w:t xml:space="preserve">, </w:t>
      </w:r>
      <w:r w:rsidR="008C46AF">
        <w:rPr>
          <w:rFonts w:cstheme="minorHAnsi"/>
          <w:szCs w:val="20"/>
          <w:lang w:val="en-GB"/>
        </w:rPr>
        <w:t>where</w:t>
      </w:r>
      <w:r w:rsidR="00772693">
        <w:rPr>
          <w:rFonts w:cstheme="minorHAnsi"/>
          <w:szCs w:val="20"/>
          <w:lang w:val="en-GB"/>
        </w:rPr>
        <w:t xml:space="preserve"> Russian peacekeepers</w:t>
      </w:r>
      <w:r w:rsidR="008C46AF">
        <w:rPr>
          <w:rFonts w:cstheme="minorHAnsi"/>
          <w:szCs w:val="20"/>
          <w:lang w:val="en-GB"/>
        </w:rPr>
        <w:t xml:space="preserve"> are deployed</w:t>
      </w:r>
      <w:r w:rsidR="00772693" w:rsidRPr="005D4B45">
        <w:rPr>
          <w:rFonts w:cstheme="minorHAnsi"/>
          <w:szCs w:val="20"/>
          <w:lang w:val="en-GB"/>
        </w:rPr>
        <w:t>.</w:t>
      </w:r>
      <w:r w:rsidR="00772693">
        <w:rPr>
          <w:rFonts w:cstheme="minorHAnsi"/>
          <w:szCs w:val="20"/>
          <w:lang w:val="en-GB"/>
        </w:rPr>
        <w:t xml:space="preserve"> </w:t>
      </w:r>
      <w:r w:rsidR="005D4B45" w:rsidRPr="005D4B45">
        <w:rPr>
          <w:rFonts w:cstheme="minorHAnsi"/>
          <w:szCs w:val="20"/>
          <w:lang w:val="en-GB"/>
        </w:rPr>
        <w:t xml:space="preserve">As of </w:t>
      </w:r>
      <w:r w:rsidR="008823E1">
        <w:rPr>
          <w:rFonts w:cstheme="minorHAnsi"/>
          <w:szCs w:val="20"/>
          <w:lang w:val="en-GB"/>
        </w:rPr>
        <w:t>May</w:t>
      </w:r>
      <w:r w:rsidR="005D4B45" w:rsidRPr="005D4B45">
        <w:rPr>
          <w:rFonts w:cstheme="minorHAnsi"/>
          <w:szCs w:val="20"/>
          <w:lang w:val="en-GB"/>
        </w:rPr>
        <w:t xml:space="preserve"> 2021, </w:t>
      </w:r>
      <w:r w:rsidR="008823E1">
        <w:rPr>
          <w:rFonts w:cstheme="minorHAnsi"/>
          <w:szCs w:val="20"/>
          <w:lang w:val="en-GB"/>
        </w:rPr>
        <w:t>some</w:t>
      </w:r>
      <w:r w:rsidR="008823E1" w:rsidRPr="008823E1">
        <w:rPr>
          <w:rFonts w:cstheme="minorHAnsi"/>
          <w:szCs w:val="20"/>
          <w:lang w:val="en-GB"/>
        </w:rPr>
        <w:t xml:space="preserve"> 36,989 persons were in a refugee-like situation in Armenia</w:t>
      </w:r>
      <w:r w:rsidR="005D4B45" w:rsidRPr="005D4B45">
        <w:rPr>
          <w:rFonts w:cstheme="minorHAnsi"/>
          <w:szCs w:val="20"/>
          <w:lang w:val="en-GB"/>
        </w:rPr>
        <w:t>.</w:t>
      </w:r>
      <w:r w:rsidR="00F50363">
        <w:rPr>
          <w:rStyle w:val="FootnoteReference"/>
          <w:rFonts w:cstheme="minorHAnsi"/>
          <w:szCs w:val="20"/>
          <w:lang w:val="en-GB"/>
        </w:rPr>
        <w:footnoteReference w:id="12"/>
      </w:r>
      <w:r w:rsidR="008823E1">
        <w:rPr>
          <w:rFonts w:cstheme="minorHAnsi"/>
          <w:szCs w:val="20"/>
          <w:lang w:val="en-GB"/>
        </w:rPr>
        <w:t xml:space="preserve"> </w:t>
      </w:r>
      <w:r w:rsidR="00D132B3" w:rsidRPr="00D132B3">
        <w:rPr>
          <w:rFonts w:cstheme="minorHAnsi"/>
          <w:szCs w:val="20"/>
          <w:lang w:val="en-GB"/>
        </w:rPr>
        <w:t>15-20</w:t>
      </w:r>
      <w:r w:rsidR="00121E7F">
        <w:rPr>
          <w:rFonts w:cstheme="minorHAnsi"/>
          <w:szCs w:val="20"/>
          <w:lang w:val="en-GB"/>
        </w:rPr>
        <w:t xml:space="preserve"> </w:t>
      </w:r>
      <w:r w:rsidR="00D132B3" w:rsidRPr="00D132B3">
        <w:rPr>
          <w:rFonts w:cstheme="minorHAnsi"/>
          <w:szCs w:val="20"/>
          <w:lang w:val="en-GB"/>
        </w:rPr>
        <w:t>000 of them reportedly come from regions now under the control of Azerbaijan.</w:t>
      </w:r>
      <w:r w:rsidR="00D132B3">
        <w:rPr>
          <w:rFonts w:cstheme="minorHAnsi"/>
          <w:szCs w:val="20"/>
          <w:lang w:val="en-GB"/>
        </w:rPr>
        <w:t xml:space="preserve"> </w:t>
      </w:r>
    </w:p>
    <w:p w14:paraId="14FF1CAA" w14:textId="68F333E5" w:rsidR="005D4B45" w:rsidRPr="005D4B45" w:rsidRDefault="005D4B45" w:rsidP="005D4B45">
      <w:pPr>
        <w:spacing w:after="0" w:line="240" w:lineRule="auto"/>
        <w:jc w:val="both"/>
        <w:rPr>
          <w:rFonts w:cstheme="minorHAnsi"/>
          <w:szCs w:val="20"/>
          <w:lang w:val="en-GB"/>
        </w:rPr>
      </w:pPr>
    </w:p>
    <w:p w14:paraId="19FB64ED" w14:textId="7CA55217" w:rsidR="005D4B45" w:rsidRPr="005D4B45" w:rsidRDefault="008265D0" w:rsidP="005D4B45">
      <w:pPr>
        <w:numPr>
          <w:ilvl w:val="0"/>
          <w:numId w:val="2"/>
        </w:numPr>
        <w:tabs>
          <w:tab w:val="left" w:pos="1613"/>
        </w:tabs>
        <w:spacing w:after="0" w:line="240" w:lineRule="auto"/>
        <w:ind w:left="714" w:hanging="357"/>
        <w:jc w:val="both"/>
        <w:rPr>
          <w:rFonts w:cstheme="minorHAnsi"/>
          <w:szCs w:val="20"/>
          <w:lang w:val="en-GB"/>
        </w:rPr>
      </w:pPr>
      <w:r>
        <w:rPr>
          <w:rFonts w:cstheme="minorHAnsi"/>
          <w:szCs w:val="20"/>
          <w:lang w:val="en-GB"/>
        </w:rPr>
        <w:t xml:space="preserve">Armenian civil society and </w:t>
      </w:r>
      <w:r w:rsidR="00121E7F">
        <w:rPr>
          <w:rFonts w:cstheme="minorHAnsi"/>
          <w:szCs w:val="20"/>
          <w:lang w:val="en-GB"/>
        </w:rPr>
        <w:t xml:space="preserve">the </w:t>
      </w:r>
      <w:r>
        <w:rPr>
          <w:rFonts w:cstheme="minorHAnsi"/>
          <w:szCs w:val="20"/>
          <w:lang w:val="en-GB"/>
        </w:rPr>
        <w:t xml:space="preserve">population in general have demonstrated a strong sense of </w:t>
      </w:r>
      <w:r w:rsidR="005D4B45" w:rsidRPr="005D4B45">
        <w:rPr>
          <w:rFonts w:cstheme="minorHAnsi"/>
          <w:szCs w:val="20"/>
          <w:lang w:val="en-GB"/>
        </w:rPr>
        <w:t xml:space="preserve">solidarity and </w:t>
      </w:r>
      <w:r>
        <w:rPr>
          <w:rFonts w:cstheme="minorHAnsi"/>
          <w:szCs w:val="20"/>
          <w:lang w:val="en-GB"/>
        </w:rPr>
        <w:t>support towards</w:t>
      </w:r>
      <w:r w:rsidR="005D4B45" w:rsidRPr="005D4B45">
        <w:rPr>
          <w:rFonts w:cstheme="minorHAnsi"/>
          <w:szCs w:val="20"/>
          <w:lang w:val="en-GB"/>
        </w:rPr>
        <w:t xml:space="preserve"> persons displaced by the conflict, </w:t>
      </w:r>
      <w:r>
        <w:rPr>
          <w:rFonts w:cstheme="minorHAnsi"/>
          <w:szCs w:val="20"/>
          <w:lang w:val="en-GB"/>
        </w:rPr>
        <w:t xml:space="preserve">including by </w:t>
      </w:r>
      <w:r w:rsidR="005D4B45" w:rsidRPr="005D4B45">
        <w:rPr>
          <w:rFonts w:cstheme="minorHAnsi"/>
          <w:szCs w:val="20"/>
          <w:lang w:val="en-GB"/>
        </w:rPr>
        <w:t>provid</w:t>
      </w:r>
      <w:r>
        <w:rPr>
          <w:rFonts w:cstheme="minorHAnsi"/>
          <w:szCs w:val="20"/>
          <w:lang w:val="en-GB"/>
        </w:rPr>
        <w:t>ing</w:t>
      </w:r>
      <w:r w:rsidR="005D4B45" w:rsidRPr="005D4B45">
        <w:rPr>
          <w:rFonts w:cstheme="minorHAnsi"/>
          <w:szCs w:val="20"/>
          <w:lang w:val="en-GB"/>
        </w:rPr>
        <w:t xml:space="preserve"> shelter </w:t>
      </w:r>
      <w:r w:rsidRPr="005D4B45">
        <w:rPr>
          <w:rFonts w:cstheme="minorHAnsi"/>
          <w:szCs w:val="20"/>
          <w:lang w:val="en-GB"/>
        </w:rPr>
        <w:t>and</w:t>
      </w:r>
      <w:r>
        <w:rPr>
          <w:rFonts w:cstheme="minorHAnsi"/>
          <w:szCs w:val="20"/>
          <w:lang w:val="en-GB"/>
        </w:rPr>
        <w:t xml:space="preserve"> necessities to them</w:t>
      </w:r>
      <w:r w:rsidR="00E83C66">
        <w:rPr>
          <w:rFonts w:cstheme="minorHAnsi"/>
          <w:szCs w:val="20"/>
          <w:lang w:val="en-GB"/>
        </w:rPr>
        <w:t xml:space="preserve">. </w:t>
      </w:r>
      <w:r>
        <w:rPr>
          <w:rFonts w:cstheme="minorHAnsi"/>
          <w:szCs w:val="20"/>
          <w:lang w:val="en-GB"/>
        </w:rPr>
        <w:t xml:space="preserve">Such efforts were </w:t>
      </w:r>
      <w:proofErr w:type="gramStart"/>
      <w:r>
        <w:rPr>
          <w:rFonts w:cstheme="minorHAnsi"/>
          <w:szCs w:val="20"/>
          <w:lang w:val="en-GB"/>
        </w:rPr>
        <w:t>all the more</w:t>
      </w:r>
      <w:proofErr w:type="gramEnd"/>
      <w:r>
        <w:rPr>
          <w:rFonts w:cstheme="minorHAnsi"/>
          <w:szCs w:val="20"/>
          <w:lang w:val="en-GB"/>
        </w:rPr>
        <w:t xml:space="preserve"> outstanding </w:t>
      </w:r>
      <w:r w:rsidR="005D4B45" w:rsidRPr="005D4B45">
        <w:rPr>
          <w:rFonts w:cstheme="minorHAnsi"/>
          <w:szCs w:val="20"/>
          <w:lang w:val="en-GB"/>
        </w:rPr>
        <w:t xml:space="preserve">as </w:t>
      </w:r>
      <w:r>
        <w:rPr>
          <w:rFonts w:cstheme="minorHAnsi"/>
          <w:szCs w:val="20"/>
          <w:lang w:val="en-GB"/>
        </w:rPr>
        <w:t>at the same time the population was</w:t>
      </w:r>
      <w:r w:rsidR="006574A5">
        <w:rPr>
          <w:rFonts w:cstheme="minorHAnsi"/>
          <w:szCs w:val="20"/>
          <w:lang w:val="en-GB"/>
        </w:rPr>
        <w:t xml:space="preserve"> </w:t>
      </w:r>
      <w:r w:rsidR="00CF7E38">
        <w:rPr>
          <w:rFonts w:cstheme="minorHAnsi"/>
          <w:szCs w:val="20"/>
          <w:lang w:val="en-GB"/>
        </w:rPr>
        <w:t xml:space="preserve">faced </w:t>
      </w:r>
      <w:r w:rsidR="005D4B45" w:rsidRPr="005D4B45">
        <w:rPr>
          <w:rFonts w:cstheme="minorHAnsi"/>
          <w:szCs w:val="20"/>
          <w:lang w:val="en-GB"/>
        </w:rPr>
        <w:t>with the</w:t>
      </w:r>
      <w:r>
        <w:rPr>
          <w:rFonts w:cstheme="minorHAnsi"/>
          <w:szCs w:val="20"/>
          <w:lang w:val="en-GB"/>
        </w:rPr>
        <w:t xml:space="preserve"> consequences of the</w:t>
      </w:r>
      <w:r w:rsidR="005D4B45" w:rsidRPr="005D4B45">
        <w:rPr>
          <w:rFonts w:cstheme="minorHAnsi"/>
          <w:szCs w:val="20"/>
          <w:lang w:val="en-GB"/>
        </w:rPr>
        <w:t xml:space="preserve"> COVID-19 pandemic and related economic difficulties</w:t>
      </w:r>
      <w:r w:rsidR="0070064D">
        <w:rPr>
          <w:rFonts w:cstheme="minorHAnsi"/>
          <w:szCs w:val="20"/>
          <w:lang w:val="en-GB"/>
        </w:rPr>
        <w:t xml:space="preserve">. </w:t>
      </w:r>
    </w:p>
    <w:p w14:paraId="5C5B904B" w14:textId="77777777" w:rsidR="005D4B45" w:rsidRPr="005D4B45" w:rsidRDefault="005D4B45" w:rsidP="005D4B45">
      <w:pPr>
        <w:spacing w:after="0" w:line="240" w:lineRule="auto"/>
        <w:jc w:val="both"/>
        <w:rPr>
          <w:rFonts w:cstheme="minorHAnsi"/>
          <w:szCs w:val="20"/>
          <w:lang w:val="en-GB"/>
        </w:rPr>
      </w:pPr>
    </w:p>
    <w:p w14:paraId="3FBB6FED" w14:textId="04E82929" w:rsidR="005D4B45" w:rsidRPr="00CD69FB" w:rsidRDefault="005D4B45" w:rsidP="005D4B45">
      <w:pPr>
        <w:numPr>
          <w:ilvl w:val="0"/>
          <w:numId w:val="2"/>
        </w:numPr>
        <w:tabs>
          <w:tab w:val="left" w:pos="1613"/>
        </w:tabs>
        <w:spacing w:after="0" w:line="240" w:lineRule="auto"/>
        <w:ind w:left="714" w:hanging="357"/>
        <w:jc w:val="both"/>
        <w:rPr>
          <w:rFonts w:cstheme="minorHAnsi"/>
          <w:szCs w:val="20"/>
          <w:lang w:val="en-GB"/>
        </w:rPr>
      </w:pPr>
      <w:r w:rsidRPr="00CD69FB">
        <w:rPr>
          <w:rFonts w:cstheme="minorHAnsi"/>
          <w:szCs w:val="20"/>
          <w:lang w:val="en-GB"/>
        </w:rPr>
        <w:t>The Armenian authorities</w:t>
      </w:r>
      <w:r w:rsidR="008265D0" w:rsidRPr="00CD69FB">
        <w:rPr>
          <w:rFonts w:cstheme="minorHAnsi"/>
          <w:szCs w:val="20"/>
          <w:lang w:val="en-GB"/>
        </w:rPr>
        <w:t>, on their part</w:t>
      </w:r>
      <w:r w:rsidR="008C46AF">
        <w:rPr>
          <w:rFonts w:cstheme="minorHAnsi"/>
          <w:szCs w:val="20"/>
          <w:lang w:val="en-GB"/>
        </w:rPr>
        <w:t>,</w:t>
      </w:r>
      <w:r w:rsidRPr="00CD69FB">
        <w:rPr>
          <w:rFonts w:cstheme="minorHAnsi"/>
          <w:szCs w:val="20"/>
          <w:lang w:val="en-GB"/>
        </w:rPr>
        <w:t xml:space="preserve"> have </w:t>
      </w:r>
      <w:r w:rsidR="008265D0" w:rsidRPr="00CD69FB">
        <w:rPr>
          <w:rFonts w:cstheme="minorHAnsi"/>
          <w:szCs w:val="20"/>
          <w:lang w:val="en-GB"/>
        </w:rPr>
        <w:t>launched</w:t>
      </w:r>
      <w:r w:rsidR="00CD69FB">
        <w:rPr>
          <w:rFonts w:cstheme="minorHAnsi"/>
          <w:szCs w:val="20"/>
          <w:lang w:val="en-GB"/>
        </w:rPr>
        <w:t xml:space="preserve"> </w:t>
      </w:r>
      <w:r w:rsidRPr="00CD69FB">
        <w:rPr>
          <w:rFonts w:cstheme="minorHAnsi"/>
          <w:szCs w:val="20"/>
          <w:lang w:val="en-GB"/>
        </w:rPr>
        <w:t xml:space="preserve">cash support programmes, both for persons displaced by the conflict and for their hosts, </w:t>
      </w:r>
      <w:r w:rsidR="008265D0" w:rsidRPr="00CD69FB">
        <w:rPr>
          <w:rFonts w:cstheme="minorHAnsi"/>
          <w:szCs w:val="20"/>
          <w:lang w:val="en-GB"/>
        </w:rPr>
        <w:t>as well as those who stayed</w:t>
      </w:r>
      <w:r w:rsidR="00CD69FB">
        <w:rPr>
          <w:rFonts w:cstheme="minorHAnsi"/>
          <w:szCs w:val="20"/>
          <w:lang w:val="en-GB"/>
        </w:rPr>
        <w:t xml:space="preserve"> </w:t>
      </w:r>
      <w:r w:rsidRPr="00CD69FB">
        <w:rPr>
          <w:rFonts w:cstheme="minorHAnsi"/>
          <w:szCs w:val="20"/>
          <w:lang w:val="en-GB"/>
        </w:rPr>
        <w:t xml:space="preserve">in Nagorno-Karabakh, </w:t>
      </w:r>
      <w:r w:rsidR="00CD69FB">
        <w:rPr>
          <w:rFonts w:cstheme="minorHAnsi"/>
          <w:szCs w:val="20"/>
          <w:lang w:val="en-GB"/>
        </w:rPr>
        <w:t>and have</w:t>
      </w:r>
      <w:r w:rsidR="008265D0" w:rsidRPr="00CD69FB">
        <w:rPr>
          <w:rFonts w:cstheme="minorHAnsi"/>
          <w:szCs w:val="20"/>
          <w:lang w:val="en-GB"/>
        </w:rPr>
        <w:t xml:space="preserve"> provided </w:t>
      </w:r>
      <w:r w:rsidRPr="00CD69FB">
        <w:rPr>
          <w:rFonts w:cstheme="minorHAnsi"/>
          <w:szCs w:val="20"/>
          <w:lang w:val="en-GB"/>
        </w:rPr>
        <w:t>food assistance and temporary accommodation in public premises and hotels. According to the authorities, some 15</w:t>
      </w:r>
      <w:r w:rsidR="00E83C66">
        <w:rPr>
          <w:rFonts w:cstheme="minorHAnsi"/>
          <w:szCs w:val="20"/>
          <w:lang w:val="en-GB"/>
        </w:rPr>
        <w:t xml:space="preserve"> </w:t>
      </w:r>
      <w:r w:rsidRPr="00CD69FB">
        <w:rPr>
          <w:rFonts w:cstheme="minorHAnsi"/>
          <w:szCs w:val="20"/>
          <w:lang w:val="en-GB"/>
        </w:rPr>
        <w:t>000 persons have benefitted from such accommodation, and 1</w:t>
      </w:r>
      <w:r w:rsidR="00E83C66">
        <w:rPr>
          <w:rFonts w:cstheme="minorHAnsi"/>
          <w:szCs w:val="20"/>
          <w:lang w:val="en-GB"/>
        </w:rPr>
        <w:t xml:space="preserve"> </w:t>
      </w:r>
      <w:r w:rsidRPr="00CD69FB">
        <w:rPr>
          <w:rFonts w:cstheme="minorHAnsi"/>
          <w:szCs w:val="20"/>
          <w:lang w:val="en-GB"/>
        </w:rPr>
        <w:t>000 of them are still residing in such facilities.</w:t>
      </w:r>
      <w:r w:rsidRPr="00CD69FB">
        <w:rPr>
          <w:rFonts w:cstheme="minorHAnsi"/>
          <w:szCs w:val="20"/>
          <w:vertAlign w:val="superscript"/>
          <w:lang w:val="en-GB"/>
        </w:rPr>
        <w:footnoteReference w:id="13"/>
      </w:r>
      <w:r w:rsidRPr="00CD69FB">
        <w:rPr>
          <w:rFonts w:cstheme="minorHAnsi"/>
          <w:szCs w:val="20"/>
          <w:lang w:val="en-GB"/>
        </w:rPr>
        <w:t xml:space="preserve"> Specific attention has been paid to older persons and persons with disabilities. Persons displaced by the conflict have also benefitted from access to free health care, education for children and programmes of access to temporary employment and training. International support to cater for the needs of persons displaced by the conflict was coordinated through an Inter-Agency </w:t>
      </w:r>
      <w:r w:rsidR="006D3E26">
        <w:rPr>
          <w:rFonts w:cstheme="minorHAnsi"/>
          <w:szCs w:val="20"/>
          <w:lang w:val="en-GB"/>
        </w:rPr>
        <w:t>R</w:t>
      </w:r>
      <w:r w:rsidRPr="00CD69FB">
        <w:rPr>
          <w:rFonts w:cstheme="minorHAnsi"/>
          <w:szCs w:val="20"/>
          <w:lang w:val="en-GB"/>
        </w:rPr>
        <w:t xml:space="preserve">esponse Plan. </w:t>
      </w:r>
    </w:p>
    <w:p w14:paraId="14C1B968" w14:textId="77777777" w:rsidR="005D4B45" w:rsidRPr="005D4B45" w:rsidRDefault="005D4B45" w:rsidP="005D4B45">
      <w:pPr>
        <w:spacing w:after="0" w:line="240" w:lineRule="auto"/>
        <w:jc w:val="both"/>
        <w:rPr>
          <w:rFonts w:cstheme="minorHAnsi"/>
          <w:szCs w:val="20"/>
          <w:lang w:val="en-GB"/>
        </w:rPr>
      </w:pPr>
    </w:p>
    <w:p w14:paraId="66F28A3E" w14:textId="2E2C3622" w:rsidR="005D4B45" w:rsidRPr="005D4B45" w:rsidRDefault="005D4B45" w:rsidP="005D4B45">
      <w:pPr>
        <w:numPr>
          <w:ilvl w:val="0"/>
          <w:numId w:val="2"/>
        </w:numPr>
        <w:tabs>
          <w:tab w:val="left" w:pos="1613"/>
        </w:tabs>
        <w:spacing w:after="0" w:line="240" w:lineRule="auto"/>
        <w:ind w:left="714" w:hanging="357"/>
        <w:jc w:val="both"/>
        <w:rPr>
          <w:rFonts w:cstheme="minorHAnsi"/>
          <w:szCs w:val="20"/>
          <w:lang w:val="en-GB"/>
        </w:rPr>
      </w:pPr>
      <w:r w:rsidRPr="005D4B45">
        <w:rPr>
          <w:rFonts w:cstheme="minorHAnsi"/>
          <w:szCs w:val="20"/>
          <w:lang w:val="en-GB"/>
        </w:rPr>
        <w:t xml:space="preserve">Difficulties inherent to post-conflict situations and displacement have been compounded by the fact that a substantial share of the persons displaced by the conflict </w:t>
      </w:r>
      <w:r w:rsidR="00E83C66">
        <w:rPr>
          <w:rFonts w:cstheme="minorHAnsi"/>
          <w:szCs w:val="20"/>
          <w:lang w:val="en-GB"/>
        </w:rPr>
        <w:t xml:space="preserve">in Armenia </w:t>
      </w:r>
      <w:r w:rsidRPr="005D4B45">
        <w:rPr>
          <w:rFonts w:cstheme="minorHAnsi"/>
          <w:szCs w:val="20"/>
          <w:lang w:val="en-GB"/>
        </w:rPr>
        <w:t>was estimated to have special needs and specific vulnerabilities: according to monitoring carried out by UNHCR, 20% of the persons interviewed had specific needs, including persons with disabilit</w:t>
      </w:r>
      <w:r w:rsidR="008F1716">
        <w:rPr>
          <w:rFonts w:cstheme="minorHAnsi"/>
          <w:szCs w:val="20"/>
          <w:lang w:val="en-GB"/>
        </w:rPr>
        <w:t>ies</w:t>
      </w:r>
      <w:r w:rsidRPr="005D4B45">
        <w:rPr>
          <w:rFonts w:cstheme="minorHAnsi"/>
          <w:szCs w:val="20"/>
          <w:lang w:val="en-GB"/>
        </w:rPr>
        <w:t xml:space="preserve">, single women, persons with serious medical conditions, elderly at risk, pregnant women, unaccompanied or separated children and children in extended families. </w:t>
      </w:r>
    </w:p>
    <w:p w14:paraId="01AE66F6" w14:textId="77777777" w:rsidR="005D4B45" w:rsidRPr="005D4B45" w:rsidRDefault="005D4B45" w:rsidP="005D4B45">
      <w:pPr>
        <w:spacing w:after="0" w:line="240" w:lineRule="auto"/>
        <w:jc w:val="both"/>
        <w:rPr>
          <w:rFonts w:cstheme="minorHAnsi"/>
          <w:szCs w:val="20"/>
          <w:lang w:val="en-GB"/>
        </w:rPr>
      </w:pPr>
    </w:p>
    <w:p w14:paraId="1AB09734" w14:textId="1861CC33" w:rsidR="005D4B45" w:rsidRPr="005D4B45" w:rsidRDefault="005D4B45" w:rsidP="005D4B45">
      <w:pPr>
        <w:numPr>
          <w:ilvl w:val="0"/>
          <w:numId w:val="2"/>
        </w:numPr>
        <w:tabs>
          <w:tab w:val="left" w:pos="1613"/>
        </w:tabs>
        <w:spacing w:after="0" w:line="240" w:lineRule="auto"/>
        <w:ind w:left="714" w:hanging="357"/>
        <w:jc w:val="both"/>
        <w:rPr>
          <w:rFonts w:cstheme="minorHAnsi"/>
          <w:szCs w:val="20"/>
          <w:lang w:val="en-GB"/>
        </w:rPr>
      </w:pPr>
      <w:r w:rsidRPr="005D4B45">
        <w:rPr>
          <w:rFonts w:cstheme="minorHAnsi"/>
          <w:szCs w:val="20"/>
          <w:lang w:val="en-GB"/>
        </w:rPr>
        <w:t xml:space="preserve">Moreover, many of the persons displaced by the conflict have experienced significant trauma. Children have been particularly affected by the war and </w:t>
      </w:r>
      <w:r w:rsidR="008F1716">
        <w:rPr>
          <w:rFonts w:cstheme="minorHAnsi"/>
          <w:szCs w:val="20"/>
          <w:lang w:val="en-GB"/>
        </w:rPr>
        <w:t xml:space="preserve">their </w:t>
      </w:r>
      <w:r w:rsidRPr="005D4B45">
        <w:rPr>
          <w:rFonts w:cstheme="minorHAnsi"/>
          <w:szCs w:val="20"/>
          <w:lang w:val="en-GB"/>
        </w:rPr>
        <w:t>subsequent displacement and needs for psychosocial assistance are reported to be high. Instances of gender-based and domestic violence have reportedly been on the rise, and children and women are likely to be at higher risk of abuse and sexual exploitation. Access to health care adapted to the needs of the persons displaced by the conflict has been limited by the overburdening of Armenia’s health care system due to the impact of the C</w:t>
      </w:r>
      <w:r w:rsidR="00276F66">
        <w:rPr>
          <w:rFonts w:cstheme="minorHAnsi"/>
          <w:szCs w:val="20"/>
          <w:lang w:val="en-GB"/>
        </w:rPr>
        <w:t>OVID</w:t>
      </w:r>
      <w:r w:rsidRPr="005D4B45">
        <w:rPr>
          <w:rFonts w:cstheme="minorHAnsi"/>
          <w:szCs w:val="20"/>
          <w:lang w:val="en-GB"/>
        </w:rPr>
        <w:t>-19 pandemic and the need to treat war victims. Measures to prevent the spreading of the C</w:t>
      </w:r>
      <w:r w:rsidR="00276F66">
        <w:rPr>
          <w:rFonts w:cstheme="minorHAnsi"/>
          <w:szCs w:val="20"/>
          <w:lang w:val="en-GB"/>
        </w:rPr>
        <w:t>OVID</w:t>
      </w:r>
      <w:r w:rsidRPr="005D4B45">
        <w:rPr>
          <w:rFonts w:cstheme="minorHAnsi"/>
          <w:szCs w:val="20"/>
          <w:lang w:val="en-GB"/>
        </w:rPr>
        <w:t>-19 pandemic have been put in place, although it is reported that they have not systematically been implemented in practice. Moreover, a lack of clear guidance and eligibility criteria in the provision of emergency housing and other assistance has been reported.</w:t>
      </w:r>
      <w:r w:rsidR="00EF5FA0">
        <w:rPr>
          <w:rFonts w:cstheme="minorHAnsi"/>
          <w:szCs w:val="20"/>
          <w:lang w:val="en-GB"/>
        </w:rPr>
        <w:t xml:space="preserve"> </w:t>
      </w:r>
    </w:p>
    <w:p w14:paraId="03A56357" w14:textId="77777777" w:rsidR="005D4B45" w:rsidRPr="005D4B45" w:rsidRDefault="005D4B45" w:rsidP="005D4B45">
      <w:pPr>
        <w:spacing w:after="0" w:line="240" w:lineRule="auto"/>
        <w:jc w:val="both"/>
        <w:rPr>
          <w:rFonts w:cstheme="minorHAnsi"/>
          <w:szCs w:val="20"/>
          <w:lang w:val="en-GB"/>
        </w:rPr>
      </w:pPr>
    </w:p>
    <w:p w14:paraId="7AE0A29F" w14:textId="5F13DF81" w:rsidR="005D4B45" w:rsidRPr="003142E5" w:rsidRDefault="005D4B45" w:rsidP="005D4B45">
      <w:pPr>
        <w:numPr>
          <w:ilvl w:val="0"/>
          <w:numId w:val="2"/>
        </w:numPr>
        <w:tabs>
          <w:tab w:val="left" w:pos="1613"/>
        </w:tabs>
        <w:spacing w:after="0" w:line="240" w:lineRule="auto"/>
        <w:ind w:left="714" w:hanging="357"/>
        <w:jc w:val="both"/>
        <w:rPr>
          <w:rFonts w:cstheme="minorHAnsi"/>
          <w:szCs w:val="20"/>
          <w:lang w:val="en-GB"/>
        </w:rPr>
      </w:pPr>
      <w:r w:rsidRPr="005D4B45">
        <w:rPr>
          <w:rFonts w:cstheme="minorHAnsi"/>
          <w:szCs w:val="20"/>
          <w:lang w:val="en-GB"/>
        </w:rPr>
        <w:t xml:space="preserve">One year after the end of the conflict, challenges and needs faced by the population displaced by the conflict remain high. A share of the persons displaced by the conflict are unlikely to return to </w:t>
      </w:r>
      <w:r w:rsidRPr="005D4B45">
        <w:rPr>
          <w:rFonts w:cstheme="minorHAnsi"/>
          <w:szCs w:val="20"/>
          <w:lang w:val="en-GB"/>
        </w:rPr>
        <w:lastRenderedPageBreak/>
        <w:t xml:space="preserve">their </w:t>
      </w:r>
      <w:r w:rsidR="00E54F47">
        <w:rPr>
          <w:rFonts w:cstheme="minorHAnsi"/>
          <w:szCs w:val="20"/>
          <w:lang w:val="en-GB"/>
        </w:rPr>
        <w:t>habitual p</w:t>
      </w:r>
      <w:r w:rsidR="002612AE">
        <w:rPr>
          <w:rFonts w:cstheme="minorHAnsi"/>
          <w:szCs w:val="20"/>
          <w:lang w:val="en-GB"/>
        </w:rPr>
        <w:t>l</w:t>
      </w:r>
      <w:r w:rsidR="00E54F47">
        <w:rPr>
          <w:rFonts w:cstheme="minorHAnsi"/>
          <w:szCs w:val="20"/>
          <w:lang w:val="en-GB"/>
        </w:rPr>
        <w:t>aces of residence</w:t>
      </w:r>
      <w:r w:rsidR="00121E7F">
        <w:rPr>
          <w:rFonts w:cstheme="minorHAnsi"/>
          <w:szCs w:val="20"/>
          <w:lang w:val="en-GB"/>
        </w:rPr>
        <w:t xml:space="preserve"> </w:t>
      </w:r>
      <w:r w:rsidRPr="005D4B45">
        <w:rPr>
          <w:rFonts w:cstheme="minorHAnsi"/>
          <w:szCs w:val="20"/>
          <w:lang w:val="en-GB"/>
        </w:rPr>
        <w:t xml:space="preserve">as they come from </w:t>
      </w:r>
      <w:r w:rsidR="00E54F47">
        <w:rPr>
          <w:rFonts w:cstheme="minorHAnsi"/>
          <w:szCs w:val="20"/>
          <w:lang w:val="en-GB"/>
        </w:rPr>
        <w:t>the areas</w:t>
      </w:r>
      <w:r w:rsidRPr="005D4B45">
        <w:rPr>
          <w:rFonts w:cstheme="minorHAnsi"/>
          <w:szCs w:val="20"/>
          <w:lang w:val="en-GB"/>
        </w:rPr>
        <w:t xml:space="preserve"> returned to Azerbaijan following the</w:t>
      </w:r>
      <w:r w:rsidR="00121E7F">
        <w:rPr>
          <w:rFonts w:cstheme="minorHAnsi"/>
          <w:szCs w:val="20"/>
          <w:lang w:val="en-GB"/>
        </w:rPr>
        <w:t xml:space="preserve"> </w:t>
      </w:r>
      <w:r w:rsidR="00E54F47">
        <w:rPr>
          <w:rFonts w:cstheme="minorHAnsi"/>
          <w:szCs w:val="20"/>
          <w:lang w:val="en-GB"/>
        </w:rPr>
        <w:t>end of hostilities</w:t>
      </w:r>
      <w:r w:rsidRPr="005D4B45">
        <w:rPr>
          <w:rFonts w:cstheme="minorHAnsi"/>
          <w:szCs w:val="20"/>
          <w:lang w:val="en-GB"/>
        </w:rPr>
        <w:t xml:space="preserve">. Intentions among persons displaced by the conflict who are still living in Armenia </w:t>
      </w:r>
      <w:r w:rsidRPr="003142E5">
        <w:rPr>
          <w:rFonts w:cstheme="minorHAnsi"/>
          <w:szCs w:val="20"/>
          <w:lang w:val="en-GB"/>
        </w:rPr>
        <w:t>to return to conflict-affected areas seem to be decreasing.</w:t>
      </w:r>
      <w:r w:rsidRPr="003142E5">
        <w:rPr>
          <w:rFonts w:cstheme="minorHAnsi"/>
          <w:szCs w:val="20"/>
          <w:vertAlign w:val="superscript"/>
          <w:lang w:val="en-GB"/>
        </w:rPr>
        <w:footnoteReference w:id="14"/>
      </w:r>
      <w:r w:rsidRPr="003142E5">
        <w:rPr>
          <w:rFonts w:cstheme="minorHAnsi"/>
          <w:szCs w:val="20"/>
          <w:lang w:val="en-GB"/>
        </w:rPr>
        <w:t xml:space="preserve"> Concerns regarding return prospects include security considerations, especially because of heavy mining, </w:t>
      </w:r>
      <w:r w:rsidR="00CC1AE3" w:rsidRPr="003142E5">
        <w:rPr>
          <w:rFonts w:cstheme="minorHAnsi"/>
          <w:szCs w:val="20"/>
          <w:lang w:val="en-GB"/>
        </w:rPr>
        <w:t xml:space="preserve">bad </w:t>
      </w:r>
      <w:r w:rsidRPr="003142E5">
        <w:rPr>
          <w:rFonts w:cstheme="minorHAnsi"/>
          <w:szCs w:val="20"/>
          <w:lang w:val="en-GB"/>
        </w:rPr>
        <w:t xml:space="preserve">housing conditions and the </w:t>
      </w:r>
      <w:r w:rsidR="00CC1AE3" w:rsidRPr="003142E5">
        <w:rPr>
          <w:rFonts w:cstheme="minorHAnsi"/>
          <w:szCs w:val="20"/>
          <w:lang w:val="en-GB"/>
        </w:rPr>
        <w:t xml:space="preserve">scarce </w:t>
      </w:r>
      <w:r w:rsidRPr="003142E5">
        <w:rPr>
          <w:rFonts w:cstheme="minorHAnsi"/>
          <w:szCs w:val="20"/>
          <w:lang w:val="en-GB"/>
        </w:rPr>
        <w:t xml:space="preserve">availability of livelihood </w:t>
      </w:r>
      <w:r w:rsidR="008F1716" w:rsidRPr="003142E5">
        <w:rPr>
          <w:rFonts w:cstheme="minorHAnsi"/>
          <w:szCs w:val="20"/>
          <w:lang w:val="en-GB"/>
        </w:rPr>
        <w:t xml:space="preserve">opportunities </w:t>
      </w:r>
      <w:r w:rsidRPr="003142E5">
        <w:rPr>
          <w:rFonts w:cstheme="minorHAnsi"/>
          <w:szCs w:val="20"/>
          <w:lang w:val="en-GB"/>
        </w:rPr>
        <w:t>and infrastructure.</w:t>
      </w:r>
      <w:r w:rsidR="00EF5FA0" w:rsidRPr="003142E5">
        <w:rPr>
          <w:rFonts w:cstheme="minorHAnsi"/>
          <w:szCs w:val="20"/>
          <w:lang w:val="en-GB"/>
        </w:rPr>
        <w:t xml:space="preserve"> </w:t>
      </w:r>
    </w:p>
    <w:p w14:paraId="16CB9970" w14:textId="77777777" w:rsidR="005D4B45" w:rsidRPr="003142E5" w:rsidRDefault="005D4B45" w:rsidP="005D4B45">
      <w:pPr>
        <w:spacing w:after="0" w:line="240" w:lineRule="auto"/>
        <w:jc w:val="both"/>
        <w:rPr>
          <w:rFonts w:cstheme="minorHAnsi"/>
          <w:szCs w:val="20"/>
          <w:lang w:val="en-GB"/>
        </w:rPr>
      </w:pPr>
    </w:p>
    <w:p w14:paraId="1BCA11EA" w14:textId="7605ACAE" w:rsidR="005D4B45" w:rsidRPr="003142E5" w:rsidRDefault="00BD7CDF" w:rsidP="005D4B45">
      <w:pPr>
        <w:numPr>
          <w:ilvl w:val="0"/>
          <w:numId w:val="2"/>
        </w:numPr>
        <w:tabs>
          <w:tab w:val="left" w:pos="1613"/>
        </w:tabs>
        <w:spacing w:after="0" w:line="240" w:lineRule="auto"/>
        <w:ind w:left="714" w:hanging="357"/>
        <w:jc w:val="both"/>
        <w:rPr>
          <w:rFonts w:cstheme="minorHAnsi"/>
          <w:szCs w:val="20"/>
          <w:lang w:val="en-GB"/>
        </w:rPr>
      </w:pPr>
      <w:r w:rsidRPr="003142E5">
        <w:rPr>
          <w:rFonts w:cstheme="minorHAnsi"/>
          <w:szCs w:val="20"/>
          <w:lang w:val="en-GB"/>
        </w:rPr>
        <w:t xml:space="preserve">In the Commissioner’s view, it is important </w:t>
      </w:r>
      <w:r w:rsidR="005D4B45" w:rsidRPr="003142E5">
        <w:rPr>
          <w:rFonts w:cstheme="minorHAnsi"/>
          <w:szCs w:val="20"/>
          <w:lang w:val="en-GB"/>
        </w:rPr>
        <w:t xml:space="preserve">to acknowledge the fact that a share of the population </w:t>
      </w:r>
      <w:r w:rsidRPr="003142E5">
        <w:rPr>
          <w:rFonts w:cstheme="minorHAnsi"/>
          <w:szCs w:val="20"/>
          <w:lang w:val="en-GB"/>
        </w:rPr>
        <w:t>who fle</w:t>
      </w:r>
      <w:r w:rsidR="002612AE" w:rsidRPr="003142E5">
        <w:rPr>
          <w:rFonts w:cstheme="minorHAnsi"/>
          <w:szCs w:val="20"/>
          <w:lang w:val="en-GB"/>
        </w:rPr>
        <w:t>d</w:t>
      </w:r>
      <w:r w:rsidRPr="003142E5">
        <w:rPr>
          <w:rFonts w:cstheme="minorHAnsi"/>
          <w:szCs w:val="20"/>
          <w:lang w:val="en-GB"/>
        </w:rPr>
        <w:t xml:space="preserve"> the conflict and found refuge in</w:t>
      </w:r>
      <w:r w:rsidR="003C5DEF">
        <w:rPr>
          <w:rFonts w:cstheme="minorHAnsi"/>
          <w:szCs w:val="20"/>
          <w:lang w:val="en-GB"/>
        </w:rPr>
        <w:t xml:space="preserve"> </w:t>
      </w:r>
      <w:r w:rsidR="00EF5FA0" w:rsidRPr="003142E5">
        <w:rPr>
          <w:rFonts w:cstheme="minorHAnsi"/>
          <w:szCs w:val="20"/>
          <w:lang w:val="en-GB"/>
        </w:rPr>
        <w:t>Armenia</w:t>
      </w:r>
      <w:r w:rsidR="005D4B45" w:rsidRPr="003142E5">
        <w:rPr>
          <w:rFonts w:cstheme="minorHAnsi"/>
          <w:szCs w:val="20"/>
          <w:lang w:val="en-GB"/>
        </w:rPr>
        <w:t xml:space="preserve"> will n</w:t>
      </w:r>
      <w:r w:rsidRPr="003142E5">
        <w:rPr>
          <w:rFonts w:cstheme="minorHAnsi"/>
          <w:szCs w:val="20"/>
          <w:lang w:val="en-GB"/>
        </w:rPr>
        <w:t>either</w:t>
      </w:r>
      <w:r w:rsidR="005D4B45" w:rsidRPr="003142E5">
        <w:rPr>
          <w:rFonts w:cstheme="minorHAnsi"/>
          <w:szCs w:val="20"/>
          <w:lang w:val="en-GB"/>
        </w:rPr>
        <w:t xml:space="preserve"> be able </w:t>
      </w:r>
      <w:r w:rsidRPr="003142E5">
        <w:rPr>
          <w:rFonts w:cstheme="minorHAnsi"/>
          <w:szCs w:val="20"/>
          <w:lang w:val="en-GB"/>
        </w:rPr>
        <w:t>n</w:t>
      </w:r>
      <w:r w:rsidR="005D4B45" w:rsidRPr="003142E5">
        <w:rPr>
          <w:rFonts w:cstheme="minorHAnsi"/>
          <w:szCs w:val="20"/>
          <w:lang w:val="en-GB"/>
        </w:rPr>
        <w:t xml:space="preserve">or willing to return to their </w:t>
      </w:r>
      <w:r w:rsidRPr="003142E5">
        <w:rPr>
          <w:rFonts w:cstheme="minorHAnsi"/>
          <w:szCs w:val="20"/>
          <w:lang w:val="en-GB"/>
        </w:rPr>
        <w:t>previous places of residence</w:t>
      </w:r>
      <w:r w:rsidR="003142E5" w:rsidRPr="003142E5">
        <w:rPr>
          <w:rFonts w:cstheme="minorHAnsi"/>
          <w:szCs w:val="20"/>
          <w:lang w:val="en-GB"/>
        </w:rPr>
        <w:t xml:space="preserve"> </w:t>
      </w:r>
      <w:r w:rsidR="005D4B45" w:rsidRPr="003142E5">
        <w:rPr>
          <w:rFonts w:cstheme="minorHAnsi"/>
          <w:szCs w:val="20"/>
          <w:lang w:val="en-GB"/>
        </w:rPr>
        <w:t xml:space="preserve">and that they will need support to integrate locally. There is a dire need for these persons to </w:t>
      </w:r>
      <w:r w:rsidR="008F1716" w:rsidRPr="003142E5">
        <w:rPr>
          <w:rFonts w:cstheme="minorHAnsi"/>
          <w:szCs w:val="20"/>
          <w:lang w:val="en-GB"/>
        </w:rPr>
        <w:t xml:space="preserve">have </w:t>
      </w:r>
      <w:r w:rsidR="005D4B45" w:rsidRPr="003142E5">
        <w:rPr>
          <w:rFonts w:cstheme="minorHAnsi"/>
          <w:szCs w:val="20"/>
          <w:lang w:val="en-GB"/>
        </w:rPr>
        <w:t>access to sustainable sources of income and livelihood, including employment but also agricultural land</w:t>
      </w:r>
      <w:r w:rsidR="00D132B3" w:rsidRPr="003142E5">
        <w:rPr>
          <w:rFonts w:cstheme="minorHAnsi"/>
          <w:szCs w:val="20"/>
          <w:lang w:val="en-GB"/>
        </w:rPr>
        <w:t>, especially as cash programme</w:t>
      </w:r>
      <w:r w:rsidR="008D7C57" w:rsidRPr="003142E5">
        <w:rPr>
          <w:rFonts w:cstheme="minorHAnsi"/>
          <w:szCs w:val="20"/>
          <w:lang w:val="en-GB"/>
        </w:rPr>
        <w:t>s</w:t>
      </w:r>
      <w:r w:rsidR="00D132B3" w:rsidRPr="003142E5">
        <w:rPr>
          <w:rFonts w:cstheme="minorHAnsi"/>
          <w:szCs w:val="20"/>
          <w:lang w:val="en-GB"/>
        </w:rPr>
        <w:t xml:space="preserve"> are being scaled down. </w:t>
      </w:r>
      <w:r w:rsidR="005D4B45" w:rsidRPr="003142E5">
        <w:rPr>
          <w:rFonts w:cstheme="minorHAnsi"/>
          <w:szCs w:val="20"/>
          <w:lang w:val="en-GB"/>
        </w:rPr>
        <w:t xml:space="preserve">Long-term housing solutions are also needed. </w:t>
      </w:r>
    </w:p>
    <w:p w14:paraId="1255E1BF" w14:textId="77777777" w:rsidR="00166912" w:rsidRPr="003142E5" w:rsidRDefault="00166912" w:rsidP="00166912">
      <w:pPr>
        <w:tabs>
          <w:tab w:val="left" w:pos="1613"/>
        </w:tabs>
        <w:spacing w:after="0" w:line="240" w:lineRule="auto"/>
        <w:jc w:val="both"/>
        <w:rPr>
          <w:rFonts w:cstheme="minorHAnsi"/>
          <w:szCs w:val="20"/>
          <w:lang w:val="en-GB"/>
        </w:rPr>
      </w:pPr>
    </w:p>
    <w:p w14:paraId="1F56F83F" w14:textId="61BE76D2" w:rsidR="00166912" w:rsidRPr="003142E5" w:rsidRDefault="00BD7CDF" w:rsidP="005D4B45">
      <w:pPr>
        <w:numPr>
          <w:ilvl w:val="0"/>
          <w:numId w:val="2"/>
        </w:numPr>
        <w:tabs>
          <w:tab w:val="left" w:pos="1613"/>
        </w:tabs>
        <w:spacing w:after="0" w:line="240" w:lineRule="auto"/>
        <w:ind w:left="714" w:hanging="357"/>
        <w:jc w:val="both"/>
        <w:rPr>
          <w:rFonts w:cstheme="minorHAnsi"/>
          <w:szCs w:val="20"/>
          <w:lang w:val="en-GB"/>
        </w:rPr>
      </w:pPr>
      <w:r w:rsidRPr="003142E5">
        <w:rPr>
          <w:rFonts w:cstheme="minorHAnsi"/>
          <w:szCs w:val="20"/>
        </w:rPr>
        <w:t xml:space="preserve">Anyone who has been displaced due to the conflict and </w:t>
      </w:r>
      <w:r w:rsidR="007D4219" w:rsidRPr="003142E5">
        <w:rPr>
          <w:rFonts w:cstheme="minorHAnsi"/>
          <w:szCs w:val="20"/>
        </w:rPr>
        <w:t xml:space="preserve">currently living </w:t>
      </w:r>
      <w:r w:rsidRPr="003142E5">
        <w:rPr>
          <w:rFonts w:cstheme="minorHAnsi"/>
          <w:szCs w:val="20"/>
        </w:rPr>
        <w:t>in</w:t>
      </w:r>
      <w:r w:rsidR="0070064D" w:rsidRPr="003142E5">
        <w:rPr>
          <w:rFonts w:cstheme="minorHAnsi"/>
          <w:szCs w:val="20"/>
        </w:rPr>
        <w:t xml:space="preserve"> Armenia or Azerbaijan</w:t>
      </w:r>
      <w:r w:rsidR="006D3E26">
        <w:rPr>
          <w:rFonts w:cstheme="minorHAnsi"/>
          <w:szCs w:val="20"/>
        </w:rPr>
        <w:t>,</w:t>
      </w:r>
      <w:r w:rsidR="007D4219" w:rsidRPr="003142E5">
        <w:rPr>
          <w:rFonts w:cstheme="minorHAnsi"/>
          <w:szCs w:val="20"/>
        </w:rPr>
        <w:t xml:space="preserve"> including </w:t>
      </w:r>
      <w:r w:rsidR="006D3E26">
        <w:rPr>
          <w:rFonts w:cstheme="minorHAnsi"/>
          <w:szCs w:val="20"/>
        </w:rPr>
        <w:t xml:space="preserve">in </w:t>
      </w:r>
      <w:r w:rsidR="007D4219" w:rsidRPr="003142E5">
        <w:rPr>
          <w:rFonts w:cstheme="minorHAnsi"/>
          <w:szCs w:val="20"/>
        </w:rPr>
        <w:t>areas affected by the conflict,</w:t>
      </w:r>
      <w:r w:rsidR="00166912" w:rsidRPr="003142E5">
        <w:rPr>
          <w:rFonts w:cstheme="minorHAnsi"/>
          <w:szCs w:val="20"/>
        </w:rPr>
        <w:t xml:space="preserve"> should not be coerced either directly or indirectly to return to their former homes</w:t>
      </w:r>
      <w:r w:rsidR="00FE6AFF" w:rsidRPr="003142E5">
        <w:rPr>
          <w:rFonts w:cstheme="minorHAnsi"/>
          <w:szCs w:val="20"/>
        </w:rPr>
        <w:t xml:space="preserve">, </w:t>
      </w:r>
      <w:proofErr w:type="gramStart"/>
      <w:r w:rsidR="00FE6AFF" w:rsidRPr="003142E5">
        <w:rPr>
          <w:rFonts w:cstheme="minorHAnsi"/>
          <w:szCs w:val="20"/>
        </w:rPr>
        <w:t>all the more</w:t>
      </w:r>
      <w:proofErr w:type="gramEnd"/>
      <w:r w:rsidR="00FE6AFF" w:rsidRPr="003142E5">
        <w:rPr>
          <w:rFonts w:cstheme="minorHAnsi"/>
          <w:szCs w:val="20"/>
        </w:rPr>
        <w:t xml:space="preserve"> so as </w:t>
      </w:r>
      <w:r w:rsidR="00166912" w:rsidRPr="003142E5">
        <w:rPr>
          <w:rFonts w:cstheme="minorHAnsi"/>
          <w:szCs w:val="20"/>
        </w:rPr>
        <w:t xml:space="preserve">many of them have gone through very traumatic experiences. </w:t>
      </w:r>
      <w:r w:rsidR="0070064D" w:rsidRPr="003142E5">
        <w:rPr>
          <w:rFonts w:cstheme="minorHAnsi"/>
          <w:szCs w:val="20"/>
        </w:rPr>
        <w:t>The Commissioner underlines that t</w:t>
      </w:r>
      <w:r w:rsidR="00166912" w:rsidRPr="003142E5">
        <w:rPr>
          <w:rFonts w:cstheme="minorHAnsi"/>
          <w:szCs w:val="20"/>
        </w:rPr>
        <w:t xml:space="preserve">he right to return is an individual one, thus only the person concerned may elect not to exercise it. </w:t>
      </w:r>
      <w:r w:rsidR="00755F08">
        <w:rPr>
          <w:rFonts w:cstheme="minorHAnsi"/>
          <w:szCs w:val="20"/>
        </w:rPr>
        <w:t xml:space="preserve">It is important </w:t>
      </w:r>
      <w:r w:rsidR="00C26AF4" w:rsidRPr="003142E5">
        <w:rPr>
          <w:rFonts w:cstheme="minorHAnsi"/>
          <w:szCs w:val="20"/>
        </w:rPr>
        <w:t xml:space="preserve">to ensure that claims of a right to return are resolved fairly, that individual holders of this right are permitted freely and in an informed manner to choose </w:t>
      </w:r>
      <w:proofErr w:type="gramStart"/>
      <w:r w:rsidR="00C26AF4" w:rsidRPr="003142E5">
        <w:rPr>
          <w:rFonts w:cstheme="minorHAnsi"/>
          <w:szCs w:val="20"/>
        </w:rPr>
        <w:t>whether or not</w:t>
      </w:r>
      <w:proofErr w:type="gramEnd"/>
      <w:r w:rsidR="00C26AF4" w:rsidRPr="003142E5">
        <w:rPr>
          <w:rFonts w:cstheme="minorHAnsi"/>
          <w:szCs w:val="20"/>
        </w:rPr>
        <w:t xml:space="preserve"> to exercise it, and that returns proceed in an orderly manner, without arbitrary or unlawful time limitations. </w:t>
      </w:r>
      <w:r w:rsidR="0070064D" w:rsidRPr="003142E5">
        <w:rPr>
          <w:rFonts w:cstheme="minorHAnsi"/>
          <w:szCs w:val="20"/>
        </w:rPr>
        <w:t xml:space="preserve">Respecting the choice of the individual </w:t>
      </w:r>
      <w:r w:rsidR="00CC1AE3" w:rsidRPr="003142E5">
        <w:rPr>
          <w:rFonts w:cstheme="minorHAnsi"/>
          <w:szCs w:val="20"/>
        </w:rPr>
        <w:t xml:space="preserve">displaced person </w:t>
      </w:r>
      <w:proofErr w:type="gramStart"/>
      <w:r w:rsidR="0070064D" w:rsidRPr="003142E5">
        <w:rPr>
          <w:rFonts w:cstheme="minorHAnsi"/>
          <w:szCs w:val="20"/>
        </w:rPr>
        <w:t>has to</w:t>
      </w:r>
      <w:proofErr w:type="gramEnd"/>
      <w:r w:rsidR="0070064D" w:rsidRPr="003142E5">
        <w:rPr>
          <w:rFonts w:cstheme="minorHAnsi"/>
          <w:szCs w:val="20"/>
        </w:rPr>
        <w:t xml:space="preserve"> be the guiding principle, in accordance with the 1998 UN </w:t>
      </w:r>
      <w:bookmarkStart w:id="10" w:name="_Hlk85709236"/>
      <w:r w:rsidR="0070064D" w:rsidRPr="003142E5">
        <w:rPr>
          <w:rFonts w:cstheme="minorHAnsi"/>
          <w:szCs w:val="20"/>
        </w:rPr>
        <w:t>Guiding Principles on Internal Displacement</w:t>
      </w:r>
      <w:bookmarkEnd w:id="10"/>
      <w:r w:rsidR="0070064D" w:rsidRPr="003142E5">
        <w:rPr>
          <w:rFonts w:cstheme="minorHAnsi"/>
          <w:szCs w:val="20"/>
        </w:rPr>
        <w:t>.</w:t>
      </w:r>
      <w:r w:rsidR="00054D6C">
        <w:rPr>
          <w:rStyle w:val="FootnoteReference"/>
          <w:rFonts w:cstheme="minorHAnsi"/>
          <w:szCs w:val="20"/>
        </w:rPr>
        <w:footnoteReference w:id="15"/>
      </w:r>
    </w:p>
    <w:p w14:paraId="72AF5048" w14:textId="77777777" w:rsidR="00D132B3" w:rsidRPr="003142E5" w:rsidRDefault="00D132B3" w:rsidP="00D132B3">
      <w:pPr>
        <w:tabs>
          <w:tab w:val="left" w:pos="1613"/>
        </w:tabs>
        <w:spacing w:after="0" w:line="240" w:lineRule="auto"/>
        <w:ind w:left="502"/>
        <w:jc w:val="both"/>
        <w:rPr>
          <w:rFonts w:cstheme="minorHAnsi"/>
          <w:szCs w:val="20"/>
          <w:lang w:val="en-GB"/>
        </w:rPr>
      </w:pPr>
    </w:p>
    <w:p w14:paraId="6B6D0CD7" w14:textId="687AA65B" w:rsidR="002C1F8F" w:rsidRPr="009269CA" w:rsidRDefault="0070064D" w:rsidP="002C1F8F">
      <w:pPr>
        <w:numPr>
          <w:ilvl w:val="0"/>
          <w:numId w:val="2"/>
        </w:numPr>
        <w:tabs>
          <w:tab w:val="left" w:pos="1613"/>
        </w:tabs>
        <w:spacing w:after="0" w:line="240" w:lineRule="auto"/>
        <w:ind w:left="714" w:hanging="357"/>
        <w:jc w:val="both"/>
        <w:rPr>
          <w:rFonts w:cstheme="minorHAnsi"/>
          <w:szCs w:val="20"/>
        </w:rPr>
      </w:pPr>
      <w:r w:rsidRPr="003142E5">
        <w:rPr>
          <w:rFonts w:cstheme="minorHAnsi"/>
          <w:szCs w:val="20"/>
          <w:lang w:val="en-GB"/>
        </w:rPr>
        <w:t xml:space="preserve">To ensure that the choice is informed, </w:t>
      </w:r>
      <w:r w:rsidR="00D132B3" w:rsidRPr="003142E5">
        <w:rPr>
          <w:rFonts w:cstheme="minorHAnsi"/>
          <w:szCs w:val="20"/>
          <w:lang w:val="en-GB"/>
        </w:rPr>
        <w:t>information on mines and unexploded ordnances</w:t>
      </w:r>
      <w:r w:rsidRPr="003142E5">
        <w:rPr>
          <w:rFonts w:cstheme="minorHAnsi"/>
          <w:szCs w:val="20"/>
          <w:lang w:val="en-GB"/>
        </w:rPr>
        <w:t xml:space="preserve"> should be provided, as well as on </w:t>
      </w:r>
      <w:r w:rsidR="005B321C" w:rsidRPr="003142E5">
        <w:rPr>
          <w:rFonts w:cstheme="minorHAnsi"/>
          <w:szCs w:val="20"/>
          <w:lang w:val="en-GB"/>
        </w:rPr>
        <w:t xml:space="preserve">the state of play as to </w:t>
      </w:r>
      <w:r w:rsidR="00755F08" w:rsidRPr="00C640CE">
        <w:rPr>
          <w:rFonts w:cstheme="minorHAnsi"/>
          <w:szCs w:val="20"/>
          <w:lang w:val="en-GB"/>
        </w:rPr>
        <w:t>restoration</w:t>
      </w:r>
      <w:r w:rsidR="00C640CE">
        <w:rPr>
          <w:rFonts w:cstheme="minorHAnsi"/>
          <w:szCs w:val="20"/>
          <w:lang w:val="en-GB"/>
        </w:rPr>
        <w:t xml:space="preserve"> of </w:t>
      </w:r>
      <w:r w:rsidR="00D132B3" w:rsidRPr="003142E5">
        <w:rPr>
          <w:rFonts w:cstheme="minorHAnsi"/>
          <w:szCs w:val="20"/>
          <w:lang w:val="en-GB"/>
        </w:rPr>
        <w:t xml:space="preserve">housing and infrastructure destroyed during the conflict and access to vital services such as health care and education. </w:t>
      </w:r>
      <w:r w:rsidR="00F23A7D" w:rsidRPr="003142E5">
        <w:rPr>
          <w:rFonts w:cstheme="minorHAnsi"/>
          <w:szCs w:val="20"/>
          <w:lang w:val="en-GB"/>
        </w:rPr>
        <w:t xml:space="preserve">As stressed by UNHCR, under no circumstances should return be encouraged or compelled to areas where the returnees’ life, safety, </w:t>
      </w:r>
      <w:proofErr w:type="gramStart"/>
      <w:r w:rsidR="00F23A7D" w:rsidRPr="003142E5">
        <w:rPr>
          <w:rFonts w:cstheme="minorHAnsi"/>
          <w:szCs w:val="20"/>
          <w:lang w:val="en-GB"/>
        </w:rPr>
        <w:t>liberty</w:t>
      </w:r>
      <w:proofErr w:type="gramEnd"/>
      <w:r w:rsidR="00F23A7D" w:rsidRPr="003142E5">
        <w:rPr>
          <w:rFonts w:cstheme="minorHAnsi"/>
          <w:szCs w:val="20"/>
          <w:lang w:val="en-GB"/>
        </w:rPr>
        <w:t xml:space="preserve"> or health would be at risk.</w:t>
      </w:r>
      <w:r w:rsidR="00F23A7D" w:rsidRPr="003142E5">
        <w:rPr>
          <w:rStyle w:val="FootnoteReference"/>
          <w:rFonts w:cstheme="minorHAnsi"/>
          <w:szCs w:val="20"/>
          <w:lang w:val="en-GB"/>
        </w:rPr>
        <w:footnoteReference w:id="16"/>
      </w:r>
      <w:r w:rsidR="00F23A7D" w:rsidRPr="003142E5">
        <w:rPr>
          <w:rFonts w:cstheme="minorHAnsi"/>
          <w:szCs w:val="20"/>
          <w:lang w:val="en-GB"/>
        </w:rPr>
        <w:t xml:space="preserve"> </w:t>
      </w:r>
      <w:r w:rsidRPr="003142E5">
        <w:rPr>
          <w:rFonts w:cstheme="minorHAnsi"/>
          <w:szCs w:val="20"/>
          <w:lang w:val="en-GB"/>
        </w:rPr>
        <w:t xml:space="preserve">A sustainable return </w:t>
      </w:r>
      <w:r w:rsidR="00D132B3" w:rsidRPr="003142E5">
        <w:rPr>
          <w:rFonts w:cstheme="minorHAnsi"/>
          <w:szCs w:val="20"/>
          <w:lang w:val="en-GB"/>
        </w:rPr>
        <w:t xml:space="preserve">implies access to income, including jobs and agricultural land. </w:t>
      </w:r>
      <w:r w:rsidR="002C1F8F" w:rsidRPr="003142E5">
        <w:rPr>
          <w:rFonts w:cstheme="minorHAnsi"/>
          <w:szCs w:val="20"/>
        </w:rPr>
        <w:t xml:space="preserve">Property rights issues </w:t>
      </w:r>
      <w:r w:rsidR="00FE6AFF" w:rsidRPr="003142E5">
        <w:rPr>
          <w:rFonts w:cstheme="minorHAnsi"/>
          <w:szCs w:val="20"/>
        </w:rPr>
        <w:t xml:space="preserve">will </w:t>
      </w:r>
      <w:r w:rsidR="00C945F0" w:rsidRPr="003142E5">
        <w:rPr>
          <w:rFonts w:cstheme="minorHAnsi"/>
          <w:szCs w:val="20"/>
        </w:rPr>
        <w:t xml:space="preserve">also </w:t>
      </w:r>
      <w:r w:rsidR="00FE6AFF" w:rsidRPr="003142E5">
        <w:rPr>
          <w:rFonts w:cstheme="minorHAnsi"/>
          <w:szCs w:val="20"/>
        </w:rPr>
        <w:t xml:space="preserve">need to be </w:t>
      </w:r>
      <w:r w:rsidR="002C1F8F" w:rsidRPr="003142E5">
        <w:rPr>
          <w:rFonts w:cstheme="minorHAnsi"/>
          <w:szCs w:val="20"/>
        </w:rPr>
        <w:t>addressed</w:t>
      </w:r>
      <w:r w:rsidR="0055302F" w:rsidRPr="003142E5">
        <w:rPr>
          <w:rFonts w:cstheme="minorHAnsi"/>
          <w:szCs w:val="20"/>
        </w:rPr>
        <w:t xml:space="preserve"> </w:t>
      </w:r>
      <w:r w:rsidR="00C945F0" w:rsidRPr="003142E5">
        <w:rPr>
          <w:rFonts w:cstheme="minorHAnsi"/>
          <w:szCs w:val="20"/>
        </w:rPr>
        <w:t>in that context</w:t>
      </w:r>
      <w:r w:rsidR="00A44DC6" w:rsidRPr="003142E5">
        <w:rPr>
          <w:rFonts w:cstheme="minorHAnsi"/>
          <w:szCs w:val="20"/>
        </w:rPr>
        <w:t>, with the establishment of legal processes to restore property rights or to receive compensation.</w:t>
      </w:r>
      <w:r w:rsidR="006E0263">
        <w:rPr>
          <w:rStyle w:val="FootnoteReference"/>
          <w:rFonts w:cstheme="minorHAnsi"/>
          <w:szCs w:val="20"/>
        </w:rPr>
        <w:footnoteReference w:id="17"/>
      </w:r>
      <w:r w:rsidR="006E0263">
        <w:rPr>
          <w:rFonts w:cstheme="minorHAnsi"/>
          <w:szCs w:val="20"/>
        </w:rPr>
        <w:t xml:space="preserve"> </w:t>
      </w:r>
    </w:p>
    <w:p w14:paraId="4B293E16" w14:textId="6879F2DF" w:rsidR="00D132B3" w:rsidRPr="003142E5" w:rsidRDefault="00D132B3" w:rsidP="002C1F8F">
      <w:pPr>
        <w:tabs>
          <w:tab w:val="left" w:pos="1613"/>
        </w:tabs>
        <w:spacing w:after="0" w:line="240" w:lineRule="auto"/>
        <w:jc w:val="both"/>
        <w:rPr>
          <w:rFonts w:cstheme="minorHAnsi"/>
          <w:szCs w:val="20"/>
          <w:lang w:val="en-GB"/>
        </w:rPr>
      </w:pPr>
    </w:p>
    <w:p w14:paraId="08DF3F51" w14:textId="6B171767" w:rsidR="00054D6C" w:rsidRPr="006E0263" w:rsidRDefault="00D132B3" w:rsidP="00C54120">
      <w:pPr>
        <w:numPr>
          <w:ilvl w:val="0"/>
          <w:numId w:val="2"/>
        </w:numPr>
        <w:tabs>
          <w:tab w:val="left" w:pos="1613"/>
        </w:tabs>
        <w:spacing w:after="0" w:line="240" w:lineRule="auto"/>
        <w:ind w:left="714" w:hanging="357"/>
        <w:jc w:val="both"/>
        <w:rPr>
          <w:rFonts w:cstheme="minorHAnsi"/>
          <w:szCs w:val="20"/>
          <w:lang w:val="en-GB"/>
        </w:rPr>
      </w:pPr>
      <w:r w:rsidRPr="006E0263">
        <w:rPr>
          <w:rFonts w:cstheme="minorHAnsi"/>
          <w:szCs w:val="20"/>
          <w:lang w:val="en-GB"/>
        </w:rPr>
        <w:t xml:space="preserve">At the same time, those who </w:t>
      </w:r>
      <w:r w:rsidR="00BF0D3B" w:rsidRPr="006E0263">
        <w:rPr>
          <w:rFonts w:cstheme="minorHAnsi"/>
          <w:szCs w:val="20"/>
          <w:lang w:val="en-GB"/>
        </w:rPr>
        <w:t xml:space="preserve">choose not </w:t>
      </w:r>
      <w:r w:rsidRPr="006E0263">
        <w:rPr>
          <w:rFonts w:cstheme="minorHAnsi"/>
          <w:szCs w:val="20"/>
          <w:lang w:val="en-GB"/>
        </w:rPr>
        <w:t xml:space="preserve">to return should </w:t>
      </w:r>
      <w:r w:rsidR="00BF0D3B" w:rsidRPr="006E0263">
        <w:rPr>
          <w:rFonts w:cstheme="minorHAnsi"/>
          <w:szCs w:val="20"/>
          <w:lang w:val="en-GB"/>
        </w:rPr>
        <w:t>be provided with an effective opportunity to integrate in their host communities or another community of their choice</w:t>
      </w:r>
      <w:r w:rsidRPr="006E0263">
        <w:rPr>
          <w:rFonts w:cstheme="minorHAnsi"/>
          <w:szCs w:val="20"/>
          <w:lang w:val="en-GB"/>
        </w:rPr>
        <w:t xml:space="preserve">. Now that the period of emergency response is over it is important to adequately assess the needs of these persons. The Commissioner considers that </w:t>
      </w:r>
      <w:r w:rsidR="005B321C" w:rsidRPr="006E0263">
        <w:rPr>
          <w:rFonts w:cstheme="minorHAnsi"/>
          <w:szCs w:val="20"/>
          <w:lang w:val="en-GB"/>
        </w:rPr>
        <w:t>a</w:t>
      </w:r>
      <w:r w:rsidR="00BF0D3B" w:rsidRPr="006E0263">
        <w:rPr>
          <w:rFonts w:cstheme="minorHAnsi"/>
          <w:szCs w:val="20"/>
          <w:lang w:val="en-GB"/>
        </w:rPr>
        <w:t>ction</w:t>
      </w:r>
      <w:r w:rsidR="00474963" w:rsidRPr="006E0263">
        <w:rPr>
          <w:rFonts w:cstheme="minorHAnsi"/>
          <w:szCs w:val="20"/>
          <w:lang w:val="en-GB"/>
        </w:rPr>
        <w:t xml:space="preserve"> </w:t>
      </w:r>
      <w:r w:rsidR="005B321C" w:rsidRPr="006E0263">
        <w:rPr>
          <w:rFonts w:cstheme="minorHAnsi"/>
          <w:szCs w:val="20"/>
          <w:lang w:val="en-GB"/>
        </w:rPr>
        <w:t>p</w:t>
      </w:r>
      <w:r w:rsidRPr="006E0263">
        <w:rPr>
          <w:rFonts w:cstheme="minorHAnsi"/>
          <w:szCs w:val="20"/>
          <w:lang w:val="en-GB"/>
        </w:rPr>
        <w:t>lans</w:t>
      </w:r>
      <w:r w:rsidR="00BF0D3B" w:rsidRPr="006E0263">
        <w:rPr>
          <w:rFonts w:cstheme="minorHAnsi"/>
          <w:szCs w:val="20"/>
          <w:lang w:val="en-GB"/>
        </w:rPr>
        <w:t xml:space="preserve"> and other relevant policy initiatives addressing the needs of the</w:t>
      </w:r>
      <w:r w:rsidRPr="006E0263">
        <w:rPr>
          <w:rFonts w:cstheme="minorHAnsi"/>
          <w:szCs w:val="20"/>
          <w:lang w:val="en-GB"/>
        </w:rPr>
        <w:t xml:space="preserve"> persons displaced by the conflict and </w:t>
      </w:r>
      <w:r w:rsidR="00BF0D3B" w:rsidRPr="006E0263">
        <w:rPr>
          <w:rFonts w:cstheme="minorHAnsi"/>
          <w:szCs w:val="20"/>
          <w:lang w:val="en-GB"/>
        </w:rPr>
        <w:t xml:space="preserve">their </w:t>
      </w:r>
      <w:r w:rsidRPr="006E0263">
        <w:rPr>
          <w:rFonts w:cstheme="minorHAnsi"/>
          <w:szCs w:val="20"/>
          <w:lang w:val="en-GB"/>
        </w:rPr>
        <w:t>host communities should be prepared</w:t>
      </w:r>
      <w:r w:rsidR="00BF0D3B" w:rsidRPr="006E0263">
        <w:rPr>
          <w:rFonts w:cstheme="minorHAnsi"/>
          <w:szCs w:val="20"/>
          <w:lang w:val="en-GB"/>
        </w:rPr>
        <w:t xml:space="preserve"> as a matter of priority. They should include concrete measures aimed at facilitating their access to housing, </w:t>
      </w:r>
      <w:proofErr w:type="gramStart"/>
      <w:r w:rsidR="00BF0D3B" w:rsidRPr="006E0263">
        <w:rPr>
          <w:rFonts w:cstheme="minorHAnsi"/>
          <w:szCs w:val="20"/>
          <w:lang w:val="en-GB"/>
        </w:rPr>
        <w:t>employment</w:t>
      </w:r>
      <w:proofErr w:type="gramEnd"/>
      <w:r w:rsidR="00BF0D3B" w:rsidRPr="006E0263">
        <w:rPr>
          <w:rFonts w:cstheme="minorHAnsi"/>
          <w:szCs w:val="20"/>
          <w:lang w:val="en-GB"/>
        </w:rPr>
        <w:t xml:space="preserve"> and other livelihood opportunities, as well as access to education, healthcare and </w:t>
      </w:r>
      <w:r w:rsidR="00DB7863" w:rsidRPr="006E0263">
        <w:rPr>
          <w:rFonts w:cstheme="minorHAnsi"/>
          <w:szCs w:val="20"/>
          <w:lang w:val="en-GB"/>
        </w:rPr>
        <w:t>their participation in the decision-making processes affecting their situation</w:t>
      </w:r>
      <w:r w:rsidRPr="006E0263">
        <w:rPr>
          <w:rFonts w:cstheme="minorHAnsi"/>
          <w:szCs w:val="20"/>
          <w:lang w:val="en-GB"/>
        </w:rPr>
        <w:t>.</w:t>
      </w:r>
      <w:r w:rsidR="00561CB0" w:rsidRPr="006E0263">
        <w:rPr>
          <w:rFonts w:cstheme="minorHAnsi"/>
          <w:szCs w:val="20"/>
          <w:lang w:val="en-GB"/>
        </w:rPr>
        <w:t xml:space="preserve"> </w:t>
      </w:r>
    </w:p>
    <w:p w14:paraId="174331EA" w14:textId="7CD6BBBD" w:rsidR="00D00170" w:rsidRPr="003142E5" w:rsidRDefault="00D00170" w:rsidP="005D4B45">
      <w:pPr>
        <w:spacing w:after="0" w:line="240" w:lineRule="auto"/>
        <w:jc w:val="both"/>
        <w:rPr>
          <w:rFonts w:cstheme="minorHAnsi"/>
          <w:szCs w:val="20"/>
          <w:lang w:val="en-GB"/>
        </w:rPr>
      </w:pPr>
    </w:p>
    <w:p w14:paraId="67BA15AA" w14:textId="7F46D1D8" w:rsidR="000725B6" w:rsidRDefault="000725B6" w:rsidP="000725B6">
      <w:pPr>
        <w:pStyle w:val="ListParagraph"/>
        <w:autoSpaceDE w:val="0"/>
        <w:autoSpaceDN w:val="0"/>
        <w:adjustRightInd w:val="0"/>
        <w:spacing w:after="0" w:line="240" w:lineRule="auto"/>
        <w:ind w:left="1134"/>
        <w:contextualSpacing w:val="0"/>
        <w:jc w:val="both"/>
        <w:rPr>
          <w:rFonts w:cstheme="minorHAnsi"/>
          <w:szCs w:val="20"/>
          <w:lang w:val="en-GB"/>
        </w:rPr>
      </w:pPr>
    </w:p>
    <w:p w14:paraId="5AED3F15" w14:textId="5A99ECF5" w:rsidR="009B38F2" w:rsidRDefault="009B38F2" w:rsidP="000725B6">
      <w:pPr>
        <w:pStyle w:val="ListParagraph"/>
        <w:autoSpaceDE w:val="0"/>
        <w:autoSpaceDN w:val="0"/>
        <w:adjustRightInd w:val="0"/>
        <w:spacing w:after="0" w:line="240" w:lineRule="auto"/>
        <w:ind w:left="1134"/>
        <w:contextualSpacing w:val="0"/>
        <w:jc w:val="both"/>
        <w:rPr>
          <w:rFonts w:cstheme="minorHAnsi"/>
          <w:szCs w:val="20"/>
          <w:lang w:val="en-GB"/>
        </w:rPr>
      </w:pPr>
    </w:p>
    <w:p w14:paraId="5E245529" w14:textId="32E3DDC9" w:rsidR="009B38F2" w:rsidRDefault="009B38F2" w:rsidP="000725B6">
      <w:pPr>
        <w:pStyle w:val="ListParagraph"/>
        <w:autoSpaceDE w:val="0"/>
        <w:autoSpaceDN w:val="0"/>
        <w:adjustRightInd w:val="0"/>
        <w:spacing w:after="0" w:line="240" w:lineRule="auto"/>
        <w:ind w:left="1134"/>
        <w:contextualSpacing w:val="0"/>
        <w:jc w:val="both"/>
        <w:rPr>
          <w:rFonts w:cstheme="minorHAnsi"/>
          <w:szCs w:val="20"/>
          <w:lang w:val="en-GB"/>
        </w:rPr>
      </w:pPr>
    </w:p>
    <w:p w14:paraId="6AC04454" w14:textId="6D0A4253" w:rsidR="009B38F2" w:rsidRDefault="009B38F2" w:rsidP="000725B6">
      <w:pPr>
        <w:pStyle w:val="ListParagraph"/>
        <w:autoSpaceDE w:val="0"/>
        <w:autoSpaceDN w:val="0"/>
        <w:adjustRightInd w:val="0"/>
        <w:spacing w:after="0" w:line="240" w:lineRule="auto"/>
        <w:ind w:left="1134"/>
        <w:contextualSpacing w:val="0"/>
        <w:jc w:val="both"/>
        <w:rPr>
          <w:rFonts w:cstheme="minorHAnsi"/>
          <w:szCs w:val="20"/>
          <w:lang w:val="en-GB"/>
        </w:rPr>
      </w:pPr>
    </w:p>
    <w:p w14:paraId="3D9F5500" w14:textId="248CBBBD" w:rsidR="009B38F2" w:rsidRDefault="009B38F2" w:rsidP="000725B6">
      <w:pPr>
        <w:pStyle w:val="ListParagraph"/>
        <w:autoSpaceDE w:val="0"/>
        <w:autoSpaceDN w:val="0"/>
        <w:adjustRightInd w:val="0"/>
        <w:spacing w:after="0" w:line="240" w:lineRule="auto"/>
        <w:ind w:left="1134"/>
        <w:contextualSpacing w:val="0"/>
        <w:jc w:val="both"/>
        <w:rPr>
          <w:rFonts w:cstheme="minorHAnsi"/>
          <w:szCs w:val="20"/>
          <w:lang w:val="en-GB"/>
        </w:rPr>
      </w:pPr>
    </w:p>
    <w:p w14:paraId="460B1A3A" w14:textId="77777777" w:rsidR="009B38F2" w:rsidRPr="000725B6" w:rsidRDefault="009B38F2" w:rsidP="000725B6">
      <w:pPr>
        <w:pStyle w:val="ListParagraph"/>
        <w:autoSpaceDE w:val="0"/>
        <w:autoSpaceDN w:val="0"/>
        <w:adjustRightInd w:val="0"/>
        <w:spacing w:after="0" w:line="240" w:lineRule="auto"/>
        <w:ind w:left="1134"/>
        <w:contextualSpacing w:val="0"/>
        <w:jc w:val="both"/>
        <w:rPr>
          <w:rFonts w:cstheme="minorHAnsi"/>
          <w:szCs w:val="20"/>
          <w:lang w:val="en-GB"/>
        </w:rPr>
      </w:pPr>
    </w:p>
    <w:p w14:paraId="0AAB85C3" w14:textId="4AF9AEF7" w:rsidR="00D00170" w:rsidRDefault="00D00170" w:rsidP="00BC1197">
      <w:pPr>
        <w:pStyle w:val="ListParagraph"/>
        <w:numPr>
          <w:ilvl w:val="0"/>
          <w:numId w:val="19"/>
        </w:numPr>
        <w:autoSpaceDE w:val="0"/>
        <w:autoSpaceDN w:val="0"/>
        <w:adjustRightInd w:val="0"/>
        <w:spacing w:after="0" w:line="240" w:lineRule="auto"/>
        <w:ind w:left="1134" w:hanging="425"/>
        <w:contextualSpacing w:val="0"/>
        <w:jc w:val="both"/>
        <w:rPr>
          <w:rFonts w:cstheme="minorHAnsi"/>
          <w:szCs w:val="20"/>
          <w:lang w:val="en-GB"/>
        </w:rPr>
      </w:pPr>
      <w:r w:rsidRPr="00D00170">
        <w:rPr>
          <w:rFonts w:eastAsiaTheme="minorEastAsia" w:cs="Arial"/>
          <w:b/>
          <w:bCs/>
          <w:szCs w:val="20"/>
          <w:lang w:val="en-GB" w:eastAsia="zh-CN"/>
        </w:rPr>
        <w:lastRenderedPageBreak/>
        <w:t xml:space="preserve">The right to be protected against the danger of mines and explosive remnants of war </w:t>
      </w:r>
    </w:p>
    <w:p w14:paraId="0A7083FE" w14:textId="5762FEAF" w:rsidR="00D00170" w:rsidRDefault="00023E6A" w:rsidP="00D00170">
      <w:pPr>
        <w:pStyle w:val="ListParagraph"/>
        <w:spacing w:after="0" w:line="240" w:lineRule="auto"/>
        <w:ind w:left="363"/>
        <w:jc w:val="both"/>
        <w:rPr>
          <w:rFonts w:cstheme="minorHAnsi"/>
          <w:szCs w:val="20"/>
          <w:lang w:val="en-GB"/>
        </w:rPr>
      </w:pPr>
      <w:r w:rsidRPr="00023E6A">
        <w:rPr>
          <w:rFonts w:asciiTheme="minorHAnsi" w:hAnsiTheme="minorHAnsi" w:cstheme="minorHAnsi"/>
          <w:b/>
          <w:bCs/>
          <w:noProof/>
          <w:color w:val="1F497D" w:themeColor="text2"/>
          <w:szCs w:val="20"/>
        </w:rPr>
        <mc:AlternateContent>
          <mc:Choice Requires="wps">
            <w:drawing>
              <wp:anchor distT="0" distB="0" distL="114300" distR="114300" simplePos="0" relativeHeight="251663360" behindDoc="0" locked="0" layoutInCell="1" allowOverlap="1" wp14:anchorId="374DAFA6" wp14:editId="3F2EABAB">
                <wp:simplePos x="0" y="0"/>
                <wp:positionH relativeFrom="column">
                  <wp:posOffset>261620</wp:posOffset>
                </wp:positionH>
                <wp:positionV relativeFrom="paragraph">
                  <wp:posOffset>139065</wp:posOffset>
                </wp:positionV>
                <wp:extent cx="5753100" cy="866775"/>
                <wp:effectExtent l="38100" t="38100" r="95250" b="104775"/>
                <wp:wrapNone/>
                <wp:docPr id="4" name="Zone de texte 6"/>
                <wp:cNvGraphicFramePr/>
                <a:graphic xmlns:a="http://schemas.openxmlformats.org/drawingml/2006/main">
                  <a:graphicData uri="http://schemas.microsoft.com/office/word/2010/wordprocessingShape">
                    <wps:wsp>
                      <wps:cNvSpPr txBox="1"/>
                      <wps:spPr>
                        <a:xfrm>
                          <a:off x="0" y="0"/>
                          <a:ext cx="5753100" cy="866775"/>
                        </a:xfrm>
                        <a:prstGeom prst="rect">
                          <a:avLst/>
                        </a:prstGeom>
                        <a:solidFill>
                          <a:srgbClr val="F9F0DB"/>
                        </a:solidFill>
                        <a:ln w="6350">
                          <a:noFill/>
                        </a:ln>
                        <a:effectLst>
                          <a:outerShdw blurRad="50800" dist="38100" dir="2700000" algn="tl" rotWithShape="0">
                            <a:prstClr val="black">
                              <a:alpha val="40000"/>
                            </a:prstClr>
                          </a:outerShdw>
                        </a:effectLst>
                      </wps:spPr>
                      <wps:txbx>
                        <w:txbxContent>
                          <w:p w14:paraId="724CE219" w14:textId="77777777" w:rsidR="009269CA" w:rsidRPr="001655B3" w:rsidRDefault="009269CA" w:rsidP="00023E6A">
                            <w:pPr>
                              <w:tabs>
                                <w:tab w:val="left" w:pos="1613"/>
                              </w:tabs>
                              <w:spacing w:after="0" w:line="240" w:lineRule="auto"/>
                              <w:jc w:val="both"/>
                              <w:rPr>
                                <w:rFonts w:cstheme="minorHAnsi"/>
                                <w:b/>
                                <w:bCs/>
                                <w:szCs w:val="20"/>
                                <w:lang w:val="en-GB"/>
                              </w:rPr>
                            </w:pPr>
                            <w:r w:rsidRPr="001655B3">
                              <w:rPr>
                                <w:rFonts w:cstheme="minorHAnsi"/>
                                <w:b/>
                                <w:bCs/>
                                <w:szCs w:val="20"/>
                                <w:lang w:val="en-GB"/>
                              </w:rPr>
                              <w:t xml:space="preserve">Recommendation no. 3: </w:t>
                            </w:r>
                          </w:p>
                          <w:p w14:paraId="7841A2F7" w14:textId="0B097F58" w:rsidR="009269CA" w:rsidRPr="00023E6A" w:rsidRDefault="009269CA" w:rsidP="00EF15D9">
                            <w:pPr>
                              <w:spacing w:after="0" w:line="240" w:lineRule="auto"/>
                              <w:jc w:val="both"/>
                              <w:rPr>
                                <w:rFonts w:cstheme="minorHAnsi"/>
                                <w:bCs/>
                                <w:i/>
                                <w:color w:val="1F497D" w:themeColor="text2"/>
                                <w:szCs w:val="20"/>
                              </w:rPr>
                            </w:pPr>
                            <w:r w:rsidRPr="003142E5">
                              <w:rPr>
                                <w:rFonts w:cstheme="minorHAnsi"/>
                                <w:szCs w:val="20"/>
                                <w:lang w:val="en-GB"/>
                              </w:rPr>
                              <w:t xml:space="preserve">To ensure effective protection of the people residing in the conflict-affected areas from </w:t>
                            </w:r>
                            <w:r w:rsidRPr="001655B3">
                              <w:rPr>
                                <w:rFonts w:cstheme="minorHAnsi"/>
                                <w:szCs w:val="20"/>
                                <w:lang w:val="en-GB"/>
                              </w:rPr>
                              <w:t xml:space="preserve">unexploded and abandoned </w:t>
                            </w:r>
                            <w:r w:rsidRPr="003142E5">
                              <w:rPr>
                                <w:rFonts w:cstheme="minorHAnsi"/>
                                <w:szCs w:val="20"/>
                                <w:lang w:val="en-GB"/>
                              </w:rPr>
                              <w:t>mines and explosive remnants of war</w:t>
                            </w:r>
                            <w:r w:rsidRPr="001655B3">
                              <w:rPr>
                                <w:rFonts w:cstheme="minorHAnsi"/>
                                <w:szCs w:val="20"/>
                                <w:lang w:val="en-GB"/>
                              </w:rPr>
                              <w:t>. To facilitate this process, all parties should declare what type of weapons and ammunition were used, when and where, and provide those in charge of their clearance with all the mine maps in their possession.</w:t>
                            </w:r>
                          </w:p>
                          <w:p w14:paraId="0915D312" w14:textId="77777777" w:rsidR="009269CA" w:rsidRDefault="009269CA" w:rsidP="00023E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DAFA6" id="_x0000_s1028" type="#_x0000_t202" style="position:absolute;left:0;text-align:left;margin-left:20.6pt;margin-top:10.95pt;width:453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" fillcolor="#f9f0db" stroked="f" strokeweight=".5pt">
                <v:shadow on="t" color="black" opacity="26214f" origin="-.5,-.5" offset=".74836mm,.74836mm"/>
                <v:textbox>
                  <w:txbxContent>
                    <w:p w14:paraId="724CE219" w14:textId="77777777" w:rsidR="009269CA" w:rsidRPr="001655B3" w:rsidRDefault="009269CA" w:rsidP="00023E6A">
                      <w:pPr>
                        <w:tabs>
                          <w:tab w:val="left" w:pos="1613"/>
                        </w:tabs>
                        <w:spacing w:after="0" w:line="240" w:lineRule="auto"/>
                        <w:jc w:val="both"/>
                        <w:rPr>
                          <w:rFonts w:cstheme="minorHAnsi"/>
                          <w:b/>
                          <w:bCs/>
                          <w:szCs w:val="20"/>
                          <w:lang w:val="en-GB"/>
                        </w:rPr>
                      </w:pPr>
                      <w:r w:rsidRPr="001655B3">
                        <w:rPr>
                          <w:rFonts w:cstheme="minorHAnsi"/>
                          <w:b/>
                          <w:bCs/>
                          <w:szCs w:val="20"/>
                          <w:lang w:val="en-GB"/>
                        </w:rPr>
                        <w:t xml:space="preserve">Recommendation no. 3: </w:t>
                      </w:r>
                    </w:p>
                    <w:p w14:paraId="7841A2F7" w14:textId="0B097F58" w:rsidR="009269CA" w:rsidRPr="00023E6A" w:rsidRDefault="009269CA" w:rsidP="00EF15D9">
                      <w:pPr>
                        <w:spacing w:after="0" w:line="240" w:lineRule="auto"/>
                        <w:jc w:val="both"/>
                        <w:rPr>
                          <w:rFonts w:cstheme="minorHAnsi"/>
                          <w:bCs/>
                          <w:i/>
                          <w:color w:val="1F497D" w:themeColor="text2"/>
                          <w:szCs w:val="20"/>
                        </w:rPr>
                      </w:pPr>
                      <w:r w:rsidRPr="003142E5">
                        <w:rPr>
                          <w:rFonts w:cstheme="minorHAnsi"/>
                          <w:szCs w:val="20"/>
                          <w:lang w:val="en-GB"/>
                        </w:rPr>
                        <w:t xml:space="preserve">To ensure effective protection of the people residing in the conflict-affected areas from </w:t>
                      </w:r>
                      <w:r w:rsidRPr="001655B3">
                        <w:rPr>
                          <w:rFonts w:cstheme="minorHAnsi"/>
                          <w:szCs w:val="20"/>
                          <w:lang w:val="en-GB"/>
                        </w:rPr>
                        <w:t xml:space="preserve">unexploded and abandoned </w:t>
                      </w:r>
                      <w:r w:rsidRPr="003142E5">
                        <w:rPr>
                          <w:rFonts w:cstheme="minorHAnsi"/>
                          <w:szCs w:val="20"/>
                          <w:lang w:val="en-GB"/>
                        </w:rPr>
                        <w:t>mines and explosive remnants of war</w:t>
                      </w:r>
                      <w:r w:rsidRPr="001655B3">
                        <w:rPr>
                          <w:rFonts w:cstheme="minorHAnsi"/>
                          <w:szCs w:val="20"/>
                          <w:lang w:val="en-GB"/>
                        </w:rPr>
                        <w:t>. To facilitate this process, all parties should declare what type of weapons and ammunition were used, when and where, and provide those in charge of their clearance with all the mine maps in their possession.</w:t>
                      </w:r>
                    </w:p>
                    <w:p w14:paraId="0915D312" w14:textId="77777777" w:rsidR="009269CA" w:rsidRDefault="009269CA" w:rsidP="00023E6A"/>
                  </w:txbxContent>
                </v:textbox>
              </v:shape>
            </w:pict>
          </mc:Fallback>
        </mc:AlternateContent>
      </w:r>
    </w:p>
    <w:p w14:paraId="2AB65276" w14:textId="1842D7F1" w:rsidR="00023E6A" w:rsidRDefault="00023E6A" w:rsidP="001655B3">
      <w:pPr>
        <w:tabs>
          <w:tab w:val="left" w:pos="1613"/>
        </w:tabs>
        <w:spacing w:after="0" w:line="240" w:lineRule="auto"/>
        <w:ind w:left="709"/>
        <w:jc w:val="both"/>
        <w:rPr>
          <w:rFonts w:cstheme="minorHAnsi"/>
          <w:b/>
          <w:bCs/>
          <w:szCs w:val="20"/>
          <w:lang w:val="en-GB"/>
        </w:rPr>
      </w:pPr>
      <w:bookmarkStart w:id="11" w:name="_Hlk83292748"/>
    </w:p>
    <w:p w14:paraId="4C3CFCA9" w14:textId="77777777" w:rsidR="00023E6A" w:rsidRDefault="00023E6A" w:rsidP="001655B3">
      <w:pPr>
        <w:tabs>
          <w:tab w:val="left" w:pos="1613"/>
        </w:tabs>
        <w:spacing w:after="0" w:line="240" w:lineRule="auto"/>
        <w:ind w:left="709"/>
        <w:jc w:val="both"/>
        <w:rPr>
          <w:rFonts w:cstheme="minorHAnsi"/>
          <w:b/>
          <w:bCs/>
          <w:szCs w:val="20"/>
          <w:lang w:val="en-GB"/>
        </w:rPr>
      </w:pPr>
    </w:p>
    <w:p w14:paraId="0BFCBD07" w14:textId="77777777" w:rsidR="00023E6A" w:rsidRDefault="00023E6A" w:rsidP="001655B3">
      <w:pPr>
        <w:tabs>
          <w:tab w:val="left" w:pos="1613"/>
        </w:tabs>
        <w:spacing w:after="0" w:line="240" w:lineRule="auto"/>
        <w:ind w:left="709"/>
        <w:jc w:val="both"/>
        <w:rPr>
          <w:rFonts w:cstheme="minorHAnsi"/>
          <w:b/>
          <w:bCs/>
          <w:szCs w:val="20"/>
          <w:lang w:val="en-GB"/>
        </w:rPr>
      </w:pPr>
    </w:p>
    <w:p w14:paraId="7ED0479D" w14:textId="77777777" w:rsidR="00023E6A" w:rsidRDefault="00023E6A" w:rsidP="001655B3">
      <w:pPr>
        <w:tabs>
          <w:tab w:val="left" w:pos="1613"/>
        </w:tabs>
        <w:spacing w:after="0" w:line="240" w:lineRule="auto"/>
        <w:ind w:left="709"/>
        <w:jc w:val="both"/>
        <w:rPr>
          <w:rFonts w:cstheme="minorHAnsi"/>
          <w:b/>
          <w:bCs/>
          <w:szCs w:val="20"/>
          <w:lang w:val="en-GB"/>
        </w:rPr>
      </w:pPr>
    </w:p>
    <w:p w14:paraId="304117F6" w14:textId="77777777" w:rsidR="00023E6A" w:rsidRDefault="00023E6A" w:rsidP="001655B3">
      <w:pPr>
        <w:tabs>
          <w:tab w:val="left" w:pos="1613"/>
        </w:tabs>
        <w:spacing w:after="0" w:line="240" w:lineRule="auto"/>
        <w:ind w:left="709"/>
        <w:jc w:val="both"/>
        <w:rPr>
          <w:rFonts w:cstheme="minorHAnsi"/>
          <w:b/>
          <w:bCs/>
          <w:szCs w:val="20"/>
          <w:lang w:val="en-GB"/>
        </w:rPr>
      </w:pPr>
    </w:p>
    <w:bookmarkEnd w:id="11"/>
    <w:p w14:paraId="0C5F1C2C" w14:textId="0498630D" w:rsidR="00D00170" w:rsidRPr="003142E5" w:rsidRDefault="001B5D8F" w:rsidP="001655B3">
      <w:pPr>
        <w:tabs>
          <w:tab w:val="left" w:pos="1613"/>
        </w:tabs>
        <w:spacing w:after="0" w:line="240" w:lineRule="auto"/>
        <w:ind w:left="709"/>
        <w:jc w:val="both"/>
        <w:rPr>
          <w:rFonts w:cstheme="minorHAnsi"/>
          <w:szCs w:val="20"/>
          <w:lang w:val="en-GB"/>
        </w:rPr>
      </w:pPr>
      <w:r w:rsidRPr="001655B3">
        <w:rPr>
          <w:rFonts w:cstheme="minorHAnsi"/>
          <w:szCs w:val="20"/>
          <w:lang w:val="en-GB"/>
        </w:rPr>
        <w:t xml:space="preserve"> </w:t>
      </w:r>
    </w:p>
    <w:p w14:paraId="481B61C1" w14:textId="15B26C16" w:rsidR="00D00170" w:rsidRPr="003142E5" w:rsidRDefault="00D00170" w:rsidP="003142E5">
      <w:pPr>
        <w:pStyle w:val="ListParagraph"/>
        <w:spacing w:after="0" w:line="240" w:lineRule="auto"/>
        <w:ind w:left="363"/>
        <w:jc w:val="both"/>
        <w:rPr>
          <w:rFonts w:cstheme="minorHAnsi"/>
          <w:szCs w:val="20"/>
          <w:lang w:val="en-GB"/>
        </w:rPr>
      </w:pPr>
    </w:p>
    <w:p w14:paraId="08F00419" w14:textId="18C251C4" w:rsidR="00787F35" w:rsidRPr="00787F35" w:rsidRDefault="00C65B19" w:rsidP="003142E5">
      <w:pPr>
        <w:numPr>
          <w:ilvl w:val="0"/>
          <w:numId w:val="2"/>
        </w:numPr>
        <w:tabs>
          <w:tab w:val="left" w:pos="1613"/>
        </w:tabs>
        <w:spacing w:after="0" w:line="240" w:lineRule="auto"/>
        <w:ind w:left="714" w:hanging="357"/>
        <w:jc w:val="both"/>
        <w:rPr>
          <w:rFonts w:cstheme="minorHAnsi"/>
          <w:szCs w:val="20"/>
          <w:lang w:val="hu-HU"/>
        </w:rPr>
      </w:pPr>
      <w:r w:rsidRPr="003142E5">
        <w:rPr>
          <w:rFonts w:cstheme="minorHAnsi"/>
          <w:szCs w:val="20"/>
          <w:lang w:val="en-GB"/>
        </w:rPr>
        <w:t xml:space="preserve">The region in and around </w:t>
      </w:r>
      <w:r w:rsidR="00787F35" w:rsidRPr="003142E5">
        <w:rPr>
          <w:rFonts w:cstheme="minorHAnsi"/>
          <w:szCs w:val="20"/>
          <w:lang w:val="en-GB"/>
        </w:rPr>
        <w:t xml:space="preserve">Nagorno-Karabakh is among the areas most contaminated with mines in </w:t>
      </w:r>
      <w:r w:rsidR="00123C47" w:rsidRPr="003142E5">
        <w:rPr>
          <w:rFonts w:cstheme="minorHAnsi"/>
          <w:szCs w:val="20"/>
          <w:lang w:val="en-GB"/>
        </w:rPr>
        <w:t>the world</w:t>
      </w:r>
      <w:r w:rsidR="00787F35" w:rsidRPr="003142E5">
        <w:rPr>
          <w:rFonts w:cstheme="minorHAnsi"/>
          <w:szCs w:val="20"/>
          <w:lang w:val="en-GB"/>
        </w:rPr>
        <w:t>. There have been more landmine accidents</w:t>
      </w:r>
      <w:r w:rsidR="00787F35" w:rsidRPr="00E056C2">
        <w:rPr>
          <w:rFonts w:cstheme="minorHAnsi"/>
          <w:szCs w:val="20"/>
          <w:lang w:val="en-GB"/>
        </w:rPr>
        <w:t xml:space="preserve"> per capita in Nagorno-Karabakh than anywhere else</w:t>
      </w:r>
      <w:r w:rsidR="00474963">
        <w:rPr>
          <w:rFonts w:cstheme="minorHAnsi"/>
          <w:szCs w:val="20"/>
          <w:lang w:val="en-GB"/>
        </w:rPr>
        <w:t xml:space="preserve"> </w:t>
      </w:r>
      <w:r w:rsidR="00ED3422">
        <w:rPr>
          <w:rFonts w:cstheme="minorHAnsi"/>
          <w:szCs w:val="20"/>
          <w:lang w:val="en-GB"/>
        </w:rPr>
        <w:t>globally</w:t>
      </w:r>
      <w:r w:rsidR="00787F35" w:rsidRPr="00E056C2">
        <w:rPr>
          <w:rFonts w:cstheme="minorHAnsi"/>
          <w:szCs w:val="20"/>
          <w:lang w:val="en-GB"/>
        </w:rPr>
        <w:t>, with children comprising a quarter of the victims</w:t>
      </w:r>
      <w:r w:rsidR="00787F35">
        <w:rPr>
          <w:rFonts w:cstheme="minorHAnsi"/>
          <w:szCs w:val="20"/>
          <w:lang w:val="en-GB"/>
        </w:rPr>
        <w:t>.</w:t>
      </w:r>
      <w:r w:rsidR="00787F35" w:rsidRPr="00E056C2">
        <w:rPr>
          <w:rFonts w:cstheme="minorHAnsi"/>
          <w:szCs w:val="20"/>
          <w:vertAlign w:val="superscript"/>
          <w:lang w:val="en-GB"/>
        </w:rPr>
        <w:footnoteReference w:id="18"/>
      </w:r>
      <w:r w:rsidR="00787F35" w:rsidRPr="00E056C2">
        <w:rPr>
          <w:rFonts w:cstheme="minorHAnsi"/>
          <w:szCs w:val="20"/>
          <w:lang w:val="en-GB"/>
        </w:rPr>
        <w:t xml:space="preserve"> </w:t>
      </w:r>
      <w:r w:rsidR="00787F35">
        <w:rPr>
          <w:rFonts w:cstheme="minorHAnsi"/>
          <w:szCs w:val="20"/>
          <w:lang w:val="en-GB"/>
        </w:rPr>
        <w:t>Most of the mines were planted during t</w:t>
      </w:r>
      <w:r w:rsidR="00787F35" w:rsidRPr="00E056C2">
        <w:rPr>
          <w:rFonts w:cstheme="minorHAnsi"/>
          <w:szCs w:val="20"/>
          <w:lang w:val="en-GB"/>
        </w:rPr>
        <w:t>he conflict in the early 1990s.</w:t>
      </w:r>
      <w:r w:rsidR="00B44EC7">
        <w:rPr>
          <w:rFonts w:cstheme="minorHAnsi"/>
          <w:szCs w:val="20"/>
          <w:lang w:val="en-GB"/>
        </w:rPr>
        <w:t xml:space="preserve"> 25 years after the conflict, the mission of the International Committee of the Red Cross (ICRC) in Nagorno-Karabakh</w:t>
      </w:r>
      <w:r w:rsidR="00474963">
        <w:rPr>
          <w:rFonts w:cstheme="minorHAnsi"/>
          <w:szCs w:val="20"/>
          <w:lang w:val="en-GB"/>
        </w:rPr>
        <w:t xml:space="preserve"> </w:t>
      </w:r>
      <w:r w:rsidR="00B44EC7">
        <w:rPr>
          <w:rFonts w:cstheme="minorHAnsi"/>
          <w:szCs w:val="20"/>
          <w:lang w:val="en-GB"/>
        </w:rPr>
        <w:t>had registered 747 cases of landmine victims, of which 59% were civilians.</w:t>
      </w:r>
      <w:r w:rsidR="00B44EC7">
        <w:rPr>
          <w:rStyle w:val="FootnoteReference"/>
          <w:rFonts w:cstheme="minorHAnsi"/>
          <w:szCs w:val="20"/>
          <w:lang w:val="en-GB"/>
        </w:rPr>
        <w:footnoteReference w:id="19"/>
      </w:r>
      <w:r w:rsidR="00B44EC7">
        <w:rPr>
          <w:rFonts w:cstheme="minorHAnsi"/>
          <w:szCs w:val="20"/>
          <w:lang w:val="en-GB"/>
        </w:rPr>
        <w:t xml:space="preserve"> </w:t>
      </w:r>
      <w:r w:rsidR="00787F35">
        <w:rPr>
          <w:rFonts w:cstheme="minorHAnsi"/>
          <w:szCs w:val="20"/>
          <w:lang w:val="en-GB"/>
        </w:rPr>
        <w:t xml:space="preserve">Following the recent outbreak of hostilities, </w:t>
      </w:r>
      <w:r w:rsidR="00787F35" w:rsidRPr="00E056C2">
        <w:rPr>
          <w:rFonts w:cstheme="minorHAnsi"/>
          <w:szCs w:val="20"/>
          <w:lang w:val="en-GB"/>
        </w:rPr>
        <w:t xml:space="preserve">the region was left full of remnants of weapons used during the </w:t>
      </w:r>
      <w:r w:rsidR="00787F35">
        <w:rPr>
          <w:rFonts w:cstheme="minorHAnsi"/>
          <w:szCs w:val="20"/>
          <w:lang w:val="en-GB"/>
        </w:rPr>
        <w:t>conflict</w:t>
      </w:r>
      <w:r w:rsidR="00787F35" w:rsidRPr="00E056C2">
        <w:rPr>
          <w:rFonts w:cstheme="minorHAnsi"/>
          <w:szCs w:val="20"/>
          <w:lang w:val="en-GB"/>
        </w:rPr>
        <w:t>, including air-dropped weapons and shot down drones, unexploded cluster munition</w:t>
      </w:r>
      <w:r w:rsidR="00292C16">
        <w:rPr>
          <w:rFonts w:cstheme="minorHAnsi"/>
          <w:szCs w:val="20"/>
          <w:lang w:val="en-GB"/>
        </w:rPr>
        <w:t>s</w:t>
      </w:r>
      <w:r w:rsidR="00787F35" w:rsidRPr="00E056C2">
        <w:rPr>
          <w:rFonts w:cstheme="minorHAnsi"/>
          <w:szCs w:val="20"/>
          <w:lang w:val="en-GB"/>
        </w:rPr>
        <w:t xml:space="preserve"> and unexploded incendiary munitions. In addition, new mines were reportedly laid by retreating Armenian forces at the end of the 2020 </w:t>
      </w:r>
      <w:r w:rsidR="00787F35">
        <w:rPr>
          <w:rFonts w:cstheme="minorHAnsi"/>
          <w:szCs w:val="20"/>
          <w:lang w:val="en-GB"/>
        </w:rPr>
        <w:t xml:space="preserve">hostilities. </w:t>
      </w:r>
    </w:p>
    <w:p w14:paraId="1543840E" w14:textId="287AA366" w:rsidR="00787F35" w:rsidRDefault="00787F35" w:rsidP="00787F35">
      <w:pPr>
        <w:tabs>
          <w:tab w:val="left" w:pos="1613"/>
        </w:tabs>
        <w:spacing w:after="0" w:line="240" w:lineRule="auto"/>
        <w:ind w:left="357"/>
        <w:jc w:val="both"/>
        <w:rPr>
          <w:rFonts w:cstheme="minorHAnsi"/>
          <w:szCs w:val="20"/>
          <w:lang w:val="hu-HU"/>
        </w:rPr>
      </w:pPr>
    </w:p>
    <w:p w14:paraId="0766BA58" w14:textId="45B4B421" w:rsidR="005136CA" w:rsidRDefault="005136CA" w:rsidP="005136CA">
      <w:pPr>
        <w:numPr>
          <w:ilvl w:val="0"/>
          <w:numId w:val="2"/>
        </w:numPr>
        <w:tabs>
          <w:tab w:val="left" w:pos="1613"/>
        </w:tabs>
        <w:spacing w:after="0" w:line="240" w:lineRule="auto"/>
        <w:ind w:left="714" w:hanging="357"/>
        <w:jc w:val="both"/>
        <w:rPr>
          <w:rFonts w:cstheme="minorHAnsi"/>
          <w:szCs w:val="20"/>
          <w:lang w:val="en-GB"/>
        </w:rPr>
      </w:pPr>
      <w:r w:rsidRPr="00D14AD8">
        <w:rPr>
          <w:rFonts w:cstheme="minorHAnsi"/>
          <w:szCs w:val="20"/>
        </w:rPr>
        <w:t>The Commissioner is</w:t>
      </w:r>
      <w:r w:rsidRPr="00D00170">
        <w:rPr>
          <w:rFonts w:cstheme="minorHAnsi"/>
          <w:szCs w:val="20"/>
        </w:rPr>
        <w:t xml:space="preserve"> aware of the high level of contamination of the region by mines</w:t>
      </w:r>
      <w:r w:rsidRPr="00D14AD8">
        <w:rPr>
          <w:rFonts w:cstheme="minorHAnsi"/>
          <w:szCs w:val="20"/>
        </w:rPr>
        <w:t xml:space="preserve"> and </w:t>
      </w:r>
      <w:r w:rsidRPr="00D00170">
        <w:rPr>
          <w:rFonts w:cstheme="minorHAnsi"/>
          <w:szCs w:val="20"/>
        </w:rPr>
        <w:t>regret</w:t>
      </w:r>
      <w:r w:rsidRPr="00D14AD8">
        <w:rPr>
          <w:rFonts w:cstheme="minorHAnsi"/>
          <w:szCs w:val="20"/>
        </w:rPr>
        <w:t>s</w:t>
      </w:r>
      <w:r w:rsidRPr="00D00170">
        <w:rPr>
          <w:rFonts w:cstheme="minorHAnsi"/>
          <w:szCs w:val="20"/>
        </w:rPr>
        <w:t xml:space="preserve"> that</w:t>
      </w:r>
      <w:r w:rsidRPr="00D00170">
        <w:rPr>
          <w:rFonts w:cstheme="minorHAnsi"/>
          <w:szCs w:val="20"/>
          <w:lang w:val="en-GB"/>
        </w:rPr>
        <w:t xml:space="preserve"> many persons, including</w:t>
      </w:r>
      <w:r w:rsidRPr="00D00170">
        <w:rPr>
          <w:rFonts w:cstheme="minorHAnsi"/>
          <w:szCs w:val="20"/>
          <w:lang w:val="hu-HU"/>
        </w:rPr>
        <w:t xml:space="preserve"> civilians, have been killed or seriously injured due to the explosion of mines, since the cessation of the hostilities.</w:t>
      </w:r>
      <w:r>
        <w:rPr>
          <w:rFonts w:cstheme="minorHAnsi"/>
          <w:szCs w:val="20"/>
          <w:lang w:val="en-GB"/>
        </w:rPr>
        <w:t xml:space="preserve"> </w:t>
      </w:r>
      <w:r w:rsidR="00F80874">
        <w:rPr>
          <w:rFonts w:cstheme="minorHAnsi"/>
          <w:szCs w:val="20"/>
        </w:rPr>
        <w:t>Between</w:t>
      </w:r>
      <w:r w:rsidR="00CC2310" w:rsidRPr="00CC2310">
        <w:rPr>
          <w:rFonts w:cstheme="minorHAnsi"/>
          <w:szCs w:val="20"/>
        </w:rPr>
        <w:t xml:space="preserve"> 10 November 2020</w:t>
      </w:r>
      <w:r w:rsidR="00F80874">
        <w:rPr>
          <w:rFonts w:cstheme="minorHAnsi"/>
          <w:szCs w:val="20"/>
        </w:rPr>
        <w:t xml:space="preserve"> and June 2021</w:t>
      </w:r>
      <w:r w:rsidR="00CC2310" w:rsidRPr="00CC2310">
        <w:rPr>
          <w:rFonts w:cstheme="minorHAnsi"/>
          <w:szCs w:val="20"/>
        </w:rPr>
        <w:t>, 27 persons were killed</w:t>
      </w:r>
      <w:r w:rsidR="00F80874">
        <w:rPr>
          <w:rFonts w:cstheme="minorHAnsi"/>
          <w:szCs w:val="20"/>
        </w:rPr>
        <w:t xml:space="preserve"> on the Azerbaijani side</w:t>
      </w:r>
      <w:r w:rsidR="00CC2310" w:rsidRPr="00CC2310">
        <w:rPr>
          <w:rFonts w:cstheme="minorHAnsi"/>
          <w:szCs w:val="20"/>
        </w:rPr>
        <w:t xml:space="preserve">, and 115 others were injured </w:t>
      </w:r>
      <w:proofErr w:type="gramStart"/>
      <w:r w:rsidR="00CC2310" w:rsidRPr="00CC2310">
        <w:rPr>
          <w:rFonts w:cstheme="minorHAnsi"/>
          <w:szCs w:val="20"/>
        </w:rPr>
        <w:t>as a result of</w:t>
      </w:r>
      <w:proofErr w:type="gramEnd"/>
      <w:r w:rsidR="00CC2310" w:rsidRPr="00CC2310">
        <w:rPr>
          <w:rFonts w:cstheme="minorHAnsi"/>
          <w:szCs w:val="20"/>
        </w:rPr>
        <w:t xml:space="preserve"> explosion</w:t>
      </w:r>
      <w:r w:rsidR="00292C16">
        <w:rPr>
          <w:rFonts w:cstheme="minorHAnsi"/>
          <w:szCs w:val="20"/>
        </w:rPr>
        <w:t>s</w:t>
      </w:r>
      <w:r w:rsidR="00CC2310" w:rsidRPr="00CC2310">
        <w:rPr>
          <w:rFonts w:cstheme="minorHAnsi"/>
          <w:szCs w:val="20"/>
        </w:rPr>
        <w:t xml:space="preserve"> of various types of mines and explosive remnants of war</w:t>
      </w:r>
      <w:r w:rsidR="00CC2310">
        <w:rPr>
          <w:rFonts w:cstheme="minorHAnsi"/>
          <w:szCs w:val="20"/>
        </w:rPr>
        <w:t>.</w:t>
      </w:r>
      <w:r w:rsidR="00CC2310">
        <w:rPr>
          <w:rStyle w:val="FootnoteReference"/>
          <w:rFonts w:cstheme="minorHAnsi"/>
          <w:szCs w:val="20"/>
        </w:rPr>
        <w:footnoteReference w:id="20"/>
      </w:r>
      <w:r w:rsidR="00CC2310">
        <w:rPr>
          <w:rFonts w:cstheme="minorHAnsi"/>
          <w:szCs w:val="20"/>
        </w:rPr>
        <w:t xml:space="preserve"> A</w:t>
      </w:r>
      <w:r w:rsidR="00CC2310" w:rsidRPr="00CC2310">
        <w:rPr>
          <w:rFonts w:cstheme="minorHAnsi"/>
          <w:szCs w:val="20"/>
        </w:rPr>
        <w:t xml:space="preserve">mong the total </w:t>
      </w:r>
      <w:r w:rsidR="00CC2310" w:rsidRPr="00BB0366">
        <w:rPr>
          <w:rFonts w:cstheme="minorHAnsi"/>
          <w:szCs w:val="20"/>
        </w:rPr>
        <w:t>142</w:t>
      </w:r>
      <w:r w:rsidR="00CC2310" w:rsidRPr="00CC2310">
        <w:rPr>
          <w:rFonts w:cstheme="minorHAnsi"/>
          <w:szCs w:val="20"/>
        </w:rPr>
        <w:t xml:space="preserve"> landmine victims, </w:t>
      </w:r>
      <w:r w:rsidR="00CC2310" w:rsidRPr="00E73B46">
        <w:rPr>
          <w:rFonts w:cstheme="minorHAnsi"/>
          <w:szCs w:val="20"/>
        </w:rPr>
        <w:t>49 were civilians.</w:t>
      </w:r>
      <w:r w:rsidR="00E73B46">
        <w:rPr>
          <w:rStyle w:val="FootnoteReference"/>
          <w:rFonts w:cstheme="minorHAnsi"/>
          <w:szCs w:val="20"/>
        </w:rPr>
        <w:footnoteReference w:id="21"/>
      </w:r>
      <w:r w:rsidR="00AE1C44">
        <w:rPr>
          <w:rFonts w:cstheme="minorHAnsi"/>
          <w:szCs w:val="20"/>
        </w:rPr>
        <w:t xml:space="preserve"> Over the same period, </w:t>
      </w:r>
      <w:r w:rsidR="0043669D">
        <w:rPr>
          <w:rFonts w:cstheme="minorHAnsi"/>
          <w:szCs w:val="20"/>
        </w:rPr>
        <w:t xml:space="preserve">5 mine-related incidents took place in Nagorno-Karabakh, resulting in 5 persons being injured. </w:t>
      </w:r>
    </w:p>
    <w:p w14:paraId="39D51534" w14:textId="00A6E2A5" w:rsidR="005136CA" w:rsidRDefault="005136CA" w:rsidP="005136CA">
      <w:pPr>
        <w:tabs>
          <w:tab w:val="left" w:pos="1613"/>
        </w:tabs>
        <w:spacing w:after="0" w:line="240" w:lineRule="auto"/>
        <w:jc w:val="both"/>
        <w:rPr>
          <w:rFonts w:cstheme="minorHAnsi"/>
          <w:szCs w:val="20"/>
          <w:lang w:val="en-GB"/>
        </w:rPr>
      </w:pPr>
    </w:p>
    <w:p w14:paraId="63B6FDF5" w14:textId="05ADEF52" w:rsidR="00AA3FA2" w:rsidRPr="00787F35" w:rsidRDefault="00787F35" w:rsidP="00D00170">
      <w:pPr>
        <w:numPr>
          <w:ilvl w:val="0"/>
          <w:numId w:val="2"/>
        </w:numPr>
        <w:tabs>
          <w:tab w:val="left" w:pos="1613"/>
        </w:tabs>
        <w:spacing w:after="0" w:line="240" w:lineRule="auto"/>
        <w:ind w:left="714" w:hanging="357"/>
        <w:jc w:val="both"/>
        <w:rPr>
          <w:rFonts w:cstheme="minorHAnsi"/>
          <w:szCs w:val="20"/>
          <w:lang w:val="hu-HU"/>
        </w:rPr>
      </w:pPr>
      <w:r w:rsidRPr="00BC1197">
        <w:rPr>
          <w:rFonts w:cstheme="minorHAnsi"/>
          <w:szCs w:val="20"/>
          <w:lang w:val="en-GB"/>
        </w:rPr>
        <w:t>The unexploded ordnance</w:t>
      </w:r>
      <w:r>
        <w:rPr>
          <w:rFonts w:cstheme="minorHAnsi"/>
          <w:szCs w:val="20"/>
          <w:lang w:val="en-GB"/>
        </w:rPr>
        <w:t>s</w:t>
      </w:r>
      <w:r w:rsidRPr="00BC1197">
        <w:rPr>
          <w:rFonts w:cstheme="minorHAnsi"/>
          <w:szCs w:val="20"/>
          <w:lang w:val="en-GB"/>
        </w:rPr>
        <w:t xml:space="preserve">, </w:t>
      </w:r>
      <w:r>
        <w:rPr>
          <w:rFonts w:cstheme="minorHAnsi"/>
          <w:szCs w:val="20"/>
          <w:lang w:val="en-GB"/>
        </w:rPr>
        <w:t xml:space="preserve">mines, </w:t>
      </w:r>
      <w:r w:rsidRPr="00BC1197">
        <w:rPr>
          <w:rFonts w:cstheme="minorHAnsi"/>
          <w:szCs w:val="20"/>
          <w:lang w:val="en-GB"/>
        </w:rPr>
        <w:t xml:space="preserve">trenches, conflict debris and toxic remnants of war pose a </w:t>
      </w:r>
      <w:r>
        <w:rPr>
          <w:rFonts w:cstheme="minorHAnsi"/>
          <w:szCs w:val="20"/>
          <w:lang w:val="en-GB"/>
        </w:rPr>
        <w:t xml:space="preserve">risk </w:t>
      </w:r>
      <w:r w:rsidRPr="00AA3FA2">
        <w:rPr>
          <w:rFonts w:cstheme="minorHAnsi"/>
          <w:szCs w:val="20"/>
        </w:rPr>
        <w:t xml:space="preserve">not only to returning civilians but also to the peacekeepers </w:t>
      </w:r>
      <w:r w:rsidR="00466C52">
        <w:rPr>
          <w:rFonts w:cstheme="minorHAnsi"/>
          <w:szCs w:val="20"/>
        </w:rPr>
        <w:t>and</w:t>
      </w:r>
      <w:r w:rsidRPr="00AA3FA2">
        <w:rPr>
          <w:rFonts w:cstheme="minorHAnsi"/>
          <w:szCs w:val="20"/>
        </w:rPr>
        <w:t xml:space="preserve"> observers, </w:t>
      </w:r>
      <w:r w:rsidR="00E91723">
        <w:rPr>
          <w:rFonts w:cstheme="minorHAnsi"/>
          <w:szCs w:val="20"/>
        </w:rPr>
        <w:t>as well as</w:t>
      </w:r>
      <w:r w:rsidRPr="00AA3FA2">
        <w:rPr>
          <w:rFonts w:cstheme="minorHAnsi"/>
          <w:szCs w:val="20"/>
        </w:rPr>
        <w:t xml:space="preserve"> humanitarian workers</w:t>
      </w:r>
      <w:r w:rsidR="00AA3FA2" w:rsidRPr="00AA3FA2">
        <w:rPr>
          <w:rFonts w:cstheme="minorHAnsi"/>
          <w:szCs w:val="20"/>
        </w:rPr>
        <w:t>.</w:t>
      </w:r>
      <w:r w:rsidR="00AA3FA2">
        <w:rPr>
          <w:rFonts w:cstheme="minorHAnsi"/>
          <w:szCs w:val="20"/>
        </w:rPr>
        <w:t xml:space="preserve"> </w:t>
      </w:r>
      <w:r w:rsidR="00BC1197" w:rsidRPr="00BC1197">
        <w:rPr>
          <w:rFonts w:cstheme="minorHAnsi"/>
          <w:szCs w:val="20"/>
          <w:lang w:val="en-GB"/>
        </w:rPr>
        <w:t xml:space="preserve">Children, </w:t>
      </w:r>
      <w:proofErr w:type="gramStart"/>
      <w:r w:rsidR="00BC1197" w:rsidRPr="00BC1197">
        <w:rPr>
          <w:rFonts w:cstheme="minorHAnsi"/>
          <w:szCs w:val="20"/>
          <w:lang w:val="en-GB"/>
        </w:rPr>
        <w:t>farmers</w:t>
      </w:r>
      <w:proofErr w:type="gramEnd"/>
      <w:r w:rsidR="00BC1197" w:rsidRPr="00BC1197">
        <w:rPr>
          <w:rFonts w:cstheme="minorHAnsi"/>
          <w:szCs w:val="20"/>
          <w:lang w:val="en-GB"/>
        </w:rPr>
        <w:t xml:space="preserve"> and shepherds are </w:t>
      </w:r>
      <w:r>
        <w:rPr>
          <w:rFonts w:cstheme="minorHAnsi"/>
          <w:szCs w:val="20"/>
          <w:lang w:val="en-GB"/>
        </w:rPr>
        <w:t xml:space="preserve">particularly exposed and have often been the victims of </w:t>
      </w:r>
      <w:r w:rsidR="00BC1197" w:rsidRPr="00BC1197">
        <w:rPr>
          <w:rFonts w:cstheme="minorHAnsi"/>
          <w:szCs w:val="20"/>
          <w:lang w:val="en-GB"/>
        </w:rPr>
        <w:t xml:space="preserve">landmines and explosive remnants of war. </w:t>
      </w:r>
      <w:r w:rsidR="00AA3FA2">
        <w:rPr>
          <w:rFonts w:cstheme="minorHAnsi"/>
          <w:szCs w:val="20"/>
        </w:rPr>
        <w:t>The Commissioner</w:t>
      </w:r>
      <w:r w:rsidR="00AA3FA2" w:rsidRPr="00AA3FA2">
        <w:rPr>
          <w:rFonts w:cstheme="minorHAnsi"/>
          <w:szCs w:val="20"/>
        </w:rPr>
        <w:t xml:space="preserve"> </w:t>
      </w:r>
      <w:r>
        <w:rPr>
          <w:rFonts w:cstheme="minorHAnsi"/>
          <w:szCs w:val="20"/>
        </w:rPr>
        <w:t xml:space="preserve">therefore </w:t>
      </w:r>
      <w:r w:rsidR="00AA3FA2" w:rsidRPr="00AA3FA2">
        <w:rPr>
          <w:rFonts w:cstheme="minorHAnsi"/>
          <w:szCs w:val="20"/>
        </w:rPr>
        <w:t xml:space="preserve">wishes to </w:t>
      </w:r>
      <w:proofErr w:type="spellStart"/>
      <w:r w:rsidR="00AA3FA2" w:rsidRPr="00AA3FA2">
        <w:rPr>
          <w:rFonts w:cstheme="minorHAnsi"/>
          <w:szCs w:val="20"/>
        </w:rPr>
        <w:t>emphasi</w:t>
      </w:r>
      <w:r w:rsidR="00292C16">
        <w:rPr>
          <w:rFonts w:cstheme="minorHAnsi"/>
          <w:szCs w:val="20"/>
        </w:rPr>
        <w:t>s</w:t>
      </w:r>
      <w:r w:rsidR="00AA3FA2" w:rsidRPr="00AA3FA2">
        <w:rPr>
          <w:rFonts w:cstheme="minorHAnsi"/>
          <w:szCs w:val="20"/>
        </w:rPr>
        <w:t>e</w:t>
      </w:r>
      <w:proofErr w:type="spellEnd"/>
      <w:r w:rsidR="00AA3FA2" w:rsidRPr="00AA3FA2">
        <w:rPr>
          <w:rFonts w:cstheme="minorHAnsi"/>
          <w:szCs w:val="20"/>
        </w:rPr>
        <w:t xml:space="preserve"> the urgent need to clear</w:t>
      </w:r>
      <w:r w:rsidR="00AA3FA2">
        <w:rPr>
          <w:rFonts w:cstheme="minorHAnsi"/>
          <w:szCs w:val="20"/>
        </w:rPr>
        <w:t xml:space="preserve"> </w:t>
      </w:r>
      <w:r w:rsidR="00AA3FA2" w:rsidRPr="00AA3FA2">
        <w:rPr>
          <w:rFonts w:cstheme="minorHAnsi"/>
          <w:szCs w:val="20"/>
        </w:rPr>
        <w:t>and remov</w:t>
      </w:r>
      <w:r w:rsidR="00AA3FA2">
        <w:rPr>
          <w:rFonts w:cstheme="minorHAnsi"/>
          <w:szCs w:val="20"/>
        </w:rPr>
        <w:t>e</w:t>
      </w:r>
      <w:r w:rsidR="00AA3FA2" w:rsidRPr="00AA3FA2">
        <w:rPr>
          <w:rFonts w:cstheme="minorHAnsi"/>
          <w:szCs w:val="20"/>
        </w:rPr>
        <w:t xml:space="preserve"> the explosive remnants of war in the affected areas, so that </w:t>
      </w:r>
      <w:r w:rsidR="00ED2A41">
        <w:rPr>
          <w:rFonts w:cstheme="minorHAnsi"/>
          <w:szCs w:val="20"/>
        </w:rPr>
        <w:t xml:space="preserve">those living in these areas can </w:t>
      </w:r>
      <w:r w:rsidR="00ED2A41" w:rsidRPr="00AA3FA2">
        <w:rPr>
          <w:rFonts w:cstheme="minorHAnsi"/>
          <w:szCs w:val="20"/>
        </w:rPr>
        <w:t xml:space="preserve">return to normal life </w:t>
      </w:r>
      <w:r w:rsidR="00ED2A41">
        <w:rPr>
          <w:rFonts w:cstheme="minorHAnsi"/>
          <w:szCs w:val="20"/>
        </w:rPr>
        <w:t xml:space="preserve">and </w:t>
      </w:r>
      <w:r w:rsidR="00AA3FA2" w:rsidRPr="00AA3FA2">
        <w:rPr>
          <w:rFonts w:cstheme="minorHAnsi"/>
          <w:szCs w:val="20"/>
        </w:rPr>
        <w:t>displaced persons can go back home as soon as possible</w:t>
      </w:r>
      <w:r w:rsidR="00AA3FA2">
        <w:rPr>
          <w:rFonts w:cstheme="minorHAnsi"/>
          <w:szCs w:val="20"/>
        </w:rPr>
        <w:t xml:space="preserve">. </w:t>
      </w:r>
    </w:p>
    <w:p w14:paraId="13B84A5B" w14:textId="77777777" w:rsidR="00787F35" w:rsidRPr="00AA3FA2" w:rsidRDefault="00787F35" w:rsidP="00787F35">
      <w:pPr>
        <w:tabs>
          <w:tab w:val="left" w:pos="1613"/>
        </w:tabs>
        <w:spacing w:after="0" w:line="240" w:lineRule="auto"/>
        <w:ind w:left="357"/>
        <w:jc w:val="both"/>
        <w:rPr>
          <w:rFonts w:cstheme="minorHAnsi"/>
          <w:szCs w:val="20"/>
          <w:lang w:val="hu-HU"/>
        </w:rPr>
      </w:pPr>
    </w:p>
    <w:p w14:paraId="4F350F0C" w14:textId="0E556F5F" w:rsidR="00360BA6" w:rsidRDefault="00787F35" w:rsidP="00360BA6">
      <w:pPr>
        <w:numPr>
          <w:ilvl w:val="0"/>
          <w:numId w:val="2"/>
        </w:numPr>
        <w:tabs>
          <w:tab w:val="left" w:pos="1613"/>
        </w:tabs>
        <w:spacing w:after="0" w:line="240" w:lineRule="auto"/>
        <w:ind w:left="714" w:hanging="357"/>
        <w:jc w:val="both"/>
        <w:rPr>
          <w:rFonts w:cstheme="minorHAnsi"/>
          <w:szCs w:val="20"/>
          <w:lang w:val="en-GB"/>
        </w:rPr>
      </w:pPr>
      <w:r>
        <w:rPr>
          <w:rFonts w:cstheme="minorHAnsi"/>
          <w:szCs w:val="20"/>
        </w:rPr>
        <w:t xml:space="preserve">The Commissioner welcomes the fact that </w:t>
      </w:r>
      <w:r w:rsidRPr="00775B3D">
        <w:rPr>
          <w:rFonts w:cstheme="minorHAnsi"/>
          <w:szCs w:val="20"/>
        </w:rPr>
        <w:t xml:space="preserve">demining work </w:t>
      </w:r>
      <w:r w:rsidR="007979F9">
        <w:rPr>
          <w:rFonts w:cstheme="minorHAnsi"/>
          <w:szCs w:val="20"/>
        </w:rPr>
        <w:t xml:space="preserve">on all territories affected by the conflict </w:t>
      </w:r>
      <w:r>
        <w:rPr>
          <w:rFonts w:cstheme="minorHAnsi"/>
          <w:szCs w:val="20"/>
        </w:rPr>
        <w:t>started</w:t>
      </w:r>
      <w:r w:rsidR="007979F9">
        <w:rPr>
          <w:rFonts w:cstheme="minorHAnsi"/>
          <w:szCs w:val="20"/>
        </w:rPr>
        <w:t xml:space="preserve"> immediately after the signature of the trilateral statement,</w:t>
      </w:r>
      <w:r>
        <w:rPr>
          <w:rFonts w:cstheme="minorHAnsi"/>
          <w:szCs w:val="20"/>
        </w:rPr>
        <w:t xml:space="preserve"> in November 2020. </w:t>
      </w:r>
      <w:r w:rsidR="007979F9">
        <w:rPr>
          <w:rFonts w:cstheme="minorHAnsi"/>
          <w:szCs w:val="20"/>
          <w:lang w:val="en-GB"/>
        </w:rPr>
        <w:t>The</w:t>
      </w:r>
      <w:r w:rsidR="00CD3A63">
        <w:rPr>
          <w:rFonts w:cstheme="minorHAnsi"/>
          <w:szCs w:val="20"/>
          <w:lang w:val="en-GB"/>
        </w:rPr>
        <w:t xml:space="preserve"> </w:t>
      </w:r>
      <w:r w:rsidR="00295E32" w:rsidRPr="00295E32">
        <w:rPr>
          <w:rFonts w:cstheme="minorHAnsi"/>
          <w:szCs w:val="20"/>
        </w:rPr>
        <w:t xml:space="preserve">United Nations Development </w:t>
      </w:r>
      <w:proofErr w:type="spellStart"/>
      <w:r w:rsidR="00295E32" w:rsidRPr="00295E32">
        <w:rPr>
          <w:rFonts w:cstheme="minorHAnsi"/>
          <w:szCs w:val="20"/>
        </w:rPr>
        <w:t>Programme</w:t>
      </w:r>
      <w:proofErr w:type="spellEnd"/>
      <w:r w:rsidR="00295E32" w:rsidRPr="00295E32">
        <w:rPr>
          <w:rFonts w:cstheme="minorHAnsi"/>
          <w:szCs w:val="20"/>
        </w:rPr>
        <w:t xml:space="preserve"> (UNDP)</w:t>
      </w:r>
      <w:r w:rsidR="00295E32">
        <w:rPr>
          <w:rFonts w:cstheme="minorHAnsi"/>
          <w:szCs w:val="20"/>
        </w:rPr>
        <w:t xml:space="preserve"> is supporting </w:t>
      </w:r>
      <w:r w:rsidR="00295E32">
        <w:rPr>
          <w:rFonts w:cstheme="minorHAnsi"/>
          <w:szCs w:val="20"/>
          <w:lang w:val="en-GB"/>
        </w:rPr>
        <w:t>t</w:t>
      </w:r>
      <w:r w:rsidR="00E056C2" w:rsidRPr="00E056C2">
        <w:rPr>
          <w:rFonts w:cstheme="minorHAnsi"/>
          <w:szCs w:val="20"/>
          <w:lang w:val="en-GB"/>
        </w:rPr>
        <w:t>he Azerbaijan National Agency for Mine Action (</w:t>
      </w:r>
      <w:r w:rsidR="00E056C2" w:rsidRPr="00295E32">
        <w:rPr>
          <w:rFonts w:cstheme="minorHAnsi"/>
          <w:szCs w:val="20"/>
          <w:lang w:val="en-GB"/>
        </w:rPr>
        <w:t>ANAMA</w:t>
      </w:r>
      <w:r w:rsidR="00E056C2" w:rsidRPr="00E056C2">
        <w:rPr>
          <w:rFonts w:cstheme="minorHAnsi"/>
          <w:szCs w:val="20"/>
          <w:lang w:val="en-GB"/>
        </w:rPr>
        <w:t>)</w:t>
      </w:r>
      <w:r w:rsidR="00295E32" w:rsidRPr="00295E32">
        <w:rPr>
          <w:rFonts w:ascii="Helvetica" w:hAnsi="Helvetica" w:cs="Helvetica"/>
          <w:color w:val="2E3436"/>
          <w:spacing w:val="3"/>
          <w:shd w:val="clear" w:color="auto" w:fill="FFFFFF"/>
        </w:rPr>
        <w:t xml:space="preserve"> </w:t>
      </w:r>
      <w:r w:rsidR="00295E32" w:rsidRPr="00295E32">
        <w:rPr>
          <w:rFonts w:cstheme="minorHAnsi"/>
          <w:szCs w:val="20"/>
        </w:rPr>
        <w:t>with technical expertise, equipment, capacity development and funding</w:t>
      </w:r>
      <w:r w:rsidR="00295E32">
        <w:rPr>
          <w:rFonts w:cstheme="minorHAnsi"/>
          <w:szCs w:val="20"/>
          <w:lang w:val="en-GB"/>
        </w:rPr>
        <w:t xml:space="preserve">. ANAMA </w:t>
      </w:r>
      <w:r w:rsidR="00E056C2" w:rsidRPr="00E056C2">
        <w:rPr>
          <w:rFonts w:cstheme="minorHAnsi"/>
          <w:szCs w:val="20"/>
          <w:lang w:val="en-GB"/>
        </w:rPr>
        <w:t xml:space="preserve">reported that since 10 November 2020 and up </w:t>
      </w:r>
      <w:r w:rsidR="00292C16">
        <w:rPr>
          <w:rFonts w:cstheme="minorHAnsi"/>
          <w:szCs w:val="20"/>
          <w:lang w:val="en-GB"/>
        </w:rPr>
        <w:t>until</w:t>
      </w:r>
      <w:r w:rsidR="00E056C2" w:rsidRPr="00E056C2">
        <w:rPr>
          <w:rFonts w:cstheme="minorHAnsi"/>
          <w:szCs w:val="20"/>
          <w:lang w:val="en-GB"/>
        </w:rPr>
        <w:t xml:space="preserve"> </w:t>
      </w:r>
      <w:r w:rsidR="006E0C85">
        <w:rPr>
          <w:rFonts w:cstheme="minorHAnsi"/>
          <w:szCs w:val="20"/>
          <w:lang w:val="en-GB"/>
        </w:rPr>
        <w:t>2 October</w:t>
      </w:r>
      <w:r w:rsidR="00E056C2" w:rsidRPr="00E056C2">
        <w:rPr>
          <w:rFonts w:cstheme="minorHAnsi"/>
          <w:szCs w:val="20"/>
          <w:lang w:val="en-GB"/>
        </w:rPr>
        <w:t xml:space="preserve"> 2021</w:t>
      </w:r>
      <w:r>
        <w:rPr>
          <w:rFonts w:cstheme="minorHAnsi"/>
          <w:szCs w:val="20"/>
          <w:lang w:val="en-GB"/>
        </w:rPr>
        <w:t xml:space="preserve">, it </w:t>
      </w:r>
      <w:r w:rsidR="00E056C2" w:rsidRPr="00E056C2">
        <w:rPr>
          <w:rFonts w:cstheme="minorHAnsi"/>
          <w:szCs w:val="20"/>
          <w:lang w:val="en-GB"/>
        </w:rPr>
        <w:t xml:space="preserve">has found and cleared </w:t>
      </w:r>
      <w:r w:rsidR="006E0C85">
        <w:rPr>
          <w:rFonts w:cstheme="minorHAnsi"/>
          <w:szCs w:val="20"/>
          <w:lang w:val="en-GB"/>
        </w:rPr>
        <w:t>11 062</w:t>
      </w:r>
      <w:r w:rsidR="00E056C2" w:rsidRPr="00E056C2">
        <w:rPr>
          <w:rFonts w:cstheme="minorHAnsi"/>
          <w:szCs w:val="20"/>
          <w:lang w:val="en-GB"/>
        </w:rPr>
        <w:t xml:space="preserve"> pieces of unexploded ordnance, </w:t>
      </w:r>
      <w:r w:rsidR="006E0C85">
        <w:rPr>
          <w:rFonts w:cstheme="minorHAnsi"/>
          <w:szCs w:val="20"/>
          <w:lang w:val="en-GB"/>
        </w:rPr>
        <w:t>9 835</w:t>
      </w:r>
      <w:r w:rsidR="00E056C2" w:rsidRPr="00E056C2">
        <w:rPr>
          <w:rFonts w:cstheme="minorHAnsi"/>
          <w:szCs w:val="20"/>
          <w:lang w:val="en-GB"/>
        </w:rPr>
        <w:t xml:space="preserve"> pieces of anti-personnel mines and 4</w:t>
      </w:r>
      <w:r w:rsidR="006E0C85">
        <w:rPr>
          <w:rFonts w:cstheme="minorHAnsi"/>
          <w:szCs w:val="20"/>
          <w:lang w:val="en-GB"/>
        </w:rPr>
        <w:t> 175</w:t>
      </w:r>
      <w:r w:rsidR="00E056C2" w:rsidRPr="00E056C2">
        <w:rPr>
          <w:rFonts w:cstheme="minorHAnsi"/>
          <w:szCs w:val="20"/>
          <w:lang w:val="en-GB"/>
        </w:rPr>
        <w:t xml:space="preserve"> pieces of anti-tank mines</w:t>
      </w:r>
      <w:r w:rsidR="00360BA6">
        <w:rPr>
          <w:rFonts w:cstheme="minorHAnsi"/>
          <w:szCs w:val="20"/>
          <w:lang w:val="en-GB"/>
        </w:rPr>
        <w:t xml:space="preserve">, with a </w:t>
      </w:r>
      <w:r w:rsidR="00E056C2" w:rsidRPr="00E056C2">
        <w:rPr>
          <w:rFonts w:cstheme="minorHAnsi"/>
          <w:szCs w:val="20"/>
          <w:lang w:val="en-GB"/>
        </w:rPr>
        <w:t>cleared territory represent</w:t>
      </w:r>
      <w:r w:rsidR="00360BA6">
        <w:rPr>
          <w:rFonts w:cstheme="minorHAnsi"/>
          <w:szCs w:val="20"/>
          <w:lang w:val="en-GB"/>
        </w:rPr>
        <w:t>ing</w:t>
      </w:r>
      <w:r w:rsidR="00E056C2" w:rsidRPr="00E056C2">
        <w:rPr>
          <w:rFonts w:cstheme="minorHAnsi"/>
          <w:szCs w:val="20"/>
          <w:lang w:val="en-GB"/>
        </w:rPr>
        <w:t xml:space="preserve"> </w:t>
      </w:r>
      <w:r w:rsidR="006E0C85">
        <w:rPr>
          <w:rFonts w:cstheme="minorHAnsi"/>
          <w:szCs w:val="20"/>
          <w:lang w:val="en-GB"/>
        </w:rPr>
        <w:t>5 537 hectares</w:t>
      </w:r>
      <w:r w:rsidR="00360BA6">
        <w:rPr>
          <w:rFonts w:cstheme="minorHAnsi"/>
          <w:szCs w:val="20"/>
          <w:lang w:val="en-GB"/>
        </w:rPr>
        <w:t>.</w:t>
      </w:r>
      <w:r w:rsidR="00E056C2" w:rsidRPr="00E056C2">
        <w:rPr>
          <w:rFonts w:cstheme="minorHAnsi"/>
          <w:szCs w:val="20"/>
          <w:vertAlign w:val="superscript"/>
          <w:lang w:val="en-GB"/>
        </w:rPr>
        <w:footnoteReference w:id="22"/>
      </w:r>
      <w:r w:rsidR="00E056C2" w:rsidRPr="00E056C2">
        <w:rPr>
          <w:rFonts w:cstheme="minorHAnsi"/>
          <w:szCs w:val="20"/>
          <w:lang w:val="en-GB"/>
        </w:rPr>
        <w:t xml:space="preserve"> Azerbaijani officials have given varying timelines as to how long clearing will take, while ANAMA’s head of operations estimated that it </w:t>
      </w:r>
      <w:r w:rsidR="00292C16">
        <w:rPr>
          <w:rFonts w:cstheme="minorHAnsi"/>
          <w:szCs w:val="20"/>
          <w:lang w:val="en-GB"/>
        </w:rPr>
        <w:t>could</w:t>
      </w:r>
      <w:r w:rsidR="00E056C2" w:rsidRPr="00E056C2">
        <w:rPr>
          <w:rFonts w:cstheme="minorHAnsi"/>
          <w:szCs w:val="20"/>
          <w:lang w:val="en-GB"/>
        </w:rPr>
        <w:t xml:space="preserve"> take up to 10 years to completely demine the territory</w:t>
      </w:r>
      <w:r w:rsidR="00360BA6">
        <w:rPr>
          <w:rFonts w:cstheme="minorHAnsi"/>
          <w:szCs w:val="20"/>
          <w:lang w:val="en-GB"/>
        </w:rPr>
        <w:t>.</w:t>
      </w:r>
      <w:r w:rsidR="00E056C2" w:rsidRPr="00E056C2">
        <w:rPr>
          <w:rFonts w:cstheme="minorHAnsi"/>
          <w:szCs w:val="20"/>
          <w:vertAlign w:val="superscript"/>
          <w:lang w:val="en-GB"/>
        </w:rPr>
        <w:footnoteReference w:id="23"/>
      </w:r>
      <w:r w:rsidR="00360BA6">
        <w:rPr>
          <w:rFonts w:cstheme="minorHAnsi"/>
          <w:szCs w:val="20"/>
          <w:lang w:val="en-GB"/>
        </w:rPr>
        <w:t xml:space="preserve"> </w:t>
      </w:r>
      <w:r w:rsidR="007979F9">
        <w:rPr>
          <w:rFonts w:cstheme="minorHAnsi"/>
          <w:szCs w:val="20"/>
        </w:rPr>
        <w:t xml:space="preserve">Demining activities in Nagorno-Karabakh are currently carried out by </w:t>
      </w:r>
      <w:r w:rsidR="00755F08">
        <w:rPr>
          <w:rFonts w:cstheme="minorHAnsi"/>
          <w:szCs w:val="20"/>
        </w:rPr>
        <w:t xml:space="preserve">the Russian peacekeeping forces and the local duty-holders in charge of demining as well as </w:t>
      </w:r>
      <w:r w:rsidR="007979F9">
        <w:rPr>
          <w:rFonts w:cstheme="minorHAnsi"/>
          <w:szCs w:val="20"/>
        </w:rPr>
        <w:t xml:space="preserve">the HALO Trust (a British charity). </w:t>
      </w:r>
      <w:r w:rsidR="007979F9">
        <w:rPr>
          <w:rFonts w:cstheme="minorHAnsi"/>
          <w:szCs w:val="20"/>
          <w:lang w:val="en-GB"/>
        </w:rPr>
        <w:t>Since 23</w:t>
      </w:r>
      <w:r w:rsidR="007979F9" w:rsidRPr="00883603">
        <w:rPr>
          <w:rFonts w:cstheme="minorHAnsi"/>
          <w:szCs w:val="20"/>
        </w:rPr>
        <w:t xml:space="preserve"> November 2020, </w:t>
      </w:r>
      <w:r w:rsidR="007979F9">
        <w:rPr>
          <w:rFonts w:cstheme="minorHAnsi"/>
          <w:szCs w:val="20"/>
        </w:rPr>
        <w:t xml:space="preserve">demining units </w:t>
      </w:r>
      <w:r w:rsidR="007979F9">
        <w:rPr>
          <w:rFonts w:cstheme="minorHAnsi"/>
          <w:szCs w:val="20"/>
        </w:rPr>
        <w:lastRenderedPageBreak/>
        <w:t xml:space="preserve">of the </w:t>
      </w:r>
      <w:r w:rsidR="007979F9" w:rsidRPr="00AE1C44">
        <w:rPr>
          <w:rFonts w:cstheme="minorHAnsi"/>
          <w:szCs w:val="20"/>
        </w:rPr>
        <w:t>Russian</w:t>
      </w:r>
      <w:r w:rsidR="007979F9">
        <w:rPr>
          <w:rFonts w:cstheme="minorHAnsi"/>
          <w:szCs w:val="20"/>
        </w:rPr>
        <w:t xml:space="preserve"> peacekeeping forces </w:t>
      </w:r>
      <w:r w:rsidR="007979F9" w:rsidRPr="00883603">
        <w:rPr>
          <w:rFonts w:cstheme="minorHAnsi"/>
          <w:szCs w:val="20"/>
        </w:rPr>
        <w:t>have cleared more than 683 kilometers of roads and more than 2</w:t>
      </w:r>
      <w:r w:rsidR="00292C16">
        <w:rPr>
          <w:rFonts w:cstheme="minorHAnsi"/>
          <w:szCs w:val="20"/>
        </w:rPr>
        <w:t xml:space="preserve"> </w:t>
      </w:r>
      <w:r w:rsidR="007979F9" w:rsidRPr="00883603">
        <w:rPr>
          <w:rFonts w:cstheme="minorHAnsi"/>
          <w:szCs w:val="20"/>
        </w:rPr>
        <w:t>281 hectares of territory and</w:t>
      </w:r>
      <w:r w:rsidR="007979F9">
        <w:rPr>
          <w:rFonts w:cstheme="minorHAnsi"/>
          <w:szCs w:val="20"/>
        </w:rPr>
        <w:t xml:space="preserve"> </w:t>
      </w:r>
      <w:r w:rsidR="00292C16">
        <w:rPr>
          <w:rFonts w:cstheme="minorHAnsi"/>
          <w:szCs w:val="20"/>
        </w:rPr>
        <w:t xml:space="preserve">have </w:t>
      </w:r>
      <w:r w:rsidR="007979F9" w:rsidRPr="00883603">
        <w:rPr>
          <w:rFonts w:cstheme="minorHAnsi"/>
          <w:szCs w:val="20"/>
        </w:rPr>
        <w:t>discovered and destroyed 25</w:t>
      </w:r>
      <w:r w:rsidR="00292C16">
        <w:rPr>
          <w:rFonts w:cstheme="minorHAnsi"/>
          <w:szCs w:val="20"/>
        </w:rPr>
        <w:t xml:space="preserve"> </w:t>
      </w:r>
      <w:r w:rsidR="007979F9" w:rsidRPr="00883603">
        <w:rPr>
          <w:rFonts w:cstheme="minorHAnsi"/>
          <w:szCs w:val="20"/>
        </w:rPr>
        <w:t>803 explosive objects</w:t>
      </w:r>
      <w:r w:rsidR="007979F9">
        <w:rPr>
          <w:rFonts w:cstheme="minorHAnsi"/>
          <w:szCs w:val="20"/>
        </w:rPr>
        <w:t>.</w:t>
      </w:r>
      <w:r w:rsidR="007979F9">
        <w:rPr>
          <w:rStyle w:val="FootnoteReference"/>
          <w:rFonts w:cstheme="minorHAnsi"/>
          <w:szCs w:val="20"/>
        </w:rPr>
        <w:footnoteReference w:id="24"/>
      </w:r>
    </w:p>
    <w:p w14:paraId="07D65693" w14:textId="6FE1469D" w:rsidR="00BC1197" w:rsidRPr="00AA3FA2" w:rsidRDefault="00BC1197" w:rsidP="00AA3FA2">
      <w:pPr>
        <w:tabs>
          <w:tab w:val="left" w:pos="1613"/>
        </w:tabs>
        <w:spacing w:after="0" w:line="240" w:lineRule="auto"/>
        <w:ind w:left="357"/>
        <w:jc w:val="both"/>
        <w:rPr>
          <w:rFonts w:cstheme="minorHAnsi"/>
          <w:szCs w:val="20"/>
          <w:lang w:val="hu-HU"/>
        </w:rPr>
      </w:pPr>
    </w:p>
    <w:p w14:paraId="5EEFB2B7" w14:textId="1DB565E6" w:rsidR="00D00170" w:rsidRDefault="00261C50" w:rsidP="00D00170">
      <w:pPr>
        <w:numPr>
          <w:ilvl w:val="0"/>
          <w:numId w:val="2"/>
        </w:numPr>
        <w:tabs>
          <w:tab w:val="left" w:pos="1613"/>
        </w:tabs>
        <w:spacing w:after="0" w:line="240" w:lineRule="auto"/>
        <w:ind w:left="714" w:hanging="357"/>
        <w:jc w:val="both"/>
        <w:rPr>
          <w:rFonts w:cstheme="minorHAnsi"/>
          <w:szCs w:val="20"/>
          <w:lang w:val="hu-HU"/>
        </w:rPr>
      </w:pPr>
      <w:r>
        <w:rPr>
          <w:rFonts w:cstheme="minorHAnsi"/>
          <w:szCs w:val="20"/>
          <w:lang w:val="hu-HU"/>
        </w:rPr>
        <w:t>Untill the affected areas are fully cleared of mines and explosive remnants of war, they should be</w:t>
      </w:r>
      <w:r w:rsidR="00FE39BC">
        <w:rPr>
          <w:rFonts w:cstheme="minorHAnsi"/>
          <w:szCs w:val="20"/>
          <w:lang w:val="hu-HU"/>
        </w:rPr>
        <w:t xml:space="preserve"> </w:t>
      </w:r>
      <w:r>
        <w:rPr>
          <w:rFonts w:cstheme="minorHAnsi"/>
          <w:szCs w:val="20"/>
          <w:lang w:val="hu-HU"/>
        </w:rPr>
        <w:t>clearly</w:t>
      </w:r>
      <w:r w:rsidR="00D00170" w:rsidRPr="00D00170">
        <w:rPr>
          <w:rFonts w:cstheme="minorHAnsi"/>
          <w:szCs w:val="20"/>
          <w:lang w:val="hu-HU"/>
        </w:rPr>
        <w:t xml:space="preserve"> marked, fenced and monitored to protect the population. </w:t>
      </w:r>
      <w:r>
        <w:rPr>
          <w:rFonts w:cstheme="minorHAnsi"/>
          <w:szCs w:val="20"/>
          <w:lang w:val="hu-HU"/>
        </w:rPr>
        <w:t>The Commissioner</w:t>
      </w:r>
      <w:r w:rsidR="00D14AD8">
        <w:rPr>
          <w:rFonts w:cstheme="minorHAnsi"/>
          <w:szCs w:val="20"/>
          <w:lang w:val="hu-HU"/>
        </w:rPr>
        <w:t xml:space="preserve"> </w:t>
      </w:r>
      <w:r w:rsidR="00D00170" w:rsidRPr="00D00170">
        <w:rPr>
          <w:rFonts w:cstheme="minorHAnsi"/>
          <w:szCs w:val="20"/>
          <w:lang w:val="hu-HU"/>
        </w:rPr>
        <w:t>note</w:t>
      </w:r>
      <w:r w:rsidR="00D14AD8">
        <w:rPr>
          <w:rFonts w:cstheme="minorHAnsi"/>
          <w:szCs w:val="20"/>
          <w:lang w:val="hu-HU"/>
        </w:rPr>
        <w:t>s</w:t>
      </w:r>
      <w:r w:rsidR="00D00170" w:rsidRPr="00D00170">
        <w:rPr>
          <w:rFonts w:cstheme="minorHAnsi"/>
          <w:szCs w:val="20"/>
          <w:lang w:val="hu-HU"/>
        </w:rPr>
        <w:t xml:space="preserve"> in this regard that the European Court of Human Rights has found positive obligations to arise under Article 2 of the</w:t>
      </w:r>
      <w:r w:rsidR="00D14AD8">
        <w:rPr>
          <w:rFonts w:cstheme="minorHAnsi"/>
          <w:szCs w:val="20"/>
          <w:lang w:val="hu-HU"/>
        </w:rPr>
        <w:t xml:space="preserve"> Europe</w:t>
      </w:r>
      <w:r w:rsidR="00292C16">
        <w:rPr>
          <w:rFonts w:cstheme="minorHAnsi"/>
          <w:szCs w:val="20"/>
          <w:lang w:val="hu-HU"/>
        </w:rPr>
        <w:t>a</w:t>
      </w:r>
      <w:r w:rsidR="00D14AD8">
        <w:rPr>
          <w:rFonts w:cstheme="minorHAnsi"/>
          <w:szCs w:val="20"/>
          <w:lang w:val="hu-HU"/>
        </w:rPr>
        <w:t>n</w:t>
      </w:r>
      <w:r w:rsidR="00D00170" w:rsidRPr="00D00170">
        <w:rPr>
          <w:rFonts w:cstheme="minorHAnsi"/>
          <w:szCs w:val="20"/>
          <w:lang w:val="hu-HU"/>
        </w:rPr>
        <w:t xml:space="preserve"> Convention</w:t>
      </w:r>
      <w:r w:rsidR="00D14AD8">
        <w:rPr>
          <w:rFonts w:cstheme="minorHAnsi"/>
          <w:szCs w:val="20"/>
          <w:lang w:val="hu-HU"/>
        </w:rPr>
        <w:t xml:space="preserve"> on Human Rights</w:t>
      </w:r>
      <w:r w:rsidR="00D00170" w:rsidRPr="00D00170">
        <w:rPr>
          <w:rFonts w:cstheme="minorHAnsi"/>
          <w:szCs w:val="20"/>
          <w:lang w:val="hu-HU"/>
        </w:rPr>
        <w:t xml:space="preserve">, protecting the right to life, in the context of a </w:t>
      </w:r>
      <w:r w:rsidR="00581F0E">
        <w:rPr>
          <w:rFonts w:cstheme="minorHAnsi"/>
          <w:szCs w:val="20"/>
          <w:lang w:val="hu-HU"/>
        </w:rPr>
        <w:t>s</w:t>
      </w:r>
      <w:r w:rsidR="00D00170" w:rsidRPr="00D00170">
        <w:rPr>
          <w:rFonts w:cstheme="minorHAnsi"/>
          <w:szCs w:val="20"/>
          <w:lang w:val="hu-HU"/>
        </w:rPr>
        <w:t>tate’s failure to locate and deactivate mines.</w:t>
      </w:r>
      <w:r w:rsidR="00D14AD8">
        <w:rPr>
          <w:rFonts w:cstheme="minorHAnsi"/>
          <w:szCs w:val="20"/>
          <w:lang w:val="hu-HU"/>
        </w:rPr>
        <w:t xml:space="preserve"> </w:t>
      </w:r>
      <w:r w:rsidR="00D14AD8" w:rsidRPr="00E056C2">
        <w:rPr>
          <w:rFonts w:cstheme="minorHAnsi"/>
          <w:szCs w:val="20"/>
          <w:lang w:val="en-GB"/>
        </w:rPr>
        <w:t xml:space="preserve">The Court </w:t>
      </w:r>
      <w:r w:rsidR="00D14AD8">
        <w:rPr>
          <w:rFonts w:cstheme="minorHAnsi"/>
          <w:szCs w:val="20"/>
          <w:lang w:val="en-GB"/>
        </w:rPr>
        <w:t xml:space="preserve">indicated that, </w:t>
      </w:r>
      <w:proofErr w:type="gramStart"/>
      <w:r w:rsidR="00D14AD8">
        <w:rPr>
          <w:rFonts w:cstheme="minorHAnsi"/>
          <w:szCs w:val="20"/>
          <w:lang w:val="en-GB"/>
        </w:rPr>
        <w:t>in order to</w:t>
      </w:r>
      <w:proofErr w:type="gramEnd"/>
      <w:r w:rsidR="00D14AD8">
        <w:rPr>
          <w:rFonts w:cstheme="minorHAnsi"/>
          <w:szCs w:val="20"/>
          <w:lang w:val="en-GB"/>
        </w:rPr>
        <w:t xml:space="preserve"> </w:t>
      </w:r>
      <w:r w:rsidR="00D14AD8" w:rsidRPr="00E056C2">
        <w:rPr>
          <w:rFonts w:cstheme="minorHAnsi"/>
          <w:szCs w:val="20"/>
          <w:lang w:val="en-GB"/>
        </w:rPr>
        <w:t>discharge its positive obligation under Article</w:t>
      </w:r>
      <w:r w:rsidR="00194DD6">
        <w:rPr>
          <w:rFonts w:cstheme="minorHAnsi"/>
          <w:szCs w:val="20"/>
          <w:lang w:val="en-GB"/>
        </w:rPr>
        <w:t> </w:t>
      </w:r>
      <w:r w:rsidR="00D14AD8" w:rsidRPr="00E056C2">
        <w:rPr>
          <w:rFonts w:cstheme="minorHAnsi"/>
          <w:szCs w:val="20"/>
          <w:lang w:val="en-GB"/>
        </w:rPr>
        <w:t>2</w:t>
      </w:r>
      <w:r w:rsidR="00194DD6">
        <w:rPr>
          <w:rFonts w:cstheme="minorHAnsi"/>
          <w:szCs w:val="20"/>
          <w:lang w:val="en-GB"/>
        </w:rPr>
        <w:t xml:space="preserve"> </w:t>
      </w:r>
      <w:r w:rsidR="00D14AD8" w:rsidRPr="00E056C2">
        <w:rPr>
          <w:rFonts w:cstheme="minorHAnsi"/>
          <w:szCs w:val="20"/>
          <w:lang w:val="en-GB"/>
        </w:rPr>
        <w:t xml:space="preserve">of the </w:t>
      </w:r>
      <w:r w:rsidR="007E61C5">
        <w:rPr>
          <w:rFonts w:cstheme="minorHAnsi"/>
          <w:szCs w:val="20"/>
          <w:lang w:val="en-GB"/>
        </w:rPr>
        <w:t>ECHR</w:t>
      </w:r>
      <w:r w:rsidR="00D14AD8">
        <w:rPr>
          <w:rFonts w:cstheme="minorHAnsi"/>
          <w:szCs w:val="20"/>
          <w:lang w:val="en-GB"/>
        </w:rPr>
        <w:t xml:space="preserve">, a </w:t>
      </w:r>
      <w:r w:rsidR="00581F0E">
        <w:rPr>
          <w:rFonts w:cstheme="minorHAnsi"/>
          <w:szCs w:val="20"/>
          <w:lang w:val="en-GB"/>
        </w:rPr>
        <w:t>s</w:t>
      </w:r>
      <w:r w:rsidR="00D14AD8">
        <w:rPr>
          <w:rFonts w:cstheme="minorHAnsi"/>
          <w:szCs w:val="20"/>
          <w:lang w:val="en-GB"/>
        </w:rPr>
        <w:t xml:space="preserve">tate has to make efforts </w:t>
      </w:r>
      <w:r w:rsidR="00D14AD8" w:rsidRPr="00E056C2">
        <w:rPr>
          <w:rFonts w:cstheme="minorHAnsi"/>
          <w:szCs w:val="20"/>
          <w:lang w:val="en-GB"/>
        </w:rPr>
        <w:t>to locate and deactivate mines</w:t>
      </w:r>
      <w:r w:rsidR="00D14AD8">
        <w:rPr>
          <w:rFonts w:cstheme="minorHAnsi"/>
          <w:szCs w:val="20"/>
          <w:lang w:val="en-GB"/>
        </w:rPr>
        <w:t xml:space="preserve">, to mark </w:t>
      </w:r>
      <w:r w:rsidR="00D14AD8" w:rsidRPr="00E056C2">
        <w:rPr>
          <w:rFonts w:cstheme="minorHAnsi"/>
          <w:szCs w:val="20"/>
          <w:lang w:val="en-GB"/>
        </w:rPr>
        <w:t xml:space="preserve">and seal off the area </w:t>
      </w:r>
      <w:r w:rsidR="00D14AD8">
        <w:rPr>
          <w:rFonts w:cstheme="minorHAnsi"/>
          <w:szCs w:val="20"/>
          <w:lang w:val="en-GB"/>
        </w:rPr>
        <w:t xml:space="preserve">concerned </w:t>
      </w:r>
      <w:r w:rsidR="00D14AD8" w:rsidRPr="00E056C2">
        <w:rPr>
          <w:rFonts w:cstheme="minorHAnsi"/>
          <w:szCs w:val="20"/>
          <w:lang w:val="en-GB"/>
        </w:rPr>
        <w:t>so as to prevent anybody from entering it</w:t>
      </w:r>
      <w:r w:rsidR="002942D4">
        <w:rPr>
          <w:rFonts w:cstheme="minorHAnsi"/>
          <w:szCs w:val="20"/>
          <w:lang w:val="en-GB"/>
        </w:rPr>
        <w:t xml:space="preserve"> </w:t>
      </w:r>
      <w:r w:rsidR="00D14AD8" w:rsidRPr="00E056C2">
        <w:rPr>
          <w:rFonts w:cstheme="minorHAnsi"/>
          <w:szCs w:val="20"/>
          <w:lang w:val="en-GB"/>
        </w:rPr>
        <w:t>freely,</w:t>
      </w:r>
      <w:r w:rsidR="002942D4">
        <w:rPr>
          <w:rFonts w:cstheme="minorHAnsi"/>
          <w:szCs w:val="20"/>
          <w:lang w:val="en-GB"/>
        </w:rPr>
        <w:t xml:space="preserve"> </w:t>
      </w:r>
      <w:r w:rsidR="00D14AD8" w:rsidRPr="00E056C2">
        <w:rPr>
          <w:rFonts w:cstheme="minorHAnsi"/>
          <w:szCs w:val="20"/>
          <w:lang w:val="en-GB"/>
        </w:rPr>
        <w:t>and</w:t>
      </w:r>
      <w:r w:rsidR="002942D4">
        <w:rPr>
          <w:rFonts w:cstheme="minorHAnsi"/>
          <w:szCs w:val="20"/>
          <w:lang w:val="en-GB"/>
        </w:rPr>
        <w:t xml:space="preserve"> </w:t>
      </w:r>
      <w:r w:rsidR="00D14AD8">
        <w:rPr>
          <w:rFonts w:cstheme="minorHAnsi"/>
          <w:szCs w:val="20"/>
          <w:lang w:val="en-GB"/>
        </w:rPr>
        <w:t>to</w:t>
      </w:r>
      <w:r w:rsidR="002942D4">
        <w:rPr>
          <w:rFonts w:cstheme="minorHAnsi"/>
          <w:szCs w:val="20"/>
          <w:lang w:val="en-GB"/>
        </w:rPr>
        <w:t xml:space="preserve"> </w:t>
      </w:r>
      <w:r w:rsidR="00D14AD8" w:rsidRPr="00E056C2">
        <w:rPr>
          <w:rFonts w:cstheme="minorHAnsi"/>
          <w:szCs w:val="20"/>
          <w:lang w:val="en-GB"/>
        </w:rPr>
        <w:t>comprehensively</w:t>
      </w:r>
      <w:r w:rsidR="002942D4">
        <w:rPr>
          <w:rFonts w:cstheme="minorHAnsi"/>
          <w:szCs w:val="20"/>
          <w:lang w:val="en-GB"/>
        </w:rPr>
        <w:t xml:space="preserve"> </w:t>
      </w:r>
      <w:r w:rsidR="00D14AD8" w:rsidRPr="00E056C2">
        <w:rPr>
          <w:rFonts w:cstheme="minorHAnsi"/>
          <w:szCs w:val="20"/>
          <w:lang w:val="en-GB"/>
        </w:rPr>
        <w:t>warn the residents of the</w:t>
      </w:r>
      <w:r w:rsidR="002942D4">
        <w:rPr>
          <w:rFonts w:cstheme="minorHAnsi"/>
          <w:szCs w:val="20"/>
          <w:lang w:val="en-GB"/>
        </w:rPr>
        <w:t xml:space="preserve"> </w:t>
      </w:r>
      <w:r w:rsidR="00D14AD8" w:rsidRPr="00E056C2">
        <w:rPr>
          <w:rFonts w:cstheme="minorHAnsi"/>
          <w:szCs w:val="20"/>
          <w:lang w:val="en-GB"/>
        </w:rPr>
        <w:t>location of the mines and the</w:t>
      </w:r>
      <w:r w:rsidR="002942D4">
        <w:rPr>
          <w:rFonts w:cstheme="minorHAnsi"/>
          <w:szCs w:val="20"/>
          <w:lang w:val="en-GB"/>
        </w:rPr>
        <w:t xml:space="preserve"> </w:t>
      </w:r>
      <w:r w:rsidR="00D14AD8" w:rsidRPr="00E056C2">
        <w:rPr>
          <w:rFonts w:cstheme="minorHAnsi"/>
          <w:szCs w:val="20"/>
          <w:lang w:val="en-GB"/>
        </w:rPr>
        <w:t>risks involved.</w:t>
      </w:r>
      <w:r w:rsidR="009C67BD">
        <w:rPr>
          <w:rStyle w:val="FootnoteReference"/>
          <w:rFonts w:cstheme="minorHAnsi"/>
          <w:szCs w:val="20"/>
          <w:lang w:val="en-GB"/>
        </w:rPr>
        <w:footnoteReference w:id="25"/>
      </w:r>
      <w:r w:rsidR="00FE39BC">
        <w:rPr>
          <w:rFonts w:cstheme="minorHAnsi"/>
          <w:szCs w:val="20"/>
          <w:lang w:val="en-GB"/>
        </w:rPr>
        <w:t xml:space="preserve"> </w:t>
      </w:r>
    </w:p>
    <w:p w14:paraId="76DFA66A" w14:textId="77777777" w:rsidR="00D00170" w:rsidRPr="00D00170" w:rsidRDefault="00D00170" w:rsidP="00D00170">
      <w:pPr>
        <w:tabs>
          <w:tab w:val="left" w:pos="1613"/>
        </w:tabs>
        <w:spacing w:after="0" w:line="240" w:lineRule="auto"/>
        <w:ind w:left="357"/>
        <w:jc w:val="both"/>
        <w:rPr>
          <w:rFonts w:cstheme="minorHAnsi"/>
          <w:szCs w:val="20"/>
          <w:lang w:val="hu-HU"/>
        </w:rPr>
      </w:pPr>
    </w:p>
    <w:p w14:paraId="20AAC8FC" w14:textId="3A1934D5" w:rsidR="00AD4A54" w:rsidRDefault="00CB3D1A" w:rsidP="00AD4A54">
      <w:pPr>
        <w:numPr>
          <w:ilvl w:val="0"/>
          <w:numId w:val="2"/>
        </w:numPr>
        <w:tabs>
          <w:tab w:val="left" w:pos="1613"/>
        </w:tabs>
        <w:spacing w:after="0" w:line="240" w:lineRule="auto"/>
        <w:ind w:left="714" w:hanging="357"/>
        <w:jc w:val="both"/>
        <w:rPr>
          <w:rFonts w:cstheme="minorHAnsi"/>
          <w:szCs w:val="20"/>
          <w:lang w:val="en-GB"/>
        </w:rPr>
      </w:pPr>
      <w:r>
        <w:rPr>
          <w:rFonts w:cstheme="minorHAnsi"/>
          <w:szCs w:val="20"/>
          <w:lang w:val="en-GB"/>
        </w:rPr>
        <w:t>The Commissioner</w:t>
      </w:r>
      <w:r w:rsidR="00D00170" w:rsidRPr="00D00170">
        <w:rPr>
          <w:rFonts w:cstheme="minorHAnsi"/>
          <w:szCs w:val="20"/>
          <w:lang w:val="en-GB"/>
        </w:rPr>
        <w:t xml:space="preserve"> call</w:t>
      </w:r>
      <w:r>
        <w:rPr>
          <w:rFonts w:cstheme="minorHAnsi"/>
          <w:szCs w:val="20"/>
          <w:lang w:val="en-GB"/>
        </w:rPr>
        <w:t>s</w:t>
      </w:r>
      <w:r w:rsidR="00D00170" w:rsidRPr="00D00170">
        <w:rPr>
          <w:rFonts w:cstheme="minorHAnsi"/>
          <w:szCs w:val="20"/>
          <w:lang w:val="en-GB"/>
        </w:rPr>
        <w:t xml:space="preserve"> on the parties to co</w:t>
      </w:r>
      <w:r w:rsidR="002942D4">
        <w:rPr>
          <w:rFonts w:cstheme="minorHAnsi"/>
          <w:szCs w:val="20"/>
          <w:lang w:val="en-GB"/>
        </w:rPr>
        <w:t>-</w:t>
      </w:r>
      <w:r w:rsidR="00D00170" w:rsidRPr="00D00170">
        <w:rPr>
          <w:rFonts w:cstheme="minorHAnsi"/>
          <w:szCs w:val="20"/>
          <w:lang w:val="en-GB"/>
        </w:rPr>
        <w:t xml:space="preserve">operate and proceed to the necessary exchange of data </w:t>
      </w:r>
      <w:proofErr w:type="gramStart"/>
      <w:r w:rsidR="00D00170" w:rsidRPr="00D00170">
        <w:rPr>
          <w:rFonts w:cstheme="minorHAnsi"/>
          <w:szCs w:val="20"/>
          <w:lang w:val="en-GB"/>
        </w:rPr>
        <w:t>so as to</w:t>
      </w:r>
      <w:proofErr w:type="gramEnd"/>
      <w:r w:rsidR="00D00170" w:rsidRPr="00D00170">
        <w:rPr>
          <w:rFonts w:cstheme="minorHAnsi"/>
          <w:szCs w:val="20"/>
          <w:lang w:val="en-GB"/>
        </w:rPr>
        <w:t xml:space="preserve"> enable swift demining. </w:t>
      </w:r>
      <w:r w:rsidR="00AD4A54">
        <w:rPr>
          <w:rFonts w:cstheme="minorHAnsi"/>
          <w:szCs w:val="20"/>
          <w:lang w:val="en-GB"/>
        </w:rPr>
        <w:t xml:space="preserve">In this respect, the Commissioner welcomes </w:t>
      </w:r>
      <w:r w:rsidR="00AD4A54" w:rsidRPr="00DC20CB">
        <w:rPr>
          <w:rFonts w:cstheme="minorHAnsi"/>
          <w:szCs w:val="20"/>
        </w:rPr>
        <w:t>the handing over</w:t>
      </w:r>
      <w:r w:rsidR="00AD4A54">
        <w:rPr>
          <w:rFonts w:cstheme="minorHAnsi"/>
          <w:szCs w:val="20"/>
        </w:rPr>
        <w:t xml:space="preserve"> by Armenia</w:t>
      </w:r>
      <w:r w:rsidR="00AD4A54" w:rsidRPr="00DC20CB">
        <w:rPr>
          <w:rFonts w:cstheme="minorHAnsi"/>
          <w:szCs w:val="20"/>
        </w:rPr>
        <w:t xml:space="preserve"> to Azerbaijan of a map showing almost 100</w:t>
      </w:r>
      <w:r w:rsidR="002942D4">
        <w:rPr>
          <w:rFonts w:cstheme="minorHAnsi"/>
          <w:szCs w:val="20"/>
        </w:rPr>
        <w:t xml:space="preserve"> </w:t>
      </w:r>
      <w:r w:rsidR="00AD4A54" w:rsidRPr="00DC20CB">
        <w:rPr>
          <w:rFonts w:cstheme="minorHAnsi"/>
          <w:szCs w:val="20"/>
        </w:rPr>
        <w:t xml:space="preserve">000 landmines in the </w:t>
      </w:r>
      <w:proofErr w:type="spellStart"/>
      <w:r w:rsidR="00AD4A54" w:rsidRPr="00DC20CB">
        <w:rPr>
          <w:rFonts w:cstheme="minorHAnsi"/>
          <w:szCs w:val="20"/>
        </w:rPr>
        <w:t>Agdam</w:t>
      </w:r>
      <w:proofErr w:type="spellEnd"/>
      <w:r w:rsidR="00AD4A54" w:rsidRPr="00DC20CB">
        <w:rPr>
          <w:rFonts w:cstheme="minorHAnsi"/>
          <w:szCs w:val="20"/>
        </w:rPr>
        <w:t xml:space="preserve"> region</w:t>
      </w:r>
      <w:r w:rsidR="00AD4A54">
        <w:rPr>
          <w:rFonts w:cstheme="minorHAnsi"/>
          <w:szCs w:val="20"/>
          <w:lang w:val="en-GB"/>
        </w:rPr>
        <w:t xml:space="preserve"> on 12</w:t>
      </w:r>
      <w:r w:rsidR="002942D4">
        <w:rPr>
          <w:rFonts w:cstheme="minorHAnsi"/>
          <w:szCs w:val="20"/>
          <w:lang w:val="en-GB"/>
        </w:rPr>
        <w:t xml:space="preserve"> </w:t>
      </w:r>
      <w:r w:rsidR="00AD4A54" w:rsidRPr="00D14AD8">
        <w:rPr>
          <w:rFonts w:cstheme="minorHAnsi"/>
          <w:szCs w:val="20"/>
          <w:lang w:val="en-GB"/>
        </w:rPr>
        <w:t>June</w:t>
      </w:r>
      <w:r w:rsidR="002942D4">
        <w:rPr>
          <w:rFonts w:cstheme="minorHAnsi"/>
          <w:szCs w:val="20"/>
          <w:lang w:val="en-GB"/>
        </w:rPr>
        <w:t xml:space="preserve"> </w:t>
      </w:r>
      <w:r w:rsidR="00AD4A54">
        <w:rPr>
          <w:rFonts w:cstheme="minorHAnsi"/>
          <w:szCs w:val="20"/>
          <w:lang w:val="en-GB"/>
        </w:rPr>
        <w:t xml:space="preserve">2021 and of </w:t>
      </w:r>
      <w:r w:rsidR="00AD4A54" w:rsidRPr="00D14AD8">
        <w:rPr>
          <w:rFonts w:cstheme="minorHAnsi"/>
          <w:szCs w:val="20"/>
          <w:lang w:val="en-GB"/>
        </w:rPr>
        <w:t>maps</w:t>
      </w:r>
      <w:r w:rsidR="00AD4A54">
        <w:rPr>
          <w:rFonts w:cstheme="minorHAnsi"/>
          <w:szCs w:val="20"/>
          <w:lang w:val="en-GB"/>
        </w:rPr>
        <w:t xml:space="preserve"> of 92</w:t>
      </w:r>
      <w:r w:rsidR="002942D4">
        <w:rPr>
          <w:rFonts w:cstheme="minorHAnsi"/>
          <w:szCs w:val="20"/>
          <w:lang w:val="en-GB"/>
        </w:rPr>
        <w:t xml:space="preserve"> </w:t>
      </w:r>
      <w:r w:rsidR="00AD4A54">
        <w:rPr>
          <w:rFonts w:cstheme="minorHAnsi"/>
          <w:szCs w:val="20"/>
          <w:lang w:val="en-GB"/>
        </w:rPr>
        <w:t xml:space="preserve">000 mines in the </w:t>
      </w:r>
      <w:proofErr w:type="spellStart"/>
      <w:r w:rsidR="00AD4A54" w:rsidRPr="00D14AD8">
        <w:rPr>
          <w:rFonts w:cstheme="minorHAnsi"/>
          <w:szCs w:val="20"/>
          <w:lang w:val="en-GB"/>
        </w:rPr>
        <w:t>Fuzuli</w:t>
      </w:r>
      <w:proofErr w:type="spellEnd"/>
      <w:r w:rsidR="00AD4A54" w:rsidRPr="00D14AD8">
        <w:rPr>
          <w:rFonts w:cstheme="minorHAnsi"/>
          <w:szCs w:val="20"/>
          <w:lang w:val="en-GB"/>
        </w:rPr>
        <w:t xml:space="preserve"> and </w:t>
      </w:r>
      <w:proofErr w:type="spellStart"/>
      <w:r w:rsidR="00AD4A54" w:rsidRPr="00D14AD8">
        <w:rPr>
          <w:rFonts w:cstheme="minorHAnsi"/>
          <w:szCs w:val="20"/>
          <w:lang w:val="en-GB"/>
        </w:rPr>
        <w:t>Zangilan</w:t>
      </w:r>
      <w:proofErr w:type="spellEnd"/>
      <w:r w:rsidR="00AD4A54">
        <w:rPr>
          <w:rFonts w:cstheme="minorHAnsi"/>
          <w:szCs w:val="20"/>
          <w:lang w:val="en-GB"/>
        </w:rPr>
        <w:t xml:space="preserve"> districts </w:t>
      </w:r>
      <w:r w:rsidR="00AD4A54" w:rsidRPr="00D14AD8">
        <w:rPr>
          <w:rFonts w:cstheme="minorHAnsi"/>
          <w:szCs w:val="20"/>
          <w:lang w:val="en-GB"/>
        </w:rPr>
        <w:t xml:space="preserve">on </w:t>
      </w:r>
      <w:r w:rsidR="00AD4A54">
        <w:rPr>
          <w:rFonts w:cstheme="minorHAnsi"/>
          <w:szCs w:val="20"/>
          <w:lang w:val="en-GB"/>
        </w:rPr>
        <w:t>3</w:t>
      </w:r>
      <w:r w:rsidR="002942D4">
        <w:rPr>
          <w:rFonts w:cstheme="minorHAnsi"/>
          <w:szCs w:val="20"/>
          <w:lang w:val="en-GB"/>
        </w:rPr>
        <w:t xml:space="preserve"> </w:t>
      </w:r>
      <w:r w:rsidR="00AD4A54" w:rsidRPr="00D14AD8">
        <w:rPr>
          <w:rFonts w:cstheme="minorHAnsi"/>
          <w:szCs w:val="20"/>
          <w:lang w:val="en-GB"/>
        </w:rPr>
        <w:t>July</w:t>
      </w:r>
      <w:r w:rsidR="002942D4">
        <w:rPr>
          <w:rFonts w:cstheme="minorHAnsi"/>
          <w:szCs w:val="20"/>
          <w:lang w:val="en-GB"/>
        </w:rPr>
        <w:t xml:space="preserve"> </w:t>
      </w:r>
      <w:r w:rsidR="00AD4A54">
        <w:rPr>
          <w:rFonts w:cstheme="minorHAnsi"/>
          <w:szCs w:val="20"/>
          <w:lang w:val="en-GB"/>
        </w:rPr>
        <w:t>2021</w:t>
      </w:r>
      <w:r w:rsidR="00250AEB">
        <w:rPr>
          <w:rFonts w:cstheme="minorHAnsi"/>
          <w:szCs w:val="20"/>
          <w:lang w:val="en-GB"/>
        </w:rPr>
        <w:t xml:space="preserve">. She hopes that this process will continue until all maps are made available to those in charge of the demining activities. </w:t>
      </w:r>
    </w:p>
    <w:p w14:paraId="19B66600" w14:textId="77777777" w:rsidR="006B7EE7" w:rsidRPr="006B7EE7" w:rsidRDefault="006B7EE7" w:rsidP="006B7EE7">
      <w:pPr>
        <w:tabs>
          <w:tab w:val="left" w:pos="1613"/>
        </w:tabs>
        <w:spacing w:after="0" w:line="240" w:lineRule="auto"/>
        <w:ind w:left="714"/>
        <w:jc w:val="both"/>
        <w:rPr>
          <w:rFonts w:cstheme="minorHAnsi"/>
          <w:szCs w:val="20"/>
          <w:lang w:val="en-GB"/>
        </w:rPr>
      </w:pPr>
    </w:p>
    <w:p w14:paraId="4A6676C6" w14:textId="0BF64DB1" w:rsidR="00B12CE7" w:rsidRPr="00F63037" w:rsidRDefault="00B12CE7" w:rsidP="00F63037">
      <w:pPr>
        <w:numPr>
          <w:ilvl w:val="0"/>
          <w:numId w:val="2"/>
        </w:numPr>
        <w:tabs>
          <w:tab w:val="left" w:pos="1613"/>
        </w:tabs>
        <w:spacing w:after="0" w:line="240" w:lineRule="auto"/>
        <w:ind w:left="714" w:hanging="357"/>
        <w:jc w:val="both"/>
        <w:rPr>
          <w:rFonts w:cstheme="minorHAnsi"/>
          <w:szCs w:val="20"/>
          <w:lang w:val="en-GB"/>
        </w:rPr>
      </w:pPr>
      <w:r w:rsidRPr="00E91723">
        <w:rPr>
          <w:rFonts w:cstheme="minorHAnsi"/>
          <w:szCs w:val="20"/>
        </w:rPr>
        <w:t>International co</w:t>
      </w:r>
      <w:r w:rsidR="009F5484">
        <w:rPr>
          <w:rFonts w:cstheme="minorHAnsi"/>
          <w:szCs w:val="20"/>
        </w:rPr>
        <w:t>-</w:t>
      </w:r>
      <w:r w:rsidRPr="00E91723">
        <w:rPr>
          <w:rFonts w:cstheme="minorHAnsi"/>
          <w:szCs w:val="20"/>
        </w:rPr>
        <w:t xml:space="preserve">operation and assistance are needed for the urgent clearance and destruction of remnants of war. </w:t>
      </w:r>
      <w:r w:rsidR="00D00170" w:rsidRPr="00D00170">
        <w:rPr>
          <w:rFonts w:cstheme="minorHAnsi"/>
          <w:szCs w:val="20"/>
          <w:lang w:val="en-GB"/>
        </w:rPr>
        <w:t>This is crucial to prevent further losses of life</w:t>
      </w:r>
      <w:r w:rsidR="00F63037" w:rsidRPr="00F63037">
        <w:rPr>
          <w:rFonts w:cstheme="minorHAnsi"/>
          <w:szCs w:val="20"/>
        </w:rPr>
        <w:t xml:space="preserve"> </w:t>
      </w:r>
      <w:r w:rsidR="00F63037" w:rsidRPr="00E91723">
        <w:rPr>
          <w:rFonts w:cstheme="minorHAnsi"/>
          <w:szCs w:val="20"/>
        </w:rPr>
        <w:t>and severe injuries</w:t>
      </w:r>
      <w:r w:rsidR="00D00170" w:rsidRPr="00D00170">
        <w:rPr>
          <w:rFonts w:cstheme="minorHAnsi"/>
          <w:szCs w:val="20"/>
          <w:lang w:val="en-GB"/>
        </w:rPr>
        <w:t xml:space="preserve">, eliminate the dangers associated with the presence of explosive remnants of war and mines and speed up the process of recovery of missing bodies. </w:t>
      </w:r>
      <w:r w:rsidRPr="00F63037">
        <w:rPr>
          <w:rFonts w:cstheme="minorHAnsi"/>
          <w:szCs w:val="20"/>
        </w:rPr>
        <w:t xml:space="preserve">Appropriate awareness raising campaigns </w:t>
      </w:r>
      <w:r w:rsidR="00F63037" w:rsidRPr="00F63037">
        <w:rPr>
          <w:rFonts w:cstheme="minorHAnsi"/>
          <w:szCs w:val="20"/>
        </w:rPr>
        <w:t>among the population</w:t>
      </w:r>
      <w:r w:rsidR="00C350A5">
        <w:rPr>
          <w:rFonts w:cstheme="minorHAnsi"/>
          <w:szCs w:val="20"/>
        </w:rPr>
        <w:t>, including children,</w:t>
      </w:r>
      <w:r w:rsidR="00F63037" w:rsidRPr="00F63037">
        <w:rPr>
          <w:rFonts w:cstheme="minorHAnsi"/>
          <w:szCs w:val="20"/>
        </w:rPr>
        <w:t xml:space="preserve"> </w:t>
      </w:r>
      <w:r w:rsidRPr="00F63037">
        <w:rPr>
          <w:rFonts w:cstheme="minorHAnsi"/>
          <w:szCs w:val="20"/>
        </w:rPr>
        <w:t>about the risks</w:t>
      </w:r>
      <w:r w:rsidR="00AA1FC5">
        <w:rPr>
          <w:rFonts w:cstheme="minorHAnsi"/>
          <w:szCs w:val="20"/>
        </w:rPr>
        <w:t xml:space="preserve"> presented by the mines and unexploded remnants of war</w:t>
      </w:r>
      <w:r w:rsidRPr="00F63037">
        <w:rPr>
          <w:rFonts w:cstheme="minorHAnsi"/>
          <w:szCs w:val="20"/>
        </w:rPr>
        <w:t xml:space="preserve"> are </w:t>
      </w:r>
      <w:r w:rsidR="00F63037" w:rsidRPr="00F63037">
        <w:rPr>
          <w:rFonts w:cstheme="minorHAnsi"/>
          <w:szCs w:val="20"/>
        </w:rPr>
        <w:t xml:space="preserve">also of </w:t>
      </w:r>
      <w:r w:rsidR="00464589">
        <w:rPr>
          <w:rFonts w:cstheme="minorHAnsi"/>
          <w:szCs w:val="20"/>
        </w:rPr>
        <w:t xml:space="preserve">the </w:t>
      </w:r>
      <w:r w:rsidR="00F63037" w:rsidRPr="00F63037">
        <w:rPr>
          <w:rFonts w:cstheme="minorHAnsi"/>
          <w:szCs w:val="20"/>
        </w:rPr>
        <w:t xml:space="preserve">utmost importance </w:t>
      </w:r>
      <w:r w:rsidRPr="00F63037">
        <w:rPr>
          <w:rFonts w:cstheme="minorHAnsi"/>
          <w:szCs w:val="20"/>
        </w:rPr>
        <w:t>to protect civilians.</w:t>
      </w:r>
    </w:p>
    <w:p w14:paraId="1AAEF05A" w14:textId="77777777" w:rsidR="00123C47" w:rsidRDefault="00123C47" w:rsidP="00123C47">
      <w:pPr>
        <w:tabs>
          <w:tab w:val="left" w:pos="1613"/>
        </w:tabs>
        <w:spacing w:after="0" w:line="240" w:lineRule="auto"/>
        <w:jc w:val="both"/>
        <w:rPr>
          <w:rFonts w:cstheme="minorHAnsi"/>
          <w:szCs w:val="20"/>
          <w:lang w:val="en-GB"/>
        </w:rPr>
      </w:pPr>
    </w:p>
    <w:p w14:paraId="74C6F3E7" w14:textId="70D9F742" w:rsidR="00134AC5" w:rsidRPr="00134AC5" w:rsidRDefault="00E91723" w:rsidP="00134AC5">
      <w:pPr>
        <w:numPr>
          <w:ilvl w:val="0"/>
          <w:numId w:val="2"/>
        </w:numPr>
        <w:tabs>
          <w:tab w:val="left" w:pos="1613"/>
        </w:tabs>
        <w:spacing w:after="0" w:line="240" w:lineRule="auto"/>
        <w:ind w:left="714" w:hanging="357"/>
        <w:jc w:val="both"/>
        <w:rPr>
          <w:rFonts w:cstheme="minorHAnsi"/>
          <w:szCs w:val="20"/>
          <w:lang w:val="en-GB"/>
        </w:rPr>
      </w:pPr>
      <w:r>
        <w:rPr>
          <w:rFonts w:cstheme="minorHAnsi"/>
          <w:szCs w:val="20"/>
        </w:rPr>
        <w:t>Finally, t</w:t>
      </w:r>
      <w:r w:rsidR="00AA3FA2" w:rsidRPr="00AA3FA2">
        <w:rPr>
          <w:rFonts w:cstheme="minorHAnsi"/>
          <w:szCs w:val="20"/>
        </w:rPr>
        <w:t>he Commissioner takes note of the fact that</w:t>
      </w:r>
      <w:r w:rsidR="00AA3FA2">
        <w:rPr>
          <w:rFonts w:cstheme="minorHAnsi"/>
          <w:szCs w:val="20"/>
        </w:rPr>
        <w:t xml:space="preserve"> neither Armenia nor Azerbaijan </w:t>
      </w:r>
      <w:r w:rsidR="00AA3FA2" w:rsidRPr="00AA3FA2">
        <w:rPr>
          <w:rFonts w:cstheme="minorHAnsi"/>
          <w:szCs w:val="20"/>
        </w:rPr>
        <w:t xml:space="preserve">have ratified key international </w:t>
      </w:r>
      <w:r w:rsidR="007A5EAD">
        <w:rPr>
          <w:rFonts w:cstheme="minorHAnsi"/>
          <w:szCs w:val="20"/>
        </w:rPr>
        <w:t xml:space="preserve">legal </w:t>
      </w:r>
      <w:r w:rsidR="00AA3FA2" w:rsidRPr="00AA3FA2">
        <w:rPr>
          <w:rFonts w:cstheme="minorHAnsi"/>
          <w:szCs w:val="20"/>
        </w:rPr>
        <w:t>instruments</w:t>
      </w:r>
      <w:r w:rsidR="007A5EAD">
        <w:rPr>
          <w:rFonts w:cstheme="minorHAnsi"/>
          <w:szCs w:val="20"/>
        </w:rPr>
        <w:t xml:space="preserve"> which are relevant in this regard</w:t>
      </w:r>
      <w:r w:rsidR="00AA3FA2">
        <w:rPr>
          <w:rFonts w:cstheme="minorHAnsi"/>
          <w:szCs w:val="20"/>
        </w:rPr>
        <w:t xml:space="preserve">. </w:t>
      </w:r>
      <w:r>
        <w:rPr>
          <w:rFonts w:cstheme="minorHAnsi"/>
          <w:szCs w:val="20"/>
          <w:lang w:val="en-GB"/>
        </w:rPr>
        <w:t>She</w:t>
      </w:r>
      <w:r w:rsidR="007A5EAD">
        <w:rPr>
          <w:rFonts w:cstheme="minorHAnsi"/>
          <w:szCs w:val="20"/>
          <w:lang w:val="en-GB"/>
        </w:rPr>
        <w:t xml:space="preserve"> therefore</w:t>
      </w:r>
      <w:r w:rsidRPr="00775B3D">
        <w:rPr>
          <w:rFonts w:cstheme="minorHAnsi"/>
          <w:szCs w:val="20"/>
          <w:lang w:val="en-GB"/>
        </w:rPr>
        <w:t xml:space="preserve"> </w:t>
      </w:r>
      <w:r>
        <w:rPr>
          <w:rFonts w:cstheme="minorHAnsi"/>
          <w:szCs w:val="20"/>
          <w:lang w:val="en-GB"/>
        </w:rPr>
        <w:t xml:space="preserve">calls on </w:t>
      </w:r>
      <w:r w:rsidR="00B12CE7">
        <w:rPr>
          <w:rFonts w:cstheme="minorHAnsi"/>
          <w:szCs w:val="20"/>
          <w:lang w:val="en-GB"/>
        </w:rPr>
        <w:t xml:space="preserve">the Armenian and Azerbaijani authorities </w:t>
      </w:r>
      <w:r>
        <w:rPr>
          <w:rFonts w:cstheme="minorHAnsi"/>
          <w:szCs w:val="20"/>
          <w:lang w:val="en-GB"/>
        </w:rPr>
        <w:t>to ratify</w:t>
      </w:r>
      <w:r w:rsidRPr="00775B3D">
        <w:rPr>
          <w:rFonts w:cstheme="minorHAnsi"/>
          <w:szCs w:val="20"/>
          <w:lang w:val="en-GB"/>
        </w:rPr>
        <w:t xml:space="preserve"> </w:t>
      </w:r>
      <w:bookmarkStart w:id="13" w:name="_Hlk83308997"/>
      <w:r w:rsidRPr="00775B3D">
        <w:rPr>
          <w:rFonts w:cstheme="minorHAnsi"/>
          <w:szCs w:val="20"/>
          <w:lang w:val="en-GB"/>
        </w:rPr>
        <w:t xml:space="preserve">the UN </w:t>
      </w:r>
      <w:r w:rsidRPr="00775B3D">
        <w:rPr>
          <w:rFonts w:cstheme="minorHAnsi"/>
          <w:bCs/>
          <w:szCs w:val="20"/>
          <w:lang w:val="en-GB"/>
        </w:rPr>
        <w:t xml:space="preserve">Convention on Prohibitions or Restrictions on the Use of Certain Conventional Weapons Which May Be Deemed to Be Excessively Injurious or to Have Indiscriminate Effects (CCW) </w:t>
      </w:r>
      <w:r w:rsidRPr="00775B3D">
        <w:rPr>
          <w:rFonts w:cstheme="minorHAnsi"/>
          <w:szCs w:val="20"/>
          <w:lang w:val="en-GB"/>
        </w:rPr>
        <w:t>and its relevant protocols,</w:t>
      </w:r>
      <w:r w:rsidR="00F27765">
        <w:rPr>
          <w:rStyle w:val="FootnoteReference"/>
          <w:rFonts w:cstheme="minorHAnsi"/>
          <w:szCs w:val="20"/>
          <w:lang w:val="en-GB"/>
        </w:rPr>
        <w:footnoteReference w:id="26"/>
      </w:r>
      <w:r w:rsidRPr="00775B3D">
        <w:rPr>
          <w:rFonts w:cstheme="minorHAnsi"/>
          <w:szCs w:val="20"/>
          <w:lang w:val="en-GB"/>
        </w:rPr>
        <w:t xml:space="preserve"> which prohibit or restrict the use of certain conventional weapons, such as antipersonnel mines or cluster munitions</w:t>
      </w:r>
      <w:bookmarkEnd w:id="13"/>
      <w:r w:rsidRPr="00775B3D">
        <w:rPr>
          <w:rFonts w:cstheme="minorHAnsi"/>
          <w:szCs w:val="20"/>
          <w:lang w:val="en-GB"/>
        </w:rPr>
        <w:t xml:space="preserve">. </w:t>
      </w:r>
    </w:p>
    <w:p w14:paraId="72ED54D2" w14:textId="0DE630E0" w:rsidR="00AA3FA2" w:rsidRDefault="00AA3FA2" w:rsidP="00AA3FA2">
      <w:pPr>
        <w:tabs>
          <w:tab w:val="left" w:pos="1613"/>
        </w:tabs>
        <w:spacing w:after="0" w:line="240" w:lineRule="auto"/>
        <w:jc w:val="both"/>
        <w:rPr>
          <w:rFonts w:cstheme="minorHAnsi"/>
          <w:szCs w:val="20"/>
        </w:rPr>
      </w:pPr>
    </w:p>
    <w:p w14:paraId="58A2605F" w14:textId="2916E613" w:rsidR="00123C47" w:rsidRDefault="00134AC5" w:rsidP="00134AC5">
      <w:pPr>
        <w:pStyle w:val="ListParagraph"/>
        <w:numPr>
          <w:ilvl w:val="0"/>
          <w:numId w:val="19"/>
        </w:numPr>
        <w:autoSpaceDE w:val="0"/>
        <w:autoSpaceDN w:val="0"/>
        <w:adjustRightInd w:val="0"/>
        <w:spacing w:after="0" w:line="240" w:lineRule="auto"/>
        <w:ind w:left="1134" w:hanging="425"/>
        <w:contextualSpacing w:val="0"/>
        <w:jc w:val="both"/>
        <w:rPr>
          <w:rFonts w:cstheme="minorHAnsi"/>
          <w:b/>
          <w:bCs/>
          <w:szCs w:val="20"/>
          <w:lang w:val="en-GB"/>
        </w:rPr>
      </w:pPr>
      <w:r w:rsidRPr="00134AC5">
        <w:rPr>
          <w:rFonts w:cstheme="minorHAnsi"/>
          <w:b/>
          <w:bCs/>
          <w:szCs w:val="20"/>
          <w:lang w:val="en-GB"/>
        </w:rPr>
        <w:t>The right of captives to receive protection</w:t>
      </w:r>
      <w:r>
        <w:rPr>
          <w:rFonts w:cstheme="minorHAnsi"/>
          <w:b/>
          <w:bCs/>
          <w:szCs w:val="20"/>
          <w:lang w:val="en-GB"/>
        </w:rPr>
        <w:t xml:space="preserve"> </w:t>
      </w:r>
    </w:p>
    <w:p w14:paraId="6E852444" w14:textId="16449783" w:rsidR="00134AC5" w:rsidRDefault="00023E6A" w:rsidP="00134AC5">
      <w:pPr>
        <w:autoSpaceDE w:val="0"/>
        <w:autoSpaceDN w:val="0"/>
        <w:adjustRightInd w:val="0"/>
        <w:spacing w:after="0" w:line="240" w:lineRule="auto"/>
        <w:ind w:left="709"/>
        <w:jc w:val="both"/>
        <w:rPr>
          <w:rFonts w:cstheme="minorHAnsi"/>
          <w:szCs w:val="20"/>
          <w:lang w:val="en-GB"/>
        </w:rPr>
      </w:pPr>
      <w:r w:rsidRPr="00023E6A">
        <w:rPr>
          <w:rFonts w:asciiTheme="minorHAnsi" w:hAnsiTheme="minorHAnsi" w:cstheme="minorHAnsi"/>
          <w:b/>
          <w:bCs/>
          <w:noProof/>
          <w:color w:val="1F497D" w:themeColor="text2"/>
          <w:szCs w:val="20"/>
        </w:rPr>
        <mc:AlternateContent>
          <mc:Choice Requires="wps">
            <w:drawing>
              <wp:anchor distT="0" distB="0" distL="114300" distR="114300" simplePos="0" relativeHeight="251665408" behindDoc="0" locked="0" layoutInCell="1" allowOverlap="1" wp14:anchorId="21F1B746" wp14:editId="3C1EB119">
                <wp:simplePos x="0" y="0"/>
                <wp:positionH relativeFrom="column">
                  <wp:posOffset>271145</wp:posOffset>
                </wp:positionH>
                <wp:positionV relativeFrom="paragraph">
                  <wp:posOffset>72391</wp:posOffset>
                </wp:positionV>
                <wp:extent cx="5753100" cy="590550"/>
                <wp:effectExtent l="38100" t="38100" r="95250" b="95250"/>
                <wp:wrapNone/>
                <wp:docPr id="5" name="Zone de texte 6"/>
                <wp:cNvGraphicFramePr/>
                <a:graphic xmlns:a="http://schemas.openxmlformats.org/drawingml/2006/main">
                  <a:graphicData uri="http://schemas.microsoft.com/office/word/2010/wordprocessingShape">
                    <wps:wsp>
                      <wps:cNvSpPr txBox="1"/>
                      <wps:spPr>
                        <a:xfrm>
                          <a:off x="0" y="0"/>
                          <a:ext cx="5753100" cy="590550"/>
                        </a:xfrm>
                        <a:prstGeom prst="rect">
                          <a:avLst/>
                        </a:prstGeom>
                        <a:solidFill>
                          <a:srgbClr val="F9F0DB"/>
                        </a:solidFill>
                        <a:ln w="6350">
                          <a:noFill/>
                        </a:ln>
                        <a:effectLst>
                          <a:outerShdw blurRad="50800" dist="38100" dir="2700000" algn="tl" rotWithShape="0">
                            <a:prstClr val="black">
                              <a:alpha val="40000"/>
                            </a:prstClr>
                          </a:outerShdw>
                        </a:effectLst>
                      </wps:spPr>
                      <wps:txbx>
                        <w:txbxContent>
                          <w:p w14:paraId="662511D4" w14:textId="77777777" w:rsidR="009269CA" w:rsidRPr="001655B3" w:rsidRDefault="009269CA" w:rsidP="00023E6A">
                            <w:pPr>
                              <w:autoSpaceDE w:val="0"/>
                              <w:autoSpaceDN w:val="0"/>
                              <w:adjustRightInd w:val="0"/>
                              <w:spacing w:after="0" w:line="240" w:lineRule="auto"/>
                              <w:jc w:val="both"/>
                              <w:rPr>
                                <w:rFonts w:cstheme="minorHAnsi"/>
                                <w:b/>
                                <w:bCs/>
                                <w:szCs w:val="20"/>
                                <w:lang w:val="en-GB"/>
                              </w:rPr>
                            </w:pPr>
                            <w:r w:rsidRPr="001655B3">
                              <w:rPr>
                                <w:rFonts w:cstheme="minorHAnsi"/>
                                <w:b/>
                                <w:bCs/>
                                <w:szCs w:val="20"/>
                                <w:lang w:val="en-GB"/>
                              </w:rPr>
                              <w:t xml:space="preserve">Recommendation no. 4: </w:t>
                            </w:r>
                          </w:p>
                          <w:p w14:paraId="759A601A" w14:textId="2CE3A166" w:rsidR="009269CA" w:rsidRPr="00023E6A" w:rsidRDefault="009269CA" w:rsidP="00EF15D9">
                            <w:pPr>
                              <w:spacing w:after="0" w:line="240" w:lineRule="auto"/>
                              <w:jc w:val="both"/>
                              <w:rPr>
                                <w:rFonts w:cstheme="minorHAnsi"/>
                                <w:bCs/>
                                <w:i/>
                                <w:color w:val="1F497D" w:themeColor="text2"/>
                                <w:szCs w:val="20"/>
                              </w:rPr>
                            </w:pPr>
                            <w:r w:rsidRPr="005324F5">
                              <w:rPr>
                                <w:rFonts w:cstheme="minorHAnsi"/>
                                <w:szCs w:val="20"/>
                                <w:lang w:val="en-GB"/>
                              </w:rPr>
                              <w:t>To respect the human rights of all persons detained in relation to the conflict, in particular their right to life and the prohibition of torture and ill-treatment, and to facilitate their release</w:t>
                            </w:r>
                            <w:r>
                              <w:rPr>
                                <w:rFonts w:cstheme="minorHAnsi"/>
                                <w:szCs w:val="20"/>
                                <w:lang w:val="en-GB"/>
                              </w:rPr>
                              <w:t xml:space="preserve"> and return.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1B746" id="_x0000_s1029" type="#_x0000_t202" style="position:absolute;left:0;text-align:left;margin-left:21.35pt;margin-top:5.7pt;width:453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" fillcolor="#f9f0db" stroked="f" strokeweight=".5pt">
                <v:shadow on="t" color="black" opacity="26214f" origin="-.5,-.5" offset=".74836mm,.74836mm"/>
                <v:textbox>
                  <w:txbxContent>
                    <w:p w14:paraId="662511D4" w14:textId="77777777" w:rsidR="009269CA" w:rsidRPr="001655B3" w:rsidRDefault="009269CA" w:rsidP="00023E6A">
                      <w:pPr>
                        <w:autoSpaceDE w:val="0"/>
                        <w:autoSpaceDN w:val="0"/>
                        <w:adjustRightInd w:val="0"/>
                        <w:spacing w:after="0" w:line="240" w:lineRule="auto"/>
                        <w:jc w:val="both"/>
                        <w:rPr>
                          <w:rFonts w:cstheme="minorHAnsi"/>
                          <w:b/>
                          <w:bCs/>
                          <w:szCs w:val="20"/>
                          <w:lang w:val="en-GB"/>
                        </w:rPr>
                      </w:pPr>
                      <w:r w:rsidRPr="001655B3">
                        <w:rPr>
                          <w:rFonts w:cstheme="minorHAnsi"/>
                          <w:b/>
                          <w:bCs/>
                          <w:szCs w:val="20"/>
                          <w:lang w:val="en-GB"/>
                        </w:rPr>
                        <w:t xml:space="preserve">Recommendation no. 4: </w:t>
                      </w:r>
                    </w:p>
                    <w:p w14:paraId="759A601A" w14:textId="2CE3A166" w:rsidR="009269CA" w:rsidRPr="00023E6A" w:rsidRDefault="009269CA" w:rsidP="00EF15D9">
                      <w:pPr>
                        <w:spacing w:after="0" w:line="240" w:lineRule="auto"/>
                        <w:jc w:val="both"/>
                        <w:rPr>
                          <w:rFonts w:cstheme="minorHAnsi"/>
                          <w:bCs/>
                          <w:i/>
                          <w:color w:val="1F497D" w:themeColor="text2"/>
                          <w:szCs w:val="20"/>
                        </w:rPr>
                      </w:pPr>
                      <w:r w:rsidRPr="005324F5">
                        <w:rPr>
                          <w:rFonts w:cstheme="minorHAnsi"/>
                          <w:szCs w:val="20"/>
                          <w:lang w:val="en-GB"/>
                        </w:rPr>
                        <w:t>To respect the human rights of all persons detained in relation to the conflict, in particular their right to life and the prohibition of torture and ill-treatment, and to facilitate their release</w:t>
                      </w:r>
                      <w:r>
                        <w:rPr>
                          <w:rFonts w:cstheme="minorHAnsi"/>
                          <w:szCs w:val="20"/>
                          <w:lang w:val="en-GB"/>
                        </w:rPr>
                        <w:t xml:space="preserve"> and return.</w:t>
                      </w:r>
                    </w:p>
                  </w:txbxContent>
                </v:textbox>
              </v:shape>
            </w:pict>
          </mc:Fallback>
        </mc:AlternateContent>
      </w:r>
    </w:p>
    <w:p w14:paraId="0746331F" w14:textId="3D62E6FF" w:rsidR="00023E6A" w:rsidRDefault="00023E6A" w:rsidP="00134AC5">
      <w:pPr>
        <w:autoSpaceDE w:val="0"/>
        <w:autoSpaceDN w:val="0"/>
        <w:adjustRightInd w:val="0"/>
        <w:spacing w:after="0" w:line="240" w:lineRule="auto"/>
        <w:ind w:left="709"/>
        <w:jc w:val="both"/>
        <w:rPr>
          <w:rFonts w:cstheme="minorHAnsi"/>
          <w:szCs w:val="20"/>
          <w:lang w:val="en-GB"/>
        </w:rPr>
      </w:pPr>
    </w:p>
    <w:p w14:paraId="1E5362E9" w14:textId="77777777" w:rsidR="00023E6A" w:rsidRDefault="00023E6A" w:rsidP="001655B3">
      <w:pPr>
        <w:autoSpaceDE w:val="0"/>
        <w:autoSpaceDN w:val="0"/>
        <w:adjustRightInd w:val="0"/>
        <w:spacing w:after="0" w:line="240" w:lineRule="auto"/>
        <w:ind w:left="709"/>
        <w:jc w:val="both"/>
        <w:rPr>
          <w:rFonts w:cstheme="minorHAnsi"/>
          <w:b/>
          <w:bCs/>
          <w:szCs w:val="20"/>
          <w:lang w:val="en-GB"/>
        </w:rPr>
      </w:pPr>
    </w:p>
    <w:p w14:paraId="0DABC082" w14:textId="77777777" w:rsidR="00023E6A" w:rsidRDefault="00023E6A" w:rsidP="001655B3">
      <w:pPr>
        <w:autoSpaceDE w:val="0"/>
        <w:autoSpaceDN w:val="0"/>
        <w:adjustRightInd w:val="0"/>
        <w:spacing w:after="0" w:line="240" w:lineRule="auto"/>
        <w:ind w:left="709"/>
        <w:jc w:val="both"/>
        <w:rPr>
          <w:rFonts w:cstheme="minorHAnsi"/>
          <w:b/>
          <w:bCs/>
          <w:szCs w:val="20"/>
          <w:lang w:val="en-GB"/>
        </w:rPr>
      </w:pPr>
    </w:p>
    <w:p w14:paraId="07B612A8" w14:textId="77777777" w:rsidR="00023E6A" w:rsidRDefault="00023E6A" w:rsidP="001655B3">
      <w:pPr>
        <w:autoSpaceDE w:val="0"/>
        <w:autoSpaceDN w:val="0"/>
        <w:adjustRightInd w:val="0"/>
        <w:spacing w:after="0" w:line="240" w:lineRule="auto"/>
        <w:ind w:left="709"/>
        <w:jc w:val="both"/>
        <w:rPr>
          <w:rFonts w:cstheme="minorHAnsi"/>
          <w:b/>
          <w:bCs/>
          <w:szCs w:val="20"/>
          <w:lang w:val="en-GB"/>
        </w:rPr>
      </w:pPr>
    </w:p>
    <w:p w14:paraId="789125DD" w14:textId="1F30FF8A" w:rsidR="00134AC5" w:rsidRPr="005324F5" w:rsidRDefault="00134AC5" w:rsidP="00134AC5">
      <w:pPr>
        <w:autoSpaceDE w:val="0"/>
        <w:autoSpaceDN w:val="0"/>
        <w:adjustRightInd w:val="0"/>
        <w:spacing w:after="0" w:line="240" w:lineRule="auto"/>
        <w:ind w:left="709"/>
        <w:jc w:val="both"/>
        <w:rPr>
          <w:rFonts w:cstheme="minorHAnsi"/>
          <w:szCs w:val="20"/>
          <w:lang w:val="en-GB"/>
        </w:rPr>
      </w:pPr>
    </w:p>
    <w:p w14:paraId="6FA9D37D" w14:textId="21514C09" w:rsidR="005F777B" w:rsidRDefault="00EC05E5" w:rsidP="00D338D2">
      <w:pPr>
        <w:numPr>
          <w:ilvl w:val="0"/>
          <w:numId w:val="2"/>
        </w:numPr>
        <w:tabs>
          <w:tab w:val="left" w:pos="1613"/>
        </w:tabs>
        <w:spacing w:after="0" w:line="240" w:lineRule="auto"/>
        <w:ind w:left="714" w:hanging="357"/>
        <w:jc w:val="both"/>
        <w:rPr>
          <w:rFonts w:cstheme="minorHAnsi"/>
          <w:szCs w:val="20"/>
          <w:lang w:val="en-GB"/>
        </w:rPr>
      </w:pPr>
      <w:r>
        <w:rPr>
          <w:rFonts w:cstheme="minorHAnsi"/>
          <w:szCs w:val="20"/>
          <w:lang w:val="en-GB"/>
        </w:rPr>
        <w:t>T</w:t>
      </w:r>
      <w:r w:rsidR="00D338D2" w:rsidRPr="00D338D2">
        <w:rPr>
          <w:rFonts w:cstheme="minorHAnsi"/>
          <w:szCs w:val="20"/>
          <w:lang w:val="en-GB"/>
        </w:rPr>
        <w:t>he</w:t>
      </w:r>
      <w:r w:rsidR="00D338D2">
        <w:rPr>
          <w:rFonts w:cstheme="minorHAnsi"/>
          <w:szCs w:val="20"/>
          <w:lang w:val="en-GB"/>
        </w:rPr>
        <w:t xml:space="preserve"> trilateral statement </w:t>
      </w:r>
      <w:r w:rsidR="00874A11">
        <w:rPr>
          <w:rFonts w:cstheme="minorHAnsi"/>
          <w:szCs w:val="20"/>
          <w:lang w:val="en-GB"/>
        </w:rPr>
        <w:t>requires the parties</w:t>
      </w:r>
      <w:r w:rsidR="00D338D2" w:rsidRPr="00D338D2">
        <w:rPr>
          <w:rFonts w:cstheme="minorHAnsi"/>
          <w:szCs w:val="20"/>
          <w:lang w:val="en-GB"/>
        </w:rPr>
        <w:t xml:space="preserve"> </w:t>
      </w:r>
      <w:r w:rsidR="00EA022C">
        <w:rPr>
          <w:rFonts w:cstheme="minorHAnsi"/>
          <w:szCs w:val="20"/>
        </w:rPr>
        <w:t>to</w:t>
      </w:r>
      <w:r w:rsidR="00EA022C" w:rsidRPr="00EA022C">
        <w:rPr>
          <w:rFonts w:cstheme="minorHAnsi"/>
          <w:szCs w:val="20"/>
        </w:rPr>
        <w:t xml:space="preserve"> </w:t>
      </w:r>
      <w:r w:rsidR="00EA022C">
        <w:rPr>
          <w:rFonts w:cstheme="minorHAnsi"/>
          <w:szCs w:val="20"/>
        </w:rPr>
        <w:t>“</w:t>
      </w:r>
      <w:r w:rsidR="00EA022C" w:rsidRPr="00EA022C">
        <w:rPr>
          <w:rFonts w:cstheme="minorHAnsi"/>
          <w:szCs w:val="20"/>
        </w:rPr>
        <w:t>exchange prisoners of war, hostages and other detained persons, and dead bodies</w:t>
      </w:r>
      <w:r w:rsidR="00D338D2" w:rsidRPr="00D338D2">
        <w:rPr>
          <w:rFonts w:cstheme="minorHAnsi"/>
          <w:szCs w:val="20"/>
          <w:lang w:val="en-GB"/>
        </w:rPr>
        <w:t>.</w:t>
      </w:r>
      <w:r w:rsidR="00EA022C">
        <w:rPr>
          <w:rFonts w:cstheme="minorHAnsi"/>
          <w:szCs w:val="20"/>
          <w:lang w:val="en-GB"/>
        </w:rPr>
        <w:t>”</w:t>
      </w:r>
      <w:r w:rsidR="00EB217F">
        <w:rPr>
          <w:rStyle w:val="FootnoteReference"/>
          <w:rFonts w:cstheme="minorHAnsi"/>
          <w:szCs w:val="20"/>
          <w:lang w:val="en-GB"/>
        </w:rPr>
        <w:footnoteReference w:id="27"/>
      </w:r>
      <w:r w:rsidR="00D338D2" w:rsidRPr="00D338D2">
        <w:rPr>
          <w:rFonts w:cstheme="minorHAnsi"/>
          <w:szCs w:val="20"/>
          <w:lang w:val="en-GB"/>
        </w:rPr>
        <w:t xml:space="preserve"> </w:t>
      </w:r>
      <w:r w:rsidR="00B15BFC">
        <w:rPr>
          <w:rFonts w:cstheme="minorHAnsi"/>
          <w:szCs w:val="20"/>
          <w:lang w:val="en-GB"/>
        </w:rPr>
        <w:t>T</w:t>
      </w:r>
      <w:r w:rsidR="00B15BFC" w:rsidRPr="00B15BFC">
        <w:rPr>
          <w:rFonts w:cstheme="minorHAnsi"/>
          <w:szCs w:val="20"/>
          <w:lang w:val="en-GB"/>
        </w:rPr>
        <w:t xml:space="preserve">he </w:t>
      </w:r>
      <w:r w:rsidR="00D34C16">
        <w:rPr>
          <w:rFonts w:cstheme="minorHAnsi"/>
          <w:szCs w:val="20"/>
          <w:lang w:val="en-GB"/>
        </w:rPr>
        <w:t>release</w:t>
      </w:r>
      <w:r w:rsidR="00B15BFC" w:rsidRPr="00B15BFC">
        <w:rPr>
          <w:rFonts w:cstheme="minorHAnsi"/>
          <w:szCs w:val="20"/>
          <w:lang w:val="en-GB"/>
        </w:rPr>
        <w:t xml:space="preserve"> of captives started on 14 December 2020</w:t>
      </w:r>
      <w:r w:rsidR="00B15BFC">
        <w:rPr>
          <w:rFonts w:cstheme="minorHAnsi"/>
          <w:szCs w:val="20"/>
          <w:lang w:val="en-GB"/>
        </w:rPr>
        <w:t xml:space="preserve"> and since then several individuals, including civilians, </w:t>
      </w:r>
      <w:r w:rsidR="00464589">
        <w:rPr>
          <w:rFonts w:cstheme="minorHAnsi"/>
          <w:szCs w:val="20"/>
          <w:lang w:val="en-GB"/>
        </w:rPr>
        <w:t>have been</w:t>
      </w:r>
      <w:r w:rsidR="00B15BFC">
        <w:rPr>
          <w:rFonts w:cstheme="minorHAnsi"/>
          <w:szCs w:val="20"/>
          <w:lang w:val="en-GB"/>
        </w:rPr>
        <w:t xml:space="preserve"> handed over by both sides. Both Armenia and Azerbaijan have announced that they have released all prisoners of war. However, t</w:t>
      </w:r>
      <w:r>
        <w:rPr>
          <w:rFonts w:cstheme="minorHAnsi"/>
          <w:szCs w:val="20"/>
          <w:lang w:val="en-GB"/>
        </w:rPr>
        <w:t xml:space="preserve">he issue of captives, </w:t>
      </w:r>
      <w:proofErr w:type="gramStart"/>
      <w:r>
        <w:rPr>
          <w:rFonts w:cstheme="minorHAnsi"/>
          <w:szCs w:val="20"/>
          <w:lang w:val="en-GB"/>
        </w:rPr>
        <w:t>in particular of</w:t>
      </w:r>
      <w:proofErr w:type="gramEnd"/>
      <w:r>
        <w:rPr>
          <w:rFonts w:cstheme="minorHAnsi"/>
          <w:szCs w:val="20"/>
          <w:lang w:val="en-GB"/>
        </w:rPr>
        <w:t xml:space="preserve"> Armenian captives in Azerbaijan, remains a contentious one </w:t>
      </w:r>
      <w:r w:rsidR="00874A11">
        <w:rPr>
          <w:rFonts w:cstheme="minorHAnsi"/>
          <w:szCs w:val="20"/>
          <w:lang w:val="en-GB"/>
        </w:rPr>
        <w:t xml:space="preserve">which exacerbates the already tense relations </w:t>
      </w:r>
      <w:r>
        <w:rPr>
          <w:rFonts w:cstheme="minorHAnsi"/>
          <w:szCs w:val="20"/>
          <w:lang w:val="en-GB"/>
        </w:rPr>
        <w:t>between the two countries.</w:t>
      </w:r>
      <w:r w:rsidR="00874A11">
        <w:rPr>
          <w:rFonts w:cstheme="minorHAnsi"/>
          <w:szCs w:val="20"/>
          <w:lang w:val="en-GB"/>
        </w:rPr>
        <w:t xml:space="preserve"> </w:t>
      </w:r>
    </w:p>
    <w:p w14:paraId="7BE1F741" w14:textId="77777777" w:rsidR="00EA022C" w:rsidRDefault="00EA022C" w:rsidP="00EA022C">
      <w:pPr>
        <w:tabs>
          <w:tab w:val="left" w:pos="1613"/>
        </w:tabs>
        <w:spacing w:after="0" w:line="240" w:lineRule="auto"/>
        <w:ind w:left="714"/>
        <w:jc w:val="both"/>
        <w:rPr>
          <w:rFonts w:cstheme="minorHAnsi"/>
          <w:szCs w:val="20"/>
          <w:lang w:val="en-GB"/>
        </w:rPr>
      </w:pPr>
    </w:p>
    <w:p w14:paraId="2ED13AD1" w14:textId="46DEB928" w:rsidR="00B97154" w:rsidRPr="00864F3E" w:rsidRDefault="00CB2929" w:rsidP="00D338D2">
      <w:pPr>
        <w:numPr>
          <w:ilvl w:val="0"/>
          <w:numId w:val="2"/>
        </w:numPr>
        <w:tabs>
          <w:tab w:val="left" w:pos="1613"/>
        </w:tabs>
        <w:spacing w:after="0" w:line="240" w:lineRule="auto"/>
        <w:ind w:left="714" w:hanging="357"/>
        <w:jc w:val="both"/>
        <w:rPr>
          <w:rFonts w:cstheme="minorHAnsi"/>
          <w:szCs w:val="20"/>
          <w:lang w:val="en-GB"/>
        </w:rPr>
      </w:pPr>
      <w:r>
        <w:rPr>
          <w:rFonts w:cstheme="minorHAnsi"/>
          <w:szCs w:val="20"/>
        </w:rPr>
        <w:lastRenderedPageBreak/>
        <w:t>The Commissioner recalls that i</w:t>
      </w:r>
      <w:r w:rsidR="00B97154" w:rsidRPr="00B97154">
        <w:rPr>
          <w:rFonts w:cstheme="minorHAnsi"/>
          <w:szCs w:val="20"/>
        </w:rPr>
        <w:t xml:space="preserve">nternational humanitarian law protects persons deprived of liberty </w:t>
      </w:r>
      <w:proofErr w:type="gramStart"/>
      <w:r w:rsidR="00B97154" w:rsidRPr="00B97154">
        <w:rPr>
          <w:rFonts w:cstheme="minorHAnsi"/>
          <w:szCs w:val="20"/>
        </w:rPr>
        <w:t>as a result of</w:t>
      </w:r>
      <w:proofErr w:type="gramEnd"/>
      <w:r w:rsidR="00B97154" w:rsidRPr="00B97154">
        <w:rPr>
          <w:rFonts w:cstheme="minorHAnsi"/>
          <w:szCs w:val="20"/>
        </w:rPr>
        <w:t xml:space="preserve"> armed conflict.</w:t>
      </w:r>
      <w:r>
        <w:rPr>
          <w:rFonts w:cstheme="minorHAnsi"/>
          <w:szCs w:val="20"/>
        </w:rPr>
        <w:t xml:space="preserve"> T</w:t>
      </w:r>
      <w:r w:rsidR="00B97154">
        <w:rPr>
          <w:rFonts w:cstheme="minorHAnsi"/>
          <w:szCs w:val="20"/>
        </w:rPr>
        <w:t xml:space="preserve">he </w:t>
      </w:r>
      <w:r w:rsidR="00864F3E">
        <w:rPr>
          <w:rFonts w:cstheme="minorHAnsi"/>
          <w:szCs w:val="20"/>
        </w:rPr>
        <w:t>t</w:t>
      </w:r>
      <w:r w:rsidR="00B97154">
        <w:rPr>
          <w:rFonts w:cstheme="minorHAnsi"/>
          <w:szCs w:val="20"/>
        </w:rPr>
        <w:t xml:space="preserve">hird </w:t>
      </w:r>
      <w:r w:rsidR="00864F3E">
        <w:rPr>
          <w:rFonts w:cstheme="minorHAnsi"/>
          <w:szCs w:val="20"/>
        </w:rPr>
        <w:t xml:space="preserve">1949 </w:t>
      </w:r>
      <w:r w:rsidR="00B97154">
        <w:rPr>
          <w:rFonts w:cstheme="minorHAnsi"/>
          <w:szCs w:val="20"/>
        </w:rPr>
        <w:t>Geneva Convention provides that prisoners of war</w:t>
      </w:r>
      <w:r w:rsidR="00B97154" w:rsidRPr="00B97154">
        <w:rPr>
          <w:rFonts w:cstheme="minorHAnsi"/>
          <w:szCs w:val="20"/>
        </w:rPr>
        <w:t xml:space="preserve"> must be released and repatriated without delay after the end of hostilities</w:t>
      </w:r>
      <w:r>
        <w:rPr>
          <w:rFonts w:cstheme="minorHAnsi"/>
          <w:szCs w:val="20"/>
        </w:rPr>
        <w:t>,</w:t>
      </w:r>
      <w:r w:rsidR="00825454">
        <w:rPr>
          <w:rStyle w:val="FootnoteReference"/>
          <w:rFonts w:cstheme="minorHAnsi"/>
          <w:szCs w:val="20"/>
        </w:rPr>
        <w:footnoteReference w:id="28"/>
      </w:r>
      <w:r>
        <w:rPr>
          <w:rFonts w:cstheme="minorHAnsi"/>
          <w:szCs w:val="20"/>
        </w:rPr>
        <w:t xml:space="preserve"> and that they</w:t>
      </w:r>
      <w:r w:rsidR="00864F3E" w:rsidRPr="00864F3E">
        <w:rPr>
          <w:rFonts w:cstheme="minorHAnsi"/>
          <w:szCs w:val="20"/>
        </w:rPr>
        <w:t xml:space="preserve"> must be treated humanely in all circumstances. </w:t>
      </w:r>
      <w:r>
        <w:rPr>
          <w:rFonts w:cstheme="minorHAnsi"/>
          <w:szCs w:val="20"/>
        </w:rPr>
        <w:t>Prisoners of war</w:t>
      </w:r>
      <w:r w:rsidR="00864F3E" w:rsidRPr="00864F3E">
        <w:rPr>
          <w:rFonts w:cstheme="minorHAnsi"/>
          <w:szCs w:val="20"/>
        </w:rPr>
        <w:t xml:space="preserve"> are protected against any act of violence, as well as against intimidation, insults, and public curiosity.</w:t>
      </w:r>
      <w:r w:rsidR="00864F3E">
        <w:rPr>
          <w:rFonts w:cstheme="minorHAnsi"/>
          <w:szCs w:val="20"/>
        </w:rPr>
        <w:t xml:space="preserve"> </w:t>
      </w:r>
    </w:p>
    <w:p w14:paraId="6D9E3D05" w14:textId="77777777" w:rsidR="00CB2929" w:rsidRDefault="00CB2929" w:rsidP="00CB2929">
      <w:pPr>
        <w:tabs>
          <w:tab w:val="left" w:pos="1613"/>
        </w:tabs>
        <w:spacing w:after="0" w:line="240" w:lineRule="auto"/>
        <w:ind w:left="714"/>
        <w:jc w:val="both"/>
        <w:rPr>
          <w:rFonts w:cstheme="minorHAnsi"/>
          <w:szCs w:val="20"/>
          <w:lang w:val="en-GB"/>
        </w:rPr>
      </w:pPr>
    </w:p>
    <w:p w14:paraId="772660AA" w14:textId="163182FB" w:rsidR="003421EC" w:rsidRPr="0015531A" w:rsidRDefault="00926B47" w:rsidP="006C692B">
      <w:pPr>
        <w:numPr>
          <w:ilvl w:val="0"/>
          <w:numId w:val="2"/>
        </w:numPr>
        <w:tabs>
          <w:tab w:val="left" w:pos="1613"/>
        </w:tabs>
        <w:spacing w:after="0" w:line="240" w:lineRule="auto"/>
        <w:ind w:left="714" w:hanging="357"/>
        <w:jc w:val="both"/>
        <w:rPr>
          <w:rFonts w:cstheme="minorHAnsi"/>
          <w:szCs w:val="20"/>
          <w:lang w:val="en-GB"/>
        </w:rPr>
      </w:pPr>
      <w:r w:rsidRPr="0015531A">
        <w:rPr>
          <w:rFonts w:cstheme="minorHAnsi"/>
          <w:szCs w:val="20"/>
          <w:lang w:val="en-GB"/>
        </w:rPr>
        <w:t xml:space="preserve">The Commissioner notes that several </w:t>
      </w:r>
      <w:r w:rsidR="000A0A7C" w:rsidRPr="0015531A">
        <w:rPr>
          <w:rFonts w:cstheme="minorHAnsi"/>
          <w:szCs w:val="20"/>
          <w:lang w:val="en-GB"/>
        </w:rPr>
        <w:t>applications</w:t>
      </w:r>
      <w:r w:rsidRPr="0015531A">
        <w:rPr>
          <w:rFonts w:cstheme="minorHAnsi"/>
          <w:szCs w:val="20"/>
          <w:lang w:val="en-GB"/>
        </w:rPr>
        <w:t xml:space="preserve"> </w:t>
      </w:r>
      <w:r w:rsidR="00BA7C5C" w:rsidRPr="0015531A">
        <w:rPr>
          <w:rFonts w:cstheme="minorHAnsi"/>
          <w:szCs w:val="20"/>
          <w:lang w:val="en-GB"/>
        </w:rPr>
        <w:t xml:space="preserve">claiming </w:t>
      </w:r>
      <w:r w:rsidR="00BA7C5C" w:rsidRPr="0015531A">
        <w:rPr>
          <w:rFonts w:cstheme="minorHAnsi"/>
          <w:szCs w:val="20"/>
        </w:rPr>
        <w:t xml:space="preserve">violations of the </w:t>
      </w:r>
      <w:r w:rsidR="007E61C5">
        <w:rPr>
          <w:rFonts w:cstheme="minorHAnsi"/>
          <w:szCs w:val="20"/>
        </w:rPr>
        <w:t>ECHR</w:t>
      </w:r>
      <w:r w:rsidR="000A0A7C" w:rsidRPr="0015531A">
        <w:rPr>
          <w:rFonts w:cstheme="minorHAnsi"/>
          <w:szCs w:val="20"/>
        </w:rPr>
        <w:t>,</w:t>
      </w:r>
      <w:r w:rsidR="00BA7C5C" w:rsidRPr="0015531A">
        <w:rPr>
          <w:rFonts w:cstheme="minorHAnsi"/>
          <w:szCs w:val="20"/>
        </w:rPr>
        <w:t xml:space="preserve"> </w:t>
      </w:r>
      <w:r w:rsidR="000A0A7C" w:rsidRPr="000A0A7C">
        <w:rPr>
          <w:rFonts w:cstheme="minorHAnsi"/>
          <w:szCs w:val="20"/>
          <w:lang w:val="en-GB"/>
        </w:rPr>
        <w:t xml:space="preserve">notably in respect of Article </w:t>
      </w:r>
      <w:r w:rsidR="000A0A7C" w:rsidRPr="0015531A">
        <w:rPr>
          <w:rFonts w:cstheme="minorHAnsi"/>
          <w:szCs w:val="20"/>
          <w:lang w:val="en-GB"/>
        </w:rPr>
        <w:t>5</w:t>
      </w:r>
      <w:r w:rsidR="000A0A7C" w:rsidRPr="000A0A7C">
        <w:rPr>
          <w:rFonts w:cstheme="minorHAnsi"/>
          <w:szCs w:val="20"/>
          <w:lang w:val="en-GB"/>
        </w:rPr>
        <w:t xml:space="preserve"> (right</w:t>
      </w:r>
      <w:r w:rsidR="000A0A7C" w:rsidRPr="0015531A">
        <w:rPr>
          <w:rFonts w:cstheme="minorHAnsi"/>
          <w:szCs w:val="20"/>
          <w:lang w:val="en-GB"/>
        </w:rPr>
        <w:t xml:space="preserve"> to liberty and security) and Article 3 (prohibition of torture and inhuman or degrading treatment or punishment) have been lodged before the European Court of Human Rights</w:t>
      </w:r>
      <w:r w:rsidR="00464589">
        <w:rPr>
          <w:rFonts w:cstheme="minorHAnsi"/>
          <w:szCs w:val="20"/>
          <w:lang w:val="en-GB"/>
        </w:rPr>
        <w:t>. T</w:t>
      </w:r>
      <w:r w:rsidR="00BA7C5C" w:rsidRPr="0015531A">
        <w:rPr>
          <w:rFonts w:cstheme="minorHAnsi"/>
          <w:szCs w:val="20"/>
        </w:rPr>
        <w:t>he application of Rule 39</w:t>
      </w:r>
      <w:r w:rsidR="00BA7C5C" w:rsidRPr="0015531A">
        <w:rPr>
          <w:rFonts w:cstheme="minorHAnsi"/>
          <w:szCs w:val="20"/>
          <w:lang w:val="en-GB"/>
        </w:rPr>
        <w:t xml:space="preserve"> </w:t>
      </w:r>
      <w:r w:rsidR="00AB2F89" w:rsidRPr="0015531A">
        <w:rPr>
          <w:rFonts w:cstheme="minorHAnsi"/>
          <w:szCs w:val="20"/>
          <w:lang w:val="en-GB"/>
        </w:rPr>
        <w:t xml:space="preserve">(interim measures) </w:t>
      </w:r>
      <w:r w:rsidRPr="0015531A">
        <w:rPr>
          <w:rFonts w:cstheme="minorHAnsi"/>
          <w:szCs w:val="20"/>
          <w:lang w:val="en-GB"/>
        </w:rPr>
        <w:t>of the Rules of the Court</w:t>
      </w:r>
      <w:r w:rsidR="000A0A7C" w:rsidRPr="0015531A">
        <w:rPr>
          <w:rFonts w:cstheme="minorHAnsi"/>
          <w:szCs w:val="20"/>
          <w:lang w:val="en-GB"/>
        </w:rPr>
        <w:t xml:space="preserve"> </w:t>
      </w:r>
      <w:r w:rsidR="00464589">
        <w:rPr>
          <w:rFonts w:cstheme="minorHAnsi"/>
          <w:szCs w:val="20"/>
          <w:lang w:val="en-GB"/>
        </w:rPr>
        <w:t xml:space="preserve">was requested </w:t>
      </w:r>
      <w:r w:rsidR="000A0A7C" w:rsidRPr="0015531A">
        <w:rPr>
          <w:rFonts w:cstheme="minorHAnsi"/>
          <w:szCs w:val="20"/>
          <w:lang w:val="en-GB"/>
        </w:rPr>
        <w:t xml:space="preserve">in relation to </w:t>
      </w:r>
      <w:r w:rsidR="00AB2F89" w:rsidRPr="0015531A">
        <w:rPr>
          <w:rFonts w:cstheme="minorHAnsi"/>
          <w:szCs w:val="20"/>
          <w:lang w:val="en-GB"/>
        </w:rPr>
        <w:t>265 individuals (249 Armenians and 16 Azerbaijanis) allegedly captured by both sides of the conflict.</w:t>
      </w:r>
      <w:r w:rsidR="0015531A">
        <w:rPr>
          <w:rStyle w:val="FootnoteReference"/>
          <w:rFonts w:cstheme="minorHAnsi"/>
          <w:szCs w:val="20"/>
          <w:lang w:val="en-GB"/>
        </w:rPr>
        <w:footnoteReference w:id="29"/>
      </w:r>
      <w:r w:rsidR="000A0A7C" w:rsidRPr="0015531A">
        <w:rPr>
          <w:rFonts w:cstheme="minorHAnsi"/>
          <w:szCs w:val="20"/>
          <w:lang w:val="en-GB"/>
        </w:rPr>
        <w:t xml:space="preserve"> </w:t>
      </w:r>
      <w:r w:rsidR="00B15BFC">
        <w:rPr>
          <w:rFonts w:cstheme="minorHAnsi"/>
          <w:szCs w:val="20"/>
          <w:lang w:val="en-GB"/>
        </w:rPr>
        <w:t>Between December 2020 and March 2021, t</w:t>
      </w:r>
      <w:r w:rsidRPr="0015531A">
        <w:rPr>
          <w:rFonts w:cstheme="minorHAnsi"/>
          <w:szCs w:val="20"/>
          <w:lang w:val="en-GB"/>
        </w:rPr>
        <w:t xml:space="preserve">he </w:t>
      </w:r>
      <w:r w:rsidR="00CD1F55" w:rsidRPr="0015531A">
        <w:rPr>
          <w:rFonts w:cstheme="minorHAnsi"/>
          <w:szCs w:val="20"/>
          <w:lang w:val="en-GB"/>
        </w:rPr>
        <w:t>Court</w:t>
      </w:r>
      <w:r w:rsidRPr="0015531A">
        <w:rPr>
          <w:rFonts w:cstheme="minorHAnsi"/>
          <w:szCs w:val="20"/>
          <w:lang w:val="en-GB"/>
        </w:rPr>
        <w:t xml:space="preserve"> decided </w:t>
      </w:r>
      <w:r w:rsidR="00D10C80" w:rsidRPr="0015531A">
        <w:rPr>
          <w:rFonts w:cstheme="minorHAnsi"/>
          <w:szCs w:val="20"/>
          <w:lang w:val="en-GB"/>
        </w:rPr>
        <w:t xml:space="preserve">to apply Rule 39 </w:t>
      </w:r>
      <w:r w:rsidRPr="0015531A">
        <w:rPr>
          <w:rFonts w:cstheme="minorHAnsi"/>
          <w:szCs w:val="20"/>
          <w:lang w:val="en-GB"/>
        </w:rPr>
        <w:t xml:space="preserve">with respect to 229 of the 249 Armenians. As regards the other 20 individuals, the examination under Rule 39 was suspended or no decision was taken because the individuals concerned had been repatriated in the meantime. </w:t>
      </w:r>
      <w:r w:rsidR="003421EC" w:rsidRPr="0015531A">
        <w:rPr>
          <w:rFonts w:cstheme="minorHAnsi"/>
          <w:szCs w:val="20"/>
        </w:rPr>
        <w:t>In all these cases, the Court ha</w:t>
      </w:r>
      <w:r w:rsidR="0015531A" w:rsidRPr="0015531A">
        <w:rPr>
          <w:rFonts w:cstheme="minorHAnsi"/>
          <w:szCs w:val="20"/>
        </w:rPr>
        <w:t>d</w:t>
      </w:r>
      <w:r w:rsidR="003421EC" w:rsidRPr="0015531A">
        <w:rPr>
          <w:rFonts w:cstheme="minorHAnsi"/>
          <w:szCs w:val="20"/>
        </w:rPr>
        <w:t xml:space="preserve"> invited </w:t>
      </w:r>
      <w:r w:rsidR="003421EC" w:rsidRPr="003421EC">
        <w:rPr>
          <w:rFonts w:cstheme="minorHAnsi"/>
          <w:szCs w:val="20"/>
        </w:rPr>
        <w:t xml:space="preserve">the </w:t>
      </w:r>
      <w:r w:rsidR="0015531A" w:rsidRPr="0015531A">
        <w:rPr>
          <w:rFonts w:cstheme="minorHAnsi"/>
          <w:szCs w:val="20"/>
        </w:rPr>
        <w:t>Azerbaijani</w:t>
      </w:r>
      <w:r w:rsidR="003421EC" w:rsidRPr="003421EC">
        <w:rPr>
          <w:rFonts w:cstheme="minorHAnsi"/>
          <w:szCs w:val="20"/>
        </w:rPr>
        <w:t xml:space="preserve"> </w:t>
      </w:r>
      <w:r w:rsidR="00373E2C">
        <w:rPr>
          <w:rFonts w:cstheme="minorHAnsi"/>
          <w:szCs w:val="20"/>
        </w:rPr>
        <w:t>g</w:t>
      </w:r>
      <w:r w:rsidR="003421EC" w:rsidRPr="003421EC">
        <w:rPr>
          <w:rFonts w:cstheme="minorHAnsi"/>
          <w:szCs w:val="20"/>
        </w:rPr>
        <w:t xml:space="preserve">overnment to provide information on the individuals concerned, </w:t>
      </w:r>
      <w:proofErr w:type="gramStart"/>
      <w:r w:rsidR="003421EC" w:rsidRPr="003421EC">
        <w:rPr>
          <w:rFonts w:cstheme="minorHAnsi"/>
          <w:szCs w:val="20"/>
        </w:rPr>
        <w:t>in particular</w:t>
      </w:r>
      <w:r w:rsidR="003421EC" w:rsidRPr="0015531A">
        <w:rPr>
          <w:rFonts w:cstheme="minorHAnsi"/>
          <w:szCs w:val="20"/>
        </w:rPr>
        <w:t xml:space="preserve"> </w:t>
      </w:r>
      <w:r w:rsidR="003421EC" w:rsidRPr="003421EC">
        <w:rPr>
          <w:rFonts w:cstheme="minorHAnsi"/>
          <w:szCs w:val="20"/>
        </w:rPr>
        <w:t>whether</w:t>
      </w:r>
      <w:proofErr w:type="gramEnd"/>
      <w:r w:rsidR="003421EC" w:rsidRPr="003421EC">
        <w:rPr>
          <w:rFonts w:cstheme="minorHAnsi"/>
          <w:szCs w:val="20"/>
        </w:rPr>
        <w:t xml:space="preserve"> they have been captured, under what conditions they are being held, including any medical</w:t>
      </w:r>
      <w:r w:rsidR="003421EC" w:rsidRPr="0015531A">
        <w:rPr>
          <w:rFonts w:cstheme="minorHAnsi"/>
          <w:szCs w:val="20"/>
        </w:rPr>
        <w:t xml:space="preserve"> </w:t>
      </w:r>
      <w:r w:rsidR="003421EC" w:rsidRPr="003421EC">
        <w:rPr>
          <w:rFonts w:cstheme="minorHAnsi"/>
          <w:szCs w:val="20"/>
        </w:rPr>
        <w:t>examinations or treatment they have undergone, and whether, in view of the exchange of prisoners</w:t>
      </w:r>
      <w:r w:rsidR="003421EC" w:rsidRPr="0015531A">
        <w:rPr>
          <w:rFonts w:cstheme="minorHAnsi"/>
          <w:szCs w:val="20"/>
        </w:rPr>
        <w:t xml:space="preserve"> </w:t>
      </w:r>
      <w:r w:rsidR="003421EC" w:rsidRPr="003421EC">
        <w:rPr>
          <w:rFonts w:cstheme="minorHAnsi"/>
          <w:szCs w:val="20"/>
        </w:rPr>
        <w:t>of war and other detainees envisaged in the ceasefire agreement signed on 9 November 2020, any</w:t>
      </w:r>
      <w:r w:rsidR="003421EC" w:rsidRPr="0015531A">
        <w:rPr>
          <w:rFonts w:cstheme="minorHAnsi"/>
          <w:szCs w:val="20"/>
        </w:rPr>
        <w:t xml:space="preserve"> measures to repatriate the captives have been taken or planned</w:t>
      </w:r>
      <w:r w:rsidR="0015531A" w:rsidRPr="0015531A">
        <w:rPr>
          <w:rFonts w:cstheme="minorHAnsi"/>
          <w:szCs w:val="20"/>
        </w:rPr>
        <w:t xml:space="preserve">. </w:t>
      </w:r>
    </w:p>
    <w:p w14:paraId="4FF944F2" w14:textId="70F41501" w:rsidR="000A0A7C" w:rsidRPr="000A0A7C" w:rsidRDefault="000A0A7C" w:rsidP="000A0A7C">
      <w:pPr>
        <w:tabs>
          <w:tab w:val="left" w:pos="1613"/>
        </w:tabs>
        <w:spacing w:after="0" w:line="240" w:lineRule="auto"/>
        <w:ind w:left="714"/>
        <w:jc w:val="both"/>
        <w:rPr>
          <w:rFonts w:cstheme="minorHAnsi"/>
          <w:szCs w:val="20"/>
          <w:lang w:val="en-GB"/>
        </w:rPr>
      </w:pPr>
    </w:p>
    <w:p w14:paraId="05C98DA5" w14:textId="021B45A5" w:rsidR="00AB5621" w:rsidRDefault="00AB2F89" w:rsidP="006C692B">
      <w:pPr>
        <w:numPr>
          <w:ilvl w:val="0"/>
          <w:numId w:val="2"/>
        </w:numPr>
        <w:tabs>
          <w:tab w:val="left" w:pos="1613"/>
        </w:tabs>
        <w:spacing w:after="0" w:line="240" w:lineRule="auto"/>
        <w:ind w:left="714" w:hanging="357"/>
        <w:jc w:val="both"/>
        <w:rPr>
          <w:rFonts w:cstheme="minorHAnsi"/>
          <w:szCs w:val="20"/>
          <w:lang w:val="en-GB"/>
        </w:rPr>
      </w:pPr>
      <w:r w:rsidRPr="00902FF3">
        <w:rPr>
          <w:rFonts w:cstheme="minorHAnsi"/>
          <w:szCs w:val="20"/>
          <w:lang w:val="en-GB"/>
        </w:rPr>
        <w:t xml:space="preserve">On </w:t>
      </w:r>
      <w:r w:rsidR="009A3DEB" w:rsidRPr="00902FF3">
        <w:rPr>
          <w:rFonts w:cstheme="minorHAnsi"/>
          <w:szCs w:val="20"/>
          <w:lang w:val="en-GB"/>
        </w:rPr>
        <w:t xml:space="preserve">16 </w:t>
      </w:r>
      <w:r w:rsidRPr="00902FF3">
        <w:rPr>
          <w:rFonts w:cstheme="minorHAnsi"/>
          <w:szCs w:val="20"/>
          <w:lang w:val="en-GB"/>
        </w:rPr>
        <w:t>March 2021, the Court decided to notify the Committee of Ministers of the Council of Europe of the measures</w:t>
      </w:r>
      <w:r w:rsidR="00373E2C">
        <w:rPr>
          <w:rFonts w:cstheme="minorHAnsi"/>
          <w:szCs w:val="20"/>
          <w:lang w:val="en-GB"/>
        </w:rPr>
        <w:t xml:space="preserve"> it had</w:t>
      </w:r>
      <w:r w:rsidRPr="00902FF3">
        <w:rPr>
          <w:rFonts w:cstheme="minorHAnsi"/>
          <w:szCs w:val="20"/>
          <w:lang w:val="en-GB"/>
        </w:rPr>
        <w:t xml:space="preserve"> taken, having regard to the Azerbaijani Government’s failure to respect the time-limits set by the Court for the submission of information on the individuals concerned and the rather general and limited information provided by them.</w:t>
      </w:r>
      <w:r w:rsidR="00902FF3" w:rsidRPr="00D338D2">
        <w:rPr>
          <w:rFonts w:cstheme="minorHAnsi"/>
          <w:szCs w:val="20"/>
          <w:vertAlign w:val="superscript"/>
          <w:lang w:val="en-GB"/>
        </w:rPr>
        <w:footnoteReference w:id="30"/>
      </w:r>
      <w:r w:rsidR="00902FF3" w:rsidRPr="00902FF3">
        <w:rPr>
          <w:rFonts w:cstheme="minorHAnsi"/>
          <w:szCs w:val="20"/>
          <w:lang w:val="en-GB"/>
        </w:rPr>
        <w:t xml:space="preserve"> </w:t>
      </w:r>
    </w:p>
    <w:p w14:paraId="100B563E" w14:textId="57509B9A" w:rsidR="00926B47" w:rsidRPr="00B15BFC" w:rsidRDefault="00926B47" w:rsidP="00B15BFC">
      <w:pPr>
        <w:autoSpaceDE w:val="0"/>
        <w:autoSpaceDN w:val="0"/>
        <w:adjustRightInd w:val="0"/>
        <w:spacing w:after="0" w:line="240" w:lineRule="auto"/>
        <w:jc w:val="both"/>
        <w:rPr>
          <w:rFonts w:cstheme="minorHAnsi"/>
          <w:szCs w:val="20"/>
          <w:lang w:val="en-GB"/>
        </w:rPr>
      </w:pPr>
    </w:p>
    <w:p w14:paraId="1ADE9789" w14:textId="01CCACA2" w:rsidR="00D338D2" w:rsidRPr="000E3AFF" w:rsidRDefault="00EC05E5" w:rsidP="006C692B">
      <w:pPr>
        <w:numPr>
          <w:ilvl w:val="0"/>
          <w:numId w:val="2"/>
        </w:numPr>
        <w:tabs>
          <w:tab w:val="left" w:pos="1613"/>
        </w:tabs>
        <w:spacing w:after="0" w:line="240" w:lineRule="auto"/>
        <w:ind w:left="714" w:hanging="357"/>
        <w:jc w:val="both"/>
        <w:rPr>
          <w:rFonts w:cstheme="minorHAnsi"/>
          <w:szCs w:val="20"/>
          <w:lang w:val="en-GB"/>
        </w:rPr>
      </w:pPr>
      <w:r w:rsidRPr="000E3AFF">
        <w:rPr>
          <w:rFonts w:cstheme="minorHAnsi"/>
          <w:szCs w:val="20"/>
          <w:lang w:val="en-GB"/>
        </w:rPr>
        <w:t>According to information received by the Commissioner</w:t>
      </w:r>
      <w:r w:rsidR="000E3AFF" w:rsidRPr="000E3AFF">
        <w:rPr>
          <w:rFonts w:cstheme="minorHAnsi"/>
          <w:szCs w:val="20"/>
          <w:lang w:val="en-GB"/>
        </w:rPr>
        <w:t xml:space="preserve"> from multiple sources</w:t>
      </w:r>
      <w:r w:rsidRPr="000E3AFF">
        <w:rPr>
          <w:rFonts w:cstheme="minorHAnsi"/>
          <w:szCs w:val="20"/>
          <w:lang w:val="en-GB"/>
        </w:rPr>
        <w:t>,</w:t>
      </w:r>
      <w:r w:rsidR="00343DF7">
        <w:rPr>
          <w:rFonts w:cstheme="minorHAnsi"/>
          <w:szCs w:val="20"/>
          <w:lang w:val="en-GB"/>
        </w:rPr>
        <w:t xml:space="preserve"> </w:t>
      </w:r>
      <w:r w:rsidR="00250AEB" w:rsidRPr="00571E07">
        <w:rPr>
          <w:rFonts w:cstheme="minorHAnsi"/>
          <w:szCs w:val="20"/>
          <w:lang w:val="en-GB"/>
        </w:rPr>
        <w:t>up</w:t>
      </w:r>
      <w:r w:rsidR="00343DF7" w:rsidRPr="00571E07">
        <w:rPr>
          <w:rFonts w:cstheme="minorHAnsi"/>
          <w:szCs w:val="20"/>
          <w:lang w:val="en-GB"/>
        </w:rPr>
        <w:t xml:space="preserve"> to</w:t>
      </w:r>
      <w:r w:rsidRPr="00571E07">
        <w:rPr>
          <w:rFonts w:cstheme="minorHAnsi"/>
          <w:szCs w:val="20"/>
          <w:lang w:val="en-GB"/>
        </w:rPr>
        <w:t xml:space="preserve"> 45</w:t>
      </w:r>
      <w:r w:rsidRPr="000E3AFF">
        <w:rPr>
          <w:rFonts w:cstheme="minorHAnsi"/>
          <w:szCs w:val="20"/>
          <w:lang w:val="en-GB"/>
        </w:rPr>
        <w:t xml:space="preserve"> </w:t>
      </w:r>
      <w:r w:rsidR="007A6320">
        <w:rPr>
          <w:rFonts w:cstheme="minorHAnsi"/>
          <w:szCs w:val="20"/>
        </w:rPr>
        <w:t xml:space="preserve">persons </w:t>
      </w:r>
      <w:r w:rsidR="00B35C46">
        <w:rPr>
          <w:rFonts w:cstheme="minorHAnsi"/>
          <w:szCs w:val="20"/>
          <w:lang w:val="en-GB"/>
        </w:rPr>
        <w:t xml:space="preserve">appear to be still detained </w:t>
      </w:r>
      <w:r w:rsidRPr="000E3AFF">
        <w:rPr>
          <w:rFonts w:cstheme="minorHAnsi"/>
          <w:szCs w:val="20"/>
          <w:lang w:val="en-GB"/>
        </w:rPr>
        <w:t>in Azerbaijan</w:t>
      </w:r>
      <w:r w:rsidR="000E3AFF" w:rsidRPr="000E3AFF">
        <w:rPr>
          <w:rFonts w:cstheme="minorHAnsi"/>
          <w:szCs w:val="20"/>
          <w:lang w:val="en-GB"/>
        </w:rPr>
        <w:t xml:space="preserve"> and </w:t>
      </w:r>
      <w:r w:rsidR="00B35C46">
        <w:rPr>
          <w:rFonts w:cstheme="minorHAnsi"/>
          <w:szCs w:val="20"/>
          <w:lang w:val="en-GB"/>
        </w:rPr>
        <w:t>may</w:t>
      </w:r>
      <w:r w:rsidR="000E3AFF" w:rsidRPr="000E3AFF">
        <w:rPr>
          <w:rFonts w:cstheme="minorHAnsi"/>
          <w:szCs w:val="20"/>
          <w:lang w:val="en-GB"/>
        </w:rPr>
        <w:t xml:space="preserve"> qualify for a release under the terms of the trilateral statement</w:t>
      </w:r>
      <w:r w:rsidR="00B35C46">
        <w:rPr>
          <w:rFonts w:cstheme="minorHAnsi"/>
          <w:szCs w:val="20"/>
          <w:lang w:val="en-GB"/>
        </w:rPr>
        <w:t>.</w:t>
      </w:r>
      <w:r w:rsidR="00D639F5">
        <w:rPr>
          <w:rFonts w:cstheme="minorHAnsi"/>
          <w:szCs w:val="20"/>
          <w:lang w:val="en-GB"/>
        </w:rPr>
        <w:t xml:space="preserve"> </w:t>
      </w:r>
      <w:r w:rsidR="000F5AFD" w:rsidRPr="000E3AFF">
        <w:rPr>
          <w:rFonts w:cstheme="minorHAnsi"/>
          <w:szCs w:val="20"/>
          <w:lang w:val="en-GB"/>
        </w:rPr>
        <w:t>The ICRC has access to these detainees</w:t>
      </w:r>
      <w:r w:rsidR="007B717E" w:rsidRPr="000E3AFF">
        <w:rPr>
          <w:rFonts w:cstheme="minorHAnsi"/>
          <w:szCs w:val="20"/>
        </w:rPr>
        <w:t xml:space="preserve"> and is engaged in ensuring communication between the detained</w:t>
      </w:r>
      <w:r w:rsidR="00373E2C">
        <w:rPr>
          <w:rFonts w:cstheme="minorHAnsi"/>
          <w:szCs w:val="20"/>
        </w:rPr>
        <w:t xml:space="preserve"> persons</w:t>
      </w:r>
      <w:r w:rsidR="007B717E" w:rsidRPr="000E3AFF">
        <w:rPr>
          <w:rFonts w:cstheme="minorHAnsi"/>
          <w:szCs w:val="20"/>
        </w:rPr>
        <w:t xml:space="preserve"> and their families, through the </w:t>
      </w:r>
      <w:proofErr w:type="spellStart"/>
      <w:r w:rsidR="007B717E" w:rsidRPr="000E3AFF">
        <w:rPr>
          <w:rFonts w:cstheme="minorHAnsi"/>
          <w:szCs w:val="20"/>
        </w:rPr>
        <w:t>organisation</w:t>
      </w:r>
      <w:proofErr w:type="spellEnd"/>
      <w:r w:rsidR="007B717E" w:rsidRPr="000E3AFF">
        <w:rPr>
          <w:rFonts w:cstheme="minorHAnsi"/>
          <w:szCs w:val="20"/>
        </w:rPr>
        <w:t xml:space="preserve"> of calls or pre-recorded videos. The </w:t>
      </w:r>
      <w:r w:rsidR="000F5AFD" w:rsidRPr="000E3AFF">
        <w:rPr>
          <w:rFonts w:cstheme="minorHAnsi"/>
          <w:szCs w:val="20"/>
          <w:lang w:val="en-GB"/>
        </w:rPr>
        <w:t>Ombuds</w:t>
      </w:r>
      <w:r w:rsidR="00C51D19">
        <w:rPr>
          <w:rFonts w:cstheme="minorHAnsi"/>
          <w:szCs w:val="20"/>
          <w:lang w:val="en-GB"/>
        </w:rPr>
        <w:t>man</w:t>
      </w:r>
      <w:r w:rsidR="000F5AFD" w:rsidRPr="000E3AFF">
        <w:rPr>
          <w:rFonts w:cstheme="minorHAnsi"/>
          <w:szCs w:val="20"/>
          <w:lang w:val="en-GB"/>
        </w:rPr>
        <w:t xml:space="preserve"> of Azerbaijan informed the Commissioner that she or her team also </w:t>
      </w:r>
      <w:r w:rsidR="004B2A5E" w:rsidRPr="000E3AFF">
        <w:rPr>
          <w:rFonts w:cstheme="minorHAnsi"/>
          <w:szCs w:val="20"/>
          <w:lang w:val="en-GB"/>
        </w:rPr>
        <w:t>regularly visits</w:t>
      </w:r>
      <w:r w:rsidR="009D2F5B" w:rsidRPr="000E3AFF">
        <w:rPr>
          <w:rFonts w:cstheme="minorHAnsi"/>
          <w:szCs w:val="20"/>
          <w:lang w:val="en-GB"/>
        </w:rPr>
        <w:t xml:space="preserve"> all</w:t>
      </w:r>
      <w:r w:rsidR="004B2A5E" w:rsidRPr="000E3AFF">
        <w:rPr>
          <w:rFonts w:cstheme="minorHAnsi"/>
          <w:szCs w:val="20"/>
          <w:lang w:val="en-GB"/>
        </w:rPr>
        <w:t xml:space="preserve"> those </w:t>
      </w:r>
      <w:r w:rsidR="003A190F" w:rsidRPr="000E3AFF">
        <w:rPr>
          <w:rFonts w:cstheme="minorHAnsi"/>
          <w:szCs w:val="20"/>
          <w:lang w:val="en-GB"/>
        </w:rPr>
        <w:t>kept in the detention facilities</w:t>
      </w:r>
      <w:r w:rsidR="004E191C" w:rsidRPr="000E3AFF">
        <w:rPr>
          <w:rFonts w:cstheme="minorHAnsi"/>
          <w:szCs w:val="20"/>
          <w:lang w:val="en-GB"/>
        </w:rPr>
        <w:t xml:space="preserve"> </w:t>
      </w:r>
      <w:r w:rsidR="004B2A5E" w:rsidRPr="000E3AFF">
        <w:rPr>
          <w:rFonts w:cstheme="minorHAnsi"/>
          <w:szCs w:val="20"/>
          <w:lang w:val="en-GB"/>
        </w:rPr>
        <w:t>in Azerbaijan</w:t>
      </w:r>
      <w:r w:rsidR="000F5AFD" w:rsidRPr="000E3AFF">
        <w:rPr>
          <w:rFonts w:cstheme="minorHAnsi"/>
          <w:szCs w:val="20"/>
          <w:lang w:val="en-GB"/>
        </w:rPr>
        <w:t xml:space="preserve">. </w:t>
      </w:r>
      <w:r w:rsidR="004E0582" w:rsidRPr="000E3AFF">
        <w:rPr>
          <w:rFonts w:cstheme="minorHAnsi"/>
          <w:szCs w:val="20"/>
          <w:lang w:val="en-GB"/>
        </w:rPr>
        <w:t xml:space="preserve">The </w:t>
      </w:r>
      <w:r w:rsidR="00F948B3" w:rsidRPr="000E3AFF">
        <w:rPr>
          <w:rFonts w:cstheme="minorHAnsi"/>
          <w:szCs w:val="20"/>
          <w:lang w:val="en-GB"/>
        </w:rPr>
        <w:t xml:space="preserve">exact </w:t>
      </w:r>
      <w:r w:rsidR="004E0582" w:rsidRPr="000E3AFF">
        <w:rPr>
          <w:rFonts w:cstheme="minorHAnsi"/>
          <w:szCs w:val="20"/>
          <w:lang w:val="en-GB"/>
        </w:rPr>
        <w:t xml:space="preserve">number of remaining captives </w:t>
      </w:r>
      <w:r w:rsidR="00B209BF" w:rsidRPr="000E3AFF">
        <w:rPr>
          <w:rFonts w:cstheme="minorHAnsi"/>
          <w:szCs w:val="20"/>
          <w:lang w:val="en-GB"/>
        </w:rPr>
        <w:t xml:space="preserve">in Azerbaijan </w:t>
      </w:r>
      <w:r w:rsidR="004E0582" w:rsidRPr="000E3AFF">
        <w:rPr>
          <w:rFonts w:cstheme="minorHAnsi"/>
          <w:szCs w:val="20"/>
          <w:lang w:val="en-GB"/>
        </w:rPr>
        <w:t xml:space="preserve">is however </w:t>
      </w:r>
      <w:r w:rsidR="00F948B3" w:rsidRPr="000E3AFF">
        <w:rPr>
          <w:rFonts w:cstheme="minorHAnsi"/>
          <w:szCs w:val="20"/>
          <w:lang w:val="en-GB"/>
        </w:rPr>
        <w:t>unclear</w:t>
      </w:r>
      <w:r w:rsidR="004E0582" w:rsidRPr="000E3AFF">
        <w:rPr>
          <w:rFonts w:cstheme="minorHAnsi"/>
          <w:szCs w:val="20"/>
          <w:lang w:val="en-GB"/>
        </w:rPr>
        <w:t xml:space="preserve">. </w:t>
      </w:r>
      <w:r w:rsidR="00B209BF" w:rsidRPr="000E3AFF">
        <w:rPr>
          <w:rFonts w:cstheme="minorHAnsi"/>
          <w:szCs w:val="20"/>
          <w:lang w:val="en-GB"/>
        </w:rPr>
        <w:t xml:space="preserve">According to the Armenian authorities, 103 Armenian captives </w:t>
      </w:r>
      <w:r w:rsidR="00373E2C">
        <w:rPr>
          <w:rFonts w:cstheme="minorHAnsi"/>
          <w:szCs w:val="20"/>
          <w:lang w:val="en-GB"/>
        </w:rPr>
        <w:t>had been</w:t>
      </w:r>
      <w:r w:rsidR="00B209BF" w:rsidRPr="000E3AFF">
        <w:rPr>
          <w:rFonts w:cstheme="minorHAnsi"/>
          <w:szCs w:val="20"/>
          <w:lang w:val="en-GB"/>
        </w:rPr>
        <w:t xml:space="preserve"> repatriated as of 5 August 2021 and 106 or 107 persons remain in captivity</w:t>
      </w:r>
      <w:r w:rsidR="00571E07">
        <w:rPr>
          <w:rFonts w:cstheme="minorHAnsi"/>
          <w:szCs w:val="20"/>
          <w:lang w:val="en-GB"/>
        </w:rPr>
        <w:t xml:space="preserve">. </w:t>
      </w:r>
      <w:r w:rsidR="00B209BF" w:rsidRPr="000E3AFF">
        <w:rPr>
          <w:rFonts w:cstheme="minorHAnsi"/>
          <w:szCs w:val="20"/>
          <w:lang w:val="en-GB"/>
        </w:rPr>
        <w:t xml:space="preserve">The Commissioner regrets that the Azerbaijani authorities </w:t>
      </w:r>
      <w:r w:rsidR="00373E2C">
        <w:rPr>
          <w:rFonts w:cstheme="minorHAnsi"/>
          <w:szCs w:val="20"/>
          <w:lang w:val="en-GB"/>
        </w:rPr>
        <w:t>have</w:t>
      </w:r>
      <w:r w:rsidR="00B209BF" w:rsidRPr="000E3AFF">
        <w:rPr>
          <w:rFonts w:cstheme="minorHAnsi"/>
          <w:szCs w:val="20"/>
          <w:lang w:val="en-GB"/>
        </w:rPr>
        <w:t xml:space="preserve"> not reveal</w:t>
      </w:r>
      <w:r w:rsidR="00373E2C">
        <w:rPr>
          <w:rFonts w:cstheme="minorHAnsi"/>
          <w:szCs w:val="20"/>
          <w:lang w:val="en-GB"/>
        </w:rPr>
        <w:t>ed</w:t>
      </w:r>
      <w:r w:rsidR="00B209BF" w:rsidRPr="000E3AFF">
        <w:rPr>
          <w:rFonts w:cstheme="minorHAnsi"/>
          <w:szCs w:val="20"/>
          <w:lang w:val="en-GB"/>
        </w:rPr>
        <w:t xml:space="preserve"> the exact number of captives, leaving room for speculation and </w:t>
      </w:r>
      <w:r w:rsidR="008307C1" w:rsidRPr="000E3AFF">
        <w:rPr>
          <w:rFonts w:cstheme="minorHAnsi"/>
          <w:szCs w:val="20"/>
          <w:lang w:val="en-GB"/>
        </w:rPr>
        <w:t xml:space="preserve">distress for the families concerned. </w:t>
      </w:r>
      <w:r w:rsidR="009133B0" w:rsidRPr="000E3AFF">
        <w:rPr>
          <w:rFonts w:cstheme="minorHAnsi"/>
          <w:szCs w:val="20"/>
          <w:lang w:val="en-GB"/>
        </w:rPr>
        <w:t xml:space="preserve">She calls on the Azerbaijani authorities to disclose a full list </w:t>
      </w:r>
      <w:r w:rsidR="006379B2">
        <w:rPr>
          <w:rFonts w:cstheme="minorHAnsi"/>
          <w:szCs w:val="20"/>
          <w:lang w:val="en-GB"/>
        </w:rPr>
        <w:t xml:space="preserve">and locations </w:t>
      </w:r>
      <w:r w:rsidR="009133B0" w:rsidRPr="000E3AFF">
        <w:rPr>
          <w:rFonts w:cstheme="minorHAnsi"/>
          <w:szCs w:val="20"/>
          <w:lang w:val="en-GB"/>
        </w:rPr>
        <w:t xml:space="preserve">of Armenian captives. </w:t>
      </w:r>
    </w:p>
    <w:p w14:paraId="2A81D3CF" w14:textId="4AD72076" w:rsidR="00D338D2" w:rsidRPr="004E191C" w:rsidRDefault="000E3AFF" w:rsidP="000E3AFF">
      <w:pPr>
        <w:tabs>
          <w:tab w:val="left" w:pos="1613"/>
        </w:tabs>
        <w:spacing w:after="0" w:line="240" w:lineRule="auto"/>
        <w:ind w:left="714"/>
        <w:jc w:val="both"/>
        <w:rPr>
          <w:rFonts w:cstheme="minorHAnsi"/>
          <w:szCs w:val="20"/>
          <w:highlight w:val="yellow"/>
        </w:rPr>
      </w:pPr>
      <w:r>
        <w:rPr>
          <w:rFonts w:cstheme="minorHAnsi"/>
          <w:szCs w:val="20"/>
          <w:lang w:val="en-GB"/>
        </w:rPr>
        <w:t xml:space="preserve"> </w:t>
      </w:r>
    </w:p>
    <w:p w14:paraId="57507D57" w14:textId="70239DBF" w:rsidR="000E3AFF" w:rsidRPr="000E3AFF" w:rsidRDefault="000E3AFF" w:rsidP="00CC673D">
      <w:pPr>
        <w:numPr>
          <w:ilvl w:val="0"/>
          <w:numId w:val="2"/>
        </w:numPr>
        <w:tabs>
          <w:tab w:val="left" w:pos="1613"/>
        </w:tabs>
        <w:spacing w:after="0" w:line="240" w:lineRule="auto"/>
        <w:ind w:left="714" w:hanging="357"/>
        <w:jc w:val="both"/>
        <w:rPr>
          <w:rFonts w:cstheme="minorHAnsi"/>
          <w:szCs w:val="20"/>
        </w:rPr>
      </w:pPr>
      <w:r>
        <w:rPr>
          <w:rFonts w:cstheme="minorHAnsi"/>
          <w:szCs w:val="20"/>
          <w:lang w:val="en-GB"/>
        </w:rPr>
        <w:t xml:space="preserve">Since </w:t>
      </w:r>
      <w:r w:rsidRPr="000E3AFF">
        <w:rPr>
          <w:rFonts w:cstheme="minorHAnsi"/>
          <w:szCs w:val="20"/>
          <w:lang w:val="en-GB"/>
        </w:rPr>
        <w:t xml:space="preserve">the end of the conflict, </w:t>
      </w:r>
      <w:proofErr w:type="gramStart"/>
      <w:r w:rsidRPr="000E3AFF">
        <w:rPr>
          <w:rFonts w:cstheme="minorHAnsi"/>
          <w:szCs w:val="20"/>
          <w:lang w:val="en-GB"/>
        </w:rPr>
        <w:t>a number of</w:t>
      </w:r>
      <w:proofErr w:type="gramEnd"/>
      <w:r w:rsidRPr="000E3AFF">
        <w:rPr>
          <w:rFonts w:cstheme="minorHAnsi"/>
          <w:szCs w:val="20"/>
          <w:lang w:val="en-GB"/>
        </w:rPr>
        <w:t xml:space="preserve"> Armenian citizens have furthermore been arrested and detained by the Azerbaijani military forces along the border for alleged illegal border crossing</w:t>
      </w:r>
      <w:r w:rsidR="00373E2C">
        <w:rPr>
          <w:rFonts w:cstheme="minorHAnsi"/>
          <w:szCs w:val="20"/>
          <w:lang w:val="en-GB"/>
        </w:rPr>
        <w:t>s</w:t>
      </w:r>
      <w:r w:rsidRPr="000E3AFF">
        <w:rPr>
          <w:rFonts w:cstheme="minorHAnsi"/>
          <w:szCs w:val="20"/>
          <w:lang w:val="en-GB"/>
        </w:rPr>
        <w:t xml:space="preserve">. This includes </w:t>
      </w:r>
      <w:r w:rsidRPr="000E3AFF">
        <w:rPr>
          <w:rFonts w:cstheme="minorHAnsi"/>
          <w:szCs w:val="20"/>
        </w:rPr>
        <w:t>62 Armenian soldiers who were arrested in December 2020 in the Hadrut area.</w:t>
      </w:r>
      <w:r w:rsidRPr="000E3AFF">
        <w:rPr>
          <w:rFonts w:cstheme="minorHAnsi"/>
          <w:szCs w:val="20"/>
          <w:lang w:val="en-GB"/>
        </w:rPr>
        <w:t xml:space="preserve"> The Commissioner notes that the status of these persons is disputed: while the Armenian authorities consider them as prisoners of war and have asked for their immediate release, the Azerbaijani authorities contend that these persons </w:t>
      </w:r>
      <w:r w:rsidR="00D34C16">
        <w:rPr>
          <w:rFonts w:cstheme="minorHAnsi"/>
          <w:szCs w:val="20"/>
          <w:lang w:val="en-GB"/>
        </w:rPr>
        <w:t xml:space="preserve">have </w:t>
      </w:r>
      <w:r w:rsidR="005160A0">
        <w:rPr>
          <w:rFonts w:cstheme="minorHAnsi"/>
          <w:szCs w:val="20"/>
          <w:lang w:val="en-GB"/>
        </w:rPr>
        <w:t>committed criminal offence</w:t>
      </w:r>
      <w:r w:rsidR="003936DE">
        <w:rPr>
          <w:rFonts w:cstheme="minorHAnsi"/>
          <w:szCs w:val="20"/>
          <w:lang w:val="en-GB"/>
        </w:rPr>
        <w:t>s</w:t>
      </w:r>
      <w:r w:rsidR="005160A0">
        <w:rPr>
          <w:rFonts w:cstheme="minorHAnsi"/>
          <w:szCs w:val="20"/>
          <w:lang w:val="en-GB"/>
        </w:rPr>
        <w:t xml:space="preserve"> and</w:t>
      </w:r>
      <w:r w:rsidRPr="000E3AFF">
        <w:rPr>
          <w:rFonts w:cstheme="minorHAnsi"/>
          <w:szCs w:val="20"/>
          <w:lang w:val="en-GB"/>
        </w:rPr>
        <w:t xml:space="preserve"> should serve their sentence in Azerbaijan, as they are not covered by the trilateral statement.</w:t>
      </w:r>
      <w:r w:rsidR="00CE3E0B">
        <w:rPr>
          <w:rFonts w:cstheme="minorHAnsi"/>
          <w:szCs w:val="20"/>
          <w:lang w:val="en-GB"/>
        </w:rPr>
        <w:t xml:space="preserve"> The Commissioner notes that these arrests took place in a context of recurrent border incidents while the issue of border </w:t>
      </w:r>
      <w:r w:rsidR="001D4610">
        <w:rPr>
          <w:rFonts w:cstheme="minorHAnsi"/>
          <w:szCs w:val="20"/>
          <w:lang w:val="en-GB"/>
        </w:rPr>
        <w:t>demarcation</w:t>
      </w:r>
      <w:r w:rsidR="00CE3E0B">
        <w:rPr>
          <w:rFonts w:cstheme="minorHAnsi"/>
          <w:szCs w:val="20"/>
          <w:lang w:val="en-GB"/>
        </w:rPr>
        <w:t xml:space="preserve"> is yet to be settled. These men</w:t>
      </w:r>
      <w:r w:rsidR="004375B2">
        <w:rPr>
          <w:rFonts w:cstheme="minorHAnsi"/>
          <w:szCs w:val="20"/>
          <w:lang w:val="en-GB"/>
        </w:rPr>
        <w:t xml:space="preserve"> were subsequently put on trial. M</w:t>
      </w:r>
      <w:r w:rsidRPr="000E3AFF">
        <w:rPr>
          <w:rFonts w:cstheme="minorHAnsi"/>
          <w:szCs w:val="20"/>
          <w:lang w:val="en-GB"/>
        </w:rPr>
        <w:t xml:space="preserve">ore than 60 Armenian captives were convicted in July and August 2021 and sentenced </w:t>
      </w:r>
      <w:r w:rsidRPr="000E3AFF">
        <w:rPr>
          <w:rFonts w:cstheme="minorHAnsi"/>
          <w:szCs w:val="20"/>
        </w:rPr>
        <w:t>to six months to 20 years in prison on charges</w:t>
      </w:r>
      <w:r w:rsidR="00C51D19">
        <w:rPr>
          <w:rFonts w:cstheme="minorHAnsi"/>
          <w:szCs w:val="20"/>
        </w:rPr>
        <w:t xml:space="preserve"> including espionage, </w:t>
      </w:r>
      <w:r w:rsidRPr="000E3AFF">
        <w:rPr>
          <w:rFonts w:cstheme="minorHAnsi"/>
          <w:szCs w:val="20"/>
        </w:rPr>
        <w:t>illegal</w:t>
      </w:r>
      <w:r w:rsidR="00C51D19">
        <w:rPr>
          <w:rFonts w:cstheme="minorHAnsi"/>
          <w:szCs w:val="20"/>
        </w:rPr>
        <w:t xml:space="preserve"> border </w:t>
      </w:r>
      <w:r w:rsidRPr="000E3AFF">
        <w:rPr>
          <w:rFonts w:cstheme="minorHAnsi"/>
          <w:szCs w:val="20"/>
        </w:rPr>
        <w:t xml:space="preserve">crossing </w:t>
      </w:r>
      <w:r w:rsidR="00C51D19">
        <w:rPr>
          <w:rFonts w:cstheme="minorHAnsi"/>
          <w:szCs w:val="20"/>
        </w:rPr>
        <w:t xml:space="preserve">and </w:t>
      </w:r>
      <w:r w:rsidRPr="000E3AFF">
        <w:rPr>
          <w:rFonts w:cstheme="minorHAnsi"/>
          <w:szCs w:val="20"/>
        </w:rPr>
        <w:t>illegal possession of weapons.</w:t>
      </w:r>
      <w:r w:rsidRPr="000E3AFF">
        <w:rPr>
          <w:rFonts w:cstheme="minorHAnsi"/>
          <w:szCs w:val="20"/>
          <w:lang w:val="en-GB"/>
        </w:rPr>
        <w:t xml:space="preserve"> 15 of them</w:t>
      </w:r>
      <w:r w:rsidR="00373E2C">
        <w:rPr>
          <w:rFonts w:cstheme="minorHAnsi"/>
          <w:szCs w:val="20"/>
          <w:lang w:val="en-GB"/>
        </w:rPr>
        <w:t>,</w:t>
      </w:r>
      <w:r w:rsidRPr="000E3AFF">
        <w:rPr>
          <w:rFonts w:cstheme="minorHAnsi"/>
          <w:szCs w:val="20"/>
          <w:lang w:val="en-GB"/>
        </w:rPr>
        <w:t xml:space="preserve"> who were sentenced to six months in prison</w:t>
      </w:r>
      <w:r w:rsidR="00373E2C">
        <w:rPr>
          <w:rFonts w:cstheme="minorHAnsi"/>
          <w:szCs w:val="20"/>
          <w:lang w:val="en-GB"/>
        </w:rPr>
        <w:t>,</w:t>
      </w:r>
      <w:r w:rsidRPr="000E3AFF">
        <w:rPr>
          <w:rFonts w:cstheme="minorHAnsi"/>
          <w:szCs w:val="20"/>
          <w:lang w:val="en-GB"/>
        </w:rPr>
        <w:t xml:space="preserve"> were released and repatriated to Armenia on 13 June and 3 July 2021</w:t>
      </w:r>
      <w:r>
        <w:rPr>
          <w:rFonts w:cstheme="minorHAnsi"/>
          <w:szCs w:val="20"/>
          <w:lang w:val="en-GB"/>
        </w:rPr>
        <w:t xml:space="preserve">. </w:t>
      </w:r>
      <w:r w:rsidR="007A6320">
        <w:rPr>
          <w:rFonts w:cstheme="minorHAnsi"/>
          <w:szCs w:val="20"/>
          <w:lang w:val="en-GB"/>
        </w:rPr>
        <w:t>5 others were reportedly r</w:t>
      </w:r>
      <w:r w:rsidR="007A6320" w:rsidRPr="007A6320">
        <w:rPr>
          <w:rFonts w:cstheme="minorHAnsi"/>
          <w:szCs w:val="20"/>
          <w:lang w:val="en-GB"/>
        </w:rPr>
        <w:t>epatriated to Armenia</w:t>
      </w:r>
      <w:r w:rsidR="007A6320">
        <w:rPr>
          <w:rFonts w:cstheme="minorHAnsi"/>
          <w:szCs w:val="20"/>
          <w:lang w:val="en-GB"/>
        </w:rPr>
        <w:t xml:space="preserve"> on 19 October 2021. </w:t>
      </w:r>
    </w:p>
    <w:p w14:paraId="27A33D87" w14:textId="77777777" w:rsidR="000E3AFF" w:rsidRPr="000E3AFF" w:rsidRDefault="000E3AFF" w:rsidP="000E3AFF">
      <w:pPr>
        <w:tabs>
          <w:tab w:val="left" w:pos="1613"/>
        </w:tabs>
        <w:spacing w:after="0" w:line="240" w:lineRule="auto"/>
        <w:ind w:left="714"/>
        <w:jc w:val="both"/>
        <w:rPr>
          <w:rFonts w:cstheme="minorHAnsi"/>
          <w:szCs w:val="20"/>
        </w:rPr>
      </w:pPr>
    </w:p>
    <w:p w14:paraId="33EE4307" w14:textId="3A8670E7" w:rsidR="00E57B69" w:rsidRDefault="00E57B69" w:rsidP="00CC673D">
      <w:pPr>
        <w:numPr>
          <w:ilvl w:val="0"/>
          <w:numId w:val="2"/>
        </w:numPr>
        <w:tabs>
          <w:tab w:val="left" w:pos="1613"/>
        </w:tabs>
        <w:spacing w:after="0" w:line="240" w:lineRule="auto"/>
        <w:ind w:left="714" w:hanging="357"/>
        <w:jc w:val="both"/>
        <w:rPr>
          <w:rFonts w:cstheme="minorHAnsi"/>
          <w:szCs w:val="20"/>
        </w:rPr>
      </w:pPr>
      <w:r>
        <w:rPr>
          <w:rFonts w:cstheme="minorHAnsi"/>
          <w:szCs w:val="20"/>
          <w:lang w:val="en-GB"/>
        </w:rPr>
        <w:t xml:space="preserve">In addition, </w:t>
      </w:r>
      <w:r w:rsidR="006B00BB" w:rsidRPr="006B00BB">
        <w:rPr>
          <w:rFonts w:cstheme="minorHAnsi"/>
          <w:szCs w:val="20"/>
          <w:lang w:val="en-GB"/>
        </w:rPr>
        <w:t xml:space="preserve">the </w:t>
      </w:r>
      <w:r w:rsidR="005A2055">
        <w:rPr>
          <w:rFonts w:cstheme="minorHAnsi"/>
          <w:szCs w:val="20"/>
          <w:lang w:val="en-GB"/>
        </w:rPr>
        <w:t>R</w:t>
      </w:r>
      <w:r w:rsidR="006B00BB" w:rsidRPr="006B00BB">
        <w:rPr>
          <w:rFonts w:cstheme="minorHAnsi"/>
          <w:szCs w:val="20"/>
          <w:lang w:val="en-GB"/>
        </w:rPr>
        <w:t>apporteur of the Parliamentary Assembly</w:t>
      </w:r>
      <w:r w:rsidR="00E41DA4" w:rsidRPr="00E41DA4">
        <w:rPr>
          <w:rFonts w:cstheme="minorHAnsi"/>
          <w:szCs w:val="20"/>
          <w:lang w:val="en-GB"/>
        </w:rPr>
        <w:t xml:space="preserve"> </w:t>
      </w:r>
      <w:r w:rsidR="00E41DA4">
        <w:rPr>
          <w:rFonts w:cstheme="minorHAnsi"/>
          <w:szCs w:val="20"/>
          <w:lang w:val="en-GB"/>
        </w:rPr>
        <w:t xml:space="preserve">of the </w:t>
      </w:r>
      <w:r w:rsidR="00E41DA4" w:rsidRPr="006B00BB">
        <w:rPr>
          <w:rFonts w:cstheme="minorHAnsi"/>
          <w:szCs w:val="20"/>
          <w:lang w:val="en-GB"/>
        </w:rPr>
        <w:t>Council of Europe</w:t>
      </w:r>
      <w:r w:rsidR="006B00BB" w:rsidRPr="006B00BB">
        <w:rPr>
          <w:rFonts w:cstheme="minorHAnsi"/>
          <w:szCs w:val="20"/>
          <w:lang w:val="en-GB"/>
        </w:rPr>
        <w:t>, Paul Gavan,</w:t>
      </w:r>
      <w:r w:rsidR="006B00BB">
        <w:rPr>
          <w:rFonts w:cstheme="minorHAnsi"/>
          <w:szCs w:val="20"/>
          <w:lang w:val="en-GB"/>
        </w:rPr>
        <w:t xml:space="preserve"> compiled a list </w:t>
      </w:r>
      <w:r w:rsidRPr="00B15BFC">
        <w:rPr>
          <w:rFonts w:cstheme="minorHAnsi"/>
          <w:szCs w:val="20"/>
        </w:rPr>
        <w:t xml:space="preserve">of 31 individuals </w:t>
      </w:r>
      <w:r w:rsidR="006B00BB">
        <w:rPr>
          <w:rFonts w:cstheme="minorHAnsi"/>
          <w:szCs w:val="20"/>
        </w:rPr>
        <w:t xml:space="preserve">allegedly </w:t>
      </w:r>
      <w:r w:rsidRPr="00B15BFC">
        <w:rPr>
          <w:rFonts w:cstheme="minorHAnsi"/>
          <w:szCs w:val="20"/>
        </w:rPr>
        <w:t>held captive</w:t>
      </w:r>
      <w:r w:rsidR="006B00BB">
        <w:rPr>
          <w:rFonts w:cstheme="minorHAnsi"/>
          <w:szCs w:val="20"/>
        </w:rPr>
        <w:t xml:space="preserve"> in Azerbaijan.</w:t>
      </w:r>
      <w:r w:rsidR="00850EA0">
        <w:rPr>
          <w:rStyle w:val="FootnoteReference"/>
          <w:rFonts w:cstheme="minorHAnsi"/>
          <w:szCs w:val="20"/>
        </w:rPr>
        <w:footnoteReference w:id="31"/>
      </w:r>
      <w:r w:rsidR="006B00BB">
        <w:rPr>
          <w:rFonts w:cstheme="minorHAnsi"/>
          <w:szCs w:val="20"/>
        </w:rPr>
        <w:t xml:space="preserve"> The list was drawn</w:t>
      </w:r>
      <w:r w:rsidR="00373E2C">
        <w:rPr>
          <w:rFonts w:cstheme="minorHAnsi"/>
          <w:szCs w:val="20"/>
        </w:rPr>
        <w:t xml:space="preserve"> up</w:t>
      </w:r>
      <w:r w:rsidR="006B00BB">
        <w:rPr>
          <w:rFonts w:cstheme="minorHAnsi"/>
          <w:szCs w:val="20"/>
        </w:rPr>
        <w:t xml:space="preserve"> </w:t>
      </w:r>
      <w:proofErr w:type="gramStart"/>
      <w:r w:rsidR="006B00BB">
        <w:rPr>
          <w:rFonts w:cstheme="minorHAnsi"/>
          <w:szCs w:val="20"/>
        </w:rPr>
        <w:t>on the basis of</w:t>
      </w:r>
      <w:proofErr w:type="gramEnd"/>
      <w:r w:rsidR="006B00BB">
        <w:rPr>
          <w:rFonts w:cstheme="minorHAnsi"/>
          <w:szCs w:val="20"/>
        </w:rPr>
        <w:t xml:space="preserve"> </w:t>
      </w:r>
      <w:r w:rsidR="006B00BB" w:rsidRPr="00B15BFC">
        <w:rPr>
          <w:rFonts w:cstheme="minorHAnsi"/>
          <w:szCs w:val="20"/>
        </w:rPr>
        <w:t>alleged evidence</w:t>
      </w:r>
      <w:r w:rsidR="006B00BB">
        <w:rPr>
          <w:rFonts w:cstheme="minorHAnsi"/>
          <w:szCs w:val="20"/>
        </w:rPr>
        <w:t>,</w:t>
      </w:r>
      <w:r w:rsidR="006B00BB" w:rsidRPr="00B15BFC">
        <w:rPr>
          <w:rFonts w:cstheme="minorHAnsi"/>
          <w:szCs w:val="20"/>
        </w:rPr>
        <w:t xml:space="preserve"> </w:t>
      </w:r>
      <w:r w:rsidRPr="00B15BFC">
        <w:rPr>
          <w:rFonts w:cstheme="minorHAnsi"/>
          <w:szCs w:val="20"/>
        </w:rPr>
        <w:t>including videos, photographs and information on the place and circumstances of their capture and their identities</w:t>
      </w:r>
      <w:r w:rsidR="006B00BB">
        <w:rPr>
          <w:rFonts w:cstheme="minorHAnsi"/>
          <w:szCs w:val="20"/>
        </w:rPr>
        <w:t xml:space="preserve">, and handed over to the Prosecutor General and to the </w:t>
      </w:r>
      <w:r w:rsidR="006B00BB" w:rsidRPr="006B00BB">
        <w:rPr>
          <w:rFonts w:cstheme="minorHAnsi"/>
          <w:szCs w:val="20"/>
        </w:rPr>
        <w:t>Ombudsman of Azerbaijan</w:t>
      </w:r>
      <w:r w:rsidR="006B00BB">
        <w:rPr>
          <w:rFonts w:cstheme="minorHAnsi"/>
          <w:szCs w:val="20"/>
        </w:rPr>
        <w:t>. To date, the whereabouts o</w:t>
      </w:r>
      <w:r w:rsidR="00275CBD">
        <w:rPr>
          <w:rFonts w:cstheme="minorHAnsi"/>
          <w:szCs w:val="20"/>
        </w:rPr>
        <w:t>r</w:t>
      </w:r>
      <w:r w:rsidR="006B00BB">
        <w:rPr>
          <w:rFonts w:cstheme="minorHAnsi"/>
          <w:szCs w:val="20"/>
        </w:rPr>
        <w:t xml:space="preserve"> fate of these persons remain unknown. </w:t>
      </w:r>
    </w:p>
    <w:p w14:paraId="024AB4D7" w14:textId="66FA46E8" w:rsidR="005F777B" w:rsidRDefault="005F777B" w:rsidP="005F777B">
      <w:pPr>
        <w:autoSpaceDE w:val="0"/>
        <w:autoSpaceDN w:val="0"/>
        <w:adjustRightInd w:val="0"/>
        <w:spacing w:after="0" w:line="240" w:lineRule="auto"/>
        <w:jc w:val="both"/>
        <w:rPr>
          <w:rFonts w:cstheme="minorHAnsi"/>
          <w:szCs w:val="20"/>
          <w:lang w:val="en-GB"/>
        </w:rPr>
      </w:pPr>
    </w:p>
    <w:p w14:paraId="015005E3" w14:textId="7B8BBD6D" w:rsidR="004E0582" w:rsidRDefault="006623A2" w:rsidP="00CC673D">
      <w:pPr>
        <w:numPr>
          <w:ilvl w:val="0"/>
          <w:numId w:val="2"/>
        </w:numPr>
        <w:tabs>
          <w:tab w:val="left" w:pos="1613"/>
        </w:tabs>
        <w:spacing w:after="0" w:line="240" w:lineRule="auto"/>
        <w:ind w:left="714" w:hanging="357"/>
        <w:jc w:val="both"/>
        <w:rPr>
          <w:rFonts w:cstheme="minorHAnsi"/>
          <w:szCs w:val="20"/>
          <w:lang w:val="en-GB"/>
        </w:rPr>
      </w:pPr>
      <w:r>
        <w:rPr>
          <w:rFonts w:cstheme="minorHAnsi"/>
          <w:szCs w:val="20"/>
          <w:lang w:val="en-GB"/>
        </w:rPr>
        <w:t xml:space="preserve">This is </w:t>
      </w:r>
      <w:proofErr w:type="gramStart"/>
      <w:r>
        <w:rPr>
          <w:rFonts w:cstheme="minorHAnsi"/>
          <w:szCs w:val="20"/>
          <w:lang w:val="en-GB"/>
        </w:rPr>
        <w:t>all the more</w:t>
      </w:r>
      <w:proofErr w:type="gramEnd"/>
      <w:r>
        <w:rPr>
          <w:rFonts w:cstheme="minorHAnsi"/>
          <w:szCs w:val="20"/>
          <w:lang w:val="en-GB"/>
        </w:rPr>
        <w:t xml:space="preserve"> worrying </w:t>
      </w:r>
      <w:r w:rsidR="003E6D85">
        <w:rPr>
          <w:rFonts w:cstheme="minorHAnsi"/>
          <w:szCs w:val="20"/>
          <w:lang w:val="en-GB"/>
        </w:rPr>
        <w:t>in the light of</w:t>
      </w:r>
      <w:r>
        <w:rPr>
          <w:rFonts w:cstheme="minorHAnsi"/>
          <w:szCs w:val="20"/>
          <w:lang w:val="en-GB"/>
        </w:rPr>
        <w:t xml:space="preserve"> the</w:t>
      </w:r>
      <w:r w:rsidR="00913F84">
        <w:rPr>
          <w:rFonts w:cstheme="minorHAnsi"/>
          <w:szCs w:val="20"/>
          <w:lang w:val="en-GB"/>
        </w:rPr>
        <w:t xml:space="preserve"> numerous</w:t>
      </w:r>
      <w:r w:rsidR="003E6D85">
        <w:rPr>
          <w:rFonts w:cstheme="minorHAnsi"/>
          <w:szCs w:val="20"/>
          <w:lang w:val="en-GB"/>
        </w:rPr>
        <w:t xml:space="preserve"> allegations </w:t>
      </w:r>
      <w:r w:rsidR="00456947">
        <w:rPr>
          <w:rFonts w:cstheme="minorHAnsi"/>
          <w:szCs w:val="20"/>
          <w:lang w:val="en-GB"/>
        </w:rPr>
        <w:t>that</w:t>
      </w:r>
      <w:r w:rsidR="003E6D85">
        <w:rPr>
          <w:rFonts w:cstheme="minorHAnsi"/>
          <w:szCs w:val="20"/>
          <w:lang w:val="en-GB"/>
        </w:rPr>
        <w:t xml:space="preserve"> prisoners of war and other captives </w:t>
      </w:r>
      <w:r w:rsidR="00D34C16">
        <w:rPr>
          <w:rFonts w:cstheme="minorHAnsi"/>
          <w:szCs w:val="20"/>
          <w:lang w:val="en-GB"/>
        </w:rPr>
        <w:t xml:space="preserve">in Azerbaijan </w:t>
      </w:r>
      <w:r w:rsidR="003E6D85">
        <w:rPr>
          <w:rFonts w:cstheme="minorHAnsi"/>
          <w:szCs w:val="20"/>
          <w:lang w:val="en-GB"/>
        </w:rPr>
        <w:t>have been subjected to inhuman treatment and torture</w:t>
      </w:r>
      <w:r w:rsidR="00456947">
        <w:rPr>
          <w:rFonts w:cstheme="minorHAnsi"/>
          <w:szCs w:val="20"/>
          <w:lang w:val="en-GB"/>
        </w:rPr>
        <w:t xml:space="preserve"> in detention</w:t>
      </w:r>
      <w:r w:rsidR="003E6D85">
        <w:rPr>
          <w:rFonts w:cstheme="minorHAnsi"/>
          <w:szCs w:val="20"/>
          <w:lang w:val="en-GB"/>
        </w:rPr>
        <w:t xml:space="preserve">. </w:t>
      </w:r>
      <w:r w:rsidR="00B15BFC">
        <w:rPr>
          <w:rFonts w:cstheme="minorHAnsi"/>
          <w:szCs w:val="20"/>
          <w:lang w:val="en-GB"/>
        </w:rPr>
        <w:t xml:space="preserve">The Commissioner </w:t>
      </w:r>
      <w:r w:rsidR="004E0582">
        <w:rPr>
          <w:rFonts w:cstheme="minorHAnsi"/>
          <w:szCs w:val="20"/>
          <w:lang w:val="en-GB"/>
        </w:rPr>
        <w:t xml:space="preserve">is </w:t>
      </w:r>
      <w:r w:rsidR="00105A1F">
        <w:rPr>
          <w:rFonts w:cstheme="minorHAnsi"/>
          <w:szCs w:val="20"/>
          <w:lang w:val="en-GB"/>
        </w:rPr>
        <w:t>dismayed</w:t>
      </w:r>
      <w:r w:rsidR="004E0582">
        <w:rPr>
          <w:rFonts w:cstheme="minorHAnsi"/>
          <w:szCs w:val="20"/>
          <w:lang w:val="en-GB"/>
        </w:rPr>
        <w:t xml:space="preserve"> by </w:t>
      </w:r>
      <w:r w:rsidR="00105A1F">
        <w:rPr>
          <w:rFonts w:cstheme="minorHAnsi"/>
          <w:szCs w:val="20"/>
          <w:lang w:val="en-GB"/>
        </w:rPr>
        <w:t xml:space="preserve">the </w:t>
      </w:r>
      <w:r w:rsidR="003E6D85">
        <w:rPr>
          <w:rFonts w:cstheme="minorHAnsi"/>
          <w:szCs w:val="20"/>
          <w:lang w:val="en-GB"/>
        </w:rPr>
        <w:t>credible</w:t>
      </w:r>
      <w:r w:rsidR="00105A1F">
        <w:rPr>
          <w:rFonts w:cstheme="minorHAnsi"/>
          <w:szCs w:val="20"/>
          <w:lang w:val="en-GB"/>
        </w:rPr>
        <w:t xml:space="preserve"> reports of ill-treatment of prisoners she </w:t>
      </w:r>
      <w:r w:rsidR="00913F84">
        <w:rPr>
          <w:rFonts w:cstheme="minorHAnsi"/>
          <w:szCs w:val="20"/>
          <w:lang w:val="en-GB"/>
        </w:rPr>
        <w:t xml:space="preserve">has </w:t>
      </w:r>
      <w:r w:rsidR="00105A1F">
        <w:rPr>
          <w:rFonts w:cstheme="minorHAnsi"/>
          <w:szCs w:val="20"/>
          <w:lang w:val="en-GB"/>
        </w:rPr>
        <w:t>received.</w:t>
      </w:r>
      <w:r w:rsidR="006B00BB">
        <w:rPr>
          <w:rStyle w:val="FootnoteReference"/>
          <w:rFonts w:cstheme="minorHAnsi"/>
          <w:szCs w:val="20"/>
          <w:lang w:val="en-GB"/>
        </w:rPr>
        <w:footnoteReference w:id="32"/>
      </w:r>
      <w:r w:rsidR="00105A1F">
        <w:rPr>
          <w:rFonts w:cstheme="minorHAnsi"/>
          <w:szCs w:val="20"/>
          <w:lang w:val="en-GB"/>
        </w:rPr>
        <w:t xml:space="preserve"> Among others, </w:t>
      </w:r>
      <w:r w:rsidR="00105A1F" w:rsidRPr="001B0CD9">
        <w:rPr>
          <w:rFonts w:cstheme="minorHAnsi"/>
          <w:szCs w:val="20"/>
        </w:rPr>
        <w:t>Human Rights Watch documented several cases in which Azerbaijani forces used violence to detain civilians and subjected them to torture and inhuman and degrading conditions of detention.</w:t>
      </w:r>
      <w:r w:rsidR="005C530A">
        <w:rPr>
          <w:rStyle w:val="FootnoteReference"/>
          <w:rFonts w:cstheme="minorHAnsi"/>
          <w:szCs w:val="20"/>
        </w:rPr>
        <w:footnoteReference w:id="33"/>
      </w:r>
      <w:r w:rsidR="00CC673D" w:rsidRPr="00CC673D">
        <w:rPr>
          <w:rFonts w:cstheme="minorHAnsi"/>
          <w:szCs w:val="20"/>
        </w:rPr>
        <w:t xml:space="preserve"> </w:t>
      </w:r>
      <w:r w:rsidR="006B00BB">
        <w:rPr>
          <w:rFonts w:cstheme="minorHAnsi"/>
          <w:szCs w:val="20"/>
        </w:rPr>
        <w:t xml:space="preserve">The Commissioner </w:t>
      </w:r>
      <w:r w:rsidR="003E6D85">
        <w:rPr>
          <w:rFonts w:cstheme="minorHAnsi"/>
          <w:szCs w:val="20"/>
        </w:rPr>
        <w:t xml:space="preserve">calls on the Azerbaijani authorities to ensure that </w:t>
      </w:r>
      <w:r w:rsidR="00F06583">
        <w:rPr>
          <w:rFonts w:cstheme="minorHAnsi"/>
          <w:szCs w:val="20"/>
        </w:rPr>
        <w:t xml:space="preserve">all </w:t>
      </w:r>
      <w:r w:rsidR="003E6D85">
        <w:rPr>
          <w:rFonts w:cstheme="minorHAnsi"/>
          <w:szCs w:val="20"/>
        </w:rPr>
        <w:t xml:space="preserve">those still </w:t>
      </w:r>
      <w:r w:rsidR="001B5D8F">
        <w:rPr>
          <w:rFonts w:cstheme="minorHAnsi"/>
          <w:szCs w:val="20"/>
        </w:rPr>
        <w:t>in captivity</w:t>
      </w:r>
      <w:r w:rsidR="004E191C">
        <w:rPr>
          <w:rFonts w:cstheme="minorHAnsi"/>
          <w:szCs w:val="20"/>
        </w:rPr>
        <w:t xml:space="preserve"> </w:t>
      </w:r>
      <w:r w:rsidR="003E6D85">
        <w:rPr>
          <w:rFonts w:cstheme="minorHAnsi"/>
          <w:szCs w:val="20"/>
        </w:rPr>
        <w:t xml:space="preserve">are provided with all protections </w:t>
      </w:r>
      <w:r w:rsidR="00F06583">
        <w:rPr>
          <w:rFonts w:cstheme="minorHAnsi"/>
          <w:szCs w:val="20"/>
        </w:rPr>
        <w:t xml:space="preserve">guaranteed </w:t>
      </w:r>
      <w:r w:rsidR="003E6D85">
        <w:rPr>
          <w:rFonts w:cstheme="minorHAnsi"/>
          <w:szCs w:val="20"/>
        </w:rPr>
        <w:t xml:space="preserve">under international humanitarian and human rights law. She </w:t>
      </w:r>
      <w:r w:rsidR="00E41DA4">
        <w:rPr>
          <w:rFonts w:cstheme="minorHAnsi"/>
          <w:szCs w:val="20"/>
          <w:lang w:val="en-GB"/>
        </w:rPr>
        <w:t xml:space="preserve">joins </w:t>
      </w:r>
      <w:r w:rsidR="00CC673D">
        <w:rPr>
          <w:rFonts w:cstheme="minorHAnsi"/>
          <w:szCs w:val="20"/>
          <w:lang w:val="en-GB"/>
        </w:rPr>
        <w:t xml:space="preserve">the call of </w:t>
      </w:r>
      <w:bookmarkStart w:id="14" w:name="_Hlk83828776"/>
      <w:r w:rsidR="00CC673D">
        <w:rPr>
          <w:rFonts w:cstheme="minorHAnsi"/>
          <w:szCs w:val="20"/>
          <w:lang w:val="en-GB"/>
        </w:rPr>
        <w:t xml:space="preserve">the </w:t>
      </w:r>
      <w:r w:rsidR="005A2055">
        <w:rPr>
          <w:rFonts w:cstheme="minorHAnsi"/>
          <w:szCs w:val="20"/>
          <w:lang w:val="en-GB"/>
        </w:rPr>
        <w:t>R</w:t>
      </w:r>
      <w:r w:rsidR="00CC673D">
        <w:rPr>
          <w:rFonts w:cstheme="minorHAnsi"/>
          <w:szCs w:val="20"/>
          <w:lang w:val="en-GB"/>
        </w:rPr>
        <w:t>apporteur of the Parliamentary Assembly</w:t>
      </w:r>
      <w:bookmarkEnd w:id="14"/>
      <w:r w:rsidR="003E6D85">
        <w:rPr>
          <w:rFonts w:cstheme="minorHAnsi"/>
          <w:szCs w:val="20"/>
          <w:lang w:val="en-GB"/>
        </w:rPr>
        <w:t xml:space="preserve"> </w:t>
      </w:r>
      <w:r w:rsidR="00CC673D">
        <w:rPr>
          <w:rFonts w:cstheme="minorHAnsi"/>
          <w:szCs w:val="20"/>
          <w:lang w:val="en-GB"/>
        </w:rPr>
        <w:t xml:space="preserve">that these captives should be released without delay. </w:t>
      </w:r>
    </w:p>
    <w:p w14:paraId="5C6FEAFF" w14:textId="11D87959" w:rsidR="00836ECB" w:rsidRDefault="00836ECB" w:rsidP="005F777B">
      <w:pPr>
        <w:autoSpaceDE w:val="0"/>
        <w:autoSpaceDN w:val="0"/>
        <w:adjustRightInd w:val="0"/>
        <w:spacing w:after="0" w:line="240" w:lineRule="auto"/>
        <w:jc w:val="both"/>
        <w:rPr>
          <w:rFonts w:cstheme="minorHAnsi"/>
          <w:szCs w:val="20"/>
        </w:rPr>
      </w:pPr>
    </w:p>
    <w:p w14:paraId="0CE41AA4" w14:textId="613C6534" w:rsidR="005E31CC" w:rsidRDefault="00836ECB" w:rsidP="005E31CC">
      <w:pPr>
        <w:pStyle w:val="ListParagraph"/>
        <w:numPr>
          <w:ilvl w:val="0"/>
          <w:numId w:val="19"/>
        </w:numPr>
        <w:autoSpaceDE w:val="0"/>
        <w:autoSpaceDN w:val="0"/>
        <w:adjustRightInd w:val="0"/>
        <w:spacing w:after="0" w:line="240" w:lineRule="auto"/>
        <w:ind w:left="1134" w:hanging="425"/>
        <w:contextualSpacing w:val="0"/>
        <w:jc w:val="both"/>
        <w:rPr>
          <w:rFonts w:cstheme="minorHAnsi"/>
          <w:b/>
          <w:bCs/>
          <w:szCs w:val="20"/>
          <w:lang w:val="en-GB"/>
        </w:rPr>
      </w:pPr>
      <w:r w:rsidRPr="00836ECB">
        <w:rPr>
          <w:rFonts w:cstheme="minorHAnsi"/>
          <w:b/>
          <w:bCs/>
          <w:szCs w:val="20"/>
          <w:lang w:val="en-GB"/>
        </w:rPr>
        <w:t xml:space="preserve">The right to know the fate and whereabouts of missing persons </w:t>
      </w:r>
    </w:p>
    <w:p w14:paraId="307EAD99" w14:textId="4FEFE54C" w:rsidR="005E31CC" w:rsidRDefault="00386343" w:rsidP="005E31CC">
      <w:pPr>
        <w:pStyle w:val="ListParagraph"/>
        <w:autoSpaceDE w:val="0"/>
        <w:autoSpaceDN w:val="0"/>
        <w:adjustRightInd w:val="0"/>
        <w:spacing w:after="0" w:line="240" w:lineRule="auto"/>
        <w:ind w:left="1134"/>
        <w:contextualSpacing w:val="0"/>
        <w:jc w:val="both"/>
        <w:rPr>
          <w:rFonts w:cstheme="minorHAnsi"/>
          <w:b/>
          <w:bCs/>
          <w:szCs w:val="20"/>
          <w:lang w:val="en-GB"/>
        </w:rPr>
      </w:pPr>
      <w:r w:rsidRPr="00023E6A">
        <w:rPr>
          <w:rFonts w:asciiTheme="minorHAnsi" w:hAnsiTheme="minorHAnsi" w:cstheme="minorHAnsi"/>
          <w:b/>
          <w:bCs/>
          <w:noProof/>
          <w:color w:val="1F497D" w:themeColor="text2"/>
          <w:szCs w:val="20"/>
        </w:rPr>
        <mc:AlternateContent>
          <mc:Choice Requires="wps">
            <w:drawing>
              <wp:anchor distT="0" distB="0" distL="114300" distR="114300" simplePos="0" relativeHeight="251667456" behindDoc="0" locked="0" layoutInCell="1" allowOverlap="1" wp14:anchorId="6C82F16F" wp14:editId="611E5AEE">
                <wp:simplePos x="0" y="0"/>
                <wp:positionH relativeFrom="column">
                  <wp:posOffset>355361</wp:posOffset>
                </wp:positionH>
                <wp:positionV relativeFrom="paragraph">
                  <wp:posOffset>125862</wp:posOffset>
                </wp:positionV>
                <wp:extent cx="5753100" cy="586589"/>
                <wp:effectExtent l="38100" t="38100" r="95250" b="99695"/>
                <wp:wrapNone/>
                <wp:docPr id="7" name="Zone de texte 6"/>
                <wp:cNvGraphicFramePr/>
                <a:graphic xmlns:a="http://schemas.openxmlformats.org/drawingml/2006/main">
                  <a:graphicData uri="http://schemas.microsoft.com/office/word/2010/wordprocessingShape">
                    <wps:wsp>
                      <wps:cNvSpPr txBox="1"/>
                      <wps:spPr>
                        <a:xfrm>
                          <a:off x="0" y="0"/>
                          <a:ext cx="5753100" cy="586589"/>
                        </a:xfrm>
                        <a:prstGeom prst="rect">
                          <a:avLst/>
                        </a:prstGeom>
                        <a:solidFill>
                          <a:srgbClr val="F9F0DB"/>
                        </a:solidFill>
                        <a:ln w="6350">
                          <a:noFill/>
                        </a:ln>
                        <a:effectLst>
                          <a:outerShdw blurRad="50800" dist="38100" dir="2700000" algn="tl" rotWithShape="0">
                            <a:prstClr val="black">
                              <a:alpha val="40000"/>
                            </a:prstClr>
                          </a:outerShdw>
                        </a:effectLst>
                      </wps:spPr>
                      <wps:txbx>
                        <w:txbxContent>
                          <w:p w14:paraId="4C3B5676" w14:textId="77777777" w:rsidR="009269CA" w:rsidRPr="001655B3" w:rsidRDefault="009269CA" w:rsidP="00023E6A">
                            <w:pPr>
                              <w:autoSpaceDE w:val="0"/>
                              <w:autoSpaceDN w:val="0"/>
                              <w:adjustRightInd w:val="0"/>
                              <w:spacing w:after="0" w:line="240" w:lineRule="auto"/>
                              <w:jc w:val="both"/>
                              <w:rPr>
                                <w:rFonts w:cstheme="minorHAnsi"/>
                                <w:b/>
                                <w:bCs/>
                                <w:szCs w:val="20"/>
                                <w:lang w:val="en-GB"/>
                              </w:rPr>
                            </w:pPr>
                            <w:r w:rsidRPr="001655B3">
                              <w:rPr>
                                <w:rFonts w:cstheme="minorHAnsi"/>
                                <w:b/>
                                <w:bCs/>
                                <w:szCs w:val="20"/>
                                <w:lang w:val="en-GB"/>
                              </w:rPr>
                              <w:t xml:space="preserve">Recommendation no. 5: </w:t>
                            </w:r>
                          </w:p>
                          <w:p w14:paraId="60C99823" w14:textId="36CB5F5A" w:rsidR="009269CA" w:rsidRPr="00386343" w:rsidRDefault="009269CA" w:rsidP="00EF15D9">
                            <w:pPr>
                              <w:spacing w:after="0" w:line="240" w:lineRule="auto"/>
                              <w:jc w:val="both"/>
                              <w:rPr>
                                <w:rFonts w:cstheme="minorHAnsi"/>
                                <w:szCs w:val="20"/>
                                <w:lang w:val="en-GB"/>
                              </w:rPr>
                            </w:pPr>
                            <w:r>
                              <w:rPr>
                                <w:rFonts w:cstheme="minorHAnsi"/>
                                <w:szCs w:val="20"/>
                                <w:lang w:val="en-GB"/>
                              </w:rPr>
                              <w:t>T</w:t>
                            </w:r>
                            <w:r w:rsidRPr="00FA1680">
                              <w:rPr>
                                <w:rFonts w:cstheme="minorHAnsi"/>
                                <w:szCs w:val="20"/>
                                <w:lang w:val="en-GB"/>
                              </w:rPr>
                              <w:t xml:space="preserve">o </w:t>
                            </w:r>
                            <w:r w:rsidRPr="00386343">
                              <w:rPr>
                                <w:rFonts w:cstheme="minorHAnsi"/>
                                <w:szCs w:val="20"/>
                                <w:lang w:val="en-GB"/>
                              </w:rPr>
                              <w:t xml:space="preserve">co-operate </w:t>
                            </w:r>
                            <w:r w:rsidRPr="00386343">
                              <w:rPr>
                                <w:rFonts w:cstheme="minorHAnsi"/>
                                <w:szCs w:val="20"/>
                              </w:rPr>
                              <w:t xml:space="preserve">at the international level by providing mutual assistance in the form of information sharing in order </w:t>
                            </w:r>
                            <w:r w:rsidRPr="00386343">
                              <w:rPr>
                                <w:rFonts w:cstheme="minorHAnsi"/>
                                <w:szCs w:val="20"/>
                                <w:lang w:val="en-GB"/>
                              </w:rPr>
                              <w:t>to establish the fate of missing and disappeared persons.</w:t>
                            </w:r>
                            <w:r>
                              <w:rPr>
                                <w:rFonts w:cstheme="minorHAnsi"/>
                                <w:szCs w:val="20"/>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2F16F" id="_x0000_s1030" type="#_x0000_t202" style="position:absolute;left:0;text-align:left;margin-left:28pt;margin-top:9.9pt;width:453pt;height:4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" fillcolor="#f9f0db" stroked="f" strokeweight=".5pt">
                <v:shadow on="t" color="black" opacity="26214f" origin="-.5,-.5" offset=".74836mm,.74836mm"/>
                <v:textbox>
                  <w:txbxContent>
                    <w:p w14:paraId="4C3B5676" w14:textId="77777777" w:rsidR="009269CA" w:rsidRPr="001655B3" w:rsidRDefault="009269CA" w:rsidP="00023E6A">
                      <w:pPr>
                        <w:autoSpaceDE w:val="0"/>
                        <w:autoSpaceDN w:val="0"/>
                        <w:adjustRightInd w:val="0"/>
                        <w:spacing w:after="0" w:line="240" w:lineRule="auto"/>
                        <w:jc w:val="both"/>
                        <w:rPr>
                          <w:rFonts w:cstheme="minorHAnsi"/>
                          <w:b/>
                          <w:bCs/>
                          <w:szCs w:val="20"/>
                          <w:lang w:val="en-GB"/>
                        </w:rPr>
                      </w:pPr>
                      <w:r w:rsidRPr="001655B3">
                        <w:rPr>
                          <w:rFonts w:cstheme="minorHAnsi"/>
                          <w:b/>
                          <w:bCs/>
                          <w:szCs w:val="20"/>
                          <w:lang w:val="en-GB"/>
                        </w:rPr>
                        <w:t xml:space="preserve">Recommendation no. 5: </w:t>
                      </w:r>
                    </w:p>
                    <w:p w14:paraId="60C99823" w14:textId="36CB5F5A" w:rsidR="009269CA" w:rsidRPr="00386343" w:rsidRDefault="009269CA" w:rsidP="00EF15D9">
                      <w:pPr>
                        <w:spacing w:after="0" w:line="240" w:lineRule="auto"/>
                        <w:jc w:val="both"/>
                        <w:rPr>
                          <w:rFonts w:cstheme="minorHAnsi"/>
                          <w:szCs w:val="20"/>
                          <w:lang w:val="en-GB"/>
                        </w:rPr>
                      </w:pPr>
                      <w:r>
                        <w:rPr>
                          <w:rFonts w:cstheme="minorHAnsi"/>
                          <w:szCs w:val="20"/>
                          <w:lang w:val="en-GB"/>
                        </w:rPr>
                        <w:t>T</w:t>
                      </w:r>
                      <w:r w:rsidRPr="00FA1680">
                        <w:rPr>
                          <w:rFonts w:cstheme="minorHAnsi"/>
                          <w:szCs w:val="20"/>
                          <w:lang w:val="en-GB"/>
                        </w:rPr>
                        <w:t xml:space="preserve">o </w:t>
                      </w:r>
                      <w:r w:rsidRPr="00386343">
                        <w:rPr>
                          <w:rFonts w:cstheme="minorHAnsi"/>
                          <w:szCs w:val="20"/>
                          <w:lang w:val="en-GB"/>
                        </w:rPr>
                        <w:t xml:space="preserve">co-operate </w:t>
                      </w:r>
                      <w:r w:rsidRPr="00386343">
                        <w:rPr>
                          <w:rFonts w:cstheme="minorHAnsi"/>
                          <w:szCs w:val="20"/>
                        </w:rPr>
                        <w:t xml:space="preserve">at the international level by providing mutual assistance in the form of information sharing in order </w:t>
                      </w:r>
                      <w:r w:rsidRPr="00386343">
                        <w:rPr>
                          <w:rFonts w:cstheme="minorHAnsi"/>
                          <w:szCs w:val="20"/>
                          <w:lang w:val="en-GB"/>
                        </w:rPr>
                        <w:t>to establish the fate of missing and disappeared persons.</w:t>
                      </w:r>
                      <w:r>
                        <w:rPr>
                          <w:rFonts w:cstheme="minorHAnsi"/>
                          <w:szCs w:val="20"/>
                          <w:lang w:val="en-GB"/>
                        </w:rPr>
                        <w:t xml:space="preserve"> </w:t>
                      </w:r>
                    </w:p>
                  </w:txbxContent>
                </v:textbox>
              </v:shape>
            </w:pict>
          </mc:Fallback>
        </mc:AlternateContent>
      </w:r>
    </w:p>
    <w:p w14:paraId="226D3ECF" w14:textId="1AC3430C" w:rsidR="00023E6A" w:rsidRDefault="00023E6A" w:rsidP="001655B3">
      <w:pPr>
        <w:autoSpaceDE w:val="0"/>
        <w:autoSpaceDN w:val="0"/>
        <w:adjustRightInd w:val="0"/>
        <w:spacing w:after="0" w:line="240" w:lineRule="auto"/>
        <w:ind w:left="709"/>
        <w:jc w:val="both"/>
        <w:rPr>
          <w:rFonts w:cstheme="minorHAnsi"/>
          <w:b/>
          <w:bCs/>
          <w:szCs w:val="20"/>
          <w:lang w:val="en-GB"/>
        </w:rPr>
      </w:pPr>
    </w:p>
    <w:p w14:paraId="69EF6CFB" w14:textId="0D0096F7" w:rsidR="00023E6A" w:rsidRDefault="00023E6A" w:rsidP="001655B3">
      <w:pPr>
        <w:autoSpaceDE w:val="0"/>
        <w:autoSpaceDN w:val="0"/>
        <w:adjustRightInd w:val="0"/>
        <w:spacing w:after="0" w:line="240" w:lineRule="auto"/>
        <w:ind w:left="709"/>
        <w:jc w:val="both"/>
        <w:rPr>
          <w:rFonts w:cstheme="minorHAnsi"/>
          <w:b/>
          <w:bCs/>
          <w:szCs w:val="20"/>
          <w:lang w:val="en-GB"/>
        </w:rPr>
      </w:pPr>
    </w:p>
    <w:p w14:paraId="0048A1E3" w14:textId="1668F561" w:rsidR="00023E6A" w:rsidRDefault="00023E6A" w:rsidP="001655B3">
      <w:pPr>
        <w:autoSpaceDE w:val="0"/>
        <w:autoSpaceDN w:val="0"/>
        <w:adjustRightInd w:val="0"/>
        <w:spacing w:after="0" w:line="240" w:lineRule="auto"/>
        <w:ind w:left="709"/>
        <w:jc w:val="both"/>
        <w:rPr>
          <w:rFonts w:cstheme="minorHAnsi"/>
          <w:b/>
          <w:bCs/>
          <w:szCs w:val="20"/>
          <w:lang w:val="en-GB"/>
        </w:rPr>
      </w:pPr>
    </w:p>
    <w:p w14:paraId="796EBE10" w14:textId="77777777" w:rsidR="00023E6A" w:rsidRDefault="00023E6A" w:rsidP="001655B3">
      <w:pPr>
        <w:autoSpaceDE w:val="0"/>
        <w:autoSpaceDN w:val="0"/>
        <w:adjustRightInd w:val="0"/>
        <w:spacing w:after="0" w:line="240" w:lineRule="auto"/>
        <w:ind w:left="709"/>
        <w:jc w:val="both"/>
        <w:rPr>
          <w:rFonts w:cstheme="minorHAnsi"/>
          <w:b/>
          <w:bCs/>
          <w:szCs w:val="20"/>
          <w:lang w:val="en-GB"/>
        </w:rPr>
      </w:pPr>
    </w:p>
    <w:p w14:paraId="154D63D7" w14:textId="77777777" w:rsidR="00023E6A" w:rsidRDefault="00023E6A" w:rsidP="001655B3">
      <w:pPr>
        <w:autoSpaceDE w:val="0"/>
        <w:autoSpaceDN w:val="0"/>
        <w:adjustRightInd w:val="0"/>
        <w:spacing w:after="0" w:line="240" w:lineRule="auto"/>
        <w:ind w:left="709"/>
        <w:jc w:val="both"/>
        <w:rPr>
          <w:rFonts w:cstheme="minorHAnsi"/>
          <w:b/>
          <w:bCs/>
          <w:szCs w:val="20"/>
          <w:lang w:val="en-GB"/>
        </w:rPr>
      </w:pPr>
    </w:p>
    <w:p w14:paraId="7B87DCBE" w14:textId="27334503" w:rsidR="001655B3" w:rsidRPr="001655B3" w:rsidRDefault="00FA1680" w:rsidP="001655B3">
      <w:pPr>
        <w:numPr>
          <w:ilvl w:val="0"/>
          <w:numId w:val="2"/>
        </w:numPr>
        <w:tabs>
          <w:tab w:val="left" w:pos="1613"/>
        </w:tabs>
        <w:spacing w:after="0" w:line="240" w:lineRule="auto"/>
        <w:ind w:left="714" w:hanging="357"/>
        <w:jc w:val="both"/>
        <w:rPr>
          <w:rFonts w:cstheme="minorHAnsi"/>
          <w:szCs w:val="20"/>
          <w:lang w:val="en-GB"/>
        </w:rPr>
      </w:pPr>
      <w:r w:rsidRPr="001655B3">
        <w:rPr>
          <w:rFonts w:cstheme="minorHAnsi"/>
          <w:szCs w:val="20"/>
        </w:rPr>
        <w:t>The Commissioner deplores that 3 945 Armenian and 2 907 Azerbaijani military servicemen</w:t>
      </w:r>
      <w:r w:rsidR="00DF29E6">
        <w:rPr>
          <w:rFonts w:cstheme="minorHAnsi"/>
          <w:szCs w:val="20"/>
        </w:rPr>
        <w:t xml:space="preserve"> as well as </w:t>
      </w:r>
      <w:r w:rsidR="00A3786E" w:rsidRPr="00A3786E">
        <w:rPr>
          <w:rFonts w:cstheme="minorHAnsi"/>
          <w:szCs w:val="20"/>
        </w:rPr>
        <w:t>over a hundred of civilians died</w:t>
      </w:r>
      <w:r w:rsidR="00A3786E">
        <w:rPr>
          <w:rFonts w:cstheme="minorHAnsi"/>
          <w:szCs w:val="20"/>
        </w:rPr>
        <w:t xml:space="preserve"> </w:t>
      </w:r>
      <w:r w:rsidRPr="001655B3">
        <w:rPr>
          <w:rFonts w:cstheme="minorHAnsi"/>
          <w:szCs w:val="20"/>
        </w:rPr>
        <w:t>during the 2020 outbreak of hostilities. Death toll estimates are however made difficult by the</w:t>
      </w:r>
      <w:r w:rsidRPr="00373E2C">
        <w:rPr>
          <w:rFonts w:cstheme="minorHAnsi"/>
          <w:szCs w:val="20"/>
        </w:rPr>
        <w:t xml:space="preserve"> fact that there are </w:t>
      </w:r>
      <w:proofErr w:type="gramStart"/>
      <w:r w:rsidRPr="00373E2C">
        <w:rPr>
          <w:rFonts w:cstheme="minorHAnsi"/>
          <w:szCs w:val="20"/>
        </w:rPr>
        <w:t>a number of</w:t>
      </w:r>
      <w:proofErr w:type="gramEnd"/>
      <w:r w:rsidRPr="00373E2C">
        <w:rPr>
          <w:rFonts w:cstheme="minorHAnsi"/>
          <w:szCs w:val="20"/>
        </w:rPr>
        <w:t xml:space="preserve"> people whose fate is unknown and</w:t>
      </w:r>
      <w:r w:rsidR="00CD3E7F">
        <w:rPr>
          <w:rFonts w:cstheme="minorHAnsi"/>
          <w:szCs w:val="20"/>
        </w:rPr>
        <w:t xml:space="preserve"> who</w:t>
      </w:r>
      <w:r w:rsidRPr="00373E2C">
        <w:rPr>
          <w:rFonts w:cstheme="minorHAnsi"/>
          <w:szCs w:val="20"/>
        </w:rPr>
        <w:t xml:space="preserve"> are missing. M</w:t>
      </w:r>
      <w:r w:rsidRPr="001655B3">
        <w:rPr>
          <w:rFonts w:cstheme="minorHAnsi"/>
          <w:szCs w:val="20"/>
        </w:rPr>
        <w:t xml:space="preserve">any families still bear the brunt of the conflict, especially those who have lost a </w:t>
      </w:r>
      <w:r w:rsidR="005A2055" w:rsidRPr="001655B3">
        <w:rPr>
          <w:rFonts w:cstheme="minorHAnsi"/>
          <w:szCs w:val="20"/>
        </w:rPr>
        <w:t>family member</w:t>
      </w:r>
      <w:r w:rsidRPr="001655B3">
        <w:rPr>
          <w:rFonts w:cstheme="minorHAnsi"/>
          <w:szCs w:val="20"/>
        </w:rPr>
        <w:t xml:space="preserve"> or whose relatives remain missing</w:t>
      </w:r>
      <w:r w:rsidRPr="00373E2C">
        <w:rPr>
          <w:rFonts w:cstheme="minorHAnsi"/>
          <w:szCs w:val="20"/>
        </w:rPr>
        <w:t xml:space="preserve">. It is therefore of paramount importance to place the families of missing persons, their legal and practical needs, and their right to know the truth at the </w:t>
      </w:r>
      <w:proofErr w:type="spellStart"/>
      <w:r w:rsidRPr="00373E2C">
        <w:rPr>
          <w:rFonts w:cstheme="minorHAnsi"/>
          <w:szCs w:val="20"/>
        </w:rPr>
        <w:t>centre</w:t>
      </w:r>
      <w:proofErr w:type="spellEnd"/>
      <w:r w:rsidRPr="00373E2C">
        <w:rPr>
          <w:rFonts w:cstheme="minorHAnsi"/>
          <w:szCs w:val="20"/>
        </w:rPr>
        <w:t xml:space="preserve"> of all actions concerning this issue. </w:t>
      </w:r>
    </w:p>
    <w:p w14:paraId="12143E4C" w14:textId="77777777" w:rsidR="001655B3" w:rsidRPr="001655B3" w:rsidRDefault="001655B3" w:rsidP="001655B3">
      <w:pPr>
        <w:tabs>
          <w:tab w:val="left" w:pos="1613"/>
        </w:tabs>
        <w:spacing w:after="0" w:line="240" w:lineRule="auto"/>
        <w:ind w:left="714"/>
        <w:jc w:val="both"/>
        <w:rPr>
          <w:rFonts w:cstheme="minorHAnsi"/>
          <w:szCs w:val="20"/>
          <w:lang w:val="en-GB"/>
        </w:rPr>
      </w:pPr>
    </w:p>
    <w:p w14:paraId="720060FC" w14:textId="310344CD" w:rsidR="001655B3" w:rsidRPr="001655B3" w:rsidRDefault="00FA1680" w:rsidP="001655B3">
      <w:pPr>
        <w:numPr>
          <w:ilvl w:val="0"/>
          <w:numId w:val="2"/>
        </w:numPr>
        <w:tabs>
          <w:tab w:val="left" w:pos="1613"/>
        </w:tabs>
        <w:spacing w:after="0" w:line="240" w:lineRule="auto"/>
        <w:ind w:left="714" w:hanging="357"/>
        <w:jc w:val="both"/>
        <w:rPr>
          <w:rFonts w:cstheme="minorHAnsi"/>
          <w:szCs w:val="20"/>
          <w:lang w:val="en-GB"/>
        </w:rPr>
      </w:pPr>
      <w:r w:rsidRPr="001655B3">
        <w:rPr>
          <w:rFonts w:cstheme="minorHAnsi"/>
          <w:szCs w:val="20"/>
        </w:rPr>
        <w:t xml:space="preserve">Approximately </w:t>
      </w:r>
      <w:r w:rsidR="005A2055" w:rsidRPr="001655B3">
        <w:rPr>
          <w:rFonts w:cstheme="minorHAnsi"/>
          <w:szCs w:val="20"/>
        </w:rPr>
        <w:t>3</w:t>
      </w:r>
      <w:r w:rsidR="00D30001" w:rsidRPr="001655B3">
        <w:rPr>
          <w:rFonts w:cstheme="minorHAnsi"/>
          <w:szCs w:val="20"/>
        </w:rPr>
        <w:t> </w:t>
      </w:r>
      <w:r w:rsidR="005A2055" w:rsidRPr="001655B3">
        <w:rPr>
          <w:rFonts w:cstheme="minorHAnsi"/>
          <w:szCs w:val="20"/>
        </w:rPr>
        <w:t>890 persons are still considered missing in Azerbaijan and around a thousand in Armenia</w:t>
      </w:r>
      <w:r w:rsidR="005A2055" w:rsidRPr="001655B3" w:rsidDel="005A2055">
        <w:rPr>
          <w:rFonts w:cstheme="minorHAnsi"/>
          <w:szCs w:val="20"/>
        </w:rPr>
        <w:t xml:space="preserve"> </w:t>
      </w:r>
      <w:proofErr w:type="gramStart"/>
      <w:r w:rsidRPr="001655B3">
        <w:rPr>
          <w:rFonts w:cstheme="minorHAnsi"/>
          <w:szCs w:val="20"/>
        </w:rPr>
        <w:t>as a result of</w:t>
      </w:r>
      <w:proofErr w:type="gramEnd"/>
      <w:r w:rsidRPr="001655B3">
        <w:rPr>
          <w:rFonts w:cstheme="minorHAnsi"/>
          <w:szCs w:val="20"/>
        </w:rPr>
        <w:t xml:space="preserve"> the conflict in the 1990s.</w:t>
      </w:r>
      <w:r w:rsidRPr="00373E2C">
        <w:rPr>
          <w:rFonts w:cstheme="minorHAnsi"/>
          <w:szCs w:val="20"/>
          <w:vertAlign w:val="superscript"/>
          <w:lang w:val="fr-FR"/>
        </w:rPr>
        <w:footnoteReference w:id="34"/>
      </w:r>
      <w:r w:rsidRPr="001655B3">
        <w:rPr>
          <w:rFonts w:cstheme="minorHAnsi"/>
          <w:szCs w:val="20"/>
        </w:rPr>
        <w:t xml:space="preserve"> The ICRC continues to work with the authorities to clarify their fate and provide answers to the families. There is a new dynamic around these issues in areas returned under Azerbaijan’s control and </w:t>
      </w:r>
      <w:r w:rsidR="00250AEB">
        <w:rPr>
          <w:rFonts w:cstheme="minorHAnsi"/>
          <w:szCs w:val="20"/>
        </w:rPr>
        <w:t>stakeholders</w:t>
      </w:r>
      <w:r w:rsidR="00792A07" w:rsidRPr="001655B3">
        <w:rPr>
          <w:rFonts w:cstheme="minorHAnsi"/>
          <w:szCs w:val="20"/>
        </w:rPr>
        <w:t xml:space="preserve"> </w:t>
      </w:r>
      <w:r w:rsidR="00250AEB">
        <w:rPr>
          <w:rFonts w:cstheme="minorHAnsi"/>
          <w:szCs w:val="20"/>
        </w:rPr>
        <w:t>from</w:t>
      </w:r>
      <w:r w:rsidR="00792A07" w:rsidRPr="001655B3">
        <w:rPr>
          <w:rFonts w:cstheme="minorHAnsi"/>
          <w:szCs w:val="20"/>
        </w:rPr>
        <w:t xml:space="preserve"> Nagorno-Karabakh </w:t>
      </w:r>
      <w:r w:rsidRPr="001655B3">
        <w:rPr>
          <w:rFonts w:cstheme="minorHAnsi"/>
          <w:szCs w:val="20"/>
          <w:lang w:val="en-GB"/>
        </w:rPr>
        <w:t>have met Azerbaijani authorities to provide information regarding</w:t>
      </w:r>
      <w:r w:rsidRPr="001655B3">
        <w:rPr>
          <w:rFonts w:cstheme="minorHAnsi"/>
          <w:szCs w:val="20"/>
        </w:rPr>
        <w:t xml:space="preserve"> </w:t>
      </w:r>
      <w:r w:rsidRPr="001655B3">
        <w:rPr>
          <w:rFonts w:cstheme="minorHAnsi"/>
          <w:szCs w:val="20"/>
          <w:lang w:val="en-GB"/>
        </w:rPr>
        <w:t xml:space="preserve">graves or remains of Azerbaijanis killed during the 1990s </w:t>
      </w:r>
      <w:r w:rsidRPr="001655B3">
        <w:rPr>
          <w:rFonts w:cstheme="minorHAnsi"/>
          <w:szCs w:val="20"/>
        </w:rPr>
        <w:t>conflict.</w:t>
      </w:r>
      <w:r w:rsidRPr="00373E2C">
        <w:rPr>
          <w:rFonts w:cstheme="minorHAnsi"/>
          <w:szCs w:val="20"/>
          <w:vertAlign w:val="superscript"/>
          <w:lang w:val="fr-FR"/>
        </w:rPr>
        <w:footnoteReference w:id="35"/>
      </w:r>
      <w:r w:rsidRPr="001655B3">
        <w:rPr>
          <w:rFonts w:cstheme="minorHAnsi"/>
          <w:szCs w:val="20"/>
        </w:rPr>
        <w:t xml:space="preserve"> On 12 February 2021, the remains of 7 bodies presumably belonging to citizens of Azerbaijan who went missing during the 1990s conflict were handed over by the Armenian authorities to Azerbaijan.</w:t>
      </w:r>
      <w:r w:rsidRPr="00FA1680">
        <w:rPr>
          <w:rFonts w:cstheme="minorHAnsi"/>
          <w:szCs w:val="20"/>
          <w:vertAlign w:val="superscript"/>
        </w:rPr>
        <w:footnoteReference w:id="36"/>
      </w:r>
      <w:r w:rsidRPr="001655B3">
        <w:rPr>
          <w:rFonts w:cstheme="minorHAnsi"/>
          <w:szCs w:val="20"/>
        </w:rPr>
        <w:t xml:space="preserve"> </w:t>
      </w:r>
    </w:p>
    <w:p w14:paraId="49EBD376" w14:textId="77777777" w:rsidR="001655B3" w:rsidRPr="001655B3" w:rsidRDefault="001655B3" w:rsidP="001655B3">
      <w:pPr>
        <w:tabs>
          <w:tab w:val="left" w:pos="1613"/>
        </w:tabs>
        <w:spacing w:after="0" w:line="240" w:lineRule="auto"/>
        <w:ind w:left="714"/>
        <w:jc w:val="both"/>
        <w:rPr>
          <w:rFonts w:cstheme="minorHAnsi"/>
          <w:szCs w:val="20"/>
          <w:lang w:val="en-GB"/>
        </w:rPr>
      </w:pPr>
    </w:p>
    <w:p w14:paraId="75338BA0" w14:textId="77777777" w:rsidR="001655B3" w:rsidRPr="001655B3" w:rsidRDefault="00FA1680" w:rsidP="001655B3">
      <w:pPr>
        <w:numPr>
          <w:ilvl w:val="0"/>
          <w:numId w:val="2"/>
        </w:numPr>
        <w:tabs>
          <w:tab w:val="left" w:pos="1613"/>
        </w:tabs>
        <w:spacing w:after="0" w:line="240" w:lineRule="auto"/>
        <w:ind w:left="714" w:hanging="357"/>
        <w:jc w:val="both"/>
        <w:rPr>
          <w:rFonts w:cstheme="minorHAnsi"/>
          <w:szCs w:val="20"/>
          <w:lang w:val="en-GB"/>
        </w:rPr>
      </w:pPr>
      <w:r w:rsidRPr="001655B3">
        <w:rPr>
          <w:rFonts w:cstheme="minorHAnsi"/>
          <w:szCs w:val="20"/>
        </w:rPr>
        <w:t xml:space="preserve">As a result of the 2020 outbreak of hostilities, the number of missing people has increased. As of 24 August 2021, 243 servicemen and 28 civilians are reported to be missing on the Armenian side. According to the Ministry of Foreign Affairs of Azerbaijan, 7 servicemen were still considered missing in August 2021. </w:t>
      </w:r>
    </w:p>
    <w:p w14:paraId="55806D7D" w14:textId="32F9F15F" w:rsidR="001655B3" w:rsidRDefault="001655B3" w:rsidP="001655B3">
      <w:pPr>
        <w:pStyle w:val="ListParagraph"/>
        <w:spacing w:after="0"/>
        <w:rPr>
          <w:rFonts w:cstheme="minorHAnsi"/>
          <w:szCs w:val="20"/>
        </w:rPr>
      </w:pPr>
    </w:p>
    <w:p w14:paraId="39AD9C3C" w14:textId="77777777" w:rsidR="009B38F2" w:rsidRDefault="009B38F2" w:rsidP="001655B3">
      <w:pPr>
        <w:pStyle w:val="ListParagraph"/>
        <w:spacing w:after="0"/>
        <w:rPr>
          <w:rFonts w:cstheme="minorHAnsi"/>
          <w:szCs w:val="20"/>
        </w:rPr>
      </w:pPr>
    </w:p>
    <w:p w14:paraId="1039903D" w14:textId="3B0F1229" w:rsidR="001655B3" w:rsidRPr="00386343" w:rsidRDefault="00FA1680" w:rsidP="001655B3">
      <w:pPr>
        <w:numPr>
          <w:ilvl w:val="0"/>
          <w:numId w:val="2"/>
        </w:numPr>
        <w:tabs>
          <w:tab w:val="left" w:pos="1613"/>
        </w:tabs>
        <w:spacing w:after="0" w:line="240" w:lineRule="auto"/>
        <w:ind w:left="714" w:hanging="357"/>
        <w:jc w:val="both"/>
        <w:rPr>
          <w:rFonts w:cstheme="minorHAnsi"/>
          <w:szCs w:val="20"/>
          <w:lang w:val="en-GB"/>
        </w:rPr>
      </w:pPr>
      <w:r w:rsidRPr="001655B3">
        <w:rPr>
          <w:rFonts w:cstheme="minorHAnsi"/>
          <w:szCs w:val="20"/>
        </w:rPr>
        <w:lastRenderedPageBreak/>
        <w:t xml:space="preserve">Recovery operations of bodies remaining in the battlefields </w:t>
      </w:r>
      <w:r w:rsidR="00CD3E7F" w:rsidRPr="001655B3">
        <w:rPr>
          <w:rFonts w:cstheme="minorHAnsi"/>
          <w:szCs w:val="20"/>
        </w:rPr>
        <w:t>began</w:t>
      </w:r>
      <w:r w:rsidRPr="001655B3">
        <w:rPr>
          <w:rFonts w:cstheme="minorHAnsi"/>
          <w:szCs w:val="20"/>
        </w:rPr>
        <w:t xml:space="preserve"> soon after the signature of the trilateral statement. Since the end of the hostilities, the </w:t>
      </w:r>
      <w:r w:rsidR="00792A07" w:rsidRPr="001655B3">
        <w:rPr>
          <w:rFonts w:cstheme="minorHAnsi"/>
          <w:szCs w:val="20"/>
        </w:rPr>
        <w:t xml:space="preserve">Azerbaijani military together with the </w:t>
      </w:r>
      <w:r w:rsidRPr="001655B3">
        <w:rPr>
          <w:rFonts w:cstheme="minorHAnsi"/>
          <w:szCs w:val="20"/>
        </w:rPr>
        <w:t>Russian peacekeeping forces</w:t>
      </w:r>
      <w:r w:rsidR="00A36B71" w:rsidRPr="001655B3">
        <w:rPr>
          <w:rFonts w:cstheme="minorHAnsi"/>
          <w:szCs w:val="20"/>
        </w:rPr>
        <w:t xml:space="preserve"> and </w:t>
      </w:r>
      <w:r w:rsidR="00792A07" w:rsidRPr="001655B3">
        <w:rPr>
          <w:rFonts w:cstheme="minorHAnsi"/>
          <w:szCs w:val="20"/>
        </w:rPr>
        <w:t>the local emergency service from Nagorno-Karabakh</w:t>
      </w:r>
      <w:r w:rsidR="00A36B71" w:rsidRPr="001655B3">
        <w:rPr>
          <w:rFonts w:cstheme="minorHAnsi"/>
          <w:szCs w:val="20"/>
        </w:rPr>
        <w:t xml:space="preserve">, with the assistance of </w:t>
      </w:r>
      <w:r w:rsidRPr="001655B3">
        <w:rPr>
          <w:rFonts w:cstheme="minorHAnsi"/>
          <w:szCs w:val="20"/>
        </w:rPr>
        <w:t>ICRC</w:t>
      </w:r>
      <w:r w:rsidR="00A36B71" w:rsidRPr="001655B3">
        <w:rPr>
          <w:rFonts w:cstheme="minorHAnsi"/>
          <w:szCs w:val="20"/>
        </w:rPr>
        <w:t>,</w:t>
      </w:r>
      <w:r w:rsidR="00792A07" w:rsidRPr="001655B3">
        <w:rPr>
          <w:rFonts w:cstheme="minorHAnsi"/>
          <w:szCs w:val="20"/>
        </w:rPr>
        <w:t xml:space="preserve"> </w:t>
      </w:r>
      <w:r w:rsidRPr="001655B3">
        <w:rPr>
          <w:rFonts w:cstheme="minorHAnsi"/>
          <w:szCs w:val="20"/>
        </w:rPr>
        <w:t>have been involved in retrieval operations to recover the remains of dead people from territories returned under Azerbaijan’s control. Since 13 November 2020, the remains of 1 647 persons have been found during search operations and returned to Armenia</w:t>
      </w:r>
      <w:r w:rsidR="00CD3E7F" w:rsidRPr="001655B3">
        <w:rPr>
          <w:rFonts w:cstheme="minorHAnsi"/>
          <w:szCs w:val="20"/>
        </w:rPr>
        <w:t>, and the remains of 395</w:t>
      </w:r>
      <w:r w:rsidRPr="001655B3">
        <w:rPr>
          <w:rFonts w:cstheme="minorHAnsi"/>
          <w:szCs w:val="20"/>
        </w:rPr>
        <w:t xml:space="preserve"> Azerbaijani dead have been returned by Armenia.</w:t>
      </w:r>
      <w:r w:rsidRPr="00FA1680">
        <w:rPr>
          <w:rFonts w:cstheme="minorHAnsi"/>
          <w:szCs w:val="20"/>
          <w:vertAlign w:val="superscript"/>
          <w:lang w:val="fr-FR"/>
        </w:rPr>
        <w:footnoteReference w:id="37"/>
      </w:r>
    </w:p>
    <w:p w14:paraId="4C389386" w14:textId="77777777" w:rsidR="00386343" w:rsidRPr="001655B3" w:rsidRDefault="00386343" w:rsidP="00386343">
      <w:pPr>
        <w:tabs>
          <w:tab w:val="left" w:pos="1613"/>
        </w:tabs>
        <w:spacing w:after="0" w:line="240" w:lineRule="auto"/>
        <w:jc w:val="both"/>
        <w:rPr>
          <w:rFonts w:cstheme="minorHAnsi"/>
          <w:szCs w:val="20"/>
          <w:lang w:val="en-GB"/>
        </w:rPr>
      </w:pPr>
    </w:p>
    <w:p w14:paraId="5167A968" w14:textId="504CD9C9" w:rsidR="001655B3" w:rsidRDefault="00FA1680" w:rsidP="001655B3">
      <w:pPr>
        <w:numPr>
          <w:ilvl w:val="0"/>
          <w:numId w:val="2"/>
        </w:numPr>
        <w:tabs>
          <w:tab w:val="left" w:pos="1613"/>
        </w:tabs>
        <w:spacing w:after="0" w:line="240" w:lineRule="auto"/>
        <w:ind w:left="714" w:hanging="357"/>
        <w:jc w:val="both"/>
        <w:rPr>
          <w:rFonts w:cstheme="minorHAnsi"/>
          <w:szCs w:val="20"/>
          <w:lang w:val="en-GB"/>
        </w:rPr>
      </w:pPr>
      <w:r w:rsidRPr="001655B3">
        <w:rPr>
          <w:rFonts w:cstheme="minorHAnsi"/>
          <w:szCs w:val="20"/>
        </w:rPr>
        <w:t xml:space="preserve">Search operations were sometimes complicated by weather conditions and difficulties accessing conflict-affected areas, including due to mine contamination. The </w:t>
      </w:r>
      <w:r w:rsidR="00271605" w:rsidRPr="001655B3">
        <w:rPr>
          <w:rFonts w:cstheme="minorHAnsi"/>
          <w:szCs w:val="20"/>
        </w:rPr>
        <w:t xml:space="preserve">expectations </w:t>
      </w:r>
      <w:r w:rsidRPr="001655B3">
        <w:rPr>
          <w:rFonts w:cstheme="minorHAnsi"/>
          <w:szCs w:val="20"/>
        </w:rPr>
        <w:t xml:space="preserve">from families </w:t>
      </w:r>
      <w:r w:rsidR="00271605" w:rsidRPr="001655B3">
        <w:rPr>
          <w:rFonts w:cstheme="minorHAnsi"/>
          <w:szCs w:val="20"/>
        </w:rPr>
        <w:t xml:space="preserve">of missing persons </w:t>
      </w:r>
      <w:r w:rsidRPr="001655B3">
        <w:rPr>
          <w:rFonts w:cstheme="minorHAnsi"/>
          <w:szCs w:val="20"/>
        </w:rPr>
        <w:t xml:space="preserve">however remain high and </w:t>
      </w:r>
      <w:r w:rsidR="00271605" w:rsidRPr="001655B3">
        <w:rPr>
          <w:rFonts w:cstheme="minorHAnsi"/>
          <w:szCs w:val="20"/>
        </w:rPr>
        <w:t xml:space="preserve">they </w:t>
      </w:r>
      <w:r w:rsidRPr="001655B3">
        <w:rPr>
          <w:rFonts w:cstheme="minorHAnsi"/>
          <w:szCs w:val="20"/>
        </w:rPr>
        <w:t>have been holding protests outside governmental buildings in Armenia to get the attention of the authorities and demand a full list of missing people. A growing lack of trust around DNA tests and a general lack of information has also been reported.</w:t>
      </w:r>
    </w:p>
    <w:p w14:paraId="457A8285" w14:textId="77777777" w:rsidR="00B4730D" w:rsidRPr="00B4730D" w:rsidRDefault="00B4730D" w:rsidP="00B4730D">
      <w:pPr>
        <w:tabs>
          <w:tab w:val="left" w:pos="1613"/>
        </w:tabs>
        <w:spacing w:after="0" w:line="240" w:lineRule="auto"/>
        <w:ind w:left="714"/>
        <w:jc w:val="both"/>
        <w:rPr>
          <w:rFonts w:cstheme="minorHAnsi"/>
          <w:szCs w:val="20"/>
          <w:lang w:val="en-GB"/>
        </w:rPr>
      </w:pPr>
    </w:p>
    <w:p w14:paraId="609F3DDE" w14:textId="168D4AC7" w:rsidR="001655B3" w:rsidRPr="001655B3" w:rsidRDefault="00FA1680" w:rsidP="001655B3">
      <w:pPr>
        <w:numPr>
          <w:ilvl w:val="0"/>
          <w:numId w:val="2"/>
        </w:numPr>
        <w:tabs>
          <w:tab w:val="left" w:pos="1613"/>
        </w:tabs>
        <w:spacing w:after="0" w:line="240" w:lineRule="auto"/>
        <w:ind w:left="714" w:hanging="357"/>
        <w:jc w:val="both"/>
        <w:rPr>
          <w:rFonts w:cstheme="minorHAnsi"/>
          <w:szCs w:val="20"/>
          <w:lang w:val="en-GB"/>
        </w:rPr>
      </w:pPr>
      <w:r w:rsidRPr="001655B3">
        <w:rPr>
          <w:rFonts w:cstheme="minorHAnsi"/>
          <w:szCs w:val="20"/>
        </w:rPr>
        <w:t xml:space="preserve">In Azerbaijan, the State Commission on Prisoners of War, Hostages and Missing Persons is responsible for the development of measures for the search for missing persons and supervises their </w:t>
      </w:r>
      <w:proofErr w:type="spellStart"/>
      <w:r w:rsidRPr="001655B3">
        <w:rPr>
          <w:rFonts w:cstheme="minorHAnsi"/>
          <w:szCs w:val="20"/>
        </w:rPr>
        <w:t>realisation</w:t>
      </w:r>
      <w:proofErr w:type="spellEnd"/>
      <w:r w:rsidRPr="001655B3">
        <w:rPr>
          <w:rFonts w:cstheme="minorHAnsi"/>
          <w:szCs w:val="20"/>
        </w:rPr>
        <w:t xml:space="preserve">. It also collects information about citizens of Azerbaijan who are missing and creates the relevant database for </w:t>
      </w:r>
      <w:r w:rsidR="0007586D" w:rsidRPr="001655B3">
        <w:rPr>
          <w:rFonts w:cstheme="minorHAnsi"/>
          <w:szCs w:val="20"/>
        </w:rPr>
        <w:t xml:space="preserve">the </w:t>
      </w:r>
      <w:r w:rsidRPr="001655B3">
        <w:rPr>
          <w:rFonts w:cstheme="minorHAnsi"/>
          <w:szCs w:val="20"/>
        </w:rPr>
        <w:t xml:space="preserve">registration and </w:t>
      </w:r>
      <w:proofErr w:type="spellStart"/>
      <w:r w:rsidRPr="001655B3">
        <w:rPr>
          <w:rFonts w:cstheme="minorHAnsi"/>
          <w:szCs w:val="20"/>
        </w:rPr>
        <w:t>systematisation</w:t>
      </w:r>
      <w:proofErr w:type="spellEnd"/>
      <w:r w:rsidRPr="001655B3">
        <w:rPr>
          <w:rFonts w:cstheme="minorHAnsi"/>
          <w:szCs w:val="20"/>
        </w:rPr>
        <w:t xml:space="preserve"> of this information. In Armenia, an Interagency Commission on Prisoners of War, Hostages and Missing Persons was established and recently discussed issues pertaining to legislative changes, search operations, DNA analysis, psychological </w:t>
      </w:r>
      <w:proofErr w:type="gramStart"/>
      <w:r w:rsidRPr="001655B3">
        <w:rPr>
          <w:rFonts w:cstheme="minorHAnsi"/>
          <w:szCs w:val="20"/>
        </w:rPr>
        <w:t>support</w:t>
      </w:r>
      <w:proofErr w:type="gramEnd"/>
      <w:r w:rsidRPr="001655B3">
        <w:rPr>
          <w:rFonts w:cstheme="minorHAnsi"/>
          <w:szCs w:val="20"/>
        </w:rPr>
        <w:t xml:space="preserve"> and the provision of financial assistance to the families of missing servicemen. The International Commission on Missing Persons (ICMP) is extending technical assistance to the Armenian authorities for the identification of mortal remains using DNA. </w:t>
      </w:r>
    </w:p>
    <w:p w14:paraId="4EB92284" w14:textId="77777777" w:rsidR="00B4730D" w:rsidRPr="00B4730D" w:rsidRDefault="00B4730D" w:rsidP="00B4730D">
      <w:pPr>
        <w:tabs>
          <w:tab w:val="left" w:pos="1613"/>
        </w:tabs>
        <w:spacing w:after="0" w:line="240" w:lineRule="auto"/>
        <w:ind w:left="714"/>
        <w:jc w:val="both"/>
        <w:rPr>
          <w:rFonts w:cstheme="minorHAnsi"/>
          <w:szCs w:val="20"/>
          <w:lang w:val="en-GB"/>
        </w:rPr>
      </w:pPr>
    </w:p>
    <w:p w14:paraId="7BD3B846" w14:textId="764FF792" w:rsidR="001655B3" w:rsidRDefault="00FA1680" w:rsidP="00B4730D">
      <w:pPr>
        <w:numPr>
          <w:ilvl w:val="0"/>
          <w:numId w:val="2"/>
        </w:numPr>
        <w:tabs>
          <w:tab w:val="left" w:pos="1613"/>
        </w:tabs>
        <w:spacing w:after="0" w:line="240" w:lineRule="auto"/>
        <w:ind w:left="714" w:hanging="357"/>
        <w:jc w:val="both"/>
        <w:rPr>
          <w:rFonts w:cstheme="minorHAnsi"/>
          <w:szCs w:val="20"/>
          <w:lang w:val="en-GB"/>
        </w:rPr>
      </w:pPr>
      <w:r w:rsidRPr="001655B3">
        <w:rPr>
          <w:rFonts w:cstheme="minorHAnsi"/>
          <w:szCs w:val="20"/>
        </w:rPr>
        <w:t xml:space="preserve">The Commissioner commends the efforts made to address the issue of missing persons and retrieve bodies from the battlefields. However, there is a need </w:t>
      </w:r>
      <w:r w:rsidR="009E667F" w:rsidRPr="001655B3">
        <w:rPr>
          <w:rFonts w:cstheme="minorHAnsi"/>
          <w:szCs w:val="20"/>
        </w:rPr>
        <w:t xml:space="preserve">for </w:t>
      </w:r>
      <w:r w:rsidRPr="001655B3">
        <w:rPr>
          <w:rFonts w:cstheme="minorHAnsi"/>
          <w:szCs w:val="20"/>
        </w:rPr>
        <w:t xml:space="preserve">more engagement </w:t>
      </w:r>
      <w:r w:rsidR="00F60A6A" w:rsidRPr="001655B3">
        <w:rPr>
          <w:rFonts w:cstheme="minorHAnsi"/>
          <w:szCs w:val="20"/>
        </w:rPr>
        <w:t>with</w:t>
      </w:r>
      <w:r w:rsidR="009E667F" w:rsidRPr="001655B3">
        <w:rPr>
          <w:rFonts w:cstheme="minorHAnsi"/>
          <w:szCs w:val="20"/>
        </w:rPr>
        <w:t xml:space="preserve"> </w:t>
      </w:r>
      <w:r w:rsidRPr="001655B3">
        <w:rPr>
          <w:rFonts w:cstheme="minorHAnsi"/>
          <w:szCs w:val="20"/>
        </w:rPr>
        <w:t xml:space="preserve">both sides to promote communication, establish a common database, and increase the chances of location and identification of mortal remains. A uniform system would also facilitate the reporting and exchange of information between the two parties. </w:t>
      </w:r>
    </w:p>
    <w:p w14:paraId="5BECC107" w14:textId="77777777" w:rsidR="00B4730D" w:rsidRDefault="00B4730D" w:rsidP="00B4730D">
      <w:pPr>
        <w:pStyle w:val="ListParagraph"/>
        <w:spacing w:after="0"/>
        <w:rPr>
          <w:rFonts w:cstheme="minorHAnsi"/>
          <w:szCs w:val="20"/>
          <w:lang w:val="en-GB"/>
        </w:rPr>
      </w:pPr>
    </w:p>
    <w:p w14:paraId="012D20C4" w14:textId="77777777" w:rsidR="001655B3" w:rsidRDefault="00FA1680" w:rsidP="00B4730D">
      <w:pPr>
        <w:numPr>
          <w:ilvl w:val="0"/>
          <w:numId w:val="2"/>
        </w:numPr>
        <w:tabs>
          <w:tab w:val="left" w:pos="1613"/>
        </w:tabs>
        <w:spacing w:after="0" w:line="240" w:lineRule="auto"/>
        <w:ind w:left="714" w:hanging="357"/>
        <w:jc w:val="both"/>
        <w:rPr>
          <w:rFonts w:cstheme="minorHAnsi"/>
          <w:szCs w:val="20"/>
          <w:lang w:val="en-GB"/>
        </w:rPr>
      </w:pPr>
      <w:r w:rsidRPr="001655B3">
        <w:rPr>
          <w:rFonts w:cstheme="minorHAnsi"/>
          <w:szCs w:val="20"/>
        </w:rPr>
        <w:t xml:space="preserve">The Commissioner would like to recall that under customary international humanitarian law, each party to a conflict must take all feasible measures to account for persons reported as missing </w:t>
      </w:r>
      <w:proofErr w:type="gramStart"/>
      <w:r w:rsidRPr="001655B3">
        <w:rPr>
          <w:rFonts w:cstheme="minorHAnsi"/>
          <w:szCs w:val="20"/>
        </w:rPr>
        <w:t>as a result of</w:t>
      </w:r>
      <w:proofErr w:type="gramEnd"/>
      <w:r w:rsidRPr="001655B3">
        <w:rPr>
          <w:rFonts w:cstheme="minorHAnsi"/>
          <w:szCs w:val="20"/>
        </w:rPr>
        <w:t xml:space="preserve"> the conflict and must provide their family members with any information it has on their fate and whereabouts. All parties to the conflict must therefore make their best efforts to search, and facilitate the search, for persons reported missing due to a conflict, </w:t>
      </w:r>
      <w:r w:rsidRPr="001655B3">
        <w:rPr>
          <w:rFonts w:cstheme="minorHAnsi"/>
          <w:szCs w:val="20"/>
          <w:lang w:val="en-GB"/>
        </w:rPr>
        <w:t xml:space="preserve">and ensure that the mortal remains of missing persons are located, exhumed, </w:t>
      </w:r>
      <w:r w:rsidR="00981C3A" w:rsidRPr="001655B3">
        <w:rPr>
          <w:rFonts w:cstheme="minorHAnsi"/>
          <w:szCs w:val="20"/>
          <w:lang w:val="en-GB"/>
        </w:rPr>
        <w:t xml:space="preserve">identified, </w:t>
      </w:r>
      <w:proofErr w:type="gramStart"/>
      <w:r w:rsidRPr="001655B3">
        <w:rPr>
          <w:rFonts w:cstheme="minorHAnsi"/>
          <w:szCs w:val="20"/>
          <w:lang w:val="en-GB"/>
        </w:rPr>
        <w:t>respected</w:t>
      </w:r>
      <w:proofErr w:type="gramEnd"/>
      <w:r w:rsidRPr="001655B3">
        <w:rPr>
          <w:rFonts w:cstheme="minorHAnsi"/>
          <w:szCs w:val="20"/>
          <w:lang w:val="en-GB"/>
        </w:rPr>
        <w:t xml:space="preserve"> and returned to families. </w:t>
      </w:r>
      <w:r w:rsidRPr="001655B3">
        <w:rPr>
          <w:rFonts w:cstheme="minorHAnsi"/>
          <w:szCs w:val="20"/>
        </w:rPr>
        <w:t xml:space="preserve">Such searches should continue without any time limit until all feasible measures to account for the missing persons have been taken. </w:t>
      </w:r>
      <w:r w:rsidRPr="001655B3">
        <w:rPr>
          <w:rFonts w:cstheme="minorHAnsi"/>
          <w:szCs w:val="20"/>
          <w:lang w:val="en-GB"/>
        </w:rPr>
        <w:t xml:space="preserve">Victims’ associations and </w:t>
      </w:r>
      <w:r w:rsidR="00981C3A" w:rsidRPr="001655B3">
        <w:rPr>
          <w:rFonts w:cstheme="minorHAnsi"/>
          <w:szCs w:val="20"/>
          <w:lang w:val="en-GB"/>
        </w:rPr>
        <w:t xml:space="preserve">non-governmental organisations (NGOs) </w:t>
      </w:r>
      <w:r w:rsidRPr="001655B3">
        <w:rPr>
          <w:rFonts w:cstheme="minorHAnsi"/>
          <w:szCs w:val="20"/>
          <w:lang w:val="en-GB"/>
        </w:rPr>
        <w:t xml:space="preserve">working on missing persons must be involved in the work of relevant national or other mechanisms dealing with these issues. </w:t>
      </w:r>
    </w:p>
    <w:p w14:paraId="3B4EB54D" w14:textId="77777777" w:rsidR="001655B3" w:rsidRDefault="001655B3" w:rsidP="00B4730D">
      <w:pPr>
        <w:pStyle w:val="ListParagraph"/>
        <w:spacing w:after="0"/>
        <w:rPr>
          <w:rFonts w:cstheme="minorHAnsi"/>
          <w:szCs w:val="20"/>
        </w:rPr>
      </w:pPr>
    </w:p>
    <w:p w14:paraId="3CE46EBC" w14:textId="77777777" w:rsidR="001655B3" w:rsidRPr="001655B3" w:rsidRDefault="00FA1680" w:rsidP="00B4730D">
      <w:pPr>
        <w:numPr>
          <w:ilvl w:val="0"/>
          <w:numId w:val="2"/>
        </w:numPr>
        <w:tabs>
          <w:tab w:val="left" w:pos="1613"/>
        </w:tabs>
        <w:spacing w:after="0" w:line="240" w:lineRule="auto"/>
        <w:ind w:left="714" w:hanging="357"/>
        <w:jc w:val="both"/>
        <w:rPr>
          <w:rFonts w:cstheme="minorHAnsi"/>
          <w:szCs w:val="20"/>
          <w:lang w:val="en-GB"/>
        </w:rPr>
      </w:pPr>
      <w:r w:rsidRPr="001655B3">
        <w:rPr>
          <w:rFonts w:cstheme="minorHAnsi"/>
          <w:szCs w:val="20"/>
        </w:rPr>
        <w:t>Failure to disclose information on the fate and whereabouts of missing persons and refusal to hand over the remains of the deceased may amount to enforced disappearance. In this regard, the Commissioner notes with satisfaction the ratification by Armenia of the International Convention for the Protection of All Persons from Enforced Disappearance. This Convention was also signed but not yet ratified by Azerbaijan</w:t>
      </w:r>
      <w:r w:rsidR="00E31EF2" w:rsidRPr="001655B3">
        <w:rPr>
          <w:rFonts w:cstheme="minorHAnsi"/>
          <w:szCs w:val="20"/>
        </w:rPr>
        <w:t xml:space="preserve"> and the Commissioner </w:t>
      </w:r>
      <w:r w:rsidR="00D30001" w:rsidRPr="001655B3">
        <w:rPr>
          <w:rFonts w:cstheme="minorHAnsi"/>
          <w:szCs w:val="20"/>
        </w:rPr>
        <w:t xml:space="preserve">therefore </w:t>
      </w:r>
      <w:r w:rsidR="00E31EF2" w:rsidRPr="001655B3">
        <w:rPr>
          <w:rFonts w:cstheme="minorHAnsi"/>
          <w:szCs w:val="20"/>
        </w:rPr>
        <w:t>recommends that Azerbaijan ratify it</w:t>
      </w:r>
      <w:r w:rsidRPr="001655B3">
        <w:rPr>
          <w:rFonts w:cstheme="minorHAnsi"/>
          <w:szCs w:val="20"/>
        </w:rPr>
        <w:t>. The Convention explicitly establishes the right of every person not to be subjected to enforced disappearance as a non-</w:t>
      </w:r>
      <w:proofErr w:type="spellStart"/>
      <w:r w:rsidRPr="001655B3">
        <w:rPr>
          <w:rFonts w:cstheme="minorHAnsi"/>
          <w:szCs w:val="20"/>
        </w:rPr>
        <w:t>derogable</w:t>
      </w:r>
      <w:proofErr w:type="spellEnd"/>
      <w:r w:rsidRPr="001655B3">
        <w:rPr>
          <w:rFonts w:cstheme="minorHAnsi"/>
          <w:szCs w:val="20"/>
        </w:rPr>
        <w:t xml:space="preserve"> right. In addition, it affirms that the widespread or systematic practice of enforced disappearance constitutes a crime against humanity with the legal consequences attached to it,</w:t>
      </w:r>
      <w:r w:rsidR="00271605" w:rsidRPr="001655B3">
        <w:rPr>
          <w:rFonts w:cstheme="minorHAnsi"/>
          <w:szCs w:val="20"/>
        </w:rPr>
        <w:t xml:space="preserve"> </w:t>
      </w:r>
      <w:r w:rsidRPr="001655B3">
        <w:rPr>
          <w:rFonts w:cstheme="minorHAnsi"/>
          <w:szCs w:val="20"/>
        </w:rPr>
        <w:t xml:space="preserve">and </w:t>
      </w:r>
      <w:r w:rsidR="00CC4785" w:rsidRPr="001655B3">
        <w:rPr>
          <w:rFonts w:cstheme="minorHAnsi"/>
          <w:szCs w:val="20"/>
        </w:rPr>
        <w:t xml:space="preserve">that it </w:t>
      </w:r>
      <w:r w:rsidRPr="001655B3">
        <w:rPr>
          <w:rFonts w:cstheme="minorHAnsi"/>
          <w:szCs w:val="20"/>
        </w:rPr>
        <w:t xml:space="preserve">is not subject to statutory limitations. Article 17 of the Convention also provides that no one shall be held in secret detention. </w:t>
      </w:r>
    </w:p>
    <w:p w14:paraId="227909A0" w14:textId="544F71A7" w:rsidR="001655B3" w:rsidRDefault="001655B3" w:rsidP="00B4730D">
      <w:pPr>
        <w:pStyle w:val="ListParagraph"/>
        <w:spacing w:after="0"/>
        <w:rPr>
          <w:rFonts w:cstheme="minorHAnsi"/>
          <w:szCs w:val="20"/>
        </w:rPr>
      </w:pPr>
    </w:p>
    <w:p w14:paraId="06C7F4EE" w14:textId="400BF918" w:rsidR="009B38F2" w:rsidRDefault="009B38F2" w:rsidP="00B4730D">
      <w:pPr>
        <w:pStyle w:val="ListParagraph"/>
        <w:spacing w:after="0"/>
        <w:rPr>
          <w:rFonts w:cstheme="minorHAnsi"/>
          <w:szCs w:val="20"/>
        </w:rPr>
      </w:pPr>
    </w:p>
    <w:p w14:paraId="265FF51F" w14:textId="77777777" w:rsidR="009B38F2" w:rsidRDefault="009B38F2" w:rsidP="00B4730D">
      <w:pPr>
        <w:pStyle w:val="ListParagraph"/>
        <w:spacing w:after="0"/>
        <w:rPr>
          <w:rFonts w:cstheme="minorHAnsi"/>
          <w:szCs w:val="20"/>
        </w:rPr>
      </w:pPr>
    </w:p>
    <w:p w14:paraId="52C950F0" w14:textId="77777777" w:rsidR="001655B3" w:rsidRPr="001655B3" w:rsidRDefault="00FA1680" w:rsidP="00B4730D">
      <w:pPr>
        <w:numPr>
          <w:ilvl w:val="0"/>
          <w:numId w:val="2"/>
        </w:numPr>
        <w:tabs>
          <w:tab w:val="left" w:pos="1613"/>
        </w:tabs>
        <w:spacing w:after="0" w:line="240" w:lineRule="auto"/>
        <w:ind w:left="714" w:hanging="357"/>
        <w:jc w:val="both"/>
        <w:rPr>
          <w:rFonts w:cstheme="minorHAnsi"/>
          <w:szCs w:val="20"/>
          <w:lang w:val="en-GB"/>
        </w:rPr>
      </w:pPr>
      <w:r w:rsidRPr="001655B3">
        <w:rPr>
          <w:rFonts w:cstheme="minorHAnsi"/>
          <w:szCs w:val="20"/>
        </w:rPr>
        <w:lastRenderedPageBreak/>
        <w:t xml:space="preserve">The European Court of Human Rights has dealt with </w:t>
      </w:r>
      <w:proofErr w:type="gramStart"/>
      <w:r w:rsidRPr="001655B3">
        <w:rPr>
          <w:rFonts w:cstheme="minorHAnsi"/>
          <w:szCs w:val="20"/>
        </w:rPr>
        <w:t>a number of</w:t>
      </w:r>
      <w:proofErr w:type="gramEnd"/>
      <w:r w:rsidRPr="001655B3">
        <w:rPr>
          <w:rFonts w:cstheme="minorHAnsi"/>
          <w:szCs w:val="20"/>
        </w:rPr>
        <w:t xml:space="preserve"> applications related to missing persons and enforced disappearances</w:t>
      </w:r>
      <w:r w:rsidR="000C520A" w:rsidRPr="001655B3">
        <w:rPr>
          <w:rFonts w:cstheme="minorHAnsi"/>
          <w:szCs w:val="20"/>
        </w:rPr>
        <w:t xml:space="preserve"> in several Council of Europe member states</w:t>
      </w:r>
      <w:r w:rsidRPr="001655B3">
        <w:rPr>
          <w:rFonts w:cstheme="minorHAnsi"/>
          <w:szCs w:val="20"/>
        </w:rPr>
        <w:t xml:space="preserve">. In all cases of enforced disappearance adjudicated so far, the Court has found a violation of Article 5 of the </w:t>
      </w:r>
      <w:r w:rsidR="007E61C5" w:rsidRPr="001655B3">
        <w:rPr>
          <w:rFonts w:cstheme="minorHAnsi"/>
          <w:szCs w:val="20"/>
        </w:rPr>
        <w:t xml:space="preserve">ECHR </w:t>
      </w:r>
      <w:r w:rsidRPr="001655B3">
        <w:rPr>
          <w:rFonts w:cstheme="minorHAnsi"/>
          <w:szCs w:val="20"/>
        </w:rPr>
        <w:t xml:space="preserve">(right to liberty and security). The Court applies a presumption of violation of Article 2 of the </w:t>
      </w:r>
      <w:r w:rsidR="007E61C5" w:rsidRPr="001655B3">
        <w:rPr>
          <w:rFonts w:cstheme="minorHAnsi"/>
          <w:szCs w:val="20"/>
        </w:rPr>
        <w:t xml:space="preserve">ECHR </w:t>
      </w:r>
      <w:r w:rsidRPr="001655B3">
        <w:rPr>
          <w:rFonts w:cstheme="minorHAnsi"/>
          <w:szCs w:val="20"/>
        </w:rPr>
        <w:t xml:space="preserve">(right to life) when the victim has last been seen alive in life-threatening circumstances and the respondent state fails to provide convincing explanations as to his or her fate and whereabouts. </w:t>
      </w:r>
    </w:p>
    <w:p w14:paraId="1032F543" w14:textId="77777777" w:rsidR="001655B3" w:rsidRDefault="001655B3" w:rsidP="00B4730D">
      <w:pPr>
        <w:pStyle w:val="ListParagraph"/>
        <w:spacing w:after="0"/>
        <w:rPr>
          <w:rFonts w:cstheme="minorHAnsi"/>
          <w:szCs w:val="20"/>
        </w:rPr>
      </w:pPr>
    </w:p>
    <w:p w14:paraId="7997AD11" w14:textId="77777777" w:rsidR="001655B3" w:rsidRPr="001655B3" w:rsidRDefault="00981C3A" w:rsidP="00B4730D">
      <w:pPr>
        <w:numPr>
          <w:ilvl w:val="0"/>
          <w:numId w:val="2"/>
        </w:numPr>
        <w:tabs>
          <w:tab w:val="left" w:pos="1613"/>
        </w:tabs>
        <w:spacing w:after="0" w:line="240" w:lineRule="auto"/>
        <w:ind w:left="714" w:hanging="357"/>
        <w:jc w:val="both"/>
        <w:rPr>
          <w:rFonts w:cstheme="minorHAnsi"/>
          <w:szCs w:val="20"/>
          <w:lang w:val="en-GB"/>
        </w:rPr>
      </w:pPr>
      <w:r w:rsidRPr="001655B3">
        <w:rPr>
          <w:rFonts w:cstheme="minorHAnsi"/>
          <w:szCs w:val="20"/>
        </w:rPr>
        <w:t>In two such cases, t</w:t>
      </w:r>
      <w:r w:rsidR="00FA1680" w:rsidRPr="001655B3">
        <w:rPr>
          <w:rFonts w:cstheme="minorHAnsi"/>
          <w:szCs w:val="20"/>
        </w:rPr>
        <w:t>he Court found a continuing violation of Article 2 on account of the failure to conduct an effective investigation aimed at clarifying the whereabouts and fate of missing persons who disappeared in life-threatening circumstances.</w:t>
      </w:r>
      <w:r w:rsidR="00FA1680" w:rsidRPr="00FA1680">
        <w:rPr>
          <w:rFonts w:cstheme="minorHAnsi"/>
          <w:szCs w:val="20"/>
          <w:vertAlign w:val="superscript"/>
        </w:rPr>
        <w:footnoteReference w:id="38"/>
      </w:r>
      <w:r w:rsidR="00FA1680" w:rsidRPr="001655B3">
        <w:rPr>
          <w:rFonts w:cstheme="minorHAnsi"/>
          <w:szCs w:val="20"/>
        </w:rPr>
        <w:t xml:space="preserve"> The Court also declared an on-going violation of Article 5 and considered Article 3 violated in respect of the families of missing persons, assessing that the silence of the authorities in the face of the real concerns of relatives attained a level of severity that could be </w:t>
      </w:r>
      <w:proofErr w:type="spellStart"/>
      <w:r w:rsidR="00FA1680" w:rsidRPr="001655B3">
        <w:rPr>
          <w:rFonts w:cstheme="minorHAnsi"/>
          <w:szCs w:val="20"/>
        </w:rPr>
        <w:t>categorised</w:t>
      </w:r>
      <w:proofErr w:type="spellEnd"/>
      <w:r w:rsidR="00FA1680" w:rsidRPr="001655B3">
        <w:rPr>
          <w:rFonts w:cstheme="minorHAnsi"/>
          <w:szCs w:val="20"/>
        </w:rPr>
        <w:t xml:space="preserve"> as inhuman treatment. Furthermore, the Court provided certain useful indications on the nature of required measures to redress the systemic failure to investigate disappearances, and most notably with a view to eliminating the suffering of the relatives of the </w:t>
      </w:r>
      <w:r w:rsidRPr="001655B3">
        <w:rPr>
          <w:rFonts w:cstheme="minorHAnsi"/>
          <w:szCs w:val="20"/>
        </w:rPr>
        <w:t>victims, in another judgment delivered in 2012</w:t>
      </w:r>
      <w:r w:rsidR="00FA1680" w:rsidRPr="001655B3">
        <w:rPr>
          <w:rFonts w:cstheme="minorHAnsi"/>
          <w:szCs w:val="20"/>
        </w:rPr>
        <w:t>.</w:t>
      </w:r>
      <w:r w:rsidR="00FA1680" w:rsidRPr="00FA1680">
        <w:rPr>
          <w:rFonts w:cstheme="minorHAnsi"/>
          <w:szCs w:val="20"/>
          <w:vertAlign w:val="superscript"/>
        </w:rPr>
        <w:footnoteReference w:id="39"/>
      </w:r>
      <w:r w:rsidR="00FA1680" w:rsidRPr="001655B3">
        <w:rPr>
          <w:rFonts w:cstheme="minorHAnsi"/>
          <w:szCs w:val="20"/>
        </w:rPr>
        <w:t xml:space="preserve"> </w:t>
      </w:r>
    </w:p>
    <w:p w14:paraId="4AD75904" w14:textId="77777777" w:rsidR="001655B3" w:rsidRDefault="001655B3" w:rsidP="00B4730D">
      <w:pPr>
        <w:pStyle w:val="ListParagraph"/>
        <w:spacing w:after="0"/>
        <w:rPr>
          <w:rFonts w:cstheme="minorHAnsi"/>
          <w:szCs w:val="20"/>
        </w:rPr>
      </w:pPr>
    </w:p>
    <w:p w14:paraId="1ADDA2F1" w14:textId="69E46230" w:rsidR="00FA1680" w:rsidRPr="001655B3" w:rsidRDefault="00FA1680" w:rsidP="00B4730D">
      <w:pPr>
        <w:numPr>
          <w:ilvl w:val="0"/>
          <w:numId w:val="2"/>
        </w:numPr>
        <w:tabs>
          <w:tab w:val="left" w:pos="1613"/>
        </w:tabs>
        <w:spacing w:after="0" w:line="240" w:lineRule="auto"/>
        <w:ind w:left="714" w:hanging="357"/>
        <w:jc w:val="both"/>
        <w:rPr>
          <w:rFonts w:cstheme="minorHAnsi"/>
          <w:szCs w:val="20"/>
          <w:lang w:val="en-GB"/>
        </w:rPr>
      </w:pPr>
      <w:r w:rsidRPr="001655B3">
        <w:rPr>
          <w:rFonts w:cstheme="minorHAnsi"/>
          <w:szCs w:val="20"/>
        </w:rPr>
        <w:t>In the Issue Paper “Missing persons and victims of enforced disappearance in Europe”,</w:t>
      </w:r>
      <w:r w:rsidRPr="00FA1680">
        <w:rPr>
          <w:rFonts w:cstheme="minorHAnsi"/>
          <w:szCs w:val="20"/>
          <w:vertAlign w:val="superscript"/>
        </w:rPr>
        <w:footnoteReference w:id="40"/>
      </w:r>
      <w:r w:rsidRPr="001655B3">
        <w:rPr>
          <w:rFonts w:cstheme="minorHAnsi"/>
          <w:szCs w:val="20"/>
        </w:rPr>
        <w:t xml:space="preserve"> the Commissioner provided detailed observations and recommendations to Council of Europe member states on various aspects of looking into and acting on all cases of missing persons and enforced disappearances, including the strengthening of domestic legislation and the eradication of impunity for enforced disappearance. The Issue Paper also includes an overview of good practices and initiatives undertaken worldwide, </w:t>
      </w:r>
      <w:proofErr w:type="gramStart"/>
      <w:r w:rsidRPr="001655B3">
        <w:rPr>
          <w:rFonts w:cstheme="minorHAnsi"/>
          <w:szCs w:val="20"/>
        </w:rPr>
        <w:t>in particular with</w:t>
      </w:r>
      <w:proofErr w:type="gramEnd"/>
      <w:r w:rsidRPr="001655B3">
        <w:rPr>
          <w:rFonts w:cstheme="minorHAnsi"/>
          <w:szCs w:val="20"/>
        </w:rPr>
        <w:t xml:space="preserve"> reference to </w:t>
      </w:r>
      <w:proofErr w:type="spellStart"/>
      <w:r w:rsidRPr="001655B3">
        <w:rPr>
          <w:rFonts w:cstheme="minorHAnsi"/>
          <w:szCs w:val="20"/>
        </w:rPr>
        <w:t>programmes</w:t>
      </w:r>
      <w:proofErr w:type="spellEnd"/>
      <w:r w:rsidRPr="001655B3">
        <w:rPr>
          <w:rFonts w:cstheme="minorHAnsi"/>
          <w:szCs w:val="20"/>
        </w:rPr>
        <w:t xml:space="preserve"> of exhumations</w:t>
      </w:r>
      <w:r w:rsidR="00CC4785" w:rsidRPr="001655B3">
        <w:rPr>
          <w:rFonts w:cstheme="minorHAnsi"/>
          <w:szCs w:val="20"/>
        </w:rPr>
        <w:t>;</w:t>
      </w:r>
      <w:r w:rsidRPr="001655B3">
        <w:rPr>
          <w:rFonts w:cstheme="minorHAnsi"/>
          <w:szCs w:val="20"/>
        </w:rPr>
        <w:t xml:space="preserve"> identification and return of mortal remains; the adoption of legislation, including on the rights of victims and relatives of victims of enforced disappearances</w:t>
      </w:r>
      <w:r w:rsidR="00CC4785" w:rsidRPr="001655B3">
        <w:rPr>
          <w:rFonts w:cstheme="minorHAnsi"/>
          <w:szCs w:val="20"/>
        </w:rPr>
        <w:t>;</w:t>
      </w:r>
      <w:r w:rsidRPr="001655B3">
        <w:rPr>
          <w:rFonts w:cstheme="minorHAnsi"/>
          <w:szCs w:val="20"/>
        </w:rPr>
        <w:t xml:space="preserve"> thorough investigation and prosecution of those responsible for acts of enforced disappearance; and the provision of reparations to victims. The Commissioner believes that the Issue Paper can also provide useful guidance in the current context. </w:t>
      </w:r>
    </w:p>
    <w:p w14:paraId="52A74F1E" w14:textId="77777777" w:rsidR="00FA1680" w:rsidRPr="00FA1680" w:rsidRDefault="00FA1680" w:rsidP="00FA1680">
      <w:pPr>
        <w:autoSpaceDE w:val="0"/>
        <w:autoSpaceDN w:val="0"/>
        <w:adjustRightInd w:val="0"/>
        <w:spacing w:after="0" w:line="240" w:lineRule="auto"/>
        <w:jc w:val="both"/>
        <w:rPr>
          <w:rFonts w:cstheme="minorHAnsi"/>
          <w:szCs w:val="20"/>
        </w:rPr>
      </w:pPr>
    </w:p>
    <w:p w14:paraId="77931673" w14:textId="27C135C2" w:rsidR="00FA1680" w:rsidRPr="00FA1680" w:rsidRDefault="00FA1680" w:rsidP="00936F67">
      <w:pPr>
        <w:pStyle w:val="ListParagraph"/>
        <w:numPr>
          <w:ilvl w:val="0"/>
          <w:numId w:val="19"/>
        </w:numPr>
        <w:autoSpaceDE w:val="0"/>
        <w:autoSpaceDN w:val="0"/>
        <w:adjustRightInd w:val="0"/>
        <w:spacing w:after="0" w:line="240" w:lineRule="auto"/>
        <w:ind w:left="1134" w:hanging="425"/>
        <w:contextualSpacing w:val="0"/>
        <w:jc w:val="both"/>
        <w:rPr>
          <w:rFonts w:cstheme="minorHAnsi"/>
          <w:b/>
          <w:bCs/>
          <w:szCs w:val="20"/>
        </w:rPr>
      </w:pPr>
      <w:r w:rsidRPr="00FA1680">
        <w:rPr>
          <w:rFonts w:cstheme="minorHAnsi"/>
          <w:b/>
          <w:bCs/>
          <w:szCs w:val="20"/>
          <w:lang w:val="en-GB"/>
        </w:rPr>
        <w:t xml:space="preserve">The need for independent and effective investigations into serious human rights violations reported </w:t>
      </w:r>
      <w:r w:rsidR="007D6C2B" w:rsidRPr="007D6C2B">
        <w:rPr>
          <w:rFonts w:cstheme="minorHAnsi"/>
          <w:b/>
          <w:bCs/>
          <w:szCs w:val="20"/>
          <w:lang w:val="en-GB"/>
        </w:rPr>
        <w:t xml:space="preserve">in relation to the conflict </w:t>
      </w:r>
    </w:p>
    <w:p w14:paraId="60D130D6" w14:textId="31DC00AE" w:rsidR="00FA1680" w:rsidRPr="00FA1680" w:rsidRDefault="00023E6A" w:rsidP="00FA1680">
      <w:pPr>
        <w:autoSpaceDE w:val="0"/>
        <w:autoSpaceDN w:val="0"/>
        <w:adjustRightInd w:val="0"/>
        <w:spacing w:after="0" w:line="240" w:lineRule="auto"/>
        <w:jc w:val="both"/>
        <w:rPr>
          <w:rFonts w:cstheme="minorHAnsi"/>
          <w:szCs w:val="20"/>
        </w:rPr>
      </w:pPr>
      <w:r w:rsidRPr="00023E6A">
        <w:rPr>
          <w:rFonts w:asciiTheme="minorHAnsi" w:hAnsiTheme="minorHAnsi" w:cstheme="minorHAnsi"/>
          <w:b/>
          <w:bCs/>
          <w:noProof/>
          <w:color w:val="1F497D" w:themeColor="text2"/>
          <w:szCs w:val="20"/>
        </w:rPr>
        <mc:AlternateContent>
          <mc:Choice Requires="wps">
            <w:drawing>
              <wp:anchor distT="0" distB="0" distL="114300" distR="114300" simplePos="0" relativeHeight="251669504" behindDoc="0" locked="0" layoutInCell="1" allowOverlap="1" wp14:anchorId="4EF690AA" wp14:editId="72600770">
                <wp:simplePos x="0" y="0"/>
                <wp:positionH relativeFrom="column">
                  <wp:posOffset>299720</wp:posOffset>
                </wp:positionH>
                <wp:positionV relativeFrom="paragraph">
                  <wp:posOffset>101600</wp:posOffset>
                </wp:positionV>
                <wp:extent cx="5753100" cy="752475"/>
                <wp:effectExtent l="38100" t="38100" r="95250" b="104775"/>
                <wp:wrapNone/>
                <wp:docPr id="8" name="Zone de texte 6"/>
                <wp:cNvGraphicFramePr/>
                <a:graphic xmlns:a="http://schemas.openxmlformats.org/drawingml/2006/main">
                  <a:graphicData uri="http://schemas.microsoft.com/office/word/2010/wordprocessingShape">
                    <wps:wsp>
                      <wps:cNvSpPr txBox="1"/>
                      <wps:spPr>
                        <a:xfrm>
                          <a:off x="0" y="0"/>
                          <a:ext cx="5753100" cy="752475"/>
                        </a:xfrm>
                        <a:prstGeom prst="rect">
                          <a:avLst/>
                        </a:prstGeom>
                        <a:solidFill>
                          <a:srgbClr val="F9F0DB"/>
                        </a:solidFill>
                        <a:ln w="6350">
                          <a:noFill/>
                        </a:ln>
                        <a:effectLst>
                          <a:outerShdw blurRad="50800" dist="38100" dir="2700000" algn="tl" rotWithShape="0">
                            <a:prstClr val="black">
                              <a:alpha val="40000"/>
                            </a:prstClr>
                          </a:outerShdw>
                        </a:effectLst>
                      </wps:spPr>
                      <wps:txbx>
                        <w:txbxContent>
                          <w:p w14:paraId="7EE8F09F" w14:textId="77777777" w:rsidR="009269CA" w:rsidRPr="00E51985" w:rsidRDefault="009269CA" w:rsidP="00023E6A">
                            <w:pPr>
                              <w:autoSpaceDE w:val="0"/>
                              <w:autoSpaceDN w:val="0"/>
                              <w:adjustRightInd w:val="0"/>
                              <w:spacing w:after="0" w:line="240" w:lineRule="auto"/>
                              <w:jc w:val="both"/>
                              <w:rPr>
                                <w:rFonts w:cstheme="minorHAnsi"/>
                                <w:b/>
                                <w:bCs/>
                                <w:szCs w:val="20"/>
                                <w:lang w:val="en-GB"/>
                              </w:rPr>
                            </w:pPr>
                            <w:r w:rsidRPr="00E51985">
                              <w:rPr>
                                <w:rFonts w:cstheme="minorHAnsi"/>
                                <w:b/>
                                <w:bCs/>
                                <w:szCs w:val="20"/>
                                <w:lang w:val="en-GB"/>
                              </w:rPr>
                              <w:t xml:space="preserve">Recommendation no. 6: </w:t>
                            </w:r>
                          </w:p>
                          <w:p w14:paraId="1CA2B05C" w14:textId="77777777" w:rsidR="009269CA" w:rsidRPr="00FA1680" w:rsidRDefault="009269CA" w:rsidP="00023E6A">
                            <w:pPr>
                              <w:autoSpaceDE w:val="0"/>
                              <w:autoSpaceDN w:val="0"/>
                              <w:adjustRightInd w:val="0"/>
                              <w:spacing w:after="0" w:line="240" w:lineRule="auto"/>
                              <w:jc w:val="both"/>
                              <w:rPr>
                                <w:rFonts w:cstheme="minorHAnsi"/>
                                <w:szCs w:val="20"/>
                              </w:rPr>
                            </w:pPr>
                            <w:r w:rsidRPr="00FA1680">
                              <w:rPr>
                                <w:rFonts w:cstheme="minorHAnsi"/>
                                <w:szCs w:val="20"/>
                              </w:rPr>
                              <w:t xml:space="preserve">To carry out thorough, prompt, independent and impartial investigations into allegations of serious human rights violations committed during the conflict and its aftermath in order to hold perpetrators to account and provide </w:t>
                            </w:r>
                            <w:r>
                              <w:rPr>
                                <w:rFonts w:cstheme="minorHAnsi"/>
                                <w:szCs w:val="20"/>
                              </w:rPr>
                              <w:t xml:space="preserve">adequate and effective </w:t>
                            </w:r>
                            <w:r w:rsidRPr="00FA1680">
                              <w:rPr>
                                <w:rFonts w:cstheme="minorHAnsi"/>
                                <w:szCs w:val="20"/>
                              </w:rPr>
                              <w:t>re</w:t>
                            </w:r>
                            <w:r>
                              <w:rPr>
                                <w:rFonts w:cstheme="minorHAnsi"/>
                                <w:szCs w:val="20"/>
                              </w:rPr>
                              <w:t xml:space="preserve">parations </w:t>
                            </w:r>
                            <w:r w:rsidRPr="00FA1680">
                              <w:rPr>
                                <w:rFonts w:cstheme="minorHAnsi"/>
                                <w:szCs w:val="20"/>
                              </w:rPr>
                              <w:t xml:space="preserve">to the victims. </w:t>
                            </w:r>
                          </w:p>
                          <w:p w14:paraId="3A1FC304" w14:textId="79BDBC2D" w:rsidR="009269CA" w:rsidRPr="00023E6A" w:rsidRDefault="009269CA" w:rsidP="00023E6A">
                            <w:pPr>
                              <w:spacing w:after="0" w:line="240" w:lineRule="auto"/>
                              <w:rPr>
                                <w:rFonts w:cstheme="minorHAnsi"/>
                                <w:bCs/>
                                <w:i/>
                                <w:color w:val="1F497D" w:themeColor="text2"/>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690AA" id="_x0000_s1031" type="#_x0000_t202" style="position:absolute;left:0;text-align:left;margin-left:23.6pt;margin-top:8pt;width:453pt;height:5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" fillcolor="#f9f0db" stroked="f" strokeweight=".5pt">
                <v:shadow on="t" color="black" opacity="26214f" origin="-.5,-.5" offset=".74836mm,.74836mm"/>
                <v:textbox>
                  <w:txbxContent>
                    <w:p w14:paraId="7EE8F09F" w14:textId="77777777" w:rsidR="009269CA" w:rsidRPr="00E51985" w:rsidRDefault="009269CA" w:rsidP="00023E6A">
                      <w:pPr>
                        <w:autoSpaceDE w:val="0"/>
                        <w:autoSpaceDN w:val="0"/>
                        <w:adjustRightInd w:val="0"/>
                        <w:spacing w:after="0" w:line="240" w:lineRule="auto"/>
                        <w:jc w:val="both"/>
                        <w:rPr>
                          <w:rFonts w:cstheme="minorHAnsi"/>
                          <w:b/>
                          <w:bCs/>
                          <w:szCs w:val="20"/>
                          <w:lang w:val="en-GB"/>
                        </w:rPr>
                      </w:pPr>
                      <w:r w:rsidRPr="00E51985">
                        <w:rPr>
                          <w:rFonts w:cstheme="minorHAnsi"/>
                          <w:b/>
                          <w:bCs/>
                          <w:szCs w:val="20"/>
                          <w:lang w:val="en-GB"/>
                        </w:rPr>
                        <w:t xml:space="preserve">Recommendation no. 6: </w:t>
                      </w:r>
                    </w:p>
                    <w:p w14:paraId="1CA2B05C" w14:textId="77777777" w:rsidR="009269CA" w:rsidRPr="00FA1680" w:rsidRDefault="009269CA" w:rsidP="00023E6A">
                      <w:pPr>
                        <w:autoSpaceDE w:val="0"/>
                        <w:autoSpaceDN w:val="0"/>
                        <w:adjustRightInd w:val="0"/>
                        <w:spacing w:after="0" w:line="240" w:lineRule="auto"/>
                        <w:jc w:val="both"/>
                        <w:rPr>
                          <w:rFonts w:cstheme="minorHAnsi"/>
                          <w:szCs w:val="20"/>
                        </w:rPr>
                      </w:pPr>
                      <w:r w:rsidRPr="00FA1680">
                        <w:rPr>
                          <w:rFonts w:cstheme="minorHAnsi"/>
                          <w:szCs w:val="20"/>
                        </w:rPr>
                        <w:t xml:space="preserve">To carry out thorough, prompt, independent and impartial investigations into allegations of serious human rights violations committed during the conflict and its aftermath in order to hold perpetrators to account and provide </w:t>
                      </w:r>
                      <w:r>
                        <w:rPr>
                          <w:rFonts w:cstheme="minorHAnsi"/>
                          <w:szCs w:val="20"/>
                        </w:rPr>
                        <w:t xml:space="preserve">adequate and effective </w:t>
                      </w:r>
                      <w:r w:rsidRPr="00FA1680">
                        <w:rPr>
                          <w:rFonts w:cstheme="minorHAnsi"/>
                          <w:szCs w:val="20"/>
                        </w:rPr>
                        <w:t>re</w:t>
                      </w:r>
                      <w:r>
                        <w:rPr>
                          <w:rFonts w:cstheme="minorHAnsi"/>
                          <w:szCs w:val="20"/>
                        </w:rPr>
                        <w:t xml:space="preserve">parations </w:t>
                      </w:r>
                      <w:r w:rsidRPr="00FA1680">
                        <w:rPr>
                          <w:rFonts w:cstheme="minorHAnsi"/>
                          <w:szCs w:val="20"/>
                        </w:rPr>
                        <w:t xml:space="preserve">to the victims. </w:t>
                      </w:r>
                    </w:p>
                    <w:p w14:paraId="3A1FC304" w14:textId="79BDBC2D" w:rsidR="009269CA" w:rsidRPr="00023E6A" w:rsidRDefault="009269CA" w:rsidP="00023E6A">
                      <w:pPr>
                        <w:spacing w:after="0" w:line="240" w:lineRule="auto"/>
                        <w:rPr>
                          <w:rFonts w:cstheme="minorHAnsi"/>
                          <w:bCs/>
                          <w:i/>
                          <w:color w:val="1F497D" w:themeColor="text2"/>
                          <w:szCs w:val="20"/>
                        </w:rPr>
                      </w:pPr>
                    </w:p>
                  </w:txbxContent>
                </v:textbox>
              </v:shape>
            </w:pict>
          </mc:Fallback>
        </mc:AlternateContent>
      </w:r>
    </w:p>
    <w:p w14:paraId="284AF052" w14:textId="07E33103" w:rsidR="00023E6A" w:rsidRDefault="00023E6A" w:rsidP="00E51985">
      <w:pPr>
        <w:autoSpaceDE w:val="0"/>
        <w:autoSpaceDN w:val="0"/>
        <w:adjustRightInd w:val="0"/>
        <w:spacing w:after="0" w:line="240" w:lineRule="auto"/>
        <w:ind w:left="709"/>
        <w:jc w:val="both"/>
        <w:rPr>
          <w:rFonts w:cstheme="minorHAnsi"/>
          <w:b/>
          <w:bCs/>
          <w:szCs w:val="20"/>
          <w:lang w:val="en-GB"/>
        </w:rPr>
      </w:pPr>
    </w:p>
    <w:p w14:paraId="2F18775E" w14:textId="77777777" w:rsidR="00023E6A" w:rsidRDefault="00023E6A" w:rsidP="00E51985">
      <w:pPr>
        <w:autoSpaceDE w:val="0"/>
        <w:autoSpaceDN w:val="0"/>
        <w:adjustRightInd w:val="0"/>
        <w:spacing w:after="0" w:line="240" w:lineRule="auto"/>
        <w:ind w:left="709"/>
        <w:jc w:val="both"/>
        <w:rPr>
          <w:rFonts w:cstheme="minorHAnsi"/>
          <w:b/>
          <w:bCs/>
          <w:szCs w:val="20"/>
          <w:lang w:val="en-GB"/>
        </w:rPr>
      </w:pPr>
    </w:p>
    <w:p w14:paraId="448EF437" w14:textId="77777777" w:rsidR="00023E6A" w:rsidRDefault="00023E6A" w:rsidP="00E51985">
      <w:pPr>
        <w:autoSpaceDE w:val="0"/>
        <w:autoSpaceDN w:val="0"/>
        <w:adjustRightInd w:val="0"/>
        <w:spacing w:after="0" w:line="240" w:lineRule="auto"/>
        <w:ind w:left="709"/>
        <w:jc w:val="both"/>
        <w:rPr>
          <w:rFonts w:cstheme="minorHAnsi"/>
          <w:b/>
          <w:bCs/>
          <w:szCs w:val="20"/>
          <w:lang w:val="en-GB"/>
        </w:rPr>
      </w:pPr>
    </w:p>
    <w:p w14:paraId="7C67E70E" w14:textId="77777777" w:rsidR="00023E6A" w:rsidRDefault="00023E6A" w:rsidP="00E51985">
      <w:pPr>
        <w:autoSpaceDE w:val="0"/>
        <w:autoSpaceDN w:val="0"/>
        <w:adjustRightInd w:val="0"/>
        <w:spacing w:after="0" w:line="240" w:lineRule="auto"/>
        <w:ind w:left="709"/>
        <w:jc w:val="both"/>
        <w:rPr>
          <w:rFonts w:cstheme="minorHAnsi"/>
          <w:b/>
          <w:bCs/>
          <w:szCs w:val="20"/>
          <w:lang w:val="en-GB"/>
        </w:rPr>
      </w:pPr>
    </w:p>
    <w:p w14:paraId="67ABD099" w14:textId="77777777" w:rsidR="00023E6A" w:rsidRDefault="00023E6A" w:rsidP="00E51985">
      <w:pPr>
        <w:autoSpaceDE w:val="0"/>
        <w:autoSpaceDN w:val="0"/>
        <w:adjustRightInd w:val="0"/>
        <w:spacing w:after="0" w:line="240" w:lineRule="auto"/>
        <w:ind w:left="709"/>
        <w:jc w:val="both"/>
        <w:rPr>
          <w:rFonts w:cstheme="minorHAnsi"/>
          <w:b/>
          <w:bCs/>
          <w:szCs w:val="20"/>
          <w:lang w:val="en-GB"/>
        </w:rPr>
      </w:pPr>
    </w:p>
    <w:p w14:paraId="709A32D1" w14:textId="77777777" w:rsidR="00FA1680" w:rsidRPr="00FA1680" w:rsidRDefault="00FA1680" w:rsidP="00FA1680">
      <w:pPr>
        <w:autoSpaceDE w:val="0"/>
        <w:autoSpaceDN w:val="0"/>
        <w:adjustRightInd w:val="0"/>
        <w:spacing w:after="0" w:line="240" w:lineRule="auto"/>
        <w:jc w:val="both"/>
        <w:rPr>
          <w:rFonts w:cstheme="minorHAnsi"/>
          <w:szCs w:val="20"/>
        </w:rPr>
      </w:pPr>
    </w:p>
    <w:p w14:paraId="6F0FD0C0" w14:textId="4CC846F7" w:rsidR="00E51985" w:rsidRDefault="00FA1680" w:rsidP="00E51985">
      <w:pPr>
        <w:numPr>
          <w:ilvl w:val="0"/>
          <w:numId w:val="2"/>
        </w:numPr>
        <w:autoSpaceDE w:val="0"/>
        <w:autoSpaceDN w:val="0"/>
        <w:adjustRightInd w:val="0"/>
        <w:spacing w:after="0" w:line="240" w:lineRule="auto"/>
        <w:ind w:left="709"/>
        <w:jc w:val="both"/>
        <w:rPr>
          <w:rFonts w:cstheme="minorHAnsi"/>
          <w:szCs w:val="20"/>
        </w:rPr>
      </w:pPr>
      <w:r w:rsidRPr="00FA1680">
        <w:rPr>
          <w:rFonts w:cstheme="minorHAnsi"/>
          <w:szCs w:val="20"/>
        </w:rPr>
        <w:t xml:space="preserve">The Commissioner has received </w:t>
      </w:r>
      <w:proofErr w:type="gramStart"/>
      <w:r w:rsidRPr="00FA1680">
        <w:rPr>
          <w:rFonts w:cstheme="minorHAnsi"/>
          <w:szCs w:val="20"/>
        </w:rPr>
        <w:t>a number of</w:t>
      </w:r>
      <w:proofErr w:type="gramEnd"/>
      <w:r w:rsidRPr="00FA1680">
        <w:rPr>
          <w:rFonts w:cstheme="minorHAnsi"/>
          <w:szCs w:val="20"/>
        </w:rPr>
        <w:t xml:space="preserve"> reports from NGOs </w:t>
      </w:r>
      <w:r w:rsidR="001D0D75">
        <w:rPr>
          <w:rFonts w:cstheme="minorHAnsi"/>
          <w:szCs w:val="20"/>
        </w:rPr>
        <w:t>and</w:t>
      </w:r>
      <w:r w:rsidRPr="00FA1680">
        <w:rPr>
          <w:rFonts w:cstheme="minorHAnsi"/>
          <w:szCs w:val="20"/>
        </w:rPr>
        <w:t xml:space="preserve"> victims about breaches of international humanitarian law as well as serious violations of human rights by both sides of the conflict. These testimonies range from ill-treatment, torture, decapitation, </w:t>
      </w:r>
      <w:proofErr w:type="gramStart"/>
      <w:r w:rsidRPr="00FA1680">
        <w:rPr>
          <w:rFonts w:cstheme="minorHAnsi"/>
          <w:szCs w:val="20"/>
        </w:rPr>
        <w:t>mutilation</w:t>
      </w:r>
      <w:proofErr w:type="gramEnd"/>
      <w:r w:rsidRPr="00FA1680">
        <w:rPr>
          <w:rFonts w:cstheme="minorHAnsi"/>
          <w:szCs w:val="20"/>
        </w:rPr>
        <w:t xml:space="preserve"> or other forms of despoliation of dead bodies, indiscriminate or disproportionate use of force</w:t>
      </w:r>
      <w:r w:rsidRPr="00FA1680">
        <w:rPr>
          <w:rFonts w:cstheme="minorHAnsi"/>
          <w:szCs w:val="20"/>
          <w:vertAlign w:val="superscript"/>
        </w:rPr>
        <w:footnoteReference w:id="41"/>
      </w:r>
      <w:r w:rsidRPr="00FA1680">
        <w:rPr>
          <w:rFonts w:cstheme="minorHAnsi"/>
          <w:szCs w:val="20"/>
        </w:rPr>
        <w:t xml:space="preserve"> to extrajudicial, summary or arbitrary executions.</w:t>
      </w:r>
      <w:r w:rsidR="00652EB9">
        <w:rPr>
          <w:rStyle w:val="FootnoteReference"/>
          <w:rFonts w:cstheme="minorHAnsi"/>
          <w:szCs w:val="20"/>
        </w:rPr>
        <w:footnoteReference w:id="42"/>
      </w:r>
      <w:r w:rsidRPr="00FA1680">
        <w:rPr>
          <w:rFonts w:cstheme="minorHAnsi"/>
          <w:szCs w:val="20"/>
        </w:rPr>
        <w:t xml:space="preserve"> In addition, there were many videos and photos published on social media depicting summary executions, humiliating treatment and torture. </w:t>
      </w:r>
      <w:proofErr w:type="gramStart"/>
      <w:r w:rsidRPr="00FA1680">
        <w:rPr>
          <w:rFonts w:cstheme="minorHAnsi"/>
          <w:szCs w:val="20"/>
        </w:rPr>
        <w:t>All of</w:t>
      </w:r>
      <w:proofErr w:type="gramEnd"/>
      <w:r w:rsidRPr="00FA1680">
        <w:rPr>
          <w:rFonts w:cstheme="minorHAnsi"/>
          <w:szCs w:val="20"/>
        </w:rPr>
        <w:t xml:space="preserve"> these alleged acts</w:t>
      </w:r>
      <w:r w:rsidR="00D44E2C">
        <w:rPr>
          <w:rFonts w:cstheme="minorHAnsi"/>
          <w:szCs w:val="20"/>
        </w:rPr>
        <w:t>, some of which may amount to war crimes,</w:t>
      </w:r>
      <w:r w:rsidRPr="00FA1680">
        <w:rPr>
          <w:rFonts w:cstheme="minorHAnsi"/>
          <w:szCs w:val="20"/>
        </w:rPr>
        <w:t xml:space="preserve"> need to be effectively and promptly investigated, the perpetrators brought to justice and if found guilty after a fair, independent and impartial trial, sentenced and punished. </w:t>
      </w:r>
    </w:p>
    <w:p w14:paraId="3A575D41" w14:textId="77777777" w:rsidR="00E51985" w:rsidRDefault="00E51985" w:rsidP="00E51985">
      <w:pPr>
        <w:autoSpaceDE w:val="0"/>
        <w:autoSpaceDN w:val="0"/>
        <w:adjustRightInd w:val="0"/>
        <w:spacing w:after="0" w:line="240" w:lineRule="auto"/>
        <w:ind w:left="349"/>
        <w:jc w:val="both"/>
        <w:rPr>
          <w:rFonts w:cstheme="minorHAnsi"/>
          <w:szCs w:val="20"/>
        </w:rPr>
      </w:pPr>
    </w:p>
    <w:p w14:paraId="11365F79" w14:textId="7DE2879E" w:rsidR="00E51985" w:rsidRDefault="00FA1680" w:rsidP="00E51985">
      <w:pPr>
        <w:numPr>
          <w:ilvl w:val="0"/>
          <w:numId w:val="2"/>
        </w:numPr>
        <w:autoSpaceDE w:val="0"/>
        <w:autoSpaceDN w:val="0"/>
        <w:adjustRightInd w:val="0"/>
        <w:spacing w:after="0" w:line="240" w:lineRule="auto"/>
        <w:ind w:left="709"/>
        <w:jc w:val="both"/>
        <w:rPr>
          <w:rFonts w:cstheme="minorHAnsi"/>
          <w:szCs w:val="20"/>
        </w:rPr>
      </w:pPr>
      <w:r w:rsidRPr="00E51985">
        <w:rPr>
          <w:rFonts w:cstheme="minorHAnsi"/>
          <w:szCs w:val="20"/>
        </w:rPr>
        <w:lastRenderedPageBreak/>
        <w:t>The Ombudsman institutions in Armenia and Azerbaijan have shared with the Commissioner reports providing evidence of torture</w:t>
      </w:r>
      <w:r w:rsidR="009712D9" w:rsidRPr="00E51985">
        <w:rPr>
          <w:rFonts w:cstheme="minorHAnsi"/>
          <w:szCs w:val="20"/>
        </w:rPr>
        <w:t xml:space="preserve"> and </w:t>
      </w:r>
      <w:r w:rsidRPr="00E51985">
        <w:rPr>
          <w:rFonts w:cstheme="minorHAnsi"/>
          <w:szCs w:val="20"/>
        </w:rPr>
        <w:t>inhuman and degrading treatment committed against prisoners of war and captives during the conflict.</w:t>
      </w:r>
      <w:r w:rsidRPr="00FA1680">
        <w:rPr>
          <w:rFonts w:cstheme="minorHAnsi"/>
          <w:szCs w:val="20"/>
          <w:vertAlign w:val="superscript"/>
          <w:lang w:val="fr-FR"/>
        </w:rPr>
        <w:footnoteReference w:id="43"/>
      </w:r>
      <w:r w:rsidRPr="00E51985">
        <w:rPr>
          <w:rFonts w:cstheme="minorHAnsi"/>
          <w:szCs w:val="20"/>
        </w:rPr>
        <w:t xml:space="preserve"> </w:t>
      </w:r>
    </w:p>
    <w:p w14:paraId="7679BDFE" w14:textId="1EBDD80F" w:rsidR="006F7EF3" w:rsidRDefault="006F7EF3" w:rsidP="006F7EF3">
      <w:pPr>
        <w:autoSpaceDE w:val="0"/>
        <w:autoSpaceDN w:val="0"/>
        <w:adjustRightInd w:val="0"/>
        <w:spacing w:after="0" w:line="240" w:lineRule="auto"/>
        <w:jc w:val="both"/>
        <w:rPr>
          <w:rFonts w:cstheme="minorHAnsi"/>
          <w:szCs w:val="20"/>
        </w:rPr>
      </w:pPr>
    </w:p>
    <w:p w14:paraId="61D63AAA" w14:textId="4CAC9E4E" w:rsidR="00E51985" w:rsidRDefault="00FA1680" w:rsidP="00E51985">
      <w:pPr>
        <w:numPr>
          <w:ilvl w:val="0"/>
          <w:numId w:val="2"/>
        </w:numPr>
        <w:autoSpaceDE w:val="0"/>
        <w:autoSpaceDN w:val="0"/>
        <w:adjustRightInd w:val="0"/>
        <w:spacing w:after="0" w:line="240" w:lineRule="auto"/>
        <w:ind w:left="709"/>
        <w:jc w:val="both"/>
        <w:rPr>
          <w:rFonts w:cstheme="minorHAnsi"/>
          <w:szCs w:val="20"/>
        </w:rPr>
      </w:pPr>
      <w:r w:rsidRPr="00E51985">
        <w:rPr>
          <w:rFonts w:cstheme="minorHAnsi"/>
          <w:szCs w:val="20"/>
        </w:rPr>
        <w:t xml:space="preserve">Several NGOs have collected a wealth of material about </w:t>
      </w:r>
      <w:proofErr w:type="gramStart"/>
      <w:r w:rsidRPr="00E51985">
        <w:rPr>
          <w:rFonts w:cstheme="minorHAnsi"/>
          <w:szCs w:val="20"/>
        </w:rPr>
        <w:t xml:space="preserve">all </w:t>
      </w:r>
      <w:r w:rsidR="009712D9" w:rsidRPr="00E51985">
        <w:rPr>
          <w:rFonts w:cstheme="minorHAnsi"/>
          <w:szCs w:val="20"/>
        </w:rPr>
        <w:t>of</w:t>
      </w:r>
      <w:proofErr w:type="gramEnd"/>
      <w:r w:rsidR="009712D9" w:rsidRPr="00E51985">
        <w:rPr>
          <w:rFonts w:cstheme="minorHAnsi"/>
          <w:szCs w:val="20"/>
        </w:rPr>
        <w:t xml:space="preserve"> the </w:t>
      </w:r>
      <w:r w:rsidRPr="00E51985">
        <w:rPr>
          <w:rFonts w:cstheme="minorHAnsi"/>
          <w:szCs w:val="20"/>
        </w:rPr>
        <w:t>above</w:t>
      </w:r>
      <w:r w:rsidR="009712D9" w:rsidRPr="00E51985">
        <w:rPr>
          <w:rFonts w:cstheme="minorHAnsi"/>
          <w:szCs w:val="20"/>
        </w:rPr>
        <w:t>-</w:t>
      </w:r>
      <w:r w:rsidRPr="00E51985">
        <w:rPr>
          <w:rFonts w:cstheme="minorHAnsi"/>
          <w:szCs w:val="20"/>
        </w:rPr>
        <w:t xml:space="preserve">mentioned allegations. Field missions conducted by </w:t>
      </w:r>
      <w:r w:rsidR="009712D9" w:rsidRPr="00E51985">
        <w:rPr>
          <w:rFonts w:cstheme="minorHAnsi"/>
          <w:szCs w:val="20"/>
        </w:rPr>
        <w:t xml:space="preserve">the </w:t>
      </w:r>
      <w:r w:rsidRPr="00E51985">
        <w:rPr>
          <w:rFonts w:cstheme="minorHAnsi"/>
          <w:szCs w:val="20"/>
        </w:rPr>
        <w:t xml:space="preserve">International Partnership for Human Rights (IPHR) and Truth Hounds between October </w:t>
      </w:r>
      <w:r w:rsidR="009712D9" w:rsidRPr="00E51985">
        <w:rPr>
          <w:rFonts w:cstheme="minorHAnsi"/>
          <w:szCs w:val="20"/>
        </w:rPr>
        <w:t xml:space="preserve">2020 </w:t>
      </w:r>
      <w:r w:rsidRPr="00E51985">
        <w:rPr>
          <w:rFonts w:cstheme="minorHAnsi"/>
          <w:szCs w:val="20"/>
        </w:rPr>
        <w:t>and January 202</w:t>
      </w:r>
      <w:r w:rsidR="009712D9" w:rsidRPr="00E51985">
        <w:rPr>
          <w:rFonts w:cstheme="minorHAnsi"/>
          <w:szCs w:val="20"/>
        </w:rPr>
        <w:t>1</w:t>
      </w:r>
      <w:r w:rsidRPr="00E51985">
        <w:rPr>
          <w:rFonts w:cstheme="minorHAnsi"/>
          <w:szCs w:val="20"/>
        </w:rPr>
        <w:t xml:space="preserve"> have revealed numerous cases of torture and cruel, inhuman or degrading treatment of Armenian prisoners of war and civilians by Azerbaijani authorities.</w:t>
      </w:r>
      <w:r w:rsidRPr="00FA1680">
        <w:rPr>
          <w:rFonts w:cstheme="minorHAnsi"/>
          <w:szCs w:val="20"/>
          <w:vertAlign w:val="superscript"/>
          <w:lang w:val="fr-FR"/>
        </w:rPr>
        <w:footnoteReference w:id="44"/>
      </w:r>
      <w:r w:rsidRPr="00E51985">
        <w:rPr>
          <w:rFonts w:cstheme="minorHAnsi"/>
          <w:szCs w:val="20"/>
        </w:rPr>
        <w:t xml:space="preserve"> IPHR/Truth Hounds also documented at least seven cases of torture and cruel, inhuman or degrading treatment of Azerbaijani prisoners of war by Armenian/</w:t>
      </w:r>
      <w:r w:rsidRPr="0005382C">
        <w:rPr>
          <w:rFonts w:cstheme="minorHAnsi"/>
          <w:szCs w:val="20"/>
        </w:rPr>
        <w:t>Nagorno</w:t>
      </w:r>
      <w:r w:rsidRPr="00E51985">
        <w:rPr>
          <w:rFonts w:cstheme="minorHAnsi"/>
          <w:szCs w:val="20"/>
        </w:rPr>
        <w:t xml:space="preserve">-Karabakh </w:t>
      </w:r>
      <w:r w:rsidR="003C59F8">
        <w:rPr>
          <w:rFonts w:cstheme="minorHAnsi"/>
          <w:szCs w:val="20"/>
        </w:rPr>
        <w:t>military personnel</w:t>
      </w:r>
      <w:r w:rsidRPr="00E51985">
        <w:rPr>
          <w:rFonts w:cstheme="minorHAnsi"/>
          <w:szCs w:val="20"/>
        </w:rPr>
        <w:t xml:space="preserve"> and eight instances of despoliation of the dead perpetrated by the </w:t>
      </w:r>
      <w:r w:rsidR="003C59F8">
        <w:rPr>
          <w:rFonts w:cstheme="minorHAnsi"/>
          <w:szCs w:val="20"/>
        </w:rPr>
        <w:t xml:space="preserve">military personnel </w:t>
      </w:r>
      <w:r w:rsidRPr="00E51985">
        <w:rPr>
          <w:rFonts w:cstheme="minorHAnsi"/>
          <w:szCs w:val="20"/>
        </w:rPr>
        <w:t>of Armenia/</w:t>
      </w:r>
      <w:r w:rsidRPr="0005382C">
        <w:rPr>
          <w:rFonts w:cstheme="minorHAnsi"/>
          <w:szCs w:val="20"/>
        </w:rPr>
        <w:t>Nagorno</w:t>
      </w:r>
      <w:r w:rsidRPr="00E51985">
        <w:rPr>
          <w:rFonts w:cstheme="minorHAnsi"/>
          <w:szCs w:val="20"/>
        </w:rPr>
        <w:t>-Karabakh.</w:t>
      </w:r>
      <w:r w:rsidRPr="00FA1680">
        <w:rPr>
          <w:rFonts w:cstheme="minorHAnsi"/>
          <w:szCs w:val="20"/>
          <w:vertAlign w:val="superscript"/>
          <w:lang w:val="fr-FR"/>
        </w:rPr>
        <w:footnoteReference w:id="45"/>
      </w:r>
      <w:r w:rsidR="00FE39BC" w:rsidRPr="00E51985">
        <w:rPr>
          <w:rFonts w:cstheme="minorHAnsi"/>
          <w:szCs w:val="20"/>
        </w:rPr>
        <w:t xml:space="preserve"> </w:t>
      </w:r>
    </w:p>
    <w:p w14:paraId="729576FA" w14:textId="77777777" w:rsidR="00E51985" w:rsidRDefault="00E51985" w:rsidP="00B4730D">
      <w:pPr>
        <w:pStyle w:val="ListParagraph"/>
        <w:spacing w:after="0"/>
        <w:rPr>
          <w:rFonts w:cstheme="minorHAnsi"/>
          <w:szCs w:val="20"/>
        </w:rPr>
      </w:pPr>
    </w:p>
    <w:p w14:paraId="192AFA24" w14:textId="77777777" w:rsidR="00E51985" w:rsidRDefault="00FA1680" w:rsidP="00B4730D">
      <w:pPr>
        <w:numPr>
          <w:ilvl w:val="0"/>
          <w:numId w:val="2"/>
        </w:numPr>
        <w:autoSpaceDE w:val="0"/>
        <w:autoSpaceDN w:val="0"/>
        <w:adjustRightInd w:val="0"/>
        <w:spacing w:after="0" w:line="240" w:lineRule="auto"/>
        <w:ind w:left="709"/>
        <w:jc w:val="both"/>
        <w:rPr>
          <w:rFonts w:cstheme="minorHAnsi"/>
          <w:szCs w:val="20"/>
        </w:rPr>
      </w:pPr>
      <w:r w:rsidRPr="00E51985">
        <w:rPr>
          <w:rFonts w:cstheme="minorHAnsi"/>
          <w:szCs w:val="20"/>
        </w:rPr>
        <w:t>In addition, Human Rights Watch reported about cruel and degrading treatment and torture of prisoners of war either when they were captured, during their transfer, or while in custody at various detention facilities.</w:t>
      </w:r>
      <w:r w:rsidRPr="00FA1680">
        <w:rPr>
          <w:rFonts w:cstheme="minorHAnsi"/>
          <w:szCs w:val="20"/>
          <w:vertAlign w:val="superscript"/>
          <w:lang w:val="fr-FR"/>
        </w:rPr>
        <w:footnoteReference w:id="46"/>
      </w:r>
      <w:r w:rsidRPr="00E51985">
        <w:rPr>
          <w:rFonts w:cstheme="minorHAnsi"/>
          <w:bCs/>
          <w:szCs w:val="20"/>
        </w:rPr>
        <w:t xml:space="preserve"> Human Rights Watch also documented two cases where detainees died in Azerbaijan </w:t>
      </w:r>
      <w:r w:rsidR="00792A07" w:rsidRPr="00E51985">
        <w:rPr>
          <w:rFonts w:cstheme="minorHAnsi"/>
          <w:bCs/>
          <w:szCs w:val="20"/>
        </w:rPr>
        <w:t xml:space="preserve">in </w:t>
      </w:r>
      <w:r w:rsidRPr="00E51985">
        <w:rPr>
          <w:rFonts w:cstheme="minorHAnsi"/>
          <w:bCs/>
          <w:szCs w:val="20"/>
        </w:rPr>
        <w:t>captivity, including one alleged extrajudicial execution.</w:t>
      </w:r>
      <w:r w:rsidRPr="00FA1680">
        <w:rPr>
          <w:rFonts w:cstheme="minorHAnsi"/>
          <w:bCs/>
          <w:szCs w:val="20"/>
          <w:vertAlign w:val="superscript"/>
          <w:lang w:val="fr-FR"/>
        </w:rPr>
        <w:footnoteReference w:id="47"/>
      </w:r>
      <w:r w:rsidRPr="00E51985">
        <w:rPr>
          <w:rFonts w:cstheme="minorHAnsi"/>
          <w:bCs/>
          <w:szCs w:val="20"/>
        </w:rPr>
        <w:t xml:space="preserve"> </w:t>
      </w:r>
    </w:p>
    <w:p w14:paraId="20CAE5C3" w14:textId="77777777" w:rsidR="00E51985" w:rsidRDefault="00E51985" w:rsidP="00B4730D">
      <w:pPr>
        <w:pStyle w:val="ListParagraph"/>
        <w:spacing w:after="0"/>
        <w:rPr>
          <w:rFonts w:cstheme="minorHAnsi"/>
          <w:szCs w:val="20"/>
        </w:rPr>
      </w:pPr>
    </w:p>
    <w:p w14:paraId="756644F4" w14:textId="77777777" w:rsidR="00E51985" w:rsidRDefault="00FA1680" w:rsidP="00B4730D">
      <w:pPr>
        <w:numPr>
          <w:ilvl w:val="0"/>
          <w:numId w:val="2"/>
        </w:numPr>
        <w:autoSpaceDE w:val="0"/>
        <w:autoSpaceDN w:val="0"/>
        <w:adjustRightInd w:val="0"/>
        <w:spacing w:after="0" w:line="240" w:lineRule="auto"/>
        <w:ind w:left="709"/>
        <w:jc w:val="both"/>
        <w:rPr>
          <w:rFonts w:cstheme="minorHAnsi"/>
          <w:szCs w:val="20"/>
        </w:rPr>
      </w:pPr>
      <w:r w:rsidRPr="00E51985">
        <w:rPr>
          <w:rFonts w:cstheme="minorHAnsi"/>
          <w:szCs w:val="20"/>
        </w:rPr>
        <w:t xml:space="preserve">In a 2020 report, Amnesty International </w:t>
      </w:r>
      <w:proofErr w:type="spellStart"/>
      <w:r w:rsidRPr="00E51985">
        <w:rPr>
          <w:rFonts w:cstheme="minorHAnsi"/>
          <w:szCs w:val="20"/>
        </w:rPr>
        <w:t>analysed</w:t>
      </w:r>
      <w:proofErr w:type="spellEnd"/>
      <w:r w:rsidRPr="00E51985">
        <w:rPr>
          <w:rFonts w:cstheme="minorHAnsi"/>
          <w:szCs w:val="20"/>
        </w:rPr>
        <w:t xml:space="preserve"> 22 videos that depict extrajudicial executions, the mistreatment of prisoners of war and other captives, and desecration of the dead bodies of enemy soldiers by members of the Armenian and Azerbaijani armed forces.</w:t>
      </w:r>
      <w:r w:rsidRPr="00FA1680">
        <w:rPr>
          <w:rFonts w:cstheme="minorHAnsi"/>
          <w:szCs w:val="20"/>
          <w:vertAlign w:val="superscript"/>
          <w:lang w:val="fr-FR"/>
        </w:rPr>
        <w:footnoteReference w:id="48"/>
      </w:r>
      <w:r w:rsidRPr="00E51985">
        <w:rPr>
          <w:rFonts w:cstheme="minorHAnsi"/>
          <w:szCs w:val="20"/>
        </w:rPr>
        <w:t xml:space="preserve"> Two verified videos show decapitations by Azerbaijani military members. Amnesty International also examined and verified 11 videos showing inhuman treatment by Armenian forces. Armenian soldiers are seen cutting the ear off a dead Azerbaijani soldier, dragging a dead Azerbaijani soldier across the ground by a rope tied around his feet, and standing on the corpse of a dead Azerbaijani soldier. In other videos, Azerbaijani soldiers are seen humiliating and ill-treating Armenian prisoners. </w:t>
      </w:r>
    </w:p>
    <w:p w14:paraId="6F7040DF" w14:textId="77777777" w:rsidR="00E51985" w:rsidRDefault="00E51985" w:rsidP="00B4730D">
      <w:pPr>
        <w:pStyle w:val="ListParagraph"/>
        <w:spacing w:after="0"/>
        <w:rPr>
          <w:rFonts w:cstheme="minorHAnsi"/>
          <w:szCs w:val="20"/>
        </w:rPr>
      </w:pPr>
    </w:p>
    <w:p w14:paraId="680E85B8" w14:textId="77777777" w:rsidR="00E51985" w:rsidRDefault="00FA1680" w:rsidP="00B4730D">
      <w:pPr>
        <w:numPr>
          <w:ilvl w:val="0"/>
          <w:numId w:val="2"/>
        </w:numPr>
        <w:autoSpaceDE w:val="0"/>
        <w:autoSpaceDN w:val="0"/>
        <w:adjustRightInd w:val="0"/>
        <w:spacing w:after="0" w:line="240" w:lineRule="auto"/>
        <w:ind w:left="709"/>
        <w:jc w:val="both"/>
        <w:rPr>
          <w:rFonts w:cstheme="minorHAnsi"/>
          <w:szCs w:val="20"/>
        </w:rPr>
      </w:pPr>
      <w:r w:rsidRPr="00E51985">
        <w:rPr>
          <w:rFonts w:cstheme="minorHAnsi"/>
          <w:szCs w:val="20"/>
        </w:rPr>
        <w:t xml:space="preserve">According to information released by the Prosecutor General’s Office of Azerbaijan, all videos of alleged abuses by Azerbaijani armed forces were </w:t>
      </w:r>
      <w:proofErr w:type="spellStart"/>
      <w:r w:rsidRPr="00E51985">
        <w:rPr>
          <w:rFonts w:cstheme="minorHAnsi"/>
          <w:szCs w:val="20"/>
        </w:rPr>
        <w:t>analysed</w:t>
      </w:r>
      <w:proofErr w:type="spellEnd"/>
      <w:r w:rsidRPr="00E51985">
        <w:rPr>
          <w:rFonts w:cstheme="minorHAnsi"/>
          <w:szCs w:val="20"/>
        </w:rPr>
        <w:t xml:space="preserve"> and studied by the Prosecutor General’s Office and the Military Prosecution Office of Azerbaijan.</w:t>
      </w:r>
      <w:r w:rsidRPr="00FA1680">
        <w:rPr>
          <w:rFonts w:cstheme="minorHAnsi"/>
          <w:szCs w:val="20"/>
          <w:vertAlign w:val="superscript"/>
          <w:lang w:val="fr-FR"/>
        </w:rPr>
        <w:footnoteReference w:id="49"/>
      </w:r>
      <w:r w:rsidRPr="00E51985">
        <w:rPr>
          <w:rFonts w:cstheme="minorHAnsi"/>
          <w:szCs w:val="20"/>
        </w:rPr>
        <w:t xml:space="preserve"> They concluded that most of these videos were fake. At the same time, the Prosecutor General’s Office launched criminal proceedings against four Azerbaijani servicemen for desecration of graves and outrages against dead bodies.</w:t>
      </w:r>
      <w:r w:rsidRPr="00FA1680">
        <w:rPr>
          <w:rFonts w:cstheme="minorHAnsi"/>
          <w:szCs w:val="20"/>
          <w:vertAlign w:val="superscript"/>
        </w:rPr>
        <w:footnoteReference w:id="50"/>
      </w:r>
      <w:r w:rsidRPr="00E51985">
        <w:rPr>
          <w:rFonts w:cstheme="minorHAnsi"/>
          <w:szCs w:val="20"/>
        </w:rPr>
        <w:t xml:space="preserve"> To date, there is however no indication that any of the other incidents documented above have been independently, promptly, </w:t>
      </w:r>
      <w:proofErr w:type="gramStart"/>
      <w:r w:rsidRPr="00E51985">
        <w:rPr>
          <w:rFonts w:cstheme="minorHAnsi"/>
          <w:szCs w:val="20"/>
        </w:rPr>
        <w:t>publicly</w:t>
      </w:r>
      <w:proofErr w:type="gramEnd"/>
      <w:r w:rsidRPr="00E51985">
        <w:rPr>
          <w:rFonts w:cstheme="minorHAnsi"/>
          <w:szCs w:val="20"/>
        </w:rPr>
        <w:t xml:space="preserve"> and effectively investigated by the relevant authorities. There is also no information about any investigations or prosecutions by Armenian authorities in relation to those allegations. </w:t>
      </w:r>
      <w:r w:rsidR="0038468A" w:rsidRPr="00E51985">
        <w:rPr>
          <w:rFonts w:cstheme="minorHAnsi"/>
          <w:szCs w:val="20"/>
        </w:rPr>
        <w:t xml:space="preserve">The Commissioner would be grateful to receive </w:t>
      </w:r>
      <w:r w:rsidR="00A838F5" w:rsidRPr="00E51985">
        <w:rPr>
          <w:rFonts w:cstheme="minorHAnsi"/>
          <w:szCs w:val="20"/>
        </w:rPr>
        <w:t xml:space="preserve">further </w:t>
      </w:r>
      <w:r w:rsidR="0038468A" w:rsidRPr="00E51985">
        <w:rPr>
          <w:rFonts w:cstheme="minorHAnsi"/>
          <w:szCs w:val="20"/>
        </w:rPr>
        <w:t>information from the authorities</w:t>
      </w:r>
      <w:r w:rsidR="00A838F5" w:rsidRPr="00E51985">
        <w:rPr>
          <w:rFonts w:cstheme="minorHAnsi"/>
          <w:szCs w:val="20"/>
        </w:rPr>
        <w:t xml:space="preserve"> </w:t>
      </w:r>
      <w:r w:rsidR="0038468A" w:rsidRPr="00E51985">
        <w:rPr>
          <w:rFonts w:cstheme="minorHAnsi"/>
          <w:szCs w:val="20"/>
        </w:rPr>
        <w:t xml:space="preserve">about steps taken </w:t>
      </w:r>
      <w:r w:rsidR="00A838F5" w:rsidRPr="00E51985">
        <w:rPr>
          <w:rFonts w:cstheme="minorHAnsi"/>
          <w:szCs w:val="20"/>
        </w:rPr>
        <w:t>to investigate allegations of serious human rights violations committed by their own nationals and invites the Ombudsman institutions to follow closely this issue in their respective countries.</w:t>
      </w:r>
      <w:r w:rsidR="0038468A" w:rsidRPr="00E51985">
        <w:rPr>
          <w:rFonts w:cstheme="minorHAnsi"/>
          <w:szCs w:val="20"/>
        </w:rPr>
        <w:t xml:space="preserve"> </w:t>
      </w:r>
    </w:p>
    <w:p w14:paraId="102CDB48" w14:textId="4A4B7336" w:rsidR="00E51985" w:rsidRDefault="00E51985" w:rsidP="00B4730D">
      <w:pPr>
        <w:pStyle w:val="ListParagraph"/>
        <w:spacing w:after="0"/>
        <w:rPr>
          <w:rFonts w:cstheme="minorHAnsi"/>
          <w:szCs w:val="20"/>
        </w:rPr>
      </w:pPr>
    </w:p>
    <w:p w14:paraId="4B8FCD5C" w14:textId="66C62E17" w:rsidR="009B38F2" w:rsidRDefault="009B38F2" w:rsidP="00B4730D">
      <w:pPr>
        <w:pStyle w:val="ListParagraph"/>
        <w:spacing w:after="0"/>
        <w:rPr>
          <w:rFonts w:cstheme="minorHAnsi"/>
          <w:szCs w:val="20"/>
        </w:rPr>
      </w:pPr>
    </w:p>
    <w:p w14:paraId="5BE3293B" w14:textId="77777777" w:rsidR="009B38F2" w:rsidRDefault="009B38F2" w:rsidP="00B4730D">
      <w:pPr>
        <w:pStyle w:val="ListParagraph"/>
        <w:spacing w:after="0"/>
        <w:rPr>
          <w:rFonts w:cstheme="minorHAnsi"/>
          <w:szCs w:val="20"/>
        </w:rPr>
      </w:pPr>
    </w:p>
    <w:p w14:paraId="0B2A77A8" w14:textId="77777777" w:rsidR="00E51985" w:rsidRDefault="00FA1680" w:rsidP="00B4730D">
      <w:pPr>
        <w:numPr>
          <w:ilvl w:val="0"/>
          <w:numId w:val="2"/>
        </w:numPr>
        <w:autoSpaceDE w:val="0"/>
        <w:autoSpaceDN w:val="0"/>
        <w:adjustRightInd w:val="0"/>
        <w:spacing w:after="0" w:line="240" w:lineRule="auto"/>
        <w:ind w:left="709"/>
        <w:jc w:val="both"/>
        <w:rPr>
          <w:rFonts w:cstheme="minorHAnsi"/>
          <w:szCs w:val="20"/>
        </w:rPr>
      </w:pPr>
      <w:r w:rsidRPr="00E51985">
        <w:rPr>
          <w:rFonts w:cstheme="minorHAnsi"/>
          <w:szCs w:val="20"/>
        </w:rPr>
        <w:lastRenderedPageBreak/>
        <w:t xml:space="preserve">The Commissioner </w:t>
      </w:r>
      <w:proofErr w:type="spellStart"/>
      <w:r w:rsidRPr="00E51985">
        <w:rPr>
          <w:rFonts w:cstheme="minorHAnsi"/>
          <w:szCs w:val="20"/>
        </w:rPr>
        <w:t>emphasises</w:t>
      </w:r>
      <w:proofErr w:type="spellEnd"/>
      <w:r w:rsidRPr="00E51985">
        <w:rPr>
          <w:rFonts w:cstheme="minorHAnsi"/>
          <w:szCs w:val="20"/>
        </w:rPr>
        <w:t xml:space="preserve"> that states have the legal obligation under international humanitarian law and the European Convention on Human Rights to hold those responsible for war crimes and serious human rights violations accountable. This should involve </w:t>
      </w:r>
      <w:r w:rsidRPr="00E51985">
        <w:rPr>
          <w:rFonts w:cstheme="minorHAnsi"/>
          <w:szCs w:val="20"/>
          <w:lang w:val="en-GB"/>
        </w:rPr>
        <w:t xml:space="preserve">not only low-level perpetrators but also </w:t>
      </w:r>
      <w:r w:rsidRPr="00E51985">
        <w:rPr>
          <w:rFonts w:cstheme="minorHAnsi"/>
          <w:szCs w:val="20"/>
        </w:rPr>
        <w:t xml:space="preserve">their commanders. Impunity for </w:t>
      </w:r>
      <w:r w:rsidR="00D44E2C" w:rsidRPr="00E51985">
        <w:rPr>
          <w:rFonts w:cstheme="minorHAnsi"/>
          <w:szCs w:val="20"/>
        </w:rPr>
        <w:t xml:space="preserve">serious </w:t>
      </w:r>
      <w:r w:rsidRPr="00E51985">
        <w:rPr>
          <w:rFonts w:cstheme="minorHAnsi"/>
          <w:szCs w:val="20"/>
        </w:rPr>
        <w:t xml:space="preserve">human rights violations is a major impediment to building lasting peace and reconciliation. Furthermore, the Commissioner observes a pattern displayed on both sides of the conflict consisting in attributing responsibility for any past or on-going human rights abuses to the opposite side. </w:t>
      </w:r>
      <w:r w:rsidR="006C692B" w:rsidRPr="00E51985">
        <w:rPr>
          <w:rFonts w:cstheme="minorHAnsi"/>
          <w:szCs w:val="20"/>
        </w:rPr>
        <w:t xml:space="preserve">The Commissioner has also repeatedly stressed the need to </w:t>
      </w:r>
      <w:r w:rsidR="00887292" w:rsidRPr="00E51985">
        <w:rPr>
          <w:rFonts w:cstheme="minorHAnsi"/>
          <w:szCs w:val="20"/>
        </w:rPr>
        <w:t xml:space="preserve">address shortcomings and </w:t>
      </w:r>
      <w:r w:rsidR="006C692B" w:rsidRPr="00E51985">
        <w:rPr>
          <w:rFonts w:cstheme="minorHAnsi"/>
          <w:szCs w:val="20"/>
        </w:rPr>
        <w:t>ensure a genuinely independent and impartial review by the judiciary</w:t>
      </w:r>
      <w:r w:rsidR="00887292" w:rsidRPr="00E51985">
        <w:rPr>
          <w:rFonts w:cstheme="minorHAnsi"/>
          <w:szCs w:val="20"/>
        </w:rPr>
        <w:t xml:space="preserve"> in Armenia and Azerbaijan</w:t>
      </w:r>
      <w:r w:rsidR="006C692B" w:rsidRPr="00E51985">
        <w:rPr>
          <w:rFonts w:cstheme="minorHAnsi"/>
          <w:szCs w:val="20"/>
        </w:rPr>
        <w:t xml:space="preserve"> of complex violations of human rights</w:t>
      </w:r>
      <w:r w:rsidRPr="00E51985">
        <w:rPr>
          <w:rFonts w:cstheme="minorHAnsi"/>
          <w:szCs w:val="20"/>
        </w:rPr>
        <w:t xml:space="preserve">. In this context, she believes that further steps should be taken to establish individual legal responsibility for the serious abuses committed. This should be done through an independent and credible process. </w:t>
      </w:r>
    </w:p>
    <w:p w14:paraId="773D216C" w14:textId="77777777" w:rsidR="00E51985" w:rsidRDefault="00E51985" w:rsidP="00B4730D">
      <w:pPr>
        <w:pStyle w:val="ListParagraph"/>
        <w:spacing w:after="0"/>
        <w:rPr>
          <w:rFonts w:cstheme="minorHAnsi"/>
          <w:szCs w:val="20"/>
        </w:rPr>
      </w:pPr>
    </w:p>
    <w:p w14:paraId="4BA9777A" w14:textId="3F595B83" w:rsidR="00E51985" w:rsidRPr="00E51985" w:rsidRDefault="00FA1680" w:rsidP="00B4730D">
      <w:pPr>
        <w:numPr>
          <w:ilvl w:val="0"/>
          <w:numId w:val="2"/>
        </w:numPr>
        <w:autoSpaceDE w:val="0"/>
        <w:autoSpaceDN w:val="0"/>
        <w:adjustRightInd w:val="0"/>
        <w:spacing w:after="0" w:line="240" w:lineRule="auto"/>
        <w:ind w:left="709"/>
        <w:jc w:val="both"/>
        <w:rPr>
          <w:rFonts w:cstheme="minorHAnsi"/>
          <w:szCs w:val="20"/>
        </w:rPr>
      </w:pPr>
      <w:r w:rsidRPr="00E51985">
        <w:rPr>
          <w:rFonts w:cstheme="minorHAnsi"/>
          <w:szCs w:val="20"/>
        </w:rPr>
        <w:t xml:space="preserve">As regards any investigations </w:t>
      </w:r>
      <w:r w:rsidR="007D14B7" w:rsidRPr="00E51985">
        <w:rPr>
          <w:rFonts w:cstheme="minorHAnsi"/>
          <w:szCs w:val="20"/>
        </w:rPr>
        <w:t xml:space="preserve">at the domestic level </w:t>
      </w:r>
      <w:r w:rsidRPr="00E51985">
        <w:rPr>
          <w:rFonts w:cstheme="minorHAnsi"/>
          <w:szCs w:val="20"/>
        </w:rPr>
        <w:t xml:space="preserve">into the cases of serious human rights violations, including the right to life and the right not to be subjected to </w:t>
      </w:r>
      <w:r w:rsidR="001118C1" w:rsidRPr="00E51985">
        <w:rPr>
          <w:rFonts w:cstheme="minorHAnsi"/>
          <w:szCs w:val="20"/>
        </w:rPr>
        <w:t xml:space="preserve">torture or </w:t>
      </w:r>
      <w:r w:rsidRPr="00E51985">
        <w:rPr>
          <w:rFonts w:cstheme="minorHAnsi"/>
          <w:szCs w:val="20"/>
        </w:rPr>
        <w:t>inhuman and degrading treatment, they should comply with the general principles established in the case-law of the European Court of Human Rights: first and foremost, independence</w:t>
      </w:r>
      <w:r w:rsidR="0004078A" w:rsidRPr="00E51985">
        <w:rPr>
          <w:rFonts w:cstheme="minorHAnsi"/>
          <w:szCs w:val="20"/>
        </w:rPr>
        <w:t xml:space="preserve"> should be ensured.</w:t>
      </w:r>
      <w:r w:rsidRPr="00E51985">
        <w:rPr>
          <w:rFonts w:cstheme="minorHAnsi"/>
          <w:szCs w:val="20"/>
        </w:rPr>
        <w:t xml:space="preserve"> Furthermore, investigations must be thorough, and all reasonable steps must be taken to secure evidence concerning the incidents in question, including identifying and interviewing the alleged suspects and eyewitnesses. The investigation must be comprehensive and seek to shed light on all significant events and circumstances related to the case. It must also be capable of leading to the identification and punishment of those responsible. Investigations must also be conducted in a prompt and reasonably expeditious manner, without unjustifiable delays. In addition, there should be sufficient public scrutiny of the investigation, and in all cases, the victim or the victim’s survivor(s) must be involved in the procedure to the extent necessary to safeguard their interest. These obligations are reiterated in the Council of Europe </w:t>
      </w:r>
      <w:r w:rsidR="00A964C8" w:rsidRPr="00981C3A">
        <w:t>Guidelines on Eradicating Impunity for serious human rights violations</w:t>
      </w:r>
      <w:r w:rsidR="00981C3A">
        <w:t>.</w:t>
      </w:r>
      <w:r w:rsidR="00A964C8">
        <w:rPr>
          <w:rStyle w:val="FootnoteReference"/>
          <w:rFonts w:cstheme="minorHAnsi"/>
          <w:szCs w:val="20"/>
        </w:rPr>
        <w:footnoteReference w:id="51"/>
      </w:r>
      <w:r w:rsidR="00981C3A">
        <w:t xml:space="preserve"> </w:t>
      </w:r>
    </w:p>
    <w:p w14:paraId="62188269" w14:textId="77777777" w:rsidR="00E51985" w:rsidRDefault="00E51985" w:rsidP="00B4730D">
      <w:pPr>
        <w:autoSpaceDE w:val="0"/>
        <w:autoSpaceDN w:val="0"/>
        <w:adjustRightInd w:val="0"/>
        <w:spacing w:after="0" w:line="240" w:lineRule="auto"/>
        <w:ind w:left="709"/>
        <w:jc w:val="both"/>
        <w:rPr>
          <w:rFonts w:cstheme="minorHAnsi"/>
          <w:szCs w:val="20"/>
        </w:rPr>
      </w:pPr>
    </w:p>
    <w:p w14:paraId="3FD53219" w14:textId="77777777" w:rsidR="00E51985" w:rsidRDefault="00FA1680" w:rsidP="00B4730D">
      <w:pPr>
        <w:numPr>
          <w:ilvl w:val="0"/>
          <w:numId w:val="2"/>
        </w:numPr>
        <w:autoSpaceDE w:val="0"/>
        <w:autoSpaceDN w:val="0"/>
        <w:adjustRightInd w:val="0"/>
        <w:spacing w:after="0" w:line="240" w:lineRule="auto"/>
        <w:ind w:left="709"/>
        <w:jc w:val="both"/>
        <w:rPr>
          <w:rFonts w:cstheme="minorHAnsi"/>
          <w:szCs w:val="20"/>
        </w:rPr>
      </w:pPr>
      <w:r w:rsidRPr="00E51985">
        <w:rPr>
          <w:rFonts w:cstheme="minorHAnsi"/>
          <w:szCs w:val="20"/>
        </w:rPr>
        <w:t>The Commissioner notes that Azerbaijan and Armenia lodged inter-State applications before the European Court of Human Rights</w:t>
      </w:r>
      <w:r w:rsidRPr="00FA1680">
        <w:rPr>
          <w:rFonts w:cstheme="minorHAnsi"/>
          <w:szCs w:val="20"/>
          <w:vertAlign w:val="superscript"/>
        </w:rPr>
        <w:footnoteReference w:id="52"/>
      </w:r>
      <w:r w:rsidRPr="00E51985">
        <w:rPr>
          <w:rFonts w:cstheme="minorHAnsi"/>
          <w:szCs w:val="20"/>
        </w:rPr>
        <w:t xml:space="preserve"> containing allegations of widespread violations of the </w:t>
      </w:r>
      <w:r w:rsidR="007E61C5" w:rsidRPr="00E51985">
        <w:rPr>
          <w:rFonts w:cstheme="minorHAnsi"/>
          <w:szCs w:val="20"/>
        </w:rPr>
        <w:t>ECHR</w:t>
      </w:r>
      <w:r w:rsidRPr="00E51985">
        <w:rPr>
          <w:rFonts w:cstheme="minorHAnsi"/>
          <w:szCs w:val="20"/>
        </w:rPr>
        <w:t xml:space="preserve">, including executions, ill-treatment and mutilations of combatants and civilians. They have also instituted proceedings before the International Court of Justice </w:t>
      </w:r>
      <w:proofErr w:type="gramStart"/>
      <w:r w:rsidRPr="00E51985">
        <w:rPr>
          <w:rFonts w:cstheme="minorHAnsi"/>
          <w:szCs w:val="20"/>
        </w:rPr>
        <w:t>with regard to</w:t>
      </w:r>
      <w:proofErr w:type="gramEnd"/>
      <w:r w:rsidRPr="00E51985">
        <w:rPr>
          <w:rFonts w:cstheme="minorHAnsi"/>
          <w:szCs w:val="20"/>
        </w:rPr>
        <w:t xml:space="preserve"> alleged violations of the International Convention on the Elimination of All Forms of Racial Discrimination (CERD). </w:t>
      </w:r>
    </w:p>
    <w:p w14:paraId="70EFC393" w14:textId="77777777" w:rsidR="00E51985" w:rsidRDefault="00E51985" w:rsidP="00B4730D">
      <w:pPr>
        <w:pStyle w:val="ListParagraph"/>
        <w:spacing w:after="0"/>
        <w:rPr>
          <w:rFonts w:cstheme="minorHAnsi"/>
          <w:szCs w:val="20"/>
        </w:rPr>
      </w:pPr>
    </w:p>
    <w:p w14:paraId="214840CF" w14:textId="77777777" w:rsidR="00E51985" w:rsidRDefault="00FA1680" w:rsidP="00B4730D">
      <w:pPr>
        <w:numPr>
          <w:ilvl w:val="0"/>
          <w:numId w:val="2"/>
        </w:numPr>
        <w:autoSpaceDE w:val="0"/>
        <w:autoSpaceDN w:val="0"/>
        <w:adjustRightInd w:val="0"/>
        <w:spacing w:after="0" w:line="240" w:lineRule="auto"/>
        <w:ind w:left="709"/>
        <w:jc w:val="both"/>
        <w:rPr>
          <w:rFonts w:cstheme="minorHAnsi"/>
          <w:szCs w:val="20"/>
        </w:rPr>
      </w:pPr>
      <w:r w:rsidRPr="00E51985">
        <w:rPr>
          <w:rFonts w:cstheme="minorHAnsi"/>
          <w:szCs w:val="20"/>
        </w:rPr>
        <w:t xml:space="preserve">Armenia and Azerbaijan are not States Parties to the Rome Statute of the International Criminal Court (ICC). Armenia has signed but not ratified the Rome Statute and Azerbaijan has neither signed nor acceded to it. Article 8 of the Rome Statute defines war crimes as being grave breaches of the Geneva Conventions and other serious violations of the laws and customs of war, including willful killing, torture, injury to body or health, </w:t>
      </w:r>
      <w:proofErr w:type="gramStart"/>
      <w:r w:rsidRPr="00E51985">
        <w:rPr>
          <w:rFonts w:cstheme="minorHAnsi"/>
          <w:szCs w:val="20"/>
        </w:rPr>
        <w:t>destruction</w:t>
      </w:r>
      <w:proofErr w:type="gramEnd"/>
      <w:r w:rsidRPr="00E51985">
        <w:rPr>
          <w:rFonts w:cstheme="minorHAnsi"/>
          <w:szCs w:val="20"/>
        </w:rPr>
        <w:t xml:space="preserve"> and appropriation of property, directing attacks against a civilian population, as well as attacks against buildings dedicated to religion, art and historic monuments</w:t>
      </w:r>
      <w:r w:rsidR="005364D4">
        <w:rPr>
          <w:rStyle w:val="FootnoteReference"/>
          <w:rFonts w:cstheme="minorHAnsi"/>
          <w:szCs w:val="20"/>
        </w:rPr>
        <w:footnoteReference w:id="53"/>
      </w:r>
      <w:r w:rsidRPr="00E51985">
        <w:rPr>
          <w:rFonts w:cstheme="minorHAnsi"/>
          <w:szCs w:val="20"/>
        </w:rPr>
        <w:t xml:space="preserve"> that are not used for military purposes, and wounding or killing a prisoner of war.</w:t>
      </w:r>
      <w:r w:rsidR="00887292" w:rsidRPr="00E51985">
        <w:rPr>
          <w:rFonts w:cstheme="minorHAnsi"/>
          <w:szCs w:val="20"/>
        </w:rPr>
        <w:t xml:space="preserve"> </w:t>
      </w:r>
    </w:p>
    <w:p w14:paraId="6BEB1884" w14:textId="77777777" w:rsidR="00E51985" w:rsidRDefault="00E51985" w:rsidP="00B4730D">
      <w:pPr>
        <w:pStyle w:val="ListParagraph"/>
        <w:spacing w:after="0"/>
        <w:rPr>
          <w:rFonts w:cstheme="minorHAnsi"/>
          <w:szCs w:val="20"/>
        </w:rPr>
      </w:pPr>
    </w:p>
    <w:p w14:paraId="63194153" w14:textId="12220112" w:rsidR="00E51985" w:rsidRDefault="00FA1680" w:rsidP="00B4730D">
      <w:pPr>
        <w:numPr>
          <w:ilvl w:val="0"/>
          <w:numId w:val="2"/>
        </w:numPr>
        <w:autoSpaceDE w:val="0"/>
        <w:autoSpaceDN w:val="0"/>
        <w:adjustRightInd w:val="0"/>
        <w:spacing w:after="0" w:line="240" w:lineRule="auto"/>
        <w:ind w:left="709"/>
        <w:jc w:val="both"/>
        <w:rPr>
          <w:rFonts w:cstheme="minorHAnsi"/>
          <w:szCs w:val="20"/>
        </w:rPr>
      </w:pPr>
      <w:r w:rsidRPr="00E51985">
        <w:rPr>
          <w:rFonts w:cstheme="minorHAnsi"/>
          <w:szCs w:val="20"/>
        </w:rPr>
        <w:t xml:space="preserve">The ICC is complementary to national courts, meaning that it acts when national courts are unwilling or unable to </w:t>
      </w:r>
      <w:r w:rsidR="00D44E2C" w:rsidRPr="00E51985">
        <w:rPr>
          <w:rFonts w:cstheme="minorHAnsi"/>
          <w:szCs w:val="20"/>
        </w:rPr>
        <w:t>investigate and prosecute crimes under its jurisdiction</w:t>
      </w:r>
      <w:r w:rsidRPr="00E51985">
        <w:rPr>
          <w:rFonts w:cstheme="minorHAnsi"/>
          <w:szCs w:val="20"/>
        </w:rPr>
        <w:t xml:space="preserve">. </w:t>
      </w:r>
      <w:r w:rsidR="00C1662C" w:rsidRPr="00E51985">
        <w:rPr>
          <w:rFonts w:cstheme="minorHAnsi"/>
          <w:szCs w:val="20"/>
        </w:rPr>
        <w:t>T</w:t>
      </w:r>
      <w:r w:rsidRPr="00E51985">
        <w:rPr>
          <w:rFonts w:cstheme="minorHAnsi"/>
          <w:szCs w:val="20"/>
        </w:rPr>
        <w:t xml:space="preserve">he Commissioner </w:t>
      </w:r>
      <w:r w:rsidR="00A410E1" w:rsidRPr="00E51985">
        <w:rPr>
          <w:rFonts w:cstheme="minorHAnsi"/>
          <w:szCs w:val="20"/>
        </w:rPr>
        <w:t>notes</w:t>
      </w:r>
      <w:r w:rsidRPr="00E51985">
        <w:rPr>
          <w:rFonts w:cstheme="minorHAnsi"/>
          <w:szCs w:val="20"/>
        </w:rPr>
        <w:t xml:space="preserve"> that the ICC </w:t>
      </w:r>
      <w:r w:rsidR="00A410E1" w:rsidRPr="00E51985">
        <w:rPr>
          <w:rFonts w:cstheme="minorHAnsi"/>
          <w:szCs w:val="20"/>
        </w:rPr>
        <w:t xml:space="preserve">could </w:t>
      </w:r>
      <w:r w:rsidRPr="00E51985">
        <w:rPr>
          <w:rFonts w:cstheme="minorHAnsi"/>
          <w:szCs w:val="20"/>
        </w:rPr>
        <w:t xml:space="preserve">be seized </w:t>
      </w:r>
      <w:r w:rsidR="00C1662C" w:rsidRPr="00E51985">
        <w:rPr>
          <w:rFonts w:cstheme="minorHAnsi"/>
          <w:szCs w:val="20"/>
        </w:rPr>
        <w:t xml:space="preserve">through a declaration </w:t>
      </w:r>
      <w:r w:rsidRPr="00E51985">
        <w:rPr>
          <w:rFonts w:cstheme="minorHAnsi"/>
          <w:szCs w:val="20"/>
        </w:rPr>
        <w:t>under article 12.3 of the Rome St</w:t>
      </w:r>
      <w:r w:rsidR="00353F43" w:rsidRPr="00E51985">
        <w:rPr>
          <w:rFonts w:cstheme="minorHAnsi"/>
          <w:szCs w:val="20"/>
        </w:rPr>
        <w:t>atute</w:t>
      </w:r>
      <w:r w:rsidRPr="00E51985">
        <w:rPr>
          <w:rFonts w:cstheme="minorHAnsi"/>
          <w:szCs w:val="20"/>
        </w:rPr>
        <w:t xml:space="preserve">, </w:t>
      </w:r>
      <w:r w:rsidR="00353F43" w:rsidRPr="00E51985">
        <w:rPr>
          <w:rFonts w:cstheme="minorHAnsi"/>
          <w:szCs w:val="20"/>
        </w:rPr>
        <w:t xml:space="preserve">which allows non states parties </w:t>
      </w:r>
      <w:r w:rsidRPr="00E51985">
        <w:rPr>
          <w:rFonts w:cstheme="minorHAnsi"/>
          <w:szCs w:val="20"/>
        </w:rPr>
        <w:t xml:space="preserve">to accept the jurisdiction of the ICC in relation to specific incidents. Such a step would help ensure accountability for the alleged serious human rights violations committed in 2020, while providing guarantees for the legitimacy and credibility of the investigations and prosecutions. The Commissioner furthermore underscores that ratification of the Rome Statute by both countries would be a strong signal of commitment to </w:t>
      </w:r>
      <w:r w:rsidR="00C1662C" w:rsidRPr="00E51985">
        <w:rPr>
          <w:rFonts w:cstheme="minorHAnsi"/>
          <w:szCs w:val="20"/>
        </w:rPr>
        <w:t xml:space="preserve">prevent and prosecute any </w:t>
      </w:r>
      <w:r w:rsidRPr="00E51985">
        <w:rPr>
          <w:rFonts w:cstheme="minorHAnsi"/>
          <w:szCs w:val="20"/>
        </w:rPr>
        <w:t xml:space="preserve">serious human rights </w:t>
      </w:r>
      <w:r w:rsidRPr="00E51985">
        <w:rPr>
          <w:rFonts w:cstheme="minorHAnsi"/>
          <w:szCs w:val="20"/>
        </w:rPr>
        <w:lastRenderedPageBreak/>
        <w:t>violations in the future</w:t>
      </w:r>
      <w:r w:rsidR="005834F6" w:rsidRPr="00E51985">
        <w:rPr>
          <w:rFonts w:cstheme="minorHAnsi"/>
          <w:szCs w:val="20"/>
        </w:rPr>
        <w:t>.</w:t>
      </w:r>
      <w:r w:rsidRPr="00E51985">
        <w:rPr>
          <w:rFonts w:cstheme="minorHAnsi"/>
          <w:szCs w:val="20"/>
        </w:rPr>
        <w:t xml:space="preserve"> </w:t>
      </w:r>
      <w:r w:rsidR="00887292" w:rsidRPr="00E51985">
        <w:rPr>
          <w:rFonts w:cstheme="minorHAnsi"/>
          <w:szCs w:val="20"/>
        </w:rPr>
        <w:t xml:space="preserve">In the meantime, </w:t>
      </w:r>
      <w:r w:rsidR="00C1662C" w:rsidRPr="00E51985">
        <w:rPr>
          <w:rFonts w:cstheme="minorHAnsi"/>
          <w:szCs w:val="20"/>
        </w:rPr>
        <w:t xml:space="preserve">the Commissioner </w:t>
      </w:r>
      <w:r w:rsidR="008017DC" w:rsidRPr="00E51985">
        <w:rPr>
          <w:rFonts w:cstheme="minorHAnsi"/>
          <w:szCs w:val="20"/>
        </w:rPr>
        <w:t>stresses</w:t>
      </w:r>
      <w:r w:rsidR="00C1662C" w:rsidRPr="00E51985">
        <w:rPr>
          <w:rFonts w:cstheme="minorHAnsi"/>
          <w:szCs w:val="20"/>
        </w:rPr>
        <w:t xml:space="preserve"> that other tools to collect and secure evidence and testimonies about the serious human rights violations committed in 2020,</w:t>
      </w:r>
      <w:r w:rsidR="00FE39BC" w:rsidRPr="00E51985">
        <w:rPr>
          <w:rFonts w:cstheme="minorHAnsi"/>
          <w:szCs w:val="20"/>
        </w:rPr>
        <w:t xml:space="preserve"> </w:t>
      </w:r>
      <w:r w:rsidR="00887292" w:rsidRPr="00E51985">
        <w:rPr>
          <w:rFonts w:cstheme="minorHAnsi"/>
          <w:szCs w:val="20"/>
        </w:rPr>
        <w:t>such as an independent international Commission of Inquiry, could usefully be considered.</w:t>
      </w:r>
    </w:p>
    <w:p w14:paraId="5AEC0603" w14:textId="77777777" w:rsidR="00E51985" w:rsidRDefault="00E51985" w:rsidP="00B4730D">
      <w:pPr>
        <w:pStyle w:val="ListParagraph"/>
        <w:spacing w:after="0"/>
        <w:rPr>
          <w:rFonts w:cs="Arial"/>
          <w:szCs w:val="20"/>
          <w:lang w:val="en-GB"/>
        </w:rPr>
      </w:pPr>
    </w:p>
    <w:p w14:paraId="1DD6FA78" w14:textId="7AC650CC" w:rsidR="00E51985" w:rsidRPr="00E51985" w:rsidRDefault="00A85682" w:rsidP="00B4730D">
      <w:pPr>
        <w:numPr>
          <w:ilvl w:val="0"/>
          <w:numId w:val="2"/>
        </w:numPr>
        <w:autoSpaceDE w:val="0"/>
        <w:autoSpaceDN w:val="0"/>
        <w:adjustRightInd w:val="0"/>
        <w:spacing w:after="0" w:line="240" w:lineRule="auto"/>
        <w:ind w:left="709"/>
        <w:jc w:val="both"/>
        <w:rPr>
          <w:rFonts w:cstheme="minorHAnsi"/>
          <w:szCs w:val="20"/>
        </w:rPr>
      </w:pPr>
      <w:r w:rsidRPr="00E51985">
        <w:rPr>
          <w:rFonts w:cs="Arial"/>
          <w:szCs w:val="20"/>
          <w:lang w:val="en-GB"/>
        </w:rPr>
        <w:t>In addition to access to justice, a</w:t>
      </w:r>
      <w:r w:rsidR="00435D55" w:rsidRPr="00E51985">
        <w:rPr>
          <w:rFonts w:cs="Arial"/>
          <w:szCs w:val="20"/>
          <w:lang w:val="en-GB"/>
        </w:rPr>
        <w:t xml:space="preserve">ll victims of </w:t>
      </w:r>
      <w:r w:rsidRPr="00E51985">
        <w:rPr>
          <w:rFonts w:cs="Arial"/>
          <w:szCs w:val="20"/>
          <w:lang w:val="en-GB"/>
        </w:rPr>
        <w:t xml:space="preserve">serious human rights </w:t>
      </w:r>
      <w:r w:rsidR="00435D55" w:rsidRPr="00E51985">
        <w:rPr>
          <w:rFonts w:cs="Arial"/>
          <w:szCs w:val="20"/>
          <w:lang w:val="en-GB"/>
        </w:rPr>
        <w:t>violations have the right to adequate, effective and prompt reparation for the harm suffered</w:t>
      </w:r>
      <w:r w:rsidRPr="00E51985">
        <w:rPr>
          <w:rFonts w:cs="Arial"/>
          <w:szCs w:val="20"/>
          <w:lang w:val="en-GB"/>
        </w:rPr>
        <w:t>,</w:t>
      </w:r>
      <w:r w:rsidR="00435D55" w:rsidRPr="00E51985">
        <w:rPr>
          <w:rFonts w:cs="Arial"/>
          <w:szCs w:val="20"/>
          <w:lang w:val="en-GB"/>
        </w:rPr>
        <w:t xml:space="preserve"> in line with the 2005 UN Basic Principles and Guidelines on the Right to a Remedy and Reparation for Victims of Gross Violations of International Human Rights Law and Serious Violations of International Humanitarian </w:t>
      </w:r>
      <w:r w:rsidR="00435D55" w:rsidRPr="00656E93">
        <w:rPr>
          <w:rFonts w:cs="Arial"/>
          <w:szCs w:val="20"/>
          <w:lang w:val="en-GB"/>
        </w:rPr>
        <w:t>Law</w:t>
      </w:r>
      <w:r w:rsidR="0005382C">
        <w:rPr>
          <w:rFonts w:cs="Arial"/>
          <w:szCs w:val="20"/>
          <w:lang w:val="en-GB"/>
        </w:rPr>
        <w:t>.</w:t>
      </w:r>
      <w:r w:rsidR="00656E93">
        <w:rPr>
          <w:rStyle w:val="FootnoteReference"/>
          <w:rFonts w:cs="Arial"/>
          <w:szCs w:val="20"/>
          <w:lang w:val="en-GB"/>
        </w:rPr>
        <w:footnoteReference w:id="54"/>
      </w:r>
      <w:r w:rsidR="0005382C">
        <w:rPr>
          <w:rFonts w:cs="Arial"/>
          <w:szCs w:val="20"/>
          <w:lang w:val="en-GB"/>
        </w:rPr>
        <w:t xml:space="preserve"> </w:t>
      </w:r>
      <w:r w:rsidRPr="00E51985">
        <w:rPr>
          <w:rFonts w:cs="Arial"/>
          <w:szCs w:val="20"/>
          <w:lang w:val="en-GB"/>
        </w:rPr>
        <w:t xml:space="preserve">As detailed in the </w:t>
      </w:r>
      <w:r w:rsidR="00435D55" w:rsidRPr="00E51985">
        <w:rPr>
          <w:rFonts w:cs="Arial"/>
          <w:szCs w:val="20"/>
          <w:lang w:val="en-GB"/>
        </w:rPr>
        <w:t>principles</w:t>
      </w:r>
      <w:r w:rsidRPr="00E51985">
        <w:rPr>
          <w:rFonts w:cs="Arial"/>
          <w:szCs w:val="20"/>
          <w:lang w:val="en-GB"/>
        </w:rPr>
        <w:t>,</w:t>
      </w:r>
      <w:r w:rsidR="00435D55" w:rsidRPr="00E51985">
        <w:rPr>
          <w:rFonts w:cs="Arial"/>
          <w:szCs w:val="20"/>
          <w:lang w:val="en-GB"/>
        </w:rPr>
        <w:t xml:space="preserve"> </w:t>
      </w:r>
      <w:r w:rsidRPr="00E51985">
        <w:rPr>
          <w:rFonts w:cs="Arial"/>
          <w:szCs w:val="20"/>
          <w:lang w:val="en-GB"/>
        </w:rPr>
        <w:t xml:space="preserve">reparations should be proportional to the gravity of the violations and harm suffered by the victims and should include </w:t>
      </w:r>
      <w:r w:rsidR="008E4D2C" w:rsidRPr="00E51985">
        <w:rPr>
          <w:rFonts w:cs="Arial"/>
          <w:szCs w:val="20"/>
          <w:lang w:val="en-GB"/>
        </w:rPr>
        <w:t xml:space="preserve">measures to ensure </w:t>
      </w:r>
      <w:r w:rsidRPr="00E51985">
        <w:rPr>
          <w:rFonts w:cs="Arial"/>
          <w:szCs w:val="20"/>
          <w:lang w:val="en-GB"/>
        </w:rPr>
        <w:t>restitution, compensation, rehabilitation, satisfaction and guarantees of non-repetition.</w:t>
      </w:r>
    </w:p>
    <w:p w14:paraId="5B539B85" w14:textId="77777777" w:rsidR="00E51985" w:rsidRDefault="00E51985" w:rsidP="00B4730D">
      <w:pPr>
        <w:pStyle w:val="ListParagraph"/>
        <w:spacing w:after="0"/>
        <w:rPr>
          <w:rFonts w:cs="Arial"/>
          <w:szCs w:val="20"/>
          <w:lang w:val="en-GB"/>
        </w:rPr>
      </w:pPr>
    </w:p>
    <w:p w14:paraId="77D0FF60" w14:textId="1F32CC07" w:rsidR="00E51985" w:rsidRPr="00386343" w:rsidRDefault="00656E93" w:rsidP="00B4730D">
      <w:pPr>
        <w:numPr>
          <w:ilvl w:val="0"/>
          <w:numId w:val="2"/>
        </w:numPr>
        <w:autoSpaceDE w:val="0"/>
        <w:autoSpaceDN w:val="0"/>
        <w:adjustRightInd w:val="0"/>
        <w:spacing w:after="0" w:line="240" w:lineRule="auto"/>
        <w:ind w:left="709"/>
        <w:jc w:val="both"/>
        <w:rPr>
          <w:rFonts w:cstheme="minorHAnsi"/>
          <w:szCs w:val="20"/>
        </w:rPr>
      </w:pPr>
      <w:bookmarkStart w:id="16" w:name="_Hlk85553351"/>
      <w:r w:rsidRPr="00656E93">
        <w:rPr>
          <w:rFonts w:cs="Arial"/>
          <w:szCs w:val="20"/>
          <w:lang w:val="en-GB"/>
        </w:rPr>
        <w:t xml:space="preserve">The Commissioner </w:t>
      </w:r>
      <w:proofErr w:type="gramStart"/>
      <w:r w:rsidRPr="00656E93">
        <w:rPr>
          <w:rFonts w:cs="Arial"/>
          <w:szCs w:val="20"/>
          <w:lang w:val="en-GB"/>
        </w:rPr>
        <w:t>is aware of the fact that</w:t>
      </w:r>
      <w:proofErr w:type="gramEnd"/>
      <w:r w:rsidRPr="00656E93">
        <w:rPr>
          <w:rFonts w:cs="Arial"/>
          <w:szCs w:val="20"/>
          <w:lang w:val="en-GB"/>
        </w:rPr>
        <w:t xml:space="preserve"> the Armenian</w:t>
      </w:r>
      <w:r>
        <w:rPr>
          <w:rFonts w:cs="Arial"/>
          <w:szCs w:val="20"/>
          <w:lang w:val="en-GB"/>
        </w:rPr>
        <w:t xml:space="preserve"> and Azerbaijani</w:t>
      </w:r>
      <w:r w:rsidRPr="00656E93">
        <w:rPr>
          <w:rFonts w:cs="Arial"/>
          <w:szCs w:val="20"/>
          <w:lang w:val="en-GB"/>
        </w:rPr>
        <w:t xml:space="preserve"> authorities have implemented several compensation </w:t>
      </w:r>
      <w:r w:rsidRPr="00386343">
        <w:rPr>
          <w:rFonts w:cs="Arial"/>
          <w:szCs w:val="20"/>
          <w:lang w:val="en-GB"/>
        </w:rPr>
        <w:t xml:space="preserve">measures. </w:t>
      </w:r>
      <w:r w:rsidR="00A74002" w:rsidRPr="00386343">
        <w:rPr>
          <w:rFonts w:cs="Arial"/>
          <w:szCs w:val="20"/>
          <w:lang w:val="en-GB"/>
        </w:rPr>
        <w:t xml:space="preserve">This </w:t>
      </w:r>
      <w:r w:rsidRPr="00386343">
        <w:rPr>
          <w:rFonts w:cs="Arial"/>
          <w:szCs w:val="20"/>
          <w:lang w:val="en-GB"/>
        </w:rPr>
        <w:t xml:space="preserve">includes </w:t>
      </w:r>
      <w:r w:rsidR="00A74002" w:rsidRPr="00386343">
        <w:rPr>
          <w:rFonts w:cs="Arial"/>
          <w:szCs w:val="20"/>
          <w:lang w:val="en-GB"/>
        </w:rPr>
        <w:t>allowance</w:t>
      </w:r>
      <w:r w:rsidR="00386343" w:rsidRPr="00386343">
        <w:rPr>
          <w:rFonts w:cs="Arial"/>
          <w:szCs w:val="20"/>
          <w:lang w:val="en-GB"/>
        </w:rPr>
        <w:t>s</w:t>
      </w:r>
      <w:r w:rsidR="00A74002" w:rsidRPr="00386343">
        <w:rPr>
          <w:rFonts w:cs="Arial"/>
          <w:szCs w:val="20"/>
          <w:lang w:val="en-GB"/>
        </w:rPr>
        <w:t xml:space="preserve"> to </w:t>
      </w:r>
      <w:r w:rsidRPr="00386343">
        <w:rPr>
          <w:rFonts w:cs="Arial"/>
          <w:szCs w:val="20"/>
          <w:lang w:val="en-GB"/>
        </w:rPr>
        <w:t>the</w:t>
      </w:r>
      <w:r w:rsidR="00A74002" w:rsidRPr="00386343">
        <w:rPr>
          <w:rFonts w:cs="Arial"/>
          <w:szCs w:val="20"/>
          <w:lang w:val="en-GB"/>
        </w:rPr>
        <w:t xml:space="preserve"> relatives of civilian</w:t>
      </w:r>
      <w:r w:rsidRPr="00386343">
        <w:rPr>
          <w:rFonts w:cs="Arial"/>
          <w:szCs w:val="20"/>
          <w:lang w:val="en-GB"/>
        </w:rPr>
        <w:t>s</w:t>
      </w:r>
      <w:r w:rsidR="00A74002" w:rsidRPr="00386343">
        <w:rPr>
          <w:rFonts w:cs="Arial"/>
          <w:szCs w:val="20"/>
          <w:lang w:val="en-GB"/>
        </w:rPr>
        <w:t xml:space="preserve"> killed </w:t>
      </w:r>
      <w:r w:rsidRPr="00386343">
        <w:rPr>
          <w:rFonts w:cs="Arial"/>
          <w:szCs w:val="20"/>
          <w:lang w:val="en-GB"/>
        </w:rPr>
        <w:t>during</w:t>
      </w:r>
      <w:r w:rsidR="00A74002" w:rsidRPr="00386343">
        <w:rPr>
          <w:rFonts w:cs="Arial"/>
          <w:szCs w:val="20"/>
          <w:lang w:val="en-GB"/>
        </w:rPr>
        <w:t xml:space="preserve"> the hostilities </w:t>
      </w:r>
      <w:r w:rsidRPr="00386343">
        <w:rPr>
          <w:rFonts w:cs="Arial"/>
          <w:szCs w:val="20"/>
          <w:lang w:val="en-GB"/>
        </w:rPr>
        <w:t xml:space="preserve">as well as subsidies for </w:t>
      </w:r>
      <w:r w:rsidR="00A74002" w:rsidRPr="00386343">
        <w:rPr>
          <w:rFonts w:cs="Arial"/>
          <w:szCs w:val="20"/>
          <w:lang w:val="en-GB"/>
        </w:rPr>
        <w:t>those who suffered a long-term injury during the conflict</w:t>
      </w:r>
      <w:r w:rsidR="005834F6" w:rsidRPr="00386343">
        <w:rPr>
          <w:rFonts w:cs="Arial"/>
          <w:szCs w:val="20"/>
          <w:lang w:val="en-GB"/>
        </w:rPr>
        <w:t xml:space="preserve">. </w:t>
      </w:r>
    </w:p>
    <w:bookmarkEnd w:id="16"/>
    <w:p w14:paraId="27E1FE49" w14:textId="77777777" w:rsidR="00E51985" w:rsidRDefault="00E51985" w:rsidP="00B4730D">
      <w:pPr>
        <w:pStyle w:val="ListParagraph"/>
        <w:spacing w:after="0"/>
        <w:rPr>
          <w:rFonts w:cs="Arial"/>
          <w:szCs w:val="20"/>
        </w:rPr>
      </w:pPr>
    </w:p>
    <w:p w14:paraId="521A79DC" w14:textId="083BC3BE" w:rsidR="00B26089" w:rsidRPr="00E51985" w:rsidRDefault="00182A94" w:rsidP="00B4730D">
      <w:pPr>
        <w:numPr>
          <w:ilvl w:val="0"/>
          <w:numId w:val="2"/>
        </w:numPr>
        <w:autoSpaceDE w:val="0"/>
        <w:autoSpaceDN w:val="0"/>
        <w:adjustRightInd w:val="0"/>
        <w:spacing w:after="0" w:line="240" w:lineRule="auto"/>
        <w:ind w:left="709"/>
        <w:jc w:val="both"/>
        <w:rPr>
          <w:rFonts w:cstheme="minorHAnsi"/>
          <w:szCs w:val="20"/>
        </w:rPr>
      </w:pPr>
      <w:r w:rsidRPr="00E51985">
        <w:rPr>
          <w:rFonts w:cs="Arial"/>
          <w:szCs w:val="20"/>
        </w:rPr>
        <w:t xml:space="preserve">The Commissioner stresses </w:t>
      </w:r>
      <w:r w:rsidR="008E4D2C" w:rsidRPr="00E51985">
        <w:rPr>
          <w:rFonts w:cs="Arial"/>
          <w:szCs w:val="20"/>
        </w:rPr>
        <w:t xml:space="preserve">the need to put in place </w:t>
      </w:r>
      <w:r w:rsidRPr="00E51985">
        <w:rPr>
          <w:rFonts w:cs="Arial"/>
          <w:szCs w:val="20"/>
        </w:rPr>
        <w:t xml:space="preserve">effective </w:t>
      </w:r>
      <w:r w:rsidR="008E4D2C" w:rsidRPr="00E51985">
        <w:rPr>
          <w:rFonts w:cs="Arial"/>
          <w:szCs w:val="20"/>
        </w:rPr>
        <w:t xml:space="preserve">policies and </w:t>
      </w:r>
      <w:r w:rsidRPr="00E51985">
        <w:rPr>
          <w:rFonts w:cs="Arial"/>
          <w:szCs w:val="20"/>
        </w:rPr>
        <w:t xml:space="preserve">mechanisms </w:t>
      </w:r>
      <w:r w:rsidR="008E4D2C" w:rsidRPr="00E51985">
        <w:rPr>
          <w:rFonts w:cs="Arial"/>
          <w:szCs w:val="20"/>
        </w:rPr>
        <w:t>a</w:t>
      </w:r>
      <w:r w:rsidRPr="00E51985">
        <w:rPr>
          <w:rFonts w:cs="Arial"/>
          <w:szCs w:val="20"/>
        </w:rPr>
        <w:t>t the national level to ensure effective reparation</w:t>
      </w:r>
      <w:r w:rsidR="008E4D2C" w:rsidRPr="00E51985">
        <w:rPr>
          <w:rFonts w:cs="Arial"/>
          <w:szCs w:val="20"/>
        </w:rPr>
        <w:t>s</w:t>
      </w:r>
      <w:r w:rsidRPr="00E51985">
        <w:rPr>
          <w:rFonts w:cs="Arial"/>
          <w:szCs w:val="20"/>
        </w:rPr>
        <w:t xml:space="preserve"> for the victims and their families</w:t>
      </w:r>
      <w:r w:rsidR="00A74002" w:rsidRPr="00E51985">
        <w:rPr>
          <w:rFonts w:cs="Arial"/>
          <w:szCs w:val="20"/>
        </w:rPr>
        <w:t>, developed in consultation with them</w:t>
      </w:r>
      <w:r w:rsidRPr="00E51985">
        <w:rPr>
          <w:rFonts w:cs="Arial"/>
          <w:szCs w:val="20"/>
        </w:rPr>
        <w:t xml:space="preserve">. This should include </w:t>
      </w:r>
      <w:r w:rsidRPr="00E51985">
        <w:rPr>
          <w:rFonts w:cs="Arial"/>
          <w:szCs w:val="20"/>
          <w:lang w:val="en-GB"/>
        </w:rPr>
        <w:t>programmes of assistance to survivors of serious human rights violations, including ill-treatment, and their families, striving to ensure their rehabilitation to the highest extent possible.</w:t>
      </w:r>
      <w:r w:rsidRPr="00E51985">
        <w:rPr>
          <w:rFonts w:cs="Arial"/>
          <w:szCs w:val="20"/>
        </w:rPr>
        <w:t xml:space="preserve"> </w:t>
      </w:r>
    </w:p>
    <w:p w14:paraId="6F41F19A" w14:textId="77777777" w:rsidR="00CB3B0B" w:rsidRPr="005834F6" w:rsidRDefault="00CB3B0B" w:rsidP="005834F6">
      <w:pPr>
        <w:autoSpaceDE w:val="0"/>
        <w:autoSpaceDN w:val="0"/>
        <w:adjustRightInd w:val="0"/>
        <w:spacing w:after="0" w:line="240" w:lineRule="auto"/>
        <w:jc w:val="both"/>
        <w:rPr>
          <w:rFonts w:cs="Arial"/>
          <w:szCs w:val="20"/>
        </w:rPr>
      </w:pPr>
    </w:p>
    <w:p w14:paraId="4FDE8905" w14:textId="77777777" w:rsidR="00CB3B0B" w:rsidRPr="00CB3B0B" w:rsidRDefault="00CB3B0B" w:rsidP="00CB3B0B">
      <w:pPr>
        <w:pStyle w:val="ListParagraph"/>
        <w:numPr>
          <w:ilvl w:val="0"/>
          <w:numId w:val="19"/>
        </w:numPr>
        <w:autoSpaceDE w:val="0"/>
        <w:autoSpaceDN w:val="0"/>
        <w:adjustRightInd w:val="0"/>
        <w:spacing w:after="0" w:line="240" w:lineRule="auto"/>
        <w:ind w:left="1134" w:hanging="425"/>
        <w:contextualSpacing w:val="0"/>
        <w:jc w:val="both"/>
        <w:rPr>
          <w:rFonts w:cstheme="minorHAnsi"/>
          <w:b/>
          <w:bCs/>
          <w:szCs w:val="20"/>
        </w:rPr>
      </w:pPr>
      <w:r w:rsidRPr="00CB3B0B">
        <w:rPr>
          <w:rFonts w:cstheme="minorHAnsi"/>
          <w:b/>
          <w:bCs/>
          <w:szCs w:val="20"/>
          <w:lang w:val="en-GB"/>
        </w:rPr>
        <w:t xml:space="preserve">Indiscriminate attacks and the right to life </w:t>
      </w:r>
    </w:p>
    <w:p w14:paraId="273B6A32" w14:textId="529C196F" w:rsidR="00CB3B0B" w:rsidRPr="00CB3B0B" w:rsidRDefault="00E81162" w:rsidP="00CB3B0B">
      <w:pPr>
        <w:autoSpaceDE w:val="0"/>
        <w:autoSpaceDN w:val="0"/>
        <w:adjustRightInd w:val="0"/>
        <w:spacing w:after="0" w:line="240" w:lineRule="auto"/>
        <w:jc w:val="both"/>
        <w:rPr>
          <w:rFonts w:cstheme="minorHAnsi"/>
          <w:szCs w:val="20"/>
        </w:rPr>
      </w:pPr>
      <w:r w:rsidRPr="00023E6A">
        <w:rPr>
          <w:rFonts w:asciiTheme="minorHAnsi" w:hAnsiTheme="minorHAnsi" w:cstheme="minorHAnsi"/>
          <w:b/>
          <w:bCs/>
          <w:noProof/>
          <w:color w:val="1F497D" w:themeColor="text2"/>
          <w:szCs w:val="20"/>
        </w:rPr>
        <mc:AlternateContent>
          <mc:Choice Requires="wps">
            <w:drawing>
              <wp:anchor distT="0" distB="0" distL="114300" distR="114300" simplePos="0" relativeHeight="251671552" behindDoc="0" locked="0" layoutInCell="1" allowOverlap="1" wp14:anchorId="06980229" wp14:editId="0AE04D74">
                <wp:simplePos x="0" y="0"/>
                <wp:positionH relativeFrom="column">
                  <wp:posOffset>346308</wp:posOffset>
                </wp:positionH>
                <wp:positionV relativeFrom="paragraph">
                  <wp:posOffset>108956</wp:posOffset>
                </wp:positionV>
                <wp:extent cx="5753100" cy="690704"/>
                <wp:effectExtent l="38100" t="38100" r="95250" b="90805"/>
                <wp:wrapNone/>
                <wp:docPr id="9" name="Zone de texte 6"/>
                <wp:cNvGraphicFramePr/>
                <a:graphic xmlns:a="http://schemas.openxmlformats.org/drawingml/2006/main">
                  <a:graphicData uri="http://schemas.microsoft.com/office/word/2010/wordprocessingShape">
                    <wps:wsp>
                      <wps:cNvSpPr txBox="1"/>
                      <wps:spPr>
                        <a:xfrm>
                          <a:off x="0" y="0"/>
                          <a:ext cx="5753100" cy="690704"/>
                        </a:xfrm>
                        <a:prstGeom prst="rect">
                          <a:avLst/>
                        </a:prstGeom>
                        <a:solidFill>
                          <a:srgbClr val="F9F0DB"/>
                        </a:solidFill>
                        <a:ln w="6350">
                          <a:noFill/>
                        </a:ln>
                        <a:effectLst>
                          <a:outerShdw blurRad="50800" dist="38100" dir="2700000" algn="tl" rotWithShape="0">
                            <a:prstClr val="black">
                              <a:alpha val="40000"/>
                            </a:prstClr>
                          </a:outerShdw>
                        </a:effectLst>
                      </wps:spPr>
                      <wps:txbx>
                        <w:txbxContent>
                          <w:p w14:paraId="7C995501" w14:textId="3DDB87B4" w:rsidR="009269CA" w:rsidRPr="00E51985" w:rsidRDefault="009269CA" w:rsidP="00023E6A">
                            <w:pPr>
                              <w:autoSpaceDE w:val="0"/>
                              <w:autoSpaceDN w:val="0"/>
                              <w:adjustRightInd w:val="0"/>
                              <w:spacing w:after="0" w:line="240" w:lineRule="auto"/>
                              <w:jc w:val="both"/>
                              <w:rPr>
                                <w:rFonts w:cstheme="minorHAnsi"/>
                                <w:b/>
                                <w:bCs/>
                                <w:szCs w:val="20"/>
                                <w:lang w:val="en-GB"/>
                              </w:rPr>
                            </w:pPr>
                            <w:r w:rsidRPr="00E51985">
                              <w:rPr>
                                <w:rFonts w:cstheme="minorHAnsi"/>
                                <w:b/>
                                <w:bCs/>
                                <w:szCs w:val="20"/>
                                <w:lang w:val="en-GB"/>
                              </w:rPr>
                              <w:t xml:space="preserve">Recommendation no. 7: </w:t>
                            </w:r>
                          </w:p>
                          <w:p w14:paraId="0356E012" w14:textId="1F33B8FD" w:rsidR="009269CA" w:rsidRPr="00023E6A" w:rsidRDefault="009269CA" w:rsidP="00023E6A">
                            <w:pPr>
                              <w:autoSpaceDE w:val="0"/>
                              <w:autoSpaceDN w:val="0"/>
                              <w:adjustRightInd w:val="0"/>
                              <w:spacing w:after="0" w:line="240" w:lineRule="auto"/>
                              <w:jc w:val="both"/>
                              <w:rPr>
                                <w:rFonts w:cstheme="minorHAnsi"/>
                                <w:szCs w:val="20"/>
                              </w:rPr>
                            </w:pPr>
                            <w:r w:rsidRPr="00E81162">
                              <w:rPr>
                                <w:rFonts w:cstheme="minorHAnsi"/>
                                <w:szCs w:val="20"/>
                              </w:rPr>
                              <w:t>To renounce the use of cluster munitions and to ensure effective investigations into violations of international humanitarian law, such as indiscriminate and/or disproportionate attacks, identify and bring those responsible to account, and provide adequate and effective reparation to the victims</w:t>
                            </w:r>
                            <w:r>
                              <w:rPr>
                                <w:rFonts w:cstheme="minorHAnsi"/>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80229" id="_x0000_s1032" type="#_x0000_t202" style="position:absolute;left:0;text-align:left;margin-left:27.25pt;margin-top:8.6pt;width:453pt;height:5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" fillcolor="#f9f0db" stroked="f" strokeweight=".5pt">
                <v:shadow on="t" color="black" opacity="26214f" origin="-.5,-.5" offset=".74836mm,.74836mm"/>
                <v:textbox>
                  <w:txbxContent>
                    <w:p w14:paraId="7C995501" w14:textId="3DDB87B4" w:rsidR="009269CA" w:rsidRPr="00E51985" w:rsidRDefault="009269CA" w:rsidP="00023E6A">
                      <w:pPr>
                        <w:autoSpaceDE w:val="0"/>
                        <w:autoSpaceDN w:val="0"/>
                        <w:adjustRightInd w:val="0"/>
                        <w:spacing w:after="0" w:line="240" w:lineRule="auto"/>
                        <w:jc w:val="both"/>
                        <w:rPr>
                          <w:rFonts w:cstheme="minorHAnsi"/>
                          <w:b/>
                          <w:bCs/>
                          <w:szCs w:val="20"/>
                          <w:lang w:val="en-GB"/>
                        </w:rPr>
                      </w:pPr>
                      <w:r w:rsidRPr="00E51985">
                        <w:rPr>
                          <w:rFonts w:cstheme="minorHAnsi"/>
                          <w:b/>
                          <w:bCs/>
                          <w:szCs w:val="20"/>
                          <w:lang w:val="en-GB"/>
                        </w:rPr>
                        <w:t xml:space="preserve">Recommendation no. 7: </w:t>
                      </w:r>
                    </w:p>
                    <w:p w14:paraId="0356E012" w14:textId="1F33B8FD" w:rsidR="009269CA" w:rsidRPr="00023E6A" w:rsidRDefault="009269CA" w:rsidP="00023E6A">
                      <w:pPr>
                        <w:autoSpaceDE w:val="0"/>
                        <w:autoSpaceDN w:val="0"/>
                        <w:adjustRightInd w:val="0"/>
                        <w:spacing w:after="0" w:line="240" w:lineRule="auto"/>
                        <w:jc w:val="both"/>
                        <w:rPr>
                          <w:rFonts w:cstheme="minorHAnsi"/>
                          <w:szCs w:val="20"/>
                        </w:rPr>
                      </w:pPr>
                      <w:r w:rsidRPr="00E81162">
                        <w:rPr>
                          <w:rFonts w:cstheme="minorHAnsi"/>
                          <w:szCs w:val="20"/>
                        </w:rPr>
                        <w:t>To renounce the use of cluster munitions and to ensure effective investigations into violations of international humanitarian law, such as indiscriminate and/or disproportionate attacks, identify and bring those responsible to account, and provide adequate and effective reparation to the victims</w:t>
                      </w:r>
                      <w:r>
                        <w:rPr>
                          <w:rFonts w:cstheme="minorHAnsi"/>
                          <w:szCs w:val="20"/>
                        </w:rPr>
                        <w:t>.</w:t>
                      </w:r>
                    </w:p>
                  </w:txbxContent>
                </v:textbox>
              </v:shape>
            </w:pict>
          </mc:Fallback>
        </mc:AlternateContent>
      </w:r>
    </w:p>
    <w:p w14:paraId="1E8D33C8" w14:textId="2EDB9944" w:rsidR="00023E6A" w:rsidRDefault="00023E6A" w:rsidP="00E51985">
      <w:pPr>
        <w:autoSpaceDE w:val="0"/>
        <w:autoSpaceDN w:val="0"/>
        <w:adjustRightInd w:val="0"/>
        <w:spacing w:after="0" w:line="240" w:lineRule="auto"/>
        <w:ind w:left="709"/>
        <w:jc w:val="both"/>
        <w:rPr>
          <w:rFonts w:cstheme="minorHAnsi"/>
          <w:b/>
          <w:bCs/>
          <w:szCs w:val="20"/>
          <w:lang w:val="en-GB"/>
        </w:rPr>
      </w:pPr>
      <w:bookmarkStart w:id="17" w:name="_Hlk84781733"/>
    </w:p>
    <w:p w14:paraId="1BCBC0EB" w14:textId="095D1284" w:rsidR="00023E6A" w:rsidRDefault="00023E6A" w:rsidP="00E51985">
      <w:pPr>
        <w:autoSpaceDE w:val="0"/>
        <w:autoSpaceDN w:val="0"/>
        <w:adjustRightInd w:val="0"/>
        <w:spacing w:after="0" w:line="240" w:lineRule="auto"/>
        <w:ind w:left="709"/>
        <w:jc w:val="both"/>
        <w:rPr>
          <w:rFonts w:cstheme="minorHAnsi"/>
          <w:b/>
          <w:bCs/>
          <w:szCs w:val="20"/>
          <w:lang w:val="en-GB"/>
        </w:rPr>
      </w:pPr>
    </w:p>
    <w:p w14:paraId="183356B2" w14:textId="77777777" w:rsidR="00023E6A" w:rsidRDefault="00023E6A" w:rsidP="00E51985">
      <w:pPr>
        <w:autoSpaceDE w:val="0"/>
        <w:autoSpaceDN w:val="0"/>
        <w:adjustRightInd w:val="0"/>
        <w:spacing w:after="0" w:line="240" w:lineRule="auto"/>
        <w:ind w:left="709"/>
        <w:jc w:val="both"/>
        <w:rPr>
          <w:rFonts w:cstheme="minorHAnsi"/>
          <w:b/>
          <w:bCs/>
          <w:szCs w:val="20"/>
          <w:lang w:val="en-GB"/>
        </w:rPr>
      </w:pPr>
    </w:p>
    <w:p w14:paraId="64357CAD" w14:textId="77777777" w:rsidR="00023E6A" w:rsidRDefault="00023E6A" w:rsidP="00E51985">
      <w:pPr>
        <w:autoSpaceDE w:val="0"/>
        <w:autoSpaceDN w:val="0"/>
        <w:adjustRightInd w:val="0"/>
        <w:spacing w:after="0" w:line="240" w:lineRule="auto"/>
        <w:ind w:left="709"/>
        <w:jc w:val="both"/>
        <w:rPr>
          <w:rFonts w:cstheme="minorHAnsi"/>
          <w:b/>
          <w:bCs/>
          <w:szCs w:val="20"/>
          <w:lang w:val="en-GB"/>
        </w:rPr>
      </w:pPr>
    </w:p>
    <w:p w14:paraId="6A2B2496" w14:textId="456D249F" w:rsidR="00023E6A" w:rsidRDefault="00023E6A" w:rsidP="00E51985">
      <w:pPr>
        <w:autoSpaceDE w:val="0"/>
        <w:autoSpaceDN w:val="0"/>
        <w:adjustRightInd w:val="0"/>
        <w:spacing w:after="0" w:line="240" w:lineRule="auto"/>
        <w:ind w:left="709"/>
        <w:jc w:val="both"/>
        <w:rPr>
          <w:rFonts w:cstheme="minorHAnsi"/>
          <w:b/>
          <w:bCs/>
          <w:szCs w:val="20"/>
          <w:lang w:val="en-GB"/>
        </w:rPr>
      </w:pPr>
    </w:p>
    <w:p w14:paraId="48946746" w14:textId="77777777" w:rsidR="00E81162" w:rsidRDefault="00E81162" w:rsidP="00E81162">
      <w:pPr>
        <w:autoSpaceDE w:val="0"/>
        <w:autoSpaceDN w:val="0"/>
        <w:adjustRightInd w:val="0"/>
        <w:spacing w:after="0" w:line="240" w:lineRule="auto"/>
        <w:jc w:val="both"/>
        <w:rPr>
          <w:rFonts w:cstheme="minorHAnsi"/>
          <w:b/>
          <w:bCs/>
          <w:szCs w:val="20"/>
          <w:lang w:val="en-GB"/>
        </w:rPr>
      </w:pPr>
    </w:p>
    <w:bookmarkEnd w:id="17"/>
    <w:p w14:paraId="08BEC037" w14:textId="77777777" w:rsidR="00E51985" w:rsidRDefault="00CB3B0B" w:rsidP="00E51985">
      <w:pPr>
        <w:numPr>
          <w:ilvl w:val="0"/>
          <w:numId w:val="2"/>
        </w:numPr>
        <w:autoSpaceDE w:val="0"/>
        <w:autoSpaceDN w:val="0"/>
        <w:adjustRightInd w:val="0"/>
        <w:spacing w:after="0" w:line="240" w:lineRule="auto"/>
        <w:ind w:left="709"/>
        <w:jc w:val="both"/>
        <w:rPr>
          <w:rFonts w:cstheme="minorHAnsi"/>
          <w:szCs w:val="20"/>
        </w:rPr>
      </w:pPr>
      <w:r w:rsidRPr="00CB3B0B">
        <w:rPr>
          <w:rFonts w:cstheme="minorHAnsi"/>
          <w:szCs w:val="20"/>
        </w:rPr>
        <w:t>International humanitarian law imposes a duty on all parties to a conflict to protect civilians and respect the distinction between military targets and civilian objects. Indiscriminate attacks which do not attempt to distinguish between military targets and civilians or civilian objects, as well as attacks aimed at legitimate military target</w:t>
      </w:r>
      <w:r w:rsidR="00C009BC">
        <w:rPr>
          <w:rFonts w:cstheme="minorHAnsi"/>
          <w:szCs w:val="20"/>
        </w:rPr>
        <w:t>s</w:t>
      </w:r>
      <w:r w:rsidRPr="00CB3B0B">
        <w:rPr>
          <w:rFonts w:cstheme="minorHAnsi"/>
          <w:szCs w:val="20"/>
        </w:rPr>
        <w:t>, but with a disproportionate impact on civilians, are prohibited.</w:t>
      </w:r>
    </w:p>
    <w:p w14:paraId="25E1149F" w14:textId="77777777" w:rsidR="00B4730D" w:rsidRDefault="00B4730D" w:rsidP="00B4730D">
      <w:pPr>
        <w:autoSpaceDE w:val="0"/>
        <w:autoSpaceDN w:val="0"/>
        <w:adjustRightInd w:val="0"/>
        <w:spacing w:after="0" w:line="240" w:lineRule="auto"/>
        <w:ind w:left="709"/>
        <w:jc w:val="both"/>
        <w:rPr>
          <w:rFonts w:cstheme="minorHAnsi"/>
          <w:szCs w:val="20"/>
        </w:rPr>
      </w:pPr>
    </w:p>
    <w:p w14:paraId="43E6F69F" w14:textId="2EEDB0E1" w:rsidR="00E51985" w:rsidRPr="00E51985" w:rsidRDefault="00CB3B0B" w:rsidP="00E51985">
      <w:pPr>
        <w:numPr>
          <w:ilvl w:val="0"/>
          <w:numId w:val="2"/>
        </w:numPr>
        <w:autoSpaceDE w:val="0"/>
        <w:autoSpaceDN w:val="0"/>
        <w:adjustRightInd w:val="0"/>
        <w:spacing w:after="0" w:line="240" w:lineRule="auto"/>
        <w:ind w:left="709"/>
        <w:jc w:val="both"/>
        <w:rPr>
          <w:rFonts w:cstheme="minorHAnsi"/>
          <w:szCs w:val="20"/>
        </w:rPr>
      </w:pPr>
      <w:r w:rsidRPr="00E51985">
        <w:rPr>
          <w:rFonts w:cstheme="minorHAnsi"/>
          <w:szCs w:val="20"/>
        </w:rPr>
        <w:t xml:space="preserve">The Commissioner is particularly concerned by reports of indiscriminate shelling, by both sides of the conflict, of populated areas resulting in deaths and serious injuries to civilians. During the 2020 outbreak of hostilities, </w:t>
      </w:r>
      <w:r w:rsidRPr="004B36FE">
        <w:rPr>
          <w:rFonts w:cstheme="minorHAnsi"/>
          <w:szCs w:val="20"/>
          <w:lang w:val="en-GB"/>
        </w:rPr>
        <w:t>1</w:t>
      </w:r>
      <w:r w:rsidR="00F35330">
        <w:rPr>
          <w:rFonts w:cstheme="minorHAnsi"/>
          <w:szCs w:val="20"/>
          <w:lang w:val="en-GB"/>
        </w:rPr>
        <w:t>01</w:t>
      </w:r>
      <w:r w:rsidRPr="00E51985">
        <w:rPr>
          <w:rFonts w:cstheme="minorHAnsi"/>
          <w:szCs w:val="20"/>
          <w:lang w:val="en-GB"/>
        </w:rPr>
        <w:t xml:space="preserve"> Azerbaijani civilians were killed, while </w:t>
      </w:r>
      <w:r w:rsidRPr="004B36FE">
        <w:rPr>
          <w:rFonts w:cstheme="minorHAnsi"/>
          <w:szCs w:val="20"/>
          <w:lang w:val="en-GB"/>
        </w:rPr>
        <w:t>423</w:t>
      </w:r>
      <w:r w:rsidRPr="00E51985">
        <w:rPr>
          <w:rFonts w:cstheme="minorHAnsi"/>
          <w:szCs w:val="20"/>
          <w:lang w:val="en-GB"/>
        </w:rPr>
        <w:t xml:space="preserve"> were injured, and 81 Armenian civilians were killed and 163 injured. Many children were killed or injured during the hostilities, while others suffered from the psychological impact of exposure to rocket and missile attacks. </w:t>
      </w:r>
    </w:p>
    <w:p w14:paraId="46C6885E" w14:textId="77777777" w:rsidR="00E51985" w:rsidRPr="00E51985" w:rsidRDefault="00E51985" w:rsidP="00E51985">
      <w:pPr>
        <w:autoSpaceDE w:val="0"/>
        <w:autoSpaceDN w:val="0"/>
        <w:adjustRightInd w:val="0"/>
        <w:spacing w:after="0" w:line="240" w:lineRule="auto"/>
        <w:ind w:left="709"/>
        <w:jc w:val="both"/>
        <w:rPr>
          <w:rFonts w:cstheme="minorHAnsi"/>
          <w:szCs w:val="20"/>
        </w:rPr>
      </w:pPr>
    </w:p>
    <w:p w14:paraId="2AC08B18" w14:textId="2FB6B4F7" w:rsidR="00B4730D" w:rsidRPr="00B4730D" w:rsidRDefault="00CB3B0B" w:rsidP="00B4730D">
      <w:pPr>
        <w:numPr>
          <w:ilvl w:val="0"/>
          <w:numId w:val="2"/>
        </w:numPr>
        <w:autoSpaceDE w:val="0"/>
        <w:autoSpaceDN w:val="0"/>
        <w:adjustRightInd w:val="0"/>
        <w:spacing w:after="0" w:line="240" w:lineRule="auto"/>
        <w:ind w:left="709"/>
        <w:jc w:val="both"/>
        <w:rPr>
          <w:rFonts w:cstheme="minorHAnsi"/>
          <w:szCs w:val="20"/>
        </w:rPr>
      </w:pPr>
      <w:r w:rsidRPr="00E51985">
        <w:rPr>
          <w:rFonts w:cstheme="minorHAnsi"/>
          <w:szCs w:val="20"/>
        </w:rPr>
        <w:t xml:space="preserve">According to </w:t>
      </w:r>
      <w:bookmarkStart w:id="18" w:name="_Hlk84767972"/>
      <w:r w:rsidRPr="00E51985">
        <w:rPr>
          <w:rFonts w:cstheme="minorHAnsi"/>
          <w:szCs w:val="20"/>
          <w:lang w:val="en-GB"/>
        </w:rPr>
        <w:t>IPHR/Truth Hounds</w:t>
      </w:r>
      <w:bookmarkEnd w:id="18"/>
      <w:r w:rsidRPr="00E51985">
        <w:rPr>
          <w:rFonts w:cstheme="minorHAnsi"/>
          <w:szCs w:val="20"/>
          <w:lang w:val="en-GB"/>
        </w:rPr>
        <w:t>, at least 32 incidents can be qualified as indiscriminate and/or disproportionate attacks on civilians, of which 23 were perpetrated by the Azerbaijani armed forces, including multiple bombings of Stepanakert/</w:t>
      </w:r>
      <w:proofErr w:type="spellStart"/>
      <w:r w:rsidRPr="00E51985">
        <w:rPr>
          <w:rFonts w:cstheme="minorHAnsi"/>
          <w:szCs w:val="20"/>
          <w:lang w:val="en-GB"/>
        </w:rPr>
        <w:t>Khankendi</w:t>
      </w:r>
      <w:proofErr w:type="spellEnd"/>
      <w:r w:rsidRPr="00E51985">
        <w:rPr>
          <w:rFonts w:cstheme="minorHAnsi"/>
          <w:szCs w:val="20"/>
          <w:lang w:val="en-GB"/>
        </w:rPr>
        <w:t xml:space="preserve">, and 9 were perpetrated by the </w:t>
      </w:r>
      <w:r w:rsidR="00CC418F">
        <w:rPr>
          <w:rFonts w:cstheme="minorHAnsi"/>
          <w:szCs w:val="20"/>
          <w:lang w:val="en-GB"/>
        </w:rPr>
        <w:t>military personnel</w:t>
      </w:r>
      <w:r w:rsidRPr="00E51985">
        <w:rPr>
          <w:rFonts w:cstheme="minorHAnsi"/>
          <w:szCs w:val="20"/>
          <w:lang w:val="en-GB"/>
        </w:rPr>
        <w:t xml:space="preserve"> of Armenia/</w:t>
      </w:r>
      <w:r w:rsidRPr="004B36FE">
        <w:rPr>
          <w:rFonts w:cstheme="minorHAnsi"/>
          <w:szCs w:val="20"/>
          <w:lang w:val="en-GB"/>
        </w:rPr>
        <w:t>Nagorno</w:t>
      </w:r>
      <w:r w:rsidRPr="00E51985">
        <w:rPr>
          <w:rFonts w:cstheme="minorHAnsi"/>
          <w:szCs w:val="20"/>
          <w:lang w:val="en-GB"/>
        </w:rPr>
        <w:t xml:space="preserve">-Karabakh, including the bombing of civilian settlements in </w:t>
      </w:r>
      <w:proofErr w:type="spellStart"/>
      <w:r w:rsidRPr="00E51985">
        <w:rPr>
          <w:rFonts w:cstheme="minorHAnsi"/>
          <w:szCs w:val="20"/>
          <w:lang w:val="en-GB"/>
        </w:rPr>
        <w:t>Ganja</w:t>
      </w:r>
      <w:proofErr w:type="spellEnd"/>
      <w:r w:rsidRPr="00E51985">
        <w:rPr>
          <w:rFonts w:cstheme="minorHAnsi"/>
          <w:szCs w:val="20"/>
          <w:lang w:val="en-GB"/>
        </w:rPr>
        <w:t xml:space="preserve"> and </w:t>
      </w:r>
      <w:proofErr w:type="spellStart"/>
      <w:r w:rsidRPr="00E51985">
        <w:rPr>
          <w:rFonts w:cstheme="minorHAnsi"/>
          <w:szCs w:val="20"/>
          <w:lang w:val="en-GB"/>
        </w:rPr>
        <w:t>Barda</w:t>
      </w:r>
      <w:proofErr w:type="spellEnd"/>
      <w:r w:rsidRPr="00E51985">
        <w:rPr>
          <w:rFonts w:cstheme="minorHAnsi"/>
          <w:szCs w:val="20"/>
          <w:lang w:val="en-GB"/>
        </w:rPr>
        <w:t>.</w:t>
      </w:r>
      <w:r w:rsidRPr="00CB3B0B">
        <w:rPr>
          <w:rFonts w:cstheme="minorHAnsi"/>
          <w:szCs w:val="20"/>
          <w:vertAlign w:val="superscript"/>
          <w:lang w:val="en-GB"/>
        </w:rPr>
        <w:footnoteReference w:id="55"/>
      </w:r>
      <w:r w:rsidRPr="00E51985">
        <w:rPr>
          <w:rFonts w:cstheme="minorHAnsi"/>
          <w:szCs w:val="20"/>
          <w:lang w:val="en-GB"/>
        </w:rPr>
        <w:t xml:space="preserve"> Amnesty International documented several strikes resulting in civilian casualties from both Armenian and Azerbaijani forces on civilian residential areas far from the frontlines, </w:t>
      </w:r>
      <w:r w:rsidRPr="00E51985">
        <w:rPr>
          <w:rFonts w:cstheme="minorHAnsi"/>
          <w:szCs w:val="20"/>
        </w:rPr>
        <w:t>where often there did not seem to be any military targets</w:t>
      </w:r>
      <w:r w:rsidRPr="00E51985">
        <w:rPr>
          <w:rFonts w:cstheme="minorHAnsi"/>
          <w:szCs w:val="20"/>
          <w:lang w:val="en-GB"/>
        </w:rPr>
        <w:t>.</w:t>
      </w:r>
      <w:r w:rsidRPr="00CB3B0B">
        <w:rPr>
          <w:rFonts w:cstheme="minorHAnsi"/>
          <w:szCs w:val="20"/>
          <w:vertAlign w:val="superscript"/>
          <w:lang w:val="en-GB"/>
        </w:rPr>
        <w:footnoteReference w:id="56"/>
      </w:r>
      <w:r w:rsidRPr="00E51985">
        <w:rPr>
          <w:rFonts w:cstheme="minorHAnsi"/>
          <w:szCs w:val="20"/>
          <w:lang w:val="en-GB"/>
        </w:rPr>
        <w:t xml:space="preserve"> </w:t>
      </w:r>
    </w:p>
    <w:p w14:paraId="6CF72AE6" w14:textId="77777777" w:rsidR="00B4730D" w:rsidRDefault="00B4730D" w:rsidP="00B4730D">
      <w:pPr>
        <w:autoSpaceDE w:val="0"/>
        <w:autoSpaceDN w:val="0"/>
        <w:adjustRightInd w:val="0"/>
        <w:spacing w:after="0" w:line="240" w:lineRule="auto"/>
        <w:ind w:left="709"/>
        <w:jc w:val="both"/>
        <w:rPr>
          <w:rFonts w:cstheme="minorHAnsi"/>
          <w:szCs w:val="20"/>
        </w:rPr>
      </w:pPr>
    </w:p>
    <w:p w14:paraId="547E6A2A" w14:textId="0365EB66" w:rsidR="00E51985" w:rsidRPr="00B4730D" w:rsidRDefault="00CB3B0B" w:rsidP="00B4730D">
      <w:pPr>
        <w:numPr>
          <w:ilvl w:val="0"/>
          <w:numId w:val="2"/>
        </w:numPr>
        <w:autoSpaceDE w:val="0"/>
        <w:autoSpaceDN w:val="0"/>
        <w:adjustRightInd w:val="0"/>
        <w:spacing w:after="0" w:line="240" w:lineRule="auto"/>
        <w:ind w:left="709"/>
        <w:jc w:val="both"/>
        <w:rPr>
          <w:rFonts w:cstheme="minorHAnsi"/>
          <w:szCs w:val="20"/>
        </w:rPr>
      </w:pPr>
      <w:r w:rsidRPr="00B4730D">
        <w:rPr>
          <w:rFonts w:cstheme="minorHAnsi"/>
          <w:szCs w:val="20"/>
        </w:rPr>
        <w:lastRenderedPageBreak/>
        <w:t>It has further been reported that both Armenia and Azerbaijan have used different types of prohibited weapons resulting in civilian casualties. Human Rights Watch collected evidence of use by Azerbaijani and Armenian military of cluster munitions,</w:t>
      </w:r>
      <w:r w:rsidRPr="00CB3B0B">
        <w:rPr>
          <w:rFonts w:cstheme="minorHAnsi"/>
          <w:szCs w:val="20"/>
          <w:vertAlign w:val="superscript"/>
        </w:rPr>
        <w:footnoteReference w:id="57"/>
      </w:r>
      <w:r w:rsidRPr="00B4730D">
        <w:rPr>
          <w:rFonts w:cstheme="minorHAnsi"/>
          <w:szCs w:val="20"/>
        </w:rPr>
        <w:t xml:space="preserve"> which are inherently indiscriminate weapons and are as such prohibited. </w:t>
      </w:r>
      <w:r w:rsidRPr="00B4730D">
        <w:rPr>
          <w:rFonts w:cstheme="minorHAnsi"/>
          <w:szCs w:val="20"/>
          <w:lang w:val="en-GB"/>
        </w:rPr>
        <w:t xml:space="preserve">Armenian forces reportedly employed ballistic missiles, unguided </w:t>
      </w:r>
      <w:proofErr w:type="gramStart"/>
      <w:r w:rsidRPr="00B4730D">
        <w:rPr>
          <w:rFonts w:cstheme="minorHAnsi"/>
          <w:szCs w:val="20"/>
          <w:lang w:val="en-GB"/>
        </w:rPr>
        <w:t>artillery</w:t>
      </w:r>
      <w:proofErr w:type="gramEnd"/>
      <w:r w:rsidRPr="00B4730D">
        <w:rPr>
          <w:rFonts w:cstheme="minorHAnsi"/>
          <w:szCs w:val="20"/>
          <w:lang w:val="en-GB"/>
        </w:rPr>
        <w:t xml:space="preserve"> and multiple launch rocket systems (MLRS). Azerbaijani forces reportedly used unguided artillery and MLRS, as well as loitering munitions and missiles launched by drones.</w:t>
      </w:r>
      <w:r w:rsidRPr="00CB3B0B">
        <w:rPr>
          <w:rFonts w:cstheme="minorHAnsi"/>
          <w:szCs w:val="20"/>
          <w:vertAlign w:val="superscript"/>
          <w:lang w:val="en-GB"/>
        </w:rPr>
        <w:footnoteReference w:id="58"/>
      </w:r>
      <w:r w:rsidRPr="00B4730D">
        <w:rPr>
          <w:rFonts w:cstheme="minorHAnsi"/>
          <w:szCs w:val="20"/>
          <w:lang w:val="en-GB"/>
        </w:rPr>
        <w:t xml:space="preserve"> In addition to cluster munitions, there were also allegations of the use of incendiary munitions, including white phosphorus.</w:t>
      </w:r>
      <w:r w:rsidR="00556B2E" w:rsidRPr="00B4730D">
        <w:rPr>
          <w:rFonts w:cstheme="minorHAnsi"/>
          <w:szCs w:val="20"/>
          <w:lang w:val="en-GB"/>
        </w:rPr>
        <w:t xml:space="preserve"> </w:t>
      </w:r>
    </w:p>
    <w:p w14:paraId="6280978A" w14:textId="77777777" w:rsidR="00B4730D" w:rsidRDefault="00B4730D" w:rsidP="00B4730D">
      <w:pPr>
        <w:autoSpaceDE w:val="0"/>
        <w:autoSpaceDN w:val="0"/>
        <w:adjustRightInd w:val="0"/>
        <w:spacing w:after="0" w:line="240" w:lineRule="auto"/>
        <w:ind w:left="709"/>
        <w:jc w:val="both"/>
        <w:rPr>
          <w:rFonts w:cstheme="minorHAnsi"/>
          <w:szCs w:val="20"/>
        </w:rPr>
      </w:pPr>
    </w:p>
    <w:p w14:paraId="24F6AC8C" w14:textId="6135A826" w:rsidR="00E51985" w:rsidRPr="00E51985" w:rsidRDefault="00CB3B0B" w:rsidP="00E51985">
      <w:pPr>
        <w:numPr>
          <w:ilvl w:val="0"/>
          <w:numId w:val="2"/>
        </w:numPr>
        <w:autoSpaceDE w:val="0"/>
        <w:autoSpaceDN w:val="0"/>
        <w:adjustRightInd w:val="0"/>
        <w:spacing w:after="0" w:line="240" w:lineRule="auto"/>
        <w:ind w:left="709"/>
        <w:jc w:val="both"/>
        <w:rPr>
          <w:rFonts w:cstheme="minorHAnsi"/>
          <w:szCs w:val="20"/>
        </w:rPr>
      </w:pPr>
      <w:r w:rsidRPr="00E51985">
        <w:rPr>
          <w:rFonts w:cstheme="minorHAnsi"/>
          <w:szCs w:val="20"/>
        </w:rPr>
        <w:t xml:space="preserve">There have also been reports of deliberate targeting of sites which are protected under humanitarian law, such as </w:t>
      </w:r>
      <w:r w:rsidR="000125B0" w:rsidRPr="00E51985">
        <w:rPr>
          <w:rFonts w:cstheme="minorHAnsi"/>
          <w:szCs w:val="20"/>
          <w:lang w:val="en-GB"/>
        </w:rPr>
        <w:t xml:space="preserve">schools, </w:t>
      </w:r>
      <w:r w:rsidRPr="00E51985">
        <w:rPr>
          <w:rFonts w:cstheme="minorHAnsi"/>
          <w:szCs w:val="20"/>
          <w:lang w:val="en-GB"/>
        </w:rPr>
        <w:t xml:space="preserve">hospitals, medical </w:t>
      </w:r>
      <w:proofErr w:type="gramStart"/>
      <w:r w:rsidRPr="00E51985">
        <w:rPr>
          <w:rFonts w:cstheme="minorHAnsi"/>
          <w:szCs w:val="20"/>
          <w:lang w:val="en-GB"/>
        </w:rPr>
        <w:t>transport</w:t>
      </w:r>
      <w:proofErr w:type="gramEnd"/>
      <w:r w:rsidRPr="00E51985">
        <w:rPr>
          <w:rFonts w:cstheme="minorHAnsi"/>
          <w:szCs w:val="20"/>
          <w:lang w:val="en-GB"/>
        </w:rPr>
        <w:t xml:space="preserve"> and medical personnel. </w:t>
      </w:r>
      <w:r w:rsidR="00E20D7C" w:rsidRPr="00E51985">
        <w:rPr>
          <w:rFonts w:cstheme="minorHAnsi"/>
          <w:szCs w:val="20"/>
          <w:lang w:val="en-GB"/>
        </w:rPr>
        <w:t>IPHR/Truth Hounds</w:t>
      </w:r>
      <w:r w:rsidRPr="00E51985">
        <w:rPr>
          <w:rFonts w:cstheme="minorHAnsi"/>
          <w:szCs w:val="20"/>
          <w:lang w:val="en-GB"/>
        </w:rPr>
        <w:t xml:space="preserve"> documented five</w:t>
      </w:r>
      <w:r w:rsidRPr="00E51985">
        <w:rPr>
          <w:rFonts w:cstheme="minorHAnsi"/>
          <w:szCs w:val="20"/>
        </w:rPr>
        <w:t xml:space="preserve"> incidents of what appear to be deliberate attacks by Azerbaijani armed forces against hospitals and medical personnel,</w:t>
      </w:r>
      <w:r w:rsidRPr="00CB3B0B">
        <w:rPr>
          <w:rFonts w:cstheme="minorHAnsi"/>
          <w:szCs w:val="20"/>
          <w:vertAlign w:val="superscript"/>
          <w:lang w:val="en-GB"/>
        </w:rPr>
        <w:footnoteReference w:id="59"/>
      </w:r>
      <w:r w:rsidRPr="00E51985">
        <w:rPr>
          <w:rFonts w:cstheme="minorHAnsi"/>
          <w:szCs w:val="20"/>
        </w:rPr>
        <w:t xml:space="preserve"> including </w:t>
      </w:r>
      <w:r w:rsidRPr="00E51985">
        <w:rPr>
          <w:rFonts w:cstheme="minorHAnsi"/>
          <w:szCs w:val="20"/>
          <w:lang w:val="en-GB"/>
        </w:rPr>
        <w:t>one attack on the Republican Hospital in Stepanakert/</w:t>
      </w:r>
      <w:proofErr w:type="spellStart"/>
      <w:r w:rsidRPr="00E51985">
        <w:rPr>
          <w:rFonts w:cstheme="minorHAnsi"/>
          <w:szCs w:val="20"/>
          <w:lang w:val="en-GB"/>
        </w:rPr>
        <w:t>Khankendi</w:t>
      </w:r>
      <w:proofErr w:type="spellEnd"/>
      <w:r w:rsidRPr="00E51985">
        <w:rPr>
          <w:rFonts w:cstheme="minorHAnsi"/>
          <w:szCs w:val="20"/>
          <w:lang w:val="en-GB"/>
        </w:rPr>
        <w:t xml:space="preserve"> which destroyed the newly built maternity ward. Armenian armed forces reportedly fired rockets that damaged at least four medical centres in Azerbaijan.</w:t>
      </w:r>
      <w:r w:rsidRPr="00CB3B0B">
        <w:rPr>
          <w:rFonts w:cstheme="minorHAnsi"/>
          <w:szCs w:val="20"/>
          <w:vertAlign w:val="superscript"/>
          <w:lang w:val="fr-FR"/>
        </w:rPr>
        <w:footnoteReference w:id="60"/>
      </w:r>
      <w:r w:rsidRPr="00E51985">
        <w:rPr>
          <w:rFonts w:cstheme="minorHAnsi"/>
          <w:szCs w:val="20"/>
          <w:lang w:val="en-GB"/>
        </w:rPr>
        <w:t xml:space="preserve"> At least</w:t>
      </w:r>
      <w:r w:rsidR="002A12F0" w:rsidRPr="00E51985">
        <w:rPr>
          <w:rFonts w:cstheme="minorHAnsi"/>
          <w:szCs w:val="20"/>
          <w:lang w:val="en-GB"/>
        </w:rPr>
        <w:t xml:space="preserve"> </w:t>
      </w:r>
      <w:r w:rsidRPr="00E51985">
        <w:rPr>
          <w:rFonts w:cstheme="minorHAnsi"/>
          <w:szCs w:val="20"/>
          <w:lang w:val="en-GB"/>
        </w:rPr>
        <w:t>71 schools</w:t>
      </w:r>
      <w:r w:rsidR="002A12F0" w:rsidRPr="00E51985">
        <w:rPr>
          <w:rFonts w:cstheme="minorHAnsi"/>
          <w:szCs w:val="20"/>
          <w:lang w:val="en-GB"/>
        </w:rPr>
        <w:t xml:space="preserve"> </w:t>
      </w:r>
      <w:r w:rsidRPr="00E51985">
        <w:rPr>
          <w:rFonts w:cstheme="minorHAnsi"/>
          <w:szCs w:val="20"/>
        </w:rPr>
        <w:t>on the Armenian side and</w:t>
      </w:r>
      <w:r w:rsidR="002A12F0" w:rsidRPr="00E51985">
        <w:rPr>
          <w:rFonts w:cstheme="minorHAnsi"/>
          <w:szCs w:val="20"/>
        </w:rPr>
        <w:t xml:space="preserve"> </w:t>
      </w:r>
      <w:r w:rsidRPr="00E51985">
        <w:rPr>
          <w:rFonts w:cstheme="minorHAnsi"/>
          <w:szCs w:val="20"/>
        </w:rPr>
        <w:t>54 Azerbaijani schools</w:t>
      </w:r>
      <w:r w:rsidR="002A12F0" w:rsidRPr="00E51985">
        <w:rPr>
          <w:rFonts w:cstheme="minorHAnsi"/>
          <w:szCs w:val="20"/>
        </w:rPr>
        <w:t xml:space="preserve"> </w:t>
      </w:r>
      <w:r w:rsidRPr="00E51985">
        <w:rPr>
          <w:rFonts w:cstheme="minorHAnsi"/>
          <w:szCs w:val="20"/>
        </w:rPr>
        <w:t>were damaged or destroyed, as well as dozens of kindergartens</w:t>
      </w:r>
      <w:r w:rsidRPr="00E51985">
        <w:rPr>
          <w:rFonts w:cstheme="minorHAnsi"/>
          <w:szCs w:val="20"/>
          <w:lang w:val="en-GB"/>
        </w:rPr>
        <w:t>.</w:t>
      </w:r>
      <w:r w:rsidRPr="00CB3B0B">
        <w:rPr>
          <w:rFonts w:cstheme="minorHAnsi"/>
          <w:szCs w:val="20"/>
          <w:vertAlign w:val="superscript"/>
          <w:lang w:val="en-GB"/>
        </w:rPr>
        <w:footnoteReference w:id="61"/>
      </w:r>
      <w:r w:rsidRPr="00E51985">
        <w:rPr>
          <w:rFonts w:cstheme="minorHAnsi"/>
          <w:szCs w:val="20"/>
          <w:lang w:val="en-GB"/>
        </w:rPr>
        <w:t xml:space="preserve"> </w:t>
      </w:r>
    </w:p>
    <w:p w14:paraId="73F1E1A1" w14:textId="10F80537" w:rsidR="00E40CDE" w:rsidRDefault="00E40CDE" w:rsidP="00E40CDE">
      <w:pPr>
        <w:pStyle w:val="ListParagraph"/>
        <w:spacing w:after="0"/>
        <w:jc w:val="both"/>
        <w:rPr>
          <w:rFonts w:cstheme="minorHAnsi"/>
          <w:szCs w:val="20"/>
          <w:lang w:val="en-GB"/>
        </w:rPr>
      </w:pPr>
    </w:p>
    <w:p w14:paraId="37D73367" w14:textId="77777777" w:rsidR="00E51985" w:rsidRDefault="00CB3B0B" w:rsidP="00E51985">
      <w:pPr>
        <w:numPr>
          <w:ilvl w:val="0"/>
          <w:numId w:val="2"/>
        </w:numPr>
        <w:autoSpaceDE w:val="0"/>
        <w:autoSpaceDN w:val="0"/>
        <w:adjustRightInd w:val="0"/>
        <w:spacing w:after="0" w:line="240" w:lineRule="auto"/>
        <w:ind w:left="709"/>
        <w:jc w:val="both"/>
        <w:rPr>
          <w:rFonts w:cstheme="minorHAnsi"/>
          <w:szCs w:val="20"/>
        </w:rPr>
      </w:pPr>
      <w:r w:rsidRPr="00E51985">
        <w:rPr>
          <w:rFonts w:cstheme="minorHAnsi"/>
          <w:szCs w:val="20"/>
          <w:lang w:val="en-GB"/>
        </w:rPr>
        <w:t xml:space="preserve">Both the Armenian and Azerbaijani authorities have denied launching indiscriminate strikes against civilian areas or targeting key civilian infrastructures and using cluster munitions. To the Commissioner’s knowledge, no independent, prompt, public and effective investigations into these attacks have been carried out so far. </w:t>
      </w:r>
    </w:p>
    <w:p w14:paraId="6131CCBD" w14:textId="77777777" w:rsidR="00B4730D" w:rsidRPr="00B4730D" w:rsidRDefault="00B4730D" w:rsidP="00B4730D">
      <w:pPr>
        <w:autoSpaceDE w:val="0"/>
        <w:autoSpaceDN w:val="0"/>
        <w:adjustRightInd w:val="0"/>
        <w:spacing w:after="0" w:line="240" w:lineRule="auto"/>
        <w:ind w:left="709"/>
        <w:jc w:val="both"/>
        <w:rPr>
          <w:rFonts w:cstheme="minorHAnsi"/>
          <w:szCs w:val="20"/>
        </w:rPr>
      </w:pPr>
    </w:p>
    <w:p w14:paraId="5BDCC350" w14:textId="7A426BE3" w:rsidR="00E51985" w:rsidRPr="00E51985" w:rsidRDefault="00CB3B0B" w:rsidP="00E51985">
      <w:pPr>
        <w:numPr>
          <w:ilvl w:val="0"/>
          <w:numId w:val="2"/>
        </w:numPr>
        <w:autoSpaceDE w:val="0"/>
        <w:autoSpaceDN w:val="0"/>
        <w:adjustRightInd w:val="0"/>
        <w:spacing w:after="0" w:line="240" w:lineRule="auto"/>
        <w:ind w:left="709"/>
        <w:jc w:val="both"/>
        <w:rPr>
          <w:rFonts w:cstheme="minorHAnsi"/>
          <w:szCs w:val="20"/>
        </w:rPr>
      </w:pPr>
      <w:r w:rsidRPr="00E51985">
        <w:rPr>
          <w:rFonts w:cstheme="minorHAnsi"/>
          <w:szCs w:val="20"/>
          <w:lang w:val="en-GB"/>
        </w:rPr>
        <w:t>The Commissioner recalls that, under international humanitarian law, civilians shall never be the direct object of an attack.</w:t>
      </w:r>
      <w:r w:rsidRPr="00CB3B0B">
        <w:rPr>
          <w:rFonts w:cstheme="minorHAnsi"/>
          <w:szCs w:val="20"/>
          <w:vertAlign w:val="superscript"/>
          <w:lang w:val="en-GB"/>
        </w:rPr>
        <w:footnoteReference w:id="62"/>
      </w:r>
      <w:r w:rsidRPr="00E51985">
        <w:rPr>
          <w:rFonts w:cstheme="minorHAnsi"/>
          <w:szCs w:val="20"/>
          <w:lang w:val="en-GB"/>
        </w:rPr>
        <w:t xml:space="preserve"> This was also the</w:t>
      </w:r>
      <w:r w:rsidR="00531F28" w:rsidRPr="00E51985">
        <w:rPr>
          <w:rFonts w:cstheme="minorHAnsi"/>
          <w:szCs w:val="20"/>
          <w:lang w:val="en-GB"/>
        </w:rPr>
        <w:t xml:space="preserve"> premise</w:t>
      </w:r>
      <w:r w:rsidRPr="00E51985">
        <w:rPr>
          <w:rFonts w:cstheme="minorHAnsi"/>
          <w:szCs w:val="20"/>
          <w:lang w:val="en-GB"/>
        </w:rPr>
        <w:t xml:space="preserve"> for the adoption in 2008 of </w:t>
      </w:r>
      <w:bookmarkStart w:id="20" w:name="_Hlk84778648"/>
      <w:r w:rsidRPr="00E51985">
        <w:rPr>
          <w:rFonts w:cstheme="minorHAnsi"/>
          <w:szCs w:val="20"/>
          <w:lang w:val="en-GB"/>
        </w:rPr>
        <w:t>the Convention on Cluster Munitions</w:t>
      </w:r>
      <w:bookmarkEnd w:id="20"/>
      <w:r w:rsidRPr="00E51985">
        <w:rPr>
          <w:rFonts w:cstheme="minorHAnsi"/>
          <w:szCs w:val="20"/>
          <w:lang w:val="en-GB"/>
        </w:rPr>
        <w:t xml:space="preserve">, ratified by 110 countries, which prohibits cluster munitions and requires </w:t>
      </w:r>
      <w:r w:rsidR="00531F28" w:rsidRPr="00E51985">
        <w:rPr>
          <w:rFonts w:cstheme="minorHAnsi"/>
          <w:szCs w:val="20"/>
          <w:lang w:val="en-GB"/>
        </w:rPr>
        <w:t xml:space="preserve">the </w:t>
      </w:r>
      <w:r w:rsidRPr="00E51985">
        <w:rPr>
          <w:rFonts w:cstheme="minorHAnsi"/>
          <w:szCs w:val="20"/>
          <w:lang w:val="en-GB"/>
        </w:rPr>
        <w:t xml:space="preserve">clearance of cluster munition remnants and assistance to victims of the weapons. Neither Armenia nor Azerbaijan is a party to this treaty. The Commissioner therefore calls on the Armenian and Azerbaijani authorities to swiftly ratify the Convention on Cluster Munitions. </w:t>
      </w:r>
    </w:p>
    <w:p w14:paraId="5E82DA76" w14:textId="527E5A60" w:rsidR="00B4730D" w:rsidRPr="00B4730D" w:rsidRDefault="00B4730D" w:rsidP="00B4730D">
      <w:pPr>
        <w:autoSpaceDE w:val="0"/>
        <w:autoSpaceDN w:val="0"/>
        <w:adjustRightInd w:val="0"/>
        <w:spacing w:after="0" w:line="240" w:lineRule="auto"/>
        <w:ind w:left="709"/>
        <w:jc w:val="both"/>
        <w:rPr>
          <w:rFonts w:cstheme="minorHAnsi"/>
          <w:szCs w:val="20"/>
        </w:rPr>
      </w:pPr>
    </w:p>
    <w:p w14:paraId="1E6C7931" w14:textId="78044F8A" w:rsidR="00E51985" w:rsidRDefault="00CB3B0B" w:rsidP="00E51985">
      <w:pPr>
        <w:numPr>
          <w:ilvl w:val="0"/>
          <w:numId w:val="2"/>
        </w:numPr>
        <w:autoSpaceDE w:val="0"/>
        <w:autoSpaceDN w:val="0"/>
        <w:adjustRightInd w:val="0"/>
        <w:spacing w:after="0" w:line="240" w:lineRule="auto"/>
        <w:ind w:left="709"/>
        <w:jc w:val="both"/>
        <w:rPr>
          <w:rFonts w:cstheme="minorHAnsi"/>
          <w:szCs w:val="20"/>
        </w:rPr>
      </w:pPr>
      <w:r w:rsidRPr="00E51985">
        <w:rPr>
          <w:rFonts w:cstheme="minorHAnsi"/>
          <w:szCs w:val="20"/>
          <w:lang w:val="en-GB"/>
        </w:rPr>
        <w:t xml:space="preserve">Civilian casualties resulting from indiscriminate or disproportionate bombing also amount to a violation of the right to life protected by Article 2 </w:t>
      </w:r>
      <w:r w:rsidR="007E61C5" w:rsidRPr="00E51985">
        <w:rPr>
          <w:rFonts w:cstheme="minorHAnsi"/>
          <w:szCs w:val="20"/>
          <w:lang w:val="en-GB"/>
        </w:rPr>
        <w:t xml:space="preserve">of the </w:t>
      </w:r>
      <w:r w:rsidRPr="00E51985">
        <w:rPr>
          <w:rFonts w:cstheme="minorHAnsi"/>
          <w:szCs w:val="20"/>
          <w:lang w:val="en-GB"/>
        </w:rPr>
        <w:t xml:space="preserve">ECHR. In applying </w:t>
      </w:r>
      <w:r w:rsidR="007E61C5" w:rsidRPr="00E51985">
        <w:rPr>
          <w:rFonts w:cstheme="minorHAnsi"/>
          <w:szCs w:val="20"/>
          <w:lang w:val="en-GB"/>
        </w:rPr>
        <w:t xml:space="preserve">that provision </w:t>
      </w:r>
      <w:r w:rsidRPr="00E51985">
        <w:rPr>
          <w:rFonts w:cstheme="minorHAnsi"/>
          <w:szCs w:val="20"/>
          <w:lang w:val="en-GB"/>
        </w:rPr>
        <w:t xml:space="preserve">in the context of security/military operations, the European Court of Human Rights has made some relevant findings consistent with </w:t>
      </w:r>
      <w:r w:rsidR="00531F28" w:rsidRPr="00E51985">
        <w:rPr>
          <w:rFonts w:cstheme="minorHAnsi"/>
          <w:szCs w:val="20"/>
          <w:lang w:val="en-GB"/>
        </w:rPr>
        <w:t xml:space="preserve">the </w:t>
      </w:r>
      <w:r w:rsidRPr="00E51985">
        <w:rPr>
          <w:rFonts w:cstheme="minorHAnsi"/>
          <w:szCs w:val="20"/>
          <w:lang w:val="en-GB"/>
        </w:rPr>
        <w:t xml:space="preserve">principles of international humanitarian law. The Court has </w:t>
      </w:r>
      <w:r w:rsidRPr="00E51985">
        <w:rPr>
          <w:rFonts w:cstheme="minorHAnsi"/>
          <w:szCs w:val="20"/>
        </w:rPr>
        <w:t xml:space="preserve">considered that an indiscriminate aerial bombardment of civilians and their villages cannot be acceptable in a democratic society and cannot be reconcilable with any of the grounds regulating the use of force which are set out in Article 2 paragraph 2 of the </w:t>
      </w:r>
      <w:r w:rsidR="007E61C5" w:rsidRPr="00E51985">
        <w:rPr>
          <w:rFonts w:cstheme="minorHAnsi"/>
          <w:szCs w:val="20"/>
        </w:rPr>
        <w:t xml:space="preserve">ECHR </w:t>
      </w:r>
      <w:r w:rsidRPr="00E51985">
        <w:rPr>
          <w:rFonts w:cstheme="minorHAnsi"/>
          <w:szCs w:val="20"/>
        </w:rPr>
        <w:t>or with the customary rules of international humanitarian law or any of the international treaties regulating the use of force in armed conflicts.</w:t>
      </w:r>
      <w:r w:rsidRPr="00CB3B0B">
        <w:rPr>
          <w:rFonts w:cstheme="minorHAnsi"/>
          <w:szCs w:val="20"/>
          <w:vertAlign w:val="superscript"/>
        </w:rPr>
        <w:footnoteReference w:id="63"/>
      </w:r>
      <w:r w:rsidRPr="00E51985">
        <w:rPr>
          <w:rFonts w:cstheme="minorHAnsi"/>
          <w:szCs w:val="20"/>
        </w:rPr>
        <w:t xml:space="preserve"> The Court has also held that the responsibility of the State is not confined to circumstances where there is significant evidence that misdirected fire from State agents has killed a civilian. It may also be engaged where the military ha</w:t>
      </w:r>
      <w:r w:rsidR="00531F28" w:rsidRPr="00E51985">
        <w:rPr>
          <w:rFonts w:cstheme="minorHAnsi"/>
          <w:szCs w:val="20"/>
        </w:rPr>
        <w:t>s</w:t>
      </w:r>
      <w:r w:rsidRPr="00E51985">
        <w:rPr>
          <w:rFonts w:cstheme="minorHAnsi"/>
          <w:szCs w:val="20"/>
        </w:rPr>
        <w:t xml:space="preserve"> undertaken insufficient precautions to protect the lives of the civilian population.</w:t>
      </w:r>
      <w:r w:rsidRPr="00CB3B0B">
        <w:rPr>
          <w:rFonts w:cstheme="minorHAnsi"/>
          <w:szCs w:val="20"/>
          <w:vertAlign w:val="superscript"/>
        </w:rPr>
        <w:footnoteReference w:id="64"/>
      </w:r>
      <w:r w:rsidRPr="00E51985">
        <w:rPr>
          <w:rFonts w:cstheme="minorHAnsi"/>
          <w:szCs w:val="20"/>
        </w:rPr>
        <w:t xml:space="preserve"> </w:t>
      </w:r>
    </w:p>
    <w:p w14:paraId="586C56C5" w14:textId="77777777" w:rsidR="004B36FE" w:rsidRDefault="004B36FE" w:rsidP="004B36FE">
      <w:pPr>
        <w:autoSpaceDE w:val="0"/>
        <w:autoSpaceDN w:val="0"/>
        <w:adjustRightInd w:val="0"/>
        <w:spacing w:after="0" w:line="240" w:lineRule="auto"/>
        <w:ind w:left="709"/>
        <w:jc w:val="both"/>
        <w:rPr>
          <w:rFonts w:cstheme="minorHAnsi"/>
          <w:szCs w:val="20"/>
        </w:rPr>
      </w:pPr>
    </w:p>
    <w:p w14:paraId="6F861324" w14:textId="5D03D1C8" w:rsidR="00E51985" w:rsidRDefault="00CB3B0B" w:rsidP="00E51985">
      <w:pPr>
        <w:numPr>
          <w:ilvl w:val="0"/>
          <w:numId w:val="2"/>
        </w:numPr>
        <w:autoSpaceDE w:val="0"/>
        <w:autoSpaceDN w:val="0"/>
        <w:adjustRightInd w:val="0"/>
        <w:spacing w:after="0" w:line="240" w:lineRule="auto"/>
        <w:ind w:left="709"/>
        <w:jc w:val="both"/>
        <w:rPr>
          <w:rFonts w:cstheme="minorHAnsi"/>
          <w:szCs w:val="20"/>
        </w:rPr>
      </w:pPr>
      <w:r w:rsidRPr="00E51985">
        <w:rPr>
          <w:rFonts w:cstheme="minorHAnsi"/>
          <w:szCs w:val="20"/>
        </w:rPr>
        <w:t xml:space="preserve">In addition, the Court has attached </w:t>
      </w:r>
      <w:proofErr w:type="gramStart"/>
      <w:r w:rsidRPr="00E51985">
        <w:rPr>
          <w:rFonts w:cstheme="minorHAnsi"/>
          <w:szCs w:val="20"/>
        </w:rPr>
        <w:t>particular weight</w:t>
      </w:r>
      <w:proofErr w:type="gramEnd"/>
      <w:r w:rsidRPr="00E51985">
        <w:rPr>
          <w:rFonts w:cstheme="minorHAnsi"/>
          <w:szCs w:val="20"/>
        </w:rPr>
        <w:t xml:space="preserve"> to the procedural </w:t>
      </w:r>
      <w:r w:rsidR="001118C1" w:rsidRPr="00E51985">
        <w:rPr>
          <w:rFonts w:cstheme="minorHAnsi"/>
          <w:szCs w:val="20"/>
        </w:rPr>
        <w:t xml:space="preserve">limb of </w:t>
      </w:r>
      <w:r w:rsidRPr="00E51985">
        <w:rPr>
          <w:rFonts w:cstheme="minorHAnsi"/>
          <w:szCs w:val="20"/>
        </w:rPr>
        <w:t xml:space="preserve">Article 2 of the </w:t>
      </w:r>
      <w:r w:rsidR="007E61C5" w:rsidRPr="00E51985">
        <w:rPr>
          <w:rFonts w:cstheme="minorHAnsi"/>
          <w:szCs w:val="20"/>
        </w:rPr>
        <w:t>ECHR</w:t>
      </w:r>
      <w:r w:rsidRPr="00E51985">
        <w:rPr>
          <w:rFonts w:cstheme="minorHAnsi"/>
          <w:szCs w:val="20"/>
        </w:rPr>
        <w:t xml:space="preserve">. According to its case-law, the obligation to protect the right to life under Article 2 requires that there should be some form of effective official investigation when individuals have been killed </w:t>
      </w:r>
      <w:proofErr w:type="gramStart"/>
      <w:r w:rsidRPr="00E51985">
        <w:rPr>
          <w:rFonts w:cstheme="minorHAnsi"/>
          <w:szCs w:val="20"/>
        </w:rPr>
        <w:t>as a result of</w:t>
      </w:r>
      <w:proofErr w:type="gramEnd"/>
      <w:r w:rsidRPr="00E51985">
        <w:rPr>
          <w:rFonts w:cstheme="minorHAnsi"/>
          <w:szCs w:val="20"/>
        </w:rPr>
        <w:t xml:space="preserve"> the use of force by, </w:t>
      </w:r>
      <w:r w:rsidRPr="00E51985">
        <w:rPr>
          <w:rFonts w:cstheme="minorHAnsi"/>
          <w:i/>
          <w:iCs/>
          <w:szCs w:val="20"/>
        </w:rPr>
        <w:t>inter alios</w:t>
      </w:r>
      <w:r w:rsidRPr="00E51985">
        <w:rPr>
          <w:rFonts w:cstheme="minorHAnsi"/>
          <w:szCs w:val="20"/>
        </w:rPr>
        <w:t>, agents of the State.</w:t>
      </w:r>
      <w:r w:rsidRPr="00CB3B0B">
        <w:rPr>
          <w:rFonts w:cstheme="minorHAnsi"/>
          <w:szCs w:val="20"/>
          <w:vertAlign w:val="superscript"/>
        </w:rPr>
        <w:footnoteReference w:id="65"/>
      </w:r>
      <w:r w:rsidRPr="00E51985">
        <w:rPr>
          <w:rFonts w:cstheme="minorHAnsi"/>
          <w:szCs w:val="20"/>
        </w:rPr>
        <w:t xml:space="preserve"> </w:t>
      </w:r>
    </w:p>
    <w:p w14:paraId="0599367B" w14:textId="77777777" w:rsidR="00E51985" w:rsidRDefault="00E51985" w:rsidP="00E51985">
      <w:pPr>
        <w:pStyle w:val="ListParagraph"/>
        <w:spacing w:after="0"/>
        <w:rPr>
          <w:rFonts w:cstheme="minorHAnsi"/>
          <w:szCs w:val="20"/>
        </w:rPr>
      </w:pPr>
    </w:p>
    <w:p w14:paraId="58FF5AB3" w14:textId="2638E3C0" w:rsidR="00CB3B0B" w:rsidRPr="00E51985" w:rsidRDefault="00CB3B0B" w:rsidP="00E51985">
      <w:pPr>
        <w:numPr>
          <w:ilvl w:val="0"/>
          <w:numId w:val="2"/>
        </w:numPr>
        <w:autoSpaceDE w:val="0"/>
        <w:autoSpaceDN w:val="0"/>
        <w:adjustRightInd w:val="0"/>
        <w:spacing w:after="0" w:line="240" w:lineRule="auto"/>
        <w:ind w:left="709"/>
        <w:jc w:val="both"/>
        <w:rPr>
          <w:rFonts w:cstheme="minorHAnsi"/>
          <w:szCs w:val="20"/>
        </w:rPr>
      </w:pPr>
      <w:proofErr w:type="gramStart"/>
      <w:r w:rsidRPr="00E51985">
        <w:rPr>
          <w:rFonts w:cstheme="minorHAnsi"/>
          <w:szCs w:val="20"/>
        </w:rPr>
        <w:t>In light of</w:t>
      </w:r>
      <w:proofErr w:type="gramEnd"/>
      <w:r w:rsidRPr="00E51985">
        <w:rPr>
          <w:rFonts w:cstheme="minorHAnsi"/>
          <w:szCs w:val="20"/>
        </w:rPr>
        <w:t xml:space="preserve"> the above, the Commissioner considers that the parties should not only under all circumstances take precautionary measures and avoid or </w:t>
      </w:r>
      <w:proofErr w:type="spellStart"/>
      <w:r w:rsidRPr="00E51985">
        <w:rPr>
          <w:rFonts w:cstheme="minorHAnsi"/>
          <w:szCs w:val="20"/>
        </w:rPr>
        <w:t>minimi</w:t>
      </w:r>
      <w:r w:rsidR="00531F28" w:rsidRPr="00E51985">
        <w:rPr>
          <w:rFonts w:cstheme="minorHAnsi"/>
          <w:szCs w:val="20"/>
        </w:rPr>
        <w:t>s</w:t>
      </w:r>
      <w:r w:rsidRPr="00E51985">
        <w:rPr>
          <w:rFonts w:cstheme="minorHAnsi"/>
          <w:szCs w:val="20"/>
        </w:rPr>
        <w:t>e</w:t>
      </w:r>
      <w:proofErr w:type="spellEnd"/>
      <w:r w:rsidRPr="00E51985">
        <w:rPr>
          <w:rFonts w:cstheme="minorHAnsi"/>
          <w:szCs w:val="20"/>
        </w:rPr>
        <w:t xml:space="preserve"> harm to civilians and civilian objects</w:t>
      </w:r>
      <w:r w:rsidR="00CE7355" w:rsidRPr="00E51985">
        <w:rPr>
          <w:rFonts w:cstheme="minorHAnsi"/>
          <w:szCs w:val="20"/>
        </w:rPr>
        <w:t>,</w:t>
      </w:r>
      <w:r w:rsidRPr="00E51985">
        <w:rPr>
          <w:rFonts w:cstheme="minorHAnsi"/>
          <w:szCs w:val="20"/>
        </w:rPr>
        <w:t xml:space="preserve"> but also carry out an effective investigation into the circumstances surrounding the attacks which resulted in civilian casualties during the 2020 outbreak of hostilities. </w:t>
      </w:r>
    </w:p>
    <w:p w14:paraId="3CD553B0" w14:textId="77777777" w:rsidR="00CB3B0B" w:rsidRPr="00CB3B0B" w:rsidRDefault="00CB3B0B" w:rsidP="00CB3B0B">
      <w:pPr>
        <w:autoSpaceDE w:val="0"/>
        <w:autoSpaceDN w:val="0"/>
        <w:adjustRightInd w:val="0"/>
        <w:spacing w:after="0" w:line="240" w:lineRule="auto"/>
        <w:jc w:val="both"/>
        <w:rPr>
          <w:rFonts w:cstheme="minorHAnsi"/>
          <w:b/>
          <w:bCs/>
          <w:szCs w:val="20"/>
          <w:lang w:val="en-GB"/>
        </w:rPr>
      </w:pPr>
    </w:p>
    <w:p w14:paraId="0B5DBB65" w14:textId="77777777" w:rsidR="00A950FE" w:rsidRPr="00A950FE" w:rsidRDefault="00A950FE" w:rsidP="00C226F8">
      <w:pPr>
        <w:pStyle w:val="ListParagraph"/>
        <w:numPr>
          <w:ilvl w:val="0"/>
          <w:numId w:val="19"/>
        </w:numPr>
        <w:autoSpaceDE w:val="0"/>
        <w:autoSpaceDN w:val="0"/>
        <w:adjustRightInd w:val="0"/>
        <w:spacing w:after="0" w:line="240" w:lineRule="auto"/>
        <w:ind w:left="1134" w:hanging="425"/>
        <w:contextualSpacing w:val="0"/>
        <w:jc w:val="both"/>
        <w:rPr>
          <w:rFonts w:cstheme="minorHAnsi"/>
          <w:b/>
          <w:bCs/>
          <w:szCs w:val="20"/>
        </w:rPr>
      </w:pPr>
      <w:r w:rsidRPr="00A950FE">
        <w:rPr>
          <w:rFonts w:cstheme="minorHAnsi"/>
          <w:b/>
          <w:bCs/>
          <w:szCs w:val="20"/>
          <w:lang w:val="en-GB"/>
        </w:rPr>
        <w:t xml:space="preserve">The need to combat </w:t>
      </w:r>
      <w:bookmarkStart w:id="21" w:name="_Hlk84946405"/>
      <w:r w:rsidRPr="00A950FE">
        <w:rPr>
          <w:rFonts w:cstheme="minorHAnsi"/>
          <w:b/>
          <w:bCs/>
          <w:szCs w:val="20"/>
          <w:lang w:val="en-GB"/>
        </w:rPr>
        <w:t>hate speech, promote peaceful co-existence, and initiate steps toward reconciliation among the affected communities</w:t>
      </w:r>
      <w:bookmarkEnd w:id="21"/>
    </w:p>
    <w:p w14:paraId="25EAD20F" w14:textId="76FE9210" w:rsidR="00A950FE" w:rsidRPr="00A950FE" w:rsidRDefault="00023E6A" w:rsidP="00A950FE">
      <w:pPr>
        <w:autoSpaceDE w:val="0"/>
        <w:autoSpaceDN w:val="0"/>
        <w:adjustRightInd w:val="0"/>
        <w:spacing w:after="0" w:line="240" w:lineRule="auto"/>
        <w:jc w:val="both"/>
        <w:rPr>
          <w:rFonts w:cstheme="minorHAnsi"/>
          <w:b/>
          <w:bCs/>
          <w:szCs w:val="20"/>
        </w:rPr>
      </w:pPr>
      <w:r w:rsidRPr="00023E6A">
        <w:rPr>
          <w:rFonts w:asciiTheme="minorHAnsi" w:hAnsiTheme="minorHAnsi" w:cstheme="minorHAnsi"/>
          <w:b/>
          <w:bCs/>
          <w:noProof/>
          <w:color w:val="1F497D" w:themeColor="text2"/>
          <w:szCs w:val="20"/>
        </w:rPr>
        <mc:AlternateContent>
          <mc:Choice Requires="wps">
            <w:drawing>
              <wp:anchor distT="0" distB="0" distL="114300" distR="114300" simplePos="0" relativeHeight="251673600" behindDoc="0" locked="0" layoutInCell="1" allowOverlap="1" wp14:anchorId="5B808174" wp14:editId="60E9DF65">
                <wp:simplePos x="0" y="0"/>
                <wp:positionH relativeFrom="column">
                  <wp:posOffset>285750</wp:posOffset>
                </wp:positionH>
                <wp:positionV relativeFrom="paragraph">
                  <wp:posOffset>120650</wp:posOffset>
                </wp:positionV>
                <wp:extent cx="5753100" cy="600075"/>
                <wp:effectExtent l="38100" t="38100" r="95250" b="104775"/>
                <wp:wrapNone/>
                <wp:docPr id="10" name="Zone de texte 6"/>
                <wp:cNvGraphicFramePr/>
                <a:graphic xmlns:a="http://schemas.openxmlformats.org/drawingml/2006/main">
                  <a:graphicData uri="http://schemas.microsoft.com/office/word/2010/wordprocessingShape">
                    <wps:wsp>
                      <wps:cNvSpPr txBox="1"/>
                      <wps:spPr>
                        <a:xfrm>
                          <a:off x="0" y="0"/>
                          <a:ext cx="5753100" cy="600075"/>
                        </a:xfrm>
                        <a:prstGeom prst="rect">
                          <a:avLst/>
                        </a:prstGeom>
                        <a:solidFill>
                          <a:srgbClr val="F9F0DB"/>
                        </a:solidFill>
                        <a:ln w="6350">
                          <a:noFill/>
                        </a:ln>
                        <a:effectLst>
                          <a:outerShdw blurRad="50800" dist="38100" dir="2700000" algn="tl" rotWithShape="0">
                            <a:prstClr val="black">
                              <a:alpha val="40000"/>
                            </a:prstClr>
                          </a:outerShdw>
                        </a:effectLst>
                      </wps:spPr>
                      <wps:txbx>
                        <w:txbxContent>
                          <w:p w14:paraId="7EF3CF02" w14:textId="77777777" w:rsidR="009269CA" w:rsidRPr="00E51985" w:rsidRDefault="009269CA" w:rsidP="00023E6A">
                            <w:pPr>
                              <w:autoSpaceDE w:val="0"/>
                              <w:autoSpaceDN w:val="0"/>
                              <w:adjustRightInd w:val="0"/>
                              <w:spacing w:after="0" w:line="240" w:lineRule="auto"/>
                              <w:jc w:val="both"/>
                              <w:rPr>
                                <w:rFonts w:cstheme="minorHAnsi"/>
                                <w:b/>
                                <w:bCs/>
                                <w:szCs w:val="20"/>
                                <w:lang w:val="en-GB"/>
                              </w:rPr>
                            </w:pPr>
                            <w:r w:rsidRPr="00E51985">
                              <w:rPr>
                                <w:rFonts w:cstheme="minorHAnsi"/>
                                <w:b/>
                                <w:bCs/>
                                <w:szCs w:val="20"/>
                                <w:lang w:val="en-GB"/>
                              </w:rPr>
                              <w:t xml:space="preserve">Recommendation no. 8: </w:t>
                            </w:r>
                          </w:p>
                          <w:p w14:paraId="1AEDA45A" w14:textId="05572D2E" w:rsidR="009269CA" w:rsidRPr="00023E6A" w:rsidRDefault="009269CA" w:rsidP="00023E6A">
                            <w:pPr>
                              <w:autoSpaceDE w:val="0"/>
                              <w:autoSpaceDN w:val="0"/>
                              <w:adjustRightInd w:val="0"/>
                              <w:spacing w:after="0" w:line="240" w:lineRule="auto"/>
                              <w:jc w:val="both"/>
                              <w:rPr>
                                <w:rFonts w:cstheme="minorHAnsi"/>
                                <w:szCs w:val="20"/>
                              </w:rPr>
                            </w:pPr>
                            <w:r w:rsidRPr="00E51985">
                              <w:rPr>
                                <w:rFonts w:cstheme="minorHAnsi"/>
                                <w:szCs w:val="20"/>
                              </w:rPr>
                              <w:t xml:space="preserve">To take resolute action to prevent and combat </w:t>
                            </w:r>
                            <w:r w:rsidRPr="00A950FE">
                              <w:rPr>
                                <w:rFonts w:cstheme="minorHAnsi"/>
                                <w:szCs w:val="20"/>
                              </w:rPr>
                              <w:t>hate speech and support initiatives that promote peaceful co-existence and reconciliation</w:t>
                            </w:r>
                            <w:r>
                              <w:rPr>
                                <w:rFonts w:cstheme="minorHAnsi"/>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08174" id="_x0000_s1033" type="#_x0000_t202" style="position:absolute;left:0;text-align:left;margin-left:22.5pt;margin-top:9.5pt;width:453pt;height:4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" fillcolor="#f9f0db" stroked="f" strokeweight=".5pt">
                <v:shadow on="t" color="black" opacity="26214f" origin="-.5,-.5" offset=".74836mm,.74836mm"/>
                <v:textbox>
                  <w:txbxContent>
                    <w:p w14:paraId="7EF3CF02" w14:textId="77777777" w:rsidR="009269CA" w:rsidRPr="00E51985" w:rsidRDefault="009269CA" w:rsidP="00023E6A">
                      <w:pPr>
                        <w:autoSpaceDE w:val="0"/>
                        <w:autoSpaceDN w:val="0"/>
                        <w:adjustRightInd w:val="0"/>
                        <w:spacing w:after="0" w:line="240" w:lineRule="auto"/>
                        <w:jc w:val="both"/>
                        <w:rPr>
                          <w:rFonts w:cstheme="minorHAnsi"/>
                          <w:b/>
                          <w:bCs/>
                          <w:szCs w:val="20"/>
                          <w:lang w:val="en-GB"/>
                        </w:rPr>
                      </w:pPr>
                      <w:r w:rsidRPr="00E51985">
                        <w:rPr>
                          <w:rFonts w:cstheme="minorHAnsi"/>
                          <w:b/>
                          <w:bCs/>
                          <w:szCs w:val="20"/>
                          <w:lang w:val="en-GB"/>
                        </w:rPr>
                        <w:t xml:space="preserve">Recommendation no. 8: </w:t>
                      </w:r>
                    </w:p>
                    <w:p w14:paraId="1AEDA45A" w14:textId="05572D2E" w:rsidR="009269CA" w:rsidRPr="00023E6A" w:rsidRDefault="009269CA" w:rsidP="00023E6A">
                      <w:pPr>
                        <w:autoSpaceDE w:val="0"/>
                        <w:autoSpaceDN w:val="0"/>
                        <w:adjustRightInd w:val="0"/>
                        <w:spacing w:after="0" w:line="240" w:lineRule="auto"/>
                        <w:jc w:val="both"/>
                        <w:rPr>
                          <w:rFonts w:cstheme="minorHAnsi"/>
                          <w:szCs w:val="20"/>
                        </w:rPr>
                      </w:pPr>
                      <w:r w:rsidRPr="00E51985">
                        <w:rPr>
                          <w:rFonts w:cstheme="minorHAnsi"/>
                          <w:szCs w:val="20"/>
                        </w:rPr>
                        <w:t xml:space="preserve">To take resolute action to prevent and combat </w:t>
                      </w:r>
                      <w:r w:rsidRPr="00A950FE">
                        <w:rPr>
                          <w:rFonts w:cstheme="minorHAnsi"/>
                          <w:szCs w:val="20"/>
                        </w:rPr>
                        <w:t>hate speech and support initiatives that promote peaceful co-existence and reconciliation</w:t>
                      </w:r>
                      <w:r>
                        <w:rPr>
                          <w:rFonts w:cstheme="minorHAnsi"/>
                          <w:szCs w:val="20"/>
                        </w:rPr>
                        <w:t>.</w:t>
                      </w:r>
                    </w:p>
                  </w:txbxContent>
                </v:textbox>
              </v:shape>
            </w:pict>
          </mc:Fallback>
        </mc:AlternateContent>
      </w:r>
    </w:p>
    <w:p w14:paraId="397A9411" w14:textId="59871C07" w:rsidR="00023E6A" w:rsidRDefault="00023E6A" w:rsidP="00E51985">
      <w:pPr>
        <w:autoSpaceDE w:val="0"/>
        <w:autoSpaceDN w:val="0"/>
        <w:adjustRightInd w:val="0"/>
        <w:spacing w:after="0" w:line="240" w:lineRule="auto"/>
        <w:ind w:left="709"/>
        <w:jc w:val="both"/>
        <w:rPr>
          <w:rFonts w:cstheme="minorHAnsi"/>
          <w:b/>
          <w:bCs/>
          <w:szCs w:val="20"/>
          <w:lang w:val="en-GB"/>
        </w:rPr>
      </w:pPr>
    </w:p>
    <w:p w14:paraId="4254CF44" w14:textId="28238DAB" w:rsidR="00023E6A" w:rsidRDefault="00023E6A" w:rsidP="00E51985">
      <w:pPr>
        <w:autoSpaceDE w:val="0"/>
        <w:autoSpaceDN w:val="0"/>
        <w:adjustRightInd w:val="0"/>
        <w:spacing w:after="0" w:line="240" w:lineRule="auto"/>
        <w:ind w:left="709"/>
        <w:jc w:val="both"/>
        <w:rPr>
          <w:rFonts w:cstheme="minorHAnsi"/>
          <w:b/>
          <w:bCs/>
          <w:szCs w:val="20"/>
          <w:lang w:val="en-GB"/>
        </w:rPr>
      </w:pPr>
    </w:p>
    <w:p w14:paraId="02657827" w14:textId="77777777" w:rsidR="00023E6A" w:rsidRDefault="00023E6A" w:rsidP="00E51985">
      <w:pPr>
        <w:autoSpaceDE w:val="0"/>
        <w:autoSpaceDN w:val="0"/>
        <w:adjustRightInd w:val="0"/>
        <w:spacing w:after="0" w:line="240" w:lineRule="auto"/>
        <w:ind w:left="709"/>
        <w:jc w:val="both"/>
        <w:rPr>
          <w:rFonts w:cstheme="minorHAnsi"/>
          <w:b/>
          <w:bCs/>
          <w:szCs w:val="20"/>
          <w:lang w:val="en-GB"/>
        </w:rPr>
      </w:pPr>
    </w:p>
    <w:p w14:paraId="0403CB6A" w14:textId="77777777" w:rsidR="00023E6A" w:rsidRDefault="00023E6A" w:rsidP="00E51985">
      <w:pPr>
        <w:autoSpaceDE w:val="0"/>
        <w:autoSpaceDN w:val="0"/>
        <w:adjustRightInd w:val="0"/>
        <w:spacing w:after="0" w:line="240" w:lineRule="auto"/>
        <w:ind w:left="709"/>
        <w:jc w:val="both"/>
        <w:rPr>
          <w:rFonts w:cstheme="minorHAnsi"/>
          <w:b/>
          <w:bCs/>
          <w:szCs w:val="20"/>
          <w:lang w:val="en-GB"/>
        </w:rPr>
      </w:pPr>
    </w:p>
    <w:p w14:paraId="3B839051" w14:textId="77777777" w:rsidR="00A950FE" w:rsidRPr="00A950FE" w:rsidRDefault="00A950FE" w:rsidP="00E51985">
      <w:pPr>
        <w:autoSpaceDE w:val="0"/>
        <w:autoSpaceDN w:val="0"/>
        <w:adjustRightInd w:val="0"/>
        <w:spacing w:after="0" w:line="240" w:lineRule="auto"/>
        <w:ind w:left="709"/>
        <w:jc w:val="both"/>
        <w:rPr>
          <w:rFonts w:cstheme="minorHAnsi"/>
          <w:szCs w:val="20"/>
        </w:rPr>
      </w:pPr>
    </w:p>
    <w:p w14:paraId="22EDAD64" w14:textId="67FAB57B" w:rsidR="00E51985" w:rsidRDefault="00A950FE" w:rsidP="00E51985">
      <w:pPr>
        <w:pStyle w:val="ListParagraph"/>
        <w:numPr>
          <w:ilvl w:val="0"/>
          <w:numId w:val="2"/>
        </w:numPr>
        <w:autoSpaceDE w:val="0"/>
        <w:autoSpaceDN w:val="0"/>
        <w:adjustRightInd w:val="0"/>
        <w:spacing w:after="0" w:line="240" w:lineRule="auto"/>
        <w:ind w:left="709"/>
        <w:jc w:val="both"/>
        <w:rPr>
          <w:rFonts w:cstheme="minorHAnsi"/>
          <w:szCs w:val="20"/>
        </w:rPr>
      </w:pPr>
      <w:r w:rsidRPr="00E51985">
        <w:rPr>
          <w:rFonts w:cstheme="minorHAnsi"/>
          <w:szCs w:val="20"/>
        </w:rPr>
        <w:t xml:space="preserve">The Commissioner remains concerned by the high level of hate speech against Armenians in Azerbaijan </w:t>
      </w:r>
      <w:proofErr w:type="gramStart"/>
      <w:r w:rsidR="00536720" w:rsidRPr="00E51985">
        <w:rPr>
          <w:rFonts w:cstheme="minorHAnsi"/>
          <w:szCs w:val="20"/>
        </w:rPr>
        <w:t xml:space="preserve">and </w:t>
      </w:r>
      <w:r w:rsidRPr="00E51985">
        <w:rPr>
          <w:rFonts w:cstheme="minorHAnsi"/>
          <w:szCs w:val="20"/>
        </w:rPr>
        <w:t>also</w:t>
      </w:r>
      <w:proofErr w:type="gramEnd"/>
      <w:r w:rsidRPr="00E51985">
        <w:rPr>
          <w:rFonts w:cstheme="minorHAnsi"/>
          <w:szCs w:val="20"/>
        </w:rPr>
        <w:t xml:space="preserve"> against Azerbaijanis in Armenia. The public debate in both countries has increasingly been marked by </w:t>
      </w:r>
      <w:r w:rsidR="0043464B">
        <w:rPr>
          <w:rFonts w:cstheme="minorHAnsi"/>
          <w:szCs w:val="20"/>
        </w:rPr>
        <w:t xml:space="preserve">toxic, </w:t>
      </w:r>
      <w:r w:rsidRPr="00E51985">
        <w:rPr>
          <w:rFonts w:cstheme="minorHAnsi"/>
          <w:szCs w:val="20"/>
        </w:rPr>
        <w:t>hostile, intolerant, and downright disrespectful communication. This is visible in public statements by politicians and other public figures, articles in traditional media, as well as comments by the public on the internet and on social media. The constant rhetoric of “aggression” or the use of words such as “enemies”</w:t>
      </w:r>
      <w:r w:rsidR="001667E0">
        <w:rPr>
          <w:rFonts w:cstheme="minorHAnsi"/>
          <w:szCs w:val="20"/>
        </w:rPr>
        <w:t xml:space="preserve"> </w:t>
      </w:r>
      <w:r w:rsidRPr="00E51985">
        <w:rPr>
          <w:rFonts w:cstheme="minorHAnsi"/>
          <w:szCs w:val="20"/>
        </w:rPr>
        <w:t xml:space="preserve">to </w:t>
      </w:r>
      <w:r w:rsidRPr="001667E0">
        <w:rPr>
          <w:rFonts w:cstheme="minorHAnsi"/>
          <w:szCs w:val="20"/>
        </w:rPr>
        <w:t>designate the other side only</w:t>
      </w:r>
      <w:r w:rsidRPr="00E51985">
        <w:rPr>
          <w:rFonts w:cstheme="minorHAnsi"/>
          <w:szCs w:val="20"/>
        </w:rPr>
        <w:t xml:space="preserve"> </w:t>
      </w:r>
      <w:r w:rsidR="00CE7355" w:rsidRPr="00E51985">
        <w:rPr>
          <w:rFonts w:cstheme="minorHAnsi"/>
          <w:szCs w:val="20"/>
        </w:rPr>
        <w:t xml:space="preserve">contributes to perpetuating </w:t>
      </w:r>
      <w:r w:rsidRPr="00E51985">
        <w:rPr>
          <w:rFonts w:cstheme="minorHAnsi"/>
          <w:szCs w:val="20"/>
        </w:rPr>
        <w:t>animosities between the p</w:t>
      </w:r>
      <w:r w:rsidR="009D66B3" w:rsidRPr="00E51985">
        <w:rPr>
          <w:rFonts w:cstheme="minorHAnsi"/>
          <w:szCs w:val="20"/>
        </w:rPr>
        <w:t>eople</w:t>
      </w:r>
      <w:r w:rsidR="0040317F" w:rsidRPr="00E51985">
        <w:rPr>
          <w:rFonts w:cstheme="minorHAnsi"/>
          <w:szCs w:val="20"/>
        </w:rPr>
        <w:t xml:space="preserve"> living on the different sides of the dividing lines</w:t>
      </w:r>
      <w:r w:rsidRPr="00E51985">
        <w:rPr>
          <w:rFonts w:cstheme="minorHAnsi"/>
          <w:szCs w:val="20"/>
        </w:rPr>
        <w:t xml:space="preserve">. </w:t>
      </w:r>
    </w:p>
    <w:p w14:paraId="5249FE02" w14:textId="77777777" w:rsidR="00E51985" w:rsidRPr="00E51985" w:rsidRDefault="00E51985" w:rsidP="00B4730D">
      <w:pPr>
        <w:pStyle w:val="ListParagraph"/>
        <w:autoSpaceDE w:val="0"/>
        <w:autoSpaceDN w:val="0"/>
        <w:adjustRightInd w:val="0"/>
        <w:spacing w:after="0" w:line="240" w:lineRule="auto"/>
        <w:ind w:left="709"/>
        <w:jc w:val="both"/>
        <w:rPr>
          <w:rFonts w:cstheme="minorHAnsi"/>
          <w:szCs w:val="20"/>
        </w:rPr>
      </w:pPr>
    </w:p>
    <w:p w14:paraId="09691A21" w14:textId="4799383E" w:rsidR="00E51985" w:rsidRPr="00E51985" w:rsidRDefault="00A950FE" w:rsidP="00E51985">
      <w:pPr>
        <w:pStyle w:val="ListParagraph"/>
        <w:numPr>
          <w:ilvl w:val="0"/>
          <w:numId w:val="2"/>
        </w:numPr>
        <w:autoSpaceDE w:val="0"/>
        <w:autoSpaceDN w:val="0"/>
        <w:adjustRightInd w:val="0"/>
        <w:spacing w:after="0" w:line="240" w:lineRule="auto"/>
        <w:ind w:left="709"/>
        <w:jc w:val="both"/>
        <w:rPr>
          <w:rFonts w:cstheme="minorHAnsi"/>
          <w:szCs w:val="20"/>
        </w:rPr>
      </w:pPr>
      <w:r w:rsidRPr="00E51985">
        <w:rPr>
          <w:rFonts w:cstheme="minorHAnsi"/>
          <w:szCs w:val="20"/>
          <w:lang w:val="it-IT"/>
        </w:rPr>
        <w:t>The 2020 outbreak of hostilities was also accompanied by the use of inflammatory language. Hate speech and the glorification of violence definitely fueled the level of severity of attacks, inhuman treatment and torture against combattants and captives as well as vandalism and destruction of property. This is compounded by rampant impunity and the absence of condemnation by the public authorities of such acts.</w:t>
      </w:r>
    </w:p>
    <w:p w14:paraId="29C1184E" w14:textId="77777777" w:rsidR="00E51985" w:rsidRPr="00E51985" w:rsidRDefault="00E51985" w:rsidP="00E51985">
      <w:pPr>
        <w:pStyle w:val="ListParagraph"/>
        <w:autoSpaceDE w:val="0"/>
        <w:autoSpaceDN w:val="0"/>
        <w:adjustRightInd w:val="0"/>
        <w:spacing w:after="0" w:line="240" w:lineRule="auto"/>
        <w:ind w:left="709"/>
        <w:jc w:val="both"/>
        <w:rPr>
          <w:rFonts w:cstheme="minorHAnsi"/>
          <w:szCs w:val="20"/>
        </w:rPr>
      </w:pPr>
    </w:p>
    <w:p w14:paraId="7CAD3969" w14:textId="77777777" w:rsidR="00B4730D" w:rsidRDefault="00A950FE" w:rsidP="00B4730D">
      <w:pPr>
        <w:pStyle w:val="ListParagraph"/>
        <w:numPr>
          <w:ilvl w:val="0"/>
          <w:numId w:val="2"/>
        </w:numPr>
        <w:autoSpaceDE w:val="0"/>
        <w:autoSpaceDN w:val="0"/>
        <w:adjustRightInd w:val="0"/>
        <w:spacing w:after="0" w:line="240" w:lineRule="auto"/>
        <w:ind w:left="709"/>
        <w:jc w:val="both"/>
        <w:rPr>
          <w:rFonts w:cstheme="minorHAnsi"/>
          <w:szCs w:val="20"/>
        </w:rPr>
      </w:pPr>
      <w:r w:rsidRPr="00E51985">
        <w:rPr>
          <w:rFonts w:cstheme="minorHAnsi"/>
          <w:szCs w:val="20"/>
        </w:rPr>
        <w:t xml:space="preserve">The European Court of Human Rights has made it clear in its case-law that any statement directed against the </w:t>
      </w:r>
      <w:r w:rsidR="007E61C5" w:rsidRPr="00E51985">
        <w:rPr>
          <w:rFonts w:cstheme="minorHAnsi"/>
          <w:szCs w:val="20"/>
        </w:rPr>
        <w:t xml:space="preserve">ECHR’s </w:t>
      </w:r>
      <w:r w:rsidRPr="00E51985">
        <w:rPr>
          <w:rFonts w:cstheme="minorHAnsi"/>
          <w:szCs w:val="20"/>
        </w:rPr>
        <w:t xml:space="preserve">underlying values of justice and peace, such as speeches gratuitously offensive or insulting, inciting disrespect or hate, falls outside the scope of the protection afforded by the right to freedom of expression guaranteed by Article 10 of the </w:t>
      </w:r>
      <w:r w:rsidR="007E61C5" w:rsidRPr="00E51985">
        <w:rPr>
          <w:rFonts w:cstheme="minorHAnsi"/>
          <w:szCs w:val="20"/>
        </w:rPr>
        <w:t>ECHR</w:t>
      </w:r>
      <w:r w:rsidRPr="00E51985">
        <w:rPr>
          <w:rFonts w:cstheme="minorHAnsi"/>
          <w:szCs w:val="20"/>
        </w:rPr>
        <w:t xml:space="preserve">. The Court stressed </w:t>
      </w:r>
      <w:proofErr w:type="gramStart"/>
      <w:r w:rsidRPr="00E51985">
        <w:rPr>
          <w:rFonts w:cstheme="minorHAnsi"/>
          <w:szCs w:val="20"/>
        </w:rPr>
        <w:t>in particular that</w:t>
      </w:r>
      <w:proofErr w:type="gramEnd"/>
      <w:r w:rsidRPr="00E51985">
        <w:rPr>
          <w:rFonts w:cstheme="minorHAnsi"/>
          <w:szCs w:val="20"/>
        </w:rPr>
        <w:t xml:space="preserve"> statements which may be held to amount to hate speech or to glorification of or incitement to violence cannot be regarded as compatible with the notion of tolerance and run counter to the fundamental values of justice and peace set forth in the Preamble to the </w:t>
      </w:r>
      <w:r w:rsidR="007E61C5" w:rsidRPr="00E51985">
        <w:rPr>
          <w:rFonts w:cstheme="minorHAnsi"/>
          <w:szCs w:val="20"/>
        </w:rPr>
        <w:t>ECHR</w:t>
      </w:r>
      <w:r w:rsidRPr="00E51985">
        <w:rPr>
          <w:rFonts w:cstheme="minorHAnsi"/>
          <w:szCs w:val="20"/>
        </w:rPr>
        <w:t>.</w:t>
      </w:r>
      <w:r w:rsidRPr="00A950FE">
        <w:rPr>
          <w:vertAlign w:val="superscript"/>
        </w:rPr>
        <w:footnoteReference w:id="66"/>
      </w:r>
      <w:r w:rsidRPr="00E51985">
        <w:rPr>
          <w:rFonts w:cstheme="minorHAnsi"/>
          <w:szCs w:val="20"/>
        </w:rPr>
        <w:t xml:space="preserve"> </w:t>
      </w:r>
    </w:p>
    <w:p w14:paraId="1C8073E6" w14:textId="77777777" w:rsidR="00B4730D" w:rsidRPr="00B4730D" w:rsidRDefault="00B4730D" w:rsidP="00B4730D">
      <w:pPr>
        <w:pStyle w:val="ListParagraph"/>
        <w:rPr>
          <w:rFonts w:cstheme="minorHAnsi"/>
          <w:szCs w:val="20"/>
        </w:rPr>
      </w:pPr>
    </w:p>
    <w:p w14:paraId="7CDDB830" w14:textId="77777777" w:rsidR="00B4730D" w:rsidRDefault="00A950FE" w:rsidP="00B4730D">
      <w:pPr>
        <w:pStyle w:val="ListParagraph"/>
        <w:numPr>
          <w:ilvl w:val="0"/>
          <w:numId w:val="2"/>
        </w:numPr>
        <w:autoSpaceDE w:val="0"/>
        <w:autoSpaceDN w:val="0"/>
        <w:adjustRightInd w:val="0"/>
        <w:spacing w:after="0" w:line="240" w:lineRule="auto"/>
        <w:ind w:left="709"/>
        <w:jc w:val="both"/>
        <w:rPr>
          <w:rFonts w:cstheme="minorHAnsi"/>
          <w:szCs w:val="20"/>
        </w:rPr>
      </w:pPr>
      <w:r w:rsidRPr="00B4730D">
        <w:rPr>
          <w:rFonts w:cstheme="minorHAnsi"/>
          <w:szCs w:val="20"/>
        </w:rPr>
        <w:t>In a statement published in October 2020, the Commissioner insisted on the need to avoid political rhetoric designed to fuel tension between the two countries.</w:t>
      </w:r>
      <w:r w:rsidRPr="00A950FE">
        <w:rPr>
          <w:vertAlign w:val="superscript"/>
        </w:rPr>
        <w:footnoteReference w:id="67"/>
      </w:r>
      <w:r w:rsidRPr="00B4730D">
        <w:rPr>
          <w:rFonts w:cstheme="minorHAnsi"/>
          <w:szCs w:val="20"/>
        </w:rPr>
        <w:t xml:space="preserve"> This means that the authorities in both countries should </w:t>
      </w:r>
      <w:proofErr w:type="gramStart"/>
      <w:r w:rsidRPr="00B4730D">
        <w:rPr>
          <w:rFonts w:cstheme="minorHAnsi"/>
          <w:szCs w:val="20"/>
        </w:rPr>
        <w:t>take action</w:t>
      </w:r>
      <w:proofErr w:type="gramEnd"/>
      <w:r w:rsidRPr="00B4730D">
        <w:rPr>
          <w:rFonts w:cstheme="minorHAnsi"/>
          <w:szCs w:val="20"/>
        </w:rPr>
        <w:t xml:space="preserve"> against any use of hate speech in the media and promote mutual understanding and trust. As has been stressed by the Parliamentary Assembly of the Council of Europe in its Resolution on the role of political leaders in combating hate speech and intolerance, political leaders bear a specific responsibility in this regard.</w:t>
      </w:r>
      <w:r w:rsidRPr="00A950FE">
        <w:rPr>
          <w:vertAlign w:val="superscript"/>
        </w:rPr>
        <w:footnoteReference w:id="68"/>
      </w:r>
      <w:r w:rsidRPr="00B4730D">
        <w:rPr>
          <w:rFonts w:cstheme="minorHAnsi"/>
          <w:szCs w:val="20"/>
        </w:rPr>
        <w:t xml:space="preserve"> </w:t>
      </w:r>
    </w:p>
    <w:p w14:paraId="60F004D8" w14:textId="77777777" w:rsidR="00B4730D" w:rsidRPr="00B4730D" w:rsidRDefault="00B4730D" w:rsidP="00B4730D">
      <w:pPr>
        <w:pStyle w:val="ListParagraph"/>
        <w:rPr>
          <w:rFonts w:cstheme="minorHAnsi"/>
          <w:szCs w:val="20"/>
        </w:rPr>
      </w:pPr>
    </w:p>
    <w:p w14:paraId="3B57A927" w14:textId="77777777" w:rsidR="00B4730D" w:rsidRDefault="00A950FE" w:rsidP="00B4730D">
      <w:pPr>
        <w:pStyle w:val="ListParagraph"/>
        <w:numPr>
          <w:ilvl w:val="0"/>
          <w:numId w:val="2"/>
        </w:numPr>
        <w:autoSpaceDE w:val="0"/>
        <w:autoSpaceDN w:val="0"/>
        <w:adjustRightInd w:val="0"/>
        <w:spacing w:after="0" w:line="240" w:lineRule="auto"/>
        <w:ind w:left="709"/>
        <w:jc w:val="both"/>
        <w:rPr>
          <w:rFonts w:cstheme="minorHAnsi"/>
          <w:szCs w:val="20"/>
        </w:rPr>
      </w:pPr>
      <w:r w:rsidRPr="00B4730D">
        <w:rPr>
          <w:rFonts w:cstheme="minorHAnsi"/>
          <w:szCs w:val="20"/>
        </w:rPr>
        <w:t xml:space="preserve">The Commissioner observes that there is an acute need to promote understanding for all </w:t>
      </w:r>
      <w:r w:rsidR="008762F8" w:rsidRPr="00B4730D">
        <w:rPr>
          <w:rFonts w:cstheme="minorHAnsi"/>
          <w:szCs w:val="20"/>
        </w:rPr>
        <w:t xml:space="preserve">the </w:t>
      </w:r>
      <w:r w:rsidRPr="00B4730D">
        <w:rPr>
          <w:rFonts w:cstheme="minorHAnsi"/>
          <w:szCs w:val="20"/>
        </w:rPr>
        <w:t xml:space="preserve">victims of the conflict and to encourage tolerance and reconciliation between communities. This is essential to prevent future violence. The media have a central role to play in this context, notably by refraining from fanning hostility and hatred. The European Commission against Racism and Intolerance </w:t>
      </w:r>
      <w:r w:rsidRPr="00B4730D">
        <w:rPr>
          <w:rFonts w:cstheme="minorHAnsi"/>
          <w:szCs w:val="20"/>
        </w:rPr>
        <w:lastRenderedPageBreak/>
        <w:t xml:space="preserve">(ECRI) in its General Policy Recommendation n°15 on Combating Hate Speech also recommended “to combat misinformation, negative stereotyping and </w:t>
      </w:r>
      <w:proofErr w:type="spellStart"/>
      <w:r w:rsidRPr="00B4730D">
        <w:rPr>
          <w:rFonts w:cstheme="minorHAnsi"/>
          <w:szCs w:val="20"/>
        </w:rPr>
        <w:t>stigmatisation</w:t>
      </w:r>
      <w:proofErr w:type="spellEnd"/>
      <w:r w:rsidRPr="00B4730D">
        <w:rPr>
          <w:rFonts w:cstheme="minorHAnsi"/>
          <w:szCs w:val="20"/>
        </w:rPr>
        <w:t xml:space="preserve"> as these can provide the foundation on which the use of hate speech is based.”</w:t>
      </w:r>
      <w:r w:rsidRPr="00A950FE">
        <w:rPr>
          <w:vertAlign w:val="superscript"/>
        </w:rPr>
        <w:footnoteReference w:id="69"/>
      </w:r>
      <w:r w:rsidRPr="00B4730D">
        <w:rPr>
          <w:rFonts w:cstheme="minorHAnsi"/>
          <w:szCs w:val="20"/>
        </w:rPr>
        <w:t xml:space="preserve"> In this respect, all the media working in the conflict-affected areas</w:t>
      </w:r>
      <w:r w:rsidR="00FE39BC" w:rsidRPr="00B4730D">
        <w:rPr>
          <w:rFonts w:cstheme="minorHAnsi"/>
          <w:szCs w:val="20"/>
        </w:rPr>
        <w:t xml:space="preserve"> </w:t>
      </w:r>
      <w:r w:rsidR="006E214D" w:rsidRPr="00B4730D">
        <w:rPr>
          <w:rFonts w:cstheme="minorHAnsi"/>
          <w:szCs w:val="20"/>
        </w:rPr>
        <w:t xml:space="preserve">and/or reporting about the conflict, its origins and consequences </w:t>
      </w:r>
      <w:r w:rsidRPr="00B4730D">
        <w:rPr>
          <w:rFonts w:cstheme="minorHAnsi"/>
          <w:szCs w:val="20"/>
        </w:rPr>
        <w:t xml:space="preserve">should ensure the highest level of ethical reporting, provide objective and unbiased information and avoid </w:t>
      </w:r>
      <w:proofErr w:type="spellStart"/>
      <w:r w:rsidRPr="00B4730D">
        <w:rPr>
          <w:rFonts w:cstheme="minorHAnsi"/>
          <w:szCs w:val="20"/>
        </w:rPr>
        <w:t>stigmatising</w:t>
      </w:r>
      <w:proofErr w:type="spellEnd"/>
      <w:r w:rsidRPr="00B4730D">
        <w:rPr>
          <w:rFonts w:cstheme="minorHAnsi"/>
          <w:szCs w:val="20"/>
        </w:rPr>
        <w:t xml:space="preserve"> and prejudiced </w:t>
      </w:r>
      <w:proofErr w:type="spellStart"/>
      <w:r w:rsidRPr="00B4730D">
        <w:rPr>
          <w:rFonts w:cstheme="minorHAnsi"/>
          <w:szCs w:val="20"/>
        </w:rPr>
        <w:t>characterisations</w:t>
      </w:r>
      <w:proofErr w:type="spellEnd"/>
      <w:r w:rsidRPr="00B4730D">
        <w:rPr>
          <w:rFonts w:cstheme="minorHAnsi"/>
          <w:szCs w:val="20"/>
        </w:rPr>
        <w:t xml:space="preserve">. Furthermore, media should clearly explain the rights of all victims of the conflict, including the right to access justice, the right to truth and the right to reparations. </w:t>
      </w:r>
    </w:p>
    <w:p w14:paraId="5AFFD660" w14:textId="77777777" w:rsidR="00B4730D" w:rsidRDefault="00B4730D" w:rsidP="00B4730D">
      <w:pPr>
        <w:pStyle w:val="ListParagraph"/>
        <w:autoSpaceDE w:val="0"/>
        <w:autoSpaceDN w:val="0"/>
        <w:adjustRightInd w:val="0"/>
        <w:spacing w:after="0" w:line="240" w:lineRule="auto"/>
        <w:ind w:left="709"/>
        <w:jc w:val="both"/>
        <w:rPr>
          <w:rFonts w:cstheme="minorHAnsi"/>
          <w:szCs w:val="20"/>
        </w:rPr>
      </w:pPr>
    </w:p>
    <w:p w14:paraId="1CD45AE8" w14:textId="77777777" w:rsidR="00B4730D" w:rsidRDefault="00A950FE" w:rsidP="00B4730D">
      <w:pPr>
        <w:pStyle w:val="ListParagraph"/>
        <w:numPr>
          <w:ilvl w:val="0"/>
          <w:numId w:val="2"/>
        </w:numPr>
        <w:autoSpaceDE w:val="0"/>
        <w:autoSpaceDN w:val="0"/>
        <w:adjustRightInd w:val="0"/>
        <w:spacing w:after="0" w:line="240" w:lineRule="auto"/>
        <w:ind w:left="709"/>
        <w:jc w:val="both"/>
        <w:rPr>
          <w:rFonts w:cstheme="minorHAnsi"/>
          <w:szCs w:val="20"/>
        </w:rPr>
      </w:pPr>
      <w:r w:rsidRPr="00B4730D">
        <w:rPr>
          <w:rFonts w:cstheme="minorHAnsi"/>
          <w:szCs w:val="20"/>
        </w:rPr>
        <w:t>The Commissioner recalls that media coverage and access to information are crucial means of providing accurate, timely and comprehensive information, particularly in times of crisis.</w:t>
      </w:r>
      <w:r w:rsidRPr="00A950FE">
        <w:rPr>
          <w:vertAlign w:val="superscript"/>
        </w:rPr>
        <w:footnoteReference w:id="70"/>
      </w:r>
      <w:r w:rsidRPr="00B4730D">
        <w:rPr>
          <w:rFonts w:cstheme="minorHAnsi"/>
          <w:szCs w:val="20"/>
        </w:rPr>
        <w:t xml:space="preserve"> In line with the Council of Europe Guidelines on protecting freedom of expression and information in times of crisis,</w:t>
      </w:r>
      <w:r w:rsidRPr="00A950FE">
        <w:rPr>
          <w:vertAlign w:val="superscript"/>
        </w:rPr>
        <w:footnoteReference w:id="71"/>
      </w:r>
      <w:r w:rsidRPr="00B4730D">
        <w:rPr>
          <w:rFonts w:cstheme="minorHAnsi"/>
          <w:szCs w:val="20"/>
        </w:rPr>
        <w:t xml:space="preserve"> all parties should guarantee freedom of movement, allow accredited media professionals access to crisis </w:t>
      </w:r>
      <w:proofErr w:type="gramStart"/>
      <w:r w:rsidRPr="00B4730D">
        <w:rPr>
          <w:rFonts w:cstheme="minorHAnsi"/>
          <w:szCs w:val="20"/>
        </w:rPr>
        <w:t>areas</w:t>
      </w:r>
      <w:proofErr w:type="gramEnd"/>
      <w:r w:rsidRPr="00B4730D">
        <w:rPr>
          <w:rFonts w:cstheme="minorHAnsi"/>
          <w:szCs w:val="20"/>
        </w:rPr>
        <w:t xml:space="preserve"> and ensure that journalists reporting from the conflict-affected areas are safe. </w:t>
      </w:r>
      <w:bookmarkStart w:id="23" w:name="_Hlk84797308"/>
      <w:r w:rsidRPr="00B4730D">
        <w:rPr>
          <w:rFonts w:cstheme="minorHAnsi"/>
          <w:szCs w:val="20"/>
        </w:rPr>
        <w:t xml:space="preserve">The </w:t>
      </w:r>
      <w:bookmarkEnd w:id="23"/>
      <w:r w:rsidRPr="00B4730D">
        <w:rPr>
          <w:rFonts w:cstheme="minorHAnsi"/>
          <w:szCs w:val="20"/>
        </w:rPr>
        <w:t>Commissioner is however concerned by the fact that journalists have been denied access to Nagorno-Karabakh. While international journalists were able to cover the hostilities, although their work was made more complicated by the declaration of martial law in both Armenia and Azerbaijan at the end of September 2020,</w:t>
      </w:r>
      <w:r w:rsidRPr="00A950FE">
        <w:rPr>
          <w:vertAlign w:val="superscript"/>
        </w:rPr>
        <w:footnoteReference w:id="72"/>
      </w:r>
      <w:r w:rsidRPr="00B4730D">
        <w:rPr>
          <w:rFonts w:cstheme="minorHAnsi"/>
          <w:szCs w:val="20"/>
        </w:rPr>
        <w:t xml:space="preserve"> the Commissioner notes that since November 2020 it has been increasingly difficult to </w:t>
      </w:r>
      <w:r w:rsidR="001026F4" w:rsidRPr="00B4730D">
        <w:rPr>
          <w:rFonts w:cstheme="minorHAnsi"/>
          <w:szCs w:val="20"/>
        </w:rPr>
        <w:t xml:space="preserve">gain </w:t>
      </w:r>
      <w:r w:rsidRPr="00B4730D">
        <w:rPr>
          <w:rFonts w:cstheme="minorHAnsi"/>
          <w:szCs w:val="20"/>
        </w:rPr>
        <w:t xml:space="preserve">access </w:t>
      </w:r>
      <w:r w:rsidR="001026F4" w:rsidRPr="00B4730D">
        <w:rPr>
          <w:rFonts w:cstheme="minorHAnsi"/>
          <w:szCs w:val="20"/>
        </w:rPr>
        <w:t xml:space="preserve">to </w:t>
      </w:r>
      <w:r w:rsidRPr="00B4730D">
        <w:rPr>
          <w:rFonts w:cstheme="minorHAnsi"/>
          <w:szCs w:val="20"/>
        </w:rPr>
        <w:t>Nagorno-Karabakh.</w:t>
      </w:r>
      <w:r w:rsidRPr="00A950FE">
        <w:rPr>
          <w:vertAlign w:val="superscript"/>
        </w:rPr>
        <w:footnoteReference w:id="73"/>
      </w:r>
      <w:r w:rsidR="00FE39BC" w:rsidRPr="00B4730D">
        <w:rPr>
          <w:rFonts w:cstheme="minorHAnsi"/>
          <w:szCs w:val="20"/>
        </w:rPr>
        <w:t xml:space="preserve"> </w:t>
      </w:r>
    </w:p>
    <w:p w14:paraId="19B03214" w14:textId="77777777" w:rsidR="00B4730D" w:rsidRPr="00B4730D" w:rsidRDefault="00B4730D" w:rsidP="00B4730D">
      <w:pPr>
        <w:pStyle w:val="ListParagraph"/>
        <w:rPr>
          <w:rFonts w:cstheme="minorHAnsi"/>
          <w:szCs w:val="20"/>
        </w:rPr>
      </w:pPr>
    </w:p>
    <w:p w14:paraId="3B52B8D5" w14:textId="77777777" w:rsidR="00B4730D" w:rsidRDefault="00A950FE" w:rsidP="00B4730D">
      <w:pPr>
        <w:pStyle w:val="ListParagraph"/>
        <w:numPr>
          <w:ilvl w:val="0"/>
          <w:numId w:val="2"/>
        </w:numPr>
        <w:autoSpaceDE w:val="0"/>
        <w:autoSpaceDN w:val="0"/>
        <w:adjustRightInd w:val="0"/>
        <w:spacing w:after="0" w:line="240" w:lineRule="auto"/>
        <w:ind w:left="709"/>
        <w:jc w:val="both"/>
        <w:rPr>
          <w:rFonts w:cstheme="minorHAnsi"/>
          <w:szCs w:val="20"/>
        </w:rPr>
      </w:pPr>
      <w:r w:rsidRPr="00B4730D">
        <w:rPr>
          <w:rFonts w:cstheme="minorHAnsi"/>
          <w:szCs w:val="20"/>
        </w:rPr>
        <w:t xml:space="preserve">Accurate and balanced media coverage should be accompanied by state-led, good-faith, processes of </w:t>
      </w:r>
      <w:proofErr w:type="spellStart"/>
      <w:r w:rsidRPr="00B4730D">
        <w:rPr>
          <w:rFonts w:cstheme="minorHAnsi"/>
          <w:szCs w:val="20"/>
        </w:rPr>
        <w:t>memorialisation</w:t>
      </w:r>
      <w:proofErr w:type="spellEnd"/>
      <w:r w:rsidRPr="00B4730D">
        <w:rPr>
          <w:rFonts w:cstheme="minorHAnsi"/>
          <w:szCs w:val="20"/>
        </w:rPr>
        <w:t xml:space="preserve"> about the conflict, which should include cross</w:t>
      </w:r>
      <w:r w:rsidR="00D12B8D" w:rsidRPr="00B4730D">
        <w:rPr>
          <w:rFonts w:cstheme="minorHAnsi"/>
          <w:szCs w:val="20"/>
        </w:rPr>
        <w:t>-</w:t>
      </w:r>
      <w:r w:rsidRPr="00B4730D">
        <w:rPr>
          <w:rFonts w:cstheme="minorHAnsi"/>
          <w:szCs w:val="20"/>
        </w:rPr>
        <w:t>border dialogue. As pointed out by the Commissioner, efforts to deal with the past should now become the priority to ensure the path towards reconciliation and lasting peace for all people affected by the conflict, particularly bearing in mind the wellbeing of the future generations of Azerbaijan and Armenia.</w:t>
      </w:r>
      <w:r w:rsidRPr="00A950FE">
        <w:rPr>
          <w:vertAlign w:val="superscript"/>
        </w:rPr>
        <w:footnoteReference w:id="74"/>
      </w:r>
      <w:r w:rsidRPr="00B4730D">
        <w:rPr>
          <w:rFonts w:cstheme="minorHAnsi"/>
          <w:szCs w:val="20"/>
        </w:rPr>
        <w:t xml:space="preserve"> Adversarial narratives or dehumanizing or humiliating displays can only further intensify and strengthen long-standing hostile sentiments and hate speech, and multiply and promote manifestations of intolerance. </w:t>
      </w:r>
    </w:p>
    <w:p w14:paraId="6F899DD1" w14:textId="77777777" w:rsidR="00B4730D" w:rsidRPr="00B4730D" w:rsidRDefault="00B4730D" w:rsidP="00B4730D">
      <w:pPr>
        <w:pStyle w:val="ListParagraph"/>
        <w:rPr>
          <w:rFonts w:cstheme="minorHAnsi"/>
          <w:szCs w:val="20"/>
        </w:rPr>
      </w:pPr>
    </w:p>
    <w:p w14:paraId="7F7F774F" w14:textId="46AC0338" w:rsidR="00B4730D" w:rsidRDefault="00A950FE" w:rsidP="00B4730D">
      <w:pPr>
        <w:pStyle w:val="ListParagraph"/>
        <w:numPr>
          <w:ilvl w:val="0"/>
          <w:numId w:val="2"/>
        </w:numPr>
        <w:autoSpaceDE w:val="0"/>
        <w:autoSpaceDN w:val="0"/>
        <w:adjustRightInd w:val="0"/>
        <w:spacing w:after="0" w:line="240" w:lineRule="auto"/>
        <w:ind w:left="709"/>
        <w:jc w:val="both"/>
        <w:rPr>
          <w:rFonts w:cstheme="minorHAnsi"/>
          <w:szCs w:val="20"/>
        </w:rPr>
      </w:pPr>
      <w:r w:rsidRPr="00B4730D">
        <w:rPr>
          <w:rFonts w:cstheme="minorHAnsi"/>
          <w:szCs w:val="20"/>
        </w:rPr>
        <w:t xml:space="preserve">While there is no unique package of measures for dealing with past or on-going serious human rights violations, history shows that durable solutions cannot be achieved unless they </w:t>
      </w:r>
      <w:r w:rsidR="00D12B8D" w:rsidRPr="00B4730D">
        <w:rPr>
          <w:rFonts w:cstheme="minorHAnsi"/>
          <w:szCs w:val="20"/>
        </w:rPr>
        <w:t>encompass</w:t>
      </w:r>
      <w:r w:rsidRPr="00B4730D">
        <w:rPr>
          <w:rFonts w:cstheme="minorHAnsi"/>
          <w:szCs w:val="20"/>
        </w:rPr>
        <w:t xml:space="preserve"> a holistic approach involving all </w:t>
      </w:r>
      <w:r w:rsidR="0058196E" w:rsidRPr="00B4730D">
        <w:rPr>
          <w:rFonts w:cstheme="minorHAnsi"/>
          <w:szCs w:val="20"/>
        </w:rPr>
        <w:t xml:space="preserve">four </w:t>
      </w:r>
      <w:r w:rsidR="00B50942">
        <w:rPr>
          <w:rFonts w:cstheme="minorHAnsi"/>
          <w:szCs w:val="20"/>
        </w:rPr>
        <w:t xml:space="preserve">traditional </w:t>
      </w:r>
      <w:r w:rsidRPr="00B4730D">
        <w:rPr>
          <w:rFonts w:cstheme="minorHAnsi"/>
          <w:szCs w:val="20"/>
        </w:rPr>
        <w:t>pillars of transitional justice, namely criminal justice, reparations, truth, and guarantees of non-recurrence</w:t>
      </w:r>
      <w:r w:rsidR="008762F8" w:rsidRPr="00B4730D">
        <w:rPr>
          <w:rFonts w:cstheme="minorHAnsi"/>
          <w:szCs w:val="20"/>
        </w:rPr>
        <w:t>, in accordance with states’ obligations under international law</w:t>
      </w:r>
      <w:r w:rsidRPr="00B4730D">
        <w:rPr>
          <w:rFonts w:cstheme="minorHAnsi"/>
          <w:szCs w:val="20"/>
        </w:rPr>
        <w:t>. In a recent report,</w:t>
      </w:r>
      <w:r w:rsidRPr="00A950FE">
        <w:rPr>
          <w:vertAlign w:val="superscript"/>
        </w:rPr>
        <w:footnoteReference w:id="75"/>
      </w:r>
      <w:r w:rsidRPr="00B4730D">
        <w:rPr>
          <w:rFonts w:cstheme="minorHAnsi"/>
          <w:szCs w:val="20"/>
        </w:rPr>
        <w:t xml:space="preserve"> the UN Special Rapporteur on the promotion of truth, justice reparations and guarantees of non-recurrence highlighted </w:t>
      </w:r>
      <w:proofErr w:type="gramStart"/>
      <w:r w:rsidRPr="00B4730D">
        <w:rPr>
          <w:rFonts w:cstheme="minorHAnsi"/>
          <w:szCs w:val="20"/>
        </w:rPr>
        <w:t>in particular the</w:t>
      </w:r>
      <w:proofErr w:type="gramEnd"/>
      <w:r w:rsidRPr="00B4730D">
        <w:rPr>
          <w:rFonts w:cstheme="minorHAnsi"/>
          <w:szCs w:val="20"/>
        </w:rPr>
        <w:t xml:space="preserve"> need for vigorous, active and multidimensional memory policies, including literature, the arts, academia, the catalytic work of truth commissions, state apologies, the observance of days to commemorate disappeared persons, and school textbooks, in order to respond adequately to past crimes and prevent their recurrence. He underlined that “without the memory of the past, there can be no right to truth, justice, reparation, or guarantees of non-recurrence. For this reason, memory processes in connection with serious violations of human rights and international humanitarian law constitute the fifth pillar of transitional justice.”</w:t>
      </w:r>
      <w:r w:rsidRPr="00A950FE">
        <w:rPr>
          <w:vertAlign w:val="superscript"/>
        </w:rPr>
        <w:footnoteReference w:id="76"/>
      </w:r>
      <w:r w:rsidRPr="00B4730D">
        <w:rPr>
          <w:rFonts w:cstheme="minorHAnsi"/>
          <w:szCs w:val="20"/>
        </w:rPr>
        <w:t xml:space="preserve"> </w:t>
      </w:r>
    </w:p>
    <w:p w14:paraId="1FA6D6BD" w14:textId="77777777" w:rsidR="00B4730D" w:rsidRDefault="00B4730D" w:rsidP="00B4730D">
      <w:pPr>
        <w:pStyle w:val="ListParagraph"/>
        <w:autoSpaceDE w:val="0"/>
        <w:autoSpaceDN w:val="0"/>
        <w:adjustRightInd w:val="0"/>
        <w:spacing w:after="0" w:line="240" w:lineRule="auto"/>
        <w:ind w:left="709"/>
        <w:jc w:val="both"/>
        <w:rPr>
          <w:rFonts w:cstheme="minorHAnsi"/>
          <w:szCs w:val="20"/>
        </w:rPr>
      </w:pPr>
    </w:p>
    <w:p w14:paraId="6C89EED6" w14:textId="77777777" w:rsidR="00B4730D" w:rsidRDefault="00A950FE" w:rsidP="00B4730D">
      <w:pPr>
        <w:pStyle w:val="ListParagraph"/>
        <w:numPr>
          <w:ilvl w:val="0"/>
          <w:numId w:val="2"/>
        </w:numPr>
        <w:autoSpaceDE w:val="0"/>
        <w:autoSpaceDN w:val="0"/>
        <w:adjustRightInd w:val="0"/>
        <w:spacing w:after="0" w:line="240" w:lineRule="auto"/>
        <w:ind w:left="709"/>
        <w:jc w:val="both"/>
        <w:rPr>
          <w:rFonts w:cstheme="minorHAnsi"/>
          <w:szCs w:val="20"/>
        </w:rPr>
      </w:pPr>
      <w:r w:rsidRPr="00B4730D">
        <w:rPr>
          <w:rFonts w:cstheme="minorHAnsi"/>
          <w:szCs w:val="20"/>
        </w:rPr>
        <w:t xml:space="preserve">The Commissioner notes with concern that, to date, memory initiatives by the authorities of both Armenia and Azerbaijan, including memorials and history books, have tended to vilify the other </w:t>
      </w:r>
      <w:proofErr w:type="gramStart"/>
      <w:r w:rsidRPr="00B4730D">
        <w:rPr>
          <w:rFonts w:cstheme="minorHAnsi"/>
          <w:szCs w:val="20"/>
        </w:rPr>
        <w:t>party</w:t>
      </w:r>
      <w:proofErr w:type="gramEnd"/>
      <w:r w:rsidRPr="00B4730D">
        <w:rPr>
          <w:rFonts w:cstheme="minorHAnsi"/>
          <w:szCs w:val="20"/>
        </w:rPr>
        <w:t xml:space="preserve"> and fed hostility and resentment. Such approaches have a deleterious effect on societies and risk prolonging conflict. </w:t>
      </w:r>
      <w:proofErr w:type="spellStart"/>
      <w:r w:rsidRPr="00B4730D">
        <w:rPr>
          <w:rFonts w:cstheme="minorHAnsi"/>
          <w:szCs w:val="20"/>
        </w:rPr>
        <w:t>Memorialisation</w:t>
      </w:r>
      <w:proofErr w:type="spellEnd"/>
      <w:r w:rsidRPr="00B4730D">
        <w:rPr>
          <w:rFonts w:cstheme="minorHAnsi"/>
          <w:szCs w:val="20"/>
        </w:rPr>
        <w:t xml:space="preserve"> is a long-term process and can be effective only if it pursues the political goal of establishing democracy and a culture of peace. </w:t>
      </w:r>
      <w:proofErr w:type="spellStart"/>
      <w:r w:rsidRPr="00B4730D">
        <w:rPr>
          <w:rFonts w:cstheme="minorHAnsi"/>
          <w:szCs w:val="20"/>
        </w:rPr>
        <w:t>Memoralisation</w:t>
      </w:r>
      <w:proofErr w:type="spellEnd"/>
      <w:r w:rsidRPr="00B4730D">
        <w:rPr>
          <w:rFonts w:cstheme="minorHAnsi"/>
          <w:szCs w:val="20"/>
        </w:rPr>
        <w:t xml:space="preserve"> policies must be developed in compliance with human rights, namely ensure the participation of victims, avoid hate speech or discriminatory messages, and leave no place for the denial of serious human rights violations. </w:t>
      </w:r>
    </w:p>
    <w:p w14:paraId="029C767E" w14:textId="77777777" w:rsidR="00B4730D" w:rsidRPr="00B4730D" w:rsidRDefault="00B4730D" w:rsidP="00B4730D">
      <w:pPr>
        <w:pStyle w:val="ListParagraph"/>
        <w:rPr>
          <w:rFonts w:cstheme="minorHAnsi"/>
          <w:szCs w:val="20"/>
        </w:rPr>
      </w:pPr>
    </w:p>
    <w:p w14:paraId="242D5433" w14:textId="77777777" w:rsidR="00B4730D" w:rsidRDefault="00A950FE" w:rsidP="00B4730D">
      <w:pPr>
        <w:pStyle w:val="ListParagraph"/>
        <w:numPr>
          <w:ilvl w:val="0"/>
          <w:numId w:val="2"/>
        </w:numPr>
        <w:autoSpaceDE w:val="0"/>
        <w:autoSpaceDN w:val="0"/>
        <w:adjustRightInd w:val="0"/>
        <w:spacing w:after="0" w:line="240" w:lineRule="auto"/>
        <w:ind w:left="709"/>
        <w:jc w:val="both"/>
        <w:rPr>
          <w:rFonts w:cstheme="minorHAnsi"/>
          <w:szCs w:val="20"/>
        </w:rPr>
      </w:pPr>
      <w:r w:rsidRPr="00B4730D">
        <w:rPr>
          <w:rFonts w:cstheme="minorHAnsi"/>
          <w:szCs w:val="20"/>
        </w:rPr>
        <w:t>Civil society plays an important role in memory policies and reconciliation processes. This was also the message of ECRI in a statement adopted in March 2021 in the context of confrontations and unresolved conflicts in Europe, which called upon all stakeholders, in particular those at the highest political level, “to engage in confidence-building measures, possibly with the involvement of civil society, media and other relevant non-political actors (including, where appropriate, equality bodies and national human rights institutions) and to involve the youth to the greatest possible extent in the promotion of peaceful and inclusive societies.”</w:t>
      </w:r>
      <w:r w:rsidRPr="00A950FE">
        <w:rPr>
          <w:vertAlign w:val="superscript"/>
        </w:rPr>
        <w:footnoteReference w:id="77"/>
      </w:r>
      <w:r w:rsidRPr="00B4730D">
        <w:rPr>
          <w:rFonts w:cstheme="minorHAnsi"/>
          <w:szCs w:val="20"/>
        </w:rPr>
        <w:t xml:space="preserve"> </w:t>
      </w:r>
      <w:r w:rsidR="008E4D2C" w:rsidRPr="00B4730D">
        <w:rPr>
          <w:rFonts w:cstheme="minorHAnsi"/>
          <w:szCs w:val="20"/>
        </w:rPr>
        <w:t xml:space="preserve">The Commissioner </w:t>
      </w:r>
      <w:r w:rsidR="00340109" w:rsidRPr="00B4730D">
        <w:rPr>
          <w:rFonts w:cstheme="minorHAnsi"/>
          <w:szCs w:val="20"/>
        </w:rPr>
        <w:t xml:space="preserve">wishes to underscore </w:t>
      </w:r>
      <w:r w:rsidR="008E4D2C" w:rsidRPr="00B4730D">
        <w:rPr>
          <w:rFonts w:cstheme="minorHAnsi"/>
          <w:szCs w:val="20"/>
        </w:rPr>
        <w:t>that national human rights institutions</w:t>
      </w:r>
      <w:r w:rsidR="002A12F0" w:rsidRPr="00B4730D">
        <w:rPr>
          <w:rFonts w:cstheme="minorHAnsi"/>
          <w:szCs w:val="20"/>
        </w:rPr>
        <w:t xml:space="preserve"> (NHRIs)</w:t>
      </w:r>
      <w:r w:rsidR="008E4D2C" w:rsidRPr="00B4730D">
        <w:rPr>
          <w:rFonts w:cstheme="minorHAnsi"/>
          <w:szCs w:val="20"/>
        </w:rPr>
        <w:t xml:space="preserve"> have an important role to play in addressing human rights issues in post-conflict situations and in encouraging peace-building. In this regard, the Commissioner </w:t>
      </w:r>
      <w:r w:rsidR="00340109" w:rsidRPr="00B4730D">
        <w:rPr>
          <w:rFonts w:cstheme="minorHAnsi"/>
          <w:szCs w:val="20"/>
        </w:rPr>
        <w:t xml:space="preserve">draws attention </w:t>
      </w:r>
      <w:r w:rsidR="004D2B69" w:rsidRPr="00B4730D">
        <w:rPr>
          <w:rFonts w:cstheme="minorHAnsi"/>
          <w:szCs w:val="20"/>
        </w:rPr>
        <w:t xml:space="preserve">to the </w:t>
      </w:r>
      <w:r w:rsidR="00340109" w:rsidRPr="00B4730D">
        <w:rPr>
          <w:rFonts w:cstheme="minorHAnsi"/>
          <w:szCs w:val="20"/>
        </w:rPr>
        <w:t xml:space="preserve">guiding principles for effective engagement developed by </w:t>
      </w:r>
      <w:r w:rsidR="004D2B69" w:rsidRPr="00B4730D">
        <w:rPr>
          <w:rFonts w:cstheme="minorHAnsi"/>
          <w:szCs w:val="20"/>
        </w:rPr>
        <w:t>the European Network of NHRIs</w:t>
      </w:r>
      <w:r w:rsidR="00340109" w:rsidRPr="00B4730D">
        <w:rPr>
          <w:rFonts w:cstheme="minorHAnsi"/>
          <w:szCs w:val="20"/>
        </w:rPr>
        <w:t xml:space="preserve"> and its members.</w:t>
      </w:r>
      <w:r w:rsidR="00340109">
        <w:rPr>
          <w:rStyle w:val="FootnoteReference"/>
          <w:rFonts w:cstheme="minorHAnsi"/>
          <w:szCs w:val="20"/>
        </w:rPr>
        <w:footnoteReference w:id="78"/>
      </w:r>
      <w:r w:rsidR="004D2B69" w:rsidRPr="00B4730D">
        <w:rPr>
          <w:rFonts w:cstheme="minorHAnsi"/>
          <w:szCs w:val="20"/>
        </w:rPr>
        <w:t xml:space="preserve"> </w:t>
      </w:r>
      <w:r w:rsidR="00583115" w:rsidRPr="00B4730D">
        <w:rPr>
          <w:rFonts w:cstheme="minorHAnsi"/>
          <w:szCs w:val="20"/>
        </w:rPr>
        <w:t xml:space="preserve">The Commissioner also believes that </w:t>
      </w:r>
      <w:r w:rsidR="00200312" w:rsidRPr="00B4730D">
        <w:rPr>
          <w:rFonts w:cstheme="minorHAnsi"/>
          <w:szCs w:val="20"/>
        </w:rPr>
        <w:t xml:space="preserve">a gender perspective should be integrated into </w:t>
      </w:r>
      <w:r w:rsidR="007151DD" w:rsidRPr="00B4730D">
        <w:rPr>
          <w:rFonts w:cstheme="minorHAnsi"/>
          <w:szCs w:val="20"/>
        </w:rPr>
        <w:t xml:space="preserve">any </w:t>
      </w:r>
      <w:r w:rsidR="00200312" w:rsidRPr="00B4730D">
        <w:rPr>
          <w:rFonts w:cstheme="minorHAnsi"/>
          <w:szCs w:val="20"/>
        </w:rPr>
        <w:t>conflict prevention and resolution</w:t>
      </w:r>
      <w:r w:rsidR="003B3781" w:rsidRPr="00B4730D">
        <w:rPr>
          <w:rFonts w:cstheme="minorHAnsi"/>
          <w:szCs w:val="20"/>
        </w:rPr>
        <w:t>, peacekeeping</w:t>
      </w:r>
      <w:r w:rsidR="00200312" w:rsidRPr="00B4730D">
        <w:rPr>
          <w:rFonts w:cstheme="minorHAnsi"/>
          <w:szCs w:val="20"/>
        </w:rPr>
        <w:t xml:space="preserve"> and peace building activities </w:t>
      </w:r>
      <w:r w:rsidR="00583115" w:rsidRPr="00B4730D">
        <w:rPr>
          <w:rFonts w:cstheme="minorHAnsi"/>
          <w:szCs w:val="20"/>
        </w:rPr>
        <w:t>in line with the UN Resolution</w:t>
      </w:r>
      <w:r w:rsidR="00167E19" w:rsidRPr="00B4730D">
        <w:rPr>
          <w:rFonts w:cstheme="minorHAnsi"/>
          <w:szCs w:val="20"/>
        </w:rPr>
        <w:t>s o</w:t>
      </w:r>
      <w:r w:rsidR="00200312" w:rsidRPr="00B4730D">
        <w:rPr>
          <w:rFonts w:cstheme="minorHAnsi"/>
          <w:szCs w:val="20"/>
        </w:rPr>
        <w:t>n</w:t>
      </w:r>
      <w:r w:rsidR="00167E19" w:rsidRPr="00B4730D">
        <w:rPr>
          <w:rFonts w:cstheme="minorHAnsi"/>
          <w:szCs w:val="20"/>
        </w:rPr>
        <w:t xml:space="preserve"> Women, Peace and Security</w:t>
      </w:r>
      <w:r w:rsidR="00583115" w:rsidRPr="00B4730D">
        <w:rPr>
          <w:rFonts w:cstheme="minorHAnsi"/>
          <w:szCs w:val="20"/>
        </w:rPr>
        <w:t xml:space="preserve"> and the </w:t>
      </w:r>
      <w:r w:rsidR="00167E19" w:rsidRPr="00B4730D">
        <w:rPr>
          <w:rFonts w:cstheme="minorHAnsi"/>
          <w:szCs w:val="20"/>
        </w:rPr>
        <w:t xml:space="preserve">Committee of Ministers’ </w:t>
      </w:r>
      <w:r w:rsidR="00583115" w:rsidRPr="00B4730D">
        <w:rPr>
          <w:rFonts w:cstheme="minorHAnsi"/>
          <w:szCs w:val="20"/>
        </w:rPr>
        <w:t>Recommendation CM/Rec(2010)10 on the role of women and men in conflict prevention and resolution and in peace building.</w:t>
      </w:r>
      <w:r w:rsidR="00200312">
        <w:rPr>
          <w:rStyle w:val="FootnoteReference"/>
          <w:rFonts w:cstheme="minorHAnsi"/>
          <w:szCs w:val="20"/>
        </w:rPr>
        <w:footnoteReference w:id="79"/>
      </w:r>
    </w:p>
    <w:p w14:paraId="05C7AE3D" w14:textId="77777777" w:rsidR="00B4730D" w:rsidRDefault="00B4730D" w:rsidP="00B4730D">
      <w:pPr>
        <w:pStyle w:val="ListParagraph"/>
        <w:autoSpaceDE w:val="0"/>
        <w:autoSpaceDN w:val="0"/>
        <w:adjustRightInd w:val="0"/>
        <w:spacing w:after="0" w:line="240" w:lineRule="auto"/>
        <w:ind w:left="709"/>
        <w:jc w:val="both"/>
        <w:rPr>
          <w:rFonts w:cstheme="minorHAnsi"/>
          <w:szCs w:val="20"/>
        </w:rPr>
      </w:pPr>
    </w:p>
    <w:p w14:paraId="2C7F133F" w14:textId="0E3C4EF5" w:rsidR="00B4730D" w:rsidRDefault="00A950FE" w:rsidP="00B4730D">
      <w:pPr>
        <w:pStyle w:val="ListParagraph"/>
        <w:numPr>
          <w:ilvl w:val="0"/>
          <w:numId w:val="2"/>
        </w:numPr>
        <w:autoSpaceDE w:val="0"/>
        <w:autoSpaceDN w:val="0"/>
        <w:adjustRightInd w:val="0"/>
        <w:spacing w:after="0" w:line="240" w:lineRule="auto"/>
        <w:ind w:left="709"/>
        <w:jc w:val="both"/>
        <w:rPr>
          <w:rFonts w:cstheme="minorHAnsi"/>
          <w:szCs w:val="20"/>
        </w:rPr>
      </w:pPr>
      <w:r w:rsidRPr="00B4730D">
        <w:rPr>
          <w:rFonts w:cstheme="minorHAnsi"/>
          <w:szCs w:val="20"/>
        </w:rPr>
        <w:t>Some cross-border initiatives bringing together young people from Armenia and Azerbaijan for a respectful dialogue already exist and should be supported. Yet, the Commissioner note</w:t>
      </w:r>
      <w:r w:rsidR="001667E0">
        <w:rPr>
          <w:rFonts w:cstheme="minorHAnsi"/>
          <w:szCs w:val="20"/>
        </w:rPr>
        <w:t xml:space="preserve">s that following the recent hostilities those </w:t>
      </w:r>
      <w:r w:rsidRPr="00B4730D">
        <w:rPr>
          <w:rFonts w:cstheme="minorHAnsi"/>
          <w:szCs w:val="20"/>
        </w:rPr>
        <w:t>NGOs or human rights activists who have raised concerns about xenophobia or tried to promote a message of dialogue and reconciliation</w:t>
      </w:r>
      <w:r w:rsidR="001667E0">
        <w:rPr>
          <w:rFonts w:cstheme="minorHAnsi"/>
          <w:szCs w:val="20"/>
        </w:rPr>
        <w:t xml:space="preserve"> have been coming under increased pressure and intimid</w:t>
      </w:r>
      <w:r w:rsidR="005A103D">
        <w:rPr>
          <w:rFonts w:cstheme="minorHAnsi"/>
          <w:szCs w:val="20"/>
        </w:rPr>
        <w:t>ation</w:t>
      </w:r>
      <w:r w:rsidRPr="00B4730D">
        <w:rPr>
          <w:rFonts w:cstheme="minorHAnsi"/>
          <w:szCs w:val="20"/>
        </w:rPr>
        <w:t xml:space="preserve">. They are reportedly regularly stigmatized by state officials, as attempting to </w:t>
      </w:r>
      <w:proofErr w:type="spellStart"/>
      <w:r w:rsidRPr="00B4730D">
        <w:rPr>
          <w:rFonts w:cstheme="minorHAnsi"/>
          <w:szCs w:val="20"/>
        </w:rPr>
        <w:t>destabilise</w:t>
      </w:r>
      <w:proofErr w:type="spellEnd"/>
      <w:r w:rsidRPr="00B4730D">
        <w:rPr>
          <w:rFonts w:cstheme="minorHAnsi"/>
          <w:szCs w:val="20"/>
        </w:rPr>
        <w:t xml:space="preserve"> the country concerned or working on behalf of foreign interests, with politicians questioning the legitimacy of NGO work in this area. The Commissioner calls upon the authorities to create an enabling environment for NGOs or civil society representatives wishing to engage in cross-border initiatives. </w:t>
      </w:r>
    </w:p>
    <w:p w14:paraId="22122B0F" w14:textId="77777777" w:rsidR="00B4730D" w:rsidRPr="00B4730D" w:rsidRDefault="00B4730D" w:rsidP="00B4730D">
      <w:pPr>
        <w:pStyle w:val="ListParagraph"/>
        <w:rPr>
          <w:rFonts w:cstheme="minorHAnsi"/>
          <w:szCs w:val="20"/>
        </w:rPr>
      </w:pPr>
    </w:p>
    <w:p w14:paraId="378A55A4" w14:textId="398E8B34" w:rsidR="00A950FE" w:rsidRPr="00B4730D" w:rsidRDefault="00A950FE" w:rsidP="00B4730D">
      <w:pPr>
        <w:pStyle w:val="ListParagraph"/>
        <w:numPr>
          <w:ilvl w:val="0"/>
          <w:numId w:val="2"/>
        </w:numPr>
        <w:autoSpaceDE w:val="0"/>
        <w:autoSpaceDN w:val="0"/>
        <w:adjustRightInd w:val="0"/>
        <w:spacing w:after="0" w:line="240" w:lineRule="auto"/>
        <w:ind w:left="709"/>
        <w:jc w:val="both"/>
        <w:rPr>
          <w:rFonts w:cstheme="minorHAnsi"/>
          <w:szCs w:val="20"/>
        </w:rPr>
      </w:pPr>
      <w:r w:rsidRPr="00B4730D">
        <w:rPr>
          <w:rFonts w:cstheme="minorHAnsi"/>
          <w:szCs w:val="20"/>
        </w:rPr>
        <w:t>To conclude, the Commissioner</w:t>
      </w:r>
      <w:r w:rsidR="00295F17" w:rsidRPr="00B4730D">
        <w:rPr>
          <w:rFonts w:cstheme="minorHAnsi"/>
          <w:szCs w:val="20"/>
        </w:rPr>
        <w:t xml:space="preserve"> would like to </w:t>
      </w:r>
      <w:r w:rsidR="00FA0D15" w:rsidRPr="00B4730D">
        <w:rPr>
          <w:rFonts w:cstheme="minorHAnsi"/>
          <w:szCs w:val="20"/>
        </w:rPr>
        <w:t>acknowledge</w:t>
      </w:r>
      <w:r w:rsidR="00295F17" w:rsidRPr="00B4730D">
        <w:rPr>
          <w:rFonts w:cstheme="minorHAnsi"/>
          <w:szCs w:val="20"/>
        </w:rPr>
        <w:t xml:space="preserve"> an important and constructive role that the international community </w:t>
      </w:r>
      <w:r w:rsidR="00FA0D15" w:rsidRPr="00B4730D">
        <w:rPr>
          <w:rFonts w:cstheme="minorHAnsi"/>
          <w:szCs w:val="20"/>
        </w:rPr>
        <w:t>can and should</w:t>
      </w:r>
      <w:r w:rsidR="00295F17" w:rsidRPr="00B4730D">
        <w:rPr>
          <w:rFonts w:cstheme="minorHAnsi"/>
          <w:szCs w:val="20"/>
        </w:rPr>
        <w:t xml:space="preserve"> play in assisting parties to the conflict to</w:t>
      </w:r>
      <w:r w:rsidR="002A12F0" w:rsidRPr="00B4730D">
        <w:rPr>
          <w:rFonts w:cstheme="minorHAnsi"/>
          <w:szCs w:val="20"/>
        </w:rPr>
        <w:t xml:space="preserve"> </w:t>
      </w:r>
      <w:r w:rsidRPr="00B4730D">
        <w:rPr>
          <w:rFonts w:cstheme="minorHAnsi"/>
          <w:szCs w:val="20"/>
        </w:rPr>
        <w:t>overcome</w:t>
      </w:r>
      <w:r w:rsidR="00295F17" w:rsidRPr="00B4730D">
        <w:rPr>
          <w:rFonts w:cstheme="minorHAnsi"/>
          <w:szCs w:val="20"/>
        </w:rPr>
        <w:t xml:space="preserve"> any lingering </w:t>
      </w:r>
      <w:r w:rsidRPr="00B4730D">
        <w:rPr>
          <w:rFonts w:cstheme="minorHAnsi"/>
          <w:szCs w:val="20"/>
        </w:rPr>
        <w:t>antagonisms and</w:t>
      </w:r>
      <w:r w:rsidR="00295F17" w:rsidRPr="00B4730D">
        <w:rPr>
          <w:rFonts w:cstheme="minorHAnsi"/>
          <w:szCs w:val="20"/>
        </w:rPr>
        <w:t xml:space="preserve"> the rhetoric of</w:t>
      </w:r>
      <w:r w:rsidR="00121BE4" w:rsidRPr="00B4730D">
        <w:rPr>
          <w:rFonts w:cstheme="minorHAnsi"/>
          <w:szCs w:val="20"/>
        </w:rPr>
        <w:t xml:space="preserve"> </w:t>
      </w:r>
      <w:r w:rsidR="00295F17" w:rsidRPr="00B4730D">
        <w:rPr>
          <w:rFonts w:cstheme="minorHAnsi"/>
          <w:szCs w:val="20"/>
        </w:rPr>
        <w:t>persist</w:t>
      </w:r>
      <w:r w:rsidR="00121BE4" w:rsidRPr="00B4730D">
        <w:rPr>
          <w:rFonts w:cstheme="minorHAnsi"/>
          <w:szCs w:val="20"/>
        </w:rPr>
        <w:t>ing</w:t>
      </w:r>
      <w:r w:rsidR="00295F17" w:rsidRPr="00B4730D">
        <w:rPr>
          <w:rFonts w:cstheme="minorHAnsi"/>
          <w:szCs w:val="20"/>
        </w:rPr>
        <w:t xml:space="preserve"> mutual</w:t>
      </w:r>
      <w:r w:rsidRPr="00B4730D">
        <w:rPr>
          <w:rFonts w:cstheme="minorHAnsi"/>
          <w:szCs w:val="20"/>
        </w:rPr>
        <w:t xml:space="preserve"> accusations</w:t>
      </w:r>
      <w:r w:rsidR="00295F17" w:rsidRPr="00B4730D">
        <w:rPr>
          <w:rFonts w:cstheme="minorHAnsi"/>
          <w:szCs w:val="20"/>
        </w:rPr>
        <w:t xml:space="preserve"> and</w:t>
      </w:r>
      <w:r w:rsidR="007F67F7" w:rsidRPr="00B4730D">
        <w:rPr>
          <w:rFonts w:cstheme="minorHAnsi"/>
          <w:szCs w:val="20"/>
        </w:rPr>
        <w:t xml:space="preserve"> </w:t>
      </w:r>
      <w:r w:rsidRPr="00B4730D">
        <w:rPr>
          <w:rFonts w:cstheme="minorHAnsi"/>
          <w:szCs w:val="20"/>
        </w:rPr>
        <w:t>move</w:t>
      </w:r>
      <w:r w:rsidR="00FA0D15" w:rsidRPr="00B4730D">
        <w:rPr>
          <w:rFonts w:cstheme="minorHAnsi"/>
          <w:szCs w:val="20"/>
        </w:rPr>
        <w:t xml:space="preserve"> instead</w:t>
      </w:r>
      <w:r w:rsidRPr="00B4730D">
        <w:rPr>
          <w:rFonts w:cstheme="minorHAnsi"/>
          <w:szCs w:val="20"/>
        </w:rPr>
        <w:t xml:space="preserve"> forward on the path towards reconciliation</w:t>
      </w:r>
      <w:r w:rsidR="00FA0D15" w:rsidRPr="00B4730D">
        <w:rPr>
          <w:rFonts w:cstheme="minorHAnsi"/>
          <w:szCs w:val="20"/>
        </w:rPr>
        <w:t>. There is a pressing need</w:t>
      </w:r>
      <w:r w:rsidR="00295F17" w:rsidRPr="00B4730D">
        <w:rPr>
          <w:rFonts w:cstheme="minorHAnsi"/>
          <w:szCs w:val="20"/>
        </w:rPr>
        <w:t xml:space="preserve"> </w:t>
      </w:r>
      <w:r w:rsidR="00FA0D15" w:rsidRPr="00B4730D">
        <w:rPr>
          <w:rFonts w:cstheme="minorHAnsi"/>
          <w:szCs w:val="20"/>
        </w:rPr>
        <w:t xml:space="preserve">to </w:t>
      </w:r>
      <w:r w:rsidR="00EC7755" w:rsidRPr="00B4730D">
        <w:rPr>
          <w:rFonts w:cstheme="minorHAnsi"/>
          <w:szCs w:val="20"/>
        </w:rPr>
        <w:t xml:space="preserve">provide </w:t>
      </w:r>
      <w:r w:rsidR="00FA0D15" w:rsidRPr="00B4730D">
        <w:rPr>
          <w:rFonts w:cstheme="minorHAnsi"/>
          <w:szCs w:val="20"/>
        </w:rPr>
        <w:t>unwavering</w:t>
      </w:r>
      <w:r w:rsidR="00C37F06" w:rsidRPr="00B4730D">
        <w:rPr>
          <w:rFonts w:cstheme="minorHAnsi"/>
          <w:szCs w:val="20"/>
        </w:rPr>
        <w:t xml:space="preserve"> and continuous </w:t>
      </w:r>
      <w:r w:rsidR="00295F17" w:rsidRPr="00B4730D">
        <w:rPr>
          <w:rFonts w:cstheme="minorHAnsi"/>
          <w:szCs w:val="20"/>
        </w:rPr>
        <w:t xml:space="preserve">support to a wide range of </w:t>
      </w:r>
      <w:r w:rsidR="004F755E" w:rsidRPr="00B4730D">
        <w:rPr>
          <w:rFonts w:cstheme="minorHAnsi"/>
          <w:szCs w:val="20"/>
        </w:rPr>
        <w:t>measures</w:t>
      </w:r>
      <w:r w:rsidR="00295F17" w:rsidRPr="00B4730D">
        <w:rPr>
          <w:rFonts w:cstheme="minorHAnsi"/>
          <w:szCs w:val="20"/>
        </w:rPr>
        <w:t xml:space="preserve"> aimed at </w:t>
      </w:r>
      <w:r w:rsidR="00FA0D15" w:rsidRPr="00B4730D">
        <w:rPr>
          <w:rFonts w:cstheme="minorHAnsi"/>
          <w:szCs w:val="20"/>
        </w:rPr>
        <w:t xml:space="preserve">building </w:t>
      </w:r>
      <w:r w:rsidR="00295F17" w:rsidRPr="00B4730D">
        <w:rPr>
          <w:rFonts w:cstheme="minorHAnsi"/>
          <w:szCs w:val="20"/>
        </w:rPr>
        <w:t>trust and confidence</w:t>
      </w:r>
      <w:r w:rsidR="004F755E" w:rsidRPr="00B4730D">
        <w:rPr>
          <w:rFonts w:cstheme="minorHAnsi"/>
          <w:szCs w:val="20"/>
        </w:rPr>
        <w:t xml:space="preserve"> </w:t>
      </w:r>
      <w:r w:rsidR="00FA0D15" w:rsidRPr="00B4730D">
        <w:rPr>
          <w:rFonts w:cstheme="minorHAnsi"/>
          <w:szCs w:val="20"/>
        </w:rPr>
        <w:t xml:space="preserve">first and foremost </w:t>
      </w:r>
      <w:r w:rsidR="004F755E" w:rsidRPr="00B4730D">
        <w:rPr>
          <w:rFonts w:cstheme="minorHAnsi"/>
          <w:szCs w:val="20"/>
        </w:rPr>
        <w:t>between</w:t>
      </w:r>
      <w:r w:rsidR="00295F17" w:rsidRPr="00B4730D">
        <w:rPr>
          <w:rFonts w:cstheme="minorHAnsi"/>
          <w:szCs w:val="20"/>
        </w:rPr>
        <w:t xml:space="preserve"> the</w:t>
      </w:r>
      <w:r w:rsidR="004F755E" w:rsidRPr="00B4730D">
        <w:rPr>
          <w:rFonts w:cstheme="minorHAnsi"/>
          <w:szCs w:val="20"/>
        </w:rPr>
        <w:t xml:space="preserve"> parties to the </w:t>
      </w:r>
      <w:r w:rsidR="00FA0D15" w:rsidRPr="00B4730D">
        <w:rPr>
          <w:rFonts w:cstheme="minorHAnsi"/>
          <w:szCs w:val="20"/>
        </w:rPr>
        <w:t xml:space="preserve">present </w:t>
      </w:r>
      <w:r w:rsidR="004F755E" w:rsidRPr="00B4730D">
        <w:rPr>
          <w:rFonts w:cstheme="minorHAnsi"/>
          <w:szCs w:val="20"/>
        </w:rPr>
        <w:t>conflict</w:t>
      </w:r>
      <w:r w:rsidR="00FA0D15" w:rsidRPr="00B4730D">
        <w:rPr>
          <w:rFonts w:cstheme="minorHAnsi"/>
          <w:szCs w:val="20"/>
        </w:rPr>
        <w:t>, but also, more broadly, in the</w:t>
      </w:r>
      <w:r w:rsidR="004F755E" w:rsidRPr="00B4730D">
        <w:rPr>
          <w:rFonts w:cstheme="minorHAnsi"/>
          <w:szCs w:val="20"/>
        </w:rPr>
        <w:t xml:space="preserve"> regional context</w:t>
      </w:r>
      <w:r w:rsidR="00EC7755" w:rsidRPr="00B4730D">
        <w:rPr>
          <w:rFonts w:cstheme="minorHAnsi"/>
          <w:szCs w:val="20"/>
        </w:rPr>
        <w:t xml:space="preserve"> </w:t>
      </w:r>
      <w:proofErr w:type="gramStart"/>
      <w:r w:rsidR="00EC7755" w:rsidRPr="00B4730D">
        <w:rPr>
          <w:rFonts w:cstheme="minorHAnsi"/>
          <w:szCs w:val="20"/>
        </w:rPr>
        <w:t>in order to</w:t>
      </w:r>
      <w:proofErr w:type="gramEnd"/>
      <w:r w:rsidR="00EC7755" w:rsidRPr="00B4730D">
        <w:rPr>
          <w:rFonts w:cstheme="minorHAnsi"/>
          <w:szCs w:val="20"/>
        </w:rPr>
        <w:t xml:space="preserve"> ensure a more peaceful and prosperous future for the generations to come</w:t>
      </w:r>
      <w:r w:rsidRPr="00B4730D">
        <w:rPr>
          <w:rFonts w:cstheme="minorHAnsi"/>
          <w:szCs w:val="20"/>
        </w:rPr>
        <w:t xml:space="preserve">. She trusts that this </w:t>
      </w:r>
      <w:r w:rsidR="0035463D" w:rsidRPr="00B4730D">
        <w:rPr>
          <w:rFonts w:cstheme="minorHAnsi"/>
          <w:szCs w:val="20"/>
        </w:rPr>
        <w:t>m</w:t>
      </w:r>
      <w:r w:rsidRPr="00B4730D">
        <w:rPr>
          <w:rFonts w:cstheme="minorHAnsi"/>
          <w:szCs w:val="20"/>
        </w:rPr>
        <w:t xml:space="preserve">emorandum and the recommendations it contains will </w:t>
      </w:r>
      <w:r w:rsidR="003B3781" w:rsidRPr="00B4730D">
        <w:rPr>
          <w:rFonts w:cstheme="minorHAnsi"/>
          <w:szCs w:val="20"/>
        </w:rPr>
        <w:t xml:space="preserve">contribute to </w:t>
      </w:r>
      <w:r w:rsidRPr="00B4730D">
        <w:rPr>
          <w:rFonts w:cstheme="minorHAnsi"/>
          <w:szCs w:val="20"/>
        </w:rPr>
        <w:t>provid</w:t>
      </w:r>
      <w:r w:rsidR="003B3781" w:rsidRPr="00B4730D">
        <w:rPr>
          <w:rFonts w:cstheme="minorHAnsi"/>
          <w:szCs w:val="20"/>
        </w:rPr>
        <w:t>ing</w:t>
      </w:r>
      <w:r w:rsidRPr="00B4730D">
        <w:rPr>
          <w:rFonts w:cstheme="minorHAnsi"/>
          <w:szCs w:val="20"/>
        </w:rPr>
        <w:t xml:space="preserve"> a roadmap for this path.</w:t>
      </w:r>
    </w:p>
    <w:p w14:paraId="2E98E84E" w14:textId="5A5D057F" w:rsidR="0045007D" w:rsidRPr="00FA1680" w:rsidRDefault="0045007D" w:rsidP="00836ECB">
      <w:pPr>
        <w:autoSpaceDE w:val="0"/>
        <w:autoSpaceDN w:val="0"/>
        <w:adjustRightInd w:val="0"/>
        <w:spacing w:after="0" w:line="240" w:lineRule="auto"/>
        <w:jc w:val="both"/>
        <w:rPr>
          <w:rFonts w:cstheme="minorHAnsi"/>
          <w:szCs w:val="20"/>
        </w:rPr>
      </w:pPr>
    </w:p>
    <w:sectPr w:rsidR="0045007D" w:rsidRPr="00FA1680" w:rsidSect="0042755A">
      <w:footerReference w:type="default" r:id="rId11"/>
      <w:headerReference w:type="first" r:id="rId12"/>
      <w:footerReference w:type="first" r:id="rId13"/>
      <w:pgSz w:w="12240" w:h="15840" w:code="1"/>
      <w:pgMar w:top="871" w:right="1418" w:bottom="1361" w:left="1418" w:header="709" w:footer="5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2D632C" w14:textId="77777777" w:rsidR="006B683D" w:rsidRDefault="006B683D" w:rsidP="002227B3">
      <w:pPr>
        <w:spacing w:after="0" w:line="240" w:lineRule="auto"/>
      </w:pPr>
      <w:r>
        <w:separator/>
      </w:r>
    </w:p>
  </w:endnote>
  <w:endnote w:type="continuationSeparator" w:id="0">
    <w:p w14:paraId="509D9ECF" w14:textId="77777777" w:rsidR="006B683D" w:rsidRDefault="006B683D" w:rsidP="00222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0173342"/>
      <w:docPartObj>
        <w:docPartGallery w:val="Page Numbers (Bottom of Page)"/>
        <w:docPartUnique/>
      </w:docPartObj>
    </w:sdtPr>
    <w:sdtEndPr>
      <w:rPr>
        <w:sz w:val="18"/>
        <w:szCs w:val="18"/>
      </w:rPr>
    </w:sdtEndPr>
    <w:sdtContent>
      <w:p w14:paraId="59BE7D0A" w14:textId="70CE1ACD" w:rsidR="009269CA" w:rsidRPr="00FE39BC" w:rsidRDefault="009269CA">
        <w:pPr>
          <w:pStyle w:val="Footer"/>
          <w:jc w:val="center"/>
          <w:rPr>
            <w:sz w:val="18"/>
            <w:szCs w:val="18"/>
          </w:rPr>
        </w:pPr>
        <w:r w:rsidRPr="00FE39BC">
          <w:rPr>
            <w:sz w:val="18"/>
            <w:szCs w:val="18"/>
          </w:rPr>
          <w:fldChar w:fldCharType="begin"/>
        </w:r>
        <w:r w:rsidRPr="00FE39BC">
          <w:rPr>
            <w:sz w:val="18"/>
            <w:szCs w:val="18"/>
          </w:rPr>
          <w:instrText>PAGE   \* MERGEFORMAT</w:instrText>
        </w:r>
        <w:r w:rsidRPr="00FE39BC">
          <w:rPr>
            <w:sz w:val="18"/>
            <w:szCs w:val="18"/>
          </w:rPr>
          <w:fldChar w:fldCharType="separate"/>
        </w:r>
        <w:r w:rsidRPr="00FE39BC">
          <w:rPr>
            <w:sz w:val="18"/>
            <w:szCs w:val="18"/>
            <w:lang w:val="fr-FR"/>
          </w:rPr>
          <w:t>2</w:t>
        </w:r>
        <w:r w:rsidRPr="00FE39BC">
          <w:rPr>
            <w:sz w:val="18"/>
            <w:szCs w:val="18"/>
          </w:rPr>
          <w:fldChar w:fldCharType="end"/>
        </w:r>
      </w:p>
    </w:sdtContent>
  </w:sdt>
  <w:p w14:paraId="6CC2A64C" w14:textId="77777777" w:rsidR="009269CA" w:rsidRDefault="00926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0889B" w14:textId="77777777" w:rsidR="009269CA" w:rsidRDefault="009269CA"/>
  <w:tbl>
    <w:tblPr>
      <w:tblW w:w="10343" w:type="dxa"/>
      <w:tblInd w:w="-567" w:type="dxa"/>
      <w:tblLayout w:type="fixed"/>
      <w:tblLook w:val="0000" w:firstRow="0" w:lastRow="0" w:firstColumn="0" w:lastColumn="0" w:noHBand="0" w:noVBand="0"/>
    </w:tblPr>
    <w:tblGrid>
      <w:gridCol w:w="5171"/>
      <w:gridCol w:w="5172"/>
    </w:tblGrid>
    <w:tr w:rsidR="009269CA" w:rsidRPr="00596709" w14:paraId="6A877A9E" w14:textId="77777777" w:rsidTr="00770022">
      <w:trPr>
        <w:trHeight w:val="788"/>
      </w:trPr>
      <w:tc>
        <w:tcPr>
          <w:tcW w:w="5171" w:type="dxa"/>
          <w:shd w:val="clear" w:color="auto" w:fill="auto"/>
        </w:tcPr>
        <w:p w14:paraId="4C05A8AD" w14:textId="5FD45D55" w:rsidR="009269CA" w:rsidRPr="00254ECC" w:rsidRDefault="009269CA" w:rsidP="00EC4851">
          <w:pPr>
            <w:rPr>
              <w:rFonts w:cs="Arial"/>
              <w:szCs w:val="20"/>
              <w:lang w:val="en-GB"/>
            </w:rPr>
          </w:pPr>
          <w:r w:rsidRPr="00B82AF0">
            <w:rPr>
              <w:rFonts w:cs="Arial"/>
              <w:szCs w:val="20"/>
              <w:lang w:val="tr-TR"/>
            </w:rPr>
            <w:t>Stra</w:t>
          </w:r>
          <w:r>
            <w:rPr>
              <w:rFonts w:cs="Arial"/>
              <w:szCs w:val="20"/>
              <w:lang w:val="tr-TR"/>
            </w:rPr>
            <w:t>s</w:t>
          </w:r>
          <w:r w:rsidRPr="00B82AF0">
            <w:rPr>
              <w:rFonts w:cs="Arial"/>
              <w:szCs w:val="20"/>
              <w:lang w:val="tr-TR"/>
            </w:rPr>
            <w:t>b</w:t>
          </w:r>
          <w:r>
            <w:rPr>
              <w:rFonts w:cs="Arial"/>
              <w:szCs w:val="20"/>
              <w:lang w:val="tr-TR"/>
            </w:rPr>
            <w:t>o</w:t>
          </w:r>
          <w:r w:rsidRPr="00B82AF0">
            <w:rPr>
              <w:rFonts w:cs="Arial"/>
              <w:szCs w:val="20"/>
              <w:lang w:val="tr-TR"/>
            </w:rPr>
            <w:t xml:space="preserve">urg, </w:t>
          </w:r>
          <w:r w:rsidR="00B037C1">
            <w:rPr>
              <w:rFonts w:cs="Arial"/>
              <w:szCs w:val="20"/>
              <w:lang w:val="tr-TR"/>
            </w:rPr>
            <w:t>8 November</w:t>
          </w:r>
          <w:r w:rsidRPr="00B82AF0">
            <w:rPr>
              <w:rFonts w:cs="Arial"/>
              <w:szCs w:val="20"/>
              <w:lang w:val="tr-TR"/>
            </w:rPr>
            <w:t xml:space="preserve"> 202</w:t>
          </w:r>
          <w:r>
            <w:rPr>
              <w:rFonts w:cs="Arial"/>
              <w:szCs w:val="20"/>
              <w:lang w:val="tr-TR"/>
            </w:rPr>
            <w:t>1</w:t>
          </w:r>
        </w:p>
      </w:tc>
      <w:tc>
        <w:tcPr>
          <w:tcW w:w="5172" w:type="dxa"/>
          <w:shd w:val="clear" w:color="auto" w:fill="auto"/>
        </w:tcPr>
        <w:p w14:paraId="5C43C665" w14:textId="58241104" w:rsidR="009269CA" w:rsidRDefault="002A1F86" w:rsidP="002E6856">
          <w:pPr>
            <w:spacing w:after="0"/>
            <w:jc w:val="right"/>
            <w:rPr>
              <w:rFonts w:cs="Arial"/>
              <w:szCs w:val="20"/>
              <w:lang w:val="en-GB"/>
            </w:rPr>
          </w:pPr>
          <w:proofErr w:type="spellStart"/>
          <w:proofErr w:type="gramStart"/>
          <w:r w:rsidRPr="00254ECC">
            <w:rPr>
              <w:rFonts w:cs="Arial"/>
              <w:szCs w:val="20"/>
              <w:lang w:val="en-GB"/>
            </w:rPr>
            <w:t>C</w:t>
          </w:r>
          <w:r w:rsidR="00296E5B">
            <w:rPr>
              <w:rFonts w:cs="Arial"/>
              <w:szCs w:val="20"/>
              <w:lang w:val="en-GB"/>
            </w:rPr>
            <w:t>ommDH</w:t>
          </w:r>
          <w:proofErr w:type="spellEnd"/>
          <w:r w:rsidR="009269CA" w:rsidRPr="00254ECC">
            <w:rPr>
              <w:rFonts w:cs="Arial"/>
              <w:szCs w:val="20"/>
              <w:lang w:val="en-GB"/>
            </w:rPr>
            <w:t>(</w:t>
          </w:r>
          <w:proofErr w:type="gramEnd"/>
          <w:r w:rsidR="009269CA" w:rsidRPr="00254ECC">
            <w:rPr>
              <w:rFonts w:cs="Arial"/>
              <w:szCs w:val="20"/>
              <w:lang w:val="en-GB"/>
            </w:rPr>
            <w:t>20</w:t>
          </w:r>
          <w:r w:rsidR="009269CA">
            <w:rPr>
              <w:rFonts w:cs="Arial"/>
              <w:szCs w:val="20"/>
              <w:lang w:val="en-GB"/>
            </w:rPr>
            <w:t>21</w:t>
          </w:r>
          <w:r w:rsidR="009269CA" w:rsidRPr="00254ECC">
            <w:rPr>
              <w:rFonts w:cs="Arial"/>
              <w:szCs w:val="20"/>
              <w:lang w:val="en-GB"/>
            </w:rPr>
            <w:t>)</w:t>
          </w:r>
          <w:r w:rsidR="009269CA">
            <w:rPr>
              <w:rFonts w:cs="Arial"/>
              <w:szCs w:val="20"/>
              <w:lang w:val="en-GB"/>
            </w:rPr>
            <w:t>29</w:t>
          </w:r>
        </w:p>
        <w:p w14:paraId="6DB597A5" w14:textId="47A9E85B" w:rsidR="009269CA" w:rsidRPr="00254ECC" w:rsidRDefault="009269CA" w:rsidP="002E6856">
          <w:pPr>
            <w:spacing w:after="0"/>
            <w:jc w:val="right"/>
            <w:rPr>
              <w:rFonts w:cs="Arial"/>
              <w:szCs w:val="20"/>
              <w:lang w:val="en-GB"/>
            </w:rPr>
          </w:pPr>
          <w:r>
            <w:rPr>
              <w:rFonts w:cs="Arial"/>
              <w:szCs w:val="20"/>
              <w:lang w:val="tr-TR"/>
            </w:rPr>
            <w:t>English only</w:t>
          </w:r>
        </w:p>
      </w:tc>
    </w:tr>
  </w:tbl>
  <w:p w14:paraId="44B74136" w14:textId="77777777" w:rsidR="009269CA" w:rsidRDefault="00926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DBE30" w14:textId="77777777" w:rsidR="006B683D" w:rsidRDefault="006B683D" w:rsidP="002227B3">
      <w:pPr>
        <w:spacing w:after="0" w:line="240" w:lineRule="auto"/>
      </w:pPr>
      <w:r>
        <w:separator/>
      </w:r>
    </w:p>
  </w:footnote>
  <w:footnote w:type="continuationSeparator" w:id="0">
    <w:p w14:paraId="766FE6DC" w14:textId="77777777" w:rsidR="006B683D" w:rsidRDefault="006B683D" w:rsidP="002227B3">
      <w:pPr>
        <w:spacing w:after="0" w:line="240" w:lineRule="auto"/>
      </w:pPr>
      <w:r>
        <w:continuationSeparator/>
      </w:r>
    </w:p>
  </w:footnote>
  <w:footnote w:id="1">
    <w:p w14:paraId="38A195AC" w14:textId="6B24E05A" w:rsidR="009269CA" w:rsidRPr="007C00E8" w:rsidRDefault="009269CA" w:rsidP="007C00E8">
      <w:pPr>
        <w:pStyle w:val="FootnoteText"/>
        <w:jc w:val="both"/>
        <w:rPr>
          <w:rFonts w:cs="Arial"/>
          <w:sz w:val="18"/>
          <w:szCs w:val="18"/>
          <w:lang w:val="en-US"/>
        </w:rPr>
      </w:pPr>
      <w:r w:rsidRPr="00FE39BC">
        <w:rPr>
          <w:rStyle w:val="FootnoteReference"/>
          <w:rFonts w:cs="Arial"/>
          <w:sz w:val="18"/>
          <w:szCs w:val="18"/>
        </w:rPr>
        <w:footnoteRef/>
      </w:r>
      <w:r w:rsidRPr="00FE39BC">
        <w:rPr>
          <w:rFonts w:cs="Arial"/>
          <w:sz w:val="18"/>
          <w:szCs w:val="18"/>
        </w:rPr>
        <w:t xml:space="preserve"> </w:t>
      </w:r>
      <w:r w:rsidRPr="00FE39BC">
        <w:rPr>
          <w:rFonts w:cs="Arial"/>
          <w:sz w:val="18"/>
          <w:szCs w:val="18"/>
          <w:lang w:val="en-US"/>
        </w:rPr>
        <w:t>Nothing in this document can be interpreted as</w:t>
      </w:r>
      <w:r w:rsidRPr="00FE39BC">
        <w:rPr>
          <w:rFonts w:cs="Arial"/>
          <w:sz w:val="18"/>
          <w:szCs w:val="18"/>
        </w:rPr>
        <w:t xml:space="preserve"> being contrary to the full respect of the sovereignty and territorial integrity of Armenia and Azerbaijan within their internationally recognised borders, the provisions of the 1993 UN Security Council Resolutions and the </w:t>
      </w:r>
      <w:hyperlink r:id="rId1" w:history="1">
        <w:r w:rsidRPr="007C00E8">
          <w:rPr>
            <w:rStyle w:val="Hyperlink"/>
            <w:rFonts w:cs="Arial"/>
            <w:sz w:val="18"/>
            <w:szCs w:val="18"/>
          </w:rPr>
          <w:t>Statement by the President of the Republic of Azerbaijan, the Prime Minister of the Republic of Armenia and the President of the Russian Federation</w:t>
        </w:r>
      </w:hyperlink>
      <w:r w:rsidRPr="007C00E8">
        <w:rPr>
          <w:rFonts w:cs="Arial"/>
          <w:sz w:val="18"/>
          <w:szCs w:val="18"/>
        </w:rPr>
        <w:t xml:space="preserve"> of 9 November 2020. </w:t>
      </w:r>
    </w:p>
  </w:footnote>
  <w:footnote w:id="2">
    <w:p w14:paraId="1A155A03" w14:textId="21C3C7F0" w:rsidR="009269CA" w:rsidRPr="007C00E8" w:rsidRDefault="009269CA" w:rsidP="007C00E8">
      <w:pPr>
        <w:pStyle w:val="FootnoteText"/>
        <w:jc w:val="both"/>
        <w:rPr>
          <w:sz w:val="18"/>
          <w:szCs w:val="18"/>
          <w:lang w:val="en-US"/>
        </w:rPr>
      </w:pPr>
      <w:r w:rsidRPr="007C00E8">
        <w:rPr>
          <w:rStyle w:val="FootnoteReference"/>
          <w:sz w:val="18"/>
          <w:szCs w:val="18"/>
        </w:rPr>
        <w:footnoteRef/>
      </w:r>
      <w:r w:rsidRPr="007C00E8">
        <w:rPr>
          <w:sz w:val="18"/>
          <w:szCs w:val="18"/>
        </w:rPr>
        <w:t xml:space="preserve"> </w:t>
      </w:r>
      <w:r w:rsidRPr="007C00E8">
        <w:rPr>
          <w:rFonts w:cs="Arial"/>
          <w:sz w:val="18"/>
          <w:szCs w:val="18"/>
          <w:lang w:val="en-US"/>
        </w:rPr>
        <w:t xml:space="preserve">This memorandum was </w:t>
      </w:r>
      <w:proofErr w:type="spellStart"/>
      <w:r w:rsidRPr="007C00E8">
        <w:rPr>
          <w:rFonts w:cs="Arial"/>
          <w:sz w:val="18"/>
          <w:szCs w:val="18"/>
          <w:lang w:val="en-US"/>
        </w:rPr>
        <w:t>finalised</w:t>
      </w:r>
      <w:proofErr w:type="spellEnd"/>
      <w:r w:rsidRPr="007C00E8">
        <w:rPr>
          <w:rFonts w:cs="Arial"/>
          <w:sz w:val="18"/>
          <w:szCs w:val="18"/>
          <w:lang w:val="en-US"/>
        </w:rPr>
        <w:t xml:space="preserve"> on 21 October 2021.</w:t>
      </w:r>
      <w:r>
        <w:rPr>
          <w:rFonts w:cs="Arial"/>
          <w:sz w:val="18"/>
          <w:szCs w:val="18"/>
          <w:lang w:val="en-US"/>
        </w:rPr>
        <w:t xml:space="preserve"> </w:t>
      </w:r>
    </w:p>
  </w:footnote>
  <w:footnote w:id="3">
    <w:p w14:paraId="0DDA7903" w14:textId="14B4424E" w:rsidR="009269CA" w:rsidRPr="007C00E8" w:rsidRDefault="009269CA" w:rsidP="007C00E8">
      <w:pPr>
        <w:pStyle w:val="FootnoteText"/>
        <w:jc w:val="both"/>
        <w:rPr>
          <w:rFonts w:cs="Arial"/>
          <w:sz w:val="18"/>
          <w:szCs w:val="18"/>
        </w:rPr>
      </w:pPr>
      <w:r w:rsidRPr="007C00E8">
        <w:rPr>
          <w:rStyle w:val="FootnoteReference"/>
          <w:rFonts w:cs="Arial"/>
          <w:sz w:val="18"/>
          <w:szCs w:val="18"/>
        </w:rPr>
        <w:footnoteRef/>
      </w:r>
      <w:r w:rsidRPr="007C00E8">
        <w:rPr>
          <w:rFonts w:cs="Arial"/>
          <w:sz w:val="18"/>
          <w:szCs w:val="18"/>
        </w:rPr>
        <w:t xml:space="preserve"> </w:t>
      </w:r>
      <w:hyperlink r:id="rId2" w:history="1">
        <w:r w:rsidRPr="007C00E8">
          <w:rPr>
            <w:rStyle w:val="Hyperlink"/>
            <w:rFonts w:cs="Arial"/>
            <w:sz w:val="18"/>
            <w:szCs w:val="18"/>
          </w:rPr>
          <w:t>Resolution 99 (50)</w:t>
        </w:r>
      </w:hyperlink>
      <w:r w:rsidRPr="007C00E8">
        <w:rPr>
          <w:rFonts w:cs="Arial"/>
          <w:sz w:val="18"/>
          <w:szCs w:val="18"/>
        </w:rPr>
        <w:t xml:space="preserve"> on the Commissioner for Human Rights, adopted by the Committee of Ministers of the Council of Europe on 7 May 1999 at its 104</w:t>
      </w:r>
      <w:r w:rsidRPr="007C00E8">
        <w:rPr>
          <w:rFonts w:cs="Arial"/>
          <w:sz w:val="18"/>
          <w:szCs w:val="18"/>
          <w:vertAlign w:val="superscript"/>
        </w:rPr>
        <w:t>th</w:t>
      </w:r>
      <w:r w:rsidRPr="007C00E8">
        <w:rPr>
          <w:rFonts w:cs="Arial"/>
          <w:sz w:val="18"/>
          <w:szCs w:val="18"/>
        </w:rPr>
        <w:t xml:space="preserve"> session. </w:t>
      </w:r>
    </w:p>
  </w:footnote>
  <w:footnote w:id="4">
    <w:p w14:paraId="25803ACC" w14:textId="37A27346" w:rsidR="009269CA" w:rsidRPr="00FE39BC" w:rsidRDefault="009269CA" w:rsidP="007C00E8">
      <w:pPr>
        <w:pStyle w:val="FootnoteText"/>
        <w:jc w:val="both"/>
        <w:rPr>
          <w:rFonts w:cs="Arial"/>
          <w:sz w:val="18"/>
          <w:szCs w:val="18"/>
        </w:rPr>
      </w:pPr>
      <w:r w:rsidRPr="007C00E8">
        <w:rPr>
          <w:rStyle w:val="FootnoteReference"/>
          <w:rFonts w:cs="Arial"/>
          <w:sz w:val="18"/>
          <w:szCs w:val="18"/>
        </w:rPr>
        <w:footnoteRef/>
      </w:r>
      <w:r w:rsidRPr="007C00E8">
        <w:rPr>
          <w:rFonts w:cs="Arial"/>
          <w:sz w:val="18"/>
          <w:szCs w:val="18"/>
        </w:rPr>
        <w:t xml:space="preserve"> </w:t>
      </w:r>
      <w:hyperlink r:id="rId3" w:history="1">
        <w:r w:rsidRPr="007C00E8">
          <w:rPr>
            <w:rStyle w:val="Hyperlink"/>
            <w:rFonts w:cs="Arial"/>
            <w:sz w:val="18"/>
            <w:szCs w:val="18"/>
            <w:lang w:val="en-US"/>
          </w:rPr>
          <w:t>Recommendation 1606 (2003)</w:t>
        </w:r>
      </w:hyperlink>
      <w:r w:rsidRPr="00FE39BC">
        <w:rPr>
          <w:rFonts w:cs="Arial"/>
          <w:sz w:val="18"/>
          <w:szCs w:val="18"/>
          <w:lang w:val="en-US"/>
        </w:rPr>
        <w:t xml:space="preserve"> on areas where the European Convention on Human Rights cannot be implemented, adopted by the Assembly on 23 June 2003. </w:t>
      </w:r>
    </w:p>
  </w:footnote>
  <w:footnote w:id="5">
    <w:p w14:paraId="522A49D7" w14:textId="7925C0FF" w:rsidR="009269CA" w:rsidRPr="00FE39BC" w:rsidRDefault="009269CA" w:rsidP="00A00D1D">
      <w:pPr>
        <w:pStyle w:val="FootnoteText"/>
        <w:jc w:val="both"/>
        <w:rPr>
          <w:rFonts w:cs="Arial"/>
          <w:sz w:val="18"/>
          <w:szCs w:val="18"/>
        </w:rPr>
      </w:pPr>
      <w:r w:rsidRPr="00FE39BC">
        <w:rPr>
          <w:rStyle w:val="FootnoteReference"/>
          <w:rFonts w:cs="Arial"/>
          <w:sz w:val="18"/>
          <w:szCs w:val="18"/>
        </w:rPr>
        <w:footnoteRef/>
      </w:r>
      <w:r w:rsidRPr="00FE39BC">
        <w:rPr>
          <w:rFonts w:cs="Arial"/>
          <w:sz w:val="18"/>
          <w:szCs w:val="18"/>
        </w:rPr>
        <w:t xml:space="preserve"> </w:t>
      </w:r>
      <w:hyperlink r:id="rId4" w:history="1">
        <w:r w:rsidRPr="00FE39BC">
          <w:rPr>
            <w:rStyle w:val="Hyperlink"/>
            <w:rFonts w:cs="Arial"/>
            <w:sz w:val="18"/>
            <w:szCs w:val="18"/>
            <w:lang w:val="en-US"/>
          </w:rPr>
          <w:t>Declaration</w:t>
        </w:r>
      </w:hyperlink>
      <w:r w:rsidRPr="00FE39BC">
        <w:rPr>
          <w:rFonts w:cs="Arial"/>
          <w:sz w:val="18"/>
          <w:szCs w:val="18"/>
          <w:lang w:val="en-US"/>
        </w:rPr>
        <w:t xml:space="preserve"> on the protection of human rights during armed conflict, internal </w:t>
      </w:r>
      <w:proofErr w:type="gramStart"/>
      <w:r w:rsidRPr="00FE39BC">
        <w:rPr>
          <w:rFonts w:cs="Arial"/>
          <w:sz w:val="18"/>
          <w:szCs w:val="18"/>
          <w:lang w:val="en-US"/>
        </w:rPr>
        <w:t>disturbances</w:t>
      </w:r>
      <w:proofErr w:type="gramEnd"/>
      <w:r w:rsidRPr="00FE39BC">
        <w:rPr>
          <w:rFonts w:cs="Arial"/>
          <w:sz w:val="18"/>
          <w:szCs w:val="18"/>
          <w:lang w:val="en-US"/>
        </w:rPr>
        <w:t xml:space="preserve"> and tensions, adopted</w:t>
      </w:r>
      <w:r w:rsidRPr="00FE39BC">
        <w:rPr>
          <w:rFonts w:cs="Arial"/>
          <w:sz w:val="18"/>
          <w:szCs w:val="18"/>
        </w:rPr>
        <w:t xml:space="preserve"> by the Committee of Ministers of the Council of Europe on 21 January 2004 at the 869</w:t>
      </w:r>
      <w:r w:rsidRPr="00FE39BC">
        <w:rPr>
          <w:rFonts w:cs="Arial"/>
          <w:sz w:val="18"/>
          <w:szCs w:val="18"/>
          <w:vertAlign w:val="superscript"/>
        </w:rPr>
        <w:t>th</w:t>
      </w:r>
      <w:r w:rsidRPr="00FE39BC">
        <w:rPr>
          <w:rFonts w:cs="Arial"/>
          <w:sz w:val="18"/>
          <w:szCs w:val="18"/>
        </w:rPr>
        <w:t xml:space="preserve"> meeting. </w:t>
      </w:r>
    </w:p>
  </w:footnote>
  <w:footnote w:id="6">
    <w:p w14:paraId="4297EC03" w14:textId="1BEC04E6" w:rsidR="009269CA" w:rsidRPr="00B4730D" w:rsidRDefault="009269CA" w:rsidP="003B4954">
      <w:pPr>
        <w:pStyle w:val="FootnoteText"/>
        <w:jc w:val="both"/>
        <w:rPr>
          <w:rFonts w:cs="Arial"/>
          <w:sz w:val="18"/>
          <w:szCs w:val="18"/>
          <w:lang w:val="en-US"/>
        </w:rPr>
      </w:pPr>
      <w:r w:rsidRPr="00B4730D">
        <w:rPr>
          <w:rStyle w:val="FootnoteReference"/>
          <w:rFonts w:cs="Arial"/>
          <w:sz w:val="18"/>
          <w:szCs w:val="18"/>
        </w:rPr>
        <w:footnoteRef/>
      </w:r>
      <w:r w:rsidRPr="00B4730D">
        <w:rPr>
          <w:rFonts w:cs="Arial"/>
          <w:sz w:val="18"/>
          <w:szCs w:val="18"/>
          <w:lang w:val="en-US"/>
        </w:rPr>
        <w:t xml:space="preserve"> See European Commission for Democracy through Law (Venice Commission), </w:t>
      </w:r>
      <w:hyperlink r:id="rId5" w:history="1">
        <w:r w:rsidRPr="00B4730D">
          <w:rPr>
            <w:rStyle w:val="Hyperlink"/>
            <w:rFonts w:cs="Arial"/>
            <w:sz w:val="18"/>
            <w:szCs w:val="18"/>
            <w:lang w:val="en-US"/>
          </w:rPr>
          <w:t>Opinion</w:t>
        </w:r>
      </w:hyperlink>
      <w:r w:rsidRPr="00B4730D">
        <w:rPr>
          <w:rFonts w:cs="Arial"/>
          <w:sz w:val="18"/>
          <w:szCs w:val="18"/>
          <w:lang w:val="en-US"/>
        </w:rPr>
        <w:t xml:space="preserve"> on the Law on occupied territories of Georgia, adopted by the Venice Commission at its 78</w:t>
      </w:r>
      <w:r w:rsidRPr="00B4730D">
        <w:rPr>
          <w:rFonts w:cs="Arial"/>
          <w:sz w:val="18"/>
          <w:szCs w:val="18"/>
          <w:vertAlign w:val="superscript"/>
          <w:lang w:val="en-US"/>
        </w:rPr>
        <w:t>th</w:t>
      </w:r>
      <w:r w:rsidRPr="00B4730D">
        <w:rPr>
          <w:rFonts w:cs="Arial"/>
          <w:sz w:val="18"/>
          <w:szCs w:val="18"/>
          <w:lang w:val="en-US"/>
        </w:rPr>
        <w:t xml:space="preserve"> Plenary Session (Venice, 13-14 March 2009), para. 35. This includes allowing and facilitating rapid and unimpeded passage of humanitarian relief for civilians in need (Rule 55 of the Rules of Customary International Humanitarian Law). </w:t>
      </w:r>
    </w:p>
  </w:footnote>
  <w:footnote w:id="7">
    <w:p w14:paraId="580A6075" w14:textId="41DE4B99" w:rsidR="009269CA" w:rsidRPr="00B4730D" w:rsidRDefault="009269CA" w:rsidP="00951394">
      <w:pPr>
        <w:pStyle w:val="FootnoteText"/>
        <w:jc w:val="both"/>
        <w:rPr>
          <w:rFonts w:cs="Arial"/>
          <w:sz w:val="18"/>
          <w:szCs w:val="18"/>
        </w:rPr>
      </w:pPr>
      <w:r w:rsidRPr="00B4730D">
        <w:rPr>
          <w:rStyle w:val="FootnoteReference"/>
          <w:rFonts w:cs="Arial"/>
          <w:sz w:val="18"/>
          <w:szCs w:val="18"/>
        </w:rPr>
        <w:footnoteRef/>
      </w:r>
      <w:r w:rsidRPr="00B4730D">
        <w:rPr>
          <w:rFonts w:cs="Arial"/>
          <w:sz w:val="18"/>
          <w:szCs w:val="18"/>
        </w:rPr>
        <w:t xml:space="preserve"> </w:t>
      </w:r>
      <w:hyperlink r:id="rId6" w:history="1">
        <w:r w:rsidRPr="00B4730D">
          <w:rPr>
            <w:rStyle w:val="Hyperlink"/>
            <w:rFonts w:cs="Arial"/>
            <w:sz w:val="18"/>
            <w:szCs w:val="18"/>
          </w:rPr>
          <w:t>Resolution 2240 (2018)</w:t>
        </w:r>
      </w:hyperlink>
      <w:r w:rsidRPr="00B4730D">
        <w:rPr>
          <w:rFonts w:cs="Arial"/>
          <w:sz w:val="18"/>
          <w:szCs w:val="18"/>
        </w:rPr>
        <w:t xml:space="preserve"> on </w:t>
      </w:r>
      <w:r w:rsidRPr="00B4730D">
        <w:rPr>
          <w:rFonts w:eastAsiaTheme="minorHAnsi" w:cs="Arial"/>
          <w:sz w:val="18"/>
          <w:szCs w:val="18"/>
          <w:lang w:val="en-US"/>
        </w:rPr>
        <w:t>Unlimited access to member States, including “grey zones”, by Council of Europe and United Nations human rights monitoring bodies</w:t>
      </w:r>
      <w:r w:rsidRPr="00B4730D">
        <w:rPr>
          <w:rFonts w:cs="Arial"/>
          <w:sz w:val="18"/>
          <w:szCs w:val="18"/>
        </w:rPr>
        <w:t xml:space="preserve">, adopted by the Assembly on 10 October 2018. </w:t>
      </w:r>
    </w:p>
  </w:footnote>
  <w:footnote w:id="8">
    <w:p w14:paraId="1FE9163C" w14:textId="784CFFAA" w:rsidR="009269CA" w:rsidRPr="00B4730D" w:rsidRDefault="009269CA" w:rsidP="00D26E42">
      <w:pPr>
        <w:pStyle w:val="FootnoteText"/>
        <w:jc w:val="both"/>
        <w:rPr>
          <w:rFonts w:cs="Arial"/>
          <w:sz w:val="18"/>
          <w:szCs w:val="18"/>
        </w:rPr>
      </w:pPr>
      <w:r w:rsidRPr="00B4730D">
        <w:rPr>
          <w:rStyle w:val="FootnoteReference"/>
          <w:rFonts w:cs="Arial"/>
          <w:sz w:val="18"/>
          <w:szCs w:val="18"/>
        </w:rPr>
        <w:footnoteRef/>
      </w:r>
      <w:r w:rsidRPr="00B4730D">
        <w:rPr>
          <w:rFonts w:cs="Arial"/>
          <w:sz w:val="18"/>
          <w:szCs w:val="18"/>
        </w:rPr>
        <w:t xml:space="preserve"> </w:t>
      </w:r>
      <w:hyperlink r:id="rId7" w:history="1">
        <w:r w:rsidRPr="00B4730D">
          <w:rPr>
            <w:rStyle w:val="Hyperlink"/>
            <w:rFonts w:cs="Arial"/>
            <w:sz w:val="18"/>
            <w:szCs w:val="18"/>
            <w:lang w:val="en-US"/>
          </w:rPr>
          <w:t>Report</w:t>
        </w:r>
      </w:hyperlink>
      <w:r w:rsidRPr="00B4730D">
        <w:rPr>
          <w:rFonts w:cs="Arial"/>
          <w:sz w:val="18"/>
          <w:szCs w:val="18"/>
          <w:lang w:val="en-US"/>
        </w:rPr>
        <w:t xml:space="preserve"> on the Commissioner's visit to Azerbaijan on 8-12 July 2019, </w:t>
      </w:r>
      <w:proofErr w:type="spellStart"/>
      <w:r w:rsidRPr="00B4730D">
        <w:rPr>
          <w:rFonts w:cs="Arial"/>
          <w:sz w:val="18"/>
          <w:szCs w:val="18"/>
          <w:lang w:val="en-US"/>
        </w:rPr>
        <w:t>CommDH</w:t>
      </w:r>
      <w:proofErr w:type="spellEnd"/>
      <w:r w:rsidRPr="00B4730D">
        <w:rPr>
          <w:rFonts w:cs="Arial"/>
          <w:sz w:val="18"/>
          <w:szCs w:val="18"/>
          <w:lang w:val="en-US"/>
        </w:rPr>
        <w:t xml:space="preserve">(2019)27, 11 December 2019. </w:t>
      </w:r>
    </w:p>
  </w:footnote>
  <w:footnote w:id="9">
    <w:p w14:paraId="78761FA1" w14:textId="6D344C1D" w:rsidR="009269CA" w:rsidRPr="00B4730D" w:rsidRDefault="009269CA" w:rsidP="00D26E42">
      <w:pPr>
        <w:pStyle w:val="FootnoteText"/>
        <w:jc w:val="both"/>
        <w:rPr>
          <w:rFonts w:cs="Arial"/>
          <w:sz w:val="18"/>
          <w:szCs w:val="18"/>
        </w:rPr>
      </w:pPr>
      <w:r w:rsidRPr="00B4730D">
        <w:rPr>
          <w:rStyle w:val="FootnoteReference"/>
          <w:rFonts w:cs="Arial"/>
          <w:sz w:val="18"/>
          <w:szCs w:val="18"/>
        </w:rPr>
        <w:footnoteRef/>
      </w:r>
      <w:r w:rsidRPr="00B4730D">
        <w:rPr>
          <w:rFonts w:cs="Arial"/>
          <w:sz w:val="18"/>
          <w:szCs w:val="18"/>
        </w:rPr>
        <w:t xml:space="preserve"> UNHCR, </w:t>
      </w:r>
      <w:hyperlink r:id="rId8" w:history="1">
        <w:r w:rsidRPr="00B4730D">
          <w:rPr>
            <w:rStyle w:val="Hyperlink"/>
            <w:rFonts w:cs="Arial"/>
            <w:sz w:val="18"/>
            <w:szCs w:val="18"/>
            <w:lang w:val="en-US"/>
          </w:rPr>
          <w:t>Urgent needs in Armenia and Azerbaijan</w:t>
        </w:r>
      </w:hyperlink>
      <w:r w:rsidRPr="00B4730D">
        <w:rPr>
          <w:rFonts w:cs="Arial"/>
          <w:sz w:val="18"/>
          <w:szCs w:val="18"/>
          <w:lang w:val="en-US"/>
        </w:rPr>
        <w:t xml:space="preserve"> </w:t>
      </w:r>
      <w:r w:rsidR="00711056">
        <w:rPr>
          <w:rFonts w:cs="Arial"/>
          <w:sz w:val="18"/>
          <w:szCs w:val="18"/>
          <w:lang w:val="en-US"/>
        </w:rPr>
        <w:t xml:space="preserve">related </w:t>
      </w:r>
      <w:r w:rsidRPr="00B4730D">
        <w:rPr>
          <w:rFonts w:cs="Arial"/>
          <w:sz w:val="18"/>
          <w:szCs w:val="18"/>
          <w:lang w:val="en-US"/>
        </w:rPr>
        <w:t xml:space="preserve">to the Nagorno-Karabakh conflict, February 2021. In Azerbaijan, 112 000 people were found to be affected by the conflict, of whom 80 000 were temporarily displaced. </w:t>
      </w:r>
    </w:p>
  </w:footnote>
  <w:footnote w:id="10">
    <w:p w14:paraId="0B755BF7" w14:textId="774AB3A7" w:rsidR="009269CA" w:rsidRPr="00B4730D" w:rsidRDefault="009269CA" w:rsidP="00D26E42">
      <w:pPr>
        <w:pStyle w:val="FootnoteText"/>
        <w:jc w:val="both"/>
        <w:rPr>
          <w:rFonts w:cs="Arial"/>
          <w:sz w:val="18"/>
          <w:szCs w:val="18"/>
        </w:rPr>
      </w:pPr>
      <w:r w:rsidRPr="00B4730D">
        <w:rPr>
          <w:rStyle w:val="FootnoteReference"/>
          <w:rFonts w:cs="Arial"/>
          <w:sz w:val="18"/>
          <w:szCs w:val="18"/>
        </w:rPr>
        <w:footnoteRef/>
      </w:r>
      <w:r w:rsidRPr="00B4730D">
        <w:rPr>
          <w:rFonts w:cs="Arial"/>
          <w:sz w:val="18"/>
          <w:szCs w:val="18"/>
        </w:rPr>
        <w:t xml:space="preserve"> See below, Section III. </w:t>
      </w:r>
    </w:p>
  </w:footnote>
  <w:footnote w:id="11">
    <w:p w14:paraId="24934E07" w14:textId="5E7EE95D" w:rsidR="009269CA" w:rsidRPr="00C640CE" w:rsidRDefault="009269CA" w:rsidP="00C640CE">
      <w:pPr>
        <w:pStyle w:val="FootnoteText"/>
        <w:jc w:val="both"/>
        <w:rPr>
          <w:rFonts w:cs="Arial"/>
          <w:sz w:val="18"/>
          <w:szCs w:val="18"/>
        </w:rPr>
      </w:pPr>
      <w:r w:rsidRPr="00C640CE">
        <w:rPr>
          <w:rStyle w:val="FootnoteReference"/>
          <w:rFonts w:cs="Arial"/>
          <w:sz w:val="18"/>
          <w:szCs w:val="18"/>
        </w:rPr>
        <w:footnoteRef/>
      </w:r>
      <w:r w:rsidRPr="00C640CE">
        <w:rPr>
          <w:rFonts w:cs="Arial"/>
          <w:sz w:val="18"/>
          <w:szCs w:val="18"/>
        </w:rPr>
        <w:t xml:space="preserve"> Migration Service of the Republic of Armenia, quoted by</w:t>
      </w:r>
      <w:r w:rsidRPr="00C640CE">
        <w:rPr>
          <w:rFonts w:eastAsiaTheme="minorHAnsi" w:cs="Arial"/>
          <w:sz w:val="18"/>
          <w:szCs w:val="18"/>
          <w:lang w:val="en-US" w:eastAsia="en-US"/>
        </w:rPr>
        <w:t xml:space="preserve"> </w:t>
      </w:r>
      <w:r w:rsidRPr="00C640CE">
        <w:rPr>
          <w:rFonts w:cs="Arial"/>
          <w:sz w:val="18"/>
          <w:szCs w:val="18"/>
          <w:lang w:val="en-US"/>
        </w:rPr>
        <w:t>UNHCR</w:t>
      </w:r>
      <w:r w:rsidRPr="00C640CE">
        <w:rPr>
          <w:rFonts w:cs="Arial"/>
          <w:sz w:val="18"/>
          <w:szCs w:val="18"/>
        </w:rPr>
        <w:t xml:space="preserve">, </w:t>
      </w:r>
      <w:hyperlink r:id="rId9" w:history="1">
        <w:r w:rsidRPr="00C640CE">
          <w:rPr>
            <w:rStyle w:val="Hyperlink"/>
            <w:rFonts w:cs="Arial"/>
            <w:sz w:val="18"/>
            <w:szCs w:val="18"/>
            <w:lang w:val="en-US"/>
          </w:rPr>
          <w:t>Armenia Protection Monitoring Mid-Year Report</w:t>
        </w:r>
      </w:hyperlink>
      <w:r w:rsidRPr="00C640CE">
        <w:rPr>
          <w:rFonts w:cs="Arial"/>
          <w:sz w:val="18"/>
          <w:szCs w:val="18"/>
          <w:lang w:val="en-US"/>
        </w:rPr>
        <w:t>, January - June 2021, 23 August 2021</w:t>
      </w:r>
      <w:r w:rsidRPr="00C640CE">
        <w:rPr>
          <w:rFonts w:cs="Arial"/>
          <w:sz w:val="18"/>
          <w:szCs w:val="18"/>
        </w:rPr>
        <w:t xml:space="preserve">. </w:t>
      </w:r>
    </w:p>
  </w:footnote>
  <w:footnote w:id="12">
    <w:p w14:paraId="046ED28D" w14:textId="5D723953" w:rsidR="009269CA" w:rsidRPr="00C640CE" w:rsidRDefault="009269CA" w:rsidP="00C640CE">
      <w:pPr>
        <w:pStyle w:val="FootnoteText"/>
        <w:jc w:val="both"/>
        <w:rPr>
          <w:sz w:val="18"/>
          <w:szCs w:val="18"/>
          <w:lang w:val="en"/>
        </w:rPr>
      </w:pPr>
      <w:r w:rsidRPr="00C640CE">
        <w:rPr>
          <w:rStyle w:val="FootnoteReference"/>
          <w:sz w:val="18"/>
          <w:szCs w:val="18"/>
        </w:rPr>
        <w:footnoteRef/>
      </w:r>
      <w:r w:rsidRPr="00C640CE">
        <w:rPr>
          <w:sz w:val="18"/>
          <w:szCs w:val="18"/>
        </w:rPr>
        <w:t xml:space="preserve"> UNHCR, </w:t>
      </w:r>
      <w:hyperlink r:id="rId10" w:history="1">
        <w:r w:rsidRPr="00C640CE">
          <w:rPr>
            <w:rStyle w:val="Hyperlink"/>
            <w:sz w:val="18"/>
            <w:szCs w:val="18"/>
            <w:lang w:val="en"/>
          </w:rPr>
          <w:t>Armenia Fact Sheet</w:t>
        </w:r>
      </w:hyperlink>
      <w:r w:rsidRPr="00C640CE">
        <w:rPr>
          <w:sz w:val="18"/>
          <w:szCs w:val="18"/>
          <w:lang w:val="en"/>
        </w:rPr>
        <w:t xml:space="preserve">, 30 June 2021. </w:t>
      </w:r>
    </w:p>
  </w:footnote>
  <w:footnote w:id="13">
    <w:p w14:paraId="28B2B6F9" w14:textId="57AEF82A" w:rsidR="009269CA" w:rsidRPr="00C640CE" w:rsidRDefault="009269CA" w:rsidP="00C640CE">
      <w:pPr>
        <w:pStyle w:val="FootnoteText"/>
        <w:jc w:val="both"/>
        <w:rPr>
          <w:rFonts w:cs="Arial"/>
          <w:sz w:val="18"/>
          <w:szCs w:val="18"/>
        </w:rPr>
      </w:pPr>
      <w:r w:rsidRPr="00C640CE">
        <w:rPr>
          <w:rStyle w:val="FootnoteReference"/>
          <w:rFonts w:cs="Arial"/>
          <w:sz w:val="18"/>
          <w:szCs w:val="18"/>
        </w:rPr>
        <w:footnoteRef/>
      </w:r>
      <w:r w:rsidRPr="00C640CE">
        <w:rPr>
          <w:rFonts w:cs="Arial"/>
          <w:sz w:val="18"/>
          <w:szCs w:val="18"/>
        </w:rPr>
        <w:t xml:space="preserve"> According to information provided to the Commissioner by the Armenian authorities. </w:t>
      </w:r>
    </w:p>
  </w:footnote>
  <w:footnote w:id="14">
    <w:p w14:paraId="6B224A04" w14:textId="2CED2B01" w:rsidR="009269CA" w:rsidRPr="00054D6C" w:rsidRDefault="009269CA" w:rsidP="00054D6C">
      <w:pPr>
        <w:pStyle w:val="FootnoteText"/>
        <w:jc w:val="both"/>
        <w:rPr>
          <w:rFonts w:cs="Arial"/>
          <w:sz w:val="18"/>
          <w:szCs w:val="18"/>
        </w:rPr>
      </w:pPr>
      <w:r w:rsidRPr="00C640CE">
        <w:rPr>
          <w:rStyle w:val="FootnoteReference"/>
          <w:rFonts w:cs="Arial"/>
          <w:sz w:val="18"/>
          <w:szCs w:val="18"/>
        </w:rPr>
        <w:footnoteRef/>
      </w:r>
      <w:r w:rsidRPr="00C640CE">
        <w:rPr>
          <w:rFonts w:cs="Arial"/>
          <w:sz w:val="18"/>
          <w:szCs w:val="18"/>
        </w:rPr>
        <w:t xml:space="preserve"> According</w:t>
      </w:r>
      <w:r w:rsidRPr="00B75DDC">
        <w:rPr>
          <w:rFonts w:cs="Arial"/>
          <w:sz w:val="18"/>
          <w:szCs w:val="18"/>
        </w:rPr>
        <w:t xml:space="preserve"> to interviews carried out by UNHCR in the period of January-February 2021, 30% of the interviewed households expressed willingness to return to their places of origin, while in May-June 2021, this figure went down to </w:t>
      </w:r>
      <w:r w:rsidRPr="00054D6C">
        <w:rPr>
          <w:rFonts w:cs="Arial"/>
          <w:sz w:val="18"/>
          <w:szCs w:val="18"/>
        </w:rPr>
        <w:t xml:space="preserve">14%. </w:t>
      </w:r>
      <w:bookmarkStart w:id="9" w:name="_Hlk84335246"/>
      <w:r w:rsidRPr="00054D6C">
        <w:rPr>
          <w:rFonts w:cs="Arial"/>
          <w:sz w:val="18"/>
          <w:szCs w:val="18"/>
        </w:rPr>
        <w:t xml:space="preserve">UNHCR, </w:t>
      </w:r>
      <w:hyperlink r:id="rId11" w:history="1">
        <w:r w:rsidRPr="00054D6C">
          <w:rPr>
            <w:rStyle w:val="Hyperlink"/>
            <w:rFonts w:cs="Arial"/>
            <w:sz w:val="18"/>
            <w:szCs w:val="18"/>
          </w:rPr>
          <w:t>Armenia Protection Monitoring Mid-Year Report</w:t>
        </w:r>
      </w:hyperlink>
      <w:r w:rsidRPr="00054D6C">
        <w:rPr>
          <w:rFonts w:cs="Arial"/>
          <w:sz w:val="18"/>
          <w:szCs w:val="18"/>
        </w:rPr>
        <w:t>, January - June 2021, 23 August 2021</w:t>
      </w:r>
      <w:bookmarkEnd w:id="9"/>
      <w:r w:rsidRPr="00054D6C">
        <w:rPr>
          <w:rFonts w:cs="Arial"/>
          <w:sz w:val="18"/>
          <w:szCs w:val="18"/>
        </w:rPr>
        <w:t xml:space="preserve">. </w:t>
      </w:r>
    </w:p>
  </w:footnote>
  <w:footnote w:id="15">
    <w:p w14:paraId="62E139F1" w14:textId="16D0676D" w:rsidR="009269CA" w:rsidRPr="00054D6C" w:rsidRDefault="009269CA" w:rsidP="00054D6C">
      <w:pPr>
        <w:pStyle w:val="FootnoteText"/>
        <w:jc w:val="both"/>
        <w:rPr>
          <w:sz w:val="18"/>
          <w:szCs w:val="18"/>
        </w:rPr>
      </w:pPr>
      <w:r w:rsidRPr="00054D6C">
        <w:rPr>
          <w:rStyle w:val="FootnoteReference"/>
          <w:sz w:val="18"/>
          <w:szCs w:val="18"/>
        </w:rPr>
        <w:footnoteRef/>
      </w:r>
      <w:r w:rsidRPr="00054D6C">
        <w:rPr>
          <w:sz w:val="18"/>
          <w:szCs w:val="18"/>
        </w:rPr>
        <w:t xml:space="preserve"> </w:t>
      </w:r>
      <w:hyperlink r:id="rId12" w:history="1">
        <w:r w:rsidRPr="00054D6C">
          <w:rPr>
            <w:rStyle w:val="Hyperlink"/>
            <w:sz w:val="18"/>
            <w:szCs w:val="18"/>
            <w:lang w:val="en-US"/>
          </w:rPr>
          <w:t>Guiding Principles on Internal Displacement</w:t>
        </w:r>
      </w:hyperlink>
      <w:r>
        <w:rPr>
          <w:sz w:val="18"/>
          <w:szCs w:val="18"/>
          <w:lang w:val="en-US"/>
        </w:rPr>
        <w:t xml:space="preserve">, 11 February 1998. </w:t>
      </w:r>
    </w:p>
  </w:footnote>
  <w:footnote w:id="16">
    <w:p w14:paraId="372732F3" w14:textId="54BC7BED" w:rsidR="009269CA" w:rsidRPr="006E0263" w:rsidRDefault="009269CA" w:rsidP="006E0263">
      <w:pPr>
        <w:pStyle w:val="FootnoteText"/>
        <w:jc w:val="both"/>
        <w:rPr>
          <w:rFonts w:cs="Arial"/>
          <w:sz w:val="18"/>
          <w:szCs w:val="18"/>
        </w:rPr>
      </w:pPr>
      <w:r w:rsidRPr="006E0263">
        <w:rPr>
          <w:rStyle w:val="FootnoteReference"/>
          <w:rFonts w:cs="Arial"/>
          <w:sz w:val="18"/>
          <w:szCs w:val="18"/>
        </w:rPr>
        <w:footnoteRef/>
      </w:r>
      <w:r w:rsidRPr="006E0263">
        <w:rPr>
          <w:rFonts w:cs="Arial"/>
          <w:sz w:val="18"/>
          <w:szCs w:val="18"/>
        </w:rPr>
        <w:t xml:space="preserve"> UNHCR, </w:t>
      </w:r>
      <w:hyperlink r:id="rId13" w:history="1">
        <w:r w:rsidRPr="006E0263">
          <w:rPr>
            <w:rStyle w:val="Hyperlink"/>
            <w:rFonts w:cs="Arial"/>
            <w:sz w:val="18"/>
            <w:szCs w:val="18"/>
            <w:lang w:val="en-US"/>
          </w:rPr>
          <w:t>Key Considerations for Returns to Nagorno-Karabakh and the Adjacent Districts</w:t>
        </w:r>
      </w:hyperlink>
      <w:r w:rsidRPr="006E0263">
        <w:rPr>
          <w:rFonts w:cs="Arial"/>
          <w:sz w:val="18"/>
          <w:szCs w:val="18"/>
          <w:lang w:val="en-US"/>
        </w:rPr>
        <w:t xml:space="preserve">, November 2020. </w:t>
      </w:r>
    </w:p>
  </w:footnote>
  <w:footnote w:id="17">
    <w:p w14:paraId="1698972F" w14:textId="6AB2C765" w:rsidR="006E0263" w:rsidRPr="006E0263" w:rsidRDefault="006E0263" w:rsidP="006E0263">
      <w:pPr>
        <w:pStyle w:val="FootnoteText"/>
        <w:jc w:val="both"/>
        <w:rPr>
          <w:sz w:val="18"/>
          <w:szCs w:val="18"/>
        </w:rPr>
      </w:pPr>
      <w:r w:rsidRPr="006E0263">
        <w:rPr>
          <w:rStyle w:val="FootnoteReference"/>
          <w:sz w:val="18"/>
          <w:szCs w:val="18"/>
        </w:rPr>
        <w:footnoteRef/>
      </w:r>
      <w:r w:rsidRPr="006E0263">
        <w:rPr>
          <w:sz w:val="18"/>
          <w:szCs w:val="18"/>
        </w:rPr>
        <w:t xml:space="preserve"> </w:t>
      </w:r>
      <w:r w:rsidRPr="006E0263">
        <w:rPr>
          <w:rFonts w:cstheme="minorHAnsi"/>
          <w:sz w:val="18"/>
          <w:szCs w:val="18"/>
        </w:rPr>
        <w:t xml:space="preserve">In the cases of </w:t>
      </w:r>
      <w:hyperlink r:id="rId14" w:history="1">
        <w:r w:rsidRPr="006E0263">
          <w:rPr>
            <w:rStyle w:val="Hyperlink"/>
            <w:rFonts w:cstheme="minorHAnsi"/>
            <w:i/>
            <w:iCs/>
            <w:sz w:val="18"/>
            <w:szCs w:val="18"/>
          </w:rPr>
          <w:t>Sargsyan v. Azerbaijan</w:t>
        </w:r>
      </w:hyperlink>
      <w:r w:rsidRPr="006E0263">
        <w:rPr>
          <w:rFonts w:cstheme="minorHAnsi"/>
          <w:sz w:val="18"/>
          <w:szCs w:val="18"/>
        </w:rPr>
        <w:t xml:space="preserve"> (application no. 40167/06, Grand Chamber judgment of</w:t>
      </w:r>
      <w:r w:rsidRPr="006E0263">
        <w:rPr>
          <w:rFonts w:cs="Arial"/>
          <w:color w:val="000000"/>
          <w:sz w:val="18"/>
          <w:szCs w:val="18"/>
          <w:shd w:val="clear" w:color="auto" w:fill="FFFFFF"/>
        </w:rPr>
        <w:t xml:space="preserve"> </w:t>
      </w:r>
      <w:r w:rsidRPr="006E0263">
        <w:rPr>
          <w:rFonts w:cstheme="minorHAnsi"/>
          <w:sz w:val="18"/>
          <w:szCs w:val="18"/>
        </w:rPr>
        <w:t xml:space="preserve">16 June 2015, para. 238) and </w:t>
      </w:r>
      <w:hyperlink r:id="rId15" w:history="1">
        <w:proofErr w:type="spellStart"/>
        <w:r w:rsidRPr="006E0263">
          <w:rPr>
            <w:rStyle w:val="Hyperlink"/>
            <w:rFonts w:cstheme="minorHAnsi"/>
            <w:i/>
            <w:iCs/>
            <w:sz w:val="18"/>
            <w:szCs w:val="18"/>
          </w:rPr>
          <w:t>Chiragov</w:t>
        </w:r>
        <w:proofErr w:type="spellEnd"/>
        <w:r w:rsidRPr="006E0263">
          <w:rPr>
            <w:rStyle w:val="Hyperlink"/>
            <w:rFonts w:cstheme="minorHAnsi"/>
            <w:i/>
            <w:iCs/>
            <w:sz w:val="18"/>
            <w:szCs w:val="18"/>
          </w:rPr>
          <w:t xml:space="preserve"> and Others v. Armenia</w:t>
        </w:r>
      </w:hyperlink>
      <w:r w:rsidRPr="006E0263">
        <w:rPr>
          <w:rFonts w:cstheme="minorHAnsi"/>
          <w:sz w:val="18"/>
          <w:szCs w:val="18"/>
        </w:rPr>
        <w:t xml:space="preserve"> (application no. 13216/05, Grand Chamber judgment of 16 June 2015, para. 199), the European Court of Human Rights indicated that “it would appear particularly important to establish a property-claims mechanism, which should be easily accessible and provide procedures operating with flexible evidentiary standards, allowing the applicants and others in their situation to have their property rights restored and to obtain compensation for the loss of their enjoyment.</w:t>
      </w:r>
      <w:r>
        <w:rPr>
          <w:rFonts w:cstheme="minorHAnsi"/>
          <w:sz w:val="18"/>
          <w:szCs w:val="18"/>
        </w:rPr>
        <w:t xml:space="preserve">” </w:t>
      </w:r>
    </w:p>
  </w:footnote>
  <w:footnote w:id="18">
    <w:p w14:paraId="5B408BB8" w14:textId="236027B2" w:rsidR="009269CA" w:rsidRPr="00E73B46" w:rsidRDefault="009269CA" w:rsidP="00F23A7D">
      <w:pPr>
        <w:pStyle w:val="FootnoteText"/>
        <w:tabs>
          <w:tab w:val="right" w:pos="-1276"/>
        </w:tabs>
        <w:jc w:val="both"/>
        <w:rPr>
          <w:rFonts w:cs="Arial"/>
          <w:sz w:val="18"/>
          <w:szCs w:val="18"/>
          <w:lang w:eastAsia="en-US"/>
        </w:rPr>
      </w:pPr>
      <w:r w:rsidRPr="00E73B46">
        <w:rPr>
          <w:rStyle w:val="FootnoteReference"/>
          <w:rFonts w:cs="Arial"/>
          <w:sz w:val="18"/>
          <w:szCs w:val="18"/>
        </w:rPr>
        <w:footnoteRef/>
      </w:r>
      <w:r w:rsidRPr="00E73B46">
        <w:rPr>
          <w:rFonts w:cs="Arial"/>
          <w:sz w:val="18"/>
          <w:szCs w:val="18"/>
        </w:rPr>
        <w:t xml:space="preserve"> The HALO Trust, </w:t>
      </w:r>
      <w:hyperlink r:id="rId16" w:history="1">
        <w:r w:rsidRPr="00E73B46">
          <w:rPr>
            <w:rStyle w:val="Hyperlink"/>
            <w:rFonts w:cs="Arial"/>
            <w:sz w:val="18"/>
            <w:szCs w:val="18"/>
          </w:rPr>
          <w:t>Our work, Nagorno Karabakh</w:t>
        </w:r>
      </w:hyperlink>
      <w:r w:rsidRPr="00E73B46">
        <w:rPr>
          <w:rStyle w:val="Hyperlink"/>
          <w:rFonts w:cs="Arial"/>
          <w:sz w:val="18"/>
          <w:szCs w:val="18"/>
        </w:rPr>
        <w:t xml:space="preserve">. </w:t>
      </w:r>
    </w:p>
  </w:footnote>
  <w:footnote w:id="19">
    <w:p w14:paraId="65E807A3" w14:textId="4EB3D1B9" w:rsidR="009269CA" w:rsidRPr="00E73B46" w:rsidRDefault="009269CA" w:rsidP="00CC2310">
      <w:pPr>
        <w:pStyle w:val="FootnoteText"/>
        <w:jc w:val="both"/>
        <w:rPr>
          <w:rFonts w:cs="Arial"/>
          <w:sz w:val="18"/>
          <w:szCs w:val="18"/>
        </w:rPr>
      </w:pPr>
      <w:r w:rsidRPr="00E73B46">
        <w:rPr>
          <w:rStyle w:val="FootnoteReference"/>
          <w:rFonts w:cs="Arial"/>
          <w:sz w:val="18"/>
          <w:szCs w:val="18"/>
        </w:rPr>
        <w:footnoteRef/>
      </w:r>
      <w:r w:rsidRPr="00E73B46">
        <w:rPr>
          <w:rFonts w:cs="Arial"/>
          <w:sz w:val="18"/>
          <w:szCs w:val="18"/>
        </w:rPr>
        <w:t xml:space="preserve"> ICRC, </w:t>
      </w:r>
      <w:hyperlink r:id="rId17" w:history="1">
        <w:r w:rsidRPr="00E73B46">
          <w:rPr>
            <w:rStyle w:val="Hyperlink"/>
            <w:rFonts w:cs="Arial"/>
            <w:sz w:val="18"/>
            <w:szCs w:val="18"/>
          </w:rPr>
          <w:t>Nagorno-Karabakh conflict: Landmines, a disturbing reminder of war</w:t>
        </w:r>
      </w:hyperlink>
      <w:r w:rsidRPr="00E73B46">
        <w:rPr>
          <w:rFonts w:cs="Arial"/>
          <w:sz w:val="18"/>
          <w:szCs w:val="18"/>
        </w:rPr>
        <w:t xml:space="preserve">, 31 May 2019. </w:t>
      </w:r>
    </w:p>
  </w:footnote>
  <w:footnote w:id="20">
    <w:p w14:paraId="6E51EB55" w14:textId="6A1C6857" w:rsidR="009269CA" w:rsidRPr="00E73B46" w:rsidRDefault="009269CA" w:rsidP="00E73B46">
      <w:pPr>
        <w:pStyle w:val="FootnoteText"/>
        <w:jc w:val="both"/>
        <w:rPr>
          <w:rFonts w:cs="Arial"/>
          <w:sz w:val="18"/>
          <w:szCs w:val="18"/>
          <w:lang w:val="en-US"/>
        </w:rPr>
      </w:pPr>
      <w:r w:rsidRPr="00E73B46">
        <w:rPr>
          <w:rStyle w:val="FootnoteReference"/>
          <w:rFonts w:cs="Arial"/>
          <w:sz w:val="18"/>
          <w:szCs w:val="18"/>
        </w:rPr>
        <w:footnoteRef/>
      </w:r>
      <w:r w:rsidRPr="00E73B46">
        <w:rPr>
          <w:rFonts w:cs="Arial"/>
          <w:sz w:val="18"/>
          <w:szCs w:val="18"/>
        </w:rPr>
        <w:t xml:space="preserve"> </w:t>
      </w:r>
      <w:bookmarkStart w:id="12" w:name="_Hlk83309058"/>
      <w:r w:rsidRPr="00E73B46">
        <w:rPr>
          <w:rFonts w:cs="Arial"/>
          <w:sz w:val="18"/>
          <w:szCs w:val="18"/>
          <w:lang w:val="en-US"/>
        </w:rPr>
        <w:fldChar w:fldCharType="begin"/>
      </w:r>
      <w:r w:rsidRPr="00E73B46">
        <w:rPr>
          <w:rFonts w:cs="Arial"/>
          <w:sz w:val="18"/>
          <w:szCs w:val="18"/>
          <w:lang w:val="en-US"/>
        </w:rPr>
        <w:instrText xml:space="preserve"> HYPERLINK "https://www.ombudsman.az/upload/editor/files/Ad%20Hoc%20Report%20of%20the%20Ombudsman%20on%20landmine%20problem.pdf" </w:instrText>
      </w:r>
      <w:r w:rsidRPr="00E73B46">
        <w:rPr>
          <w:rFonts w:cs="Arial"/>
          <w:sz w:val="18"/>
          <w:szCs w:val="18"/>
          <w:lang w:val="en-US"/>
        </w:rPr>
        <w:fldChar w:fldCharType="separate"/>
      </w:r>
      <w:r w:rsidRPr="00E73B46">
        <w:rPr>
          <w:rStyle w:val="Hyperlink"/>
          <w:rFonts w:cs="Arial"/>
          <w:sz w:val="18"/>
          <w:szCs w:val="18"/>
          <w:lang w:val="en-US"/>
        </w:rPr>
        <w:t>Ad Hoc Report</w:t>
      </w:r>
      <w:r w:rsidRPr="00E73B46">
        <w:rPr>
          <w:rFonts w:cs="Arial"/>
          <w:sz w:val="18"/>
          <w:szCs w:val="18"/>
          <w:lang w:val="en-US"/>
        </w:rPr>
        <w:fldChar w:fldCharType="end"/>
      </w:r>
      <w:r w:rsidRPr="00E73B46">
        <w:rPr>
          <w:rFonts w:cs="Arial"/>
          <w:sz w:val="18"/>
          <w:szCs w:val="18"/>
          <w:lang w:val="en-US"/>
        </w:rPr>
        <w:t xml:space="preserve"> of the Commissioner for Human Rights (Ombudsman) of the Republic of Azerbaijan, Mine problems in the liberated areas</w:t>
      </w:r>
      <w:bookmarkEnd w:id="12"/>
      <w:r w:rsidRPr="00E73B46">
        <w:rPr>
          <w:rFonts w:cs="Arial"/>
          <w:sz w:val="18"/>
          <w:szCs w:val="18"/>
          <w:lang w:val="en-US"/>
        </w:rPr>
        <w:t>, June 2021, p.</w:t>
      </w:r>
      <w:r w:rsidRPr="00E73B46">
        <w:rPr>
          <w:rFonts w:cs="Arial"/>
          <w:sz w:val="18"/>
          <w:szCs w:val="18"/>
        </w:rPr>
        <w:t xml:space="preserve">8. </w:t>
      </w:r>
    </w:p>
  </w:footnote>
  <w:footnote w:id="21">
    <w:p w14:paraId="406F2F4E" w14:textId="3474299D" w:rsidR="00E73B46" w:rsidRPr="00E73B46" w:rsidRDefault="00E73B46" w:rsidP="00E73B46">
      <w:pPr>
        <w:pStyle w:val="FootnoteText"/>
        <w:jc w:val="both"/>
        <w:rPr>
          <w:rFonts w:cs="Arial"/>
          <w:sz w:val="18"/>
          <w:szCs w:val="18"/>
        </w:rPr>
      </w:pPr>
      <w:r w:rsidRPr="00E73B46">
        <w:rPr>
          <w:rStyle w:val="FootnoteReference"/>
          <w:rFonts w:cs="Arial"/>
          <w:sz w:val="18"/>
          <w:szCs w:val="18"/>
        </w:rPr>
        <w:footnoteRef/>
      </w:r>
      <w:r w:rsidRPr="00E73B46">
        <w:rPr>
          <w:rFonts w:cs="Arial"/>
          <w:sz w:val="18"/>
          <w:szCs w:val="18"/>
        </w:rPr>
        <w:t xml:space="preserve"> </w:t>
      </w:r>
      <w:r w:rsidRPr="00E73B46">
        <w:rPr>
          <w:rFonts w:cs="Arial"/>
          <w:i/>
          <w:iCs/>
          <w:sz w:val="18"/>
          <w:szCs w:val="18"/>
        </w:rPr>
        <w:t>Ibid</w:t>
      </w:r>
      <w:r w:rsidRPr="00E73B46">
        <w:rPr>
          <w:rFonts w:cs="Arial"/>
          <w:sz w:val="18"/>
          <w:szCs w:val="18"/>
        </w:rPr>
        <w:t xml:space="preserve">. </w:t>
      </w:r>
      <w:r w:rsidRPr="00E73B46">
        <w:rPr>
          <w:rFonts w:cs="Arial"/>
          <w:sz w:val="18"/>
          <w:szCs w:val="18"/>
          <w:lang w:val="en-US"/>
        </w:rPr>
        <w:t xml:space="preserve">According to the </w:t>
      </w:r>
      <w:hyperlink r:id="rId18" w:history="1">
        <w:r w:rsidRPr="00E73B46">
          <w:rPr>
            <w:rStyle w:val="Hyperlink"/>
            <w:rFonts w:cs="Arial"/>
            <w:sz w:val="18"/>
            <w:szCs w:val="18"/>
            <w:lang w:val="en-US"/>
          </w:rPr>
          <w:t>press service</w:t>
        </w:r>
      </w:hyperlink>
      <w:r w:rsidRPr="00E73B46">
        <w:rPr>
          <w:rFonts w:cs="Arial"/>
          <w:sz w:val="18"/>
          <w:szCs w:val="18"/>
          <w:lang w:val="en-US"/>
        </w:rPr>
        <w:t xml:space="preserve"> </w:t>
      </w:r>
      <w:r w:rsidR="00486B55">
        <w:rPr>
          <w:rFonts w:cs="Arial"/>
          <w:sz w:val="18"/>
          <w:szCs w:val="18"/>
          <w:lang w:val="en-US"/>
        </w:rPr>
        <w:t xml:space="preserve">of the </w:t>
      </w:r>
      <w:r w:rsidRPr="00E73B46">
        <w:rPr>
          <w:rFonts w:cs="Arial"/>
          <w:sz w:val="18"/>
          <w:szCs w:val="18"/>
          <w:lang w:val="en-US"/>
        </w:rPr>
        <w:t xml:space="preserve">Prosecutor General’s Office, 23 civilians were killed and 36 were injured between 10 November 2020 and 11 August 2021, </w:t>
      </w:r>
      <w:proofErr w:type="gramStart"/>
      <w:r w:rsidRPr="00E73B46">
        <w:rPr>
          <w:rFonts w:cs="Arial"/>
          <w:sz w:val="18"/>
          <w:szCs w:val="18"/>
          <w:lang w:val="en-US"/>
        </w:rPr>
        <w:t>as a result of</w:t>
      </w:r>
      <w:proofErr w:type="gramEnd"/>
      <w:r w:rsidRPr="00E73B46">
        <w:rPr>
          <w:rFonts w:cs="Arial"/>
          <w:sz w:val="18"/>
          <w:szCs w:val="18"/>
          <w:lang w:val="en-US"/>
        </w:rPr>
        <w:t xml:space="preserve"> mine explosions in Azerbaijan. </w:t>
      </w:r>
    </w:p>
  </w:footnote>
  <w:footnote w:id="22">
    <w:p w14:paraId="59A1CB6C" w14:textId="08147EAE" w:rsidR="009269CA" w:rsidRPr="00E73B46" w:rsidRDefault="009269CA" w:rsidP="00E73B46">
      <w:pPr>
        <w:pStyle w:val="FootnoteText"/>
        <w:jc w:val="both"/>
        <w:rPr>
          <w:rFonts w:cs="Arial"/>
          <w:sz w:val="18"/>
          <w:szCs w:val="18"/>
        </w:rPr>
      </w:pPr>
      <w:r w:rsidRPr="00E73B46">
        <w:rPr>
          <w:rStyle w:val="FootnoteReference"/>
          <w:rFonts w:cs="Arial"/>
          <w:sz w:val="18"/>
          <w:szCs w:val="18"/>
        </w:rPr>
        <w:footnoteRef/>
      </w:r>
      <w:r w:rsidRPr="00E73B46">
        <w:rPr>
          <w:rFonts w:cs="Arial"/>
          <w:sz w:val="18"/>
          <w:szCs w:val="18"/>
        </w:rPr>
        <w:t xml:space="preserve"> ANAMA, Informative report </w:t>
      </w:r>
      <w:r w:rsidRPr="00E73B46">
        <w:rPr>
          <w:rFonts w:cs="Arial"/>
          <w:sz w:val="18"/>
          <w:szCs w:val="18"/>
          <w:lang w:val="en-US"/>
        </w:rPr>
        <w:t>report about the areas released and the items found during the humanitarian demining operations</w:t>
      </w:r>
      <w:r w:rsidRPr="00E73B46">
        <w:rPr>
          <w:rFonts w:cs="Arial"/>
          <w:sz w:val="18"/>
          <w:szCs w:val="18"/>
        </w:rPr>
        <w:t xml:space="preserve">, </w:t>
      </w:r>
      <w:r w:rsidR="009D1B4F" w:rsidRPr="00E73B46">
        <w:rPr>
          <w:rFonts w:cs="Arial"/>
          <w:sz w:val="18"/>
          <w:szCs w:val="18"/>
        </w:rPr>
        <w:t>4</w:t>
      </w:r>
      <w:r w:rsidRPr="00E73B46">
        <w:rPr>
          <w:rFonts w:cs="Arial"/>
          <w:sz w:val="18"/>
          <w:szCs w:val="18"/>
        </w:rPr>
        <w:t xml:space="preserve"> </w:t>
      </w:r>
      <w:r w:rsidR="009D1B4F" w:rsidRPr="00E73B46">
        <w:rPr>
          <w:rFonts w:cs="Arial"/>
          <w:sz w:val="18"/>
          <w:szCs w:val="18"/>
        </w:rPr>
        <w:t>October</w:t>
      </w:r>
      <w:r w:rsidRPr="00E73B46">
        <w:rPr>
          <w:rFonts w:cs="Arial"/>
          <w:sz w:val="18"/>
          <w:szCs w:val="18"/>
        </w:rPr>
        <w:t xml:space="preserve"> 2021. </w:t>
      </w:r>
    </w:p>
  </w:footnote>
  <w:footnote w:id="23">
    <w:p w14:paraId="2F05D99C" w14:textId="7B23D526" w:rsidR="009269CA" w:rsidRPr="00B75DDC" w:rsidRDefault="009269CA" w:rsidP="009C67BD">
      <w:pPr>
        <w:pStyle w:val="Heading1"/>
        <w:spacing w:before="0"/>
        <w:jc w:val="both"/>
        <w:rPr>
          <w:rFonts w:ascii="Arial" w:hAnsi="Arial" w:cs="Arial"/>
          <w:color w:val="auto"/>
          <w:sz w:val="18"/>
          <w:szCs w:val="18"/>
          <w:lang w:val="en-GB"/>
        </w:rPr>
      </w:pPr>
      <w:r w:rsidRPr="00E73B46">
        <w:rPr>
          <w:rFonts w:ascii="Arial" w:hAnsi="Arial" w:cs="Arial"/>
          <w:color w:val="auto"/>
          <w:sz w:val="18"/>
          <w:szCs w:val="18"/>
          <w:vertAlign w:val="superscript"/>
          <w:lang w:val="en-GB"/>
        </w:rPr>
        <w:footnoteRef/>
      </w:r>
      <w:r w:rsidRPr="00E73B46">
        <w:rPr>
          <w:rFonts w:ascii="Arial" w:hAnsi="Arial" w:cs="Arial"/>
          <w:color w:val="auto"/>
          <w:sz w:val="18"/>
          <w:szCs w:val="18"/>
          <w:vertAlign w:val="superscript"/>
          <w:lang w:val="en-GB"/>
        </w:rPr>
        <w:t xml:space="preserve"> </w:t>
      </w:r>
      <w:hyperlink r:id="rId19" w:history="1">
        <w:r w:rsidRPr="00E73B46">
          <w:rPr>
            <w:rStyle w:val="Hyperlink"/>
            <w:rFonts w:ascii="Arial" w:hAnsi="Arial" w:cs="Arial"/>
            <w:sz w:val="18"/>
            <w:szCs w:val="18"/>
            <w:lang w:val="en-GB"/>
          </w:rPr>
          <w:t>Azerbaijan clears mines from areas freed in Karabakh</w:t>
        </w:r>
      </w:hyperlink>
      <w:r w:rsidRPr="00E73B46">
        <w:rPr>
          <w:rFonts w:ascii="Arial" w:hAnsi="Arial" w:cs="Arial"/>
          <w:color w:val="auto"/>
          <w:sz w:val="18"/>
          <w:szCs w:val="18"/>
          <w:lang w:val="en-GB"/>
        </w:rPr>
        <w:t xml:space="preserve">, Anadolu Agency, </w:t>
      </w:r>
      <w:r w:rsidRPr="00E73B46">
        <w:rPr>
          <w:rFonts w:ascii="Arial" w:hAnsi="Arial" w:cs="Arial"/>
          <w:color w:val="auto"/>
          <w:sz w:val="18"/>
          <w:szCs w:val="18"/>
          <w:lang w:val="uk-UA"/>
        </w:rPr>
        <w:t xml:space="preserve">29 </w:t>
      </w:r>
      <w:r w:rsidRPr="00E73B46">
        <w:rPr>
          <w:rFonts w:ascii="Arial" w:hAnsi="Arial" w:cs="Arial"/>
          <w:color w:val="auto"/>
          <w:sz w:val="18"/>
          <w:szCs w:val="18"/>
          <w:lang w:val="en-GB"/>
        </w:rPr>
        <w:t>November 2020</w:t>
      </w:r>
      <w:r w:rsidRPr="00B75DDC">
        <w:rPr>
          <w:rFonts w:ascii="Arial" w:hAnsi="Arial" w:cs="Arial"/>
          <w:color w:val="auto"/>
          <w:sz w:val="18"/>
          <w:szCs w:val="18"/>
          <w:lang w:val="en-GB"/>
        </w:rPr>
        <w:t xml:space="preserve">. </w:t>
      </w:r>
    </w:p>
  </w:footnote>
  <w:footnote w:id="24">
    <w:p w14:paraId="332024AD" w14:textId="62B22345" w:rsidR="009269CA" w:rsidRPr="00006F57" w:rsidRDefault="009269CA" w:rsidP="007979F9">
      <w:pPr>
        <w:pStyle w:val="FootnoteText"/>
        <w:jc w:val="both"/>
        <w:rPr>
          <w:rFonts w:cs="Arial"/>
          <w:sz w:val="18"/>
          <w:szCs w:val="18"/>
          <w:lang w:val="en-US"/>
        </w:rPr>
      </w:pPr>
      <w:r w:rsidRPr="00006F57">
        <w:rPr>
          <w:rStyle w:val="FootnoteReference"/>
          <w:rFonts w:cs="Arial"/>
          <w:sz w:val="18"/>
          <w:szCs w:val="18"/>
        </w:rPr>
        <w:footnoteRef/>
      </w:r>
      <w:r w:rsidRPr="00006F57">
        <w:rPr>
          <w:rFonts w:cs="Arial"/>
          <w:sz w:val="18"/>
          <w:szCs w:val="18"/>
        </w:rPr>
        <w:t xml:space="preserve"> </w:t>
      </w:r>
      <w:r w:rsidRPr="00006F57">
        <w:rPr>
          <w:rFonts w:cs="Arial"/>
          <w:sz w:val="18"/>
          <w:szCs w:val="18"/>
          <w:lang w:val="en-US"/>
        </w:rPr>
        <w:t xml:space="preserve">Russian peacekeepers have cleared more than 180 hectares of territory in the </w:t>
      </w:r>
      <w:proofErr w:type="spellStart"/>
      <w:r w:rsidRPr="00006F57">
        <w:rPr>
          <w:rFonts w:cs="Arial"/>
          <w:sz w:val="18"/>
          <w:szCs w:val="18"/>
          <w:lang w:val="en-US"/>
        </w:rPr>
        <w:t>Martuni</w:t>
      </w:r>
      <w:proofErr w:type="spellEnd"/>
      <w:r w:rsidRPr="00006F57">
        <w:rPr>
          <w:rFonts w:cs="Arial"/>
          <w:sz w:val="18"/>
          <w:szCs w:val="18"/>
          <w:lang w:val="en-US"/>
        </w:rPr>
        <w:t xml:space="preserve"> district near the demarcation line of the parties in Nagorno-Karabakh, Ministry of </w:t>
      </w:r>
      <w:proofErr w:type="spellStart"/>
      <w:r w:rsidRPr="00006F57">
        <w:rPr>
          <w:rFonts w:cs="Arial"/>
          <w:sz w:val="18"/>
          <w:szCs w:val="18"/>
          <w:lang w:val="en-US"/>
        </w:rPr>
        <w:t>Defence</w:t>
      </w:r>
      <w:proofErr w:type="spellEnd"/>
      <w:r w:rsidRPr="00006F57">
        <w:rPr>
          <w:rFonts w:cs="Arial"/>
          <w:sz w:val="18"/>
          <w:szCs w:val="18"/>
          <w:lang w:val="en-US"/>
        </w:rPr>
        <w:t xml:space="preserve"> of the Russian Federation </w:t>
      </w:r>
      <w:hyperlink r:id="rId20" w:history="1">
        <w:r w:rsidRPr="00006F57">
          <w:rPr>
            <w:rStyle w:val="Hyperlink"/>
            <w:rFonts w:cs="Arial"/>
            <w:sz w:val="18"/>
            <w:szCs w:val="18"/>
            <w:lang w:val="en-US"/>
          </w:rPr>
          <w:t>News</w:t>
        </w:r>
      </w:hyperlink>
      <w:r w:rsidRPr="00006F57">
        <w:rPr>
          <w:rFonts w:cs="Arial"/>
          <w:sz w:val="18"/>
          <w:szCs w:val="18"/>
          <w:lang w:val="en-US"/>
        </w:rPr>
        <w:t xml:space="preserve">, 10 September 2021. </w:t>
      </w:r>
    </w:p>
  </w:footnote>
  <w:footnote w:id="25">
    <w:p w14:paraId="1783C733" w14:textId="4BD5F203" w:rsidR="009269CA" w:rsidRPr="00006F57" w:rsidRDefault="009269CA" w:rsidP="009C67BD">
      <w:pPr>
        <w:pStyle w:val="FootnoteText"/>
        <w:jc w:val="both"/>
        <w:rPr>
          <w:rFonts w:cs="Arial"/>
          <w:sz w:val="18"/>
          <w:szCs w:val="18"/>
          <w:lang w:val="en-US"/>
        </w:rPr>
      </w:pPr>
      <w:r w:rsidRPr="00006F57">
        <w:rPr>
          <w:rStyle w:val="FootnoteReference"/>
          <w:rFonts w:cs="Arial"/>
          <w:sz w:val="18"/>
          <w:szCs w:val="18"/>
        </w:rPr>
        <w:footnoteRef/>
      </w:r>
      <w:r w:rsidRPr="00006F57">
        <w:rPr>
          <w:rFonts w:cs="Arial"/>
          <w:sz w:val="18"/>
          <w:szCs w:val="18"/>
        </w:rPr>
        <w:t xml:space="preserve"> ECtHR, </w:t>
      </w:r>
      <w:hyperlink r:id="rId21" w:history="1">
        <w:proofErr w:type="spellStart"/>
        <w:r w:rsidRPr="00006F57">
          <w:rPr>
            <w:rStyle w:val="Hyperlink"/>
            <w:rFonts w:cs="Arial"/>
            <w:i/>
            <w:iCs/>
            <w:sz w:val="18"/>
            <w:szCs w:val="18"/>
            <w:lang w:val="en-US"/>
          </w:rPr>
          <w:t>Albekov</w:t>
        </w:r>
        <w:proofErr w:type="spellEnd"/>
        <w:r w:rsidRPr="00006F57">
          <w:rPr>
            <w:rStyle w:val="Hyperlink"/>
            <w:rFonts w:cs="Arial"/>
            <w:i/>
            <w:iCs/>
            <w:sz w:val="18"/>
            <w:szCs w:val="18"/>
            <w:lang w:val="en-US"/>
          </w:rPr>
          <w:t xml:space="preserve"> and others v. Russia</w:t>
        </w:r>
      </w:hyperlink>
      <w:r w:rsidRPr="00006F57">
        <w:rPr>
          <w:rFonts w:cs="Arial"/>
          <w:sz w:val="18"/>
          <w:szCs w:val="18"/>
          <w:lang w:val="en-US"/>
        </w:rPr>
        <w:t xml:space="preserve">, judgment of 9 October 2008, para. 88. </w:t>
      </w:r>
    </w:p>
  </w:footnote>
  <w:footnote w:id="26">
    <w:p w14:paraId="553A0861" w14:textId="6EEA8541" w:rsidR="009269CA" w:rsidRPr="00006F57" w:rsidRDefault="009269CA" w:rsidP="00F27765">
      <w:pPr>
        <w:pStyle w:val="FootnoteText"/>
        <w:jc w:val="both"/>
        <w:rPr>
          <w:rFonts w:cs="Arial"/>
          <w:sz w:val="18"/>
          <w:szCs w:val="18"/>
          <w:lang w:val="en-US"/>
        </w:rPr>
      </w:pPr>
      <w:r w:rsidRPr="00006F57">
        <w:rPr>
          <w:rStyle w:val="FootnoteReference"/>
          <w:rFonts w:cs="Arial"/>
          <w:sz w:val="18"/>
          <w:szCs w:val="18"/>
        </w:rPr>
        <w:footnoteRef/>
      </w:r>
      <w:r w:rsidRPr="00006F57">
        <w:rPr>
          <w:rFonts w:cs="Arial"/>
          <w:sz w:val="18"/>
          <w:szCs w:val="18"/>
        </w:rPr>
        <w:t xml:space="preserve"> </w:t>
      </w:r>
      <w:r w:rsidRPr="00006F57">
        <w:rPr>
          <w:rFonts w:cs="Arial"/>
          <w:sz w:val="18"/>
          <w:szCs w:val="18"/>
          <w:lang w:val="en-US"/>
        </w:rPr>
        <w:t xml:space="preserve">Protocols II and V to the </w:t>
      </w:r>
      <w:hyperlink r:id="rId22" w:history="1">
        <w:r w:rsidRPr="00006F57">
          <w:rPr>
            <w:rStyle w:val="Hyperlink"/>
            <w:rFonts w:cs="Arial"/>
            <w:sz w:val="18"/>
            <w:szCs w:val="18"/>
            <w:lang w:val="en-US"/>
          </w:rPr>
          <w:t>CCW</w:t>
        </w:r>
      </w:hyperlink>
      <w:r w:rsidRPr="00006F57">
        <w:rPr>
          <w:rFonts w:cs="Arial"/>
          <w:sz w:val="18"/>
          <w:szCs w:val="18"/>
          <w:lang w:val="en-US"/>
        </w:rPr>
        <w:t xml:space="preserve"> regulate the duties of the state parties to the conflict to clear the areas they control after the cessation of hostilities and to facilitate the clearance of explosive remnants of war caused by their munitions in areas they do not control. It requires the parties to locate, mark, fence, remove and destroy all unexploded and abandoned ordnance. In areas not controlled by the party to the conflict the Protocol also requires the provision of detailed information on all munitions used and the provision of assistance to clear explosive remnants of war from such territory. </w:t>
      </w:r>
    </w:p>
  </w:footnote>
  <w:footnote w:id="27">
    <w:p w14:paraId="18C55C5A" w14:textId="6953EFEC" w:rsidR="009269CA" w:rsidRPr="00B75DDC" w:rsidRDefault="009269CA" w:rsidP="00EB217F">
      <w:pPr>
        <w:pStyle w:val="FootnoteText"/>
        <w:jc w:val="both"/>
        <w:rPr>
          <w:rFonts w:cs="Arial"/>
          <w:sz w:val="18"/>
          <w:szCs w:val="18"/>
        </w:rPr>
      </w:pPr>
      <w:r w:rsidRPr="00006F57">
        <w:rPr>
          <w:rStyle w:val="FootnoteReference"/>
          <w:rFonts w:cs="Arial"/>
          <w:sz w:val="18"/>
          <w:szCs w:val="18"/>
        </w:rPr>
        <w:footnoteRef/>
      </w:r>
      <w:r w:rsidRPr="00006F57">
        <w:rPr>
          <w:rFonts w:cs="Arial"/>
          <w:sz w:val="18"/>
          <w:szCs w:val="18"/>
        </w:rPr>
        <w:t xml:space="preserve"> </w:t>
      </w:r>
      <w:hyperlink r:id="rId23" w:tgtFrame="_blank" w:history="1">
        <w:r w:rsidRPr="00006F57">
          <w:rPr>
            <w:rStyle w:val="Hyperlink"/>
            <w:rFonts w:cs="Arial"/>
            <w:sz w:val="18"/>
            <w:szCs w:val="18"/>
            <w:lang w:val="en-US"/>
          </w:rPr>
          <w:t xml:space="preserve">Statement by the President of the Republic of Azerbaijan, the Prime Minister of the Republic of </w:t>
        </w:r>
        <w:proofErr w:type="gramStart"/>
        <w:r w:rsidRPr="00006F57">
          <w:rPr>
            <w:rStyle w:val="Hyperlink"/>
            <w:rFonts w:cs="Arial"/>
            <w:sz w:val="18"/>
            <w:szCs w:val="18"/>
            <w:lang w:val="en-US"/>
          </w:rPr>
          <w:t>Armenia</w:t>
        </w:r>
        <w:proofErr w:type="gramEnd"/>
        <w:r w:rsidRPr="00006F57">
          <w:rPr>
            <w:rStyle w:val="Hyperlink"/>
            <w:rFonts w:cs="Arial"/>
            <w:sz w:val="18"/>
            <w:szCs w:val="18"/>
            <w:lang w:val="en-US"/>
          </w:rPr>
          <w:t xml:space="preserve"> and the President of the Russian Federation</w:t>
        </w:r>
      </w:hyperlink>
      <w:r w:rsidRPr="00006F57">
        <w:rPr>
          <w:rFonts w:cs="Arial"/>
          <w:sz w:val="18"/>
          <w:szCs w:val="18"/>
          <w:lang w:val="en-US"/>
        </w:rPr>
        <w:t>, signed on 9 November 2020, para. 8.</w:t>
      </w:r>
      <w:r w:rsidRPr="00B75DDC">
        <w:rPr>
          <w:rFonts w:cs="Arial"/>
          <w:sz w:val="18"/>
          <w:szCs w:val="18"/>
          <w:lang w:val="en-US"/>
        </w:rPr>
        <w:t xml:space="preserve"> </w:t>
      </w:r>
    </w:p>
  </w:footnote>
  <w:footnote w:id="28">
    <w:p w14:paraId="56DD5C0D" w14:textId="38D4FFDE" w:rsidR="009269CA" w:rsidRPr="00047E1B" w:rsidRDefault="009269CA" w:rsidP="00825454">
      <w:pPr>
        <w:pStyle w:val="FootnoteText"/>
        <w:jc w:val="both"/>
        <w:rPr>
          <w:rFonts w:cs="Arial"/>
          <w:sz w:val="18"/>
          <w:szCs w:val="18"/>
        </w:rPr>
      </w:pPr>
      <w:r w:rsidRPr="00047E1B">
        <w:rPr>
          <w:rStyle w:val="FootnoteReference"/>
          <w:rFonts w:cs="Arial"/>
          <w:sz w:val="18"/>
          <w:szCs w:val="18"/>
        </w:rPr>
        <w:footnoteRef/>
      </w:r>
      <w:r w:rsidRPr="00047E1B">
        <w:rPr>
          <w:rFonts w:cs="Arial"/>
          <w:sz w:val="18"/>
          <w:szCs w:val="18"/>
        </w:rPr>
        <w:t xml:space="preserve"> </w:t>
      </w:r>
      <w:hyperlink r:id="rId24" w:history="1">
        <w:r w:rsidRPr="00047E1B">
          <w:rPr>
            <w:rStyle w:val="Hyperlink"/>
            <w:rFonts w:cs="Arial"/>
            <w:sz w:val="18"/>
            <w:szCs w:val="18"/>
          </w:rPr>
          <w:t>Geneva Convention</w:t>
        </w:r>
      </w:hyperlink>
      <w:r w:rsidRPr="00047E1B">
        <w:rPr>
          <w:rFonts w:cs="Arial"/>
          <w:sz w:val="18"/>
          <w:szCs w:val="18"/>
        </w:rPr>
        <w:t xml:space="preserve"> relative to the treatment of prisoners of war of 12 August 1949, Article 118. </w:t>
      </w:r>
    </w:p>
  </w:footnote>
  <w:footnote w:id="29">
    <w:p w14:paraId="36BE42CD" w14:textId="283F353C" w:rsidR="009269CA" w:rsidRPr="00047E1B" w:rsidRDefault="009269CA" w:rsidP="0015531A">
      <w:pPr>
        <w:pStyle w:val="FootnoteText"/>
        <w:jc w:val="both"/>
        <w:rPr>
          <w:rFonts w:cs="Arial"/>
          <w:sz w:val="18"/>
          <w:szCs w:val="18"/>
        </w:rPr>
      </w:pPr>
      <w:r w:rsidRPr="00047E1B">
        <w:rPr>
          <w:rStyle w:val="FootnoteReference"/>
          <w:rFonts w:cs="Arial"/>
          <w:sz w:val="18"/>
          <w:szCs w:val="18"/>
        </w:rPr>
        <w:footnoteRef/>
      </w:r>
      <w:r w:rsidRPr="00047E1B">
        <w:rPr>
          <w:rFonts w:cs="Arial"/>
          <w:sz w:val="18"/>
          <w:szCs w:val="18"/>
        </w:rPr>
        <w:t xml:space="preserve"> ECtHR, </w:t>
      </w:r>
      <w:hyperlink r:id="rId25" w:history="1">
        <w:r w:rsidRPr="00047E1B">
          <w:rPr>
            <w:rStyle w:val="Hyperlink"/>
            <w:rFonts w:cs="Arial"/>
            <w:sz w:val="18"/>
            <w:szCs w:val="18"/>
            <w:lang w:val="en-US"/>
          </w:rPr>
          <w:t xml:space="preserve">The interim measure indicated in the case of </w:t>
        </w:r>
        <w:r w:rsidRPr="00047E1B">
          <w:rPr>
            <w:rStyle w:val="Hyperlink"/>
            <w:rFonts w:cs="Arial"/>
            <w:i/>
            <w:iCs/>
            <w:sz w:val="18"/>
            <w:szCs w:val="18"/>
            <w:lang w:val="en-US"/>
          </w:rPr>
          <w:t xml:space="preserve">Armenia v. Azerbaijan </w:t>
        </w:r>
        <w:r w:rsidRPr="00047E1B">
          <w:rPr>
            <w:rStyle w:val="Hyperlink"/>
            <w:rFonts w:cs="Arial"/>
            <w:sz w:val="18"/>
            <w:szCs w:val="18"/>
            <w:lang w:val="en-US"/>
          </w:rPr>
          <w:t>and</w:t>
        </w:r>
        <w:r w:rsidRPr="00047E1B">
          <w:rPr>
            <w:rStyle w:val="Hyperlink"/>
            <w:rFonts w:cs="Arial"/>
            <w:sz w:val="18"/>
            <w:szCs w:val="18"/>
          </w:rPr>
          <w:t xml:space="preserve"> </w:t>
        </w:r>
        <w:r w:rsidRPr="00047E1B">
          <w:rPr>
            <w:rStyle w:val="Hyperlink"/>
            <w:rFonts w:cs="Arial"/>
            <w:sz w:val="18"/>
            <w:szCs w:val="18"/>
            <w:lang w:val="en-US"/>
          </w:rPr>
          <w:t xml:space="preserve">Rule 39 proceedings </w:t>
        </w:r>
        <w:proofErr w:type="gramStart"/>
        <w:r w:rsidRPr="00047E1B">
          <w:rPr>
            <w:rStyle w:val="Hyperlink"/>
            <w:rFonts w:cs="Arial"/>
            <w:sz w:val="18"/>
            <w:szCs w:val="18"/>
            <w:lang w:val="en-US"/>
          </w:rPr>
          <w:t>with regard to</w:t>
        </w:r>
        <w:proofErr w:type="gramEnd"/>
        <w:r w:rsidRPr="00047E1B">
          <w:rPr>
            <w:rStyle w:val="Hyperlink"/>
            <w:rFonts w:cs="Arial"/>
            <w:sz w:val="18"/>
            <w:szCs w:val="18"/>
            <w:lang w:val="en-US"/>
          </w:rPr>
          <w:t xml:space="preserve"> alleged captives to remain in force</w:t>
        </w:r>
      </w:hyperlink>
      <w:r w:rsidRPr="00047E1B">
        <w:rPr>
          <w:rFonts w:cs="Arial"/>
          <w:sz w:val="18"/>
          <w:szCs w:val="18"/>
          <w:lang w:val="en-US"/>
        </w:rPr>
        <w:t xml:space="preserve">, 16 December 2020. These requests have been brought by the Armenian and Azerbaijani Governments within the framework of two inter-State applications: </w:t>
      </w:r>
      <w:r w:rsidRPr="00047E1B">
        <w:rPr>
          <w:rFonts w:cs="Arial"/>
          <w:i/>
          <w:iCs/>
          <w:sz w:val="18"/>
          <w:szCs w:val="18"/>
          <w:lang w:val="en-US"/>
        </w:rPr>
        <w:t>Armenia v. Azerbaijan</w:t>
      </w:r>
      <w:r w:rsidRPr="00047E1B">
        <w:rPr>
          <w:rFonts w:cs="Arial"/>
          <w:sz w:val="18"/>
          <w:szCs w:val="18"/>
          <w:lang w:val="en-US"/>
        </w:rPr>
        <w:t xml:space="preserve"> (no. 42521/20) and </w:t>
      </w:r>
      <w:r w:rsidRPr="00047E1B">
        <w:rPr>
          <w:rFonts w:cs="Arial"/>
          <w:i/>
          <w:iCs/>
          <w:sz w:val="18"/>
          <w:szCs w:val="18"/>
          <w:lang w:val="en-US"/>
        </w:rPr>
        <w:t>Azerbaijan v. Armenia</w:t>
      </w:r>
      <w:r w:rsidRPr="00047E1B">
        <w:rPr>
          <w:rFonts w:cs="Arial"/>
          <w:sz w:val="18"/>
          <w:szCs w:val="18"/>
          <w:lang w:val="en-US"/>
        </w:rPr>
        <w:t xml:space="preserve"> (no. 47319/20), as well as by relatives of alleged captives in individual applications. </w:t>
      </w:r>
    </w:p>
  </w:footnote>
  <w:footnote w:id="30">
    <w:p w14:paraId="514F4BB1" w14:textId="05CE6C08" w:rsidR="009269CA" w:rsidRPr="00B75DDC" w:rsidRDefault="009269CA" w:rsidP="00B209BF">
      <w:pPr>
        <w:pStyle w:val="FootnoteText"/>
        <w:ind w:right="-1"/>
        <w:jc w:val="both"/>
        <w:rPr>
          <w:rFonts w:cs="Arial"/>
          <w:sz w:val="18"/>
          <w:szCs w:val="18"/>
        </w:rPr>
      </w:pPr>
      <w:r w:rsidRPr="00047E1B">
        <w:rPr>
          <w:rStyle w:val="FootnoteReference"/>
          <w:rFonts w:cs="Arial"/>
          <w:sz w:val="18"/>
          <w:szCs w:val="18"/>
        </w:rPr>
        <w:footnoteRef/>
      </w:r>
      <w:r w:rsidRPr="00047E1B">
        <w:rPr>
          <w:rFonts w:cs="Arial"/>
          <w:sz w:val="18"/>
          <w:szCs w:val="18"/>
        </w:rPr>
        <w:t xml:space="preserve"> ECtHR, </w:t>
      </w:r>
      <w:hyperlink r:id="rId26" w:history="1">
        <w:r w:rsidRPr="00047E1B">
          <w:rPr>
            <w:rStyle w:val="Hyperlink"/>
            <w:rFonts w:cs="Arial"/>
            <w:i/>
            <w:iCs/>
            <w:sz w:val="18"/>
            <w:szCs w:val="18"/>
          </w:rPr>
          <w:t>Armenia v. Azerbaijan</w:t>
        </w:r>
        <w:r w:rsidRPr="00047E1B">
          <w:rPr>
            <w:rStyle w:val="Hyperlink"/>
            <w:rFonts w:cs="Arial"/>
            <w:sz w:val="18"/>
            <w:szCs w:val="18"/>
          </w:rPr>
          <w:t xml:space="preserve"> and alleged captives: notification to the Committee of Ministers of interim measures indicated,</w:t>
        </w:r>
      </w:hyperlink>
      <w:r w:rsidRPr="00047E1B">
        <w:rPr>
          <w:rFonts w:cs="Arial"/>
          <w:sz w:val="18"/>
          <w:szCs w:val="18"/>
        </w:rPr>
        <w:t xml:space="preserve"> 16 March 2021.</w:t>
      </w:r>
      <w:r w:rsidRPr="00B75DDC">
        <w:rPr>
          <w:rFonts w:cs="Arial"/>
          <w:sz w:val="18"/>
          <w:szCs w:val="18"/>
        </w:rPr>
        <w:t xml:space="preserve"> </w:t>
      </w:r>
    </w:p>
  </w:footnote>
  <w:footnote w:id="31">
    <w:p w14:paraId="4CEA0BEE" w14:textId="40E66C23" w:rsidR="009269CA" w:rsidRPr="0099104C" w:rsidRDefault="009269CA" w:rsidP="009015B0">
      <w:pPr>
        <w:pStyle w:val="FootnoteText"/>
        <w:jc w:val="both"/>
        <w:rPr>
          <w:rFonts w:cs="Arial"/>
          <w:sz w:val="18"/>
          <w:szCs w:val="18"/>
          <w:lang w:val="en-US"/>
        </w:rPr>
      </w:pPr>
      <w:r w:rsidRPr="0099104C">
        <w:rPr>
          <w:rStyle w:val="FootnoteReference"/>
          <w:rFonts w:cs="Arial"/>
          <w:sz w:val="18"/>
          <w:szCs w:val="18"/>
        </w:rPr>
        <w:footnoteRef/>
      </w:r>
      <w:r w:rsidRPr="0099104C">
        <w:rPr>
          <w:rFonts w:cs="Arial"/>
          <w:sz w:val="18"/>
          <w:szCs w:val="18"/>
        </w:rPr>
        <w:t xml:space="preserve"> Parliamentary Assembly of the Council of Europe, </w:t>
      </w:r>
      <w:hyperlink r:id="rId27" w:history="1">
        <w:r w:rsidRPr="0099104C">
          <w:rPr>
            <w:rStyle w:val="Hyperlink"/>
            <w:rFonts w:cs="Arial"/>
            <w:sz w:val="18"/>
            <w:szCs w:val="18"/>
          </w:rPr>
          <w:t>Report</w:t>
        </w:r>
      </w:hyperlink>
      <w:r w:rsidRPr="0099104C">
        <w:rPr>
          <w:rFonts w:cs="Arial"/>
          <w:sz w:val="18"/>
          <w:szCs w:val="18"/>
        </w:rPr>
        <w:t xml:space="preserve"> “</w:t>
      </w:r>
      <w:r w:rsidRPr="0099104C">
        <w:rPr>
          <w:rFonts w:cs="Arial"/>
          <w:sz w:val="18"/>
          <w:szCs w:val="18"/>
          <w:lang w:val="en-US"/>
        </w:rPr>
        <w:t xml:space="preserve">Humanitarian consequences of the conflict between Armenia and Azerbaijan”, Doc. 15363, 13 September 2021, para. 32. </w:t>
      </w:r>
    </w:p>
  </w:footnote>
  <w:footnote w:id="32">
    <w:p w14:paraId="733A4066" w14:textId="035266CC" w:rsidR="009269CA" w:rsidRPr="0099104C" w:rsidRDefault="009269CA" w:rsidP="006B00BB">
      <w:pPr>
        <w:pStyle w:val="FootnoteText"/>
        <w:jc w:val="both"/>
        <w:rPr>
          <w:rFonts w:cs="Arial"/>
          <w:sz w:val="18"/>
          <w:szCs w:val="18"/>
          <w:lang w:val="en-US"/>
        </w:rPr>
      </w:pPr>
      <w:r w:rsidRPr="0099104C">
        <w:rPr>
          <w:rStyle w:val="FootnoteReference"/>
          <w:rFonts w:cs="Arial"/>
          <w:sz w:val="18"/>
          <w:szCs w:val="18"/>
        </w:rPr>
        <w:footnoteRef/>
      </w:r>
      <w:r w:rsidRPr="0099104C">
        <w:rPr>
          <w:rFonts w:cs="Arial"/>
          <w:sz w:val="18"/>
          <w:szCs w:val="18"/>
        </w:rPr>
        <w:t xml:space="preserve"> </w:t>
      </w:r>
      <w:r w:rsidRPr="0099104C">
        <w:rPr>
          <w:rFonts w:cs="Arial"/>
          <w:sz w:val="18"/>
          <w:szCs w:val="18"/>
          <w:lang w:val="en-US"/>
        </w:rPr>
        <w:t xml:space="preserve">See below under Section VI. </w:t>
      </w:r>
    </w:p>
  </w:footnote>
  <w:footnote w:id="33">
    <w:p w14:paraId="4B77F5E3" w14:textId="4A4076A1" w:rsidR="009269CA" w:rsidRPr="0099104C" w:rsidRDefault="009269CA" w:rsidP="005C530A">
      <w:pPr>
        <w:pStyle w:val="FootnoteText"/>
        <w:jc w:val="both"/>
        <w:rPr>
          <w:rFonts w:cs="Arial"/>
          <w:sz w:val="18"/>
          <w:szCs w:val="18"/>
          <w:lang w:val="en-US"/>
        </w:rPr>
      </w:pPr>
      <w:r w:rsidRPr="0099104C">
        <w:rPr>
          <w:rStyle w:val="FootnoteReference"/>
          <w:rFonts w:cs="Arial"/>
          <w:sz w:val="18"/>
          <w:szCs w:val="18"/>
        </w:rPr>
        <w:footnoteRef/>
      </w:r>
      <w:r w:rsidRPr="0099104C">
        <w:rPr>
          <w:rFonts w:cs="Arial"/>
          <w:sz w:val="18"/>
          <w:szCs w:val="18"/>
        </w:rPr>
        <w:t xml:space="preserve"> </w:t>
      </w:r>
      <w:r w:rsidRPr="0099104C">
        <w:rPr>
          <w:rFonts w:cs="Arial"/>
          <w:sz w:val="18"/>
          <w:szCs w:val="18"/>
          <w:lang w:val="en-US"/>
        </w:rPr>
        <w:t xml:space="preserve">Human Rights Watch, </w:t>
      </w:r>
      <w:hyperlink r:id="rId28" w:history="1">
        <w:r w:rsidRPr="0099104C">
          <w:rPr>
            <w:rStyle w:val="Hyperlink"/>
            <w:rFonts w:cs="Arial"/>
            <w:sz w:val="18"/>
            <w:szCs w:val="18"/>
            <w:lang w:val="en-US"/>
          </w:rPr>
          <w:t>Survivors of unlawful detention in Nagorno-Karabakh speak out about war crimes</w:t>
        </w:r>
      </w:hyperlink>
      <w:r w:rsidRPr="0099104C">
        <w:rPr>
          <w:rFonts w:cs="Arial"/>
          <w:sz w:val="18"/>
          <w:szCs w:val="18"/>
          <w:lang w:val="en-US"/>
        </w:rPr>
        <w:t xml:space="preserve">, 12 March 2021. </w:t>
      </w:r>
    </w:p>
  </w:footnote>
  <w:footnote w:id="34">
    <w:p w14:paraId="1958A6A9" w14:textId="61B0D3E1" w:rsidR="009269CA" w:rsidRPr="0099104C" w:rsidRDefault="009269CA" w:rsidP="00FA1680">
      <w:pPr>
        <w:pStyle w:val="Heading1"/>
        <w:spacing w:before="0" w:line="240" w:lineRule="auto"/>
        <w:jc w:val="both"/>
        <w:rPr>
          <w:rFonts w:ascii="Arial" w:hAnsi="Arial" w:cs="Arial"/>
          <w:b/>
          <w:color w:val="auto"/>
          <w:sz w:val="18"/>
          <w:szCs w:val="18"/>
        </w:rPr>
      </w:pPr>
      <w:r w:rsidRPr="0099104C">
        <w:rPr>
          <w:rStyle w:val="FootnoteReference"/>
          <w:rFonts w:ascii="Arial" w:hAnsi="Arial" w:cs="Arial"/>
          <w:color w:val="auto"/>
          <w:sz w:val="18"/>
          <w:szCs w:val="18"/>
        </w:rPr>
        <w:footnoteRef/>
      </w:r>
      <w:r w:rsidRPr="0099104C">
        <w:rPr>
          <w:rFonts w:ascii="Arial" w:hAnsi="Arial" w:cs="Arial"/>
          <w:color w:val="auto"/>
          <w:sz w:val="18"/>
          <w:szCs w:val="18"/>
        </w:rPr>
        <w:t xml:space="preserve"> ICRC, </w:t>
      </w:r>
      <w:hyperlink r:id="rId29" w:history="1">
        <w:r w:rsidRPr="0099104C">
          <w:rPr>
            <w:rStyle w:val="Hyperlink"/>
            <w:rFonts w:ascii="Arial" w:hAnsi="Arial" w:cs="Arial"/>
            <w:sz w:val="18"/>
            <w:szCs w:val="18"/>
          </w:rPr>
          <w:t>Nagorno-Karabakh: Families of missing persons have the right to know</w:t>
        </w:r>
      </w:hyperlink>
      <w:r w:rsidRPr="0099104C">
        <w:rPr>
          <w:rFonts w:ascii="Arial" w:hAnsi="Arial" w:cs="Arial"/>
          <w:color w:val="auto"/>
          <w:sz w:val="18"/>
          <w:szCs w:val="18"/>
        </w:rPr>
        <w:t xml:space="preserve">, 15 December 2015. </w:t>
      </w:r>
    </w:p>
  </w:footnote>
  <w:footnote w:id="35">
    <w:p w14:paraId="78FE4EDF" w14:textId="77777777" w:rsidR="009269CA" w:rsidRPr="0099104C" w:rsidRDefault="009269CA" w:rsidP="00FA1680">
      <w:pPr>
        <w:pStyle w:val="Heading1"/>
        <w:shd w:val="clear" w:color="auto" w:fill="FFFFFF"/>
        <w:spacing w:before="0" w:line="240" w:lineRule="auto"/>
        <w:jc w:val="both"/>
        <w:rPr>
          <w:rFonts w:ascii="Arial" w:hAnsi="Arial" w:cs="Arial"/>
          <w:color w:val="auto"/>
          <w:sz w:val="18"/>
          <w:szCs w:val="18"/>
        </w:rPr>
      </w:pPr>
      <w:r w:rsidRPr="0099104C">
        <w:rPr>
          <w:rStyle w:val="FootnoteReference"/>
          <w:rFonts w:ascii="Arial" w:hAnsi="Arial" w:cs="Arial"/>
          <w:color w:val="auto"/>
          <w:sz w:val="18"/>
          <w:szCs w:val="18"/>
        </w:rPr>
        <w:footnoteRef/>
      </w:r>
      <w:r w:rsidRPr="0099104C">
        <w:rPr>
          <w:rFonts w:ascii="Arial" w:hAnsi="Arial" w:cs="Arial"/>
          <w:color w:val="auto"/>
          <w:sz w:val="18"/>
          <w:szCs w:val="18"/>
        </w:rPr>
        <w:t xml:space="preserve"> </w:t>
      </w:r>
      <w:r w:rsidRPr="0099104C">
        <w:rPr>
          <w:rFonts w:ascii="Arial" w:eastAsiaTheme="minorHAnsi" w:hAnsi="Arial" w:cs="Arial"/>
          <w:color w:val="0E101A"/>
          <w:sz w:val="18"/>
          <w:szCs w:val="18"/>
        </w:rPr>
        <w:t xml:space="preserve">International Crisis Group, </w:t>
      </w:r>
      <w:hyperlink r:id="rId30" w:history="1">
        <w:r w:rsidRPr="0099104C">
          <w:rPr>
            <w:rStyle w:val="Hyperlink"/>
            <w:rFonts w:ascii="Arial" w:eastAsiaTheme="minorHAnsi" w:hAnsi="Arial" w:cs="Arial"/>
            <w:sz w:val="18"/>
            <w:szCs w:val="18"/>
          </w:rPr>
          <w:t>Post-war Prospects for Nagorno-Karabakh</w:t>
        </w:r>
      </w:hyperlink>
      <w:r w:rsidRPr="0099104C">
        <w:rPr>
          <w:rFonts w:ascii="Arial" w:eastAsiaTheme="minorHAnsi" w:hAnsi="Arial" w:cs="Arial"/>
          <w:color w:val="0E101A"/>
          <w:sz w:val="18"/>
          <w:szCs w:val="18"/>
        </w:rPr>
        <w:t xml:space="preserve">, Europe Report n° 264, 9 June 2021. </w:t>
      </w:r>
    </w:p>
  </w:footnote>
  <w:footnote w:id="36">
    <w:p w14:paraId="4F24CB07" w14:textId="77777777" w:rsidR="009269CA" w:rsidRPr="0099104C" w:rsidRDefault="009269CA" w:rsidP="00FA1680">
      <w:pPr>
        <w:pStyle w:val="FootnoteText"/>
        <w:jc w:val="both"/>
        <w:rPr>
          <w:rFonts w:cs="Arial"/>
          <w:sz w:val="18"/>
          <w:szCs w:val="18"/>
          <w:lang w:val="en-US"/>
        </w:rPr>
      </w:pPr>
      <w:r w:rsidRPr="0099104C">
        <w:rPr>
          <w:rStyle w:val="FootnoteReference"/>
          <w:rFonts w:cs="Arial"/>
          <w:sz w:val="18"/>
          <w:szCs w:val="18"/>
        </w:rPr>
        <w:footnoteRef/>
      </w:r>
      <w:r w:rsidRPr="0099104C">
        <w:rPr>
          <w:rFonts w:cs="Arial"/>
          <w:sz w:val="18"/>
          <w:szCs w:val="18"/>
        </w:rPr>
        <w:t xml:space="preserve"> </w:t>
      </w:r>
      <w:hyperlink r:id="rId31" w:history="1">
        <w:r w:rsidRPr="0099104C">
          <w:rPr>
            <w:rStyle w:val="Hyperlink"/>
            <w:rFonts w:cs="Arial"/>
            <w:sz w:val="18"/>
            <w:szCs w:val="18"/>
            <w:lang w:val="en-US"/>
          </w:rPr>
          <w:t>Information</w:t>
        </w:r>
      </w:hyperlink>
      <w:r w:rsidRPr="0099104C">
        <w:rPr>
          <w:rFonts w:cs="Arial"/>
          <w:sz w:val="18"/>
          <w:szCs w:val="18"/>
          <w:lang w:val="en-US"/>
        </w:rPr>
        <w:t xml:space="preserve"> of the State Commission of the Republic of Azerbaijan on Prisoners of War, Hostages and Missing Persons, 13 February 2021. </w:t>
      </w:r>
    </w:p>
  </w:footnote>
  <w:footnote w:id="37">
    <w:p w14:paraId="518DBBDC" w14:textId="77777777" w:rsidR="009269CA" w:rsidRPr="00B75DDC" w:rsidRDefault="009269CA" w:rsidP="00FA1680">
      <w:pPr>
        <w:pStyle w:val="Heading1"/>
        <w:shd w:val="clear" w:color="auto" w:fill="FFFFFF"/>
        <w:spacing w:before="0" w:line="240" w:lineRule="auto"/>
        <w:jc w:val="both"/>
        <w:rPr>
          <w:rFonts w:ascii="Arial" w:hAnsi="Arial" w:cs="Arial"/>
          <w:color w:val="3166A4"/>
          <w:spacing w:val="9"/>
          <w:sz w:val="18"/>
          <w:szCs w:val="18"/>
        </w:rPr>
      </w:pPr>
      <w:r w:rsidRPr="00B75DDC">
        <w:rPr>
          <w:rStyle w:val="FootnoteReference"/>
          <w:rFonts w:ascii="Arial" w:hAnsi="Arial" w:cs="Arial"/>
          <w:color w:val="auto"/>
          <w:sz w:val="18"/>
          <w:szCs w:val="18"/>
        </w:rPr>
        <w:footnoteRef/>
      </w:r>
      <w:r w:rsidRPr="00B75DDC">
        <w:rPr>
          <w:rFonts w:ascii="Arial" w:hAnsi="Arial" w:cs="Arial"/>
          <w:color w:val="auto"/>
          <w:sz w:val="18"/>
          <w:szCs w:val="18"/>
        </w:rPr>
        <w:t xml:space="preserve"> </w:t>
      </w:r>
      <w:bookmarkStart w:id="15" w:name="_Hlk84796885"/>
      <w:r w:rsidRPr="00B75DDC">
        <w:rPr>
          <w:rFonts w:ascii="Arial" w:hAnsi="Arial" w:cs="Arial"/>
          <w:color w:val="auto"/>
          <w:sz w:val="18"/>
          <w:szCs w:val="18"/>
        </w:rPr>
        <w:t xml:space="preserve">Parliamentary Assembly of the Council of Europe, </w:t>
      </w:r>
      <w:hyperlink r:id="rId32" w:history="1">
        <w:r w:rsidRPr="00B75DDC">
          <w:rPr>
            <w:rStyle w:val="Hyperlink"/>
            <w:rFonts w:ascii="Arial" w:hAnsi="Arial" w:cs="Arial"/>
            <w:sz w:val="18"/>
            <w:szCs w:val="18"/>
          </w:rPr>
          <w:t>Report</w:t>
        </w:r>
      </w:hyperlink>
      <w:r w:rsidRPr="00B75DDC">
        <w:rPr>
          <w:rFonts w:ascii="Arial" w:hAnsi="Arial" w:cs="Arial"/>
          <w:color w:val="auto"/>
          <w:sz w:val="18"/>
          <w:szCs w:val="18"/>
        </w:rPr>
        <w:t xml:space="preserve"> “Humanitarian consequences of the conflict between Armenia and Azerbaijan”, Doc. 15363, 13 September 2021, para. 16</w:t>
      </w:r>
      <w:bookmarkEnd w:id="15"/>
      <w:r w:rsidRPr="00B75DDC">
        <w:rPr>
          <w:rFonts w:ascii="Arial" w:hAnsi="Arial" w:cs="Arial"/>
          <w:color w:val="auto"/>
          <w:sz w:val="18"/>
          <w:szCs w:val="18"/>
        </w:rPr>
        <w:t>.</w:t>
      </w:r>
    </w:p>
  </w:footnote>
  <w:footnote w:id="38">
    <w:p w14:paraId="456CCB7A" w14:textId="77777777" w:rsidR="009269CA" w:rsidRPr="00CA2CB2" w:rsidRDefault="009269CA" w:rsidP="00FA1680">
      <w:pPr>
        <w:pStyle w:val="FootnoteText"/>
        <w:jc w:val="both"/>
        <w:rPr>
          <w:rStyle w:val="FootnoteReference"/>
          <w:rFonts w:cs="Arial"/>
          <w:sz w:val="18"/>
          <w:szCs w:val="18"/>
        </w:rPr>
      </w:pPr>
      <w:r w:rsidRPr="00CA2CB2">
        <w:rPr>
          <w:rStyle w:val="FootnoteReference"/>
          <w:rFonts w:cs="Arial"/>
          <w:sz w:val="18"/>
          <w:szCs w:val="18"/>
        </w:rPr>
        <w:footnoteRef/>
      </w:r>
      <w:r w:rsidRPr="00CA2CB2">
        <w:rPr>
          <w:rFonts w:cs="Arial"/>
          <w:sz w:val="18"/>
          <w:szCs w:val="18"/>
        </w:rPr>
        <w:t xml:space="preserve"> </w:t>
      </w:r>
      <w:r w:rsidRPr="00CA2CB2">
        <w:rPr>
          <w:rFonts w:cs="Arial"/>
          <w:sz w:val="18"/>
          <w:szCs w:val="18"/>
          <w:lang w:val="en-US"/>
        </w:rPr>
        <w:t xml:space="preserve">ECtHR, </w:t>
      </w:r>
      <w:hyperlink r:id="rId33" w:history="1">
        <w:r w:rsidRPr="00CA2CB2">
          <w:rPr>
            <w:rStyle w:val="Hyperlink"/>
            <w:rFonts w:cs="Arial"/>
            <w:i/>
            <w:iCs/>
            <w:sz w:val="18"/>
            <w:szCs w:val="18"/>
            <w:lang w:val="en-US"/>
          </w:rPr>
          <w:t>Cyprus v. Turkey</w:t>
        </w:r>
      </w:hyperlink>
      <w:r w:rsidRPr="00CA2CB2">
        <w:rPr>
          <w:rFonts w:cs="Arial"/>
          <w:sz w:val="18"/>
          <w:szCs w:val="18"/>
          <w:lang w:val="en-US"/>
        </w:rPr>
        <w:t xml:space="preserve">, Grand Chamber judgment of 10 May 2001, para. 136; ECtHR, </w:t>
      </w:r>
      <w:hyperlink r:id="rId34" w:anchor="{%22itemid%22:[%22001-94162%22]}" w:history="1">
        <w:proofErr w:type="spellStart"/>
        <w:r w:rsidRPr="00CA2CB2">
          <w:rPr>
            <w:rStyle w:val="Hyperlink"/>
            <w:rFonts w:cs="Arial"/>
            <w:i/>
            <w:iCs/>
            <w:sz w:val="18"/>
            <w:szCs w:val="18"/>
            <w:lang w:val="en-US"/>
          </w:rPr>
          <w:t>Varnava</w:t>
        </w:r>
        <w:proofErr w:type="spellEnd"/>
        <w:r w:rsidRPr="00CA2CB2">
          <w:rPr>
            <w:rStyle w:val="Hyperlink"/>
            <w:rFonts w:cs="Arial"/>
            <w:i/>
            <w:iCs/>
            <w:sz w:val="18"/>
            <w:szCs w:val="18"/>
            <w:lang w:val="en-US"/>
          </w:rPr>
          <w:t xml:space="preserve"> and Others v. Turkey</w:t>
        </w:r>
      </w:hyperlink>
      <w:r w:rsidRPr="00CA2CB2">
        <w:rPr>
          <w:rStyle w:val="Hyperlink"/>
          <w:rFonts w:cs="Arial"/>
          <w:color w:val="auto"/>
          <w:sz w:val="18"/>
          <w:szCs w:val="18"/>
          <w:u w:val="none"/>
          <w:lang w:val="en-US"/>
        </w:rPr>
        <w:t>, Grand Chamber judgment of 18 September 2009, para. 194.</w:t>
      </w:r>
      <w:r w:rsidRPr="00CA2CB2">
        <w:rPr>
          <w:rStyle w:val="Hyperlink"/>
          <w:rFonts w:cs="Arial"/>
          <w:color w:val="auto"/>
          <w:sz w:val="18"/>
          <w:szCs w:val="18"/>
          <w:lang w:val="en-US"/>
        </w:rPr>
        <w:t xml:space="preserve"> </w:t>
      </w:r>
    </w:p>
  </w:footnote>
  <w:footnote w:id="39">
    <w:p w14:paraId="79C6D804" w14:textId="77777777" w:rsidR="009269CA" w:rsidRPr="00CA2CB2" w:rsidRDefault="009269CA" w:rsidP="00FA1680">
      <w:pPr>
        <w:pStyle w:val="FootnoteText"/>
        <w:jc w:val="both"/>
        <w:rPr>
          <w:rFonts w:cs="Arial"/>
          <w:sz w:val="18"/>
          <w:szCs w:val="18"/>
          <w:lang w:val="en-US"/>
        </w:rPr>
      </w:pPr>
      <w:r w:rsidRPr="00CA2CB2">
        <w:rPr>
          <w:rStyle w:val="FootnoteReference"/>
          <w:rFonts w:cs="Arial"/>
          <w:sz w:val="18"/>
          <w:szCs w:val="18"/>
        </w:rPr>
        <w:footnoteRef/>
      </w:r>
      <w:r w:rsidRPr="00CA2CB2">
        <w:rPr>
          <w:rFonts w:cs="Arial"/>
          <w:sz w:val="18"/>
          <w:szCs w:val="18"/>
        </w:rPr>
        <w:t xml:space="preserve"> </w:t>
      </w:r>
      <w:r w:rsidRPr="00CA2CB2">
        <w:rPr>
          <w:rFonts w:cs="Arial"/>
          <w:sz w:val="18"/>
          <w:szCs w:val="18"/>
          <w:lang w:val="en-US"/>
        </w:rPr>
        <w:t xml:space="preserve">ECtHR, </w:t>
      </w:r>
      <w:hyperlink r:id="rId35" w:history="1">
        <w:proofErr w:type="spellStart"/>
        <w:r w:rsidRPr="00CA2CB2">
          <w:rPr>
            <w:rStyle w:val="Hyperlink"/>
            <w:rFonts w:cs="Arial"/>
            <w:i/>
            <w:iCs/>
            <w:sz w:val="18"/>
            <w:szCs w:val="18"/>
            <w:lang w:val="en-US"/>
          </w:rPr>
          <w:t>Aslakhanova</w:t>
        </w:r>
        <w:proofErr w:type="spellEnd"/>
        <w:r w:rsidRPr="00CA2CB2">
          <w:rPr>
            <w:rStyle w:val="Hyperlink"/>
            <w:rFonts w:cs="Arial"/>
            <w:i/>
            <w:iCs/>
            <w:sz w:val="18"/>
            <w:szCs w:val="18"/>
            <w:lang w:val="en-US"/>
          </w:rPr>
          <w:t xml:space="preserve"> and Others v. Russia</w:t>
        </w:r>
      </w:hyperlink>
      <w:r w:rsidRPr="00CA2CB2">
        <w:rPr>
          <w:rFonts w:cs="Arial"/>
          <w:sz w:val="18"/>
          <w:szCs w:val="18"/>
          <w:lang w:val="en-US"/>
        </w:rPr>
        <w:t xml:space="preserve">, judgment of 18 December 2012. </w:t>
      </w:r>
    </w:p>
  </w:footnote>
  <w:footnote w:id="40">
    <w:p w14:paraId="5C5A0358" w14:textId="77777777" w:rsidR="009269CA" w:rsidRPr="00CA2CB2" w:rsidRDefault="009269CA" w:rsidP="00FA1680">
      <w:pPr>
        <w:pStyle w:val="FootnoteText"/>
        <w:jc w:val="both"/>
        <w:rPr>
          <w:rFonts w:cs="Arial"/>
          <w:sz w:val="18"/>
          <w:szCs w:val="18"/>
          <w:lang w:val="en-US"/>
        </w:rPr>
      </w:pPr>
      <w:r w:rsidRPr="00CA2CB2">
        <w:rPr>
          <w:rStyle w:val="FootnoteReference"/>
          <w:rFonts w:cs="Arial"/>
          <w:sz w:val="18"/>
          <w:szCs w:val="18"/>
        </w:rPr>
        <w:footnoteRef/>
      </w:r>
      <w:r w:rsidRPr="00CA2CB2">
        <w:rPr>
          <w:rFonts w:cs="Arial"/>
          <w:sz w:val="18"/>
          <w:szCs w:val="18"/>
        </w:rPr>
        <w:t xml:space="preserve"> </w:t>
      </w:r>
      <w:r w:rsidRPr="00CA2CB2">
        <w:rPr>
          <w:rFonts w:cs="Arial"/>
          <w:sz w:val="18"/>
          <w:szCs w:val="18"/>
          <w:lang w:val="en-US"/>
        </w:rPr>
        <w:t xml:space="preserve">Commissioner for Human Rights, Issue Paper </w:t>
      </w:r>
      <w:hyperlink r:id="rId36" w:history="1">
        <w:r w:rsidRPr="00CA2CB2">
          <w:rPr>
            <w:rStyle w:val="Hyperlink"/>
            <w:rFonts w:cs="Arial"/>
            <w:sz w:val="18"/>
            <w:szCs w:val="18"/>
            <w:lang w:val="en-US"/>
          </w:rPr>
          <w:t>Missing persons and victims of enforced disappearance in Europe</w:t>
        </w:r>
      </w:hyperlink>
      <w:r w:rsidRPr="00CA2CB2">
        <w:rPr>
          <w:rFonts w:cs="Arial"/>
          <w:sz w:val="18"/>
          <w:szCs w:val="18"/>
          <w:lang w:val="en-US"/>
        </w:rPr>
        <w:t xml:space="preserve"> (2016).</w:t>
      </w:r>
    </w:p>
  </w:footnote>
  <w:footnote w:id="41">
    <w:p w14:paraId="6AB721A5" w14:textId="77777777" w:rsidR="009269CA" w:rsidRPr="00CA2CB2" w:rsidRDefault="009269CA" w:rsidP="005D0EF7">
      <w:pPr>
        <w:pStyle w:val="FootnoteText"/>
        <w:jc w:val="both"/>
        <w:rPr>
          <w:rFonts w:cs="Arial"/>
          <w:sz w:val="18"/>
          <w:szCs w:val="18"/>
        </w:rPr>
      </w:pPr>
      <w:r w:rsidRPr="00CA2CB2">
        <w:rPr>
          <w:rStyle w:val="FootnoteReference"/>
          <w:rFonts w:cs="Arial"/>
          <w:sz w:val="18"/>
          <w:szCs w:val="18"/>
        </w:rPr>
        <w:footnoteRef/>
      </w:r>
      <w:r w:rsidRPr="00CA2CB2">
        <w:rPr>
          <w:rFonts w:cs="Arial"/>
          <w:sz w:val="18"/>
          <w:szCs w:val="18"/>
        </w:rPr>
        <w:t xml:space="preserve"> See below, Section VII. </w:t>
      </w:r>
    </w:p>
  </w:footnote>
  <w:footnote w:id="42">
    <w:p w14:paraId="15B3CBDE" w14:textId="61A7AEE6" w:rsidR="009269CA" w:rsidRPr="00B75DDC" w:rsidRDefault="009269CA" w:rsidP="005D0EF7">
      <w:pPr>
        <w:pStyle w:val="FootnoteText"/>
        <w:jc w:val="both"/>
        <w:rPr>
          <w:rFonts w:cs="Arial"/>
          <w:sz w:val="18"/>
          <w:szCs w:val="18"/>
        </w:rPr>
      </w:pPr>
      <w:r w:rsidRPr="00CA2CB2">
        <w:rPr>
          <w:rStyle w:val="FootnoteReference"/>
          <w:rFonts w:cs="Arial"/>
          <w:sz w:val="18"/>
          <w:szCs w:val="18"/>
        </w:rPr>
        <w:footnoteRef/>
      </w:r>
      <w:r w:rsidRPr="00CA2CB2">
        <w:rPr>
          <w:rFonts w:cs="Arial"/>
          <w:sz w:val="18"/>
          <w:szCs w:val="18"/>
        </w:rPr>
        <w:t xml:space="preserve"> There are also allegations relating to the use of mercenaries during the recent conflict. The </w:t>
      </w:r>
      <w:r w:rsidRPr="00CA2CB2">
        <w:rPr>
          <w:rFonts w:cs="Arial"/>
          <w:sz w:val="18"/>
          <w:szCs w:val="18"/>
          <w:lang w:val="en-US"/>
        </w:rPr>
        <w:t xml:space="preserve">UN </w:t>
      </w:r>
      <w:hyperlink r:id="rId37" w:history="1">
        <w:r w:rsidRPr="00CA2CB2">
          <w:rPr>
            <w:rStyle w:val="Hyperlink"/>
            <w:rFonts w:cs="Arial"/>
            <w:sz w:val="18"/>
            <w:szCs w:val="18"/>
            <w:lang w:val="en-US"/>
          </w:rPr>
          <w:t>Working Group on the use of mercenaries</w:t>
        </w:r>
      </w:hyperlink>
      <w:r w:rsidRPr="00CA2CB2">
        <w:rPr>
          <w:rFonts w:cs="Arial"/>
          <w:sz w:val="18"/>
          <w:szCs w:val="18"/>
          <w:lang w:val="en-US"/>
        </w:rPr>
        <w:t xml:space="preserve"> is looking into these allegations to ascertain</w:t>
      </w:r>
      <w:r w:rsidRPr="00B75DDC">
        <w:rPr>
          <w:rFonts w:cs="Arial"/>
          <w:sz w:val="18"/>
          <w:szCs w:val="18"/>
          <w:lang w:val="en-US"/>
        </w:rPr>
        <w:t xml:space="preserve"> possible links to mercenary-related activities. </w:t>
      </w:r>
    </w:p>
  </w:footnote>
  <w:footnote w:id="43">
    <w:p w14:paraId="0E929EF2" w14:textId="77777777" w:rsidR="009269CA" w:rsidRPr="006F7EF3" w:rsidRDefault="009269CA" w:rsidP="005D0EF7">
      <w:pPr>
        <w:pStyle w:val="FootnoteText"/>
        <w:tabs>
          <w:tab w:val="right" w:pos="-1560"/>
        </w:tabs>
        <w:jc w:val="both"/>
        <w:rPr>
          <w:rFonts w:cs="Arial"/>
          <w:sz w:val="18"/>
          <w:szCs w:val="18"/>
        </w:rPr>
      </w:pPr>
      <w:r w:rsidRPr="006F7EF3">
        <w:rPr>
          <w:rStyle w:val="FootnoteReference"/>
          <w:rFonts w:cs="Arial"/>
          <w:sz w:val="18"/>
          <w:szCs w:val="18"/>
        </w:rPr>
        <w:footnoteRef/>
      </w:r>
      <w:r w:rsidRPr="006F7EF3">
        <w:rPr>
          <w:rFonts w:cs="Arial"/>
          <w:sz w:val="18"/>
          <w:szCs w:val="18"/>
        </w:rPr>
        <w:t xml:space="preserve"> </w:t>
      </w:r>
      <w:r w:rsidRPr="006F7EF3">
        <w:rPr>
          <w:rFonts w:cs="Arial"/>
          <w:sz w:val="18"/>
          <w:szCs w:val="18"/>
          <w:lang w:val="en-US"/>
        </w:rPr>
        <w:t xml:space="preserve">The Commissioner for Human Rights (Ombudsman) of the Republic of Azerbaijan, Report on the facts of torture against Azerbaijani soldiers by the armed forces of Armenia, 17 July 2021 (not public); </w:t>
      </w:r>
      <w:r w:rsidRPr="006F7EF3">
        <w:rPr>
          <w:rFonts w:cs="Arial"/>
          <w:sz w:val="18"/>
          <w:szCs w:val="18"/>
        </w:rPr>
        <w:t xml:space="preserve">The Human Rights Defender of the Republic of Armenia, </w:t>
      </w:r>
      <w:hyperlink r:id="rId38" w:history="1">
        <w:r w:rsidRPr="006F7EF3">
          <w:rPr>
            <w:rStyle w:val="Hyperlink"/>
            <w:rFonts w:cs="Arial"/>
            <w:sz w:val="18"/>
            <w:szCs w:val="18"/>
          </w:rPr>
          <w:t>Ad hoc public report</w:t>
        </w:r>
      </w:hyperlink>
      <w:r w:rsidRPr="006F7EF3">
        <w:rPr>
          <w:rFonts w:cs="Arial"/>
          <w:sz w:val="18"/>
          <w:szCs w:val="18"/>
        </w:rPr>
        <w:t xml:space="preserve">, Responsibility of Azerbaijan for torture and inhuman treatment of Armenian captives: evidence-based analysis (the 2020 Nagorno Karabakh war), September 2021. </w:t>
      </w:r>
    </w:p>
  </w:footnote>
  <w:footnote w:id="44">
    <w:p w14:paraId="29E861E3" w14:textId="77777777" w:rsidR="009269CA" w:rsidRPr="006F7EF3" w:rsidRDefault="009269CA" w:rsidP="00FA1680">
      <w:pPr>
        <w:pStyle w:val="FootnoteText"/>
        <w:jc w:val="both"/>
        <w:rPr>
          <w:rFonts w:cs="Arial"/>
          <w:sz w:val="18"/>
          <w:szCs w:val="18"/>
        </w:rPr>
      </w:pPr>
      <w:r w:rsidRPr="006F7EF3">
        <w:rPr>
          <w:rStyle w:val="FootnoteReference"/>
          <w:rFonts w:cs="Arial"/>
          <w:sz w:val="18"/>
          <w:szCs w:val="18"/>
        </w:rPr>
        <w:footnoteRef/>
      </w:r>
      <w:r w:rsidRPr="006F7EF3">
        <w:rPr>
          <w:rFonts w:cs="Arial"/>
          <w:sz w:val="18"/>
          <w:szCs w:val="18"/>
        </w:rPr>
        <w:t xml:space="preserve"> IPHR/Truth Hounds/ Global Diligence, </w:t>
      </w:r>
      <w:hyperlink r:id="rId39" w:history="1">
        <w:r w:rsidRPr="006F7EF3">
          <w:rPr>
            <w:rStyle w:val="Hyperlink"/>
            <w:rFonts w:cs="Arial"/>
            <w:sz w:val="18"/>
            <w:szCs w:val="18"/>
          </w:rPr>
          <w:t>When embers burst into flames, International Humanitarian Law and Human Rights Law violations during the 2020 Nagorno-Karabakh War</w:t>
        </w:r>
      </w:hyperlink>
      <w:r w:rsidRPr="006F7EF3">
        <w:rPr>
          <w:rFonts w:cs="Arial"/>
          <w:sz w:val="18"/>
          <w:szCs w:val="18"/>
        </w:rPr>
        <w:t xml:space="preserve">, May 2021. </w:t>
      </w:r>
    </w:p>
  </w:footnote>
  <w:footnote w:id="45">
    <w:p w14:paraId="53000F3D" w14:textId="77777777" w:rsidR="009269CA" w:rsidRPr="006F7EF3" w:rsidRDefault="009269CA" w:rsidP="00FA1680">
      <w:pPr>
        <w:pStyle w:val="FootnoteText"/>
        <w:tabs>
          <w:tab w:val="right" w:pos="-1560"/>
        </w:tabs>
        <w:ind w:right="-1"/>
        <w:jc w:val="both"/>
        <w:rPr>
          <w:rFonts w:cs="Arial"/>
          <w:sz w:val="18"/>
          <w:szCs w:val="18"/>
        </w:rPr>
      </w:pPr>
      <w:r w:rsidRPr="006F7EF3">
        <w:rPr>
          <w:rStyle w:val="FootnoteReference"/>
          <w:rFonts w:cs="Arial"/>
          <w:sz w:val="18"/>
          <w:szCs w:val="18"/>
        </w:rPr>
        <w:footnoteRef/>
      </w:r>
      <w:r w:rsidRPr="006F7EF3">
        <w:rPr>
          <w:rFonts w:cs="Arial"/>
          <w:sz w:val="18"/>
          <w:szCs w:val="18"/>
        </w:rPr>
        <w:t xml:space="preserve"> </w:t>
      </w:r>
      <w:r w:rsidRPr="006F7EF3">
        <w:rPr>
          <w:rFonts w:cs="Arial"/>
          <w:i/>
          <w:iCs/>
          <w:sz w:val="18"/>
          <w:szCs w:val="18"/>
        </w:rPr>
        <w:t>Ibid</w:t>
      </w:r>
      <w:r w:rsidRPr="006F7EF3">
        <w:rPr>
          <w:rFonts w:cs="Arial"/>
          <w:sz w:val="18"/>
          <w:szCs w:val="18"/>
        </w:rPr>
        <w:t xml:space="preserve">., p. 95. </w:t>
      </w:r>
      <w:r w:rsidRPr="006F7EF3">
        <w:rPr>
          <w:rFonts w:cs="Arial"/>
          <w:sz w:val="18"/>
          <w:szCs w:val="18"/>
          <w:lang w:val="en-US"/>
        </w:rPr>
        <w:t xml:space="preserve">At least two Azerbaijani soldiers are accused of committing similar offences against deceased Armenian/Nagorno-Karabakh soldiers. </w:t>
      </w:r>
    </w:p>
  </w:footnote>
  <w:footnote w:id="46">
    <w:p w14:paraId="445585D4" w14:textId="77777777" w:rsidR="009269CA" w:rsidRPr="006F7EF3" w:rsidRDefault="009269CA" w:rsidP="00FA1680">
      <w:pPr>
        <w:pStyle w:val="FootnoteText"/>
        <w:jc w:val="both"/>
        <w:rPr>
          <w:rFonts w:cs="Arial"/>
          <w:sz w:val="18"/>
          <w:szCs w:val="18"/>
        </w:rPr>
      </w:pPr>
      <w:r w:rsidRPr="006F7EF3">
        <w:rPr>
          <w:rStyle w:val="FootnoteReference"/>
          <w:rFonts w:cs="Arial"/>
          <w:sz w:val="18"/>
          <w:szCs w:val="18"/>
        </w:rPr>
        <w:footnoteRef/>
      </w:r>
      <w:r w:rsidRPr="006F7EF3">
        <w:rPr>
          <w:rFonts w:cs="Arial"/>
          <w:sz w:val="18"/>
          <w:szCs w:val="18"/>
        </w:rPr>
        <w:t xml:space="preserve"> Human Rights Watch, </w:t>
      </w:r>
      <w:hyperlink r:id="rId40" w:history="1">
        <w:r w:rsidRPr="006F7EF3">
          <w:rPr>
            <w:rStyle w:val="Hyperlink"/>
            <w:rFonts w:cs="Arial"/>
            <w:sz w:val="18"/>
            <w:szCs w:val="18"/>
          </w:rPr>
          <w:t>Azerbaijan: Armenian POWs Abused in Custody</w:t>
        </w:r>
      </w:hyperlink>
      <w:r w:rsidRPr="006F7EF3">
        <w:rPr>
          <w:rFonts w:cs="Arial"/>
          <w:sz w:val="18"/>
          <w:szCs w:val="18"/>
        </w:rPr>
        <w:t xml:space="preserve">, 19 March 2021. </w:t>
      </w:r>
    </w:p>
  </w:footnote>
  <w:footnote w:id="47">
    <w:p w14:paraId="1FFBFAB9" w14:textId="77777777" w:rsidR="009269CA" w:rsidRPr="006F7EF3" w:rsidRDefault="009269CA" w:rsidP="00FA1680">
      <w:pPr>
        <w:pStyle w:val="FootnoteText"/>
        <w:jc w:val="both"/>
        <w:rPr>
          <w:rFonts w:cs="Arial"/>
          <w:sz w:val="18"/>
          <w:szCs w:val="18"/>
        </w:rPr>
      </w:pPr>
      <w:r w:rsidRPr="006F7EF3">
        <w:rPr>
          <w:rStyle w:val="FootnoteReference"/>
          <w:rFonts w:cs="Arial"/>
          <w:sz w:val="18"/>
          <w:szCs w:val="18"/>
        </w:rPr>
        <w:footnoteRef/>
      </w:r>
      <w:r w:rsidRPr="006F7EF3">
        <w:rPr>
          <w:rFonts w:cs="Arial"/>
          <w:sz w:val="18"/>
          <w:szCs w:val="18"/>
        </w:rPr>
        <w:t xml:space="preserve"> Human Rights Watch, </w:t>
      </w:r>
      <w:hyperlink r:id="rId41" w:history="1">
        <w:r w:rsidRPr="006F7EF3">
          <w:rPr>
            <w:rStyle w:val="Hyperlink"/>
            <w:rFonts w:cs="Arial"/>
            <w:bCs/>
            <w:sz w:val="18"/>
            <w:szCs w:val="18"/>
            <w:lang w:val="en-US" w:eastAsia="fr-FR"/>
          </w:rPr>
          <w:t>Survivors of Unlawful Detention in Nagorno-Karabakh Speak Out about War Crimes</w:t>
        </w:r>
      </w:hyperlink>
      <w:r w:rsidRPr="006F7EF3">
        <w:rPr>
          <w:rStyle w:val="Hyperlink"/>
          <w:rFonts w:cs="Arial"/>
          <w:bCs/>
          <w:sz w:val="18"/>
          <w:szCs w:val="18"/>
          <w:lang w:val="en-US" w:eastAsia="fr-FR"/>
        </w:rPr>
        <w:t>,</w:t>
      </w:r>
      <w:r w:rsidRPr="006F7EF3">
        <w:rPr>
          <w:rFonts w:cs="Arial"/>
          <w:sz w:val="18"/>
          <w:szCs w:val="18"/>
        </w:rPr>
        <w:t xml:space="preserve">12 March 2021. </w:t>
      </w:r>
    </w:p>
  </w:footnote>
  <w:footnote w:id="48">
    <w:p w14:paraId="20CE437B" w14:textId="77777777" w:rsidR="009269CA" w:rsidRPr="006F7EF3" w:rsidRDefault="009269CA" w:rsidP="00FA1680">
      <w:pPr>
        <w:pStyle w:val="FootnoteText"/>
        <w:jc w:val="both"/>
        <w:rPr>
          <w:rFonts w:cs="Arial"/>
          <w:sz w:val="18"/>
          <w:szCs w:val="18"/>
          <w:lang w:val="en-US"/>
        </w:rPr>
      </w:pPr>
      <w:r w:rsidRPr="006F7EF3">
        <w:rPr>
          <w:rStyle w:val="FootnoteReference"/>
          <w:rFonts w:cs="Arial"/>
          <w:sz w:val="18"/>
          <w:szCs w:val="18"/>
        </w:rPr>
        <w:footnoteRef/>
      </w:r>
      <w:r w:rsidRPr="006F7EF3">
        <w:rPr>
          <w:rFonts w:cs="Arial"/>
          <w:sz w:val="18"/>
          <w:szCs w:val="18"/>
          <w:lang w:val="en-US"/>
        </w:rPr>
        <w:t xml:space="preserve"> Amnesty International, </w:t>
      </w:r>
      <w:hyperlink r:id="rId42" w:history="1">
        <w:r w:rsidRPr="006F7EF3">
          <w:rPr>
            <w:rStyle w:val="Hyperlink"/>
            <w:rFonts w:cs="Arial"/>
            <w:sz w:val="18"/>
            <w:szCs w:val="18"/>
            <w:lang w:val="en-US"/>
          </w:rPr>
          <w:t>Armenia/Azerbaijan: Decapitation and war crimes in gruesome videos must be urgently investigated</w:t>
        </w:r>
      </w:hyperlink>
      <w:r w:rsidRPr="006F7EF3">
        <w:rPr>
          <w:rFonts w:cs="Arial"/>
          <w:sz w:val="18"/>
          <w:szCs w:val="18"/>
          <w:lang w:val="en-US"/>
        </w:rPr>
        <w:t xml:space="preserve">, 10 December 2020. </w:t>
      </w:r>
    </w:p>
  </w:footnote>
  <w:footnote w:id="49">
    <w:p w14:paraId="23FF88F9" w14:textId="77777777" w:rsidR="009269CA" w:rsidRPr="006F7EF3" w:rsidRDefault="009269CA" w:rsidP="00FA1680">
      <w:pPr>
        <w:pStyle w:val="HTMLPreformatted"/>
        <w:jc w:val="both"/>
        <w:rPr>
          <w:rFonts w:ascii="Arial" w:hAnsi="Arial" w:cs="Arial"/>
          <w:bCs/>
          <w:spacing w:val="-4"/>
          <w:sz w:val="18"/>
          <w:szCs w:val="18"/>
        </w:rPr>
      </w:pPr>
      <w:r w:rsidRPr="006F7EF3">
        <w:rPr>
          <w:rFonts w:ascii="Arial" w:hAnsi="Arial" w:cs="Arial"/>
          <w:bCs/>
          <w:spacing w:val="-4"/>
          <w:sz w:val="18"/>
          <w:szCs w:val="18"/>
          <w:vertAlign w:val="superscript"/>
        </w:rPr>
        <w:footnoteRef/>
      </w:r>
      <w:r w:rsidRPr="006F7EF3">
        <w:rPr>
          <w:rFonts w:ascii="Arial" w:hAnsi="Arial" w:cs="Arial"/>
          <w:bCs/>
          <w:spacing w:val="-4"/>
          <w:sz w:val="18"/>
          <w:szCs w:val="18"/>
          <w:vertAlign w:val="superscript"/>
        </w:rPr>
        <w:t xml:space="preserve"> </w:t>
      </w:r>
      <w:r w:rsidRPr="006F7EF3">
        <w:rPr>
          <w:rFonts w:ascii="Arial" w:hAnsi="Arial" w:cs="Arial"/>
          <w:bCs/>
          <w:spacing w:val="-4"/>
          <w:sz w:val="18"/>
          <w:szCs w:val="18"/>
        </w:rPr>
        <w:t xml:space="preserve">Prosecutor General’s Office of the Republic of Azerbaijan, </w:t>
      </w:r>
      <w:hyperlink r:id="rId43" w:history="1">
        <w:r w:rsidRPr="006F7EF3">
          <w:rPr>
            <w:rStyle w:val="Hyperlink"/>
            <w:rFonts w:ascii="Arial" w:hAnsi="Arial" w:cs="Arial"/>
            <w:bCs/>
            <w:spacing w:val="-4"/>
            <w:sz w:val="18"/>
            <w:szCs w:val="18"/>
          </w:rPr>
          <w:t>Four servicemen accused of insulting bodies of Armenian servicemen and tombstones belonging to Armenians</w:t>
        </w:r>
      </w:hyperlink>
      <w:r w:rsidRPr="006F7EF3">
        <w:rPr>
          <w:rFonts w:ascii="Arial" w:hAnsi="Arial" w:cs="Arial"/>
          <w:bCs/>
          <w:spacing w:val="-4"/>
          <w:sz w:val="18"/>
          <w:szCs w:val="18"/>
        </w:rPr>
        <w:t xml:space="preserve">, 14 December 2020. </w:t>
      </w:r>
    </w:p>
  </w:footnote>
  <w:footnote w:id="50">
    <w:p w14:paraId="1D367048" w14:textId="77777777" w:rsidR="009269CA" w:rsidRPr="006F7EF3" w:rsidRDefault="009269CA" w:rsidP="00FA1680">
      <w:pPr>
        <w:pStyle w:val="FootnoteText"/>
        <w:jc w:val="both"/>
        <w:rPr>
          <w:rFonts w:cs="Arial"/>
          <w:sz w:val="18"/>
          <w:szCs w:val="18"/>
        </w:rPr>
      </w:pPr>
      <w:r w:rsidRPr="006F7EF3">
        <w:rPr>
          <w:rStyle w:val="FootnoteReference"/>
          <w:rFonts w:cs="Arial"/>
          <w:sz w:val="18"/>
          <w:szCs w:val="18"/>
        </w:rPr>
        <w:footnoteRef/>
      </w:r>
      <w:r w:rsidRPr="006F7EF3">
        <w:rPr>
          <w:rFonts w:cs="Arial"/>
          <w:sz w:val="18"/>
          <w:szCs w:val="18"/>
        </w:rPr>
        <w:t xml:space="preserve"> </w:t>
      </w:r>
      <w:r w:rsidRPr="006F7EF3">
        <w:rPr>
          <w:rFonts w:cs="Arial"/>
          <w:i/>
          <w:iCs/>
          <w:sz w:val="18"/>
          <w:szCs w:val="18"/>
        </w:rPr>
        <w:t>Ibid</w:t>
      </w:r>
      <w:r w:rsidRPr="006F7EF3">
        <w:rPr>
          <w:rFonts w:cs="Arial"/>
          <w:sz w:val="18"/>
          <w:szCs w:val="18"/>
        </w:rPr>
        <w:t xml:space="preserve">. </w:t>
      </w:r>
    </w:p>
  </w:footnote>
  <w:footnote w:id="51">
    <w:p w14:paraId="7E0BCA10" w14:textId="46202FF2" w:rsidR="009269CA" w:rsidRPr="00F25F52" w:rsidRDefault="009269CA" w:rsidP="00B75DDC">
      <w:pPr>
        <w:pStyle w:val="FootnoteText"/>
        <w:jc w:val="both"/>
        <w:rPr>
          <w:rFonts w:cs="Arial"/>
          <w:sz w:val="18"/>
          <w:szCs w:val="18"/>
        </w:rPr>
      </w:pPr>
      <w:r w:rsidRPr="00F25F52">
        <w:rPr>
          <w:rStyle w:val="FootnoteReference"/>
          <w:rFonts w:cs="Arial"/>
          <w:sz w:val="18"/>
          <w:szCs w:val="18"/>
        </w:rPr>
        <w:footnoteRef/>
      </w:r>
      <w:r w:rsidRPr="00F25F52">
        <w:rPr>
          <w:rFonts w:cs="Arial"/>
          <w:sz w:val="18"/>
          <w:szCs w:val="18"/>
        </w:rPr>
        <w:t xml:space="preserve"> </w:t>
      </w:r>
      <w:hyperlink r:id="rId44" w:history="1">
        <w:r w:rsidRPr="00F25F52">
          <w:rPr>
            <w:rStyle w:val="Hyperlink"/>
            <w:rFonts w:cs="Arial"/>
            <w:sz w:val="18"/>
            <w:szCs w:val="18"/>
            <w:lang w:val="en-US"/>
          </w:rPr>
          <w:t>Council of Europe Guidelines on Eradicating Impunity for serious human rights violations</w:t>
        </w:r>
      </w:hyperlink>
      <w:r w:rsidRPr="00F25F52">
        <w:rPr>
          <w:rFonts w:cs="Arial"/>
          <w:sz w:val="18"/>
          <w:szCs w:val="18"/>
          <w:lang w:val="en-US"/>
        </w:rPr>
        <w:t xml:space="preserve"> adopted by the Committee of Ministers in 2011.</w:t>
      </w:r>
    </w:p>
  </w:footnote>
  <w:footnote w:id="52">
    <w:p w14:paraId="4C7E39FF" w14:textId="6AE3B355" w:rsidR="009269CA" w:rsidRPr="00F25F52" w:rsidRDefault="009269CA" w:rsidP="00B75DDC">
      <w:pPr>
        <w:pStyle w:val="FootnoteText"/>
        <w:jc w:val="both"/>
        <w:rPr>
          <w:rFonts w:cs="Arial"/>
          <w:sz w:val="18"/>
          <w:szCs w:val="18"/>
          <w:lang w:val="en-US"/>
        </w:rPr>
      </w:pPr>
      <w:r w:rsidRPr="00F25F52">
        <w:rPr>
          <w:rStyle w:val="FootnoteReference"/>
          <w:rFonts w:cs="Arial"/>
          <w:sz w:val="18"/>
          <w:szCs w:val="18"/>
        </w:rPr>
        <w:footnoteRef/>
      </w:r>
      <w:r w:rsidRPr="00F25F52">
        <w:rPr>
          <w:rFonts w:cs="Arial"/>
          <w:sz w:val="18"/>
          <w:szCs w:val="18"/>
        </w:rPr>
        <w:t xml:space="preserve"> </w:t>
      </w:r>
      <w:r w:rsidRPr="00F25F52">
        <w:rPr>
          <w:rFonts w:cs="Arial"/>
          <w:i/>
          <w:iCs/>
          <w:sz w:val="18"/>
          <w:szCs w:val="18"/>
          <w:lang w:val="en-US"/>
        </w:rPr>
        <w:t>Armenia v. Azerbaijan</w:t>
      </w:r>
      <w:r w:rsidRPr="00F25F52">
        <w:rPr>
          <w:rFonts w:cs="Arial"/>
          <w:sz w:val="18"/>
          <w:szCs w:val="18"/>
          <w:lang w:val="en-US"/>
        </w:rPr>
        <w:t xml:space="preserve"> (no. 42521/20) and </w:t>
      </w:r>
      <w:r w:rsidRPr="00F25F52">
        <w:rPr>
          <w:rFonts w:cs="Arial"/>
          <w:i/>
          <w:iCs/>
          <w:sz w:val="18"/>
          <w:szCs w:val="18"/>
          <w:lang w:val="en-US"/>
        </w:rPr>
        <w:t>Azerbaijan v. Armenia</w:t>
      </w:r>
      <w:r w:rsidRPr="00F25F52">
        <w:rPr>
          <w:rFonts w:cs="Arial"/>
          <w:sz w:val="18"/>
          <w:szCs w:val="18"/>
          <w:lang w:val="en-US"/>
        </w:rPr>
        <w:t> (no. 47319/20). Armenia also lodged an inter-State case against Turkey (</w:t>
      </w:r>
      <w:r w:rsidRPr="00F25F52">
        <w:rPr>
          <w:rFonts w:cs="Arial"/>
          <w:i/>
          <w:iCs/>
          <w:sz w:val="18"/>
          <w:szCs w:val="18"/>
          <w:lang w:val="en-US"/>
        </w:rPr>
        <w:t xml:space="preserve">Armenia v. </w:t>
      </w:r>
      <w:r w:rsidRPr="00F25F52">
        <w:rPr>
          <w:rFonts w:cs="Arial"/>
          <w:sz w:val="18"/>
          <w:szCs w:val="18"/>
          <w:lang w:val="en-US"/>
        </w:rPr>
        <w:t xml:space="preserve">Turkey, no. 43517/20). </w:t>
      </w:r>
    </w:p>
  </w:footnote>
  <w:footnote w:id="53">
    <w:p w14:paraId="238A867F" w14:textId="15F8BD18" w:rsidR="009269CA" w:rsidRPr="00B75DDC" w:rsidRDefault="009269CA" w:rsidP="00B75DDC">
      <w:pPr>
        <w:pStyle w:val="FootnoteText"/>
        <w:jc w:val="both"/>
        <w:rPr>
          <w:rFonts w:cs="Arial"/>
          <w:sz w:val="18"/>
          <w:szCs w:val="18"/>
          <w:lang w:val="en-US"/>
        </w:rPr>
      </w:pPr>
      <w:r w:rsidRPr="00F25F52">
        <w:rPr>
          <w:rStyle w:val="FootnoteReference"/>
          <w:rFonts w:cs="Arial"/>
          <w:sz w:val="18"/>
          <w:szCs w:val="18"/>
        </w:rPr>
        <w:footnoteRef/>
      </w:r>
      <w:r w:rsidRPr="00F25F52">
        <w:rPr>
          <w:rFonts w:cs="Arial"/>
          <w:sz w:val="18"/>
          <w:szCs w:val="18"/>
        </w:rPr>
        <w:t xml:space="preserve"> </w:t>
      </w:r>
      <w:r w:rsidRPr="00F25F52">
        <w:rPr>
          <w:rFonts w:cs="Arial"/>
          <w:sz w:val="18"/>
          <w:szCs w:val="18"/>
          <w:lang w:val="en-US"/>
        </w:rPr>
        <w:t xml:space="preserve">On the impact of the conflict on the cultural heritage of the region, see Parliamentary Assembly of the Council of Europe, </w:t>
      </w:r>
      <w:hyperlink r:id="rId45" w:history="1">
        <w:r w:rsidRPr="00F25F52">
          <w:rPr>
            <w:rStyle w:val="Hyperlink"/>
            <w:rFonts w:cs="Arial"/>
            <w:sz w:val="18"/>
            <w:szCs w:val="18"/>
            <w:lang w:val="en-US"/>
          </w:rPr>
          <w:t>Report</w:t>
        </w:r>
      </w:hyperlink>
      <w:r w:rsidRPr="00F25F52">
        <w:rPr>
          <w:rFonts w:cs="Arial"/>
          <w:sz w:val="18"/>
          <w:szCs w:val="18"/>
          <w:lang w:val="en-US"/>
        </w:rPr>
        <w:t xml:space="preserve"> “Humanitarian consequences of the conflict between Armenia and Azerbaijan”, Doc. 15363, 13 September 2021, para. 115-127.</w:t>
      </w:r>
      <w:r w:rsidRPr="00B75DDC">
        <w:rPr>
          <w:rFonts w:cs="Arial"/>
          <w:sz w:val="18"/>
          <w:szCs w:val="18"/>
          <w:lang w:val="en-US"/>
        </w:rPr>
        <w:t xml:space="preserve"> </w:t>
      </w:r>
    </w:p>
  </w:footnote>
  <w:footnote w:id="54">
    <w:p w14:paraId="25169E0B" w14:textId="03F8FDCC" w:rsidR="009269CA" w:rsidRPr="008017DC" w:rsidRDefault="009269CA" w:rsidP="00F672D1">
      <w:pPr>
        <w:pStyle w:val="FootnoteText"/>
        <w:jc w:val="both"/>
        <w:rPr>
          <w:sz w:val="18"/>
          <w:szCs w:val="18"/>
          <w:lang w:val="en-US"/>
        </w:rPr>
      </w:pPr>
      <w:r w:rsidRPr="008017DC">
        <w:rPr>
          <w:rStyle w:val="FootnoteReference"/>
          <w:sz w:val="18"/>
          <w:szCs w:val="18"/>
        </w:rPr>
        <w:footnoteRef/>
      </w:r>
      <w:r w:rsidRPr="008017DC">
        <w:rPr>
          <w:sz w:val="18"/>
          <w:szCs w:val="18"/>
        </w:rPr>
        <w:t xml:space="preserve"> The </w:t>
      </w:r>
      <w:hyperlink r:id="rId46" w:history="1">
        <w:r w:rsidRPr="008017DC">
          <w:rPr>
            <w:rStyle w:val="Hyperlink"/>
            <w:sz w:val="18"/>
            <w:szCs w:val="18"/>
          </w:rPr>
          <w:t>UN Basic Principles and Guidelines</w:t>
        </w:r>
      </w:hyperlink>
      <w:r w:rsidRPr="008017DC">
        <w:rPr>
          <w:sz w:val="18"/>
          <w:szCs w:val="18"/>
        </w:rPr>
        <w:t xml:space="preserve"> were adopted</w:t>
      </w:r>
      <w:r w:rsidRPr="008017DC">
        <w:rPr>
          <w:sz w:val="18"/>
          <w:szCs w:val="18"/>
          <w:lang w:val="en-US"/>
        </w:rPr>
        <w:t xml:space="preserve"> and proclaimed by General Assembly resolution 60/147 of 16 December 2005. </w:t>
      </w:r>
    </w:p>
  </w:footnote>
  <w:footnote w:id="55">
    <w:p w14:paraId="56DDA6F4" w14:textId="77777777" w:rsidR="009269CA" w:rsidRPr="00C82553" w:rsidRDefault="009269CA" w:rsidP="00F672D1">
      <w:pPr>
        <w:pStyle w:val="FootnoteText"/>
        <w:tabs>
          <w:tab w:val="right" w:pos="-1418"/>
        </w:tabs>
        <w:jc w:val="both"/>
        <w:rPr>
          <w:rFonts w:cs="Arial"/>
          <w:sz w:val="18"/>
          <w:szCs w:val="18"/>
        </w:rPr>
      </w:pPr>
      <w:r w:rsidRPr="00C82553">
        <w:rPr>
          <w:rStyle w:val="FootnoteReference"/>
          <w:rFonts w:cs="Arial"/>
          <w:sz w:val="18"/>
          <w:szCs w:val="18"/>
        </w:rPr>
        <w:footnoteRef/>
      </w:r>
      <w:r w:rsidRPr="00C82553">
        <w:rPr>
          <w:rFonts w:cs="Arial"/>
          <w:sz w:val="18"/>
          <w:szCs w:val="18"/>
        </w:rPr>
        <w:t xml:space="preserve"> IPHR/Truth Hounds, </w:t>
      </w:r>
      <w:hyperlink r:id="rId47" w:history="1">
        <w:r w:rsidRPr="00C82553">
          <w:rPr>
            <w:rStyle w:val="Hyperlink"/>
            <w:rFonts w:cs="Arial"/>
            <w:sz w:val="18"/>
            <w:szCs w:val="18"/>
          </w:rPr>
          <w:t>When embers burst into flames, International Humanitarian Law and Human Rights Law violations during the 2020 Nagorno-Karabakh war</w:t>
        </w:r>
      </w:hyperlink>
      <w:r w:rsidRPr="00C82553">
        <w:rPr>
          <w:rFonts w:cs="Arial"/>
          <w:sz w:val="18"/>
          <w:szCs w:val="18"/>
        </w:rPr>
        <w:t xml:space="preserve">, May 2021, p. 24. </w:t>
      </w:r>
    </w:p>
  </w:footnote>
  <w:footnote w:id="56">
    <w:p w14:paraId="105ABA6E" w14:textId="77777777" w:rsidR="009269CA" w:rsidRPr="00C82553" w:rsidRDefault="009269CA" w:rsidP="00CB3B0B">
      <w:pPr>
        <w:pStyle w:val="FootnoteText"/>
        <w:jc w:val="both"/>
        <w:rPr>
          <w:rFonts w:cs="Arial"/>
          <w:sz w:val="18"/>
          <w:szCs w:val="18"/>
          <w:lang w:val="en-US"/>
        </w:rPr>
      </w:pPr>
      <w:r w:rsidRPr="00C82553">
        <w:rPr>
          <w:rStyle w:val="FootnoteReference"/>
          <w:rFonts w:cs="Arial"/>
          <w:sz w:val="18"/>
          <w:szCs w:val="18"/>
        </w:rPr>
        <w:footnoteRef/>
      </w:r>
      <w:r w:rsidRPr="00C82553">
        <w:rPr>
          <w:rFonts w:cs="Arial"/>
          <w:sz w:val="18"/>
          <w:szCs w:val="18"/>
        </w:rPr>
        <w:t xml:space="preserve"> </w:t>
      </w:r>
      <w:bookmarkStart w:id="19" w:name="_Hlk84769334"/>
      <w:r w:rsidRPr="00C82553">
        <w:rPr>
          <w:rFonts w:cs="Arial"/>
          <w:sz w:val="18"/>
          <w:szCs w:val="18"/>
          <w:lang w:val="en-US"/>
        </w:rPr>
        <w:t xml:space="preserve">Amnesty International, </w:t>
      </w:r>
      <w:hyperlink r:id="rId48" w:history="1">
        <w:r w:rsidRPr="00C82553">
          <w:rPr>
            <w:rStyle w:val="Hyperlink"/>
            <w:rFonts w:cs="Arial"/>
            <w:sz w:val="18"/>
            <w:szCs w:val="18"/>
            <w:lang w:val="en-US"/>
          </w:rPr>
          <w:t>In the line of fire</w:t>
        </w:r>
      </w:hyperlink>
      <w:r w:rsidRPr="00C82553">
        <w:rPr>
          <w:rFonts w:cs="Arial"/>
          <w:sz w:val="18"/>
          <w:szCs w:val="18"/>
          <w:lang w:val="en-US"/>
        </w:rPr>
        <w:t xml:space="preserve">, </w:t>
      </w:r>
      <w:bookmarkEnd w:id="19"/>
      <w:r w:rsidRPr="00C82553">
        <w:rPr>
          <w:rFonts w:cs="Arial"/>
          <w:sz w:val="18"/>
          <w:szCs w:val="18"/>
          <w:lang w:val="en-US"/>
        </w:rPr>
        <w:t xml:space="preserve">Civilian casualties from unlawful strikes in the Armenian-Azerbaijani conflict over Nagorno-Karabakh, 2021. See also Human Rights Watch, </w:t>
      </w:r>
      <w:hyperlink r:id="rId49" w:history="1">
        <w:r w:rsidRPr="00C82553">
          <w:rPr>
            <w:rStyle w:val="Hyperlink"/>
            <w:rFonts w:cs="Arial"/>
            <w:bCs/>
            <w:sz w:val="18"/>
            <w:szCs w:val="18"/>
            <w:lang w:val="en-US"/>
          </w:rPr>
          <w:t>Azerbaijan: Unlawful Strikes in Nagorno-Karabakh</w:t>
        </w:r>
      </w:hyperlink>
      <w:r w:rsidRPr="00C82553">
        <w:rPr>
          <w:rFonts w:cs="Arial"/>
          <w:sz w:val="18"/>
          <w:szCs w:val="18"/>
          <w:lang w:val="en-US"/>
        </w:rPr>
        <w:t xml:space="preserve">, 11 December 2020. </w:t>
      </w:r>
    </w:p>
  </w:footnote>
  <w:footnote w:id="57">
    <w:p w14:paraId="03AED4FF" w14:textId="77777777" w:rsidR="009269CA" w:rsidRPr="00C82553" w:rsidRDefault="009269CA" w:rsidP="00CB3B0B">
      <w:pPr>
        <w:pStyle w:val="FootnoteText"/>
        <w:jc w:val="both"/>
        <w:rPr>
          <w:rFonts w:cs="Arial"/>
          <w:sz w:val="18"/>
          <w:szCs w:val="18"/>
          <w:lang w:val="en-US"/>
        </w:rPr>
      </w:pPr>
      <w:r w:rsidRPr="00C82553">
        <w:rPr>
          <w:rStyle w:val="FootnoteReference"/>
          <w:rFonts w:cs="Arial"/>
          <w:sz w:val="18"/>
          <w:szCs w:val="18"/>
        </w:rPr>
        <w:footnoteRef/>
      </w:r>
      <w:r w:rsidRPr="00C82553">
        <w:rPr>
          <w:rFonts w:cs="Arial"/>
          <w:sz w:val="18"/>
          <w:szCs w:val="18"/>
        </w:rPr>
        <w:t xml:space="preserve"> </w:t>
      </w:r>
      <w:r w:rsidRPr="00C82553">
        <w:rPr>
          <w:rFonts w:cs="Arial"/>
          <w:sz w:val="18"/>
          <w:szCs w:val="18"/>
          <w:lang w:val="en-US"/>
        </w:rPr>
        <w:t xml:space="preserve">Human Rights Watch, </w:t>
      </w:r>
      <w:hyperlink r:id="rId50" w:history="1">
        <w:r w:rsidRPr="00C82553">
          <w:rPr>
            <w:rStyle w:val="Hyperlink"/>
            <w:rFonts w:cs="Arial"/>
            <w:sz w:val="18"/>
            <w:szCs w:val="18"/>
            <w:lang w:val="en-US"/>
          </w:rPr>
          <w:t>Azerbaijan: Cluster Munitions Used in Nagorno-Karabakh</w:t>
        </w:r>
      </w:hyperlink>
      <w:r w:rsidRPr="00C82553">
        <w:rPr>
          <w:rFonts w:cs="Arial"/>
          <w:sz w:val="18"/>
          <w:szCs w:val="18"/>
          <w:lang w:val="en-US"/>
        </w:rPr>
        <w:t xml:space="preserve">, 23 October 2020; </w:t>
      </w:r>
      <w:hyperlink r:id="rId51" w:history="1">
        <w:r w:rsidRPr="00C82553">
          <w:rPr>
            <w:rStyle w:val="Hyperlink"/>
            <w:rFonts w:cs="Arial"/>
            <w:sz w:val="18"/>
            <w:szCs w:val="18"/>
            <w:lang w:val="en-US"/>
          </w:rPr>
          <w:t>Armenia: Cluster Munitions Used in Multiple Attacks on Azerbaijan</w:t>
        </w:r>
      </w:hyperlink>
      <w:r w:rsidRPr="00C82553">
        <w:rPr>
          <w:rFonts w:cs="Arial"/>
          <w:sz w:val="18"/>
          <w:szCs w:val="18"/>
          <w:lang w:val="en-US"/>
        </w:rPr>
        <w:t xml:space="preserve">, 15 December 2020; </w:t>
      </w:r>
      <w:hyperlink r:id="rId52" w:history="1">
        <w:r w:rsidRPr="00C82553">
          <w:rPr>
            <w:rStyle w:val="Hyperlink"/>
            <w:rFonts w:cs="Arial"/>
            <w:sz w:val="18"/>
            <w:szCs w:val="18"/>
            <w:lang w:val="en-US"/>
          </w:rPr>
          <w:t>Technical Briefing Note: Cluster Munition Use in the Karabakh Conflict</w:t>
        </w:r>
      </w:hyperlink>
      <w:r w:rsidRPr="00C82553">
        <w:rPr>
          <w:rFonts w:cs="Arial"/>
          <w:sz w:val="18"/>
          <w:szCs w:val="18"/>
          <w:lang w:val="en-US"/>
        </w:rPr>
        <w:t xml:space="preserve">, 15 July 2021. </w:t>
      </w:r>
    </w:p>
  </w:footnote>
  <w:footnote w:id="58">
    <w:p w14:paraId="652DF59A" w14:textId="77777777" w:rsidR="009269CA" w:rsidRPr="00C82553" w:rsidRDefault="009269CA" w:rsidP="00CB3B0B">
      <w:pPr>
        <w:pStyle w:val="NormalWeb"/>
        <w:spacing w:after="0"/>
        <w:jc w:val="both"/>
        <w:rPr>
          <w:rFonts w:ascii="Arial" w:hAnsi="Arial" w:cs="Arial"/>
          <w:sz w:val="18"/>
          <w:szCs w:val="18"/>
        </w:rPr>
      </w:pPr>
      <w:r w:rsidRPr="00C82553">
        <w:rPr>
          <w:rStyle w:val="FootnoteReference"/>
          <w:rFonts w:ascii="Arial" w:hAnsi="Arial" w:cs="Arial"/>
          <w:sz w:val="18"/>
          <w:szCs w:val="18"/>
        </w:rPr>
        <w:footnoteRef/>
      </w:r>
      <w:r w:rsidRPr="00C82553">
        <w:rPr>
          <w:rFonts w:ascii="Arial" w:hAnsi="Arial" w:cs="Arial"/>
          <w:sz w:val="18"/>
          <w:szCs w:val="18"/>
        </w:rPr>
        <w:t xml:space="preserve"> Amnesty International, </w:t>
      </w:r>
      <w:hyperlink r:id="rId53" w:history="1">
        <w:r w:rsidRPr="00C82553">
          <w:rPr>
            <w:rStyle w:val="Hyperlink"/>
            <w:rFonts w:ascii="Arial" w:hAnsi="Arial" w:cs="Arial"/>
            <w:sz w:val="18"/>
            <w:szCs w:val="18"/>
          </w:rPr>
          <w:t>In the line of fire</w:t>
        </w:r>
      </w:hyperlink>
      <w:r w:rsidRPr="00C82553">
        <w:rPr>
          <w:rFonts w:ascii="Arial" w:hAnsi="Arial" w:cs="Arial"/>
          <w:sz w:val="18"/>
          <w:szCs w:val="18"/>
        </w:rPr>
        <w:t xml:space="preserve">, p. 5. </w:t>
      </w:r>
    </w:p>
  </w:footnote>
  <w:footnote w:id="59">
    <w:p w14:paraId="2F341347" w14:textId="3A8300A6" w:rsidR="009269CA" w:rsidRPr="00C82553" w:rsidRDefault="009269CA" w:rsidP="00CB3B0B">
      <w:pPr>
        <w:pStyle w:val="FootnoteText"/>
        <w:tabs>
          <w:tab w:val="right" w:pos="-1276"/>
        </w:tabs>
        <w:jc w:val="both"/>
        <w:rPr>
          <w:rFonts w:cs="Arial"/>
          <w:sz w:val="18"/>
          <w:szCs w:val="18"/>
          <w:lang w:val="en-US"/>
        </w:rPr>
      </w:pPr>
      <w:r w:rsidRPr="00C82553">
        <w:rPr>
          <w:rStyle w:val="FootnoteReference"/>
          <w:rFonts w:cs="Arial"/>
          <w:sz w:val="18"/>
          <w:szCs w:val="18"/>
        </w:rPr>
        <w:footnoteRef/>
      </w:r>
      <w:r w:rsidRPr="00C82553">
        <w:rPr>
          <w:rFonts w:cs="Arial"/>
          <w:sz w:val="18"/>
          <w:szCs w:val="18"/>
        </w:rPr>
        <w:t xml:space="preserve"> IPHR/Truth Hounds, op. cit., p. 101. See also Human Rights Watch, </w:t>
      </w:r>
      <w:hyperlink r:id="rId54" w:history="1">
        <w:r w:rsidRPr="00C82553">
          <w:rPr>
            <w:rStyle w:val="Hyperlink"/>
            <w:rFonts w:cs="Arial"/>
            <w:sz w:val="18"/>
            <w:szCs w:val="18"/>
            <w:lang w:val="en-US"/>
          </w:rPr>
          <w:t>Unlawful Attacks on Medical Facilities and Personnel in Nagorno-Karabakh</w:t>
        </w:r>
      </w:hyperlink>
      <w:r w:rsidRPr="00C82553">
        <w:rPr>
          <w:rFonts w:cs="Arial"/>
          <w:sz w:val="18"/>
          <w:szCs w:val="18"/>
          <w:lang w:val="en-US"/>
        </w:rPr>
        <w:t xml:space="preserve">, 26 February 2021. </w:t>
      </w:r>
    </w:p>
  </w:footnote>
  <w:footnote w:id="60">
    <w:p w14:paraId="7BD447B5" w14:textId="77777777" w:rsidR="009269CA" w:rsidRPr="00C82553" w:rsidRDefault="009269CA" w:rsidP="00CB3B0B">
      <w:pPr>
        <w:pStyle w:val="FootnoteText"/>
        <w:tabs>
          <w:tab w:val="right" w:pos="-1276"/>
        </w:tabs>
        <w:ind w:right="-1"/>
        <w:jc w:val="both"/>
        <w:rPr>
          <w:rFonts w:cs="Arial"/>
          <w:sz w:val="18"/>
          <w:szCs w:val="18"/>
        </w:rPr>
      </w:pPr>
      <w:r w:rsidRPr="00C82553">
        <w:rPr>
          <w:rStyle w:val="FootnoteReference"/>
          <w:rFonts w:cs="Arial"/>
          <w:sz w:val="18"/>
          <w:szCs w:val="18"/>
        </w:rPr>
        <w:footnoteRef/>
      </w:r>
      <w:r w:rsidRPr="00C82553">
        <w:rPr>
          <w:rFonts w:cs="Arial"/>
          <w:sz w:val="18"/>
          <w:szCs w:val="18"/>
        </w:rPr>
        <w:t xml:space="preserve"> Safeguarding Health in Conflict, </w:t>
      </w:r>
      <w:hyperlink r:id="rId55" w:history="1">
        <w:r w:rsidRPr="00C82553">
          <w:rPr>
            <w:rStyle w:val="Hyperlink"/>
            <w:rFonts w:cs="Arial"/>
            <w:sz w:val="18"/>
            <w:szCs w:val="18"/>
          </w:rPr>
          <w:t>Violence Against or Obstruction of Health Care in Nagorno-Karabakh in 2020</w:t>
        </w:r>
      </w:hyperlink>
      <w:r w:rsidRPr="00C82553">
        <w:rPr>
          <w:rFonts w:cs="Arial"/>
          <w:sz w:val="18"/>
          <w:szCs w:val="18"/>
        </w:rPr>
        <w:t xml:space="preserve">, May 2021, p. 5. </w:t>
      </w:r>
    </w:p>
  </w:footnote>
  <w:footnote w:id="61">
    <w:p w14:paraId="19CFDE72" w14:textId="77777777" w:rsidR="009269CA" w:rsidRPr="00C82553" w:rsidRDefault="009269CA" w:rsidP="00CB3B0B">
      <w:pPr>
        <w:pStyle w:val="FootnoteText"/>
        <w:jc w:val="both"/>
        <w:rPr>
          <w:rFonts w:cs="Arial"/>
          <w:sz w:val="18"/>
          <w:szCs w:val="18"/>
        </w:rPr>
      </w:pPr>
      <w:r w:rsidRPr="00C82553">
        <w:rPr>
          <w:rStyle w:val="FootnoteReference"/>
          <w:rFonts w:cs="Arial"/>
          <w:sz w:val="18"/>
          <w:szCs w:val="18"/>
        </w:rPr>
        <w:footnoteRef/>
      </w:r>
      <w:r w:rsidRPr="00C82553">
        <w:rPr>
          <w:rFonts w:cs="Arial"/>
          <w:sz w:val="18"/>
          <w:szCs w:val="18"/>
        </w:rPr>
        <w:t xml:space="preserve"> See Human Rights Watch, </w:t>
      </w:r>
      <w:hyperlink r:id="rId56" w:history="1">
        <w:r w:rsidRPr="00C82553">
          <w:rPr>
            <w:rStyle w:val="Hyperlink"/>
            <w:rFonts w:cs="Arial"/>
            <w:sz w:val="18"/>
            <w:szCs w:val="18"/>
          </w:rPr>
          <w:t>Lessons of War, Attacks on schools during the Nagorno-Karabakh war</w:t>
        </w:r>
      </w:hyperlink>
      <w:r w:rsidRPr="00C82553">
        <w:rPr>
          <w:rFonts w:cs="Arial"/>
          <w:sz w:val="18"/>
          <w:szCs w:val="18"/>
        </w:rPr>
        <w:t xml:space="preserve">, 8 September 2021. </w:t>
      </w:r>
    </w:p>
  </w:footnote>
  <w:footnote w:id="62">
    <w:p w14:paraId="56958046" w14:textId="6901C0D6" w:rsidR="009269CA" w:rsidRPr="00C82553" w:rsidRDefault="009269CA" w:rsidP="00CB3B0B">
      <w:pPr>
        <w:pStyle w:val="FootnoteText"/>
        <w:tabs>
          <w:tab w:val="right" w:pos="-1418"/>
          <w:tab w:val="left" w:pos="11199"/>
        </w:tabs>
        <w:ind w:right="-1"/>
        <w:jc w:val="both"/>
        <w:rPr>
          <w:rFonts w:cs="Arial"/>
          <w:sz w:val="18"/>
          <w:szCs w:val="18"/>
          <w:lang w:val="en-US"/>
        </w:rPr>
      </w:pPr>
      <w:r w:rsidRPr="00C82553">
        <w:rPr>
          <w:rStyle w:val="FootnoteReference"/>
          <w:rFonts w:cs="Arial"/>
          <w:sz w:val="18"/>
          <w:szCs w:val="18"/>
        </w:rPr>
        <w:footnoteRef/>
      </w:r>
      <w:r w:rsidRPr="00C82553">
        <w:rPr>
          <w:rFonts w:cs="Arial"/>
          <w:sz w:val="18"/>
          <w:szCs w:val="18"/>
        </w:rPr>
        <w:t xml:space="preserve"> </w:t>
      </w:r>
      <w:hyperlink r:id="rId57" w:history="1">
        <w:r w:rsidRPr="00C82553">
          <w:rPr>
            <w:rStyle w:val="Hyperlink"/>
            <w:rFonts w:cs="Arial"/>
            <w:sz w:val="18"/>
            <w:szCs w:val="18"/>
            <w:lang w:val="en-US"/>
          </w:rPr>
          <w:t xml:space="preserve">Protocol Additional to the Geneva Conventions of </w:t>
        </w:r>
        <w:proofErr w:type="gramStart"/>
        <w:r w:rsidRPr="00C82553">
          <w:rPr>
            <w:rStyle w:val="Hyperlink"/>
            <w:rFonts w:cs="Arial"/>
            <w:sz w:val="18"/>
            <w:szCs w:val="18"/>
            <w:lang w:val="en-US"/>
          </w:rPr>
          <w:t>12 August 1949, and</w:t>
        </w:r>
        <w:proofErr w:type="gramEnd"/>
        <w:r w:rsidRPr="00C82553">
          <w:rPr>
            <w:rStyle w:val="Hyperlink"/>
            <w:rFonts w:cs="Arial"/>
            <w:sz w:val="18"/>
            <w:szCs w:val="18"/>
            <w:lang w:val="en-US"/>
          </w:rPr>
          <w:t xml:space="preserve"> relating to the Protection of Victims of International Armed Conflicts (Protocol I), 8 June 1977</w:t>
        </w:r>
      </w:hyperlink>
      <w:r w:rsidRPr="00C82553">
        <w:rPr>
          <w:rFonts w:cs="Arial"/>
          <w:sz w:val="18"/>
          <w:szCs w:val="18"/>
        </w:rPr>
        <w:t>,</w:t>
      </w:r>
      <w:r w:rsidRPr="00C82553">
        <w:rPr>
          <w:rFonts w:cs="Arial"/>
          <w:sz w:val="18"/>
          <w:szCs w:val="18"/>
          <w:lang w:val="en-US"/>
        </w:rPr>
        <w:t xml:space="preserve"> </w:t>
      </w:r>
      <w:r w:rsidRPr="00C82553">
        <w:rPr>
          <w:rFonts w:cs="Arial"/>
          <w:sz w:val="18"/>
          <w:szCs w:val="18"/>
        </w:rPr>
        <w:t xml:space="preserve">Article 51, and Rule 1 </w:t>
      </w:r>
      <w:r w:rsidRPr="00C82553">
        <w:rPr>
          <w:rFonts w:cs="Arial"/>
          <w:sz w:val="18"/>
          <w:szCs w:val="18"/>
          <w:lang w:val="en-US"/>
        </w:rPr>
        <w:t xml:space="preserve">of the Rules of Customary International Humanitarian Law on the principle of distinction between civilians and combatants. </w:t>
      </w:r>
    </w:p>
  </w:footnote>
  <w:footnote w:id="63">
    <w:p w14:paraId="4066D47F" w14:textId="26DE9142" w:rsidR="009269CA" w:rsidRPr="00BE4E97" w:rsidRDefault="009269CA" w:rsidP="00CB3B0B">
      <w:pPr>
        <w:pStyle w:val="FootnoteText"/>
        <w:jc w:val="both"/>
        <w:rPr>
          <w:rFonts w:cs="Arial"/>
          <w:sz w:val="18"/>
          <w:szCs w:val="18"/>
          <w:lang w:val="en-US"/>
        </w:rPr>
      </w:pPr>
      <w:r w:rsidRPr="00BE4E97">
        <w:rPr>
          <w:rStyle w:val="FootnoteReference"/>
          <w:rFonts w:cs="Arial"/>
          <w:sz w:val="18"/>
          <w:szCs w:val="18"/>
        </w:rPr>
        <w:footnoteRef/>
      </w:r>
      <w:r w:rsidRPr="00BE4E97">
        <w:rPr>
          <w:rFonts w:cs="Arial"/>
          <w:sz w:val="18"/>
          <w:szCs w:val="18"/>
        </w:rPr>
        <w:t xml:space="preserve"> ECtHR, </w:t>
      </w:r>
      <w:hyperlink r:id="rId58" w:history="1">
        <w:proofErr w:type="spellStart"/>
        <w:r w:rsidRPr="00BE4E97">
          <w:rPr>
            <w:rStyle w:val="Hyperlink"/>
            <w:rFonts w:cs="Arial"/>
            <w:i/>
            <w:iCs/>
            <w:sz w:val="18"/>
            <w:szCs w:val="18"/>
            <w:lang w:val="en-US"/>
          </w:rPr>
          <w:t>Benzer</w:t>
        </w:r>
        <w:proofErr w:type="spellEnd"/>
        <w:r w:rsidRPr="00BE4E97">
          <w:rPr>
            <w:rStyle w:val="Hyperlink"/>
            <w:rFonts w:cs="Arial"/>
            <w:i/>
            <w:iCs/>
            <w:sz w:val="18"/>
            <w:szCs w:val="18"/>
            <w:lang w:val="en-US"/>
          </w:rPr>
          <w:t xml:space="preserve"> and Others v. Turkey</w:t>
        </w:r>
      </w:hyperlink>
      <w:r w:rsidRPr="00BE4E97">
        <w:rPr>
          <w:rFonts w:cs="Arial"/>
          <w:sz w:val="18"/>
          <w:szCs w:val="18"/>
          <w:lang w:val="en-US"/>
        </w:rPr>
        <w:t xml:space="preserve">, judgment of 12 November 2013, </w:t>
      </w:r>
      <w:r w:rsidR="00E26E81">
        <w:rPr>
          <w:rFonts w:cs="Arial"/>
          <w:sz w:val="18"/>
          <w:szCs w:val="18"/>
          <w:lang w:val="en-US"/>
        </w:rPr>
        <w:t>para.</w:t>
      </w:r>
      <w:r w:rsidRPr="00BE4E97">
        <w:rPr>
          <w:rFonts w:cs="Arial"/>
          <w:sz w:val="18"/>
          <w:szCs w:val="18"/>
          <w:lang w:val="en-US"/>
        </w:rPr>
        <w:t xml:space="preserve"> 184. </w:t>
      </w:r>
    </w:p>
  </w:footnote>
  <w:footnote w:id="64">
    <w:p w14:paraId="43F2E886" w14:textId="35D96009" w:rsidR="009269CA" w:rsidRPr="00BE4E97" w:rsidRDefault="009269CA" w:rsidP="00BE4E97">
      <w:pPr>
        <w:pStyle w:val="FootnoteText"/>
        <w:jc w:val="both"/>
        <w:rPr>
          <w:rFonts w:cs="Arial"/>
          <w:sz w:val="18"/>
          <w:szCs w:val="18"/>
          <w:lang w:val="en-US"/>
        </w:rPr>
      </w:pPr>
      <w:r w:rsidRPr="00BE4E97">
        <w:rPr>
          <w:rStyle w:val="FootnoteReference"/>
          <w:rFonts w:cs="Arial"/>
          <w:sz w:val="18"/>
          <w:szCs w:val="18"/>
        </w:rPr>
        <w:footnoteRef/>
      </w:r>
      <w:r w:rsidRPr="00BE4E97">
        <w:rPr>
          <w:rFonts w:cs="Arial"/>
          <w:sz w:val="18"/>
          <w:szCs w:val="18"/>
        </w:rPr>
        <w:t xml:space="preserve"> </w:t>
      </w:r>
      <w:r w:rsidRPr="00BE4E97">
        <w:rPr>
          <w:rFonts w:cs="Arial"/>
          <w:sz w:val="18"/>
          <w:szCs w:val="18"/>
          <w:lang w:val="en-US"/>
        </w:rPr>
        <w:t xml:space="preserve">ECtHR, </w:t>
      </w:r>
      <w:hyperlink r:id="rId59" w:history="1">
        <w:proofErr w:type="spellStart"/>
        <w:r w:rsidRPr="00BE4E97">
          <w:rPr>
            <w:rStyle w:val="Hyperlink"/>
            <w:rFonts w:cs="Arial"/>
            <w:i/>
            <w:iCs/>
            <w:sz w:val="18"/>
            <w:szCs w:val="18"/>
            <w:lang w:val="en-US"/>
          </w:rPr>
          <w:t>Ergi</w:t>
        </w:r>
        <w:proofErr w:type="spellEnd"/>
        <w:r w:rsidRPr="00BE4E97">
          <w:rPr>
            <w:rStyle w:val="Hyperlink"/>
            <w:rFonts w:cs="Arial"/>
            <w:i/>
            <w:iCs/>
            <w:sz w:val="18"/>
            <w:szCs w:val="18"/>
            <w:lang w:val="en-US"/>
          </w:rPr>
          <w:t xml:space="preserve"> v. Turkey</w:t>
        </w:r>
      </w:hyperlink>
      <w:r w:rsidRPr="00BE4E97">
        <w:rPr>
          <w:rFonts w:cs="Arial"/>
          <w:sz w:val="18"/>
          <w:szCs w:val="18"/>
          <w:lang w:val="en-US"/>
        </w:rPr>
        <w:t xml:space="preserve">, judgment of 28 July 1998, </w:t>
      </w:r>
      <w:r w:rsidR="00E26E81">
        <w:rPr>
          <w:rFonts w:cs="Arial"/>
          <w:sz w:val="18"/>
          <w:szCs w:val="18"/>
          <w:lang w:val="en-US"/>
        </w:rPr>
        <w:t>para.</w:t>
      </w:r>
      <w:r w:rsidRPr="00BE4E97">
        <w:rPr>
          <w:rFonts w:cs="Arial"/>
          <w:sz w:val="18"/>
          <w:szCs w:val="18"/>
          <w:lang w:val="en-US"/>
        </w:rPr>
        <w:t xml:space="preserve"> 81. See also the </w:t>
      </w:r>
      <w:hyperlink r:id="rId60" w:history="1">
        <w:r w:rsidRPr="00BE4E97">
          <w:rPr>
            <w:rStyle w:val="Hyperlink"/>
            <w:rFonts w:cs="Arial"/>
            <w:sz w:val="18"/>
            <w:szCs w:val="18"/>
            <w:lang w:val="en-US"/>
          </w:rPr>
          <w:t>Guidelines</w:t>
        </w:r>
      </w:hyperlink>
      <w:r w:rsidRPr="00BE4E97">
        <w:rPr>
          <w:rFonts w:cs="Arial"/>
          <w:sz w:val="18"/>
          <w:szCs w:val="18"/>
          <w:lang w:val="en-US"/>
        </w:rPr>
        <w:t xml:space="preserve"> on investigating violations of international humanitarian law</w:t>
      </w:r>
      <w:r>
        <w:rPr>
          <w:rFonts w:cs="Arial"/>
          <w:sz w:val="18"/>
          <w:szCs w:val="18"/>
          <w:lang w:val="en-US"/>
        </w:rPr>
        <w:t xml:space="preserve"> from the</w:t>
      </w:r>
      <w:r w:rsidRPr="00BE4E97">
        <w:rPr>
          <w:rFonts w:cs="Arial"/>
          <w:sz w:val="18"/>
          <w:szCs w:val="18"/>
          <w:lang w:val="en-US"/>
        </w:rPr>
        <w:t xml:space="preserve"> </w:t>
      </w:r>
      <w:r>
        <w:rPr>
          <w:rFonts w:cs="Arial"/>
          <w:sz w:val="18"/>
          <w:szCs w:val="18"/>
          <w:lang w:val="en-US"/>
        </w:rPr>
        <w:t xml:space="preserve">ICRC and the </w:t>
      </w:r>
      <w:r w:rsidRPr="00BE4E97">
        <w:rPr>
          <w:rFonts w:cs="Arial"/>
          <w:sz w:val="18"/>
          <w:szCs w:val="18"/>
          <w:lang w:val="en-US"/>
        </w:rPr>
        <w:t>Geneva Academy of International Humanitarian Law and Human</w:t>
      </w:r>
      <w:r>
        <w:rPr>
          <w:rFonts w:cs="Arial"/>
          <w:sz w:val="18"/>
          <w:szCs w:val="18"/>
          <w:lang w:val="en-US"/>
        </w:rPr>
        <w:t xml:space="preserve"> </w:t>
      </w:r>
      <w:r w:rsidRPr="00BE4E97">
        <w:rPr>
          <w:rFonts w:cs="Arial"/>
          <w:sz w:val="18"/>
          <w:szCs w:val="18"/>
          <w:lang w:val="en-US"/>
        </w:rPr>
        <w:t>Rights</w:t>
      </w:r>
      <w:r>
        <w:rPr>
          <w:rFonts w:cs="Arial"/>
          <w:sz w:val="18"/>
          <w:szCs w:val="18"/>
          <w:lang w:val="en-US"/>
        </w:rPr>
        <w:t xml:space="preserve">, September 2019. </w:t>
      </w:r>
    </w:p>
  </w:footnote>
  <w:footnote w:id="65">
    <w:p w14:paraId="58CF3518" w14:textId="328197DE" w:rsidR="009269CA" w:rsidRPr="00B4730D" w:rsidRDefault="009269CA" w:rsidP="00CB3B0B">
      <w:pPr>
        <w:pStyle w:val="FootnoteText"/>
        <w:jc w:val="both"/>
        <w:rPr>
          <w:rFonts w:cs="Arial"/>
          <w:sz w:val="18"/>
          <w:szCs w:val="18"/>
          <w:lang w:val="en-US"/>
        </w:rPr>
      </w:pPr>
      <w:r w:rsidRPr="00B4730D">
        <w:rPr>
          <w:rStyle w:val="FootnoteReference"/>
          <w:rFonts w:cs="Arial"/>
          <w:sz w:val="18"/>
          <w:szCs w:val="18"/>
        </w:rPr>
        <w:footnoteRef/>
      </w:r>
      <w:r w:rsidR="00E26E81" w:rsidRPr="00E26E81">
        <w:rPr>
          <w:rFonts w:eastAsiaTheme="minorHAnsi" w:cs="Arial"/>
          <w:sz w:val="18"/>
          <w:szCs w:val="18"/>
          <w:lang w:val="en-US" w:eastAsia="en-US"/>
        </w:rPr>
        <w:t xml:space="preserve"> </w:t>
      </w:r>
      <w:r w:rsidR="00E26E81" w:rsidRPr="00E26E81">
        <w:rPr>
          <w:rFonts w:cs="Arial"/>
          <w:sz w:val="18"/>
          <w:szCs w:val="18"/>
          <w:lang w:val="en-US"/>
        </w:rPr>
        <w:t xml:space="preserve">ECtHR, </w:t>
      </w:r>
      <w:hyperlink r:id="rId61" w:history="1">
        <w:proofErr w:type="spellStart"/>
        <w:r w:rsidR="00E26E81" w:rsidRPr="00E26E81">
          <w:rPr>
            <w:rStyle w:val="Hyperlink"/>
            <w:rFonts w:cs="Arial"/>
            <w:i/>
            <w:iCs/>
            <w:sz w:val="18"/>
            <w:szCs w:val="18"/>
            <w:lang w:val="en-US"/>
          </w:rPr>
          <w:t>Ergi</w:t>
        </w:r>
        <w:proofErr w:type="spellEnd"/>
        <w:r w:rsidR="00E26E81" w:rsidRPr="00E26E81">
          <w:rPr>
            <w:rStyle w:val="Hyperlink"/>
            <w:rFonts w:cs="Arial"/>
            <w:i/>
            <w:iCs/>
            <w:sz w:val="18"/>
            <w:szCs w:val="18"/>
            <w:lang w:val="en-US"/>
          </w:rPr>
          <w:t xml:space="preserve"> v. Turkey</w:t>
        </w:r>
      </w:hyperlink>
      <w:r w:rsidR="00E26E81" w:rsidRPr="00E26E81">
        <w:rPr>
          <w:rFonts w:cs="Arial"/>
          <w:sz w:val="18"/>
          <w:szCs w:val="18"/>
          <w:lang w:val="en-US"/>
        </w:rPr>
        <w:t>, judgment of 28 July 1998</w:t>
      </w:r>
      <w:r w:rsidR="00E26E81">
        <w:rPr>
          <w:rFonts w:cs="Arial"/>
          <w:sz w:val="18"/>
          <w:szCs w:val="18"/>
          <w:lang w:val="en-US"/>
        </w:rPr>
        <w:t>,</w:t>
      </w:r>
      <w:r w:rsidRPr="00B4730D">
        <w:rPr>
          <w:rFonts w:cs="Arial"/>
          <w:sz w:val="18"/>
          <w:szCs w:val="18"/>
          <w:lang w:val="en-US"/>
        </w:rPr>
        <w:t xml:space="preserve"> </w:t>
      </w:r>
      <w:r w:rsidR="00E26E81">
        <w:rPr>
          <w:rFonts w:cs="Arial"/>
          <w:sz w:val="18"/>
          <w:szCs w:val="18"/>
          <w:lang w:val="en-US"/>
        </w:rPr>
        <w:t>para.</w:t>
      </w:r>
      <w:r w:rsidRPr="00B4730D">
        <w:rPr>
          <w:rFonts w:cs="Arial"/>
          <w:sz w:val="18"/>
          <w:szCs w:val="18"/>
          <w:lang w:val="en-US"/>
        </w:rPr>
        <w:t xml:space="preserve"> 82. </w:t>
      </w:r>
    </w:p>
  </w:footnote>
  <w:footnote w:id="66">
    <w:p w14:paraId="1782F2D7" w14:textId="77777777" w:rsidR="009269CA" w:rsidRPr="00B4730D" w:rsidRDefault="009269CA" w:rsidP="00A950FE">
      <w:pPr>
        <w:pStyle w:val="FootnoteText"/>
        <w:jc w:val="both"/>
        <w:rPr>
          <w:rFonts w:cs="Arial"/>
          <w:sz w:val="18"/>
          <w:szCs w:val="18"/>
          <w:lang w:val="en-US"/>
        </w:rPr>
      </w:pPr>
      <w:r w:rsidRPr="00B4730D">
        <w:rPr>
          <w:rStyle w:val="FootnoteReference"/>
          <w:rFonts w:cs="Arial"/>
          <w:sz w:val="18"/>
          <w:szCs w:val="18"/>
        </w:rPr>
        <w:footnoteRef/>
      </w:r>
      <w:r w:rsidRPr="00B4730D">
        <w:rPr>
          <w:rFonts w:cs="Arial"/>
          <w:sz w:val="18"/>
          <w:szCs w:val="18"/>
        </w:rPr>
        <w:t xml:space="preserve"> </w:t>
      </w:r>
      <w:r w:rsidRPr="00B4730D">
        <w:rPr>
          <w:rFonts w:cs="Arial"/>
          <w:sz w:val="18"/>
          <w:szCs w:val="18"/>
          <w:lang w:val="en-US"/>
        </w:rPr>
        <w:t xml:space="preserve">ECtHR, </w:t>
      </w:r>
      <w:hyperlink r:id="rId62" w:history="1">
        <w:proofErr w:type="spellStart"/>
        <w:r w:rsidRPr="00B4730D">
          <w:rPr>
            <w:rStyle w:val="Hyperlink"/>
            <w:rFonts w:cs="Arial"/>
            <w:i/>
            <w:iCs/>
            <w:sz w:val="18"/>
            <w:szCs w:val="18"/>
            <w:lang w:val="en-US"/>
          </w:rPr>
          <w:t>Gündüz</w:t>
        </w:r>
        <w:proofErr w:type="spellEnd"/>
        <w:r w:rsidRPr="00B4730D">
          <w:rPr>
            <w:rStyle w:val="Hyperlink"/>
            <w:rFonts w:cs="Arial"/>
            <w:i/>
            <w:iCs/>
            <w:sz w:val="18"/>
            <w:szCs w:val="18"/>
            <w:lang w:val="en-US"/>
          </w:rPr>
          <w:t xml:space="preserve"> v. Turkey</w:t>
        </w:r>
      </w:hyperlink>
      <w:r w:rsidRPr="00B4730D">
        <w:rPr>
          <w:rFonts w:cs="Arial"/>
          <w:sz w:val="18"/>
          <w:szCs w:val="18"/>
          <w:lang w:val="en-US"/>
        </w:rPr>
        <w:t xml:space="preserve">, decision of 13 November 2003. </w:t>
      </w:r>
    </w:p>
  </w:footnote>
  <w:footnote w:id="67">
    <w:p w14:paraId="15AAE638" w14:textId="77777777" w:rsidR="009269CA" w:rsidRPr="00E26E81" w:rsidRDefault="009269CA" w:rsidP="00A950FE">
      <w:pPr>
        <w:pStyle w:val="FootnoteText"/>
        <w:jc w:val="both"/>
        <w:rPr>
          <w:rFonts w:cs="Arial"/>
          <w:sz w:val="18"/>
          <w:szCs w:val="18"/>
          <w:lang w:val="en-US"/>
        </w:rPr>
      </w:pPr>
      <w:r w:rsidRPr="00E26E81">
        <w:rPr>
          <w:rStyle w:val="FootnoteReference"/>
          <w:rFonts w:cs="Arial"/>
          <w:sz w:val="18"/>
          <w:szCs w:val="18"/>
        </w:rPr>
        <w:footnoteRef/>
      </w:r>
      <w:r w:rsidRPr="00E26E81">
        <w:rPr>
          <w:rFonts w:cs="Arial"/>
          <w:sz w:val="18"/>
          <w:szCs w:val="18"/>
        </w:rPr>
        <w:t xml:space="preserve"> </w:t>
      </w:r>
      <w:r w:rsidRPr="00E26E81">
        <w:rPr>
          <w:rFonts w:cs="Arial"/>
          <w:sz w:val="18"/>
          <w:szCs w:val="18"/>
          <w:lang w:val="en-US"/>
        </w:rPr>
        <w:t xml:space="preserve">Commissioner’s </w:t>
      </w:r>
      <w:hyperlink r:id="rId63" w:history="1">
        <w:r w:rsidRPr="00E26E81">
          <w:rPr>
            <w:rStyle w:val="Hyperlink"/>
            <w:rFonts w:cs="Arial"/>
            <w:sz w:val="18"/>
            <w:szCs w:val="18"/>
            <w:lang w:val="en-US"/>
          </w:rPr>
          <w:t>statement</w:t>
        </w:r>
      </w:hyperlink>
      <w:r w:rsidRPr="00E26E81">
        <w:rPr>
          <w:rFonts w:cs="Arial"/>
          <w:sz w:val="18"/>
          <w:szCs w:val="18"/>
          <w:lang w:val="en-US"/>
        </w:rPr>
        <w:t xml:space="preserve"> “Nagorno-Karabakh: The escalation of the conflict is posing a serious threat to human rights”, 1 October 2020. </w:t>
      </w:r>
    </w:p>
  </w:footnote>
  <w:footnote w:id="68">
    <w:p w14:paraId="584EAA17" w14:textId="77777777" w:rsidR="009269CA" w:rsidRPr="00E26E81" w:rsidRDefault="009269CA" w:rsidP="00A950FE">
      <w:pPr>
        <w:pStyle w:val="FootnoteText"/>
        <w:jc w:val="both"/>
        <w:rPr>
          <w:rFonts w:cs="Arial"/>
          <w:sz w:val="18"/>
          <w:szCs w:val="18"/>
        </w:rPr>
      </w:pPr>
      <w:r w:rsidRPr="00E26E81">
        <w:rPr>
          <w:rStyle w:val="FootnoteReference"/>
          <w:rFonts w:cs="Arial"/>
          <w:sz w:val="18"/>
          <w:szCs w:val="18"/>
        </w:rPr>
        <w:footnoteRef/>
      </w:r>
      <w:r w:rsidRPr="00E26E81">
        <w:rPr>
          <w:rFonts w:cs="Arial"/>
          <w:sz w:val="18"/>
          <w:szCs w:val="18"/>
        </w:rPr>
        <w:t xml:space="preserve"> Parliamentary Assembly of the Council of Europe</w:t>
      </w:r>
      <w:r w:rsidRPr="00E26E81">
        <w:rPr>
          <w:rFonts w:cs="Arial"/>
          <w:sz w:val="18"/>
          <w:szCs w:val="18"/>
          <w:lang w:val="en-US"/>
        </w:rPr>
        <w:t xml:space="preserve">, </w:t>
      </w:r>
      <w:hyperlink r:id="rId64" w:history="1">
        <w:r w:rsidRPr="00E26E81">
          <w:rPr>
            <w:rStyle w:val="Hyperlink"/>
            <w:rFonts w:cs="Arial"/>
            <w:sz w:val="18"/>
            <w:szCs w:val="18"/>
            <w:lang w:val="en-US"/>
          </w:rPr>
          <w:t>Resolution 2275 (2019)</w:t>
        </w:r>
      </w:hyperlink>
      <w:r w:rsidRPr="00E26E81">
        <w:rPr>
          <w:rFonts w:cs="Arial"/>
          <w:sz w:val="18"/>
          <w:szCs w:val="18"/>
          <w:lang w:val="en-US"/>
        </w:rPr>
        <w:t xml:space="preserve"> “The role and responsibilities of political leaders in combating hate speech and intolerance”</w:t>
      </w:r>
      <w:r w:rsidRPr="00E26E81">
        <w:rPr>
          <w:rFonts w:cs="Arial"/>
          <w:sz w:val="18"/>
          <w:szCs w:val="18"/>
        </w:rPr>
        <w:t xml:space="preserve">, adopted on 10 April 2019. </w:t>
      </w:r>
    </w:p>
  </w:footnote>
  <w:footnote w:id="69">
    <w:p w14:paraId="5CE01396" w14:textId="77777777" w:rsidR="009269CA" w:rsidRPr="00E26E81" w:rsidRDefault="009269CA" w:rsidP="00A950FE">
      <w:pPr>
        <w:pStyle w:val="FootnoteText"/>
        <w:jc w:val="both"/>
        <w:rPr>
          <w:rFonts w:cs="Arial"/>
          <w:sz w:val="18"/>
          <w:szCs w:val="18"/>
          <w:lang w:val="en-US"/>
        </w:rPr>
      </w:pPr>
      <w:r w:rsidRPr="00E26E81">
        <w:rPr>
          <w:rStyle w:val="FootnoteReference"/>
          <w:rFonts w:cs="Arial"/>
          <w:sz w:val="18"/>
          <w:szCs w:val="18"/>
        </w:rPr>
        <w:footnoteRef/>
      </w:r>
      <w:r w:rsidRPr="00E26E81">
        <w:rPr>
          <w:rFonts w:cs="Arial"/>
          <w:sz w:val="18"/>
          <w:szCs w:val="18"/>
        </w:rPr>
        <w:t xml:space="preserve"> ECRI, </w:t>
      </w:r>
      <w:hyperlink r:id="rId65" w:history="1">
        <w:r w:rsidRPr="00E26E81">
          <w:rPr>
            <w:rStyle w:val="Hyperlink"/>
            <w:rFonts w:cs="Arial"/>
            <w:sz w:val="18"/>
            <w:szCs w:val="18"/>
            <w:lang w:val="en-US"/>
          </w:rPr>
          <w:t>General Policy Recommendation n°15 on Combating Hate Speech</w:t>
        </w:r>
      </w:hyperlink>
      <w:r w:rsidRPr="00E26E81">
        <w:rPr>
          <w:rFonts w:cs="Arial"/>
          <w:sz w:val="18"/>
          <w:szCs w:val="18"/>
        </w:rPr>
        <w:t xml:space="preserve">, </w:t>
      </w:r>
      <w:r w:rsidRPr="00E26E81">
        <w:rPr>
          <w:rFonts w:cs="Arial"/>
          <w:sz w:val="18"/>
          <w:szCs w:val="18"/>
          <w:lang w:val="en-US"/>
        </w:rPr>
        <w:t xml:space="preserve">adopted on 8 December 2015. </w:t>
      </w:r>
    </w:p>
  </w:footnote>
  <w:footnote w:id="70">
    <w:p w14:paraId="1B5C5C87" w14:textId="77777777" w:rsidR="009269CA" w:rsidRPr="00E26E81" w:rsidRDefault="009269CA" w:rsidP="00A950FE">
      <w:pPr>
        <w:pStyle w:val="FootnoteText"/>
        <w:jc w:val="both"/>
        <w:rPr>
          <w:rFonts w:cs="Arial"/>
          <w:sz w:val="18"/>
          <w:szCs w:val="18"/>
          <w:lang w:val="en-US"/>
        </w:rPr>
      </w:pPr>
      <w:r w:rsidRPr="00E26E81">
        <w:rPr>
          <w:rStyle w:val="FootnoteReference"/>
          <w:rFonts w:cs="Arial"/>
          <w:sz w:val="18"/>
          <w:szCs w:val="18"/>
        </w:rPr>
        <w:footnoteRef/>
      </w:r>
      <w:r w:rsidRPr="00E26E81">
        <w:rPr>
          <w:rFonts w:cs="Arial"/>
          <w:sz w:val="18"/>
          <w:szCs w:val="18"/>
        </w:rPr>
        <w:t xml:space="preserve"> See the </w:t>
      </w:r>
      <w:bookmarkStart w:id="22" w:name="_Hlk84864173"/>
      <w:r w:rsidRPr="00E26E81">
        <w:rPr>
          <w:rFonts w:cs="Arial"/>
          <w:sz w:val="18"/>
          <w:szCs w:val="18"/>
        </w:rPr>
        <w:t xml:space="preserve">Commissioner’s </w:t>
      </w:r>
      <w:hyperlink r:id="rId66" w:history="1">
        <w:r w:rsidRPr="00E26E81">
          <w:rPr>
            <w:rStyle w:val="Hyperlink"/>
            <w:rFonts w:cs="Arial"/>
            <w:sz w:val="18"/>
            <w:szCs w:val="18"/>
          </w:rPr>
          <w:t>statement</w:t>
        </w:r>
      </w:hyperlink>
      <w:r w:rsidRPr="00E26E81">
        <w:rPr>
          <w:rFonts w:cs="Arial"/>
          <w:sz w:val="18"/>
          <w:szCs w:val="18"/>
        </w:rPr>
        <w:t xml:space="preserve"> “</w:t>
      </w:r>
      <w:r w:rsidRPr="00E26E81">
        <w:rPr>
          <w:rFonts w:cs="Arial"/>
          <w:sz w:val="18"/>
          <w:szCs w:val="18"/>
          <w:lang w:val="en-US"/>
        </w:rPr>
        <w:t>Nagorno-Karabakh: The escalation of the conflict is posing a serious threat to human rights”, 1 October 2020.</w:t>
      </w:r>
      <w:bookmarkEnd w:id="22"/>
      <w:r w:rsidRPr="00E26E81">
        <w:rPr>
          <w:rFonts w:cs="Arial"/>
          <w:sz w:val="18"/>
          <w:szCs w:val="18"/>
          <w:lang w:val="en-US"/>
        </w:rPr>
        <w:t xml:space="preserve"> </w:t>
      </w:r>
    </w:p>
  </w:footnote>
  <w:footnote w:id="71">
    <w:p w14:paraId="41566442" w14:textId="77777777" w:rsidR="009269CA" w:rsidRPr="00E26E81" w:rsidRDefault="009269CA" w:rsidP="00A950FE">
      <w:pPr>
        <w:pStyle w:val="FootnoteText"/>
        <w:jc w:val="both"/>
        <w:rPr>
          <w:rFonts w:cs="Arial"/>
          <w:sz w:val="18"/>
          <w:szCs w:val="18"/>
          <w:lang w:val="en-US"/>
        </w:rPr>
      </w:pPr>
      <w:r w:rsidRPr="00E26E81">
        <w:rPr>
          <w:rStyle w:val="FootnoteReference"/>
          <w:rFonts w:cs="Arial"/>
          <w:sz w:val="18"/>
          <w:szCs w:val="18"/>
        </w:rPr>
        <w:footnoteRef/>
      </w:r>
      <w:r w:rsidRPr="00E26E81">
        <w:rPr>
          <w:rFonts w:cs="Arial"/>
          <w:sz w:val="18"/>
          <w:szCs w:val="18"/>
        </w:rPr>
        <w:t xml:space="preserve"> </w:t>
      </w:r>
      <w:r w:rsidRPr="00E26E81">
        <w:rPr>
          <w:rFonts w:cs="Arial"/>
          <w:sz w:val="18"/>
          <w:szCs w:val="18"/>
          <w:lang w:val="en-US"/>
        </w:rPr>
        <w:t>Council of Europe </w:t>
      </w:r>
      <w:hyperlink r:id="rId67" w:history="1">
        <w:r w:rsidRPr="00E26E81">
          <w:rPr>
            <w:rStyle w:val="Hyperlink"/>
            <w:rFonts w:cs="Arial"/>
            <w:sz w:val="18"/>
            <w:szCs w:val="18"/>
            <w:lang w:val="en-US"/>
          </w:rPr>
          <w:t>Guidelines on protecting freedom of expression and information in times of crisis</w:t>
        </w:r>
      </w:hyperlink>
      <w:r w:rsidRPr="00E26E81">
        <w:rPr>
          <w:rFonts w:cs="Arial"/>
          <w:sz w:val="18"/>
          <w:szCs w:val="18"/>
          <w:lang w:val="en-US"/>
        </w:rPr>
        <w:t xml:space="preserve">, adopted by the Committee of Ministers of the Council of Europe on 26 September 2007. </w:t>
      </w:r>
    </w:p>
  </w:footnote>
  <w:footnote w:id="72">
    <w:p w14:paraId="2A51212D" w14:textId="77777777" w:rsidR="009269CA" w:rsidRPr="00E26E81" w:rsidRDefault="009269CA" w:rsidP="00A950FE">
      <w:pPr>
        <w:pStyle w:val="FootnoteText"/>
        <w:jc w:val="both"/>
        <w:rPr>
          <w:rFonts w:cs="Arial"/>
          <w:sz w:val="18"/>
          <w:szCs w:val="18"/>
        </w:rPr>
      </w:pPr>
      <w:r w:rsidRPr="00E26E81">
        <w:rPr>
          <w:rStyle w:val="FootnoteReference"/>
          <w:rFonts w:cs="Arial"/>
          <w:sz w:val="18"/>
          <w:szCs w:val="18"/>
        </w:rPr>
        <w:footnoteRef/>
      </w:r>
      <w:r w:rsidRPr="00E26E81">
        <w:rPr>
          <w:rFonts w:cs="Arial"/>
          <w:sz w:val="18"/>
          <w:szCs w:val="18"/>
        </w:rPr>
        <w:t xml:space="preserve"> </w:t>
      </w:r>
      <w:hyperlink r:id="rId68" w:history="1">
        <w:r w:rsidRPr="00E26E81">
          <w:rPr>
            <w:rStyle w:val="Hyperlink"/>
            <w:rFonts w:cs="Arial"/>
            <w:sz w:val="18"/>
            <w:szCs w:val="18"/>
            <w:lang w:val="en-US"/>
          </w:rPr>
          <w:t>Annual report</w:t>
        </w:r>
      </w:hyperlink>
      <w:r w:rsidRPr="00E26E81">
        <w:rPr>
          <w:rFonts w:cs="Arial"/>
          <w:sz w:val="18"/>
          <w:szCs w:val="18"/>
          <w:lang w:val="en-US"/>
        </w:rPr>
        <w:t xml:space="preserve"> of the Council of Europe Platform for the Protection of Journalism and the Safety of Journalists, April 2021, p. 64. </w:t>
      </w:r>
    </w:p>
  </w:footnote>
  <w:footnote w:id="73">
    <w:p w14:paraId="05729617" w14:textId="77777777" w:rsidR="009269CA" w:rsidRPr="00E26E81" w:rsidRDefault="009269CA" w:rsidP="00A950FE">
      <w:pPr>
        <w:pStyle w:val="Heading1"/>
        <w:shd w:val="clear" w:color="auto" w:fill="FFFFFF"/>
        <w:spacing w:before="0" w:line="240" w:lineRule="auto"/>
        <w:jc w:val="both"/>
        <w:rPr>
          <w:rFonts w:ascii="Arial" w:hAnsi="Arial" w:cs="Arial"/>
          <w:color w:val="auto"/>
          <w:sz w:val="18"/>
          <w:szCs w:val="18"/>
        </w:rPr>
      </w:pPr>
      <w:r w:rsidRPr="00E26E81">
        <w:rPr>
          <w:rStyle w:val="FootnoteReference"/>
          <w:rFonts w:ascii="Arial" w:hAnsi="Arial" w:cs="Arial"/>
          <w:color w:val="auto"/>
          <w:sz w:val="18"/>
          <w:szCs w:val="18"/>
        </w:rPr>
        <w:footnoteRef/>
      </w:r>
      <w:r w:rsidRPr="00E26E81">
        <w:rPr>
          <w:rFonts w:ascii="Arial" w:hAnsi="Arial" w:cs="Arial"/>
          <w:color w:val="auto"/>
          <w:sz w:val="18"/>
          <w:szCs w:val="18"/>
        </w:rPr>
        <w:t xml:space="preserve"> According to Reporters Without Borders (RSF), at least ten foreign journalists have been denied entry by the Russian peacekeeping troops controlling access to Nagorno-Karabakh from Armenia. Other journalists reportedly made highly controlled visits from Azerbaijan to areas affected by the conflict and were not able to report freely. </w:t>
      </w:r>
      <w:r w:rsidRPr="00E26E81">
        <w:rPr>
          <w:rFonts w:ascii="Arial" w:hAnsi="Arial" w:cs="Arial"/>
          <w:color w:val="auto"/>
          <w:sz w:val="18"/>
          <w:szCs w:val="18"/>
          <w:lang w:val="en-GB"/>
        </w:rPr>
        <w:t xml:space="preserve">RSF, </w:t>
      </w:r>
      <w:hyperlink r:id="rId69" w:history="1">
        <w:r w:rsidRPr="00E26E81">
          <w:rPr>
            <w:rStyle w:val="Hyperlink"/>
            <w:rFonts w:ascii="Arial" w:hAnsi="Arial" w:cs="Arial"/>
            <w:sz w:val="18"/>
            <w:szCs w:val="18"/>
          </w:rPr>
          <w:t xml:space="preserve">Russian peacekeepers deny foreign </w:t>
        </w:r>
        <w:proofErr w:type="gramStart"/>
        <w:r w:rsidRPr="00E26E81">
          <w:rPr>
            <w:rStyle w:val="Hyperlink"/>
            <w:rFonts w:ascii="Arial" w:hAnsi="Arial" w:cs="Arial"/>
            <w:sz w:val="18"/>
            <w:szCs w:val="18"/>
          </w:rPr>
          <w:t>reporters</w:t>
        </w:r>
        <w:proofErr w:type="gramEnd"/>
        <w:r w:rsidRPr="00E26E81">
          <w:rPr>
            <w:rStyle w:val="Hyperlink"/>
            <w:rFonts w:ascii="Arial" w:hAnsi="Arial" w:cs="Arial"/>
            <w:sz w:val="18"/>
            <w:szCs w:val="18"/>
          </w:rPr>
          <w:t xml:space="preserve"> access to Nagorno-Karabakh</w:t>
        </w:r>
      </w:hyperlink>
      <w:r w:rsidRPr="00E26E81">
        <w:rPr>
          <w:rFonts w:ascii="Arial" w:hAnsi="Arial" w:cs="Arial"/>
          <w:color w:val="auto"/>
          <w:sz w:val="18"/>
          <w:szCs w:val="18"/>
          <w:lang w:val="en-GB"/>
        </w:rPr>
        <w:t xml:space="preserve">, 9 April 2021. </w:t>
      </w:r>
    </w:p>
  </w:footnote>
  <w:footnote w:id="74">
    <w:p w14:paraId="17F4A28F" w14:textId="638D087D" w:rsidR="009269CA" w:rsidRPr="00B4730D" w:rsidRDefault="009269CA" w:rsidP="00A950FE">
      <w:pPr>
        <w:pStyle w:val="FootnoteText"/>
        <w:jc w:val="both"/>
        <w:rPr>
          <w:rFonts w:cs="Arial"/>
          <w:sz w:val="18"/>
          <w:szCs w:val="18"/>
          <w:lang w:val="en-US"/>
        </w:rPr>
      </w:pPr>
      <w:r w:rsidRPr="00E26E81">
        <w:rPr>
          <w:rStyle w:val="FootnoteReference"/>
          <w:rFonts w:cs="Arial"/>
          <w:sz w:val="18"/>
          <w:szCs w:val="18"/>
        </w:rPr>
        <w:footnoteRef/>
      </w:r>
      <w:r w:rsidRPr="00E26E81">
        <w:rPr>
          <w:rFonts w:cs="Arial"/>
          <w:sz w:val="18"/>
          <w:szCs w:val="18"/>
        </w:rPr>
        <w:t xml:space="preserve"> See the </w:t>
      </w:r>
      <w:r w:rsidRPr="00E26E81">
        <w:rPr>
          <w:rFonts w:cs="Arial"/>
          <w:sz w:val="18"/>
          <w:szCs w:val="18"/>
          <w:lang w:val="en-US"/>
        </w:rPr>
        <w:t xml:space="preserve">Commissioner’s </w:t>
      </w:r>
      <w:hyperlink r:id="rId70" w:history="1">
        <w:r w:rsidRPr="00E26E81">
          <w:rPr>
            <w:rStyle w:val="Hyperlink"/>
            <w:rFonts w:cs="Arial"/>
            <w:sz w:val="18"/>
            <w:szCs w:val="18"/>
            <w:lang w:val="en-US"/>
          </w:rPr>
          <w:t>letter</w:t>
        </w:r>
      </w:hyperlink>
      <w:r w:rsidRPr="00E26E81">
        <w:rPr>
          <w:rFonts w:cs="Arial"/>
          <w:sz w:val="18"/>
          <w:szCs w:val="18"/>
          <w:lang w:val="en-US"/>
        </w:rPr>
        <w:t xml:space="preserve"> to the President of Azerbaijan on the inauguration of the ‘Trophy Park’ in Baku, published on 27 April 2021.</w:t>
      </w:r>
      <w:r>
        <w:rPr>
          <w:rFonts w:cs="Arial"/>
          <w:sz w:val="18"/>
          <w:szCs w:val="18"/>
          <w:lang w:val="en-US"/>
        </w:rPr>
        <w:t xml:space="preserve"> The </w:t>
      </w:r>
      <w:r w:rsidRPr="004B36FE">
        <w:rPr>
          <w:rFonts w:cs="Arial"/>
          <w:sz w:val="18"/>
          <w:szCs w:val="18"/>
          <w:lang w:val="en-US"/>
        </w:rPr>
        <w:t>Azerbaijan</w:t>
      </w:r>
      <w:r>
        <w:rPr>
          <w:rFonts w:cs="Arial"/>
          <w:sz w:val="18"/>
          <w:szCs w:val="18"/>
          <w:lang w:val="en-US"/>
        </w:rPr>
        <w:t xml:space="preserve">i authorities have since </w:t>
      </w:r>
      <w:r w:rsidRPr="004B36FE">
        <w:rPr>
          <w:rFonts w:cs="Arial"/>
          <w:sz w:val="18"/>
          <w:szCs w:val="18"/>
          <w:lang w:val="en-US"/>
        </w:rPr>
        <w:t>taken concrete steps by removing mannequins and helmets from th</w:t>
      </w:r>
      <w:r>
        <w:rPr>
          <w:rFonts w:cs="Arial"/>
          <w:sz w:val="18"/>
          <w:szCs w:val="18"/>
          <w:lang w:val="en-US"/>
        </w:rPr>
        <w:t xml:space="preserve">is </w:t>
      </w:r>
      <w:r w:rsidRPr="004B36FE">
        <w:rPr>
          <w:rFonts w:cs="Arial"/>
          <w:sz w:val="18"/>
          <w:szCs w:val="18"/>
          <w:lang w:val="en-US"/>
        </w:rPr>
        <w:t xml:space="preserve">Park and undertaking not to display them in the new Memorial Museum. </w:t>
      </w:r>
    </w:p>
  </w:footnote>
  <w:footnote w:id="75">
    <w:p w14:paraId="1F0D1640" w14:textId="77777777" w:rsidR="009269CA" w:rsidRPr="00B4730D" w:rsidRDefault="009269CA" w:rsidP="00A950FE">
      <w:pPr>
        <w:pStyle w:val="FootnoteText"/>
        <w:jc w:val="both"/>
        <w:rPr>
          <w:rFonts w:cs="Arial"/>
          <w:sz w:val="18"/>
          <w:szCs w:val="18"/>
          <w:lang w:val="en-US"/>
        </w:rPr>
      </w:pPr>
      <w:r w:rsidRPr="00B4730D">
        <w:rPr>
          <w:rStyle w:val="FootnoteReference"/>
          <w:rFonts w:cs="Arial"/>
          <w:sz w:val="18"/>
          <w:szCs w:val="18"/>
        </w:rPr>
        <w:footnoteRef/>
      </w:r>
      <w:r w:rsidRPr="00B4730D">
        <w:rPr>
          <w:rFonts w:cs="Arial"/>
          <w:sz w:val="18"/>
          <w:szCs w:val="18"/>
        </w:rPr>
        <w:t xml:space="preserve"> </w:t>
      </w:r>
      <w:r w:rsidRPr="00B4730D">
        <w:rPr>
          <w:rFonts w:cs="Arial"/>
          <w:sz w:val="18"/>
          <w:szCs w:val="18"/>
          <w:lang w:val="en-US"/>
        </w:rPr>
        <w:t>Memorialization processes in the context of serious violations of human rights and international humanitarian law: the fifth pillar of transitional justice</w:t>
      </w:r>
      <w:r w:rsidRPr="00B4730D">
        <w:rPr>
          <w:rFonts w:cs="Arial"/>
          <w:sz w:val="18"/>
          <w:szCs w:val="18"/>
        </w:rPr>
        <w:t xml:space="preserve">, </w:t>
      </w:r>
      <w:hyperlink r:id="rId71" w:history="1">
        <w:r w:rsidRPr="00B4730D">
          <w:rPr>
            <w:rStyle w:val="Hyperlink"/>
            <w:rFonts w:cs="Arial"/>
            <w:sz w:val="18"/>
            <w:szCs w:val="18"/>
          </w:rPr>
          <w:t>A/HRC/45/45</w:t>
        </w:r>
      </w:hyperlink>
      <w:r w:rsidRPr="00B4730D">
        <w:rPr>
          <w:rFonts w:cs="Arial"/>
          <w:sz w:val="18"/>
          <w:szCs w:val="18"/>
        </w:rPr>
        <w:t xml:space="preserve">, 9 July 2020. </w:t>
      </w:r>
    </w:p>
  </w:footnote>
  <w:footnote w:id="76">
    <w:p w14:paraId="541B67F8" w14:textId="77777777" w:rsidR="009269CA" w:rsidRPr="00B4730D" w:rsidRDefault="009269CA" w:rsidP="00B4730D">
      <w:pPr>
        <w:pStyle w:val="FootnoteText"/>
        <w:jc w:val="both"/>
        <w:rPr>
          <w:rFonts w:cs="Arial"/>
          <w:sz w:val="18"/>
          <w:szCs w:val="18"/>
        </w:rPr>
      </w:pPr>
      <w:r w:rsidRPr="00B4730D">
        <w:rPr>
          <w:rStyle w:val="FootnoteReference"/>
          <w:rFonts w:cs="Arial"/>
          <w:sz w:val="18"/>
          <w:szCs w:val="18"/>
        </w:rPr>
        <w:footnoteRef/>
      </w:r>
      <w:r w:rsidRPr="00B4730D">
        <w:rPr>
          <w:rFonts w:cs="Arial"/>
          <w:sz w:val="18"/>
          <w:szCs w:val="18"/>
        </w:rPr>
        <w:t xml:space="preserve"> </w:t>
      </w:r>
      <w:r w:rsidRPr="00B4730D">
        <w:rPr>
          <w:rFonts w:cs="Arial"/>
          <w:i/>
          <w:iCs/>
          <w:sz w:val="18"/>
          <w:szCs w:val="18"/>
        </w:rPr>
        <w:t>Ibid</w:t>
      </w:r>
      <w:r w:rsidRPr="00B4730D">
        <w:rPr>
          <w:rFonts w:cs="Arial"/>
          <w:sz w:val="18"/>
          <w:szCs w:val="18"/>
        </w:rPr>
        <w:t xml:space="preserve">., para. 21. </w:t>
      </w:r>
    </w:p>
  </w:footnote>
  <w:footnote w:id="77">
    <w:p w14:paraId="096A7553" w14:textId="77777777" w:rsidR="009269CA" w:rsidRPr="00B4730D" w:rsidRDefault="009269CA" w:rsidP="00B4730D">
      <w:pPr>
        <w:pStyle w:val="FootnoteText"/>
        <w:jc w:val="both"/>
        <w:rPr>
          <w:rFonts w:cs="Arial"/>
          <w:sz w:val="18"/>
          <w:szCs w:val="18"/>
          <w:lang w:val="en-US"/>
        </w:rPr>
      </w:pPr>
      <w:r w:rsidRPr="00B4730D">
        <w:rPr>
          <w:rStyle w:val="FootnoteReference"/>
          <w:rFonts w:cs="Arial"/>
          <w:sz w:val="18"/>
          <w:szCs w:val="18"/>
        </w:rPr>
        <w:footnoteRef/>
      </w:r>
      <w:r w:rsidRPr="00B4730D">
        <w:rPr>
          <w:rFonts w:cs="Arial"/>
          <w:sz w:val="18"/>
          <w:szCs w:val="18"/>
        </w:rPr>
        <w:t xml:space="preserve"> </w:t>
      </w:r>
      <w:r w:rsidRPr="00B4730D">
        <w:rPr>
          <w:rFonts w:cs="Arial"/>
          <w:sz w:val="18"/>
          <w:szCs w:val="18"/>
          <w:lang w:val="en-US"/>
        </w:rPr>
        <w:t xml:space="preserve">ECRI, </w:t>
      </w:r>
      <w:hyperlink r:id="rId72" w:history="1">
        <w:r w:rsidRPr="00B4730D">
          <w:rPr>
            <w:rStyle w:val="Hyperlink"/>
            <w:rFonts w:cs="Arial"/>
            <w:sz w:val="18"/>
            <w:szCs w:val="18"/>
            <w:lang w:val="en-US"/>
          </w:rPr>
          <w:t>Statement</w:t>
        </w:r>
      </w:hyperlink>
      <w:r w:rsidRPr="00B4730D">
        <w:rPr>
          <w:rFonts w:cs="Arial"/>
          <w:sz w:val="18"/>
          <w:szCs w:val="18"/>
          <w:lang w:val="en-US"/>
        </w:rPr>
        <w:t xml:space="preserve"> on preventing and combating ultra-nationalistic and racist hate speech and violence in the context of confrontations and unresolved conflicts, adopted by ECRI at its 85</w:t>
      </w:r>
      <w:r w:rsidRPr="00B4730D">
        <w:rPr>
          <w:rFonts w:cs="Arial"/>
          <w:sz w:val="18"/>
          <w:szCs w:val="18"/>
          <w:vertAlign w:val="superscript"/>
          <w:lang w:val="en-US"/>
        </w:rPr>
        <w:t>th</w:t>
      </w:r>
      <w:r w:rsidRPr="00B4730D">
        <w:rPr>
          <w:rFonts w:cs="Arial"/>
          <w:sz w:val="18"/>
          <w:szCs w:val="18"/>
          <w:lang w:val="en-US"/>
        </w:rPr>
        <w:t xml:space="preserve"> plenary meeting (30-31 March 2021). </w:t>
      </w:r>
    </w:p>
  </w:footnote>
  <w:footnote w:id="78">
    <w:p w14:paraId="02264B20" w14:textId="3B06B49E" w:rsidR="009269CA" w:rsidRPr="00B4730D" w:rsidRDefault="009269CA" w:rsidP="00B4730D">
      <w:pPr>
        <w:pStyle w:val="FootnoteText"/>
        <w:jc w:val="both"/>
        <w:rPr>
          <w:rFonts w:cs="Arial"/>
          <w:sz w:val="18"/>
          <w:szCs w:val="18"/>
        </w:rPr>
      </w:pPr>
      <w:r w:rsidRPr="00B4730D">
        <w:rPr>
          <w:rStyle w:val="FootnoteReference"/>
          <w:rFonts w:cs="Arial"/>
          <w:sz w:val="18"/>
          <w:szCs w:val="18"/>
        </w:rPr>
        <w:footnoteRef/>
      </w:r>
      <w:r w:rsidRPr="00B4730D">
        <w:rPr>
          <w:rFonts w:cs="Arial"/>
          <w:sz w:val="18"/>
          <w:szCs w:val="18"/>
        </w:rPr>
        <w:t xml:space="preserve"> European Network of National Human Rights Institutions, </w:t>
      </w:r>
      <w:hyperlink r:id="rId73" w:history="1">
        <w:r w:rsidRPr="00B4730D">
          <w:rPr>
            <w:rStyle w:val="Hyperlink"/>
            <w:rFonts w:cs="Arial"/>
            <w:sz w:val="18"/>
            <w:szCs w:val="18"/>
          </w:rPr>
          <w:t xml:space="preserve">Guide on the Role of National Human Rights Institutions in (Post-)Conflict </w:t>
        </w:r>
        <w:r>
          <w:rPr>
            <w:rStyle w:val="Hyperlink"/>
            <w:rFonts w:cs="Arial"/>
            <w:sz w:val="18"/>
            <w:szCs w:val="18"/>
          </w:rPr>
          <w:t>S</w:t>
        </w:r>
        <w:r w:rsidRPr="00B4730D">
          <w:rPr>
            <w:rStyle w:val="Hyperlink"/>
            <w:rFonts w:cs="Arial"/>
            <w:sz w:val="18"/>
            <w:szCs w:val="18"/>
          </w:rPr>
          <w:t>ituations</w:t>
        </w:r>
      </w:hyperlink>
      <w:r w:rsidRPr="00B4730D">
        <w:rPr>
          <w:rFonts w:cs="Arial"/>
          <w:sz w:val="18"/>
          <w:szCs w:val="18"/>
        </w:rPr>
        <w:t>, September 2020.</w:t>
      </w:r>
    </w:p>
  </w:footnote>
  <w:footnote w:id="79">
    <w:p w14:paraId="5695C677" w14:textId="5EBC38EB" w:rsidR="009269CA" w:rsidRPr="00B4730D" w:rsidRDefault="009269CA" w:rsidP="00B4730D">
      <w:pPr>
        <w:pStyle w:val="FootnoteText"/>
        <w:jc w:val="both"/>
        <w:rPr>
          <w:rFonts w:cs="Arial"/>
          <w:sz w:val="18"/>
          <w:szCs w:val="18"/>
        </w:rPr>
      </w:pPr>
      <w:r w:rsidRPr="00B4730D">
        <w:rPr>
          <w:rStyle w:val="FootnoteReference"/>
          <w:rFonts w:cs="Arial"/>
          <w:sz w:val="18"/>
          <w:szCs w:val="18"/>
        </w:rPr>
        <w:footnoteRef/>
      </w:r>
      <w:r w:rsidRPr="00B4730D">
        <w:rPr>
          <w:rFonts w:cs="Arial"/>
          <w:sz w:val="18"/>
          <w:szCs w:val="18"/>
        </w:rPr>
        <w:t xml:space="preserve"> </w:t>
      </w:r>
      <w:hyperlink r:id="rId74" w:history="1">
        <w:r w:rsidRPr="00B4730D">
          <w:rPr>
            <w:rStyle w:val="Hyperlink"/>
            <w:rFonts w:cs="Arial"/>
            <w:sz w:val="18"/>
            <w:szCs w:val="18"/>
          </w:rPr>
          <w:t>Recommendation CM/</w:t>
        </w:r>
        <w:proofErr w:type="gramStart"/>
        <w:r w:rsidRPr="00B4730D">
          <w:rPr>
            <w:rStyle w:val="Hyperlink"/>
            <w:rFonts w:cs="Arial"/>
            <w:sz w:val="18"/>
            <w:szCs w:val="18"/>
          </w:rPr>
          <w:t>Rec(</w:t>
        </w:r>
        <w:proofErr w:type="gramEnd"/>
        <w:r w:rsidRPr="00B4730D">
          <w:rPr>
            <w:rStyle w:val="Hyperlink"/>
            <w:rFonts w:cs="Arial"/>
            <w:sz w:val="18"/>
            <w:szCs w:val="18"/>
          </w:rPr>
          <w:t>2010)10 on the role of women and men in conflict prevention and resolution and in peace building</w:t>
        </w:r>
      </w:hyperlink>
      <w:r w:rsidRPr="00B4730D">
        <w:rPr>
          <w:rFonts w:cs="Arial"/>
          <w:sz w:val="18"/>
          <w:szCs w:val="18"/>
        </w:rPr>
        <w:t>, adopted by the Committee of Ministers on 30 June 2010.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4C466" w14:textId="2EB2C0E9" w:rsidR="009269CA" w:rsidRDefault="009269CA" w:rsidP="0042755A">
    <w:pPr>
      <w:pStyle w:val="Header"/>
      <w:jc w:val="center"/>
    </w:pPr>
    <w:r w:rsidRPr="00533C6D">
      <w:rPr>
        <w:noProof/>
      </w:rPr>
      <w:drawing>
        <wp:anchor distT="0" distB="0" distL="114300" distR="114300" simplePos="0" relativeHeight="251668480" behindDoc="0" locked="1" layoutInCell="1" allowOverlap="1" wp14:anchorId="0CA43A73" wp14:editId="22384CCE">
          <wp:simplePos x="0" y="0"/>
          <wp:positionH relativeFrom="column">
            <wp:posOffset>-209550</wp:posOffset>
          </wp:positionH>
          <wp:positionV relativeFrom="page">
            <wp:posOffset>116205</wp:posOffset>
          </wp:positionV>
          <wp:extent cx="6490335" cy="1378585"/>
          <wp:effectExtent l="0" t="0" r="571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0335" cy="1378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3C6D">
      <w:rPr>
        <w:noProof/>
      </w:rPr>
      <mc:AlternateContent>
        <mc:Choice Requires="wps">
          <w:drawing>
            <wp:anchor distT="45720" distB="45720" distL="114300" distR="114300" simplePos="0" relativeHeight="251666432" behindDoc="0" locked="1" layoutInCell="1" allowOverlap="1" wp14:anchorId="1EDE3876" wp14:editId="43B4732B">
              <wp:simplePos x="0" y="0"/>
              <wp:positionH relativeFrom="margin">
                <wp:align>left</wp:align>
              </wp:positionH>
              <wp:positionV relativeFrom="page">
                <wp:posOffset>666750</wp:posOffset>
              </wp:positionV>
              <wp:extent cx="3282950" cy="44513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0" cy="445135"/>
                      </a:xfrm>
                      <a:prstGeom prst="rect">
                        <a:avLst/>
                      </a:prstGeom>
                      <a:noFill/>
                      <a:ln w="9525">
                        <a:noFill/>
                        <a:miter lim="800000"/>
                        <a:headEnd/>
                        <a:tailEnd/>
                      </a:ln>
                    </wps:spPr>
                    <wps:txbx>
                      <w:txbxContent>
                        <w:p w14:paraId="5D1EF4F1" w14:textId="77777777" w:rsidR="009269CA" w:rsidRDefault="009269CA" w:rsidP="001C3F0A">
                          <w:pPr>
                            <w:rPr>
                              <w:rFonts w:cs="Calibri"/>
                              <w:color w:val="1F497D" w:themeColor="text2"/>
                              <w:sz w:val="40"/>
                              <w:szCs w:val="40"/>
                            </w:rPr>
                          </w:pPr>
                          <w:r w:rsidRPr="00955AA2">
                            <w:rPr>
                              <w:rFonts w:cs="Calibri"/>
                              <w:color w:val="1F497D" w:themeColor="text2"/>
                              <w:sz w:val="40"/>
                              <w:szCs w:val="40"/>
                              <w:lang w:val="en-GB"/>
                            </w:rPr>
                            <w:t>Memorandum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EDE3876" id="_x0000_t202" coordsize="21600,21600" o:spt="202" path="m,l,21600r21600,l21600,xe">
              <v:stroke joinstyle="miter"/>
              <v:path gradientshapeok="t" o:connecttype="rect"/>
            </v:shapetype>
            <v:shape id="Zone de texte 2" o:spid="_x0000_s1034" type="#_x0000_t202" style="position:absolute;left:0;text-align:left;margin-left:0;margin-top:52.5pt;width:258.5pt;height:35.0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" filled="f" stroked="f">
              <v:textbox>
                <w:txbxContent>
                  <w:p w14:paraId="5D1EF4F1" w14:textId="77777777" w:rsidR="009269CA" w:rsidRDefault="009269CA" w:rsidP="001C3F0A">
                    <w:pPr>
                      <w:rPr>
                        <w:rFonts w:cs="Calibri"/>
                        <w:color w:val="1F497D" w:themeColor="text2"/>
                        <w:sz w:val="40"/>
                        <w:szCs w:val="40"/>
                      </w:rPr>
                    </w:pPr>
                    <w:r w:rsidRPr="00955AA2">
                      <w:rPr>
                        <w:rFonts w:cs="Calibri"/>
                        <w:color w:val="1F497D" w:themeColor="text2"/>
                        <w:sz w:val="40"/>
                        <w:szCs w:val="40"/>
                        <w:lang w:val="en-GB"/>
                      </w:rPr>
                      <w:t>Memorandum</w:t>
                    </w:r>
                  </w:p>
                </w:txbxContent>
              </v:textbox>
              <w10:wrap anchorx="margin" anchory="page"/>
              <w10:anchorlock/>
            </v:shape>
          </w:pict>
        </mc:Fallback>
      </mc:AlternateContent>
    </w:r>
  </w:p>
  <w:p w14:paraId="4930F670" w14:textId="1B9EC778" w:rsidR="009269CA" w:rsidRDefault="00926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27602"/>
    <w:multiLevelType w:val="hybridMultilevel"/>
    <w:tmpl w:val="4CC22588"/>
    <w:lvl w:ilvl="0" w:tplc="338ABDD6">
      <w:start w:val="5"/>
      <w:numFmt w:val="upperRoman"/>
      <w:lvlText w:val="%1."/>
      <w:lvlJc w:val="left"/>
      <w:pPr>
        <w:ind w:left="363" w:hanging="720"/>
      </w:pPr>
      <w:rPr>
        <w:rFonts w:hint="default"/>
      </w:rPr>
    </w:lvl>
    <w:lvl w:ilvl="1" w:tplc="040C0019" w:tentative="1">
      <w:start w:val="1"/>
      <w:numFmt w:val="lowerLetter"/>
      <w:lvlText w:val="%2."/>
      <w:lvlJc w:val="left"/>
      <w:pPr>
        <w:ind w:left="723" w:hanging="360"/>
      </w:pPr>
    </w:lvl>
    <w:lvl w:ilvl="2" w:tplc="040C001B" w:tentative="1">
      <w:start w:val="1"/>
      <w:numFmt w:val="lowerRoman"/>
      <w:lvlText w:val="%3."/>
      <w:lvlJc w:val="right"/>
      <w:pPr>
        <w:ind w:left="1443" w:hanging="180"/>
      </w:pPr>
    </w:lvl>
    <w:lvl w:ilvl="3" w:tplc="040C000F" w:tentative="1">
      <w:start w:val="1"/>
      <w:numFmt w:val="decimal"/>
      <w:lvlText w:val="%4."/>
      <w:lvlJc w:val="left"/>
      <w:pPr>
        <w:ind w:left="2163" w:hanging="360"/>
      </w:pPr>
    </w:lvl>
    <w:lvl w:ilvl="4" w:tplc="040C0019" w:tentative="1">
      <w:start w:val="1"/>
      <w:numFmt w:val="lowerLetter"/>
      <w:lvlText w:val="%5."/>
      <w:lvlJc w:val="left"/>
      <w:pPr>
        <w:ind w:left="2883" w:hanging="360"/>
      </w:pPr>
    </w:lvl>
    <w:lvl w:ilvl="5" w:tplc="040C001B" w:tentative="1">
      <w:start w:val="1"/>
      <w:numFmt w:val="lowerRoman"/>
      <w:lvlText w:val="%6."/>
      <w:lvlJc w:val="right"/>
      <w:pPr>
        <w:ind w:left="3603" w:hanging="180"/>
      </w:pPr>
    </w:lvl>
    <w:lvl w:ilvl="6" w:tplc="040C000F" w:tentative="1">
      <w:start w:val="1"/>
      <w:numFmt w:val="decimal"/>
      <w:lvlText w:val="%7."/>
      <w:lvlJc w:val="left"/>
      <w:pPr>
        <w:ind w:left="4323" w:hanging="360"/>
      </w:pPr>
    </w:lvl>
    <w:lvl w:ilvl="7" w:tplc="040C0019" w:tentative="1">
      <w:start w:val="1"/>
      <w:numFmt w:val="lowerLetter"/>
      <w:lvlText w:val="%8."/>
      <w:lvlJc w:val="left"/>
      <w:pPr>
        <w:ind w:left="5043" w:hanging="360"/>
      </w:pPr>
    </w:lvl>
    <w:lvl w:ilvl="8" w:tplc="040C001B" w:tentative="1">
      <w:start w:val="1"/>
      <w:numFmt w:val="lowerRoman"/>
      <w:lvlText w:val="%9."/>
      <w:lvlJc w:val="right"/>
      <w:pPr>
        <w:ind w:left="5763" w:hanging="180"/>
      </w:pPr>
    </w:lvl>
  </w:abstractNum>
  <w:abstractNum w:abstractNumId="1" w15:restartNumberingAfterBreak="0">
    <w:nsid w:val="034B164C"/>
    <w:multiLevelType w:val="multilevel"/>
    <w:tmpl w:val="11182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87A09"/>
    <w:multiLevelType w:val="hybridMultilevel"/>
    <w:tmpl w:val="B9D83DA4"/>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0BF267EB"/>
    <w:multiLevelType w:val="hybridMultilevel"/>
    <w:tmpl w:val="DDBAB494"/>
    <w:lvl w:ilvl="0" w:tplc="000E834E">
      <w:start w:val="1"/>
      <w:numFmt w:val="decimal"/>
      <w:lvlText w:val="%1."/>
      <w:lvlJc w:val="left"/>
      <w:pPr>
        <w:ind w:left="502"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7D13CC"/>
    <w:multiLevelType w:val="multilevel"/>
    <w:tmpl w:val="70109010"/>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F9E1817"/>
    <w:multiLevelType w:val="hybridMultilevel"/>
    <w:tmpl w:val="DDBAB494"/>
    <w:lvl w:ilvl="0" w:tplc="000E834E">
      <w:start w:val="1"/>
      <w:numFmt w:val="decimal"/>
      <w:lvlText w:val="%1."/>
      <w:lvlJc w:val="left"/>
      <w:pPr>
        <w:ind w:left="502"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7910E4"/>
    <w:multiLevelType w:val="hybridMultilevel"/>
    <w:tmpl w:val="C35404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5E0318"/>
    <w:multiLevelType w:val="hybridMultilevel"/>
    <w:tmpl w:val="4078A448"/>
    <w:lvl w:ilvl="0" w:tplc="A72243D2">
      <w:start w:val="1"/>
      <w:numFmt w:val="lowerLetter"/>
      <w:lvlText w:val="%1)"/>
      <w:lvlJc w:val="left"/>
      <w:pPr>
        <w:ind w:left="1071" w:hanging="360"/>
      </w:pPr>
      <w:rPr>
        <w:rFonts w:hint="default"/>
      </w:rPr>
    </w:lvl>
    <w:lvl w:ilvl="1" w:tplc="040C0019" w:tentative="1">
      <w:start w:val="1"/>
      <w:numFmt w:val="lowerLetter"/>
      <w:lvlText w:val="%2."/>
      <w:lvlJc w:val="left"/>
      <w:pPr>
        <w:ind w:left="1791" w:hanging="360"/>
      </w:pPr>
    </w:lvl>
    <w:lvl w:ilvl="2" w:tplc="040C001B" w:tentative="1">
      <w:start w:val="1"/>
      <w:numFmt w:val="lowerRoman"/>
      <w:lvlText w:val="%3."/>
      <w:lvlJc w:val="right"/>
      <w:pPr>
        <w:ind w:left="2511" w:hanging="180"/>
      </w:pPr>
    </w:lvl>
    <w:lvl w:ilvl="3" w:tplc="040C000F" w:tentative="1">
      <w:start w:val="1"/>
      <w:numFmt w:val="decimal"/>
      <w:lvlText w:val="%4."/>
      <w:lvlJc w:val="left"/>
      <w:pPr>
        <w:ind w:left="3231" w:hanging="360"/>
      </w:pPr>
    </w:lvl>
    <w:lvl w:ilvl="4" w:tplc="040C0019" w:tentative="1">
      <w:start w:val="1"/>
      <w:numFmt w:val="lowerLetter"/>
      <w:lvlText w:val="%5."/>
      <w:lvlJc w:val="left"/>
      <w:pPr>
        <w:ind w:left="3951" w:hanging="360"/>
      </w:pPr>
    </w:lvl>
    <w:lvl w:ilvl="5" w:tplc="040C001B" w:tentative="1">
      <w:start w:val="1"/>
      <w:numFmt w:val="lowerRoman"/>
      <w:lvlText w:val="%6."/>
      <w:lvlJc w:val="right"/>
      <w:pPr>
        <w:ind w:left="4671" w:hanging="180"/>
      </w:pPr>
    </w:lvl>
    <w:lvl w:ilvl="6" w:tplc="040C000F" w:tentative="1">
      <w:start w:val="1"/>
      <w:numFmt w:val="decimal"/>
      <w:lvlText w:val="%7."/>
      <w:lvlJc w:val="left"/>
      <w:pPr>
        <w:ind w:left="5391" w:hanging="360"/>
      </w:pPr>
    </w:lvl>
    <w:lvl w:ilvl="7" w:tplc="040C0019" w:tentative="1">
      <w:start w:val="1"/>
      <w:numFmt w:val="lowerLetter"/>
      <w:lvlText w:val="%8."/>
      <w:lvlJc w:val="left"/>
      <w:pPr>
        <w:ind w:left="6111" w:hanging="360"/>
      </w:pPr>
    </w:lvl>
    <w:lvl w:ilvl="8" w:tplc="040C001B" w:tentative="1">
      <w:start w:val="1"/>
      <w:numFmt w:val="lowerRoman"/>
      <w:lvlText w:val="%9."/>
      <w:lvlJc w:val="right"/>
      <w:pPr>
        <w:ind w:left="6831" w:hanging="180"/>
      </w:pPr>
    </w:lvl>
  </w:abstractNum>
  <w:abstractNum w:abstractNumId="8" w15:restartNumberingAfterBreak="0">
    <w:nsid w:val="2AB50E07"/>
    <w:multiLevelType w:val="hybridMultilevel"/>
    <w:tmpl w:val="A6626B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4F4344"/>
    <w:multiLevelType w:val="hybridMultilevel"/>
    <w:tmpl w:val="DB500EAA"/>
    <w:lvl w:ilvl="0" w:tplc="259C249C">
      <w:start w:val="1"/>
      <w:numFmt w:val="lowerLetter"/>
      <w:lvlText w:val="%1)"/>
      <w:lvlJc w:val="left"/>
      <w:pPr>
        <w:ind w:left="1071" w:hanging="360"/>
      </w:pPr>
      <w:rPr>
        <w:rFonts w:hint="default"/>
      </w:rPr>
    </w:lvl>
    <w:lvl w:ilvl="1" w:tplc="040C0019" w:tentative="1">
      <w:start w:val="1"/>
      <w:numFmt w:val="lowerLetter"/>
      <w:lvlText w:val="%2."/>
      <w:lvlJc w:val="left"/>
      <w:pPr>
        <w:ind w:left="1791" w:hanging="360"/>
      </w:pPr>
    </w:lvl>
    <w:lvl w:ilvl="2" w:tplc="040C001B" w:tentative="1">
      <w:start w:val="1"/>
      <w:numFmt w:val="lowerRoman"/>
      <w:lvlText w:val="%3."/>
      <w:lvlJc w:val="right"/>
      <w:pPr>
        <w:ind w:left="2511" w:hanging="180"/>
      </w:pPr>
    </w:lvl>
    <w:lvl w:ilvl="3" w:tplc="040C000F" w:tentative="1">
      <w:start w:val="1"/>
      <w:numFmt w:val="decimal"/>
      <w:lvlText w:val="%4."/>
      <w:lvlJc w:val="left"/>
      <w:pPr>
        <w:ind w:left="3231" w:hanging="360"/>
      </w:pPr>
    </w:lvl>
    <w:lvl w:ilvl="4" w:tplc="040C0019" w:tentative="1">
      <w:start w:val="1"/>
      <w:numFmt w:val="lowerLetter"/>
      <w:lvlText w:val="%5."/>
      <w:lvlJc w:val="left"/>
      <w:pPr>
        <w:ind w:left="3951" w:hanging="360"/>
      </w:pPr>
    </w:lvl>
    <w:lvl w:ilvl="5" w:tplc="040C001B" w:tentative="1">
      <w:start w:val="1"/>
      <w:numFmt w:val="lowerRoman"/>
      <w:lvlText w:val="%6."/>
      <w:lvlJc w:val="right"/>
      <w:pPr>
        <w:ind w:left="4671" w:hanging="180"/>
      </w:pPr>
    </w:lvl>
    <w:lvl w:ilvl="6" w:tplc="040C000F" w:tentative="1">
      <w:start w:val="1"/>
      <w:numFmt w:val="decimal"/>
      <w:lvlText w:val="%7."/>
      <w:lvlJc w:val="left"/>
      <w:pPr>
        <w:ind w:left="5391" w:hanging="360"/>
      </w:pPr>
    </w:lvl>
    <w:lvl w:ilvl="7" w:tplc="040C0019" w:tentative="1">
      <w:start w:val="1"/>
      <w:numFmt w:val="lowerLetter"/>
      <w:lvlText w:val="%8."/>
      <w:lvlJc w:val="left"/>
      <w:pPr>
        <w:ind w:left="6111" w:hanging="360"/>
      </w:pPr>
    </w:lvl>
    <w:lvl w:ilvl="8" w:tplc="040C001B" w:tentative="1">
      <w:start w:val="1"/>
      <w:numFmt w:val="lowerRoman"/>
      <w:lvlText w:val="%9."/>
      <w:lvlJc w:val="right"/>
      <w:pPr>
        <w:ind w:left="6831" w:hanging="180"/>
      </w:pPr>
    </w:lvl>
  </w:abstractNum>
  <w:abstractNum w:abstractNumId="10" w15:restartNumberingAfterBreak="0">
    <w:nsid w:val="35E95989"/>
    <w:multiLevelType w:val="hybridMultilevel"/>
    <w:tmpl w:val="DDBAB494"/>
    <w:lvl w:ilvl="0" w:tplc="000E834E">
      <w:start w:val="1"/>
      <w:numFmt w:val="decimal"/>
      <w:lvlText w:val="%1."/>
      <w:lvlJc w:val="left"/>
      <w:pPr>
        <w:ind w:left="502"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B628B8"/>
    <w:multiLevelType w:val="multilevel"/>
    <w:tmpl w:val="8788F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9054180"/>
    <w:multiLevelType w:val="hybridMultilevel"/>
    <w:tmpl w:val="0908F740"/>
    <w:lvl w:ilvl="0" w:tplc="040C0001">
      <w:start w:val="1"/>
      <w:numFmt w:val="bullet"/>
      <w:lvlText w:val=""/>
      <w:lvlJc w:val="left"/>
      <w:pPr>
        <w:ind w:left="1431" w:hanging="360"/>
      </w:pPr>
      <w:rPr>
        <w:rFonts w:ascii="Symbol" w:hAnsi="Symbol" w:hint="default"/>
      </w:rPr>
    </w:lvl>
    <w:lvl w:ilvl="1" w:tplc="040C0019" w:tentative="1">
      <w:start w:val="1"/>
      <w:numFmt w:val="lowerLetter"/>
      <w:lvlText w:val="%2."/>
      <w:lvlJc w:val="left"/>
      <w:pPr>
        <w:ind w:left="2151" w:hanging="360"/>
      </w:pPr>
    </w:lvl>
    <w:lvl w:ilvl="2" w:tplc="040C001B" w:tentative="1">
      <w:start w:val="1"/>
      <w:numFmt w:val="lowerRoman"/>
      <w:lvlText w:val="%3."/>
      <w:lvlJc w:val="right"/>
      <w:pPr>
        <w:ind w:left="2871" w:hanging="180"/>
      </w:pPr>
    </w:lvl>
    <w:lvl w:ilvl="3" w:tplc="040C000F" w:tentative="1">
      <w:start w:val="1"/>
      <w:numFmt w:val="decimal"/>
      <w:lvlText w:val="%4."/>
      <w:lvlJc w:val="left"/>
      <w:pPr>
        <w:ind w:left="3591" w:hanging="360"/>
      </w:pPr>
    </w:lvl>
    <w:lvl w:ilvl="4" w:tplc="040C0019" w:tentative="1">
      <w:start w:val="1"/>
      <w:numFmt w:val="lowerLetter"/>
      <w:lvlText w:val="%5."/>
      <w:lvlJc w:val="left"/>
      <w:pPr>
        <w:ind w:left="4311" w:hanging="360"/>
      </w:pPr>
    </w:lvl>
    <w:lvl w:ilvl="5" w:tplc="040C001B" w:tentative="1">
      <w:start w:val="1"/>
      <w:numFmt w:val="lowerRoman"/>
      <w:lvlText w:val="%6."/>
      <w:lvlJc w:val="right"/>
      <w:pPr>
        <w:ind w:left="5031" w:hanging="180"/>
      </w:pPr>
    </w:lvl>
    <w:lvl w:ilvl="6" w:tplc="040C000F" w:tentative="1">
      <w:start w:val="1"/>
      <w:numFmt w:val="decimal"/>
      <w:lvlText w:val="%7."/>
      <w:lvlJc w:val="left"/>
      <w:pPr>
        <w:ind w:left="5751" w:hanging="360"/>
      </w:pPr>
    </w:lvl>
    <w:lvl w:ilvl="7" w:tplc="040C0019" w:tentative="1">
      <w:start w:val="1"/>
      <w:numFmt w:val="lowerLetter"/>
      <w:lvlText w:val="%8."/>
      <w:lvlJc w:val="left"/>
      <w:pPr>
        <w:ind w:left="6471" w:hanging="360"/>
      </w:pPr>
    </w:lvl>
    <w:lvl w:ilvl="8" w:tplc="040C001B" w:tentative="1">
      <w:start w:val="1"/>
      <w:numFmt w:val="lowerRoman"/>
      <w:lvlText w:val="%9."/>
      <w:lvlJc w:val="right"/>
      <w:pPr>
        <w:ind w:left="7191" w:hanging="180"/>
      </w:pPr>
    </w:lvl>
  </w:abstractNum>
  <w:abstractNum w:abstractNumId="13" w15:restartNumberingAfterBreak="0">
    <w:nsid w:val="3D66367C"/>
    <w:multiLevelType w:val="hybridMultilevel"/>
    <w:tmpl w:val="E0E2EEE2"/>
    <w:lvl w:ilvl="0" w:tplc="040C0001">
      <w:start w:val="1"/>
      <w:numFmt w:val="bullet"/>
      <w:lvlText w:val=""/>
      <w:lvlJc w:val="left"/>
      <w:pPr>
        <w:ind w:left="1644" w:hanging="360"/>
      </w:pPr>
      <w:rPr>
        <w:rFonts w:ascii="Symbol" w:hAnsi="Symbol" w:hint="default"/>
      </w:rPr>
    </w:lvl>
    <w:lvl w:ilvl="1" w:tplc="040C0003" w:tentative="1">
      <w:start w:val="1"/>
      <w:numFmt w:val="bullet"/>
      <w:lvlText w:val="o"/>
      <w:lvlJc w:val="left"/>
      <w:pPr>
        <w:ind w:left="2364" w:hanging="360"/>
      </w:pPr>
      <w:rPr>
        <w:rFonts w:ascii="Courier New" w:hAnsi="Courier New" w:cs="Courier New" w:hint="default"/>
      </w:rPr>
    </w:lvl>
    <w:lvl w:ilvl="2" w:tplc="040C0005" w:tentative="1">
      <w:start w:val="1"/>
      <w:numFmt w:val="bullet"/>
      <w:lvlText w:val=""/>
      <w:lvlJc w:val="left"/>
      <w:pPr>
        <w:ind w:left="3084" w:hanging="360"/>
      </w:pPr>
      <w:rPr>
        <w:rFonts w:ascii="Wingdings" w:hAnsi="Wingdings" w:hint="default"/>
      </w:rPr>
    </w:lvl>
    <w:lvl w:ilvl="3" w:tplc="040C0001" w:tentative="1">
      <w:start w:val="1"/>
      <w:numFmt w:val="bullet"/>
      <w:lvlText w:val=""/>
      <w:lvlJc w:val="left"/>
      <w:pPr>
        <w:ind w:left="3804" w:hanging="360"/>
      </w:pPr>
      <w:rPr>
        <w:rFonts w:ascii="Symbol" w:hAnsi="Symbol" w:hint="default"/>
      </w:rPr>
    </w:lvl>
    <w:lvl w:ilvl="4" w:tplc="040C0003" w:tentative="1">
      <w:start w:val="1"/>
      <w:numFmt w:val="bullet"/>
      <w:lvlText w:val="o"/>
      <w:lvlJc w:val="left"/>
      <w:pPr>
        <w:ind w:left="4524" w:hanging="360"/>
      </w:pPr>
      <w:rPr>
        <w:rFonts w:ascii="Courier New" w:hAnsi="Courier New" w:cs="Courier New" w:hint="default"/>
      </w:rPr>
    </w:lvl>
    <w:lvl w:ilvl="5" w:tplc="040C0005" w:tentative="1">
      <w:start w:val="1"/>
      <w:numFmt w:val="bullet"/>
      <w:lvlText w:val=""/>
      <w:lvlJc w:val="left"/>
      <w:pPr>
        <w:ind w:left="5244" w:hanging="360"/>
      </w:pPr>
      <w:rPr>
        <w:rFonts w:ascii="Wingdings" w:hAnsi="Wingdings" w:hint="default"/>
      </w:rPr>
    </w:lvl>
    <w:lvl w:ilvl="6" w:tplc="040C0001" w:tentative="1">
      <w:start w:val="1"/>
      <w:numFmt w:val="bullet"/>
      <w:lvlText w:val=""/>
      <w:lvlJc w:val="left"/>
      <w:pPr>
        <w:ind w:left="5964" w:hanging="360"/>
      </w:pPr>
      <w:rPr>
        <w:rFonts w:ascii="Symbol" w:hAnsi="Symbol" w:hint="default"/>
      </w:rPr>
    </w:lvl>
    <w:lvl w:ilvl="7" w:tplc="040C0003" w:tentative="1">
      <w:start w:val="1"/>
      <w:numFmt w:val="bullet"/>
      <w:lvlText w:val="o"/>
      <w:lvlJc w:val="left"/>
      <w:pPr>
        <w:ind w:left="6684" w:hanging="360"/>
      </w:pPr>
      <w:rPr>
        <w:rFonts w:ascii="Courier New" w:hAnsi="Courier New" w:cs="Courier New" w:hint="default"/>
      </w:rPr>
    </w:lvl>
    <w:lvl w:ilvl="8" w:tplc="040C0005" w:tentative="1">
      <w:start w:val="1"/>
      <w:numFmt w:val="bullet"/>
      <w:lvlText w:val=""/>
      <w:lvlJc w:val="left"/>
      <w:pPr>
        <w:ind w:left="7404" w:hanging="360"/>
      </w:pPr>
      <w:rPr>
        <w:rFonts w:ascii="Wingdings" w:hAnsi="Wingdings" w:hint="default"/>
      </w:rPr>
    </w:lvl>
  </w:abstractNum>
  <w:abstractNum w:abstractNumId="14" w15:restartNumberingAfterBreak="0">
    <w:nsid w:val="428D5BD4"/>
    <w:multiLevelType w:val="hybridMultilevel"/>
    <w:tmpl w:val="4EE072E4"/>
    <w:lvl w:ilvl="0" w:tplc="0409000D">
      <w:start w:val="1"/>
      <w:numFmt w:val="bullet"/>
      <w:lvlText w:val=""/>
      <w:lvlJc w:val="left"/>
      <w:pPr>
        <w:ind w:left="644" w:hanging="360"/>
      </w:pPr>
      <w:rPr>
        <w:rFonts w:ascii="Wingdings" w:hAnsi="Wingdings"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435426FE"/>
    <w:multiLevelType w:val="hybridMultilevel"/>
    <w:tmpl w:val="DDBAB494"/>
    <w:lvl w:ilvl="0" w:tplc="000E834E">
      <w:start w:val="1"/>
      <w:numFmt w:val="decimal"/>
      <w:lvlText w:val="%1."/>
      <w:lvlJc w:val="left"/>
      <w:pPr>
        <w:ind w:left="502"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3C3CF9"/>
    <w:multiLevelType w:val="hybridMultilevel"/>
    <w:tmpl w:val="F456235E"/>
    <w:lvl w:ilvl="0" w:tplc="D430CDE8">
      <w:start w:val="2"/>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48245A99"/>
    <w:multiLevelType w:val="hybridMultilevel"/>
    <w:tmpl w:val="9E222C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88A274F"/>
    <w:multiLevelType w:val="hybridMultilevel"/>
    <w:tmpl w:val="9DAEBABA"/>
    <w:lvl w:ilvl="0" w:tplc="040C0001">
      <w:start w:val="1"/>
      <w:numFmt w:val="bullet"/>
      <w:lvlText w:val=""/>
      <w:lvlJc w:val="left"/>
      <w:pPr>
        <w:ind w:left="1431" w:hanging="360"/>
      </w:pPr>
      <w:rPr>
        <w:rFonts w:ascii="Symbol" w:hAnsi="Symbol" w:hint="default"/>
      </w:rPr>
    </w:lvl>
    <w:lvl w:ilvl="1" w:tplc="040C0019" w:tentative="1">
      <w:start w:val="1"/>
      <w:numFmt w:val="lowerLetter"/>
      <w:lvlText w:val="%2."/>
      <w:lvlJc w:val="left"/>
      <w:pPr>
        <w:ind w:left="2151" w:hanging="360"/>
      </w:pPr>
    </w:lvl>
    <w:lvl w:ilvl="2" w:tplc="040C001B" w:tentative="1">
      <w:start w:val="1"/>
      <w:numFmt w:val="lowerRoman"/>
      <w:lvlText w:val="%3."/>
      <w:lvlJc w:val="right"/>
      <w:pPr>
        <w:ind w:left="2871" w:hanging="180"/>
      </w:pPr>
    </w:lvl>
    <w:lvl w:ilvl="3" w:tplc="040C000F" w:tentative="1">
      <w:start w:val="1"/>
      <w:numFmt w:val="decimal"/>
      <w:lvlText w:val="%4."/>
      <w:lvlJc w:val="left"/>
      <w:pPr>
        <w:ind w:left="3591" w:hanging="360"/>
      </w:pPr>
    </w:lvl>
    <w:lvl w:ilvl="4" w:tplc="040C0019" w:tentative="1">
      <w:start w:val="1"/>
      <w:numFmt w:val="lowerLetter"/>
      <w:lvlText w:val="%5."/>
      <w:lvlJc w:val="left"/>
      <w:pPr>
        <w:ind w:left="4311" w:hanging="360"/>
      </w:pPr>
    </w:lvl>
    <w:lvl w:ilvl="5" w:tplc="040C001B" w:tentative="1">
      <w:start w:val="1"/>
      <w:numFmt w:val="lowerRoman"/>
      <w:lvlText w:val="%6."/>
      <w:lvlJc w:val="right"/>
      <w:pPr>
        <w:ind w:left="5031" w:hanging="180"/>
      </w:pPr>
    </w:lvl>
    <w:lvl w:ilvl="6" w:tplc="040C000F" w:tentative="1">
      <w:start w:val="1"/>
      <w:numFmt w:val="decimal"/>
      <w:lvlText w:val="%7."/>
      <w:lvlJc w:val="left"/>
      <w:pPr>
        <w:ind w:left="5751" w:hanging="360"/>
      </w:pPr>
    </w:lvl>
    <w:lvl w:ilvl="7" w:tplc="040C0019" w:tentative="1">
      <w:start w:val="1"/>
      <w:numFmt w:val="lowerLetter"/>
      <w:lvlText w:val="%8."/>
      <w:lvlJc w:val="left"/>
      <w:pPr>
        <w:ind w:left="6471" w:hanging="360"/>
      </w:pPr>
    </w:lvl>
    <w:lvl w:ilvl="8" w:tplc="040C001B" w:tentative="1">
      <w:start w:val="1"/>
      <w:numFmt w:val="lowerRoman"/>
      <w:lvlText w:val="%9."/>
      <w:lvlJc w:val="right"/>
      <w:pPr>
        <w:ind w:left="7191" w:hanging="180"/>
      </w:pPr>
    </w:lvl>
  </w:abstractNum>
  <w:abstractNum w:abstractNumId="19" w15:restartNumberingAfterBreak="0">
    <w:nsid w:val="4D3237E2"/>
    <w:multiLevelType w:val="hybridMultilevel"/>
    <w:tmpl w:val="0888A6BA"/>
    <w:lvl w:ilvl="0" w:tplc="989868F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4D7663EC"/>
    <w:multiLevelType w:val="hybridMultilevel"/>
    <w:tmpl w:val="268ACB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40E70A4"/>
    <w:multiLevelType w:val="hybridMultilevel"/>
    <w:tmpl w:val="5A5AB208"/>
    <w:lvl w:ilvl="0" w:tplc="D020E096">
      <w:start w:val="1"/>
      <w:numFmt w:val="lowerLetter"/>
      <w:lvlText w:val="%1)"/>
      <w:lvlJc w:val="left"/>
      <w:pPr>
        <w:ind w:left="1071" w:hanging="360"/>
      </w:pPr>
      <w:rPr>
        <w:rFonts w:hint="default"/>
      </w:rPr>
    </w:lvl>
    <w:lvl w:ilvl="1" w:tplc="040C0019" w:tentative="1">
      <w:start w:val="1"/>
      <w:numFmt w:val="lowerLetter"/>
      <w:lvlText w:val="%2."/>
      <w:lvlJc w:val="left"/>
      <w:pPr>
        <w:ind w:left="1791" w:hanging="360"/>
      </w:pPr>
    </w:lvl>
    <w:lvl w:ilvl="2" w:tplc="040C001B" w:tentative="1">
      <w:start w:val="1"/>
      <w:numFmt w:val="lowerRoman"/>
      <w:lvlText w:val="%3."/>
      <w:lvlJc w:val="right"/>
      <w:pPr>
        <w:ind w:left="2511" w:hanging="180"/>
      </w:pPr>
    </w:lvl>
    <w:lvl w:ilvl="3" w:tplc="040C000F" w:tentative="1">
      <w:start w:val="1"/>
      <w:numFmt w:val="decimal"/>
      <w:lvlText w:val="%4."/>
      <w:lvlJc w:val="left"/>
      <w:pPr>
        <w:ind w:left="3231" w:hanging="360"/>
      </w:pPr>
    </w:lvl>
    <w:lvl w:ilvl="4" w:tplc="040C0019" w:tentative="1">
      <w:start w:val="1"/>
      <w:numFmt w:val="lowerLetter"/>
      <w:lvlText w:val="%5."/>
      <w:lvlJc w:val="left"/>
      <w:pPr>
        <w:ind w:left="3951" w:hanging="360"/>
      </w:pPr>
    </w:lvl>
    <w:lvl w:ilvl="5" w:tplc="040C001B" w:tentative="1">
      <w:start w:val="1"/>
      <w:numFmt w:val="lowerRoman"/>
      <w:lvlText w:val="%6."/>
      <w:lvlJc w:val="right"/>
      <w:pPr>
        <w:ind w:left="4671" w:hanging="180"/>
      </w:pPr>
    </w:lvl>
    <w:lvl w:ilvl="6" w:tplc="040C000F" w:tentative="1">
      <w:start w:val="1"/>
      <w:numFmt w:val="decimal"/>
      <w:lvlText w:val="%7."/>
      <w:lvlJc w:val="left"/>
      <w:pPr>
        <w:ind w:left="5391" w:hanging="360"/>
      </w:pPr>
    </w:lvl>
    <w:lvl w:ilvl="7" w:tplc="040C0019" w:tentative="1">
      <w:start w:val="1"/>
      <w:numFmt w:val="lowerLetter"/>
      <w:lvlText w:val="%8."/>
      <w:lvlJc w:val="left"/>
      <w:pPr>
        <w:ind w:left="6111" w:hanging="360"/>
      </w:pPr>
    </w:lvl>
    <w:lvl w:ilvl="8" w:tplc="040C001B" w:tentative="1">
      <w:start w:val="1"/>
      <w:numFmt w:val="lowerRoman"/>
      <w:lvlText w:val="%9."/>
      <w:lvlJc w:val="right"/>
      <w:pPr>
        <w:ind w:left="6831" w:hanging="180"/>
      </w:pPr>
    </w:lvl>
  </w:abstractNum>
  <w:abstractNum w:abstractNumId="22" w15:restartNumberingAfterBreak="0">
    <w:nsid w:val="624958F2"/>
    <w:multiLevelType w:val="hybridMultilevel"/>
    <w:tmpl w:val="177C7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FE7574"/>
    <w:multiLevelType w:val="hybridMultilevel"/>
    <w:tmpl w:val="44AE5D10"/>
    <w:lvl w:ilvl="0" w:tplc="040C000F">
      <w:start w:val="1"/>
      <w:numFmt w:val="decimal"/>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24" w15:restartNumberingAfterBreak="0">
    <w:nsid w:val="68EF75E2"/>
    <w:multiLevelType w:val="hybridMultilevel"/>
    <w:tmpl w:val="B9D83DA4"/>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5" w15:restartNumberingAfterBreak="0">
    <w:nsid w:val="69680997"/>
    <w:multiLevelType w:val="hybridMultilevel"/>
    <w:tmpl w:val="A9E40642"/>
    <w:lvl w:ilvl="0" w:tplc="9D2AF788">
      <w:start w:val="1"/>
      <w:numFmt w:val="lowerLetter"/>
      <w:lvlText w:val="%1)"/>
      <w:lvlJc w:val="left"/>
      <w:pPr>
        <w:ind w:left="1071" w:hanging="360"/>
      </w:pPr>
      <w:rPr>
        <w:rFonts w:hint="default"/>
      </w:rPr>
    </w:lvl>
    <w:lvl w:ilvl="1" w:tplc="040C0019" w:tentative="1">
      <w:start w:val="1"/>
      <w:numFmt w:val="lowerLetter"/>
      <w:lvlText w:val="%2."/>
      <w:lvlJc w:val="left"/>
      <w:pPr>
        <w:ind w:left="1791" w:hanging="360"/>
      </w:pPr>
    </w:lvl>
    <w:lvl w:ilvl="2" w:tplc="040C001B" w:tentative="1">
      <w:start w:val="1"/>
      <w:numFmt w:val="lowerRoman"/>
      <w:lvlText w:val="%3."/>
      <w:lvlJc w:val="right"/>
      <w:pPr>
        <w:ind w:left="2511" w:hanging="180"/>
      </w:pPr>
    </w:lvl>
    <w:lvl w:ilvl="3" w:tplc="040C000F" w:tentative="1">
      <w:start w:val="1"/>
      <w:numFmt w:val="decimal"/>
      <w:lvlText w:val="%4."/>
      <w:lvlJc w:val="left"/>
      <w:pPr>
        <w:ind w:left="3231" w:hanging="360"/>
      </w:pPr>
    </w:lvl>
    <w:lvl w:ilvl="4" w:tplc="040C0019" w:tentative="1">
      <w:start w:val="1"/>
      <w:numFmt w:val="lowerLetter"/>
      <w:lvlText w:val="%5."/>
      <w:lvlJc w:val="left"/>
      <w:pPr>
        <w:ind w:left="3951" w:hanging="360"/>
      </w:pPr>
    </w:lvl>
    <w:lvl w:ilvl="5" w:tplc="040C001B" w:tentative="1">
      <w:start w:val="1"/>
      <w:numFmt w:val="lowerRoman"/>
      <w:lvlText w:val="%6."/>
      <w:lvlJc w:val="right"/>
      <w:pPr>
        <w:ind w:left="4671" w:hanging="180"/>
      </w:pPr>
    </w:lvl>
    <w:lvl w:ilvl="6" w:tplc="040C000F" w:tentative="1">
      <w:start w:val="1"/>
      <w:numFmt w:val="decimal"/>
      <w:lvlText w:val="%7."/>
      <w:lvlJc w:val="left"/>
      <w:pPr>
        <w:ind w:left="5391" w:hanging="360"/>
      </w:pPr>
    </w:lvl>
    <w:lvl w:ilvl="7" w:tplc="040C0019" w:tentative="1">
      <w:start w:val="1"/>
      <w:numFmt w:val="lowerLetter"/>
      <w:lvlText w:val="%8."/>
      <w:lvlJc w:val="left"/>
      <w:pPr>
        <w:ind w:left="6111" w:hanging="360"/>
      </w:pPr>
    </w:lvl>
    <w:lvl w:ilvl="8" w:tplc="040C001B" w:tentative="1">
      <w:start w:val="1"/>
      <w:numFmt w:val="lowerRoman"/>
      <w:lvlText w:val="%9."/>
      <w:lvlJc w:val="right"/>
      <w:pPr>
        <w:ind w:left="6831" w:hanging="180"/>
      </w:pPr>
    </w:lvl>
  </w:abstractNum>
  <w:abstractNum w:abstractNumId="26" w15:restartNumberingAfterBreak="0">
    <w:nsid w:val="6B3A5063"/>
    <w:multiLevelType w:val="hybridMultilevel"/>
    <w:tmpl w:val="18EC89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D343389"/>
    <w:multiLevelType w:val="hybridMultilevel"/>
    <w:tmpl w:val="B9D83DA4"/>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8" w15:restartNumberingAfterBreak="0">
    <w:nsid w:val="70996BD1"/>
    <w:multiLevelType w:val="hybridMultilevel"/>
    <w:tmpl w:val="3E720E60"/>
    <w:lvl w:ilvl="0" w:tplc="1D489C3C">
      <w:start w:val="1"/>
      <w:numFmt w:val="decimal"/>
      <w:lvlText w:val="%1."/>
      <w:lvlJc w:val="left"/>
      <w:pPr>
        <w:ind w:left="711" w:hanging="360"/>
      </w:pPr>
      <w:rPr>
        <w:rFonts w:hint="default"/>
      </w:rPr>
    </w:lvl>
    <w:lvl w:ilvl="1" w:tplc="040C0019">
      <w:start w:val="1"/>
      <w:numFmt w:val="lowerLetter"/>
      <w:lvlText w:val="%2."/>
      <w:lvlJc w:val="left"/>
      <w:pPr>
        <w:ind w:left="1431" w:hanging="360"/>
      </w:pPr>
    </w:lvl>
    <w:lvl w:ilvl="2" w:tplc="040C001B" w:tentative="1">
      <w:start w:val="1"/>
      <w:numFmt w:val="lowerRoman"/>
      <w:lvlText w:val="%3."/>
      <w:lvlJc w:val="right"/>
      <w:pPr>
        <w:ind w:left="2151" w:hanging="180"/>
      </w:pPr>
    </w:lvl>
    <w:lvl w:ilvl="3" w:tplc="040C000F" w:tentative="1">
      <w:start w:val="1"/>
      <w:numFmt w:val="decimal"/>
      <w:lvlText w:val="%4."/>
      <w:lvlJc w:val="left"/>
      <w:pPr>
        <w:ind w:left="2871" w:hanging="360"/>
      </w:pPr>
    </w:lvl>
    <w:lvl w:ilvl="4" w:tplc="040C0019" w:tentative="1">
      <w:start w:val="1"/>
      <w:numFmt w:val="lowerLetter"/>
      <w:lvlText w:val="%5."/>
      <w:lvlJc w:val="left"/>
      <w:pPr>
        <w:ind w:left="3591" w:hanging="360"/>
      </w:pPr>
    </w:lvl>
    <w:lvl w:ilvl="5" w:tplc="040C001B" w:tentative="1">
      <w:start w:val="1"/>
      <w:numFmt w:val="lowerRoman"/>
      <w:lvlText w:val="%6."/>
      <w:lvlJc w:val="right"/>
      <w:pPr>
        <w:ind w:left="4311" w:hanging="180"/>
      </w:pPr>
    </w:lvl>
    <w:lvl w:ilvl="6" w:tplc="040C000F" w:tentative="1">
      <w:start w:val="1"/>
      <w:numFmt w:val="decimal"/>
      <w:lvlText w:val="%7."/>
      <w:lvlJc w:val="left"/>
      <w:pPr>
        <w:ind w:left="5031" w:hanging="360"/>
      </w:pPr>
    </w:lvl>
    <w:lvl w:ilvl="7" w:tplc="040C0019" w:tentative="1">
      <w:start w:val="1"/>
      <w:numFmt w:val="lowerLetter"/>
      <w:lvlText w:val="%8."/>
      <w:lvlJc w:val="left"/>
      <w:pPr>
        <w:ind w:left="5751" w:hanging="360"/>
      </w:pPr>
    </w:lvl>
    <w:lvl w:ilvl="8" w:tplc="040C001B" w:tentative="1">
      <w:start w:val="1"/>
      <w:numFmt w:val="lowerRoman"/>
      <w:lvlText w:val="%9."/>
      <w:lvlJc w:val="right"/>
      <w:pPr>
        <w:ind w:left="6471" w:hanging="180"/>
      </w:pPr>
    </w:lvl>
  </w:abstractNum>
  <w:abstractNum w:abstractNumId="29" w15:restartNumberingAfterBreak="0">
    <w:nsid w:val="71F22C40"/>
    <w:multiLevelType w:val="hybridMultilevel"/>
    <w:tmpl w:val="E0B4D4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8C031CF"/>
    <w:multiLevelType w:val="multilevel"/>
    <w:tmpl w:val="39909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9AB679B"/>
    <w:multiLevelType w:val="hybridMultilevel"/>
    <w:tmpl w:val="BFD87B7C"/>
    <w:lvl w:ilvl="0" w:tplc="E2A69684">
      <w:start w:val="1"/>
      <w:numFmt w:val="upperRoman"/>
      <w:lvlText w:val="%1."/>
      <w:lvlJc w:val="left"/>
      <w:pPr>
        <w:ind w:left="363" w:hanging="720"/>
      </w:pPr>
      <w:rPr>
        <w:rFonts w:hint="default"/>
        <w:b/>
        <w:bCs/>
      </w:rPr>
    </w:lvl>
    <w:lvl w:ilvl="1" w:tplc="040C0019">
      <w:start w:val="1"/>
      <w:numFmt w:val="lowerLetter"/>
      <w:lvlText w:val="%2."/>
      <w:lvlJc w:val="left"/>
      <w:pPr>
        <w:ind w:left="723" w:hanging="360"/>
      </w:pPr>
    </w:lvl>
    <w:lvl w:ilvl="2" w:tplc="040C001B" w:tentative="1">
      <w:start w:val="1"/>
      <w:numFmt w:val="lowerRoman"/>
      <w:lvlText w:val="%3."/>
      <w:lvlJc w:val="right"/>
      <w:pPr>
        <w:ind w:left="1443" w:hanging="180"/>
      </w:pPr>
    </w:lvl>
    <w:lvl w:ilvl="3" w:tplc="040C000F" w:tentative="1">
      <w:start w:val="1"/>
      <w:numFmt w:val="decimal"/>
      <w:lvlText w:val="%4."/>
      <w:lvlJc w:val="left"/>
      <w:pPr>
        <w:ind w:left="2163" w:hanging="360"/>
      </w:pPr>
    </w:lvl>
    <w:lvl w:ilvl="4" w:tplc="040C0019" w:tentative="1">
      <w:start w:val="1"/>
      <w:numFmt w:val="lowerLetter"/>
      <w:lvlText w:val="%5."/>
      <w:lvlJc w:val="left"/>
      <w:pPr>
        <w:ind w:left="2883" w:hanging="360"/>
      </w:pPr>
    </w:lvl>
    <w:lvl w:ilvl="5" w:tplc="040C001B" w:tentative="1">
      <w:start w:val="1"/>
      <w:numFmt w:val="lowerRoman"/>
      <w:lvlText w:val="%6."/>
      <w:lvlJc w:val="right"/>
      <w:pPr>
        <w:ind w:left="3603" w:hanging="180"/>
      </w:pPr>
    </w:lvl>
    <w:lvl w:ilvl="6" w:tplc="040C000F" w:tentative="1">
      <w:start w:val="1"/>
      <w:numFmt w:val="decimal"/>
      <w:lvlText w:val="%7."/>
      <w:lvlJc w:val="left"/>
      <w:pPr>
        <w:ind w:left="4323" w:hanging="360"/>
      </w:pPr>
    </w:lvl>
    <w:lvl w:ilvl="7" w:tplc="040C0019" w:tentative="1">
      <w:start w:val="1"/>
      <w:numFmt w:val="lowerLetter"/>
      <w:lvlText w:val="%8."/>
      <w:lvlJc w:val="left"/>
      <w:pPr>
        <w:ind w:left="5043" w:hanging="360"/>
      </w:pPr>
    </w:lvl>
    <w:lvl w:ilvl="8" w:tplc="040C001B" w:tentative="1">
      <w:start w:val="1"/>
      <w:numFmt w:val="lowerRoman"/>
      <w:lvlText w:val="%9."/>
      <w:lvlJc w:val="right"/>
      <w:pPr>
        <w:ind w:left="5763" w:hanging="180"/>
      </w:pPr>
    </w:lvl>
  </w:abstractNum>
  <w:abstractNum w:abstractNumId="32" w15:restartNumberingAfterBreak="0">
    <w:nsid w:val="7D47683F"/>
    <w:multiLevelType w:val="hybridMultilevel"/>
    <w:tmpl w:val="42867776"/>
    <w:lvl w:ilvl="0" w:tplc="C806021A">
      <w:start w:val="1"/>
      <w:numFmt w:val="decimal"/>
      <w:lvlText w:val="%1."/>
      <w:lvlJc w:val="left"/>
      <w:pPr>
        <w:ind w:left="644" w:hanging="360"/>
      </w:pPr>
      <w:rPr>
        <w:rFonts w:ascii="Times New Roman" w:eastAsia="ヒラギノ角ゴ Pro W3" w:hAnsi="Times New Roman" w:cs="Times New Roman"/>
        <w:b w:val="0"/>
        <w:sz w:val="24"/>
        <w:szCs w:val="24"/>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3" w15:restartNumberingAfterBreak="0">
    <w:nsid w:val="7EFC6675"/>
    <w:multiLevelType w:val="hybridMultilevel"/>
    <w:tmpl w:val="4078A448"/>
    <w:lvl w:ilvl="0" w:tplc="A72243D2">
      <w:start w:val="1"/>
      <w:numFmt w:val="lowerLetter"/>
      <w:lvlText w:val="%1)"/>
      <w:lvlJc w:val="left"/>
      <w:pPr>
        <w:ind w:left="1071" w:hanging="360"/>
      </w:pPr>
      <w:rPr>
        <w:rFonts w:hint="default"/>
      </w:rPr>
    </w:lvl>
    <w:lvl w:ilvl="1" w:tplc="040C0019">
      <w:start w:val="1"/>
      <w:numFmt w:val="lowerLetter"/>
      <w:lvlText w:val="%2."/>
      <w:lvlJc w:val="left"/>
      <w:pPr>
        <w:ind w:left="1791" w:hanging="360"/>
      </w:pPr>
    </w:lvl>
    <w:lvl w:ilvl="2" w:tplc="040C001B" w:tentative="1">
      <w:start w:val="1"/>
      <w:numFmt w:val="lowerRoman"/>
      <w:lvlText w:val="%3."/>
      <w:lvlJc w:val="right"/>
      <w:pPr>
        <w:ind w:left="2511" w:hanging="180"/>
      </w:pPr>
    </w:lvl>
    <w:lvl w:ilvl="3" w:tplc="040C000F" w:tentative="1">
      <w:start w:val="1"/>
      <w:numFmt w:val="decimal"/>
      <w:lvlText w:val="%4."/>
      <w:lvlJc w:val="left"/>
      <w:pPr>
        <w:ind w:left="3231" w:hanging="360"/>
      </w:pPr>
    </w:lvl>
    <w:lvl w:ilvl="4" w:tplc="040C0019" w:tentative="1">
      <w:start w:val="1"/>
      <w:numFmt w:val="lowerLetter"/>
      <w:lvlText w:val="%5."/>
      <w:lvlJc w:val="left"/>
      <w:pPr>
        <w:ind w:left="3951" w:hanging="360"/>
      </w:pPr>
    </w:lvl>
    <w:lvl w:ilvl="5" w:tplc="040C001B" w:tentative="1">
      <w:start w:val="1"/>
      <w:numFmt w:val="lowerRoman"/>
      <w:lvlText w:val="%6."/>
      <w:lvlJc w:val="right"/>
      <w:pPr>
        <w:ind w:left="4671" w:hanging="180"/>
      </w:pPr>
    </w:lvl>
    <w:lvl w:ilvl="6" w:tplc="040C000F" w:tentative="1">
      <w:start w:val="1"/>
      <w:numFmt w:val="decimal"/>
      <w:lvlText w:val="%7."/>
      <w:lvlJc w:val="left"/>
      <w:pPr>
        <w:ind w:left="5391" w:hanging="360"/>
      </w:pPr>
    </w:lvl>
    <w:lvl w:ilvl="7" w:tplc="040C0019" w:tentative="1">
      <w:start w:val="1"/>
      <w:numFmt w:val="lowerLetter"/>
      <w:lvlText w:val="%8."/>
      <w:lvlJc w:val="left"/>
      <w:pPr>
        <w:ind w:left="6111" w:hanging="360"/>
      </w:pPr>
    </w:lvl>
    <w:lvl w:ilvl="8" w:tplc="040C001B" w:tentative="1">
      <w:start w:val="1"/>
      <w:numFmt w:val="lowerRoman"/>
      <w:lvlText w:val="%9."/>
      <w:lvlJc w:val="right"/>
      <w:pPr>
        <w:ind w:left="6831" w:hanging="180"/>
      </w:pPr>
    </w:lvl>
  </w:abstractNum>
  <w:num w:numId="1">
    <w:abstractNumId w:val="29"/>
  </w:num>
  <w:num w:numId="2">
    <w:abstractNumId w:val="10"/>
  </w:num>
  <w:num w:numId="3">
    <w:abstractNumId w:val="28"/>
  </w:num>
  <w:num w:numId="4">
    <w:abstractNumId w:val="9"/>
  </w:num>
  <w:num w:numId="5">
    <w:abstractNumId w:val="25"/>
  </w:num>
  <w:num w:numId="6">
    <w:abstractNumId w:val="21"/>
  </w:num>
  <w:num w:numId="7">
    <w:abstractNumId w:val="12"/>
  </w:num>
  <w:num w:numId="8">
    <w:abstractNumId w:val="18"/>
  </w:num>
  <w:num w:numId="9">
    <w:abstractNumId w:val="22"/>
  </w:num>
  <w:num w:numId="10">
    <w:abstractNumId w:val="30"/>
  </w:num>
  <w:num w:numId="11">
    <w:abstractNumId w:val="11"/>
  </w:num>
  <w:num w:numId="12">
    <w:abstractNumId w:val="33"/>
  </w:num>
  <w:num w:numId="13">
    <w:abstractNumId w:val="13"/>
  </w:num>
  <w:num w:numId="14">
    <w:abstractNumId w:val="17"/>
  </w:num>
  <w:num w:numId="15">
    <w:abstractNumId w:val="8"/>
  </w:num>
  <w:num w:numId="16">
    <w:abstractNumId w:val="6"/>
  </w:num>
  <w:num w:numId="17">
    <w:abstractNumId w:val="20"/>
  </w:num>
  <w:num w:numId="18">
    <w:abstractNumId w:val="14"/>
  </w:num>
  <w:num w:numId="19">
    <w:abstractNumId w:val="31"/>
  </w:num>
  <w:num w:numId="20">
    <w:abstractNumId w:val="27"/>
  </w:num>
  <w:num w:numId="21">
    <w:abstractNumId w:val="2"/>
  </w:num>
  <w:num w:numId="22">
    <w:abstractNumId w:val="24"/>
  </w:num>
  <w:num w:numId="23">
    <w:abstractNumId w:val="1"/>
  </w:num>
  <w:num w:numId="24">
    <w:abstractNumId w:val="7"/>
  </w:num>
  <w:num w:numId="25">
    <w:abstractNumId w:val="19"/>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4"/>
  </w:num>
  <w:num w:numId="29">
    <w:abstractNumId w:val="26"/>
  </w:num>
  <w:num w:numId="30">
    <w:abstractNumId w:val="16"/>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0"/>
  </w:num>
  <w:num w:numId="34">
    <w:abstractNumId w:val="5"/>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C05"/>
    <w:rsid w:val="000028CA"/>
    <w:rsid w:val="00005641"/>
    <w:rsid w:val="00006F57"/>
    <w:rsid w:val="00007A82"/>
    <w:rsid w:val="000105A0"/>
    <w:rsid w:val="00010946"/>
    <w:rsid w:val="00011832"/>
    <w:rsid w:val="000125B0"/>
    <w:rsid w:val="000130EA"/>
    <w:rsid w:val="0001401D"/>
    <w:rsid w:val="00014D8F"/>
    <w:rsid w:val="000156F8"/>
    <w:rsid w:val="0001631C"/>
    <w:rsid w:val="000202D2"/>
    <w:rsid w:val="000232A7"/>
    <w:rsid w:val="00023E6A"/>
    <w:rsid w:val="00024A36"/>
    <w:rsid w:val="00025893"/>
    <w:rsid w:val="00025919"/>
    <w:rsid w:val="00027A13"/>
    <w:rsid w:val="00030188"/>
    <w:rsid w:val="0003055A"/>
    <w:rsid w:val="00034823"/>
    <w:rsid w:val="000350DD"/>
    <w:rsid w:val="0003583E"/>
    <w:rsid w:val="00037FD3"/>
    <w:rsid w:val="0004078A"/>
    <w:rsid w:val="00047E1B"/>
    <w:rsid w:val="00051E36"/>
    <w:rsid w:val="0005382C"/>
    <w:rsid w:val="00053F77"/>
    <w:rsid w:val="00054D6C"/>
    <w:rsid w:val="00055578"/>
    <w:rsid w:val="000556EA"/>
    <w:rsid w:val="00055897"/>
    <w:rsid w:val="000576D2"/>
    <w:rsid w:val="000576D6"/>
    <w:rsid w:val="00062919"/>
    <w:rsid w:val="000638BC"/>
    <w:rsid w:val="000710F0"/>
    <w:rsid w:val="000725B6"/>
    <w:rsid w:val="000750CF"/>
    <w:rsid w:val="0007586D"/>
    <w:rsid w:val="0008096C"/>
    <w:rsid w:val="00084EE8"/>
    <w:rsid w:val="000908F7"/>
    <w:rsid w:val="00091AE6"/>
    <w:rsid w:val="00091BC7"/>
    <w:rsid w:val="00094428"/>
    <w:rsid w:val="000967A3"/>
    <w:rsid w:val="000A0A7C"/>
    <w:rsid w:val="000A52F9"/>
    <w:rsid w:val="000A62CF"/>
    <w:rsid w:val="000A6EA4"/>
    <w:rsid w:val="000B05CC"/>
    <w:rsid w:val="000B0C37"/>
    <w:rsid w:val="000B0E9A"/>
    <w:rsid w:val="000B1DCA"/>
    <w:rsid w:val="000B421D"/>
    <w:rsid w:val="000B4331"/>
    <w:rsid w:val="000B57A0"/>
    <w:rsid w:val="000B60D3"/>
    <w:rsid w:val="000B6464"/>
    <w:rsid w:val="000B691B"/>
    <w:rsid w:val="000C0B29"/>
    <w:rsid w:val="000C37C4"/>
    <w:rsid w:val="000C3B22"/>
    <w:rsid w:val="000C520A"/>
    <w:rsid w:val="000C5C93"/>
    <w:rsid w:val="000C6A45"/>
    <w:rsid w:val="000C785F"/>
    <w:rsid w:val="000C7912"/>
    <w:rsid w:val="000D2203"/>
    <w:rsid w:val="000D56F0"/>
    <w:rsid w:val="000E0C03"/>
    <w:rsid w:val="000E3AFF"/>
    <w:rsid w:val="000F1C79"/>
    <w:rsid w:val="000F2862"/>
    <w:rsid w:val="000F5AFD"/>
    <w:rsid w:val="000F5DB3"/>
    <w:rsid w:val="000F64BE"/>
    <w:rsid w:val="001026F4"/>
    <w:rsid w:val="00103F0B"/>
    <w:rsid w:val="001047BC"/>
    <w:rsid w:val="00105A1F"/>
    <w:rsid w:val="00106EE9"/>
    <w:rsid w:val="00110703"/>
    <w:rsid w:val="00110EEF"/>
    <w:rsid w:val="001118C1"/>
    <w:rsid w:val="00112D12"/>
    <w:rsid w:val="0011717C"/>
    <w:rsid w:val="00121988"/>
    <w:rsid w:val="00121BE4"/>
    <w:rsid w:val="00121E7F"/>
    <w:rsid w:val="00123C47"/>
    <w:rsid w:val="001264A5"/>
    <w:rsid w:val="00130C33"/>
    <w:rsid w:val="00134AC5"/>
    <w:rsid w:val="00135823"/>
    <w:rsid w:val="00135A9B"/>
    <w:rsid w:val="00135B4E"/>
    <w:rsid w:val="001414C9"/>
    <w:rsid w:val="00142B56"/>
    <w:rsid w:val="00142CAA"/>
    <w:rsid w:val="00143DC1"/>
    <w:rsid w:val="0014780E"/>
    <w:rsid w:val="00151325"/>
    <w:rsid w:val="00152C84"/>
    <w:rsid w:val="00154E12"/>
    <w:rsid w:val="0015531A"/>
    <w:rsid w:val="001578DC"/>
    <w:rsid w:val="00157B02"/>
    <w:rsid w:val="00157C23"/>
    <w:rsid w:val="00160067"/>
    <w:rsid w:val="00161DCD"/>
    <w:rsid w:val="0016251E"/>
    <w:rsid w:val="001655B3"/>
    <w:rsid w:val="001667E0"/>
    <w:rsid w:val="00166912"/>
    <w:rsid w:val="00167E19"/>
    <w:rsid w:val="00175D10"/>
    <w:rsid w:val="001808B1"/>
    <w:rsid w:val="00180E23"/>
    <w:rsid w:val="00182A94"/>
    <w:rsid w:val="001921EC"/>
    <w:rsid w:val="00194464"/>
    <w:rsid w:val="00194DD6"/>
    <w:rsid w:val="00196A91"/>
    <w:rsid w:val="001A0E4C"/>
    <w:rsid w:val="001A2834"/>
    <w:rsid w:val="001A3861"/>
    <w:rsid w:val="001A3DDF"/>
    <w:rsid w:val="001A4020"/>
    <w:rsid w:val="001A480E"/>
    <w:rsid w:val="001A7208"/>
    <w:rsid w:val="001B0CD9"/>
    <w:rsid w:val="001B5073"/>
    <w:rsid w:val="001B5D8F"/>
    <w:rsid w:val="001B7711"/>
    <w:rsid w:val="001B7ACB"/>
    <w:rsid w:val="001C1E1B"/>
    <w:rsid w:val="001C3F0A"/>
    <w:rsid w:val="001C4E56"/>
    <w:rsid w:val="001C589B"/>
    <w:rsid w:val="001D0D75"/>
    <w:rsid w:val="001D2CF0"/>
    <w:rsid w:val="001D4460"/>
    <w:rsid w:val="001D4610"/>
    <w:rsid w:val="001E08AB"/>
    <w:rsid w:val="001E192E"/>
    <w:rsid w:val="001E22A3"/>
    <w:rsid w:val="001E2B82"/>
    <w:rsid w:val="001E573C"/>
    <w:rsid w:val="001F2C95"/>
    <w:rsid w:val="00200312"/>
    <w:rsid w:val="00205384"/>
    <w:rsid w:val="0021006F"/>
    <w:rsid w:val="0021146A"/>
    <w:rsid w:val="0021215A"/>
    <w:rsid w:val="00216CEF"/>
    <w:rsid w:val="002179E8"/>
    <w:rsid w:val="00217C66"/>
    <w:rsid w:val="00217DC6"/>
    <w:rsid w:val="00220BD0"/>
    <w:rsid w:val="002227B3"/>
    <w:rsid w:val="0022644C"/>
    <w:rsid w:val="00227E97"/>
    <w:rsid w:val="00230FCA"/>
    <w:rsid w:val="0023495D"/>
    <w:rsid w:val="00235CCC"/>
    <w:rsid w:val="002401FA"/>
    <w:rsid w:val="0024664C"/>
    <w:rsid w:val="00246888"/>
    <w:rsid w:val="00247093"/>
    <w:rsid w:val="00250AEB"/>
    <w:rsid w:val="00253B67"/>
    <w:rsid w:val="00255F8A"/>
    <w:rsid w:val="002565FD"/>
    <w:rsid w:val="00257DB1"/>
    <w:rsid w:val="00260168"/>
    <w:rsid w:val="00260831"/>
    <w:rsid w:val="002612AE"/>
    <w:rsid w:val="0026145D"/>
    <w:rsid w:val="00261C50"/>
    <w:rsid w:val="00265568"/>
    <w:rsid w:val="00267355"/>
    <w:rsid w:val="00267A6D"/>
    <w:rsid w:val="002712AE"/>
    <w:rsid w:val="00271598"/>
    <w:rsid w:val="00271605"/>
    <w:rsid w:val="00275CBD"/>
    <w:rsid w:val="00276F66"/>
    <w:rsid w:val="0028658D"/>
    <w:rsid w:val="00292C16"/>
    <w:rsid w:val="002942D4"/>
    <w:rsid w:val="0029567E"/>
    <w:rsid w:val="00295E32"/>
    <w:rsid w:val="00295F17"/>
    <w:rsid w:val="00296E5B"/>
    <w:rsid w:val="002A0ACB"/>
    <w:rsid w:val="002A0E28"/>
    <w:rsid w:val="002A12F0"/>
    <w:rsid w:val="002A1F86"/>
    <w:rsid w:val="002A6B27"/>
    <w:rsid w:val="002B2559"/>
    <w:rsid w:val="002B2B80"/>
    <w:rsid w:val="002B4205"/>
    <w:rsid w:val="002B5DA2"/>
    <w:rsid w:val="002B6972"/>
    <w:rsid w:val="002B76D9"/>
    <w:rsid w:val="002B7ADE"/>
    <w:rsid w:val="002C0EA4"/>
    <w:rsid w:val="002C1F8F"/>
    <w:rsid w:val="002C2227"/>
    <w:rsid w:val="002C42F4"/>
    <w:rsid w:val="002C5140"/>
    <w:rsid w:val="002D557B"/>
    <w:rsid w:val="002E1977"/>
    <w:rsid w:val="002E67BA"/>
    <w:rsid w:val="002E6856"/>
    <w:rsid w:val="002F01EB"/>
    <w:rsid w:val="00300440"/>
    <w:rsid w:val="0030073C"/>
    <w:rsid w:val="0030162F"/>
    <w:rsid w:val="0030354B"/>
    <w:rsid w:val="00303F71"/>
    <w:rsid w:val="00304E55"/>
    <w:rsid w:val="00305315"/>
    <w:rsid w:val="00313614"/>
    <w:rsid w:val="003142E5"/>
    <w:rsid w:val="0031599D"/>
    <w:rsid w:val="00315F35"/>
    <w:rsid w:val="003207EC"/>
    <w:rsid w:val="00323F1B"/>
    <w:rsid w:val="00324B15"/>
    <w:rsid w:val="00331DE1"/>
    <w:rsid w:val="003325F9"/>
    <w:rsid w:val="003344B3"/>
    <w:rsid w:val="003353C4"/>
    <w:rsid w:val="00335976"/>
    <w:rsid w:val="00340109"/>
    <w:rsid w:val="0034056E"/>
    <w:rsid w:val="003421EC"/>
    <w:rsid w:val="00342E38"/>
    <w:rsid w:val="00343DF7"/>
    <w:rsid w:val="003458BA"/>
    <w:rsid w:val="003469C8"/>
    <w:rsid w:val="00346D35"/>
    <w:rsid w:val="00350D0D"/>
    <w:rsid w:val="0035183F"/>
    <w:rsid w:val="00352DB9"/>
    <w:rsid w:val="00353129"/>
    <w:rsid w:val="00353173"/>
    <w:rsid w:val="00353F43"/>
    <w:rsid w:val="0035463D"/>
    <w:rsid w:val="00360BA6"/>
    <w:rsid w:val="003610A5"/>
    <w:rsid w:val="00361A3D"/>
    <w:rsid w:val="00363113"/>
    <w:rsid w:val="00365E6C"/>
    <w:rsid w:val="0037327C"/>
    <w:rsid w:val="00373E2C"/>
    <w:rsid w:val="00374D8B"/>
    <w:rsid w:val="00377750"/>
    <w:rsid w:val="00382D9D"/>
    <w:rsid w:val="00382E01"/>
    <w:rsid w:val="0038468A"/>
    <w:rsid w:val="00386343"/>
    <w:rsid w:val="00390CE8"/>
    <w:rsid w:val="00392D6D"/>
    <w:rsid w:val="003936DE"/>
    <w:rsid w:val="003A190F"/>
    <w:rsid w:val="003A37BC"/>
    <w:rsid w:val="003A5259"/>
    <w:rsid w:val="003A57EF"/>
    <w:rsid w:val="003A69C2"/>
    <w:rsid w:val="003B145A"/>
    <w:rsid w:val="003B1E53"/>
    <w:rsid w:val="003B1F91"/>
    <w:rsid w:val="003B3781"/>
    <w:rsid w:val="003B3A31"/>
    <w:rsid w:val="003B40CA"/>
    <w:rsid w:val="003B47D6"/>
    <w:rsid w:val="003B4954"/>
    <w:rsid w:val="003B79E0"/>
    <w:rsid w:val="003C3643"/>
    <w:rsid w:val="003C59F8"/>
    <w:rsid w:val="003C5DEF"/>
    <w:rsid w:val="003D5885"/>
    <w:rsid w:val="003D592C"/>
    <w:rsid w:val="003E3808"/>
    <w:rsid w:val="003E4629"/>
    <w:rsid w:val="003E6D85"/>
    <w:rsid w:val="003F1076"/>
    <w:rsid w:val="003F122B"/>
    <w:rsid w:val="003F16EC"/>
    <w:rsid w:val="003F4E5F"/>
    <w:rsid w:val="003F7862"/>
    <w:rsid w:val="00400014"/>
    <w:rsid w:val="00401686"/>
    <w:rsid w:val="00402B7B"/>
    <w:rsid w:val="0040317F"/>
    <w:rsid w:val="00405395"/>
    <w:rsid w:val="0040666D"/>
    <w:rsid w:val="004071D3"/>
    <w:rsid w:val="0041014A"/>
    <w:rsid w:val="004164B6"/>
    <w:rsid w:val="00421C02"/>
    <w:rsid w:val="00424D1A"/>
    <w:rsid w:val="00424D91"/>
    <w:rsid w:val="0042634A"/>
    <w:rsid w:val="00426D24"/>
    <w:rsid w:val="0042755A"/>
    <w:rsid w:val="00432531"/>
    <w:rsid w:val="0043464B"/>
    <w:rsid w:val="00434DF9"/>
    <w:rsid w:val="00434EA1"/>
    <w:rsid w:val="00435B61"/>
    <w:rsid w:val="00435D55"/>
    <w:rsid w:val="0043669D"/>
    <w:rsid w:val="00436B6A"/>
    <w:rsid w:val="00436BAC"/>
    <w:rsid w:val="00436D26"/>
    <w:rsid w:val="00437433"/>
    <w:rsid w:val="004375B2"/>
    <w:rsid w:val="00441CDD"/>
    <w:rsid w:val="00442BB2"/>
    <w:rsid w:val="004475B8"/>
    <w:rsid w:val="0045007D"/>
    <w:rsid w:val="004535EE"/>
    <w:rsid w:val="0045377C"/>
    <w:rsid w:val="004556D4"/>
    <w:rsid w:val="00456947"/>
    <w:rsid w:val="00461967"/>
    <w:rsid w:val="0046254E"/>
    <w:rsid w:val="0046314D"/>
    <w:rsid w:val="00464589"/>
    <w:rsid w:val="00466C52"/>
    <w:rsid w:val="00466C5E"/>
    <w:rsid w:val="00467B62"/>
    <w:rsid w:val="00470DE8"/>
    <w:rsid w:val="00471F9D"/>
    <w:rsid w:val="00472443"/>
    <w:rsid w:val="004737E2"/>
    <w:rsid w:val="0047461E"/>
    <w:rsid w:val="00474963"/>
    <w:rsid w:val="00474C59"/>
    <w:rsid w:val="00486B55"/>
    <w:rsid w:val="004876AD"/>
    <w:rsid w:val="00491567"/>
    <w:rsid w:val="0049260A"/>
    <w:rsid w:val="00493CD0"/>
    <w:rsid w:val="004B1E4D"/>
    <w:rsid w:val="004B261F"/>
    <w:rsid w:val="004B2A5E"/>
    <w:rsid w:val="004B36FE"/>
    <w:rsid w:val="004B3853"/>
    <w:rsid w:val="004B5D2F"/>
    <w:rsid w:val="004C1C27"/>
    <w:rsid w:val="004C2D45"/>
    <w:rsid w:val="004C371C"/>
    <w:rsid w:val="004C39EB"/>
    <w:rsid w:val="004C4A99"/>
    <w:rsid w:val="004C624B"/>
    <w:rsid w:val="004C6DA0"/>
    <w:rsid w:val="004C71A2"/>
    <w:rsid w:val="004C7C99"/>
    <w:rsid w:val="004D0116"/>
    <w:rsid w:val="004D10E4"/>
    <w:rsid w:val="004D2B69"/>
    <w:rsid w:val="004D57DD"/>
    <w:rsid w:val="004E0582"/>
    <w:rsid w:val="004E191C"/>
    <w:rsid w:val="004F0701"/>
    <w:rsid w:val="004F755E"/>
    <w:rsid w:val="004F7CC7"/>
    <w:rsid w:val="00501A2D"/>
    <w:rsid w:val="0050444E"/>
    <w:rsid w:val="00505039"/>
    <w:rsid w:val="005064E5"/>
    <w:rsid w:val="00506AD5"/>
    <w:rsid w:val="00507C85"/>
    <w:rsid w:val="005136CA"/>
    <w:rsid w:val="00515957"/>
    <w:rsid w:val="005160A0"/>
    <w:rsid w:val="005177CF"/>
    <w:rsid w:val="0052159D"/>
    <w:rsid w:val="00524949"/>
    <w:rsid w:val="005264F8"/>
    <w:rsid w:val="0052772D"/>
    <w:rsid w:val="00527864"/>
    <w:rsid w:val="00527C25"/>
    <w:rsid w:val="00530378"/>
    <w:rsid w:val="00531093"/>
    <w:rsid w:val="005310DA"/>
    <w:rsid w:val="0053195E"/>
    <w:rsid w:val="00531F28"/>
    <w:rsid w:val="005324F5"/>
    <w:rsid w:val="00532BA2"/>
    <w:rsid w:val="005335F1"/>
    <w:rsid w:val="00534C83"/>
    <w:rsid w:val="005364D4"/>
    <w:rsid w:val="00536670"/>
    <w:rsid w:val="00536720"/>
    <w:rsid w:val="00541C19"/>
    <w:rsid w:val="00542577"/>
    <w:rsid w:val="00544C9F"/>
    <w:rsid w:val="00547070"/>
    <w:rsid w:val="0055302F"/>
    <w:rsid w:val="00556B2E"/>
    <w:rsid w:val="00556E91"/>
    <w:rsid w:val="00557B71"/>
    <w:rsid w:val="0056187E"/>
    <w:rsid w:val="00561CB0"/>
    <w:rsid w:val="00563056"/>
    <w:rsid w:val="00566AB8"/>
    <w:rsid w:val="00571E07"/>
    <w:rsid w:val="0057326E"/>
    <w:rsid w:val="0057497F"/>
    <w:rsid w:val="00574F34"/>
    <w:rsid w:val="005768F1"/>
    <w:rsid w:val="00577A65"/>
    <w:rsid w:val="005812F9"/>
    <w:rsid w:val="0058196E"/>
    <w:rsid w:val="00581F0E"/>
    <w:rsid w:val="005823B9"/>
    <w:rsid w:val="005825C9"/>
    <w:rsid w:val="00582706"/>
    <w:rsid w:val="00583115"/>
    <w:rsid w:val="005834F6"/>
    <w:rsid w:val="005845D9"/>
    <w:rsid w:val="0058475D"/>
    <w:rsid w:val="0058761D"/>
    <w:rsid w:val="00587744"/>
    <w:rsid w:val="00597359"/>
    <w:rsid w:val="00597F7C"/>
    <w:rsid w:val="005A103D"/>
    <w:rsid w:val="005A2055"/>
    <w:rsid w:val="005A3173"/>
    <w:rsid w:val="005A5303"/>
    <w:rsid w:val="005B321C"/>
    <w:rsid w:val="005B3582"/>
    <w:rsid w:val="005B3EE2"/>
    <w:rsid w:val="005B4287"/>
    <w:rsid w:val="005B43CF"/>
    <w:rsid w:val="005C3C0E"/>
    <w:rsid w:val="005C530A"/>
    <w:rsid w:val="005C60D4"/>
    <w:rsid w:val="005D0B3C"/>
    <w:rsid w:val="005D0EF7"/>
    <w:rsid w:val="005D27F5"/>
    <w:rsid w:val="005D4B45"/>
    <w:rsid w:val="005D74DC"/>
    <w:rsid w:val="005E31CC"/>
    <w:rsid w:val="005F354B"/>
    <w:rsid w:val="005F3DD9"/>
    <w:rsid w:val="005F47BF"/>
    <w:rsid w:val="005F4872"/>
    <w:rsid w:val="005F774A"/>
    <w:rsid w:val="005F777B"/>
    <w:rsid w:val="005F7871"/>
    <w:rsid w:val="00601D7D"/>
    <w:rsid w:val="00602645"/>
    <w:rsid w:val="00602F63"/>
    <w:rsid w:val="00607D1E"/>
    <w:rsid w:val="00611C07"/>
    <w:rsid w:val="006120E2"/>
    <w:rsid w:val="00613F88"/>
    <w:rsid w:val="0061465F"/>
    <w:rsid w:val="00615FF6"/>
    <w:rsid w:val="00620240"/>
    <w:rsid w:val="00621BAA"/>
    <w:rsid w:val="0062263E"/>
    <w:rsid w:val="00624232"/>
    <w:rsid w:val="006303CF"/>
    <w:rsid w:val="0063125A"/>
    <w:rsid w:val="00632746"/>
    <w:rsid w:val="00634063"/>
    <w:rsid w:val="0063530B"/>
    <w:rsid w:val="006379B2"/>
    <w:rsid w:val="0064069C"/>
    <w:rsid w:val="006413A9"/>
    <w:rsid w:val="00642434"/>
    <w:rsid w:val="0064259A"/>
    <w:rsid w:val="006447AD"/>
    <w:rsid w:val="00645EDD"/>
    <w:rsid w:val="00646CF8"/>
    <w:rsid w:val="00651B46"/>
    <w:rsid w:val="00652EB9"/>
    <w:rsid w:val="00654671"/>
    <w:rsid w:val="00656E93"/>
    <w:rsid w:val="006574A5"/>
    <w:rsid w:val="00661AAA"/>
    <w:rsid w:val="00661CCA"/>
    <w:rsid w:val="006623A2"/>
    <w:rsid w:val="00662514"/>
    <w:rsid w:val="00663E17"/>
    <w:rsid w:val="00664CBF"/>
    <w:rsid w:val="0066556F"/>
    <w:rsid w:val="00665E7E"/>
    <w:rsid w:val="00667ECC"/>
    <w:rsid w:val="00670632"/>
    <w:rsid w:val="006739B8"/>
    <w:rsid w:val="0067565B"/>
    <w:rsid w:val="0067669D"/>
    <w:rsid w:val="0068037D"/>
    <w:rsid w:val="00681A56"/>
    <w:rsid w:val="00685BC1"/>
    <w:rsid w:val="00685C1A"/>
    <w:rsid w:val="00690AD2"/>
    <w:rsid w:val="006926C9"/>
    <w:rsid w:val="00694A1D"/>
    <w:rsid w:val="006A18DB"/>
    <w:rsid w:val="006A2C29"/>
    <w:rsid w:val="006A5178"/>
    <w:rsid w:val="006B00BB"/>
    <w:rsid w:val="006B03A3"/>
    <w:rsid w:val="006B5D4B"/>
    <w:rsid w:val="006B683D"/>
    <w:rsid w:val="006B7EE7"/>
    <w:rsid w:val="006C3315"/>
    <w:rsid w:val="006C58CD"/>
    <w:rsid w:val="006C692B"/>
    <w:rsid w:val="006C74AB"/>
    <w:rsid w:val="006D0231"/>
    <w:rsid w:val="006D3E26"/>
    <w:rsid w:val="006D616B"/>
    <w:rsid w:val="006E0263"/>
    <w:rsid w:val="006E09BE"/>
    <w:rsid w:val="006E0C85"/>
    <w:rsid w:val="006E188A"/>
    <w:rsid w:val="006E214D"/>
    <w:rsid w:val="006E43B1"/>
    <w:rsid w:val="006E46E9"/>
    <w:rsid w:val="006E5CF8"/>
    <w:rsid w:val="006E6D76"/>
    <w:rsid w:val="006E7AB2"/>
    <w:rsid w:val="006F0FC1"/>
    <w:rsid w:val="006F2B4E"/>
    <w:rsid w:val="006F3AFA"/>
    <w:rsid w:val="006F3BD1"/>
    <w:rsid w:val="006F7EF3"/>
    <w:rsid w:val="0070064D"/>
    <w:rsid w:val="00701D24"/>
    <w:rsid w:val="007035C0"/>
    <w:rsid w:val="00707954"/>
    <w:rsid w:val="00710AD8"/>
    <w:rsid w:val="00711056"/>
    <w:rsid w:val="00712460"/>
    <w:rsid w:val="00714272"/>
    <w:rsid w:val="007151DD"/>
    <w:rsid w:val="007157D3"/>
    <w:rsid w:val="00715D0B"/>
    <w:rsid w:val="0072109E"/>
    <w:rsid w:val="00721DD5"/>
    <w:rsid w:val="007221C3"/>
    <w:rsid w:val="00724C66"/>
    <w:rsid w:val="00730760"/>
    <w:rsid w:val="00730C30"/>
    <w:rsid w:val="007325CA"/>
    <w:rsid w:val="0073397D"/>
    <w:rsid w:val="007342FD"/>
    <w:rsid w:val="007373EE"/>
    <w:rsid w:val="00740ADF"/>
    <w:rsid w:val="00744CAF"/>
    <w:rsid w:val="00744DEE"/>
    <w:rsid w:val="0074753A"/>
    <w:rsid w:val="00747ED6"/>
    <w:rsid w:val="00753F16"/>
    <w:rsid w:val="0075406E"/>
    <w:rsid w:val="00755176"/>
    <w:rsid w:val="007551FF"/>
    <w:rsid w:val="00755F08"/>
    <w:rsid w:val="007563CC"/>
    <w:rsid w:val="00757021"/>
    <w:rsid w:val="007651CB"/>
    <w:rsid w:val="00765450"/>
    <w:rsid w:val="00765E4F"/>
    <w:rsid w:val="00765EAA"/>
    <w:rsid w:val="00766D04"/>
    <w:rsid w:val="00770022"/>
    <w:rsid w:val="00770E54"/>
    <w:rsid w:val="00772693"/>
    <w:rsid w:val="00775B3D"/>
    <w:rsid w:val="00777137"/>
    <w:rsid w:val="007773A4"/>
    <w:rsid w:val="00777659"/>
    <w:rsid w:val="0078147E"/>
    <w:rsid w:val="00786792"/>
    <w:rsid w:val="0078756F"/>
    <w:rsid w:val="00787F35"/>
    <w:rsid w:val="00792A07"/>
    <w:rsid w:val="00795B65"/>
    <w:rsid w:val="007979F9"/>
    <w:rsid w:val="007A0878"/>
    <w:rsid w:val="007A1682"/>
    <w:rsid w:val="007A19F7"/>
    <w:rsid w:val="007A34B9"/>
    <w:rsid w:val="007A3DA3"/>
    <w:rsid w:val="007A5EAD"/>
    <w:rsid w:val="007A62F1"/>
    <w:rsid w:val="007A6320"/>
    <w:rsid w:val="007B0DFE"/>
    <w:rsid w:val="007B0F67"/>
    <w:rsid w:val="007B133C"/>
    <w:rsid w:val="007B16A1"/>
    <w:rsid w:val="007B1D68"/>
    <w:rsid w:val="007B38CD"/>
    <w:rsid w:val="007B717E"/>
    <w:rsid w:val="007B7C54"/>
    <w:rsid w:val="007C00E8"/>
    <w:rsid w:val="007C280E"/>
    <w:rsid w:val="007C445D"/>
    <w:rsid w:val="007C5738"/>
    <w:rsid w:val="007C701E"/>
    <w:rsid w:val="007D14B7"/>
    <w:rsid w:val="007D180D"/>
    <w:rsid w:val="007D1C92"/>
    <w:rsid w:val="007D302F"/>
    <w:rsid w:val="007D4219"/>
    <w:rsid w:val="007D434D"/>
    <w:rsid w:val="007D67BA"/>
    <w:rsid w:val="007D6C2B"/>
    <w:rsid w:val="007D7295"/>
    <w:rsid w:val="007D7DE0"/>
    <w:rsid w:val="007E0226"/>
    <w:rsid w:val="007E0A96"/>
    <w:rsid w:val="007E0C07"/>
    <w:rsid w:val="007E1D15"/>
    <w:rsid w:val="007E2E6A"/>
    <w:rsid w:val="007E46E4"/>
    <w:rsid w:val="007E61C5"/>
    <w:rsid w:val="007F090F"/>
    <w:rsid w:val="007F1788"/>
    <w:rsid w:val="007F34F5"/>
    <w:rsid w:val="007F4D88"/>
    <w:rsid w:val="007F67F7"/>
    <w:rsid w:val="007F6B93"/>
    <w:rsid w:val="008017DC"/>
    <w:rsid w:val="00804502"/>
    <w:rsid w:val="00805D41"/>
    <w:rsid w:val="00811DB4"/>
    <w:rsid w:val="00812F2B"/>
    <w:rsid w:val="0081329A"/>
    <w:rsid w:val="00814F60"/>
    <w:rsid w:val="00817316"/>
    <w:rsid w:val="0082082C"/>
    <w:rsid w:val="00821510"/>
    <w:rsid w:val="008253B1"/>
    <w:rsid w:val="00825454"/>
    <w:rsid w:val="008265D0"/>
    <w:rsid w:val="00826FCD"/>
    <w:rsid w:val="00827BF2"/>
    <w:rsid w:val="008307C1"/>
    <w:rsid w:val="008318F2"/>
    <w:rsid w:val="0083680D"/>
    <w:rsid w:val="00836ECB"/>
    <w:rsid w:val="008446E5"/>
    <w:rsid w:val="0084595A"/>
    <w:rsid w:val="00847769"/>
    <w:rsid w:val="00847B38"/>
    <w:rsid w:val="00850EA0"/>
    <w:rsid w:val="00851052"/>
    <w:rsid w:val="008516BC"/>
    <w:rsid w:val="00851F34"/>
    <w:rsid w:val="00852EF0"/>
    <w:rsid w:val="0085384D"/>
    <w:rsid w:val="00853EBE"/>
    <w:rsid w:val="00855859"/>
    <w:rsid w:val="008562BD"/>
    <w:rsid w:val="00857C4B"/>
    <w:rsid w:val="00860DFF"/>
    <w:rsid w:val="008626A1"/>
    <w:rsid w:val="00864F3E"/>
    <w:rsid w:val="00866CF4"/>
    <w:rsid w:val="008722B7"/>
    <w:rsid w:val="00874A11"/>
    <w:rsid w:val="008762F8"/>
    <w:rsid w:val="00876CF4"/>
    <w:rsid w:val="00880285"/>
    <w:rsid w:val="00880296"/>
    <w:rsid w:val="008808BB"/>
    <w:rsid w:val="008823E1"/>
    <w:rsid w:val="00883603"/>
    <w:rsid w:val="00883EFB"/>
    <w:rsid w:val="00887292"/>
    <w:rsid w:val="008936DC"/>
    <w:rsid w:val="008938F6"/>
    <w:rsid w:val="00894736"/>
    <w:rsid w:val="00894B8D"/>
    <w:rsid w:val="0089633E"/>
    <w:rsid w:val="00896D91"/>
    <w:rsid w:val="008A1110"/>
    <w:rsid w:val="008A1EF1"/>
    <w:rsid w:val="008A40CC"/>
    <w:rsid w:val="008A53EF"/>
    <w:rsid w:val="008A6246"/>
    <w:rsid w:val="008A7B5E"/>
    <w:rsid w:val="008B10A1"/>
    <w:rsid w:val="008B2AF6"/>
    <w:rsid w:val="008B5BD8"/>
    <w:rsid w:val="008B6094"/>
    <w:rsid w:val="008C11C5"/>
    <w:rsid w:val="008C1FEC"/>
    <w:rsid w:val="008C23CF"/>
    <w:rsid w:val="008C2968"/>
    <w:rsid w:val="008C32EE"/>
    <w:rsid w:val="008C4210"/>
    <w:rsid w:val="008C46AF"/>
    <w:rsid w:val="008C5B21"/>
    <w:rsid w:val="008C6993"/>
    <w:rsid w:val="008D7C57"/>
    <w:rsid w:val="008E4D2C"/>
    <w:rsid w:val="008E7E47"/>
    <w:rsid w:val="008F160E"/>
    <w:rsid w:val="008F1716"/>
    <w:rsid w:val="008F3D26"/>
    <w:rsid w:val="008F6A96"/>
    <w:rsid w:val="008F6D5F"/>
    <w:rsid w:val="0090030C"/>
    <w:rsid w:val="00901548"/>
    <w:rsid w:val="009015B0"/>
    <w:rsid w:val="00902FF3"/>
    <w:rsid w:val="00905E47"/>
    <w:rsid w:val="00906AA5"/>
    <w:rsid w:val="00906C2D"/>
    <w:rsid w:val="00907A9A"/>
    <w:rsid w:val="009126DD"/>
    <w:rsid w:val="009133B0"/>
    <w:rsid w:val="00913F84"/>
    <w:rsid w:val="0091703E"/>
    <w:rsid w:val="009269CA"/>
    <w:rsid w:val="00926B47"/>
    <w:rsid w:val="00930511"/>
    <w:rsid w:val="00930D74"/>
    <w:rsid w:val="00930DB7"/>
    <w:rsid w:val="0093185A"/>
    <w:rsid w:val="00931882"/>
    <w:rsid w:val="00933025"/>
    <w:rsid w:val="00933683"/>
    <w:rsid w:val="00934F4F"/>
    <w:rsid w:val="00936F67"/>
    <w:rsid w:val="00940654"/>
    <w:rsid w:val="0094171E"/>
    <w:rsid w:val="00942E63"/>
    <w:rsid w:val="00943091"/>
    <w:rsid w:val="00945964"/>
    <w:rsid w:val="00950916"/>
    <w:rsid w:val="00951394"/>
    <w:rsid w:val="0095158B"/>
    <w:rsid w:val="0095191C"/>
    <w:rsid w:val="0095351B"/>
    <w:rsid w:val="009536C6"/>
    <w:rsid w:val="00957478"/>
    <w:rsid w:val="00960F7F"/>
    <w:rsid w:val="0096257B"/>
    <w:rsid w:val="00962AF0"/>
    <w:rsid w:val="009632B5"/>
    <w:rsid w:val="00965A0D"/>
    <w:rsid w:val="009673FD"/>
    <w:rsid w:val="009712D9"/>
    <w:rsid w:val="00971B0C"/>
    <w:rsid w:val="009743D0"/>
    <w:rsid w:val="00981C3A"/>
    <w:rsid w:val="00982929"/>
    <w:rsid w:val="0098773F"/>
    <w:rsid w:val="0099104C"/>
    <w:rsid w:val="0099158F"/>
    <w:rsid w:val="00992544"/>
    <w:rsid w:val="00994F81"/>
    <w:rsid w:val="00997131"/>
    <w:rsid w:val="009976E2"/>
    <w:rsid w:val="009A32E7"/>
    <w:rsid w:val="009A3DEB"/>
    <w:rsid w:val="009A545F"/>
    <w:rsid w:val="009A5A17"/>
    <w:rsid w:val="009B0208"/>
    <w:rsid w:val="009B15DE"/>
    <w:rsid w:val="009B38F2"/>
    <w:rsid w:val="009B3FF1"/>
    <w:rsid w:val="009B5276"/>
    <w:rsid w:val="009B6AA7"/>
    <w:rsid w:val="009C67BD"/>
    <w:rsid w:val="009C7093"/>
    <w:rsid w:val="009C745A"/>
    <w:rsid w:val="009D0E76"/>
    <w:rsid w:val="009D1B4F"/>
    <w:rsid w:val="009D2F5B"/>
    <w:rsid w:val="009D4C3F"/>
    <w:rsid w:val="009D4E4A"/>
    <w:rsid w:val="009D66B3"/>
    <w:rsid w:val="009E16EC"/>
    <w:rsid w:val="009E2112"/>
    <w:rsid w:val="009E3941"/>
    <w:rsid w:val="009E667F"/>
    <w:rsid w:val="009E77ED"/>
    <w:rsid w:val="009F1AA7"/>
    <w:rsid w:val="009F20B2"/>
    <w:rsid w:val="009F2410"/>
    <w:rsid w:val="009F3322"/>
    <w:rsid w:val="009F33CB"/>
    <w:rsid w:val="009F3F33"/>
    <w:rsid w:val="009F4A63"/>
    <w:rsid w:val="009F5484"/>
    <w:rsid w:val="009F5E01"/>
    <w:rsid w:val="009F704B"/>
    <w:rsid w:val="00A00193"/>
    <w:rsid w:val="00A00D1D"/>
    <w:rsid w:val="00A017E6"/>
    <w:rsid w:val="00A07770"/>
    <w:rsid w:val="00A1191C"/>
    <w:rsid w:val="00A133B8"/>
    <w:rsid w:val="00A14420"/>
    <w:rsid w:val="00A209F5"/>
    <w:rsid w:val="00A22D27"/>
    <w:rsid w:val="00A329A1"/>
    <w:rsid w:val="00A32C00"/>
    <w:rsid w:val="00A36B71"/>
    <w:rsid w:val="00A3786E"/>
    <w:rsid w:val="00A37CFF"/>
    <w:rsid w:val="00A37D98"/>
    <w:rsid w:val="00A40DB2"/>
    <w:rsid w:val="00A40FAB"/>
    <w:rsid w:val="00A410E1"/>
    <w:rsid w:val="00A421D5"/>
    <w:rsid w:val="00A42A2C"/>
    <w:rsid w:val="00A44DC6"/>
    <w:rsid w:val="00A4525A"/>
    <w:rsid w:val="00A45C1E"/>
    <w:rsid w:val="00A46C05"/>
    <w:rsid w:val="00A57231"/>
    <w:rsid w:val="00A66709"/>
    <w:rsid w:val="00A70882"/>
    <w:rsid w:val="00A74002"/>
    <w:rsid w:val="00A75C8F"/>
    <w:rsid w:val="00A77FB8"/>
    <w:rsid w:val="00A838F5"/>
    <w:rsid w:val="00A8405B"/>
    <w:rsid w:val="00A84C4E"/>
    <w:rsid w:val="00A85682"/>
    <w:rsid w:val="00A85C31"/>
    <w:rsid w:val="00A874B1"/>
    <w:rsid w:val="00A87AEF"/>
    <w:rsid w:val="00A911EA"/>
    <w:rsid w:val="00A93D2F"/>
    <w:rsid w:val="00A9466B"/>
    <w:rsid w:val="00A950FE"/>
    <w:rsid w:val="00A95979"/>
    <w:rsid w:val="00A964C8"/>
    <w:rsid w:val="00AA18CB"/>
    <w:rsid w:val="00AA1FC5"/>
    <w:rsid w:val="00AA3FA2"/>
    <w:rsid w:val="00AA6C67"/>
    <w:rsid w:val="00AB2F89"/>
    <w:rsid w:val="00AB5545"/>
    <w:rsid w:val="00AB5621"/>
    <w:rsid w:val="00AB57EF"/>
    <w:rsid w:val="00AC040E"/>
    <w:rsid w:val="00AC130E"/>
    <w:rsid w:val="00AC44A0"/>
    <w:rsid w:val="00AD0240"/>
    <w:rsid w:val="00AD3B05"/>
    <w:rsid w:val="00AD4A54"/>
    <w:rsid w:val="00AE1C44"/>
    <w:rsid w:val="00AE2383"/>
    <w:rsid w:val="00AF11CE"/>
    <w:rsid w:val="00AF13E4"/>
    <w:rsid w:val="00AF3CA7"/>
    <w:rsid w:val="00AF53A5"/>
    <w:rsid w:val="00AF582E"/>
    <w:rsid w:val="00AF6982"/>
    <w:rsid w:val="00AF6A10"/>
    <w:rsid w:val="00B01614"/>
    <w:rsid w:val="00B021CA"/>
    <w:rsid w:val="00B02ACE"/>
    <w:rsid w:val="00B037C1"/>
    <w:rsid w:val="00B0684D"/>
    <w:rsid w:val="00B128CB"/>
    <w:rsid w:val="00B12CE7"/>
    <w:rsid w:val="00B12DAD"/>
    <w:rsid w:val="00B13914"/>
    <w:rsid w:val="00B15BFC"/>
    <w:rsid w:val="00B163A6"/>
    <w:rsid w:val="00B1737F"/>
    <w:rsid w:val="00B209BF"/>
    <w:rsid w:val="00B2486E"/>
    <w:rsid w:val="00B26089"/>
    <w:rsid w:val="00B31170"/>
    <w:rsid w:val="00B31EBB"/>
    <w:rsid w:val="00B34669"/>
    <w:rsid w:val="00B35C46"/>
    <w:rsid w:val="00B378F2"/>
    <w:rsid w:val="00B41858"/>
    <w:rsid w:val="00B431EC"/>
    <w:rsid w:val="00B432A6"/>
    <w:rsid w:val="00B44283"/>
    <w:rsid w:val="00B448A2"/>
    <w:rsid w:val="00B44EC7"/>
    <w:rsid w:val="00B45E56"/>
    <w:rsid w:val="00B4730D"/>
    <w:rsid w:val="00B50942"/>
    <w:rsid w:val="00B51C14"/>
    <w:rsid w:val="00B51F32"/>
    <w:rsid w:val="00B52570"/>
    <w:rsid w:val="00B53241"/>
    <w:rsid w:val="00B56E4B"/>
    <w:rsid w:val="00B61254"/>
    <w:rsid w:val="00B66F75"/>
    <w:rsid w:val="00B67B99"/>
    <w:rsid w:val="00B70852"/>
    <w:rsid w:val="00B7178F"/>
    <w:rsid w:val="00B75DDC"/>
    <w:rsid w:val="00B75ECF"/>
    <w:rsid w:val="00B76788"/>
    <w:rsid w:val="00B77686"/>
    <w:rsid w:val="00B81D7A"/>
    <w:rsid w:val="00B8297B"/>
    <w:rsid w:val="00B84F54"/>
    <w:rsid w:val="00B863D8"/>
    <w:rsid w:val="00B90C17"/>
    <w:rsid w:val="00B9118F"/>
    <w:rsid w:val="00B91241"/>
    <w:rsid w:val="00B922DC"/>
    <w:rsid w:val="00B945C4"/>
    <w:rsid w:val="00B95100"/>
    <w:rsid w:val="00B95DD0"/>
    <w:rsid w:val="00B97154"/>
    <w:rsid w:val="00BA09E0"/>
    <w:rsid w:val="00BA5B2A"/>
    <w:rsid w:val="00BA6D90"/>
    <w:rsid w:val="00BA7C5C"/>
    <w:rsid w:val="00BB01D7"/>
    <w:rsid w:val="00BB0366"/>
    <w:rsid w:val="00BB12D7"/>
    <w:rsid w:val="00BB3FF0"/>
    <w:rsid w:val="00BC1197"/>
    <w:rsid w:val="00BC40DB"/>
    <w:rsid w:val="00BC527D"/>
    <w:rsid w:val="00BD5FFA"/>
    <w:rsid w:val="00BD6E99"/>
    <w:rsid w:val="00BD7CDF"/>
    <w:rsid w:val="00BE0746"/>
    <w:rsid w:val="00BE4E97"/>
    <w:rsid w:val="00BE5E41"/>
    <w:rsid w:val="00BE728B"/>
    <w:rsid w:val="00BE7634"/>
    <w:rsid w:val="00BF0D3B"/>
    <w:rsid w:val="00BF1903"/>
    <w:rsid w:val="00BF38B8"/>
    <w:rsid w:val="00BF3CFB"/>
    <w:rsid w:val="00BF4BDE"/>
    <w:rsid w:val="00C009BC"/>
    <w:rsid w:val="00C0162C"/>
    <w:rsid w:val="00C01717"/>
    <w:rsid w:val="00C01ADE"/>
    <w:rsid w:val="00C037CB"/>
    <w:rsid w:val="00C03EB7"/>
    <w:rsid w:val="00C06C05"/>
    <w:rsid w:val="00C0737A"/>
    <w:rsid w:val="00C1068A"/>
    <w:rsid w:val="00C119CA"/>
    <w:rsid w:val="00C128F3"/>
    <w:rsid w:val="00C14156"/>
    <w:rsid w:val="00C1662C"/>
    <w:rsid w:val="00C20681"/>
    <w:rsid w:val="00C226F8"/>
    <w:rsid w:val="00C24EAE"/>
    <w:rsid w:val="00C2649B"/>
    <w:rsid w:val="00C26AF4"/>
    <w:rsid w:val="00C306F0"/>
    <w:rsid w:val="00C350A5"/>
    <w:rsid w:val="00C36584"/>
    <w:rsid w:val="00C37C21"/>
    <w:rsid w:val="00C37F06"/>
    <w:rsid w:val="00C44A8E"/>
    <w:rsid w:val="00C46FF7"/>
    <w:rsid w:val="00C51D19"/>
    <w:rsid w:val="00C523B2"/>
    <w:rsid w:val="00C52A89"/>
    <w:rsid w:val="00C548F8"/>
    <w:rsid w:val="00C55EE4"/>
    <w:rsid w:val="00C56091"/>
    <w:rsid w:val="00C570FB"/>
    <w:rsid w:val="00C57F4E"/>
    <w:rsid w:val="00C60E74"/>
    <w:rsid w:val="00C640CE"/>
    <w:rsid w:val="00C65B19"/>
    <w:rsid w:val="00C676B9"/>
    <w:rsid w:val="00C70DBC"/>
    <w:rsid w:val="00C75866"/>
    <w:rsid w:val="00C76A7E"/>
    <w:rsid w:val="00C80281"/>
    <w:rsid w:val="00C82553"/>
    <w:rsid w:val="00C84C81"/>
    <w:rsid w:val="00C87181"/>
    <w:rsid w:val="00C90E83"/>
    <w:rsid w:val="00C93B74"/>
    <w:rsid w:val="00C945F0"/>
    <w:rsid w:val="00C94F6C"/>
    <w:rsid w:val="00CA12F4"/>
    <w:rsid w:val="00CA2CB2"/>
    <w:rsid w:val="00CA496D"/>
    <w:rsid w:val="00CA6B18"/>
    <w:rsid w:val="00CA6B48"/>
    <w:rsid w:val="00CA781E"/>
    <w:rsid w:val="00CB1598"/>
    <w:rsid w:val="00CB2929"/>
    <w:rsid w:val="00CB33A6"/>
    <w:rsid w:val="00CB3B0B"/>
    <w:rsid w:val="00CB3D1A"/>
    <w:rsid w:val="00CB4258"/>
    <w:rsid w:val="00CB62D1"/>
    <w:rsid w:val="00CC166E"/>
    <w:rsid w:val="00CC1AE3"/>
    <w:rsid w:val="00CC2310"/>
    <w:rsid w:val="00CC31F9"/>
    <w:rsid w:val="00CC418F"/>
    <w:rsid w:val="00CC457E"/>
    <w:rsid w:val="00CC4587"/>
    <w:rsid w:val="00CC4785"/>
    <w:rsid w:val="00CC5A07"/>
    <w:rsid w:val="00CC673D"/>
    <w:rsid w:val="00CD1F55"/>
    <w:rsid w:val="00CD3A63"/>
    <w:rsid w:val="00CD3E7F"/>
    <w:rsid w:val="00CD67D7"/>
    <w:rsid w:val="00CD69FB"/>
    <w:rsid w:val="00CD6CC4"/>
    <w:rsid w:val="00CE01F9"/>
    <w:rsid w:val="00CE0A0B"/>
    <w:rsid w:val="00CE1AE3"/>
    <w:rsid w:val="00CE265A"/>
    <w:rsid w:val="00CE26BE"/>
    <w:rsid w:val="00CE3E0B"/>
    <w:rsid w:val="00CE40C5"/>
    <w:rsid w:val="00CE64C1"/>
    <w:rsid w:val="00CE7355"/>
    <w:rsid w:val="00CF0013"/>
    <w:rsid w:val="00CF56FE"/>
    <w:rsid w:val="00CF7E38"/>
    <w:rsid w:val="00D00170"/>
    <w:rsid w:val="00D006BA"/>
    <w:rsid w:val="00D00B2F"/>
    <w:rsid w:val="00D018B1"/>
    <w:rsid w:val="00D01A08"/>
    <w:rsid w:val="00D02C54"/>
    <w:rsid w:val="00D03BF9"/>
    <w:rsid w:val="00D03D63"/>
    <w:rsid w:val="00D10C80"/>
    <w:rsid w:val="00D11673"/>
    <w:rsid w:val="00D12B8D"/>
    <w:rsid w:val="00D132B3"/>
    <w:rsid w:val="00D14888"/>
    <w:rsid w:val="00D14AD8"/>
    <w:rsid w:val="00D1520F"/>
    <w:rsid w:val="00D15B8D"/>
    <w:rsid w:val="00D16A13"/>
    <w:rsid w:val="00D175F6"/>
    <w:rsid w:val="00D22FA5"/>
    <w:rsid w:val="00D26E42"/>
    <w:rsid w:val="00D30001"/>
    <w:rsid w:val="00D32B89"/>
    <w:rsid w:val="00D336CE"/>
    <w:rsid w:val="00D338D2"/>
    <w:rsid w:val="00D339E1"/>
    <w:rsid w:val="00D34C16"/>
    <w:rsid w:val="00D3658E"/>
    <w:rsid w:val="00D37ECF"/>
    <w:rsid w:val="00D37ED4"/>
    <w:rsid w:val="00D40BB1"/>
    <w:rsid w:val="00D40EE3"/>
    <w:rsid w:val="00D429D3"/>
    <w:rsid w:val="00D44E2C"/>
    <w:rsid w:val="00D4765C"/>
    <w:rsid w:val="00D478ED"/>
    <w:rsid w:val="00D50171"/>
    <w:rsid w:val="00D51AD2"/>
    <w:rsid w:val="00D51BC4"/>
    <w:rsid w:val="00D51DC1"/>
    <w:rsid w:val="00D54DD4"/>
    <w:rsid w:val="00D62988"/>
    <w:rsid w:val="00D639F5"/>
    <w:rsid w:val="00D6662E"/>
    <w:rsid w:val="00D727B9"/>
    <w:rsid w:val="00D7530A"/>
    <w:rsid w:val="00D7564D"/>
    <w:rsid w:val="00D81A5A"/>
    <w:rsid w:val="00D824AE"/>
    <w:rsid w:val="00D835A5"/>
    <w:rsid w:val="00D836C0"/>
    <w:rsid w:val="00D83827"/>
    <w:rsid w:val="00D84D00"/>
    <w:rsid w:val="00D86F38"/>
    <w:rsid w:val="00D92688"/>
    <w:rsid w:val="00D9314A"/>
    <w:rsid w:val="00D93EF2"/>
    <w:rsid w:val="00D94194"/>
    <w:rsid w:val="00D96FB8"/>
    <w:rsid w:val="00DA0B7E"/>
    <w:rsid w:val="00DA2FDC"/>
    <w:rsid w:val="00DA36B6"/>
    <w:rsid w:val="00DA3C3C"/>
    <w:rsid w:val="00DA531F"/>
    <w:rsid w:val="00DB0B98"/>
    <w:rsid w:val="00DB10AE"/>
    <w:rsid w:val="00DB52CE"/>
    <w:rsid w:val="00DB7863"/>
    <w:rsid w:val="00DB7918"/>
    <w:rsid w:val="00DC1C01"/>
    <w:rsid w:val="00DC20CB"/>
    <w:rsid w:val="00DC5969"/>
    <w:rsid w:val="00DC5F37"/>
    <w:rsid w:val="00DD1736"/>
    <w:rsid w:val="00DD17B7"/>
    <w:rsid w:val="00DD2977"/>
    <w:rsid w:val="00DD34A1"/>
    <w:rsid w:val="00DE23CA"/>
    <w:rsid w:val="00DE3EB7"/>
    <w:rsid w:val="00DE429F"/>
    <w:rsid w:val="00DE6CBF"/>
    <w:rsid w:val="00DE71FD"/>
    <w:rsid w:val="00DF29E6"/>
    <w:rsid w:val="00DF2D31"/>
    <w:rsid w:val="00DF3E43"/>
    <w:rsid w:val="00DF4FC5"/>
    <w:rsid w:val="00DF5433"/>
    <w:rsid w:val="00DF6040"/>
    <w:rsid w:val="00DF75A5"/>
    <w:rsid w:val="00E01071"/>
    <w:rsid w:val="00E05372"/>
    <w:rsid w:val="00E056C2"/>
    <w:rsid w:val="00E0670B"/>
    <w:rsid w:val="00E079B0"/>
    <w:rsid w:val="00E13A9D"/>
    <w:rsid w:val="00E1797C"/>
    <w:rsid w:val="00E20270"/>
    <w:rsid w:val="00E20D7C"/>
    <w:rsid w:val="00E2186A"/>
    <w:rsid w:val="00E25833"/>
    <w:rsid w:val="00E267C1"/>
    <w:rsid w:val="00E26E81"/>
    <w:rsid w:val="00E27354"/>
    <w:rsid w:val="00E27439"/>
    <w:rsid w:val="00E313E3"/>
    <w:rsid w:val="00E31EF2"/>
    <w:rsid w:val="00E33607"/>
    <w:rsid w:val="00E3441F"/>
    <w:rsid w:val="00E40CDE"/>
    <w:rsid w:val="00E419D3"/>
    <w:rsid w:val="00E41DA4"/>
    <w:rsid w:val="00E430A2"/>
    <w:rsid w:val="00E50164"/>
    <w:rsid w:val="00E51985"/>
    <w:rsid w:val="00E52058"/>
    <w:rsid w:val="00E523F4"/>
    <w:rsid w:val="00E54F47"/>
    <w:rsid w:val="00E56FB9"/>
    <w:rsid w:val="00E57B69"/>
    <w:rsid w:val="00E65D29"/>
    <w:rsid w:val="00E73B46"/>
    <w:rsid w:val="00E74C22"/>
    <w:rsid w:val="00E81162"/>
    <w:rsid w:val="00E81821"/>
    <w:rsid w:val="00E82981"/>
    <w:rsid w:val="00E82A32"/>
    <w:rsid w:val="00E83C66"/>
    <w:rsid w:val="00E85E98"/>
    <w:rsid w:val="00E86460"/>
    <w:rsid w:val="00E86F46"/>
    <w:rsid w:val="00E9068C"/>
    <w:rsid w:val="00E90EF0"/>
    <w:rsid w:val="00E91723"/>
    <w:rsid w:val="00E91A4F"/>
    <w:rsid w:val="00E920BF"/>
    <w:rsid w:val="00E9341A"/>
    <w:rsid w:val="00E93CD9"/>
    <w:rsid w:val="00E953AE"/>
    <w:rsid w:val="00E95700"/>
    <w:rsid w:val="00E97D0A"/>
    <w:rsid w:val="00EA022C"/>
    <w:rsid w:val="00EA2681"/>
    <w:rsid w:val="00EA4F4B"/>
    <w:rsid w:val="00EA5BB8"/>
    <w:rsid w:val="00EB217F"/>
    <w:rsid w:val="00EB48CE"/>
    <w:rsid w:val="00EB6BA1"/>
    <w:rsid w:val="00EC0230"/>
    <w:rsid w:val="00EC05E5"/>
    <w:rsid w:val="00EC4851"/>
    <w:rsid w:val="00EC7755"/>
    <w:rsid w:val="00ED03B4"/>
    <w:rsid w:val="00ED2A41"/>
    <w:rsid w:val="00ED3422"/>
    <w:rsid w:val="00ED3AD6"/>
    <w:rsid w:val="00ED6C9B"/>
    <w:rsid w:val="00ED7729"/>
    <w:rsid w:val="00EE1F57"/>
    <w:rsid w:val="00EE25C8"/>
    <w:rsid w:val="00EE2B85"/>
    <w:rsid w:val="00EE61DE"/>
    <w:rsid w:val="00EE72AA"/>
    <w:rsid w:val="00EF04DF"/>
    <w:rsid w:val="00EF15D9"/>
    <w:rsid w:val="00EF2490"/>
    <w:rsid w:val="00EF2CB8"/>
    <w:rsid w:val="00EF49C2"/>
    <w:rsid w:val="00EF57BF"/>
    <w:rsid w:val="00EF5FA0"/>
    <w:rsid w:val="00EF6D08"/>
    <w:rsid w:val="00EF7200"/>
    <w:rsid w:val="00F009EC"/>
    <w:rsid w:val="00F01F2F"/>
    <w:rsid w:val="00F021BE"/>
    <w:rsid w:val="00F02A91"/>
    <w:rsid w:val="00F02F7C"/>
    <w:rsid w:val="00F045B9"/>
    <w:rsid w:val="00F06583"/>
    <w:rsid w:val="00F14C15"/>
    <w:rsid w:val="00F160D4"/>
    <w:rsid w:val="00F1613B"/>
    <w:rsid w:val="00F22AF9"/>
    <w:rsid w:val="00F23A7D"/>
    <w:rsid w:val="00F23DB6"/>
    <w:rsid w:val="00F23FBA"/>
    <w:rsid w:val="00F246AF"/>
    <w:rsid w:val="00F2482B"/>
    <w:rsid w:val="00F2567E"/>
    <w:rsid w:val="00F25F52"/>
    <w:rsid w:val="00F27765"/>
    <w:rsid w:val="00F27C10"/>
    <w:rsid w:val="00F327FB"/>
    <w:rsid w:val="00F35330"/>
    <w:rsid w:val="00F44C02"/>
    <w:rsid w:val="00F46E27"/>
    <w:rsid w:val="00F46E75"/>
    <w:rsid w:val="00F50363"/>
    <w:rsid w:val="00F505E1"/>
    <w:rsid w:val="00F51AB6"/>
    <w:rsid w:val="00F55F4B"/>
    <w:rsid w:val="00F60A6A"/>
    <w:rsid w:val="00F627B1"/>
    <w:rsid w:val="00F62F00"/>
    <w:rsid w:val="00F63037"/>
    <w:rsid w:val="00F63535"/>
    <w:rsid w:val="00F6595A"/>
    <w:rsid w:val="00F66087"/>
    <w:rsid w:val="00F66EEF"/>
    <w:rsid w:val="00F67029"/>
    <w:rsid w:val="00F672D1"/>
    <w:rsid w:val="00F67968"/>
    <w:rsid w:val="00F7030C"/>
    <w:rsid w:val="00F711CC"/>
    <w:rsid w:val="00F724C5"/>
    <w:rsid w:val="00F80874"/>
    <w:rsid w:val="00F80B28"/>
    <w:rsid w:val="00F83D3F"/>
    <w:rsid w:val="00F866A1"/>
    <w:rsid w:val="00F87632"/>
    <w:rsid w:val="00F90C5B"/>
    <w:rsid w:val="00F927AC"/>
    <w:rsid w:val="00F92825"/>
    <w:rsid w:val="00F948B3"/>
    <w:rsid w:val="00F97573"/>
    <w:rsid w:val="00F976A7"/>
    <w:rsid w:val="00F977D4"/>
    <w:rsid w:val="00FA0D15"/>
    <w:rsid w:val="00FA1680"/>
    <w:rsid w:val="00FA33E4"/>
    <w:rsid w:val="00FA644B"/>
    <w:rsid w:val="00FA7520"/>
    <w:rsid w:val="00FA7D59"/>
    <w:rsid w:val="00FB1844"/>
    <w:rsid w:val="00FB39BE"/>
    <w:rsid w:val="00FB6178"/>
    <w:rsid w:val="00FB76FC"/>
    <w:rsid w:val="00FB78F4"/>
    <w:rsid w:val="00FC166A"/>
    <w:rsid w:val="00FC4B7C"/>
    <w:rsid w:val="00FC61FF"/>
    <w:rsid w:val="00FC643A"/>
    <w:rsid w:val="00FC78F3"/>
    <w:rsid w:val="00FD3048"/>
    <w:rsid w:val="00FD6B06"/>
    <w:rsid w:val="00FD7165"/>
    <w:rsid w:val="00FE39BC"/>
    <w:rsid w:val="00FE6AFF"/>
    <w:rsid w:val="00FF1784"/>
    <w:rsid w:val="00FF39E4"/>
    <w:rsid w:val="00FF62B0"/>
    <w:rsid w:val="00FF67D3"/>
    <w:rsid w:val="00FF689A"/>
    <w:rsid w:val="00FF7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BA5AC"/>
  <w15:chartTrackingRefBased/>
  <w15:docId w15:val="{C67AC3E2-E67E-4B3E-8CC8-809AADCD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A0B"/>
    <w:rPr>
      <w:rFonts w:ascii="Arial" w:hAnsi="Arial"/>
      <w:sz w:val="20"/>
    </w:rPr>
  </w:style>
  <w:style w:type="paragraph" w:styleId="Heading1">
    <w:name w:val="heading 1"/>
    <w:basedOn w:val="Normal"/>
    <w:next w:val="Normal"/>
    <w:link w:val="Heading1Char"/>
    <w:uiPriority w:val="9"/>
    <w:qFormat/>
    <w:rsid w:val="00B5324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14F6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116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27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7B3"/>
    <w:rPr>
      <w:rFonts w:ascii="Segoe UI" w:hAnsi="Segoe UI" w:cs="Segoe UI"/>
      <w:sz w:val="18"/>
      <w:szCs w:val="18"/>
    </w:rPr>
  </w:style>
  <w:style w:type="paragraph" w:styleId="ListParagraph">
    <w:name w:val="List Paragraph"/>
    <w:basedOn w:val="Normal"/>
    <w:uiPriority w:val="34"/>
    <w:qFormat/>
    <w:rsid w:val="002227B3"/>
    <w:pPr>
      <w:ind w:left="720"/>
      <w:contextualSpacing/>
    </w:pPr>
  </w:style>
  <w:style w:type="character" w:styleId="Hyperlink">
    <w:name w:val="Hyperlink"/>
    <w:basedOn w:val="DefaultParagraphFont"/>
    <w:uiPriority w:val="99"/>
    <w:unhideWhenUsed/>
    <w:rsid w:val="002227B3"/>
    <w:rPr>
      <w:color w:val="0000FF"/>
      <w:u w:val="single"/>
    </w:rPr>
  </w:style>
  <w:style w:type="paragraph" w:styleId="FootnoteText">
    <w:name w:val="footnote text"/>
    <w:basedOn w:val="Normal"/>
    <w:link w:val="FootnoteTextChar"/>
    <w:uiPriority w:val="99"/>
    <w:unhideWhenUsed/>
    <w:rsid w:val="002227B3"/>
    <w:pPr>
      <w:spacing w:after="0" w:line="240" w:lineRule="auto"/>
    </w:pPr>
    <w:rPr>
      <w:rFonts w:eastAsiaTheme="minorEastAsia"/>
      <w:szCs w:val="20"/>
      <w:lang w:val="en-GB" w:eastAsia="zh-CN"/>
    </w:rPr>
  </w:style>
  <w:style w:type="character" w:customStyle="1" w:styleId="FootnoteTextChar">
    <w:name w:val="Footnote Text Char"/>
    <w:basedOn w:val="DefaultParagraphFont"/>
    <w:link w:val="FootnoteText"/>
    <w:uiPriority w:val="99"/>
    <w:rsid w:val="002227B3"/>
    <w:rPr>
      <w:rFonts w:eastAsiaTheme="minorEastAsia"/>
      <w:sz w:val="20"/>
      <w:szCs w:val="20"/>
      <w:lang w:val="en-GB" w:eastAsia="zh-CN"/>
    </w:rPr>
  </w:style>
  <w:style w:type="character" w:styleId="FootnoteReference">
    <w:name w:val="footnote reference"/>
    <w:aliases w:val="4_G"/>
    <w:basedOn w:val="DefaultParagraphFont"/>
    <w:uiPriority w:val="99"/>
    <w:unhideWhenUsed/>
    <w:qFormat/>
    <w:rsid w:val="002227B3"/>
    <w:rPr>
      <w:vertAlign w:val="superscript"/>
    </w:rPr>
  </w:style>
  <w:style w:type="character" w:styleId="UnresolvedMention">
    <w:name w:val="Unresolved Mention"/>
    <w:basedOn w:val="DefaultParagraphFont"/>
    <w:uiPriority w:val="99"/>
    <w:semiHidden/>
    <w:unhideWhenUsed/>
    <w:rsid w:val="002227B3"/>
    <w:rPr>
      <w:color w:val="605E5C"/>
      <w:shd w:val="clear" w:color="auto" w:fill="E1DFDD"/>
    </w:rPr>
  </w:style>
  <w:style w:type="character" w:styleId="FollowedHyperlink">
    <w:name w:val="FollowedHyperlink"/>
    <w:basedOn w:val="DefaultParagraphFont"/>
    <w:uiPriority w:val="99"/>
    <w:semiHidden/>
    <w:unhideWhenUsed/>
    <w:rsid w:val="00724C66"/>
    <w:rPr>
      <w:color w:val="800080" w:themeColor="followedHyperlink"/>
      <w:u w:val="single"/>
    </w:rPr>
  </w:style>
  <w:style w:type="paragraph" w:styleId="NormalWeb">
    <w:name w:val="Normal (Web)"/>
    <w:basedOn w:val="Normal"/>
    <w:uiPriority w:val="99"/>
    <w:semiHidden/>
    <w:unhideWhenUsed/>
    <w:rsid w:val="00A84C4E"/>
    <w:rPr>
      <w:rFonts w:ascii="Times New Roman" w:hAnsi="Times New Roman" w:cs="Times New Roman"/>
      <w:sz w:val="24"/>
      <w:szCs w:val="24"/>
    </w:rPr>
  </w:style>
  <w:style w:type="character" w:customStyle="1" w:styleId="Heading1Char">
    <w:name w:val="Heading 1 Char"/>
    <w:basedOn w:val="DefaultParagraphFont"/>
    <w:link w:val="Heading1"/>
    <w:uiPriority w:val="9"/>
    <w:rsid w:val="00B53241"/>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7D7295"/>
    <w:rPr>
      <w:i/>
      <w:iCs/>
    </w:rPr>
  </w:style>
  <w:style w:type="character" w:customStyle="1" w:styleId="Heading3Char">
    <w:name w:val="Heading 3 Char"/>
    <w:basedOn w:val="DefaultParagraphFont"/>
    <w:link w:val="Heading3"/>
    <w:uiPriority w:val="9"/>
    <w:semiHidden/>
    <w:rsid w:val="00D11673"/>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CE0A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A0B"/>
  </w:style>
  <w:style w:type="paragraph" w:styleId="Footer">
    <w:name w:val="footer"/>
    <w:basedOn w:val="Normal"/>
    <w:link w:val="FooterChar"/>
    <w:uiPriority w:val="99"/>
    <w:unhideWhenUsed/>
    <w:rsid w:val="00CE0A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A0B"/>
  </w:style>
  <w:style w:type="character" w:styleId="CommentReference">
    <w:name w:val="annotation reference"/>
    <w:basedOn w:val="DefaultParagraphFont"/>
    <w:uiPriority w:val="99"/>
    <w:semiHidden/>
    <w:unhideWhenUsed/>
    <w:rsid w:val="009126DD"/>
    <w:rPr>
      <w:sz w:val="16"/>
      <w:szCs w:val="16"/>
    </w:rPr>
  </w:style>
  <w:style w:type="paragraph" w:styleId="CommentText">
    <w:name w:val="annotation text"/>
    <w:basedOn w:val="Normal"/>
    <w:link w:val="CommentTextChar"/>
    <w:uiPriority w:val="99"/>
    <w:semiHidden/>
    <w:unhideWhenUsed/>
    <w:rsid w:val="009126DD"/>
    <w:pPr>
      <w:spacing w:line="240" w:lineRule="auto"/>
    </w:pPr>
    <w:rPr>
      <w:szCs w:val="20"/>
    </w:rPr>
  </w:style>
  <w:style w:type="character" w:customStyle="1" w:styleId="CommentTextChar">
    <w:name w:val="Comment Text Char"/>
    <w:basedOn w:val="DefaultParagraphFont"/>
    <w:link w:val="CommentText"/>
    <w:uiPriority w:val="99"/>
    <w:semiHidden/>
    <w:rsid w:val="009126D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126DD"/>
    <w:rPr>
      <w:b/>
      <w:bCs/>
    </w:rPr>
  </w:style>
  <w:style w:type="character" w:customStyle="1" w:styleId="CommentSubjectChar">
    <w:name w:val="Comment Subject Char"/>
    <w:basedOn w:val="CommentTextChar"/>
    <w:link w:val="CommentSubject"/>
    <w:uiPriority w:val="99"/>
    <w:semiHidden/>
    <w:rsid w:val="009126DD"/>
    <w:rPr>
      <w:rFonts w:ascii="Arial" w:hAnsi="Arial"/>
      <w:b/>
      <w:bCs/>
      <w:sz w:val="20"/>
      <w:szCs w:val="20"/>
    </w:rPr>
  </w:style>
  <w:style w:type="character" w:customStyle="1" w:styleId="Heading2Char">
    <w:name w:val="Heading 2 Char"/>
    <w:basedOn w:val="DefaultParagraphFont"/>
    <w:link w:val="Heading2"/>
    <w:uiPriority w:val="9"/>
    <w:semiHidden/>
    <w:rsid w:val="00814F60"/>
    <w:rPr>
      <w:rFonts w:asciiTheme="majorHAnsi" w:eastAsiaTheme="majorEastAsia" w:hAnsiTheme="majorHAnsi" w:cstheme="majorBidi"/>
      <w:color w:val="365F91" w:themeColor="accent1" w:themeShade="BF"/>
      <w:sz w:val="26"/>
      <w:szCs w:val="26"/>
    </w:rPr>
  </w:style>
  <w:style w:type="paragraph" w:styleId="HTMLPreformatted">
    <w:name w:val="HTML Preformatted"/>
    <w:basedOn w:val="Normal"/>
    <w:link w:val="HTMLPreformattedChar"/>
    <w:uiPriority w:val="99"/>
    <w:semiHidden/>
    <w:unhideWhenUsed/>
    <w:rsid w:val="00E056C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E056C2"/>
    <w:rPr>
      <w:rFonts w:ascii="Consolas" w:hAnsi="Consolas"/>
      <w:sz w:val="20"/>
      <w:szCs w:val="20"/>
    </w:rPr>
  </w:style>
  <w:style w:type="paragraph" w:customStyle="1" w:styleId="5G1">
    <w:name w:val="5_G1"/>
    <w:basedOn w:val="Normal"/>
    <w:uiPriority w:val="99"/>
    <w:rsid w:val="00A74002"/>
    <w:pPr>
      <w:spacing w:after="0" w:line="240" w:lineRule="auto"/>
    </w:pPr>
    <w:rPr>
      <w:rFonts w:ascii="Calibri" w:hAnsi="Calibri" w:cs="Calibri"/>
      <w:szCs w:val="20"/>
      <w:lang w:val="en-GB"/>
    </w:rPr>
  </w:style>
  <w:style w:type="paragraph" w:styleId="Revision">
    <w:name w:val="Revision"/>
    <w:hidden/>
    <w:uiPriority w:val="99"/>
    <w:semiHidden/>
    <w:rsid w:val="00A74002"/>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5354">
      <w:bodyDiv w:val="1"/>
      <w:marLeft w:val="0"/>
      <w:marRight w:val="0"/>
      <w:marTop w:val="0"/>
      <w:marBottom w:val="0"/>
      <w:divBdr>
        <w:top w:val="none" w:sz="0" w:space="0" w:color="auto"/>
        <w:left w:val="none" w:sz="0" w:space="0" w:color="auto"/>
        <w:bottom w:val="none" w:sz="0" w:space="0" w:color="auto"/>
        <w:right w:val="none" w:sz="0" w:space="0" w:color="auto"/>
      </w:divBdr>
    </w:div>
    <w:div w:id="75710739">
      <w:bodyDiv w:val="1"/>
      <w:marLeft w:val="0"/>
      <w:marRight w:val="0"/>
      <w:marTop w:val="0"/>
      <w:marBottom w:val="0"/>
      <w:divBdr>
        <w:top w:val="none" w:sz="0" w:space="0" w:color="auto"/>
        <w:left w:val="none" w:sz="0" w:space="0" w:color="auto"/>
        <w:bottom w:val="none" w:sz="0" w:space="0" w:color="auto"/>
        <w:right w:val="none" w:sz="0" w:space="0" w:color="auto"/>
      </w:divBdr>
    </w:div>
    <w:div w:id="90125901">
      <w:bodyDiv w:val="1"/>
      <w:marLeft w:val="0"/>
      <w:marRight w:val="0"/>
      <w:marTop w:val="0"/>
      <w:marBottom w:val="0"/>
      <w:divBdr>
        <w:top w:val="none" w:sz="0" w:space="0" w:color="auto"/>
        <w:left w:val="none" w:sz="0" w:space="0" w:color="auto"/>
        <w:bottom w:val="none" w:sz="0" w:space="0" w:color="auto"/>
        <w:right w:val="none" w:sz="0" w:space="0" w:color="auto"/>
      </w:divBdr>
    </w:div>
    <w:div w:id="121196460">
      <w:bodyDiv w:val="1"/>
      <w:marLeft w:val="0"/>
      <w:marRight w:val="0"/>
      <w:marTop w:val="0"/>
      <w:marBottom w:val="0"/>
      <w:divBdr>
        <w:top w:val="none" w:sz="0" w:space="0" w:color="auto"/>
        <w:left w:val="none" w:sz="0" w:space="0" w:color="auto"/>
        <w:bottom w:val="none" w:sz="0" w:space="0" w:color="auto"/>
        <w:right w:val="none" w:sz="0" w:space="0" w:color="auto"/>
      </w:divBdr>
    </w:div>
    <w:div w:id="128137808">
      <w:bodyDiv w:val="1"/>
      <w:marLeft w:val="0"/>
      <w:marRight w:val="0"/>
      <w:marTop w:val="0"/>
      <w:marBottom w:val="0"/>
      <w:divBdr>
        <w:top w:val="none" w:sz="0" w:space="0" w:color="auto"/>
        <w:left w:val="none" w:sz="0" w:space="0" w:color="auto"/>
        <w:bottom w:val="none" w:sz="0" w:space="0" w:color="auto"/>
        <w:right w:val="none" w:sz="0" w:space="0" w:color="auto"/>
      </w:divBdr>
    </w:div>
    <w:div w:id="149099794">
      <w:bodyDiv w:val="1"/>
      <w:marLeft w:val="0"/>
      <w:marRight w:val="0"/>
      <w:marTop w:val="0"/>
      <w:marBottom w:val="0"/>
      <w:divBdr>
        <w:top w:val="none" w:sz="0" w:space="0" w:color="auto"/>
        <w:left w:val="none" w:sz="0" w:space="0" w:color="auto"/>
        <w:bottom w:val="none" w:sz="0" w:space="0" w:color="auto"/>
        <w:right w:val="none" w:sz="0" w:space="0" w:color="auto"/>
      </w:divBdr>
    </w:div>
    <w:div w:id="168838998">
      <w:bodyDiv w:val="1"/>
      <w:marLeft w:val="0"/>
      <w:marRight w:val="0"/>
      <w:marTop w:val="0"/>
      <w:marBottom w:val="0"/>
      <w:divBdr>
        <w:top w:val="none" w:sz="0" w:space="0" w:color="auto"/>
        <w:left w:val="none" w:sz="0" w:space="0" w:color="auto"/>
        <w:bottom w:val="none" w:sz="0" w:space="0" w:color="auto"/>
        <w:right w:val="none" w:sz="0" w:space="0" w:color="auto"/>
      </w:divBdr>
    </w:div>
    <w:div w:id="170141751">
      <w:bodyDiv w:val="1"/>
      <w:marLeft w:val="0"/>
      <w:marRight w:val="0"/>
      <w:marTop w:val="0"/>
      <w:marBottom w:val="0"/>
      <w:divBdr>
        <w:top w:val="none" w:sz="0" w:space="0" w:color="auto"/>
        <w:left w:val="none" w:sz="0" w:space="0" w:color="auto"/>
        <w:bottom w:val="none" w:sz="0" w:space="0" w:color="auto"/>
        <w:right w:val="none" w:sz="0" w:space="0" w:color="auto"/>
      </w:divBdr>
    </w:div>
    <w:div w:id="243418717">
      <w:bodyDiv w:val="1"/>
      <w:marLeft w:val="0"/>
      <w:marRight w:val="0"/>
      <w:marTop w:val="0"/>
      <w:marBottom w:val="0"/>
      <w:divBdr>
        <w:top w:val="none" w:sz="0" w:space="0" w:color="auto"/>
        <w:left w:val="none" w:sz="0" w:space="0" w:color="auto"/>
        <w:bottom w:val="none" w:sz="0" w:space="0" w:color="auto"/>
        <w:right w:val="none" w:sz="0" w:space="0" w:color="auto"/>
      </w:divBdr>
    </w:div>
    <w:div w:id="321354444">
      <w:bodyDiv w:val="1"/>
      <w:marLeft w:val="0"/>
      <w:marRight w:val="0"/>
      <w:marTop w:val="0"/>
      <w:marBottom w:val="0"/>
      <w:divBdr>
        <w:top w:val="none" w:sz="0" w:space="0" w:color="auto"/>
        <w:left w:val="none" w:sz="0" w:space="0" w:color="auto"/>
        <w:bottom w:val="none" w:sz="0" w:space="0" w:color="auto"/>
        <w:right w:val="none" w:sz="0" w:space="0" w:color="auto"/>
      </w:divBdr>
    </w:div>
    <w:div w:id="351732931">
      <w:bodyDiv w:val="1"/>
      <w:marLeft w:val="0"/>
      <w:marRight w:val="0"/>
      <w:marTop w:val="0"/>
      <w:marBottom w:val="0"/>
      <w:divBdr>
        <w:top w:val="none" w:sz="0" w:space="0" w:color="auto"/>
        <w:left w:val="none" w:sz="0" w:space="0" w:color="auto"/>
        <w:bottom w:val="none" w:sz="0" w:space="0" w:color="auto"/>
        <w:right w:val="none" w:sz="0" w:space="0" w:color="auto"/>
      </w:divBdr>
    </w:div>
    <w:div w:id="402720691">
      <w:bodyDiv w:val="1"/>
      <w:marLeft w:val="0"/>
      <w:marRight w:val="0"/>
      <w:marTop w:val="0"/>
      <w:marBottom w:val="0"/>
      <w:divBdr>
        <w:top w:val="none" w:sz="0" w:space="0" w:color="auto"/>
        <w:left w:val="none" w:sz="0" w:space="0" w:color="auto"/>
        <w:bottom w:val="none" w:sz="0" w:space="0" w:color="auto"/>
        <w:right w:val="none" w:sz="0" w:space="0" w:color="auto"/>
      </w:divBdr>
    </w:div>
    <w:div w:id="486627543">
      <w:bodyDiv w:val="1"/>
      <w:marLeft w:val="0"/>
      <w:marRight w:val="0"/>
      <w:marTop w:val="0"/>
      <w:marBottom w:val="0"/>
      <w:divBdr>
        <w:top w:val="none" w:sz="0" w:space="0" w:color="auto"/>
        <w:left w:val="none" w:sz="0" w:space="0" w:color="auto"/>
        <w:bottom w:val="none" w:sz="0" w:space="0" w:color="auto"/>
        <w:right w:val="none" w:sz="0" w:space="0" w:color="auto"/>
      </w:divBdr>
    </w:div>
    <w:div w:id="552666585">
      <w:bodyDiv w:val="1"/>
      <w:marLeft w:val="0"/>
      <w:marRight w:val="0"/>
      <w:marTop w:val="0"/>
      <w:marBottom w:val="0"/>
      <w:divBdr>
        <w:top w:val="none" w:sz="0" w:space="0" w:color="auto"/>
        <w:left w:val="none" w:sz="0" w:space="0" w:color="auto"/>
        <w:bottom w:val="none" w:sz="0" w:space="0" w:color="auto"/>
        <w:right w:val="none" w:sz="0" w:space="0" w:color="auto"/>
      </w:divBdr>
    </w:div>
    <w:div w:id="567960332">
      <w:bodyDiv w:val="1"/>
      <w:marLeft w:val="0"/>
      <w:marRight w:val="0"/>
      <w:marTop w:val="0"/>
      <w:marBottom w:val="0"/>
      <w:divBdr>
        <w:top w:val="none" w:sz="0" w:space="0" w:color="auto"/>
        <w:left w:val="none" w:sz="0" w:space="0" w:color="auto"/>
        <w:bottom w:val="none" w:sz="0" w:space="0" w:color="auto"/>
        <w:right w:val="none" w:sz="0" w:space="0" w:color="auto"/>
      </w:divBdr>
    </w:div>
    <w:div w:id="645279088">
      <w:bodyDiv w:val="1"/>
      <w:marLeft w:val="0"/>
      <w:marRight w:val="0"/>
      <w:marTop w:val="0"/>
      <w:marBottom w:val="0"/>
      <w:divBdr>
        <w:top w:val="none" w:sz="0" w:space="0" w:color="auto"/>
        <w:left w:val="none" w:sz="0" w:space="0" w:color="auto"/>
        <w:bottom w:val="none" w:sz="0" w:space="0" w:color="auto"/>
        <w:right w:val="none" w:sz="0" w:space="0" w:color="auto"/>
      </w:divBdr>
    </w:div>
    <w:div w:id="979186734">
      <w:bodyDiv w:val="1"/>
      <w:marLeft w:val="0"/>
      <w:marRight w:val="0"/>
      <w:marTop w:val="0"/>
      <w:marBottom w:val="0"/>
      <w:divBdr>
        <w:top w:val="none" w:sz="0" w:space="0" w:color="auto"/>
        <w:left w:val="none" w:sz="0" w:space="0" w:color="auto"/>
        <w:bottom w:val="none" w:sz="0" w:space="0" w:color="auto"/>
        <w:right w:val="none" w:sz="0" w:space="0" w:color="auto"/>
      </w:divBdr>
    </w:div>
    <w:div w:id="998459780">
      <w:bodyDiv w:val="1"/>
      <w:marLeft w:val="0"/>
      <w:marRight w:val="0"/>
      <w:marTop w:val="0"/>
      <w:marBottom w:val="0"/>
      <w:divBdr>
        <w:top w:val="none" w:sz="0" w:space="0" w:color="auto"/>
        <w:left w:val="none" w:sz="0" w:space="0" w:color="auto"/>
        <w:bottom w:val="none" w:sz="0" w:space="0" w:color="auto"/>
        <w:right w:val="none" w:sz="0" w:space="0" w:color="auto"/>
      </w:divBdr>
    </w:div>
    <w:div w:id="1010717936">
      <w:bodyDiv w:val="1"/>
      <w:marLeft w:val="0"/>
      <w:marRight w:val="0"/>
      <w:marTop w:val="0"/>
      <w:marBottom w:val="0"/>
      <w:divBdr>
        <w:top w:val="none" w:sz="0" w:space="0" w:color="auto"/>
        <w:left w:val="none" w:sz="0" w:space="0" w:color="auto"/>
        <w:bottom w:val="none" w:sz="0" w:space="0" w:color="auto"/>
        <w:right w:val="none" w:sz="0" w:space="0" w:color="auto"/>
      </w:divBdr>
      <w:divsChild>
        <w:div w:id="1236163592">
          <w:marLeft w:val="0"/>
          <w:marRight w:val="0"/>
          <w:marTop w:val="0"/>
          <w:marBottom w:val="0"/>
          <w:divBdr>
            <w:top w:val="single" w:sz="6" w:space="6" w:color="D6D6D6"/>
            <w:left w:val="single" w:sz="6" w:space="18" w:color="D6D6D6"/>
            <w:bottom w:val="single" w:sz="6" w:space="6" w:color="D6D6D6"/>
            <w:right w:val="single" w:sz="6" w:space="18" w:color="D6D6D6"/>
          </w:divBdr>
          <w:divsChild>
            <w:div w:id="21014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1797">
      <w:bodyDiv w:val="1"/>
      <w:marLeft w:val="0"/>
      <w:marRight w:val="0"/>
      <w:marTop w:val="0"/>
      <w:marBottom w:val="0"/>
      <w:divBdr>
        <w:top w:val="none" w:sz="0" w:space="0" w:color="auto"/>
        <w:left w:val="none" w:sz="0" w:space="0" w:color="auto"/>
        <w:bottom w:val="none" w:sz="0" w:space="0" w:color="auto"/>
        <w:right w:val="none" w:sz="0" w:space="0" w:color="auto"/>
      </w:divBdr>
    </w:div>
    <w:div w:id="1082526127">
      <w:bodyDiv w:val="1"/>
      <w:marLeft w:val="0"/>
      <w:marRight w:val="0"/>
      <w:marTop w:val="0"/>
      <w:marBottom w:val="0"/>
      <w:divBdr>
        <w:top w:val="none" w:sz="0" w:space="0" w:color="auto"/>
        <w:left w:val="none" w:sz="0" w:space="0" w:color="auto"/>
        <w:bottom w:val="none" w:sz="0" w:space="0" w:color="auto"/>
        <w:right w:val="none" w:sz="0" w:space="0" w:color="auto"/>
      </w:divBdr>
    </w:div>
    <w:div w:id="1128010978">
      <w:bodyDiv w:val="1"/>
      <w:marLeft w:val="0"/>
      <w:marRight w:val="0"/>
      <w:marTop w:val="0"/>
      <w:marBottom w:val="0"/>
      <w:divBdr>
        <w:top w:val="none" w:sz="0" w:space="0" w:color="auto"/>
        <w:left w:val="none" w:sz="0" w:space="0" w:color="auto"/>
        <w:bottom w:val="none" w:sz="0" w:space="0" w:color="auto"/>
        <w:right w:val="none" w:sz="0" w:space="0" w:color="auto"/>
      </w:divBdr>
    </w:div>
    <w:div w:id="1147167285">
      <w:bodyDiv w:val="1"/>
      <w:marLeft w:val="0"/>
      <w:marRight w:val="0"/>
      <w:marTop w:val="0"/>
      <w:marBottom w:val="0"/>
      <w:divBdr>
        <w:top w:val="none" w:sz="0" w:space="0" w:color="auto"/>
        <w:left w:val="none" w:sz="0" w:space="0" w:color="auto"/>
        <w:bottom w:val="none" w:sz="0" w:space="0" w:color="auto"/>
        <w:right w:val="none" w:sz="0" w:space="0" w:color="auto"/>
      </w:divBdr>
    </w:div>
    <w:div w:id="1161583466">
      <w:bodyDiv w:val="1"/>
      <w:marLeft w:val="0"/>
      <w:marRight w:val="0"/>
      <w:marTop w:val="0"/>
      <w:marBottom w:val="0"/>
      <w:divBdr>
        <w:top w:val="none" w:sz="0" w:space="0" w:color="auto"/>
        <w:left w:val="none" w:sz="0" w:space="0" w:color="auto"/>
        <w:bottom w:val="none" w:sz="0" w:space="0" w:color="auto"/>
        <w:right w:val="none" w:sz="0" w:space="0" w:color="auto"/>
      </w:divBdr>
    </w:div>
    <w:div w:id="1212115500">
      <w:bodyDiv w:val="1"/>
      <w:marLeft w:val="0"/>
      <w:marRight w:val="0"/>
      <w:marTop w:val="0"/>
      <w:marBottom w:val="0"/>
      <w:divBdr>
        <w:top w:val="none" w:sz="0" w:space="0" w:color="auto"/>
        <w:left w:val="none" w:sz="0" w:space="0" w:color="auto"/>
        <w:bottom w:val="none" w:sz="0" w:space="0" w:color="auto"/>
        <w:right w:val="none" w:sz="0" w:space="0" w:color="auto"/>
      </w:divBdr>
    </w:div>
    <w:div w:id="1253389839">
      <w:bodyDiv w:val="1"/>
      <w:marLeft w:val="0"/>
      <w:marRight w:val="0"/>
      <w:marTop w:val="0"/>
      <w:marBottom w:val="0"/>
      <w:divBdr>
        <w:top w:val="none" w:sz="0" w:space="0" w:color="auto"/>
        <w:left w:val="none" w:sz="0" w:space="0" w:color="auto"/>
        <w:bottom w:val="none" w:sz="0" w:space="0" w:color="auto"/>
        <w:right w:val="none" w:sz="0" w:space="0" w:color="auto"/>
      </w:divBdr>
    </w:div>
    <w:div w:id="1254163971">
      <w:bodyDiv w:val="1"/>
      <w:marLeft w:val="0"/>
      <w:marRight w:val="0"/>
      <w:marTop w:val="0"/>
      <w:marBottom w:val="0"/>
      <w:divBdr>
        <w:top w:val="none" w:sz="0" w:space="0" w:color="auto"/>
        <w:left w:val="none" w:sz="0" w:space="0" w:color="auto"/>
        <w:bottom w:val="none" w:sz="0" w:space="0" w:color="auto"/>
        <w:right w:val="none" w:sz="0" w:space="0" w:color="auto"/>
      </w:divBdr>
    </w:div>
    <w:div w:id="1276790193">
      <w:bodyDiv w:val="1"/>
      <w:marLeft w:val="0"/>
      <w:marRight w:val="0"/>
      <w:marTop w:val="0"/>
      <w:marBottom w:val="0"/>
      <w:divBdr>
        <w:top w:val="none" w:sz="0" w:space="0" w:color="auto"/>
        <w:left w:val="none" w:sz="0" w:space="0" w:color="auto"/>
        <w:bottom w:val="none" w:sz="0" w:space="0" w:color="auto"/>
        <w:right w:val="none" w:sz="0" w:space="0" w:color="auto"/>
      </w:divBdr>
    </w:div>
    <w:div w:id="1293439726">
      <w:bodyDiv w:val="1"/>
      <w:marLeft w:val="0"/>
      <w:marRight w:val="0"/>
      <w:marTop w:val="0"/>
      <w:marBottom w:val="0"/>
      <w:divBdr>
        <w:top w:val="none" w:sz="0" w:space="0" w:color="auto"/>
        <w:left w:val="none" w:sz="0" w:space="0" w:color="auto"/>
        <w:bottom w:val="none" w:sz="0" w:space="0" w:color="auto"/>
        <w:right w:val="none" w:sz="0" w:space="0" w:color="auto"/>
      </w:divBdr>
    </w:div>
    <w:div w:id="1298486678">
      <w:bodyDiv w:val="1"/>
      <w:marLeft w:val="0"/>
      <w:marRight w:val="0"/>
      <w:marTop w:val="0"/>
      <w:marBottom w:val="0"/>
      <w:divBdr>
        <w:top w:val="none" w:sz="0" w:space="0" w:color="auto"/>
        <w:left w:val="none" w:sz="0" w:space="0" w:color="auto"/>
        <w:bottom w:val="none" w:sz="0" w:space="0" w:color="auto"/>
        <w:right w:val="none" w:sz="0" w:space="0" w:color="auto"/>
      </w:divBdr>
    </w:div>
    <w:div w:id="1365866179">
      <w:bodyDiv w:val="1"/>
      <w:marLeft w:val="0"/>
      <w:marRight w:val="0"/>
      <w:marTop w:val="0"/>
      <w:marBottom w:val="0"/>
      <w:divBdr>
        <w:top w:val="none" w:sz="0" w:space="0" w:color="auto"/>
        <w:left w:val="none" w:sz="0" w:space="0" w:color="auto"/>
        <w:bottom w:val="none" w:sz="0" w:space="0" w:color="auto"/>
        <w:right w:val="none" w:sz="0" w:space="0" w:color="auto"/>
      </w:divBdr>
    </w:div>
    <w:div w:id="1461537652">
      <w:bodyDiv w:val="1"/>
      <w:marLeft w:val="0"/>
      <w:marRight w:val="0"/>
      <w:marTop w:val="0"/>
      <w:marBottom w:val="0"/>
      <w:divBdr>
        <w:top w:val="none" w:sz="0" w:space="0" w:color="auto"/>
        <w:left w:val="none" w:sz="0" w:space="0" w:color="auto"/>
        <w:bottom w:val="none" w:sz="0" w:space="0" w:color="auto"/>
        <w:right w:val="none" w:sz="0" w:space="0" w:color="auto"/>
      </w:divBdr>
    </w:div>
    <w:div w:id="1513571263">
      <w:bodyDiv w:val="1"/>
      <w:marLeft w:val="0"/>
      <w:marRight w:val="0"/>
      <w:marTop w:val="0"/>
      <w:marBottom w:val="0"/>
      <w:divBdr>
        <w:top w:val="none" w:sz="0" w:space="0" w:color="auto"/>
        <w:left w:val="none" w:sz="0" w:space="0" w:color="auto"/>
        <w:bottom w:val="none" w:sz="0" w:space="0" w:color="auto"/>
        <w:right w:val="none" w:sz="0" w:space="0" w:color="auto"/>
      </w:divBdr>
    </w:div>
    <w:div w:id="1526406841">
      <w:bodyDiv w:val="1"/>
      <w:marLeft w:val="0"/>
      <w:marRight w:val="0"/>
      <w:marTop w:val="0"/>
      <w:marBottom w:val="0"/>
      <w:divBdr>
        <w:top w:val="none" w:sz="0" w:space="0" w:color="auto"/>
        <w:left w:val="none" w:sz="0" w:space="0" w:color="auto"/>
        <w:bottom w:val="none" w:sz="0" w:space="0" w:color="auto"/>
        <w:right w:val="none" w:sz="0" w:space="0" w:color="auto"/>
      </w:divBdr>
    </w:div>
    <w:div w:id="1677464045">
      <w:bodyDiv w:val="1"/>
      <w:marLeft w:val="0"/>
      <w:marRight w:val="0"/>
      <w:marTop w:val="0"/>
      <w:marBottom w:val="0"/>
      <w:divBdr>
        <w:top w:val="none" w:sz="0" w:space="0" w:color="auto"/>
        <w:left w:val="none" w:sz="0" w:space="0" w:color="auto"/>
        <w:bottom w:val="none" w:sz="0" w:space="0" w:color="auto"/>
        <w:right w:val="none" w:sz="0" w:space="0" w:color="auto"/>
      </w:divBdr>
    </w:div>
    <w:div w:id="1741247313">
      <w:bodyDiv w:val="1"/>
      <w:marLeft w:val="0"/>
      <w:marRight w:val="0"/>
      <w:marTop w:val="0"/>
      <w:marBottom w:val="0"/>
      <w:divBdr>
        <w:top w:val="none" w:sz="0" w:space="0" w:color="auto"/>
        <w:left w:val="none" w:sz="0" w:space="0" w:color="auto"/>
        <w:bottom w:val="none" w:sz="0" w:space="0" w:color="auto"/>
        <w:right w:val="none" w:sz="0" w:space="0" w:color="auto"/>
      </w:divBdr>
    </w:div>
    <w:div w:id="1749424914">
      <w:bodyDiv w:val="1"/>
      <w:marLeft w:val="0"/>
      <w:marRight w:val="0"/>
      <w:marTop w:val="0"/>
      <w:marBottom w:val="0"/>
      <w:divBdr>
        <w:top w:val="none" w:sz="0" w:space="0" w:color="auto"/>
        <w:left w:val="none" w:sz="0" w:space="0" w:color="auto"/>
        <w:bottom w:val="none" w:sz="0" w:space="0" w:color="auto"/>
        <w:right w:val="none" w:sz="0" w:space="0" w:color="auto"/>
      </w:divBdr>
    </w:div>
    <w:div w:id="1816801534">
      <w:bodyDiv w:val="1"/>
      <w:marLeft w:val="0"/>
      <w:marRight w:val="0"/>
      <w:marTop w:val="0"/>
      <w:marBottom w:val="0"/>
      <w:divBdr>
        <w:top w:val="none" w:sz="0" w:space="0" w:color="auto"/>
        <w:left w:val="none" w:sz="0" w:space="0" w:color="auto"/>
        <w:bottom w:val="none" w:sz="0" w:space="0" w:color="auto"/>
        <w:right w:val="none" w:sz="0" w:space="0" w:color="auto"/>
      </w:divBdr>
    </w:div>
    <w:div w:id="1828278472">
      <w:bodyDiv w:val="1"/>
      <w:marLeft w:val="0"/>
      <w:marRight w:val="0"/>
      <w:marTop w:val="0"/>
      <w:marBottom w:val="0"/>
      <w:divBdr>
        <w:top w:val="none" w:sz="0" w:space="0" w:color="auto"/>
        <w:left w:val="none" w:sz="0" w:space="0" w:color="auto"/>
        <w:bottom w:val="none" w:sz="0" w:space="0" w:color="auto"/>
        <w:right w:val="none" w:sz="0" w:space="0" w:color="auto"/>
      </w:divBdr>
    </w:div>
    <w:div w:id="2038265132">
      <w:bodyDiv w:val="1"/>
      <w:marLeft w:val="0"/>
      <w:marRight w:val="0"/>
      <w:marTop w:val="0"/>
      <w:marBottom w:val="0"/>
      <w:divBdr>
        <w:top w:val="none" w:sz="0" w:space="0" w:color="auto"/>
        <w:left w:val="none" w:sz="0" w:space="0" w:color="auto"/>
        <w:bottom w:val="none" w:sz="0" w:space="0" w:color="auto"/>
        <w:right w:val="none" w:sz="0" w:space="0" w:color="auto"/>
      </w:divBdr>
    </w:div>
    <w:div w:id="2124155134">
      <w:bodyDiv w:val="1"/>
      <w:marLeft w:val="0"/>
      <w:marRight w:val="0"/>
      <w:marTop w:val="0"/>
      <w:marBottom w:val="0"/>
      <w:divBdr>
        <w:top w:val="none" w:sz="0" w:space="0" w:color="auto"/>
        <w:left w:val="none" w:sz="0" w:space="0" w:color="auto"/>
        <w:bottom w:val="none" w:sz="0" w:space="0" w:color="auto"/>
        <w:right w:val="none" w:sz="0" w:space="0" w:color="auto"/>
      </w:divBdr>
    </w:div>
    <w:div w:id="213817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refworld.org/docid/5fc0e1e24.html" TargetMode="External"/><Relationship Id="rId18" Type="http://schemas.openxmlformats.org/officeDocument/2006/relationships/hyperlink" Target="http://azeridaily.com/reality/63847" TargetMode="External"/><Relationship Id="rId26" Type="http://schemas.openxmlformats.org/officeDocument/2006/relationships/hyperlink" Target="https://hudoc.echr.coe.int/app/conversion/pdf/?library=ECHR&amp;id=003-6965126-9374600&amp;filename=Armenia%20v.%20Azerbaijan%20and%20alleged%20captives%3A%20notification%20to%20the%20Committee%20of%20Ministers%20of%20interim%20measures%20indicated%20.pdf" TargetMode="External"/><Relationship Id="rId39" Type="http://schemas.openxmlformats.org/officeDocument/2006/relationships/hyperlink" Target="https://www.iphronline.org/wp-content/uploads/2021/06/NK_final_report_2021.pdf" TargetMode="External"/><Relationship Id="rId21" Type="http://schemas.openxmlformats.org/officeDocument/2006/relationships/hyperlink" Target="http://hudoc.echr.coe.int/eng/?i=001-88770" TargetMode="External"/><Relationship Id="rId34" Type="http://schemas.openxmlformats.org/officeDocument/2006/relationships/hyperlink" Target="https://hudoc.echr.coe.int/eng" TargetMode="External"/><Relationship Id="rId42" Type="http://schemas.openxmlformats.org/officeDocument/2006/relationships/hyperlink" Target="https://www.amnesty.org/en/latest/press-release/2020/12/armenia-azerbaijan-decapitation-and-war-crimes-in-gruesome-videos-must-be-urgently-investigated/" TargetMode="External"/><Relationship Id="rId47" Type="http://schemas.openxmlformats.org/officeDocument/2006/relationships/hyperlink" Target="https://www.iphronline.org/wp-content/uploads/2021/06/NK_final_report_2021.pdf" TargetMode="External"/><Relationship Id="rId50" Type="http://schemas.openxmlformats.org/officeDocument/2006/relationships/hyperlink" Target="https://www.hrw.org/news/2020/10/23/azerbaijan-cluster-munitions-used-nagorno-karabakh" TargetMode="External"/><Relationship Id="rId55" Type="http://schemas.openxmlformats.org/officeDocument/2006/relationships/hyperlink" Target="https://reliefweb.int/sites/reliefweb.int/files/resources/2021-SHCC-Nagorno-Karabakh.pdf" TargetMode="External"/><Relationship Id="rId63" Type="http://schemas.openxmlformats.org/officeDocument/2006/relationships/hyperlink" Target="https://www.coe.int/en/web/commissioner/-/nagorno-karabakh-the-escalation-of-the-conflict-is-posing-a-serious-threat-to-human-rights" TargetMode="External"/><Relationship Id="rId68" Type="http://schemas.openxmlformats.org/officeDocument/2006/relationships/hyperlink" Target="https://rm.coe.int/final-version-annual-report-2021-en-wanted-real-action-for-media-freed/1680a2440e" TargetMode="External"/><Relationship Id="rId7" Type="http://schemas.openxmlformats.org/officeDocument/2006/relationships/hyperlink" Target="https://www.coe.int/en/web/commissioner/-/commissioner-mijatovic-urges-the-azerbaijani-authorities-to-respect-freedom-of-expression-improve-access-to-lawyers-and-uphold-the-rights-of-internall" TargetMode="External"/><Relationship Id="rId71" Type="http://schemas.openxmlformats.org/officeDocument/2006/relationships/hyperlink" Target="https://undocs.org/A/HRC/45/45" TargetMode="External"/><Relationship Id="rId2" Type="http://schemas.openxmlformats.org/officeDocument/2006/relationships/hyperlink" Target="https://search.coe.int/cm/Pages/result_details.aspx?ObjectID=09000016805e305a" TargetMode="External"/><Relationship Id="rId16" Type="http://schemas.openxmlformats.org/officeDocument/2006/relationships/hyperlink" Target="https://www.halotrust.org/where-we-work/europe-and-caucasus/nagorno-karabakh/" TargetMode="External"/><Relationship Id="rId29" Type="http://schemas.openxmlformats.org/officeDocument/2006/relationships/hyperlink" Target="https://www.icrc.org/en/document/nagorno-karabakh-families-missing-persons-right-to-know" TargetMode="External"/><Relationship Id="rId11" Type="http://schemas.openxmlformats.org/officeDocument/2006/relationships/hyperlink" Target="https://reliefweb.int/report/armenia/armenia-protection-monitoring-mid-year-report-january-june-2021" TargetMode="External"/><Relationship Id="rId24" Type="http://schemas.openxmlformats.org/officeDocument/2006/relationships/hyperlink" Target="https://www.un.org/en/genocideprevention/documents/atrocity-crimes/Doc.32_GC-III-EN.pdf" TargetMode="External"/><Relationship Id="rId32" Type="http://schemas.openxmlformats.org/officeDocument/2006/relationships/hyperlink" Target="https://pace.coe.int/en/files/29401/html" TargetMode="External"/><Relationship Id="rId37" Type="http://schemas.openxmlformats.org/officeDocument/2006/relationships/hyperlink" Target="https://www.ohchr.org/EN/NewsEvents/Pages/DisplayNews.aspx?NewsID=26494" TargetMode="External"/><Relationship Id="rId40" Type="http://schemas.openxmlformats.org/officeDocument/2006/relationships/hyperlink" Target="https://www.hrw.org/news/2021/03/19/azerbaijan-armenian-pows-abused-custody" TargetMode="External"/><Relationship Id="rId45" Type="http://schemas.openxmlformats.org/officeDocument/2006/relationships/hyperlink" Target="https://pace.coe.int/en/files/29401/html" TargetMode="External"/><Relationship Id="rId53" Type="http://schemas.openxmlformats.org/officeDocument/2006/relationships/hyperlink" Target="https://www.amnesty.org.au/wp-content/uploads/2021/01/In-the-line-of-fire-Armenian-Azerbaijani-conflict.pdf" TargetMode="External"/><Relationship Id="rId58" Type="http://schemas.openxmlformats.org/officeDocument/2006/relationships/hyperlink" Target="http://hudoc.echr.coe.int/eng?i=001-128036" TargetMode="External"/><Relationship Id="rId66" Type="http://schemas.openxmlformats.org/officeDocument/2006/relationships/hyperlink" Target="https://www.coe.int/en/web/commissioner/-/nagorno-karabakh-the-escalation-of-the-conflict-is-posing-a-serious-threat-to-human-rights" TargetMode="External"/><Relationship Id="rId74" Type="http://schemas.openxmlformats.org/officeDocument/2006/relationships/hyperlink" Target="https://search.coe.int/cm/Pages/result_details.aspx?ObjectId=09000016805cea74" TargetMode="External"/><Relationship Id="rId5" Type="http://schemas.openxmlformats.org/officeDocument/2006/relationships/hyperlink" Target="https://www.venice.coe.int/webforms/documents/default.aspx?pdffile=CDL-AD(2009)015-e" TargetMode="External"/><Relationship Id="rId15" Type="http://schemas.openxmlformats.org/officeDocument/2006/relationships/hyperlink" Target="http://hudoc.echr.coe.int/eng?i=001-155353" TargetMode="External"/><Relationship Id="rId23" Type="http://schemas.openxmlformats.org/officeDocument/2006/relationships/hyperlink" Target="https://undocs.org/S/2020/1104" TargetMode="External"/><Relationship Id="rId28" Type="http://schemas.openxmlformats.org/officeDocument/2006/relationships/hyperlink" Target="https://www.hrw.org/news/2021/03/12/survivors-unlawful-detention-nagorno-karabakh-speak-out-about-war-crimes" TargetMode="External"/><Relationship Id="rId36" Type="http://schemas.openxmlformats.org/officeDocument/2006/relationships/hyperlink" Target="http://rm.coe.int/missing-persons-and-victims-of-enforced-disappearance-in-europe-issue-/16806daa1c" TargetMode="External"/><Relationship Id="rId49" Type="http://schemas.openxmlformats.org/officeDocument/2006/relationships/hyperlink" Target="https://www.hrw.org/news/2020/12/11/azerbaijan-unlawful-strikes-nagorno-karabakh" TargetMode="External"/><Relationship Id="rId57" Type="http://schemas.openxmlformats.org/officeDocument/2006/relationships/hyperlink" Target="https://ihl-databases.icrc.org/applic/ihl/ihl.nsf/Treaty.xsp?action=openDocument&amp;documentId=D9E6B6264D7723C3C12563CD002D6CE4" TargetMode="External"/><Relationship Id="rId61" Type="http://schemas.openxmlformats.org/officeDocument/2006/relationships/hyperlink" Target="http://hudoc.echr.coe.int/eng?i=001-58200" TargetMode="External"/><Relationship Id="rId10" Type="http://schemas.openxmlformats.org/officeDocument/2006/relationships/hyperlink" Target="https://reliefweb.int/report/armenia/armenia-fact-sheet-30-june-2021" TargetMode="External"/><Relationship Id="rId19" Type="http://schemas.openxmlformats.org/officeDocument/2006/relationships/hyperlink" Target="https://www.aa.com.tr/en/azerbaijan-front-line/azerbaijan-clears-mines-from-areas-freed-in-karabakh/2059833" TargetMode="External"/><Relationship Id="rId31" Type="http://schemas.openxmlformats.org/officeDocument/2006/relationships/hyperlink" Target="https://dtx.gov.az/en/news/1622.html" TargetMode="External"/><Relationship Id="rId44" Type="http://schemas.openxmlformats.org/officeDocument/2006/relationships/hyperlink" Target="https://search.coe.int/cm/Pages/result_details.aspx?ObjectID=09000016805cd111" TargetMode="External"/><Relationship Id="rId52" Type="http://schemas.openxmlformats.org/officeDocument/2006/relationships/hyperlink" Target="https://www.hrw.org/news/2021/07/15/technical-briefing-note-cluster-munition-use-karabakh-conflict" TargetMode="External"/><Relationship Id="rId60" Type="http://schemas.openxmlformats.org/officeDocument/2006/relationships/hyperlink" Target="https://www.icrc.org/en/download/file/123868/guidelines_on_investigating_violations_of_ihl_final.pdf" TargetMode="External"/><Relationship Id="rId65" Type="http://schemas.openxmlformats.org/officeDocument/2006/relationships/hyperlink" Target="http://rm.coe.int/ecri-general-policy-recommendation-no-15-on-combating-hate-speech/16808b5b01" TargetMode="External"/><Relationship Id="rId73" Type="http://schemas.openxmlformats.org/officeDocument/2006/relationships/hyperlink" Target="https://ennhri.org/nhris-post-conflict/" TargetMode="External"/><Relationship Id="rId4" Type="http://schemas.openxmlformats.org/officeDocument/2006/relationships/hyperlink" Target="https://search.coe.int/cm/Pages/result_details.aspx?ObjectId=09000016805de1a0" TargetMode="External"/><Relationship Id="rId9" Type="http://schemas.openxmlformats.org/officeDocument/2006/relationships/hyperlink" Target="https://reliefweb.int/report/armenia/armenia-protection-monitoring-mid-year-report-january-june-2021" TargetMode="External"/><Relationship Id="rId14" Type="http://schemas.openxmlformats.org/officeDocument/2006/relationships/hyperlink" Target="http://hudoc.echr.coe.int/eng?i=001-155662" TargetMode="External"/><Relationship Id="rId22" Type="http://schemas.openxmlformats.org/officeDocument/2006/relationships/hyperlink" Target="https://treaties.un.org/pages/ViewDetails.aspx?chapter=26&amp;clang=_en&amp;mtdsg_no=XXVI-2&amp;src=TREATY" TargetMode="External"/><Relationship Id="rId27" Type="http://schemas.openxmlformats.org/officeDocument/2006/relationships/hyperlink" Target="https://pace.coe.int/en/files/29401/html" TargetMode="External"/><Relationship Id="rId30" Type="http://schemas.openxmlformats.org/officeDocument/2006/relationships/hyperlink" Target="https://www.crisisgroup.org/europe-central-asia/caucasus/nagorno-karabakh-conflict/264-post-war-prospects-nagorno-karabakh" TargetMode="External"/><Relationship Id="rId35" Type="http://schemas.openxmlformats.org/officeDocument/2006/relationships/hyperlink" Target="http://hudoc.echr.coe.int/Eng?i=001-115657" TargetMode="External"/><Relationship Id="rId43" Type="http://schemas.openxmlformats.org/officeDocument/2006/relationships/hyperlink" Target="https://genprosecutor.gov.az/az/post/3272" TargetMode="External"/><Relationship Id="rId48" Type="http://schemas.openxmlformats.org/officeDocument/2006/relationships/hyperlink" Target="https://www.amnesty.org.au/wp-content/uploads/2021/01/In-the-line-of-fire-Armenian-Azerbaijani-conflict.pdf" TargetMode="External"/><Relationship Id="rId56" Type="http://schemas.openxmlformats.org/officeDocument/2006/relationships/hyperlink" Target="https://www.hrw.org/news/2021/09/08/lessons-war" TargetMode="External"/><Relationship Id="rId64" Type="http://schemas.openxmlformats.org/officeDocument/2006/relationships/hyperlink" Target="http://assembly.coe.int/nw/xml/XRef/Xref-XML2HTML-EN.asp?fileid=27636" TargetMode="External"/><Relationship Id="rId69" Type="http://schemas.openxmlformats.org/officeDocument/2006/relationships/hyperlink" Target="https://rsf.org/en/news/russian-peacekeepers-deny-foreign-reporters-access-nagorno-karabakh" TargetMode="External"/><Relationship Id="rId8" Type="http://schemas.openxmlformats.org/officeDocument/2006/relationships/hyperlink" Target="https://reporting.unhcr.org/sites/default/files/UNHCR%20urgent%20needs%20in%20Armenia%20and%20Azerbaijan%20February%202021.pdf" TargetMode="External"/><Relationship Id="rId51" Type="http://schemas.openxmlformats.org/officeDocument/2006/relationships/hyperlink" Target="https://www.hrw.org/news/2020/12/15/armenia-cluster-munitions-used-multiple-attacks-azerbaijan" TargetMode="External"/><Relationship Id="rId72" Type="http://schemas.openxmlformats.org/officeDocument/2006/relationships/hyperlink" Target="https://rm.coe.int/statement-of-ecri-on-preventing-and-combating-ultra-nationalistic-and-/1680a20d58" TargetMode="External"/><Relationship Id="rId3" Type="http://schemas.openxmlformats.org/officeDocument/2006/relationships/hyperlink" Target="http://assembly.coe.int/nw/xml/XRef/Xref-XML2HTML-en.asp?fileid=17112&amp;lang=en" TargetMode="External"/><Relationship Id="rId12" Type="http://schemas.openxmlformats.org/officeDocument/2006/relationships/hyperlink" Target="https://www.unhcr.org/protection/idps/43ce1cff2/guiding-principles-internal-displacement.html" TargetMode="External"/><Relationship Id="rId17" Type="http://schemas.openxmlformats.org/officeDocument/2006/relationships/hyperlink" Target="https://www.icrc.org/en/document/nagorno-karabakh-conflict-landmines-disturbing-reminder-war" TargetMode="External"/><Relationship Id="rId25" Type="http://schemas.openxmlformats.org/officeDocument/2006/relationships/hyperlink" Target="http://hudoc.echr.coe.int/eng-press?i=003-6889210-9244085" TargetMode="External"/><Relationship Id="rId33" Type="http://schemas.openxmlformats.org/officeDocument/2006/relationships/hyperlink" Target="http://hudoc.echr.coe.int/Eng?i=001-59454" TargetMode="External"/><Relationship Id="rId38" Type="http://schemas.openxmlformats.org/officeDocument/2006/relationships/hyperlink" Target="https://ombuds.am/images/files/5c7485fdc225adfd8a35d583830dcd17.pdf?fbclid=IwAR2OAjo6BxmRFaBSrtbXFqvSyXeM3M-5vZRFGpgCRCo4urVPVE2NPL_VO4g" TargetMode="External"/><Relationship Id="rId46" Type="http://schemas.openxmlformats.org/officeDocument/2006/relationships/hyperlink" Target="https://www.ohchr.org/en/professionalinterest/pages/remedyandreparation.aspx" TargetMode="External"/><Relationship Id="rId59" Type="http://schemas.openxmlformats.org/officeDocument/2006/relationships/hyperlink" Target="http://hudoc.echr.coe.int/eng?i=001-58200" TargetMode="External"/><Relationship Id="rId67" Type="http://schemas.openxmlformats.org/officeDocument/2006/relationships/hyperlink" Target="https://rm.coe.int/09000016805ae60e" TargetMode="External"/><Relationship Id="rId20" Type="http://schemas.openxmlformats.org/officeDocument/2006/relationships/hyperlink" Target="https://eng.mil.ru/en/russian_peacekeeping_forces/news/more.htm?id=12383190@egNews" TargetMode="External"/><Relationship Id="rId41" Type="http://schemas.openxmlformats.org/officeDocument/2006/relationships/hyperlink" Target="https://www.hrw.org/news/2021/03/12/survivors-unlawful-detention-nagorno-karabakh-speak-out-about-war-crimes" TargetMode="External"/><Relationship Id="rId54" Type="http://schemas.openxmlformats.org/officeDocument/2006/relationships/hyperlink" Target="https://www.hrw.org/news/2021/02/26/unlawful-attacks-medical-facilities-and-personnel-nagorno-karabakh" TargetMode="External"/><Relationship Id="rId62" Type="http://schemas.openxmlformats.org/officeDocument/2006/relationships/hyperlink" Target="http://hudoc.echr.coe.int/eng?i=001-23973" TargetMode="External"/><Relationship Id="rId70" Type="http://schemas.openxmlformats.org/officeDocument/2006/relationships/hyperlink" Target="https://www.coe.int/en/web/commissioner/-/azerbaijan-efforts-to-deal-with-the-past-should-become-the-priority-to-ensure-reconciliation-andlasting-peace" TargetMode="External"/><Relationship Id="rId1" Type="http://schemas.openxmlformats.org/officeDocument/2006/relationships/hyperlink" Target="https://undocs.org/S/2020/1104" TargetMode="External"/><Relationship Id="rId6" Type="http://schemas.openxmlformats.org/officeDocument/2006/relationships/hyperlink" Target="https://pace.coe.int/en/files/25168/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FCCB05DEEB84FBBD69D81700AADC5" ma:contentTypeVersion="4" ma:contentTypeDescription="Create a new document." ma:contentTypeScope="" ma:versionID="8e92ed3a3202408209537364733e0053">
  <xsd:schema xmlns:xsd="http://www.w3.org/2001/XMLSchema" xmlns:xs="http://www.w3.org/2001/XMLSchema" xmlns:p="http://schemas.microsoft.com/office/2006/metadata/properties" xmlns:ns2="33810594-69a7-4ee4-b5dc-2c1254269190" xmlns:ns3="69fe4883-ae34-4221-a549-a1cb61b1b568" targetNamespace="http://schemas.microsoft.com/office/2006/metadata/properties" ma:root="true" ma:fieldsID="d65e0b6efd86cf4ee2bb8a802fd5d3ab" ns2:_="" ns3:_="">
    <xsd:import namespace="33810594-69a7-4ee4-b5dc-2c1254269190"/>
    <xsd:import namespace="69fe4883-ae34-4221-a549-a1cb61b1b568"/>
    <xsd:element name="properties">
      <xsd:complexType>
        <xsd:sequence>
          <xsd:element name="documentManagement">
            <xsd:complexType>
              <xsd:all>
                <xsd:element ref="ns2:Document_x0020_type" minOccurs="0"/>
                <xsd:element ref="ns2:Country" minOccurs="0"/>
                <xsd:element ref="ns3:Region" minOccurs="0"/>
                <xsd:element ref="ns2:The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10594-69a7-4ee4-b5dc-2c1254269190" elementFormDefault="qualified">
    <xsd:import namespace="http://schemas.microsoft.com/office/2006/documentManagement/types"/>
    <xsd:import namespace="http://schemas.microsoft.com/office/infopath/2007/PartnerControls"/>
    <xsd:element name="Document_x0020_type" ma:index="2" nillable="true" ma:displayName="Document type" ma:format="Dropdown" ma:internalName="Document_x0020_type">
      <xsd:simpleType>
        <xsd:restriction base="dms:Choice">
          <xsd:enumeration value="CommHR Office"/>
          <xsd:enumeration value="Country - Briefing"/>
          <xsd:enumeration value="Country  - Fact sheet"/>
          <xsd:enumeration value="Guidelines"/>
          <xsd:enumeration value="Media"/>
          <xsd:enumeration value="Monitoring Covid 19"/>
          <xsd:enumeration value="Other"/>
          <xsd:enumeration value="Theme - Briefing"/>
          <xsd:enumeration value="Theme - Fact sheet"/>
          <xsd:enumeration value="Work-in-progress"/>
          <xsd:enumeration value="Work-in-progress (20th Anniversary)"/>
          <xsd:enumeration value="Work-in-progress (CommHR Compilation)"/>
          <xsd:enumeration value="Work-in-progress (Division I)"/>
          <xsd:enumeration value="Work-in-progress (Division II)"/>
          <xsd:enumeration value="Work-in-progress (Division III)"/>
        </xsd:restriction>
      </xsd:simpleType>
    </xsd:element>
    <xsd:element name="Country" ma:index="3" nillable="true" ma:displayName="Country" ma:format="Dropdown" ma:internalName="Country">
      <xsd:simpleType>
        <xsd:restriction base="dms:Choice">
          <xsd:enumeration value="Albania"/>
          <xsd:enumeration value="Andorra"/>
          <xsd:enumeration value="Armenia"/>
          <xsd:enumeration value="Austria"/>
          <xsd:enumeration value="Azerbaijan"/>
          <xsd:enumeration value="Belarus"/>
          <xsd:enumeration value="Belgium"/>
          <xsd:enumeration value="Bosnia and Herzegovina"/>
          <xsd:enumeration value="Bulgaria"/>
          <xsd:enumeration value="Croatia"/>
          <xsd:enumeration value="Cyprus"/>
          <xsd:enumeration value="Czech Republic"/>
          <xsd:enumeration value="Denmark"/>
          <xsd:enumeration value="Estonia"/>
          <xsd:enumeration value="Ethiopia"/>
          <xsd:enumeration value="Finland"/>
          <xsd:enumeration value="France"/>
          <xsd:enumeration value="Georgia"/>
          <xsd:enumeration value="Germany"/>
          <xsd:enumeration value="Greece"/>
          <xsd:enumeration value="Hungary"/>
          <xsd:enumeration value="Ireland"/>
          <xsd:enumeration value="Island"/>
          <xsd:enumeration value="Italy"/>
          <xsd:enumeration value="Kosovo"/>
          <xsd:enumeration value="Latvia"/>
          <xsd:enumeration value="Liechtenstein"/>
          <xsd:enumeration value="Lithuania"/>
          <xsd:enumeration value="Luxembourg"/>
          <xsd:enumeration value="Malta"/>
          <xsd:enumeration value="Moldova"/>
          <xsd:enumeration value="Monaco"/>
          <xsd:enumeration value="Montenegro"/>
          <xsd:enumeration value="Netherlands"/>
          <xsd:enumeration value="North Macedonia"/>
          <xsd:enumeration value="Norway"/>
          <xsd:enumeration value="Poland"/>
          <xsd:enumeration value="Portugal"/>
          <xsd:enumeration value="Romania"/>
          <xsd:enumeration value="Russian Federation"/>
          <xsd:enumeration value="San Marino"/>
          <xsd:enumeration value="Serbia"/>
          <xsd:enumeration value="Slovak Republic"/>
          <xsd:enumeration value="Slovenia"/>
          <xsd:enumeration value="Spain"/>
          <xsd:enumeration value="Sweden"/>
          <xsd:enumeration value="Switzerland"/>
          <xsd:enumeration value="Turkey"/>
          <xsd:enumeration value="Ukraine"/>
          <xsd:enumeration value="United Kingdom"/>
        </xsd:restriction>
      </xsd:simpleType>
    </xsd:element>
    <xsd:element name="Theme" ma:index="5" nillable="true" ma:displayName="Theme" ma:format="Dropdown" ma:internalName="Theme">
      <xsd:simpleType>
        <xsd:restriction base="dms:Choice">
          <xsd:enumeration value="Antisemitism"/>
          <xsd:enumeration value="Artificial Intelligence"/>
          <xsd:enumeration value="Children"/>
          <xsd:enumeration value="Data protection"/>
          <xsd:enumeration value="Detention"/>
          <xsd:enumeration value="Disability"/>
          <xsd:enumeration value="Elderly"/>
          <xsd:enumeration value="Freedom of expression"/>
          <xsd:enumeration value="Hate speech"/>
          <xsd:enumeration value="IDPs"/>
          <xsd:enumeration value="Legislation"/>
          <xsd:enumeration value="LGBT"/>
          <xsd:enumeration value="Migrants, refugees, asylum seekers"/>
          <xsd:enumeration value="Minorities"/>
          <xsd:enumeration value="Non-discrimination"/>
          <xsd:enumeration value="Police"/>
          <xsd:enumeration value="Racist extremism"/>
          <xsd:enumeration value="Roma and Travellers"/>
          <xsd:enumeration value="Statelessness"/>
          <xsd:enumeration value="Terrorism"/>
          <xsd:enumeration value="Transitional justice"/>
          <xsd:enumeration value="Women's rights"/>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69fe4883-ae34-4221-a549-a1cb61b1b568" elementFormDefault="qualified">
    <xsd:import namespace="http://schemas.microsoft.com/office/2006/documentManagement/types"/>
    <xsd:import namespace="http://schemas.microsoft.com/office/infopath/2007/PartnerControls"/>
    <xsd:element name="Region" ma:index="4" nillable="true" ma:displayName="Region" ma:format="Dropdown" ma:internalName="Region">
      <xsd:simpleType>
        <xsd:restriction base="dms:Choice">
          <xsd:enumeration value="All CoE member states"/>
          <xsd:enumeration value="Balkans"/>
          <xsd:enumeration value="Caucasus"/>
          <xsd:enumeration value="Central &amp; Eastern Europe"/>
          <xsd:enumeration value="European Union"/>
          <xsd:enumeration value="Glob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33810594-69a7-4ee4-b5dc-2c1254269190" xsi:nil="true"/>
    <Region xmlns="69fe4883-ae34-4221-a549-a1cb61b1b568" xsi:nil="true"/>
    <Theme xmlns="33810594-69a7-4ee4-b5dc-2c1254269190" xsi:nil="true"/>
    <Document_x0020_type xmlns="33810594-69a7-4ee4-b5dc-2c1254269190">Work-in-progress (Division I)</Document_x0020_typ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CA308A3-E313-4CD2-A283-DF2D84EF5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10594-69a7-4ee4-b5dc-2c1254269190"/>
    <ds:schemaRef ds:uri="69fe4883-ae34-4221-a549-a1cb61b1b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743E66-8E28-411D-A550-C76E710091DA}">
  <ds:schemaRefs>
    <ds:schemaRef ds:uri="http://schemas.microsoft.com/sharepoint/v3/contenttype/forms"/>
  </ds:schemaRefs>
</ds:datastoreItem>
</file>

<file path=customXml/itemProps3.xml><?xml version="1.0" encoding="utf-8"?>
<ds:datastoreItem xmlns:ds="http://schemas.openxmlformats.org/officeDocument/2006/customXml" ds:itemID="{1E04317E-F3E9-4737-89FD-D8754BC2F2B1}">
  <ds:schemaRefs>
    <ds:schemaRef ds:uri="http://schemas.microsoft.com/office/2006/metadata/properties"/>
    <ds:schemaRef ds:uri="http://schemas.microsoft.com/office/infopath/2007/PartnerControls"/>
    <ds:schemaRef ds:uri="33810594-69a7-4ee4-b5dc-2c1254269190"/>
    <ds:schemaRef ds:uri="69fe4883-ae34-4221-a549-a1cb61b1b568"/>
  </ds:schemaRefs>
</ds:datastoreItem>
</file>

<file path=customXml/itemProps4.xml><?xml version="1.0" encoding="utf-8"?>
<ds:datastoreItem xmlns:ds="http://schemas.openxmlformats.org/officeDocument/2006/customXml" ds:itemID="{BBF03811-381A-4697-B225-9347E85D9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9872</Words>
  <Characters>54296</Characters>
  <Application>Microsoft Office Word</Application>
  <DocSecurity>0</DocSecurity>
  <Lines>452</Lines>
  <Paragraphs>128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Draft Memorandum freedom of expression in Hungary 2021</vt:lpstr>
      <vt:lpstr/>
    </vt:vector>
  </TitlesOfParts>
  <Company/>
  <LinksUpToDate>false</LinksUpToDate>
  <CharactersWithSpaces>64040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on the humanitarian and human rights consequences following the 2020 outbreak of hostilities between Armenia and Azerbaijan over Nagorno-Karabakh</dc:title>
  <dc:subject/>
  <dc:creator>Commissioner for Human Rights of the Council of Europe</dc:creator>
  <cp:keywords/>
  <dc:description/>
  <cp:lastModifiedBy>MARIE-ST-GERMAIN Magnus</cp:lastModifiedBy>
  <cp:revision>6</cp:revision>
  <cp:lastPrinted>2021-02-25T15:30:00Z</cp:lastPrinted>
  <dcterms:created xsi:type="dcterms:W3CDTF">2021-11-04T10:51:00Z</dcterms:created>
  <dcterms:modified xsi:type="dcterms:W3CDTF">2021-11-05T10:43:00Z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0x010100D4DFCCB05DEEB84FBBD69D81700AADC5</vt:lpwstr>
  </property>
</Properties>
</file>